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B2AD2" w:rsidRPr="00EA30C2" w:rsidP="006C1A01" w14:paraId="3F86457B" w14:textId="379F8C4A">
      <w:pPr>
        <w:suppressAutoHyphens/>
        <w:spacing w:after="240"/>
        <w:jc w:val="center"/>
        <w:rPr>
          <w:b/>
          <w:sz w:val="24"/>
          <w:szCs w:val="24"/>
        </w:rPr>
      </w:pPr>
      <w:r w:rsidRPr="00EA30C2">
        <w:rPr>
          <w:b/>
          <w:sz w:val="24"/>
          <w:szCs w:val="24"/>
        </w:rPr>
        <w:t>SUPPORTING STATEMENT FOR NEW INFORMATION COLLECTION</w:t>
      </w:r>
    </w:p>
    <w:p w:rsidR="003B2AD2" w:rsidRPr="00EA30C2" w:rsidP="006C1A01" w14:paraId="152B1B3C" w14:textId="06055642">
      <w:pPr>
        <w:tabs>
          <w:tab w:val="center" w:pos="4680"/>
        </w:tabs>
        <w:suppressAutoHyphens/>
        <w:spacing w:after="240"/>
        <w:jc w:val="center"/>
        <w:outlineLvl w:val="0"/>
        <w:rPr>
          <w:b/>
          <w:sz w:val="24"/>
          <w:szCs w:val="24"/>
        </w:rPr>
      </w:pPr>
      <w:r w:rsidRPr="00EA30C2">
        <w:rPr>
          <w:b/>
          <w:sz w:val="24"/>
          <w:szCs w:val="24"/>
        </w:rPr>
        <w:t xml:space="preserve">OMB CONTROL NUMBER </w:t>
      </w:r>
      <w:r w:rsidRPr="00EA30C2" w:rsidR="00EC5221">
        <w:rPr>
          <w:b/>
          <w:sz w:val="24"/>
          <w:szCs w:val="24"/>
        </w:rPr>
        <w:t>3038-</w:t>
      </w:r>
      <w:r w:rsidRPr="00EA30C2" w:rsidR="00716063">
        <w:rPr>
          <w:b/>
          <w:sz w:val="24"/>
          <w:szCs w:val="24"/>
        </w:rPr>
        <w:t>0117</w:t>
      </w:r>
    </w:p>
    <w:p w:rsidR="009A74B8" w:rsidRPr="00EA30C2" w:rsidP="006C1A01" w14:paraId="31C0896A" w14:textId="77777777">
      <w:pPr>
        <w:tabs>
          <w:tab w:val="center" w:pos="4680"/>
        </w:tabs>
        <w:suppressAutoHyphens/>
        <w:spacing w:after="240"/>
        <w:jc w:val="center"/>
        <w:outlineLvl w:val="0"/>
        <w:rPr>
          <w:b/>
          <w:sz w:val="24"/>
          <w:szCs w:val="24"/>
        </w:rPr>
      </w:pPr>
      <w:r w:rsidRPr="00EA30C2">
        <w:rPr>
          <w:b/>
          <w:sz w:val="24"/>
          <w:szCs w:val="24"/>
        </w:rPr>
        <w:t>Exemption from Derivatives Clearing Organization Registration</w:t>
      </w:r>
    </w:p>
    <w:p w:rsidR="003B2AD2" w:rsidRPr="00EA30C2" w:rsidP="006C1A01" w14:paraId="2475687F" w14:textId="2FCA5615">
      <w:pPr>
        <w:tabs>
          <w:tab w:val="left" w:pos="-720"/>
        </w:tabs>
        <w:suppressAutoHyphens/>
        <w:spacing w:after="240"/>
        <w:outlineLvl w:val="0"/>
        <w:rPr>
          <w:b/>
          <w:sz w:val="24"/>
          <w:szCs w:val="24"/>
        </w:rPr>
      </w:pPr>
      <w:r w:rsidRPr="00EA30C2">
        <w:rPr>
          <w:b/>
          <w:sz w:val="24"/>
          <w:szCs w:val="24"/>
        </w:rPr>
        <w:t>Justification</w:t>
      </w:r>
    </w:p>
    <w:p w:rsidR="003B2AD2" w:rsidRPr="00EA30C2" w:rsidP="005871BF" w14:paraId="167FD4DE" w14:textId="77777777">
      <w:pPr>
        <w:tabs>
          <w:tab w:val="left" w:pos="-720"/>
          <w:tab w:val="left" w:pos="0"/>
        </w:tabs>
        <w:suppressAutoHyphens/>
        <w:spacing w:after="240"/>
        <w:ind w:left="720" w:hanging="720"/>
        <w:rPr>
          <w:b/>
          <w:sz w:val="24"/>
          <w:szCs w:val="24"/>
        </w:rPr>
      </w:pPr>
      <w:r w:rsidRPr="00EA30C2">
        <w:rPr>
          <w:b/>
          <w:sz w:val="24"/>
          <w:szCs w:val="24"/>
        </w:rPr>
        <w:t>1.</w:t>
      </w:r>
      <w:r w:rsidRPr="00EA30C2">
        <w:rPr>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31415" w:rsidRPr="00191846" w:rsidP="005871BF" w14:paraId="041A01EE" w14:textId="0E856D9A">
      <w:pPr>
        <w:tabs>
          <w:tab w:val="left" w:pos="-720"/>
          <w:tab w:val="left" w:pos="0"/>
        </w:tabs>
        <w:suppressAutoHyphens/>
        <w:spacing w:after="240"/>
        <w:ind w:left="720"/>
        <w:rPr>
          <w:sz w:val="24"/>
          <w:szCs w:val="24"/>
        </w:rPr>
      </w:pPr>
      <w:r w:rsidRPr="00191846">
        <w:rPr>
          <w:bCs/>
          <w:sz w:val="24"/>
          <w:szCs w:val="24"/>
        </w:rPr>
        <w:t xml:space="preserve">Section 5b(a) of the </w:t>
      </w:r>
      <w:r w:rsidR="00402A6A">
        <w:rPr>
          <w:bCs/>
          <w:sz w:val="24"/>
          <w:szCs w:val="24"/>
        </w:rPr>
        <w:t>Commodity Exchange Act (</w:t>
      </w:r>
      <w:r w:rsidRPr="00191846">
        <w:rPr>
          <w:bCs/>
          <w:sz w:val="24"/>
          <w:szCs w:val="24"/>
        </w:rPr>
        <w:t>CEA</w:t>
      </w:r>
      <w:r w:rsidR="00402A6A">
        <w:rPr>
          <w:bCs/>
          <w:sz w:val="24"/>
          <w:szCs w:val="24"/>
        </w:rPr>
        <w:t>)</w:t>
      </w:r>
      <w:r w:rsidRPr="00191846">
        <w:rPr>
          <w:bCs/>
          <w:sz w:val="24"/>
          <w:szCs w:val="24"/>
        </w:rPr>
        <w:t xml:space="preserve"> provides that a clearing organization may not perform the functions of a deri</w:t>
      </w:r>
      <w:r w:rsidR="00C25F88">
        <w:rPr>
          <w:bCs/>
          <w:sz w:val="24"/>
          <w:szCs w:val="24"/>
        </w:rPr>
        <w:t>vatives clearing organization (DCO</w:t>
      </w:r>
      <w:r w:rsidRPr="00191846">
        <w:rPr>
          <w:bCs/>
          <w:sz w:val="24"/>
          <w:szCs w:val="24"/>
        </w:rPr>
        <w:t xml:space="preserve">) with respect to swaps unless the clearing organization is registered with the Commission.  Section 5b(h) of the CEA, however, permits the Commission to conditionally or unconditionally exempt a clearing organization from registration </w:t>
      </w:r>
      <w:r w:rsidR="002756DD">
        <w:rPr>
          <w:bCs/>
          <w:sz w:val="24"/>
          <w:szCs w:val="24"/>
        </w:rPr>
        <w:t xml:space="preserve">as a DCO </w:t>
      </w:r>
      <w:r w:rsidRPr="00191846">
        <w:rPr>
          <w:bCs/>
          <w:sz w:val="24"/>
          <w:szCs w:val="24"/>
        </w:rPr>
        <w:t>for the clearing of swaps if the Commission determines that the clearing organization is subject to “comparable, comprehensive supervision and regulation” by the clearing organization’s home country government regulator.</w:t>
      </w:r>
    </w:p>
    <w:p w:rsidR="00F31415" w:rsidRPr="00190EB6" w:rsidP="005871BF" w14:paraId="52F203C8" w14:textId="18027B9E">
      <w:pPr>
        <w:tabs>
          <w:tab w:val="left" w:pos="-720"/>
          <w:tab w:val="left" w:pos="0"/>
        </w:tabs>
        <w:suppressAutoHyphens/>
        <w:spacing w:after="240"/>
        <w:ind w:left="720"/>
        <w:rPr>
          <w:sz w:val="24"/>
          <w:szCs w:val="24"/>
        </w:rPr>
      </w:pPr>
      <w:r>
        <w:rPr>
          <w:sz w:val="24"/>
          <w:szCs w:val="24"/>
        </w:rPr>
        <w:t xml:space="preserve">This Supporting Statement relates </w:t>
      </w:r>
      <w:r w:rsidR="001E1361">
        <w:rPr>
          <w:sz w:val="24"/>
          <w:szCs w:val="24"/>
        </w:rPr>
        <w:t xml:space="preserve">specifically </w:t>
      </w:r>
      <w:r>
        <w:rPr>
          <w:sz w:val="24"/>
          <w:szCs w:val="24"/>
        </w:rPr>
        <w:t xml:space="preserve">to </w:t>
      </w:r>
      <w:r w:rsidR="00A55D9B">
        <w:rPr>
          <w:sz w:val="24"/>
          <w:szCs w:val="24"/>
        </w:rPr>
        <w:t xml:space="preserve">the </w:t>
      </w:r>
      <w:r w:rsidRPr="00A55D9B" w:rsidR="00A55D9B">
        <w:rPr>
          <w:sz w:val="24"/>
          <w:szCs w:val="24"/>
        </w:rPr>
        <w:t>regulations that</w:t>
      </w:r>
      <w:r w:rsidR="00402A6A">
        <w:rPr>
          <w:sz w:val="24"/>
          <w:szCs w:val="24"/>
        </w:rPr>
        <w:t xml:space="preserve"> </w:t>
      </w:r>
      <w:r w:rsidR="00C66D39">
        <w:rPr>
          <w:sz w:val="24"/>
          <w:szCs w:val="24"/>
        </w:rPr>
        <w:t>the Commission adopt</w:t>
      </w:r>
      <w:r w:rsidR="00A25AB9">
        <w:rPr>
          <w:sz w:val="24"/>
          <w:szCs w:val="24"/>
        </w:rPr>
        <w:t>ed</w:t>
      </w:r>
      <w:r w:rsidR="00C66D39">
        <w:rPr>
          <w:sz w:val="24"/>
          <w:szCs w:val="24"/>
        </w:rPr>
        <w:t xml:space="preserve"> </w:t>
      </w:r>
      <w:r w:rsidR="003A60BE">
        <w:rPr>
          <w:sz w:val="24"/>
          <w:szCs w:val="24"/>
        </w:rPr>
        <w:t xml:space="preserve">in 2021 </w:t>
      </w:r>
      <w:r w:rsidR="00C66D39">
        <w:rPr>
          <w:sz w:val="24"/>
          <w:szCs w:val="24"/>
        </w:rPr>
        <w:t>to</w:t>
      </w:r>
      <w:r w:rsidRPr="00A55D9B" w:rsidR="00A55D9B">
        <w:rPr>
          <w:sz w:val="24"/>
          <w:szCs w:val="24"/>
        </w:rPr>
        <w:t xml:space="preserve"> codify the policies and procedures that </w:t>
      </w:r>
      <w:r w:rsidR="00C66D39">
        <w:rPr>
          <w:sz w:val="24"/>
          <w:szCs w:val="24"/>
        </w:rPr>
        <w:t xml:space="preserve">it </w:t>
      </w:r>
      <w:r w:rsidRPr="00A55D9B" w:rsidR="00A55D9B">
        <w:rPr>
          <w:sz w:val="24"/>
          <w:szCs w:val="24"/>
        </w:rPr>
        <w:t xml:space="preserve">is currently following with respect to granting exemptions </w:t>
      </w:r>
      <w:r w:rsidRPr="00C25F88" w:rsidR="00C25F88">
        <w:rPr>
          <w:sz w:val="24"/>
          <w:szCs w:val="24"/>
        </w:rPr>
        <w:t xml:space="preserve">from registration as a </w:t>
      </w:r>
      <w:r w:rsidR="00C25F88">
        <w:rPr>
          <w:sz w:val="24"/>
          <w:szCs w:val="24"/>
        </w:rPr>
        <w:t xml:space="preserve">DCO </w:t>
      </w:r>
      <w:r w:rsidRPr="00C25F88" w:rsidR="00C25F88">
        <w:rPr>
          <w:sz w:val="24"/>
          <w:szCs w:val="24"/>
        </w:rPr>
        <w:t>for the clearing of proprietary swaps for U.S. persons and futures commission merchants (FCMs).</w:t>
      </w:r>
      <w:r w:rsidRPr="00A55D9B" w:rsidR="00A55D9B">
        <w:rPr>
          <w:sz w:val="24"/>
          <w:szCs w:val="24"/>
        </w:rPr>
        <w:t xml:space="preserve"> </w:t>
      </w:r>
      <w:r w:rsidR="006A6D8E">
        <w:rPr>
          <w:sz w:val="24"/>
          <w:szCs w:val="24"/>
        </w:rPr>
        <w:t xml:space="preserve"> </w:t>
      </w:r>
      <w:r w:rsidR="003A60BE">
        <w:rPr>
          <w:i/>
          <w:sz w:val="24"/>
          <w:szCs w:val="24"/>
        </w:rPr>
        <w:t xml:space="preserve">See </w:t>
      </w:r>
      <w:r w:rsidR="003A60BE">
        <w:rPr>
          <w:sz w:val="24"/>
          <w:szCs w:val="24"/>
        </w:rPr>
        <w:t xml:space="preserve">86 FR 949 (Jan. 7, 2021).  </w:t>
      </w:r>
      <w:r w:rsidR="00C059F4">
        <w:rPr>
          <w:sz w:val="24"/>
          <w:szCs w:val="24"/>
        </w:rPr>
        <w:t>T</w:t>
      </w:r>
      <w:r w:rsidR="009C2CC8">
        <w:rPr>
          <w:sz w:val="24"/>
          <w:szCs w:val="24"/>
        </w:rPr>
        <w:t xml:space="preserve">he rules include </w:t>
      </w:r>
      <w:r w:rsidRPr="00190EB6">
        <w:rPr>
          <w:sz w:val="24"/>
          <w:szCs w:val="24"/>
        </w:rPr>
        <w:t xml:space="preserve">reporting requirements that </w:t>
      </w:r>
      <w:r w:rsidRPr="00190EB6" w:rsidR="00F23492">
        <w:rPr>
          <w:sz w:val="24"/>
          <w:szCs w:val="24"/>
        </w:rPr>
        <w:t>are</w:t>
      </w:r>
      <w:r w:rsidRPr="00190EB6">
        <w:rPr>
          <w:sz w:val="24"/>
          <w:szCs w:val="24"/>
        </w:rPr>
        <w:t xml:space="preserve"> collections of information requiring approval under the PRA.</w:t>
      </w:r>
      <w:r w:rsidR="00677F98">
        <w:rPr>
          <w:sz w:val="24"/>
          <w:szCs w:val="24"/>
        </w:rPr>
        <w:t xml:space="preserve"> Specifically, </w:t>
      </w:r>
      <w:r w:rsidR="005920D5">
        <w:rPr>
          <w:sz w:val="24"/>
          <w:szCs w:val="24"/>
        </w:rPr>
        <w:t>t</w:t>
      </w:r>
      <w:r w:rsidR="00677F98">
        <w:rPr>
          <w:sz w:val="24"/>
          <w:szCs w:val="24"/>
        </w:rPr>
        <w:t xml:space="preserve">he </w:t>
      </w:r>
      <w:r w:rsidR="00402A6A">
        <w:rPr>
          <w:sz w:val="24"/>
          <w:szCs w:val="24"/>
        </w:rPr>
        <w:t xml:space="preserve">Commission </w:t>
      </w:r>
      <w:r w:rsidR="00677F98">
        <w:rPr>
          <w:sz w:val="24"/>
          <w:szCs w:val="24"/>
        </w:rPr>
        <w:t>amend</w:t>
      </w:r>
      <w:r w:rsidR="006A521B">
        <w:rPr>
          <w:sz w:val="24"/>
          <w:szCs w:val="24"/>
        </w:rPr>
        <w:t>ed</w:t>
      </w:r>
      <w:r w:rsidR="00677F98">
        <w:rPr>
          <w:sz w:val="24"/>
          <w:szCs w:val="24"/>
        </w:rPr>
        <w:t xml:space="preserve"> </w:t>
      </w:r>
      <w:r w:rsidR="002756DD">
        <w:rPr>
          <w:sz w:val="24"/>
          <w:szCs w:val="24"/>
        </w:rPr>
        <w:t>P</w:t>
      </w:r>
      <w:r w:rsidR="00677F98">
        <w:rPr>
          <w:sz w:val="24"/>
          <w:szCs w:val="24"/>
        </w:rPr>
        <w:t xml:space="preserve">art 39 to </w:t>
      </w:r>
      <w:r w:rsidR="00C4759A">
        <w:rPr>
          <w:sz w:val="24"/>
          <w:szCs w:val="24"/>
        </w:rPr>
        <w:t>specify the conditions</w:t>
      </w:r>
      <w:r w:rsidR="003169CE">
        <w:rPr>
          <w:sz w:val="24"/>
          <w:szCs w:val="24"/>
        </w:rPr>
        <w:t xml:space="preserve"> </w:t>
      </w:r>
      <w:r w:rsidR="00DF62F3">
        <w:rPr>
          <w:sz w:val="24"/>
          <w:szCs w:val="24"/>
        </w:rPr>
        <w:t xml:space="preserve">and procedures </w:t>
      </w:r>
      <w:r w:rsidR="00C4759A">
        <w:rPr>
          <w:sz w:val="24"/>
          <w:szCs w:val="24"/>
        </w:rPr>
        <w:t xml:space="preserve">under which </w:t>
      </w:r>
      <w:r w:rsidR="00677F98">
        <w:rPr>
          <w:sz w:val="24"/>
          <w:szCs w:val="24"/>
        </w:rPr>
        <w:t xml:space="preserve">a </w:t>
      </w:r>
      <w:r w:rsidR="002756DD">
        <w:rPr>
          <w:sz w:val="24"/>
          <w:szCs w:val="24"/>
        </w:rPr>
        <w:t>clearing organization</w:t>
      </w:r>
      <w:r w:rsidR="00677F98">
        <w:rPr>
          <w:sz w:val="24"/>
          <w:szCs w:val="24"/>
        </w:rPr>
        <w:t xml:space="preserve"> </w:t>
      </w:r>
      <w:r w:rsidR="00DF62F3">
        <w:rPr>
          <w:sz w:val="24"/>
          <w:szCs w:val="24"/>
        </w:rPr>
        <w:t xml:space="preserve">may </w:t>
      </w:r>
      <w:r w:rsidR="00677F98">
        <w:rPr>
          <w:sz w:val="24"/>
          <w:szCs w:val="24"/>
        </w:rPr>
        <w:t xml:space="preserve">apply for exemption </w:t>
      </w:r>
      <w:r w:rsidR="00DF62F3">
        <w:rPr>
          <w:sz w:val="24"/>
          <w:szCs w:val="24"/>
        </w:rPr>
        <w:t xml:space="preserve">from registration as a DCO, the information that must be </w:t>
      </w:r>
      <w:r w:rsidR="00677F98">
        <w:rPr>
          <w:sz w:val="24"/>
          <w:szCs w:val="24"/>
        </w:rPr>
        <w:t>provide</w:t>
      </w:r>
      <w:r w:rsidR="00DF62F3">
        <w:rPr>
          <w:sz w:val="24"/>
          <w:szCs w:val="24"/>
        </w:rPr>
        <w:t>d</w:t>
      </w:r>
      <w:r w:rsidR="00677F98">
        <w:rPr>
          <w:sz w:val="24"/>
          <w:szCs w:val="24"/>
        </w:rPr>
        <w:t xml:space="preserve"> </w:t>
      </w:r>
      <w:r w:rsidR="00DF62F3">
        <w:rPr>
          <w:sz w:val="24"/>
          <w:szCs w:val="24"/>
        </w:rPr>
        <w:t>to the Commission to obtain and maintain such exemption</w:t>
      </w:r>
      <w:r w:rsidR="00F47C4E">
        <w:rPr>
          <w:sz w:val="24"/>
          <w:szCs w:val="24"/>
        </w:rPr>
        <w:t xml:space="preserve">, </w:t>
      </w:r>
      <w:r w:rsidR="00BF0D5C">
        <w:rPr>
          <w:sz w:val="24"/>
          <w:szCs w:val="24"/>
        </w:rPr>
        <w:t xml:space="preserve">and </w:t>
      </w:r>
      <w:r w:rsidR="00F47C4E">
        <w:rPr>
          <w:sz w:val="24"/>
          <w:szCs w:val="24"/>
        </w:rPr>
        <w:t>procedures for termination of an exemption</w:t>
      </w:r>
      <w:r w:rsidR="00C71958">
        <w:rPr>
          <w:sz w:val="24"/>
          <w:szCs w:val="24"/>
        </w:rPr>
        <w:t>.</w:t>
      </w:r>
      <w:r>
        <w:rPr>
          <w:rStyle w:val="FootnoteReference"/>
          <w:sz w:val="24"/>
          <w:szCs w:val="24"/>
        </w:rPr>
        <w:footnoteReference w:id="2"/>
      </w:r>
    </w:p>
    <w:p w:rsidR="00B50B4F" w:rsidP="005871BF" w14:paraId="6065A42A" w14:textId="05E9BFC0">
      <w:pPr>
        <w:tabs>
          <w:tab w:val="left" w:pos="-720"/>
          <w:tab w:val="left" w:pos="0"/>
        </w:tabs>
        <w:suppressAutoHyphens/>
        <w:spacing w:after="240"/>
        <w:ind w:left="720"/>
        <w:rPr>
          <w:sz w:val="24"/>
          <w:szCs w:val="24"/>
        </w:rPr>
      </w:pPr>
      <w:r>
        <w:rPr>
          <w:sz w:val="24"/>
          <w:szCs w:val="24"/>
        </w:rPr>
        <w:t>T</w:t>
      </w:r>
      <w:r w:rsidR="00402A6A">
        <w:rPr>
          <w:sz w:val="24"/>
          <w:szCs w:val="24"/>
        </w:rPr>
        <w:t xml:space="preserve">he information that </w:t>
      </w:r>
      <w:r w:rsidR="006A521B">
        <w:rPr>
          <w:sz w:val="24"/>
          <w:szCs w:val="24"/>
        </w:rPr>
        <w:t xml:space="preserve">is </w:t>
      </w:r>
      <w:r w:rsidRPr="00AC39ED">
        <w:rPr>
          <w:sz w:val="24"/>
          <w:szCs w:val="24"/>
        </w:rPr>
        <w:t xml:space="preserve">collected </w:t>
      </w:r>
      <w:r>
        <w:rPr>
          <w:sz w:val="24"/>
          <w:szCs w:val="24"/>
        </w:rPr>
        <w:t xml:space="preserve">under </w:t>
      </w:r>
      <w:r w:rsidR="00974BFB">
        <w:rPr>
          <w:sz w:val="24"/>
          <w:szCs w:val="24"/>
        </w:rPr>
        <w:t xml:space="preserve">these </w:t>
      </w:r>
      <w:r w:rsidR="009C2CC8">
        <w:rPr>
          <w:sz w:val="24"/>
          <w:szCs w:val="24"/>
        </w:rPr>
        <w:t>r</w:t>
      </w:r>
      <w:r>
        <w:rPr>
          <w:sz w:val="24"/>
          <w:szCs w:val="24"/>
        </w:rPr>
        <w:t xml:space="preserve">egulations </w:t>
      </w:r>
      <w:r w:rsidRPr="00AC39ED">
        <w:rPr>
          <w:sz w:val="24"/>
          <w:szCs w:val="24"/>
        </w:rPr>
        <w:t xml:space="preserve">is necessary for the Commission to </w:t>
      </w:r>
      <w:r>
        <w:rPr>
          <w:sz w:val="24"/>
          <w:szCs w:val="24"/>
        </w:rPr>
        <w:t xml:space="preserve">determine </w:t>
      </w:r>
      <w:r w:rsidR="00445B87">
        <w:rPr>
          <w:sz w:val="24"/>
          <w:szCs w:val="24"/>
        </w:rPr>
        <w:t xml:space="preserve">whether </w:t>
      </w:r>
      <w:r w:rsidR="000A1446">
        <w:rPr>
          <w:sz w:val="24"/>
          <w:szCs w:val="24"/>
        </w:rPr>
        <w:t>a</w:t>
      </w:r>
      <w:r w:rsidR="009C2CC8">
        <w:rPr>
          <w:sz w:val="24"/>
          <w:szCs w:val="24"/>
        </w:rPr>
        <w:t xml:space="preserve"> clearing organization</w:t>
      </w:r>
      <w:r w:rsidR="00D80DDE">
        <w:rPr>
          <w:sz w:val="24"/>
          <w:szCs w:val="24"/>
        </w:rPr>
        <w:t xml:space="preserve"> qualifi</w:t>
      </w:r>
      <w:r w:rsidR="00445B87">
        <w:rPr>
          <w:sz w:val="24"/>
          <w:szCs w:val="24"/>
        </w:rPr>
        <w:t xml:space="preserve">es </w:t>
      </w:r>
      <w:r w:rsidR="00D80DDE">
        <w:rPr>
          <w:sz w:val="24"/>
          <w:szCs w:val="24"/>
        </w:rPr>
        <w:t xml:space="preserve">for </w:t>
      </w:r>
      <w:r w:rsidR="009C2CC8">
        <w:rPr>
          <w:sz w:val="24"/>
          <w:szCs w:val="24"/>
        </w:rPr>
        <w:t xml:space="preserve">exemption from DCO registration, </w:t>
      </w:r>
      <w:r w:rsidR="00445B87">
        <w:rPr>
          <w:sz w:val="24"/>
          <w:szCs w:val="24"/>
        </w:rPr>
        <w:t xml:space="preserve">to </w:t>
      </w:r>
      <w:r w:rsidRPr="001A1D50" w:rsidR="001A1D50">
        <w:rPr>
          <w:sz w:val="24"/>
          <w:szCs w:val="24"/>
        </w:rPr>
        <w:t>evaluat</w:t>
      </w:r>
      <w:r w:rsidR="00445B87">
        <w:rPr>
          <w:sz w:val="24"/>
          <w:szCs w:val="24"/>
        </w:rPr>
        <w:t>e</w:t>
      </w:r>
      <w:r w:rsidRPr="001A1D50" w:rsidR="001A1D50">
        <w:rPr>
          <w:sz w:val="24"/>
          <w:szCs w:val="24"/>
        </w:rPr>
        <w:t xml:space="preserve"> the continued eligibility of the exempt </w:t>
      </w:r>
      <w:r w:rsidR="002756DD">
        <w:rPr>
          <w:sz w:val="24"/>
          <w:szCs w:val="24"/>
        </w:rPr>
        <w:t>DCO</w:t>
      </w:r>
      <w:r w:rsidRPr="001A1D50" w:rsidR="001A1D50">
        <w:rPr>
          <w:sz w:val="24"/>
          <w:szCs w:val="24"/>
        </w:rPr>
        <w:t xml:space="preserve"> for exemption from registration, </w:t>
      </w:r>
      <w:r w:rsidR="00445B87">
        <w:rPr>
          <w:sz w:val="24"/>
          <w:szCs w:val="24"/>
        </w:rPr>
        <w:t xml:space="preserve">to </w:t>
      </w:r>
      <w:r w:rsidRPr="001A1D50" w:rsidR="001A1D50">
        <w:rPr>
          <w:sz w:val="24"/>
          <w:szCs w:val="24"/>
        </w:rPr>
        <w:t xml:space="preserve">review compliance by the exempt </w:t>
      </w:r>
      <w:r w:rsidR="002756DD">
        <w:rPr>
          <w:sz w:val="24"/>
          <w:szCs w:val="24"/>
        </w:rPr>
        <w:t>DCO</w:t>
      </w:r>
      <w:r w:rsidRPr="001A1D50" w:rsidR="001A1D50">
        <w:rPr>
          <w:sz w:val="24"/>
          <w:szCs w:val="24"/>
        </w:rPr>
        <w:t xml:space="preserve"> with any </w:t>
      </w:r>
      <w:r w:rsidR="00C71958">
        <w:rPr>
          <w:sz w:val="24"/>
          <w:szCs w:val="24"/>
        </w:rPr>
        <w:t>conditions of such exemption,</w:t>
      </w:r>
      <w:r w:rsidRPr="001A1D50" w:rsidR="001A1D50">
        <w:rPr>
          <w:sz w:val="24"/>
          <w:szCs w:val="24"/>
        </w:rPr>
        <w:t xml:space="preserve"> </w:t>
      </w:r>
      <w:r w:rsidR="00BF0D5C">
        <w:rPr>
          <w:sz w:val="24"/>
          <w:szCs w:val="24"/>
        </w:rPr>
        <w:t xml:space="preserve">or </w:t>
      </w:r>
      <w:r w:rsidR="00445B87">
        <w:rPr>
          <w:sz w:val="24"/>
          <w:szCs w:val="24"/>
        </w:rPr>
        <w:t xml:space="preserve">to </w:t>
      </w:r>
      <w:r w:rsidRPr="001A1D50" w:rsidR="001A1D50">
        <w:rPr>
          <w:sz w:val="24"/>
          <w:szCs w:val="24"/>
        </w:rPr>
        <w:t xml:space="preserve">conduct its oversight of U.S. persons and the swaps that are cleared by U.S. persons through the exempt </w:t>
      </w:r>
      <w:r w:rsidR="002756DD">
        <w:rPr>
          <w:sz w:val="24"/>
          <w:szCs w:val="24"/>
        </w:rPr>
        <w:t>DCO</w:t>
      </w:r>
      <w:r w:rsidRPr="001A1D50" w:rsidR="001A1D50">
        <w:rPr>
          <w:sz w:val="24"/>
          <w:szCs w:val="24"/>
        </w:rPr>
        <w:t>.</w:t>
      </w:r>
    </w:p>
    <w:p w:rsidR="007146C4" w:rsidP="005871BF" w14:paraId="64095665" w14:textId="723AEADE">
      <w:pPr>
        <w:tabs>
          <w:tab w:val="left" w:pos="-720"/>
        </w:tabs>
        <w:suppressAutoHyphens/>
        <w:spacing w:after="240"/>
        <w:ind w:left="720" w:hanging="720"/>
        <w:rPr>
          <w:sz w:val="24"/>
          <w:szCs w:val="24"/>
        </w:rPr>
      </w:pPr>
      <w:r w:rsidRPr="00EA30C2">
        <w:rPr>
          <w:b/>
          <w:sz w:val="24"/>
          <w:szCs w:val="24"/>
        </w:rPr>
        <w:t>2.</w:t>
      </w:r>
      <w:r w:rsidRPr="00EA30C2">
        <w:rPr>
          <w:b/>
          <w:sz w:val="24"/>
          <w:szCs w:val="24"/>
        </w:rPr>
        <w:tab/>
        <w:t>Indicate how, by whom, and for what purpose the dat</w:t>
      </w:r>
      <w:r w:rsidRPr="00EA30C2" w:rsidR="009D3548">
        <w:rPr>
          <w:b/>
          <w:sz w:val="24"/>
          <w:szCs w:val="24"/>
        </w:rPr>
        <w:t>a</w:t>
      </w:r>
      <w:r w:rsidRPr="00EA30C2">
        <w:rPr>
          <w:b/>
          <w:sz w:val="24"/>
          <w:szCs w:val="24"/>
        </w:rPr>
        <w:t xml:space="preserve"> would be used.  Except for a new collection, indicate the actual use the agency has made of the information received from the current collection.</w:t>
      </w:r>
    </w:p>
    <w:p w:rsidR="00751746" w:rsidP="005871BF" w14:paraId="55443A4E" w14:textId="75AAC362">
      <w:pPr>
        <w:tabs>
          <w:tab w:val="left" w:pos="-720"/>
        </w:tabs>
        <w:suppressAutoHyphens/>
        <w:spacing w:after="240"/>
        <w:ind w:left="720"/>
        <w:rPr>
          <w:sz w:val="24"/>
          <w:szCs w:val="24"/>
        </w:rPr>
      </w:pPr>
      <w:r>
        <w:rPr>
          <w:sz w:val="24"/>
          <w:szCs w:val="24"/>
        </w:rPr>
        <w:t>T</w:t>
      </w:r>
      <w:r w:rsidR="00591A5E">
        <w:rPr>
          <w:sz w:val="24"/>
          <w:szCs w:val="24"/>
        </w:rPr>
        <w:t xml:space="preserve">he information specified in the </w:t>
      </w:r>
      <w:r w:rsidR="00402A6A">
        <w:rPr>
          <w:sz w:val="24"/>
          <w:szCs w:val="24"/>
        </w:rPr>
        <w:t xml:space="preserve">regulations will </w:t>
      </w:r>
      <w:r w:rsidR="00591A5E">
        <w:rPr>
          <w:sz w:val="24"/>
          <w:szCs w:val="24"/>
        </w:rPr>
        <w:t>be collected</w:t>
      </w:r>
      <w:r w:rsidR="00F47C4E">
        <w:rPr>
          <w:sz w:val="24"/>
          <w:szCs w:val="24"/>
        </w:rPr>
        <w:t xml:space="preserve"> pursu</w:t>
      </w:r>
      <w:r w:rsidR="003806AC">
        <w:rPr>
          <w:sz w:val="24"/>
          <w:szCs w:val="24"/>
        </w:rPr>
        <w:t>ant to Regulation 39.6</w:t>
      </w:r>
      <w:r w:rsidR="00F47C4E">
        <w:rPr>
          <w:sz w:val="24"/>
          <w:szCs w:val="24"/>
        </w:rPr>
        <w:t>(e)</w:t>
      </w:r>
      <w:r w:rsidR="00591A5E">
        <w:rPr>
          <w:sz w:val="24"/>
          <w:szCs w:val="24"/>
        </w:rPr>
        <w:t xml:space="preserve"> in the application process for exemption from DCO registration, and w</w:t>
      </w:r>
      <w:r w:rsidR="006A521B">
        <w:rPr>
          <w:sz w:val="24"/>
          <w:szCs w:val="24"/>
        </w:rPr>
        <w:t xml:space="preserve">ill </w:t>
      </w:r>
      <w:r w:rsidR="00591A5E">
        <w:rPr>
          <w:sz w:val="24"/>
          <w:szCs w:val="24"/>
        </w:rPr>
        <w:t xml:space="preserve">be </w:t>
      </w:r>
      <w:r w:rsidR="00591A5E">
        <w:rPr>
          <w:sz w:val="24"/>
          <w:szCs w:val="24"/>
        </w:rPr>
        <w:t xml:space="preserve">evaluated by Commission staff to determine whether initial eligibility requirements and any other applicable conditions are satisfied.  </w:t>
      </w:r>
      <w:r w:rsidR="0062380D">
        <w:rPr>
          <w:sz w:val="24"/>
          <w:szCs w:val="24"/>
        </w:rPr>
        <w:t>The conditions of exemption specified in Regulation</w:t>
      </w:r>
      <w:r w:rsidR="0098742E">
        <w:rPr>
          <w:sz w:val="24"/>
          <w:szCs w:val="24"/>
        </w:rPr>
        <w:t>s</w:t>
      </w:r>
      <w:r w:rsidR="0062380D">
        <w:rPr>
          <w:sz w:val="24"/>
          <w:szCs w:val="24"/>
        </w:rPr>
        <w:t xml:space="preserve"> 39.6(b)(</w:t>
      </w:r>
      <w:r w:rsidR="008A1422">
        <w:rPr>
          <w:sz w:val="24"/>
          <w:szCs w:val="24"/>
        </w:rPr>
        <w:t>6</w:t>
      </w:r>
      <w:r w:rsidR="0062380D">
        <w:rPr>
          <w:sz w:val="24"/>
          <w:szCs w:val="24"/>
        </w:rPr>
        <w:t>) and (</w:t>
      </w:r>
      <w:r w:rsidR="008A1422">
        <w:rPr>
          <w:sz w:val="24"/>
          <w:szCs w:val="24"/>
        </w:rPr>
        <w:t>7</w:t>
      </w:r>
      <w:r w:rsidR="00402A6A">
        <w:rPr>
          <w:sz w:val="24"/>
          <w:szCs w:val="24"/>
        </w:rPr>
        <w:t xml:space="preserve">) </w:t>
      </w:r>
      <w:r w:rsidR="0062380D">
        <w:rPr>
          <w:sz w:val="24"/>
          <w:szCs w:val="24"/>
        </w:rPr>
        <w:t xml:space="preserve">require annual certification of the exempt DCO’s continued </w:t>
      </w:r>
      <w:r w:rsidR="00414F37">
        <w:rPr>
          <w:sz w:val="24"/>
          <w:szCs w:val="24"/>
        </w:rPr>
        <w:t xml:space="preserve">observance of </w:t>
      </w:r>
      <w:r w:rsidR="0062380D">
        <w:rPr>
          <w:sz w:val="24"/>
          <w:szCs w:val="24"/>
        </w:rPr>
        <w:t xml:space="preserve">the </w:t>
      </w:r>
      <w:r w:rsidRPr="00314A5D" w:rsidR="00314A5D">
        <w:rPr>
          <w:sz w:val="24"/>
          <w:szCs w:val="24"/>
        </w:rPr>
        <w:t xml:space="preserve">Principles for Financial Market Infrastructures </w:t>
      </w:r>
      <w:r w:rsidR="00314A5D">
        <w:rPr>
          <w:sz w:val="24"/>
          <w:szCs w:val="24"/>
        </w:rPr>
        <w:t>(</w:t>
      </w:r>
      <w:r w:rsidR="0062380D">
        <w:rPr>
          <w:sz w:val="24"/>
          <w:szCs w:val="24"/>
        </w:rPr>
        <w:t>PFMIs</w:t>
      </w:r>
      <w:r w:rsidR="00314A5D">
        <w:rPr>
          <w:sz w:val="24"/>
          <w:szCs w:val="24"/>
        </w:rPr>
        <w:t>)</w:t>
      </w:r>
      <w:r w:rsidR="0062380D">
        <w:rPr>
          <w:sz w:val="24"/>
          <w:szCs w:val="24"/>
        </w:rPr>
        <w:t xml:space="preserve"> and good regulatory standing.  </w:t>
      </w:r>
      <w:r w:rsidRPr="00301DD8" w:rsidR="00331C40">
        <w:rPr>
          <w:sz w:val="24"/>
          <w:szCs w:val="24"/>
        </w:rPr>
        <w:t xml:space="preserve">Regulation 39.6(c) sets forth general reporting requirements pursuant to which an exempt DCO </w:t>
      </w:r>
      <w:r w:rsidR="006A521B">
        <w:rPr>
          <w:sz w:val="24"/>
          <w:szCs w:val="24"/>
        </w:rPr>
        <w:t xml:space="preserve">is </w:t>
      </w:r>
      <w:r w:rsidR="00331C40">
        <w:rPr>
          <w:sz w:val="24"/>
          <w:szCs w:val="24"/>
        </w:rPr>
        <w:t xml:space="preserve">required to </w:t>
      </w:r>
      <w:r w:rsidRPr="00301DD8" w:rsidR="00331C40">
        <w:rPr>
          <w:sz w:val="24"/>
          <w:szCs w:val="24"/>
        </w:rPr>
        <w:t>provide certain information directly to the Commission</w:t>
      </w:r>
      <w:r w:rsidRPr="00301DD8" w:rsidR="00331C40">
        <w:rPr>
          <w:sz w:val="24"/>
          <w:szCs w:val="24"/>
        </w:rPr>
        <w:t xml:space="preserve">: </w:t>
      </w:r>
      <w:r>
        <w:rPr>
          <w:sz w:val="24"/>
          <w:szCs w:val="24"/>
        </w:rPr>
        <w:t xml:space="preserve"> </w:t>
      </w:r>
      <w:r w:rsidR="0062380D">
        <w:rPr>
          <w:sz w:val="24"/>
          <w:szCs w:val="24"/>
        </w:rPr>
        <w:t>(</w:t>
      </w:r>
      <w:r w:rsidR="0062380D">
        <w:rPr>
          <w:sz w:val="24"/>
          <w:szCs w:val="24"/>
        </w:rPr>
        <w:t xml:space="preserve">1) on a periodic basis (daily or </w:t>
      </w:r>
      <w:r w:rsidRPr="00301DD8" w:rsidR="00331C40">
        <w:rPr>
          <w:sz w:val="24"/>
          <w:szCs w:val="24"/>
        </w:rPr>
        <w:t xml:space="preserve">quarterly); (2) after the occurrence of a specified event; and (3) upon request by the Commission.  </w:t>
      </w:r>
      <w:r>
        <w:rPr>
          <w:sz w:val="24"/>
          <w:szCs w:val="24"/>
        </w:rPr>
        <w:t xml:space="preserve">Daily </w:t>
      </w:r>
      <w:r w:rsidR="002C124C">
        <w:rPr>
          <w:sz w:val="24"/>
          <w:szCs w:val="24"/>
        </w:rPr>
        <w:t>reports required by t</w:t>
      </w:r>
      <w:r w:rsidRPr="002C124C" w:rsidR="002C124C">
        <w:rPr>
          <w:sz w:val="24"/>
          <w:szCs w:val="24"/>
        </w:rPr>
        <w:t xml:space="preserve">he regulations </w:t>
      </w:r>
      <w:r w:rsidR="002C124C">
        <w:rPr>
          <w:sz w:val="24"/>
          <w:szCs w:val="24"/>
        </w:rPr>
        <w:t xml:space="preserve">include </w:t>
      </w:r>
      <w:r>
        <w:rPr>
          <w:sz w:val="24"/>
          <w:szCs w:val="24"/>
        </w:rPr>
        <w:t>specified margin information fo</w:t>
      </w:r>
      <w:r w:rsidRPr="002C124C" w:rsidR="002C124C">
        <w:rPr>
          <w:sz w:val="24"/>
          <w:szCs w:val="24"/>
        </w:rPr>
        <w:t xml:space="preserve">r </w:t>
      </w:r>
      <w:r>
        <w:rPr>
          <w:sz w:val="24"/>
          <w:szCs w:val="24"/>
        </w:rPr>
        <w:t xml:space="preserve">all clearing members, for U.S. clearing members, and </w:t>
      </w:r>
      <w:r w:rsidRPr="002C124C" w:rsidR="002C124C">
        <w:rPr>
          <w:sz w:val="24"/>
          <w:szCs w:val="24"/>
        </w:rPr>
        <w:t xml:space="preserve">for </w:t>
      </w:r>
      <w:r>
        <w:rPr>
          <w:sz w:val="24"/>
          <w:szCs w:val="24"/>
        </w:rPr>
        <w:t xml:space="preserve">the accounts of </w:t>
      </w:r>
      <w:r w:rsidRPr="002C124C" w:rsidR="002C124C">
        <w:rPr>
          <w:sz w:val="24"/>
          <w:szCs w:val="24"/>
        </w:rPr>
        <w:t>U.S. persons</w:t>
      </w:r>
      <w:r>
        <w:rPr>
          <w:sz w:val="24"/>
          <w:szCs w:val="24"/>
        </w:rPr>
        <w:t xml:space="preserve">.  </w:t>
      </w:r>
      <w:r w:rsidRPr="00751746">
        <w:rPr>
          <w:sz w:val="24"/>
          <w:szCs w:val="24"/>
        </w:rPr>
        <w:t>These reports provide the Commission with information regarding the cash flows associated with U.S. persons clearing swaps through exempt DCOs in order to analyze the risks presented by such U.S. persons and to assess the extent to which U.S. business is being cleared by each exempt DCO.</w:t>
      </w:r>
      <w:r>
        <w:rPr>
          <w:sz w:val="24"/>
          <w:szCs w:val="24"/>
        </w:rPr>
        <w:t xml:space="preserve"> </w:t>
      </w:r>
      <w:r w:rsidR="00F56C11">
        <w:rPr>
          <w:sz w:val="24"/>
          <w:szCs w:val="24"/>
        </w:rPr>
        <w:t xml:space="preserve"> </w:t>
      </w:r>
      <w:r>
        <w:rPr>
          <w:sz w:val="24"/>
          <w:szCs w:val="24"/>
        </w:rPr>
        <w:t>Q</w:t>
      </w:r>
      <w:r w:rsidRPr="002C124C" w:rsidR="002C124C">
        <w:rPr>
          <w:sz w:val="24"/>
          <w:szCs w:val="24"/>
        </w:rPr>
        <w:t xml:space="preserve">uarterly reporting </w:t>
      </w:r>
      <w:r>
        <w:rPr>
          <w:sz w:val="24"/>
          <w:szCs w:val="24"/>
        </w:rPr>
        <w:t>include</w:t>
      </w:r>
      <w:r w:rsidR="006A521B">
        <w:rPr>
          <w:sz w:val="24"/>
          <w:szCs w:val="24"/>
        </w:rPr>
        <w:t>s</w:t>
      </w:r>
      <w:r>
        <w:rPr>
          <w:sz w:val="24"/>
          <w:szCs w:val="24"/>
        </w:rPr>
        <w:t xml:space="preserve"> a list o</w:t>
      </w:r>
      <w:r w:rsidR="00DF62F3">
        <w:rPr>
          <w:sz w:val="24"/>
          <w:szCs w:val="24"/>
        </w:rPr>
        <w:t>f U.S. persons</w:t>
      </w:r>
      <w:r w:rsidR="0098742E">
        <w:rPr>
          <w:sz w:val="24"/>
          <w:szCs w:val="24"/>
        </w:rPr>
        <w:t xml:space="preserve"> </w:t>
      </w:r>
      <w:r w:rsidRPr="0098742E" w:rsidR="0098742E">
        <w:rPr>
          <w:sz w:val="24"/>
          <w:szCs w:val="24"/>
        </w:rPr>
        <w:t xml:space="preserve">and </w:t>
      </w:r>
      <w:r>
        <w:rPr>
          <w:sz w:val="24"/>
          <w:szCs w:val="24"/>
        </w:rPr>
        <w:t xml:space="preserve">FCMs </w:t>
      </w:r>
      <w:r w:rsidRPr="0098742E" w:rsidR="0098742E">
        <w:rPr>
          <w:sz w:val="24"/>
          <w:szCs w:val="24"/>
        </w:rPr>
        <w:t>that are either clearing members or affiliates of any clearing member, with respect to the clearing of swaps, as of the last day of the fiscal quarter</w:t>
      </w:r>
      <w:r w:rsidR="0062380D">
        <w:rPr>
          <w:sz w:val="24"/>
          <w:szCs w:val="24"/>
        </w:rPr>
        <w:t>.</w:t>
      </w:r>
      <w:r w:rsidR="0098742E">
        <w:rPr>
          <w:sz w:val="24"/>
          <w:szCs w:val="24"/>
        </w:rPr>
        <w:t xml:space="preserve"> </w:t>
      </w:r>
    </w:p>
    <w:p w:rsidR="00301DD8" w:rsidRPr="00301DD8" w:rsidP="005871BF" w14:paraId="3041ABFC" w14:textId="77777777">
      <w:pPr>
        <w:tabs>
          <w:tab w:val="left" w:pos="-720"/>
        </w:tabs>
        <w:suppressAutoHyphens/>
        <w:spacing w:after="240"/>
        <w:ind w:left="720"/>
        <w:rPr>
          <w:sz w:val="24"/>
          <w:szCs w:val="24"/>
        </w:rPr>
      </w:pPr>
      <w:r>
        <w:rPr>
          <w:sz w:val="24"/>
          <w:szCs w:val="24"/>
        </w:rPr>
        <w:t>I</w:t>
      </w:r>
      <w:r w:rsidRPr="00301DD8" w:rsidR="00331C40">
        <w:rPr>
          <w:sz w:val="24"/>
          <w:szCs w:val="24"/>
        </w:rPr>
        <w:t xml:space="preserve">nformation </w:t>
      </w:r>
      <w:r w:rsidR="002578A3">
        <w:rPr>
          <w:sz w:val="24"/>
          <w:szCs w:val="24"/>
        </w:rPr>
        <w:t xml:space="preserve">that </w:t>
      </w:r>
      <w:r w:rsidR="006A521B">
        <w:rPr>
          <w:sz w:val="24"/>
          <w:szCs w:val="24"/>
        </w:rPr>
        <w:t xml:space="preserve">is </w:t>
      </w:r>
      <w:r>
        <w:rPr>
          <w:sz w:val="24"/>
          <w:szCs w:val="24"/>
        </w:rPr>
        <w:t xml:space="preserve">required by </w:t>
      </w:r>
      <w:r w:rsidR="0062380D">
        <w:rPr>
          <w:sz w:val="24"/>
          <w:szCs w:val="24"/>
        </w:rPr>
        <w:t>these r</w:t>
      </w:r>
      <w:r>
        <w:rPr>
          <w:sz w:val="24"/>
          <w:szCs w:val="24"/>
        </w:rPr>
        <w:t>egulation</w:t>
      </w:r>
      <w:r w:rsidR="0062380D">
        <w:rPr>
          <w:sz w:val="24"/>
          <w:szCs w:val="24"/>
        </w:rPr>
        <w:t>s</w:t>
      </w:r>
      <w:r>
        <w:rPr>
          <w:sz w:val="24"/>
          <w:szCs w:val="24"/>
        </w:rPr>
        <w:t xml:space="preserve"> </w:t>
      </w:r>
      <w:r w:rsidRPr="00301DD8" w:rsidR="00331C40">
        <w:rPr>
          <w:sz w:val="24"/>
          <w:szCs w:val="24"/>
        </w:rPr>
        <w:t>may be used by the Commission, among other things, for the purposes of evaluating the continued eligibility of the exempt DCO for exemption, reviewing the exempt DCO’s compliance with any conditions of its exemption, or conducting oversight of U.S. persons and the swaps that are cleared by U.S. persons through the exempt DCO.</w:t>
      </w:r>
      <w:r w:rsidRPr="001A1D50" w:rsidR="007125DD">
        <w:rPr>
          <w:sz w:val="24"/>
          <w:szCs w:val="24"/>
        </w:rPr>
        <w:t xml:space="preserve"> </w:t>
      </w:r>
      <w:r w:rsidR="00771824">
        <w:rPr>
          <w:sz w:val="24"/>
          <w:szCs w:val="24"/>
        </w:rPr>
        <w:t xml:space="preserve"> Information regarding requests for termination of exemption and notice to clearing participants of such termination </w:t>
      </w:r>
      <w:r w:rsidR="006A521B">
        <w:rPr>
          <w:sz w:val="24"/>
          <w:szCs w:val="24"/>
        </w:rPr>
        <w:t xml:space="preserve">is </w:t>
      </w:r>
      <w:r w:rsidR="00771824">
        <w:rPr>
          <w:sz w:val="24"/>
          <w:szCs w:val="24"/>
        </w:rPr>
        <w:t xml:space="preserve">required by </w:t>
      </w:r>
      <w:r w:rsidR="00F56C11">
        <w:rPr>
          <w:sz w:val="24"/>
          <w:szCs w:val="24"/>
        </w:rPr>
        <w:t>Re</w:t>
      </w:r>
      <w:r w:rsidR="00771824">
        <w:rPr>
          <w:sz w:val="24"/>
          <w:szCs w:val="24"/>
        </w:rPr>
        <w:t xml:space="preserve">gulations 39.6(g) and (h), respectively.  This information </w:t>
      </w:r>
      <w:r w:rsidR="00D82D06">
        <w:rPr>
          <w:sz w:val="24"/>
          <w:szCs w:val="24"/>
        </w:rPr>
        <w:t xml:space="preserve">will </w:t>
      </w:r>
      <w:r w:rsidR="00771824">
        <w:rPr>
          <w:sz w:val="24"/>
          <w:szCs w:val="24"/>
        </w:rPr>
        <w:t xml:space="preserve">be used by the Commission to determine whether the exempt DCO meets criteria for termination and that the swap positions and collateral of U.S. participants are handled appropriately.  </w:t>
      </w:r>
      <w:r w:rsidR="00F05373">
        <w:rPr>
          <w:sz w:val="24"/>
          <w:szCs w:val="24"/>
        </w:rPr>
        <w:t xml:space="preserve"> </w:t>
      </w:r>
    </w:p>
    <w:p w:rsidR="003B2AD2" w:rsidRPr="00EA30C2" w:rsidP="005871BF" w14:paraId="71B2499F" w14:textId="77777777">
      <w:pPr>
        <w:tabs>
          <w:tab w:val="left" w:pos="-720"/>
          <w:tab w:val="left" w:pos="0"/>
        </w:tabs>
        <w:suppressAutoHyphens/>
        <w:spacing w:after="240"/>
        <w:ind w:left="720" w:hanging="720"/>
        <w:rPr>
          <w:b/>
          <w:sz w:val="24"/>
          <w:szCs w:val="24"/>
        </w:rPr>
      </w:pPr>
      <w:r w:rsidRPr="00EA30C2">
        <w:rPr>
          <w:b/>
          <w:sz w:val="24"/>
          <w:szCs w:val="24"/>
        </w:rPr>
        <w:t>3.</w:t>
      </w:r>
      <w:r w:rsidRPr="00EA30C2">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B2AD2" w:rsidP="005871BF" w14:paraId="4674FF23" w14:textId="77777777">
      <w:pPr>
        <w:tabs>
          <w:tab w:val="left" w:pos="-720"/>
        </w:tabs>
        <w:suppressAutoHyphens/>
        <w:spacing w:after="240"/>
        <w:ind w:left="720"/>
        <w:rPr>
          <w:sz w:val="24"/>
          <w:szCs w:val="24"/>
        </w:rPr>
      </w:pPr>
      <w:r w:rsidRPr="00C059F4">
        <w:rPr>
          <w:sz w:val="24"/>
          <w:szCs w:val="24"/>
        </w:rPr>
        <w:t xml:space="preserve">The information </w:t>
      </w:r>
      <w:r w:rsidR="0062380D">
        <w:rPr>
          <w:sz w:val="24"/>
          <w:szCs w:val="24"/>
        </w:rPr>
        <w:t xml:space="preserve">required by this </w:t>
      </w:r>
      <w:r w:rsidRPr="00C059F4">
        <w:rPr>
          <w:sz w:val="24"/>
          <w:szCs w:val="24"/>
        </w:rPr>
        <w:t>collection is required to be filed electronically.</w:t>
      </w:r>
    </w:p>
    <w:p w:rsidR="003B2AD2" w:rsidRPr="00EA30C2" w:rsidP="005871BF" w14:paraId="15CE0C75" w14:textId="77777777">
      <w:pPr>
        <w:tabs>
          <w:tab w:val="left" w:pos="-720"/>
          <w:tab w:val="left" w:pos="0"/>
        </w:tabs>
        <w:suppressAutoHyphens/>
        <w:spacing w:after="240"/>
        <w:ind w:left="720" w:hanging="720"/>
        <w:rPr>
          <w:b/>
          <w:sz w:val="24"/>
          <w:szCs w:val="24"/>
        </w:rPr>
      </w:pPr>
      <w:r w:rsidRPr="00EA30C2">
        <w:rPr>
          <w:b/>
          <w:sz w:val="24"/>
          <w:szCs w:val="24"/>
        </w:rPr>
        <w:t>4.</w:t>
      </w:r>
      <w:r w:rsidRPr="00EA30C2">
        <w:rPr>
          <w:b/>
          <w:sz w:val="24"/>
          <w:szCs w:val="24"/>
        </w:rPr>
        <w:tab/>
        <w:t>Describe efforts to identify duplication.  Show specifically why any similar information already available cannot be used or modified for use for the purposes described in Item 2 above.</w:t>
      </w:r>
    </w:p>
    <w:p w:rsidR="003B2AD2" w:rsidRPr="003B2AD2" w:rsidP="005871BF" w14:paraId="33646FF6" w14:textId="0A36F34E">
      <w:pPr>
        <w:tabs>
          <w:tab w:val="left" w:pos="-720"/>
        </w:tabs>
        <w:suppressAutoHyphens/>
        <w:spacing w:after="240"/>
        <w:ind w:left="720"/>
        <w:rPr>
          <w:sz w:val="24"/>
          <w:szCs w:val="24"/>
        </w:rPr>
      </w:pPr>
      <w:r w:rsidRPr="001F3335">
        <w:rPr>
          <w:sz w:val="24"/>
          <w:szCs w:val="24"/>
        </w:rPr>
        <w:t xml:space="preserve">To the maximum extent possible, the information collection was designed to avoid duplication. </w:t>
      </w:r>
      <w:r>
        <w:rPr>
          <w:sz w:val="24"/>
          <w:szCs w:val="24"/>
        </w:rPr>
        <w:t xml:space="preserve"> </w:t>
      </w:r>
      <w:r w:rsidRPr="001F3335">
        <w:rPr>
          <w:sz w:val="24"/>
          <w:szCs w:val="24"/>
        </w:rPr>
        <w:t xml:space="preserve">In all cases where it was possible to leverage information collections contained in other rulemakings, the Commission elected not to impose collections that would increase burden. </w:t>
      </w:r>
      <w:r>
        <w:rPr>
          <w:sz w:val="24"/>
          <w:szCs w:val="24"/>
        </w:rPr>
        <w:t xml:space="preserve"> </w:t>
      </w:r>
      <w:r w:rsidR="00D7684D">
        <w:rPr>
          <w:sz w:val="24"/>
          <w:szCs w:val="24"/>
        </w:rPr>
        <w:t>T</w:t>
      </w:r>
      <w:r w:rsidRPr="001F3335">
        <w:rPr>
          <w:sz w:val="24"/>
          <w:szCs w:val="24"/>
        </w:rPr>
        <w:t>he required information is not already collected by the Commission for any other purpose, collected by any other agency, or available for public disclosure through any other source.</w:t>
      </w:r>
      <w:r w:rsidRPr="00C059F4" w:rsidR="00C059F4">
        <w:rPr>
          <w:sz w:val="24"/>
          <w:szCs w:val="24"/>
        </w:rPr>
        <w:t xml:space="preserve"> </w:t>
      </w:r>
      <w:r w:rsidR="00D953FC">
        <w:rPr>
          <w:sz w:val="24"/>
          <w:szCs w:val="24"/>
        </w:rPr>
        <w:t xml:space="preserve"> </w:t>
      </w:r>
      <w:r w:rsidRPr="00C059F4" w:rsidR="00C059F4">
        <w:rPr>
          <w:sz w:val="24"/>
          <w:szCs w:val="24"/>
        </w:rPr>
        <w:t>Each different type of information is needed given the purposes for which the data will be used</w:t>
      </w:r>
      <w:r>
        <w:rPr>
          <w:sz w:val="24"/>
          <w:szCs w:val="24"/>
        </w:rPr>
        <w:t>, stated above in Questions 1 and 2</w:t>
      </w:r>
      <w:r w:rsidRPr="00C059F4" w:rsidR="00C059F4">
        <w:rPr>
          <w:sz w:val="24"/>
          <w:szCs w:val="24"/>
        </w:rPr>
        <w:t>.</w:t>
      </w:r>
    </w:p>
    <w:p w:rsidR="003B2AD2" w:rsidRPr="00EA30C2" w:rsidP="005871BF" w14:paraId="2F28105A" w14:textId="52232DB2">
      <w:pPr>
        <w:tabs>
          <w:tab w:val="left" w:pos="-720"/>
          <w:tab w:val="left" w:pos="0"/>
        </w:tabs>
        <w:suppressAutoHyphens/>
        <w:spacing w:after="240"/>
        <w:ind w:left="720" w:hanging="720"/>
        <w:rPr>
          <w:b/>
          <w:sz w:val="24"/>
          <w:szCs w:val="24"/>
        </w:rPr>
      </w:pPr>
      <w:r w:rsidRPr="00EA30C2">
        <w:rPr>
          <w:b/>
          <w:sz w:val="24"/>
          <w:szCs w:val="24"/>
        </w:rPr>
        <w:t>5.</w:t>
      </w:r>
      <w:r w:rsidRPr="00EA30C2">
        <w:rPr>
          <w:b/>
          <w:sz w:val="24"/>
          <w:szCs w:val="24"/>
        </w:rPr>
        <w:tab/>
        <w:t>If the collection of information involves small business or other small entities (Item 5 of OMB F</w:t>
      </w:r>
      <w:r w:rsidRPr="00EA30C2" w:rsidR="00EA30C2">
        <w:rPr>
          <w:b/>
          <w:sz w:val="24"/>
          <w:szCs w:val="24"/>
        </w:rPr>
        <w:t>or</w:t>
      </w:r>
      <w:r w:rsidRPr="00EA30C2">
        <w:rPr>
          <w:b/>
          <w:sz w:val="24"/>
          <w:szCs w:val="24"/>
        </w:rPr>
        <w:t>m 83-I), describe the methods used to minimize burden.</w:t>
      </w:r>
    </w:p>
    <w:p w:rsidR="003B2AD2" w:rsidRPr="003B2AD2" w:rsidP="005871BF" w14:paraId="64E69C85" w14:textId="33168D2D">
      <w:pPr>
        <w:tabs>
          <w:tab w:val="left" w:pos="-720"/>
        </w:tabs>
        <w:suppressAutoHyphens/>
        <w:spacing w:after="240"/>
        <w:ind w:left="720"/>
        <w:rPr>
          <w:sz w:val="24"/>
          <w:szCs w:val="24"/>
        </w:rPr>
      </w:pPr>
      <w:r>
        <w:rPr>
          <w:sz w:val="24"/>
          <w:szCs w:val="24"/>
        </w:rPr>
        <w:t>The information</w:t>
      </w:r>
      <w:r w:rsidR="00C33318">
        <w:rPr>
          <w:sz w:val="24"/>
          <w:szCs w:val="24"/>
        </w:rPr>
        <w:t xml:space="preserve"> </w:t>
      </w:r>
      <w:r w:rsidR="00867F95">
        <w:rPr>
          <w:sz w:val="24"/>
          <w:szCs w:val="24"/>
        </w:rPr>
        <w:t xml:space="preserve">collection </w:t>
      </w:r>
      <w:r>
        <w:rPr>
          <w:sz w:val="24"/>
          <w:szCs w:val="24"/>
        </w:rPr>
        <w:t xml:space="preserve">does not involve any small </w:t>
      </w:r>
      <w:r w:rsidR="001313D2">
        <w:rPr>
          <w:sz w:val="24"/>
          <w:szCs w:val="24"/>
        </w:rPr>
        <w:t>businesses or other small entities</w:t>
      </w:r>
      <w:r>
        <w:rPr>
          <w:sz w:val="24"/>
          <w:szCs w:val="24"/>
        </w:rPr>
        <w:t>.</w:t>
      </w:r>
    </w:p>
    <w:p w:rsidR="0079131B" w:rsidP="005871BF" w14:paraId="02B3C27A" w14:textId="10DB58AE">
      <w:pPr>
        <w:tabs>
          <w:tab w:val="left" w:pos="-720"/>
          <w:tab w:val="left" w:pos="0"/>
        </w:tabs>
        <w:suppressAutoHyphens/>
        <w:spacing w:after="240"/>
        <w:ind w:left="720" w:hanging="720"/>
        <w:rPr>
          <w:sz w:val="24"/>
          <w:szCs w:val="24"/>
        </w:rPr>
      </w:pPr>
      <w:r w:rsidRPr="00EA30C2">
        <w:rPr>
          <w:b/>
          <w:sz w:val="24"/>
          <w:szCs w:val="24"/>
        </w:rPr>
        <w:t>6.</w:t>
      </w:r>
      <w:r w:rsidRPr="00EA30C2">
        <w:rPr>
          <w:b/>
          <w:sz w:val="24"/>
          <w:szCs w:val="24"/>
        </w:rPr>
        <w:tab/>
        <w:t>Describe the consequence to the Federal Program or policy activities if the collection were conducted less frequently as well as any technical or legal obstacles to reducing burden.</w:t>
      </w:r>
    </w:p>
    <w:p w:rsidR="003B2AD2" w:rsidRPr="003B2AD2" w:rsidP="00487DDC" w14:paraId="242B2C58" w14:textId="0CEB41F5">
      <w:pPr>
        <w:tabs>
          <w:tab w:val="left" w:pos="-720"/>
        </w:tabs>
        <w:suppressAutoHyphens/>
        <w:spacing w:after="240"/>
        <w:ind w:left="720"/>
        <w:rPr>
          <w:sz w:val="24"/>
          <w:szCs w:val="24"/>
        </w:rPr>
      </w:pPr>
      <w:r>
        <w:rPr>
          <w:sz w:val="24"/>
          <w:szCs w:val="24"/>
        </w:rPr>
        <w:t xml:space="preserve">If the collections were conducted less frequently, the </w:t>
      </w:r>
      <w:r w:rsidR="00230835">
        <w:rPr>
          <w:sz w:val="24"/>
          <w:szCs w:val="24"/>
        </w:rPr>
        <w:t xml:space="preserve">Commission would not have sufficient information to ascertain whether </w:t>
      </w:r>
      <w:r w:rsidR="00462476">
        <w:rPr>
          <w:sz w:val="24"/>
          <w:szCs w:val="24"/>
        </w:rPr>
        <w:t>exempt DCOs</w:t>
      </w:r>
      <w:r w:rsidR="00230835">
        <w:rPr>
          <w:sz w:val="24"/>
          <w:szCs w:val="24"/>
        </w:rPr>
        <w:t xml:space="preserve"> </w:t>
      </w:r>
      <w:r w:rsidR="00230835">
        <w:rPr>
          <w:sz w:val="24"/>
          <w:szCs w:val="24"/>
        </w:rPr>
        <w:t xml:space="preserve">are </w:t>
      </w:r>
      <w:r>
        <w:rPr>
          <w:sz w:val="24"/>
          <w:szCs w:val="24"/>
        </w:rPr>
        <w:t>in compliance with</w:t>
      </w:r>
      <w:r>
        <w:rPr>
          <w:sz w:val="24"/>
          <w:szCs w:val="24"/>
        </w:rPr>
        <w:t xml:space="preserve"> </w:t>
      </w:r>
      <w:r w:rsidR="00230835">
        <w:rPr>
          <w:sz w:val="24"/>
          <w:szCs w:val="24"/>
        </w:rPr>
        <w:t>the conditions of their exempti</w:t>
      </w:r>
      <w:r w:rsidR="00B939F9">
        <w:rPr>
          <w:sz w:val="24"/>
          <w:szCs w:val="24"/>
        </w:rPr>
        <w:t xml:space="preserve">on from DCO registration, </w:t>
      </w:r>
      <w:r w:rsidR="00230835">
        <w:rPr>
          <w:sz w:val="24"/>
          <w:szCs w:val="24"/>
        </w:rPr>
        <w:t xml:space="preserve">including </w:t>
      </w:r>
      <w:r w:rsidR="00B939F9">
        <w:rPr>
          <w:sz w:val="24"/>
          <w:szCs w:val="24"/>
        </w:rPr>
        <w:t>certain obligations with respect to U</w:t>
      </w:r>
      <w:r w:rsidR="00462476">
        <w:rPr>
          <w:sz w:val="24"/>
          <w:szCs w:val="24"/>
        </w:rPr>
        <w:t>.</w:t>
      </w:r>
      <w:r w:rsidR="00B939F9">
        <w:rPr>
          <w:sz w:val="24"/>
          <w:szCs w:val="24"/>
        </w:rPr>
        <w:t>S</w:t>
      </w:r>
      <w:r w:rsidR="00462476">
        <w:rPr>
          <w:sz w:val="24"/>
          <w:szCs w:val="24"/>
        </w:rPr>
        <w:t>.</w:t>
      </w:r>
      <w:r w:rsidR="00B939F9">
        <w:rPr>
          <w:sz w:val="24"/>
          <w:szCs w:val="24"/>
        </w:rPr>
        <w:t xml:space="preserve"> persons </w:t>
      </w:r>
      <w:r w:rsidR="00D7684D">
        <w:rPr>
          <w:sz w:val="24"/>
          <w:szCs w:val="24"/>
        </w:rPr>
        <w:t>clearing</w:t>
      </w:r>
      <w:r w:rsidR="00B939F9">
        <w:rPr>
          <w:sz w:val="24"/>
          <w:szCs w:val="24"/>
        </w:rPr>
        <w:t xml:space="preserve"> swaps</w:t>
      </w:r>
      <w:r w:rsidR="00BF0D5C">
        <w:rPr>
          <w:sz w:val="24"/>
          <w:szCs w:val="24"/>
        </w:rPr>
        <w:t>.</w:t>
      </w:r>
    </w:p>
    <w:p w:rsidR="003B2AD2" w:rsidRPr="00487DDC" w:rsidP="005871BF" w14:paraId="2750EA63" w14:textId="77777777">
      <w:pPr>
        <w:tabs>
          <w:tab w:val="left" w:pos="-720"/>
          <w:tab w:val="left" w:pos="0"/>
        </w:tabs>
        <w:suppressAutoHyphens/>
        <w:spacing w:after="240"/>
        <w:ind w:left="720" w:hanging="720"/>
        <w:rPr>
          <w:b/>
          <w:sz w:val="24"/>
          <w:szCs w:val="24"/>
        </w:rPr>
      </w:pPr>
      <w:r w:rsidRPr="00E37C10">
        <w:rPr>
          <w:b/>
          <w:sz w:val="24"/>
          <w:szCs w:val="24"/>
        </w:rPr>
        <w:t>7.</w:t>
      </w:r>
      <w:r w:rsidRPr="00E37C10">
        <w:rPr>
          <w:b/>
          <w:sz w:val="24"/>
          <w:szCs w:val="24"/>
        </w:rPr>
        <w:tab/>
      </w:r>
      <w:r w:rsidRPr="00487DDC">
        <w:rPr>
          <w:b/>
          <w:sz w:val="24"/>
          <w:szCs w:val="24"/>
        </w:rPr>
        <w:t>Explain any special circumstances that require the collection to be conducted in a manner:</w:t>
      </w:r>
    </w:p>
    <w:p w:rsidR="003B2AD2" w:rsidRPr="00487DDC" w:rsidP="005871BF" w14:paraId="3D818B6B" w14:textId="77777777">
      <w:pPr>
        <w:tabs>
          <w:tab w:val="left" w:pos="-720"/>
          <w:tab w:val="left" w:pos="0"/>
          <w:tab w:val="left" w:pos="720"/>
        </w:tabs>
        <w:suppressAutoHyphens/>
        <w:spacing w:after="240"/>
        <w:ind w:left="1440" w:hanging="1440"/>
        <w:rPr>
          <w:sz w:val="24"/>
          <w:szCs w:val="24"/>
        </w:rPr>
      </w:pPr>
      <w:r w:rsidRPr="00487DDC">
        <w:rPr>
          <w:sz w:val="24"/>
          <w:szCs w:val="24"/>
        </w:rPr>
        <w:tab/>
        <w:t>-</w:t>
      </w:r>
      <w:r w:rsidRPr="00487DDC">
        <w:rPr>
          <w:sz w:val="24"/>
          <w:szCs w:val="24"/>
        </w:rPr>
        <w:tab/>
      </w:r>
      <w:r w:rsidRPr="00487DDC">
        <w:rPr>
          <w:b/>
          <w:sz w:val="24"/>
          <w:szCs w:val="24"/>
        </w:rPr>
        <w:t>requiring respondents to report information to the agency more often than quarterly;</w:t>
      </w:r>
    </w:p>
    <w:p w:rsidR="00E93E6A" w:rsidRPr="006C6E3E" w:rsidP="005871BF" w14:paraId="623C6CA4" w14:textId="779C898C">
      <w:pPr>
        <w:tabs>
          <w:tab w:val="left" w:pos="-720"/>
        </w:tabs>
        <w:suppressAutoHyphens/>
        <w:spacing w:after="240"/>
        <w:ind w:left="1440"/>
        <w:rPr>
          <w:sz w:val="24"/>
          <w:szCs w:val="24"/>
        </w:rPr>
      </w:pPr>
      <w:r w:rsidRPr="009D712B">
        <w:rPr>
          <w:sz w:val="24"/>
          <w:szCs w:val="24"/>
        </w:rPr>
        <w:t xml:space="preserve">The </w:t>
      </w:r>
      <w:r w:rsidR="006A521B">
        <w:rPr>
          <w:sz w:val="24"/>
          <w:szCs w:val="24"/>
        </w:rPr>
        <w:t>r</w:t>
      </w:r>
      <w:r w:rsidRPr="009D712B">
        <w:rPr>
          <w:sz w:val="24"/>
          <w:szCs w:val="24"/>
        </w:rPr>
        <w:t>ules require daily reporting of certain margin data for the swap positions of U.S. persons.  The purpose of this reporting is for the Commission to receive information regarding the cash flows associated with the clearing of swaps by U.S. persons through exempt DCOs in order to assist the Commission in analyzing the risks presented by such U.S. persons and in assessing the extent of U.S. business that is being cleared by each exempt DCO.</w:t>
      </w:r>
    </w:p>
    <w:p w:rsidR="003B2AD2" w:rsidRPr="00487DDC" w:rsidP="005871BF" w14:paraId="585510EE" w14:textId="77777777">
      <w:pPr>
        <w:tabs>
          <w:tab w:val="left" w:pos="-720"/>
          <w:tab w:val="left" w:pos="0"/>
          <w:tab w:val="left" w:pos="720"/>
        </w:tabs>
        <w:suppressAutoHyphens/>
        <w:spacing w:after="240"/>
        <w:ind w:left="1440" w:hanging="1440"/>
        <w:rPr>
          <w:sz w:val="24"/>
          <w:szCs w:val="24"/>
        </w:rPr>
      </w:pPr>
      <w:r w:rsidRPr="003B2AD2">
        <w:rPr>
          <w:sz w:val="24"/>
          <w:szCs w:val="24"/>
        </w:rPr>
        <w:tab/>
        <w:t>-</w:t>
      </w:r>
      <w:r w:rsidRPr="003B2AD2">
        <w:rPr>
          <w:sz w:val="24"/>
          <w:szCs w:val="24"/>
        </w:rPr>
        <w:tab/>
      </w:r>
      <w:r w:rsidRPr="00487DDC">
        <w:rPr>
          <w:b/>
          <w:sz w:val="24"/>
          <w:szCs w:val="24"/>
        </w:rPr>
        <w:t>requiring respondents to prepare a written response to a collection of information in fewer than 30 days after receipt of it:</w:t>
      </w:r>
    </w:p>
    <w:p w:rsidR="00B35608" w:rsidP="005871BF" w14:paraId="460C899A" w14:textId="25DBC5A8">
      <w:pPr>
        <w:tabs>
          <w:tab w:val="left" w:pos="-720"/>
          <w:tab w:val="left" w:pos="0"/>
          <w:tab w:val="left" w:pos="720"/>
        </w:tabs>
        <w:suppressAutoHyphens/>
        <w:spacing w:after="240"/>
        <w:ind w:left="1440"/>
        <w:rPr>
          <w:sz w:val="24"/>
          <w:szCs w:val="24"/>
        </w:rPr>
      </w:pPr>
      <w:r>
        <w:rPr>
          <w:sz w:val="24"/>
          <w:szCs w:val="24"/>
        </w:rPr>
        <w:t>I</w:t>
      </w:r>
      <w:r w:rsidR="00244FC4">
        <w:rPr>
          <w:sz w:val="24"/>
          <w:szCs w:val="24"/>
        </w:rPr>
        <w:t>n</w:t>
      </w:r>
      <w:r w:rsidRPr="00B35608" w:rsidR="00244FC4">
        <w:rPr>
          <w:sz w:val="24"/>
          <w:szCs w:val="24"/>
        </w:rPr>
        <w:t xml:space="preserve"> order for the Commission to assess adequately whether a</w:t>
      </w:r>
      <w:r>
        <w:rPr>
          <w:sz w:val="24"/>
          <w:szCs w:val="24"/>
        </w:rPr>
        <w:t xml:space="preserve">n exempt </w:t>
      </w:r>
      <w:r w:rsidRPr="00B35608" w:rsidR="00244FC4">
        <w:rPr>
          <w:sz w:val="24"/>
          <w:szCs w:val="24"/>
        </w:rPr>
        <w:t xml:space="preserve">DCO </w:t>
      </w:r>
      <w:r w:rsidRPr="00B35608" w:rsidR="00244FC4">
        <w:rPr>
          <w:sz w:val="24"/>
          <w:szCs w:val="24"/>
        </w:rPr>
        <w:t xml:space="preserve">is in compliance </w:t>
      </w:r>
      <w:r>
        <w:rPr>
          <w:sz w:val="24"/>
          <w:szCs w:val="24"/>
        </w:rPr>
        <w:t>with</w:t>
      </w:r>
      <w:r>
        <w:rPr>
          <w:sz w:val="24"/>
          <w:szCs w:val="24"/>
        </w:rPr>
        <w:t xml:space="preserve"> the terms and conditions of its exemption or </w:t>
      </w:r>
      <w:r w:rsidR="00462476">
        <w:rPr>
          <w:sz w:val="24"/>
          <w:szCs w:val="24"/>
        </w:rPr>
        <w:t xml:space="preserve">applicable </w:t>
      </w:r>
      <w:r w:rsidR="00244FC4">
        <w:rPr>
          <w:sz w:val="24"/>
          <w:szCs w:val="24"/>
        </w:rPr>
        <w:t>Commission regulations</w:t>
      </w:r>
      <w:r w:rsidRPr="00B35608" w:rsidR="00244FC4">
        <w:rPr>
          <w:sz w:val="24"/>
          <w:szCs w:val="24"/>
        </w:rPr>
        <w:t>, a</w:t>
      </w:r>
      <w:r>
        <w:rPr>
          <w:sz w:val="24"/>
          <w:szCs w:val="24"/>
        </w:rPr>
        <w:t xml:space="preserve">n exempt </w:t>
      </w:r>
      <w:r w:rsidRPr="00B35608" w:rsidR="00244FC4">
        <w:rPr>
          <w:sz w:val="24"/>
          <w:szCs w:val="24"/>
        </w:rPr>
        <w:t>DCO might be required to prepare a written response to a collection of information in fewer than 30 days</w:t>
      </w:r>
      <w:r w:rsidR="00244FC4">
        <w:rPr>
          <w:sz w:val="24"/>
          <w:szCs w:val="24"/>
        </w:rPr>
        <w:t>,</w:t>
      </w:r>
      <w:r w:rsidRPr="00B35608" w:rsidR="00244FC4">
        <w:rPr>
          <w:sz w:val="24"/>
          <w:szCs w:val="24"/>
        </w:rPr>
        <w:t xml:space="preserve"> depending on the exigency of the situation.</w:t>
      </w:r>
    </w:p>
    <w:p w:rsidR="003B2AD2" w:rsidP="005871BF" w14:paraId="45E0E97E" w14:textId="77777777">
      <w:pPr>
        <w:tabs>
          <w:tab w:val="left" w:pos="-720"/>
          <w:tab w:val="left" w:pos="0"/>
          <w:tab w:val="left" w:pos="720"/>
        </w:tabs>
        <w:suppressAutoHyphens/>
        <w:spacing w:after="240"/>
        <w:ind w:left="1440" w:hanging="1440"/>
        <w:rPr>
          <w:sz w:val="24"/>
          <w:szCs w:val="24"/>
        </w:rPr>
      </w:pPr>
      <w:r w:rsidRPr="003B2AD2">
        <w:rPr>
          <w:sz w:val="24"/>
          <w:szCs w:val="24"/>
        </w:rPr>
        <w:tab/>
        <w:t>-</w:t>
      </w:r>
      <w:r w:rsidRPr="003B2AD2">
        <w:rPr>
          <w:sz w:val="24"/>
          <w:szCs w:val="24"/>
        </w:rPr>
        <w:tab/>
      </w:r>
      <w:r w:rsidRPr="00487DDC">
        <w:rPr>
          <w:b/>
          <w:sz w:val="24"/>
          <w:szCs w:val="24"/>
        </w:rPr>
        <w:t>requiring respondents to submit more that an original and two copies of any document;</w:t>
      </w:r>
    </w:p>
    <w:p w:rsidR="008E5344" w:rsidP="005871BF" w14:paraId="6A516C7E" w14:textId="11122100">
      <w:pPr>
        <w:tabs>
          <w:tab w:val="left" w:pos="-720"/>
          <w:tab w:val="left" w:pos="0"/>
          <w:tab w:val="left" w:pos="720"/>
        </w:tabs>
        <w:suppressAutoHyphens/>
        <w:spacing w:after="240"/>
        <w:ind w:left="1440" w:hanging="1440"/>
        <w:rPr>
          <w:sz w:val="24"/>
          <w:szCs w:val="24"/>
        </w:rPr>
      </w:pPr>
      <w:r>
        <w:rPr>
          <w:sz w:val="24"/>
          <w:szCs w:val="24"/>
        </w:rPr>
        <w:tab/>
      </w:r>
      <w:r>
        <w:rPr>
          <w:sz w:val="24"/>
          <w:szCs w:val="24"/>
        </w:rPr>
        <w:tab/>
      </w:r>
      <w:r>
        <w:rPr>
          <w:sz w:val="24"/>
          <w:szCs w:val="24"/>
        </w:rPr>
        <w:t>O</w:t>
      </w:r>
      <w:r w:rsidRPr="00B35608" w:rsidR="00B35608">
        <w:rPr>
          <w:sz w:val="24"/>
          <w:szCs w:val="24"/>
        </w:rPr>
        <w:t>nly single copies of documents</w:t>
      </w:r>
      <w:r>
        <w:rPr>
          <w:sz w:val="24"/>
          <w:szCs w:val="24"/>
        </w:rPr>
        <w:t xml:space="preserve"> are required</w:t>
      </w:r>
      <w:r w:rsidRPr="00B35608" w:rsidR="00B35608">
        <w:rPr>
          <w:sz w:val="24"/>
          <w:szCs w:val="24"/>
        </w:rPr>
        <w:t>.</w:t>
      </w:r>
    </w:p>
    <w:p w:rsidR="006C6E3E" w:rsidP="005871BF" w14:paraId="480BA26B" w14:textId="3387F9A1">
      <w:pPr>
        <w:tabs>
          <w:tab w:val="left" w:pos="-720"/>
          <w:tab w:val="left" w:pos="0"/>
          <w:tab w:val="left" w:pos="720"/>
        </w:tabs>
        <w:suppressAutoHyphens/>
        <w:spacing w:after="240"/>
        <w:ind w:left="1440" w:hanging="1440"/>
        <w:rPr>
          <w:sz w:val="24"/>
          <w:szCs w:val="24"/>
        </w:rPr>
      </w:pPr>
      <w:r>
        <w:rPr>
          <w:sz w:val="24"/>
          <w:szCs w:val="24"/>
        </w:rPr>
        <w:tab/>
      </w:r>
      <w:r>
        <w:rPr>
          <w:sz w:val="24"/>
          <w:szCs w:val="24"/>
        </w:rPr>
        <w:tab/>
      </w:r>
      <w:r w:rsidRPr="00487DDC" w:rsidR="003B2AD2">
        <w:rPr>
          <w:b/>
          <w:sz w:val="24"/>
          <w:szCs w:val="24"/>
        </w:rPr>
        <w:t>requiring respondents to retain records other than health, medical, government contract, grant-in-aid, or tax records, for more than three years;</w:t>
      </w:r>
    </w:p>
    <w:p w:rsidR="003B2AD2" w:rsidRPr="003B2AD2" w:rsidP="00487DDC" w14:paraId="42E02FF2" w14:textId="36C4846C">
      <w:pPr>
        <w:tabs>
          <w:tab w:val="left" w:pos="-720"/>
        </w:tabs>
        <w:suppressAutoHyphens/>
        <w:spacing w:after="240"/>
        <w:ind w:left="1440"/>
        <w:rPr>
          <w:sz w:val="24"/>
          <w:szCs w:val="24"/>
        </w:rPr>
      </w:pPr>
      <w:r>
        <w:rPr>
          <w:sz w:val="24"/>
          <w:szCs w:val="24"/>
        </w:rPr>
        <w:t xml:space="preserve">The regulations </w:t>
      </w:r>
      <w:r w:rsidR="00DD12B0">
        <w:rPr>
          <w:sz w:val="24"/>
          <w:szCs w:val="24"/>
        </w:rPr>
        <w:t xml:space="preserve">do not specifically impose any recordkeeping requirement.  However, </w:t>
      </w:r>
      <w:r w:rsidRPr="001940F3" w:rsidR="001940F3">
        <w:rPr>
          <w:sz w:val="24"/>
          <w:szCs w:val="24"/>
        </w:rPr>
        <w:t xml:space="preserve">Commission Regulation 1.31(b) expressly requires that books and records required to be kept by the CEA or Commission regulations be retained for certain specified periods.  Other than with respect to oral communications and </w:t>
      </w:r>
      <w:r w:rsidRPr="001940F3" w:rsidR="001940F3">
        <w:rPr>
          <w:sz w:val="24"/>
          <w:szCs w:val="24"/>
        </w:rPr>
        <w:t>records exclusively created and maintained on paper, the shortest of these periods is five years from the date of creation</w:t>
      </w:r>
      <w:r w:rsidR="0056386C">
        <w:rPr>
          <w:sz w:val="24"/>
          <w:szCs w:val="24"/>
        </w:rPr>
        <w:t>.</w:t>
      </w:r>
    </w:p>
    <w:p w:rsidR="003B2AD2" w:rsidP="005871BF" w14:paraId="2D9C340D" w14:textId="705880F5">
      <w:pPr>
        <w:tabs>
          <w:tab w:val="left" w:pos="-720"/>
          <w:tab w:val="left" w:pos="0"/>
          <w:tab w:val="left" w:pos="720"/>
        </w:tabs>
        <w:suppressAutoHyphens/>
        <w:spacing w:after="240"/>
        <w:ind w:left="1440" w:hanging="1440"/>
        <w:rPr>
          <w:sz w:val="24"/>
          <w:szCs w:val="24"/>
        </w:rPr>
      </w:pPr>
      <w:r w:rsidRPr="003B2AD2">
        <w:rPr>
          <w:sz w:val="24"/>
          <w:szCs w:val="24"/>
        </w:rPr>
        <w:tab/>
        <w:t>-</w:t>
      </w:r>
      <w:r w:rsidRPr="003B2AD2">
        <w:rPr>
          <w:sz w:val="24"/>
          <w:szCs w:val="24"/>
        </w:rPr>
        <w:tab/>
      </w:r>
      <w:r w:rsidRPr="00E37C10">
        <w:rPr>
          <w:b/>
          <w:sz w:val="24"/>
          <w:szCs w:val="24"/>
        </w:rPr>
        <w:t>in connection with a statistical survey, that is not designed to produce valid and reliable results that can be generalized to the universe of study;</w:t>
      </w:r>
    </w:p>
    <w:p w:rsidR="006C6E3E" w:rsidRPr="003B2AD2" w:rsidP="00867F95" w14:paraId="104650D1" w14:textId="2FE743B0">
      <w:pPr>
        <w:tabs>
          <w:tab w:val="left" w:pos="-720"/>
        </w:tabs>
        <w:suppressAutoHyphens/>
        <w:spacing w:after="240"/>
        <w:ind w:left="1440"/>
        <w:rPr>
          <w:sz w:val="24"/>
          <w:szCs w:val="24"/>
        </w:rPr>
      </w:pPr>
      <w:r>
        <w:rPr>
          <w:sz w:val="24"/>
          <w:szCs w:val="24"/>
        </w:rPr>
        <w:t>No statistical surveys are involved</w:t>
      </w:r>
      <w:r w:rsidR="00195350">
        <w:rPr>
          <w:sz w:val="24"/>
          <w:szCs w:val="24"/>
        </w:rPr>
        <w:t xml:space="preserve"> in </w:t>
      </w:r>
      <w:r w:rsidR="00F2462B">
        <w:rPr>
          <w:sz w:val="24"/>
          <w:szCs w:val="24"/>
        </w:rPr>
        <w:t xml:space="preserve">the </w:t>
      </w:r>
      <w:r w:rsidR="008E5344">
        <w:rPr>
          <w:sz w:val="24"/>
          <w:szCs w:val="24"/>
        </w:rPr>
        <w:t>r</w:t>
      </w:r>
      <w:r w:rsidR="00A776E4">
        <w:rPr>
          <w:sz w:val="24"/>
          <w:szCs w:val="24"/>
        </w:rPr>
        <w:t>egulations</w:t>
      </w:r>
      <w:r w:rsidR="00195350">
        <w:rPr>
          <w:sz w:val="24"/>
          <w:szCs w:val="24"/>
        </w:rPr>
        <w:t>.</w:t>
      </w:r>
    </w:p>
    <w:p w:rsidR="003B2AD2" w:rsidP="005871BF" w14:paraId="6156B686" w14:textId="77777777">
      <w:pPr>
        <w:tabs>
          <w:tab w:val="left" w:pos="-720"/>
          <w:tab w:val="left" w:pos="0"/>
          <w:tab w:val="left" w:pos="720"/>
        </w:tabs>
        <w:suppressAutoHyphens/>
        <w:spacing w:after="240"/>
        <w:ind w:left="1440" w:hanging="1440"/>
        <w:rPr>
          <w:sz w:val="24"/>
          <w:szCs w:val="24"/>
        </w:rPr>
      </w:pPr>
      <w:r w:rsidRPr="003B2AD2">
        <w:rPr>
          <w:sz w:val="24"/>
          <w:szCs w:val="24"/>
        </w:rPr>
        <w:tab/>
        <w:t>-</w:t>
      </w:r>
      <w:r w:rsidRPr="003B2AD2">
        <w:rPr>
          <w:sz w:val="24"/>
          <w:szCs w:val="24"/>
        </w:rPr>
        <w:tab/>
      </w:r>
      <w:r w:rsidRPr="00E37C10">
        <w:rPr>
          <w:b/>
          <w:sz w:val="24"/>
          <w:szCs w:val="24"/>
        </w:rPr>
        <w:t>requiring the use of a statistical data classification that has not been reviewed and approved by OMB;</w:t>
      </w:r>
    </w:p>
    <w:p w:rsidR="00F658F1" w:rsidRPr="003B2AD2" w:rsidP="00867F95" w14:paraId="14A49E94" w14:textId="0B3900F7">
      <w:pPr>
        <w:tabs>
          <w:tab w:val="left" w:pos="-720"/>
        </w:tabs>
        <w:suppressAutoHyphens/>
        <w:spacing w:after="240"/>
        <w:ind w:left="1440"/>
        <w:rPr>
          <w:sz w:val="24"/>
          <w:szCs w:val="24"/>
        </w:rPr>
      </w:pPr>
      <w:r>
        <w:rPr>
          <w:sz w:val="24"/>
          <w:szCs w:val="24"/>
        </w:rPr>
        <w:t>T</w:t>
      </w:r>
      <w:r>
        <w:rPr>
          <w:sz w:val="24"/>
          <w:szCs w:val="24"/>
        </w:rPr>
        <w:t xml:space="preserve">he requirements </w:t>
      </w:r>
      <w:r>
        <w:rPr>
          <w:sz w:val="24"/>
          <w:szCs w:val="24"/>
        </w:rPr>
        <w:t xml:space="preserve">do not </w:t>
      </w:r>
      <w:r w:rsidR="002E2BFC">
        <w:rPr>
          <w:sz w:val="24"/>
          <w:szCs w:val="24"/>
        </w:rPr>
        <w:t>involve the use of statistical data classification</w:t>
      </w:r>
      <w:r w:rsidR="00195350">
        <w:rPr>
          <w:sz w:val="24"/>
          <w:szCs w:val="24"/>
        </w:rPr>
        <w:t>.</w:t>
      </w:r>
    </w:p>
    <w:p w:rsidR="003B2AD2" w:rsidP="005871BF" w14:paraId="44D71E24" w14:textId="77777777">
      <w:pPr>
        <w:tabs>
          <w:tab w:val="left" w:pos="-720"/>
          <w:tab w:val="left" w:pos="0"/>
          <w:tab w:val="left" w:pos="720"/>
        </w:tabs>
        <w:suppressAutoHyphens/>
        <w:spacing w:after="240"/>
        <w:ind w:left="1440" w:hanging="1440"/>
        <w:rPr>
          <w:sz w:val="24"/>
          <w:szCs w:val="24"/>
          <w:u w:val="single"/>
        </w:rPr>
      </w:pPr>
      <w:r w:rsidRPr="003B2AD2">
        <w:rPr>
          <w:sz w:val="24"/>
          <w:szCs w:val="24"/>
        </w:rPr>
        <w:tab/>
        <w:t>-</w:t>
      </w:r>
      <w:r w:rsidRPr="003B2AD2">
        <w:rPr>
          <w:sz w:val="24"/>
          <w:szCs w:val="24"/>
        </w:rPr>
        <w:tab/>
      </w:r>
      <w:r w:rsidRPr="00E37C10">
        <w:rPr>
          <w:b/>
          <w:sz w:val="24"/>
          <w:szCs w:val="24"/>
        </w:rPr>
        <w:t>that includes a pledge of confidentiality that is not supported by authority established in statu</w:t>
      </w:r>
      <w:r w:rsidRPr="00E37C10" w:rsidR="007048EA">
        <w:rPr>
          <w:b/>
          <w:sz w:val="24"/>
          <w:szCs w:val="24"/>
        </w:rPr>
        <w:t>t</w:t>
      </w:r>
      <w:r w:rsidRPr="00E37C10">
        <w:rPr>
          <w:b/>
          <w:sz w:val="24"/>
          <w:szCs w:val="24"/>
        </w:rPr>
        <w:t>e or regulation, that is not supported by disclosure and data security policies that are consistent with the pledge, or which unnecessarily impedes sharing of data with other agencies for compatible confidential use; or</w:t>
      </w:r>
    </w:p>
    <w:p w:rsidR="00F658F1" w:rsidRPr="00F658F1" w:rsidP="00867F95" w14:paraId="68C2FE01" w14:textId="4B1DA352">
      <w:pPr>
        <w:tabs>
          <w:tab w:val="left" w:pos="-720"/>
        </w:tabs>
        <w:suppressAutoHyphens/>
        <w:spacing w:after="240"/>
        <w:ind w:left="1440"/>
        <w:rPr>
          <w:sz w:val="24"/>
          <w:szCs w:val="24"/>
        </w:rPr>
      </w:pPr>
      <w:r>
        <w:rPr>
          <w:sz w:val="24"/>
          <w:szCs w:val="24"/>
        </w:rPr>
        <w:t xml:space="preserve">The </w:t>
      </w:r>
      <w:r w:rsidR="00512A7D">
        <w:rPr>
          <w:sz w:val="24"/>
          <w:szCs w:val="24"/>
        </w:rPr>
        <w:t xml:space="preserve">requirements do not involve a </w:t>
      </w:r>
      <w:r>
        <w:rPr>
          <w:sz w:val="24"/>
          <w:szCs w:val="24"/>
        </w:rPr>
        <w:t xml:space="preserve">pledge </w:t>
      </w:r>
      <w:r w:rsidR="00A912D3">
        <w:rPr>
          <w:sz w:val="24"/>
          <w:szCs w:val="24"/>
        </w:rPr>
        <w:t xml:space="preserve">of </w:t>
      </w:r>
      <w:r>
        <w:rPr>
          <w:sz w:val="24"/>
          <w:szCs w:val="24"/>
        </w:rPr>
        <w:t xml:space="preserve">confidentiality </w:t>
      </w:r>
      <w:r w:rsidR="00512A7D">
        <w:rPr>
          <w:sz w:val="24"/>
          <w:szCs w:val="24"/>
        </w:rPr>
        <w:t>regarding the collection of data</w:t>
      </w:r>
      <w:r w:rsidR="00867F95">
        <w:rPr>
          <w:sz w:val="24"/>
          <w:szCs w:val="24"/>
        </w:rPr>
        <w:t xml:space="preserve"> that is not supported by applicable law</w:t>
      </w:r>
      <w:r>
        <w:rPr>
          <w:sz w:val="24"/>
          <w:szCs w:val="24"/>
        </w:rPr>
        <w:t>.</w:t>
      </w:r>
    </w:p>
    <w:p w:rsidR="003B2AD2" w:rsidP="005871BF" w14:paraId="169DBCDB" w14:textId="77777777">
      <w:pPr>
        <w:tabs>
          <w:tab w:val="left" w:pos="-720"/>
          <w:tab w:val="left" w:pos="0"/>
          <w:tab w:val="left" w:pos="720"/>
        </w:tabs>
        <w:suppressAutoHyphens/>
        <w:spacing w:after="240"/>
        <w:ind w:left="1440" w:hanging="1440"/>
        <w:rPr>
          <w:sz w:val="24"/>
          <w:szCs w:val="24"/>
        </w:rPr>
      </w:pPr>
      <w:r w:rsidRPr="003B2AD2">
        <w:rPr>
          <w:sz w:val="24"/>
          <w:szCs w:val="24"/>
        </w:rPr>
        <w:tab/>
        <w:t>-</w:t>
      </w:r>
      <w:r w:rsidRPr="003B2AD2">
        <w:rPr>
          <w:sz w:val="24"/>
          <w:szCs w:val="24"/>
        </w:rPr>
        <w:tab/>
      </w:r>
      <w:r w:rsidRPr="00E37C10">
        <w:rPr>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3B2AD2" w:rsidRPr="003B2AD2" w:rsidP="00867F95" w14:paraId="65A5D73A" w14:textId="07EFD13A">
      <w:pPr>
        <w:tabs>
          <w:tab w:val="left" w:pos="-720"/>
        </w:tabs>
        <w:suppressAutoHyphens/>
        <w:spacing w:after="240"/>
        <w:ind w:left="1440"/>
        <w:rPr>
          <w:sz w:val="24"/>
          <w:szCs w:val="24"/>
        </w:rPr>
      </w:pPr>
      <w:r w:rsidRPr="00AF473D">
        <w:rPr>
          <w:sz w:val="24"/>
          <w:szCs w:val="24"/>
        </w:rPr>
        <w:t>The Commission has procedures to protect the confidentiality of an applicant’s or registrant’s data.  These are set forth in the Commission’s regulations at parts 145 and 147 of title 17 of the Code of Federal Regulations.</w:t>
      </w:r>
    </w:p>
    <w:p w:rsidR="00F658F1" w:rsidRPr="00E37C10" w:rsidP="005871BF" w14:paraId="263EB3B3" w14:textId="77777777">
      <w:pPr>
        <w:tabs>
          <w:tab w:val="left" w:pos="-720"/>
          <w:tab w:val="left" w:pos="0"/>
        </w:tabs>
        <w:suppressAutoHyphens/>
        <w:spacing w:after="240"/>
        <w:ind w:left="720" w:hanging="720"/>
        <w:rPr>
          <w:b/>
          <w:sz w:val="24"/>
          <w:szCs w:val="24"/>
        </w:rPr>
      </w:pPr>
      <w:r w:rsidRPr="00E37C10">
        <w:rPr>
          <w:b/>
          <w:sz w:val="24"/>
          <w:szCs w:val="24"/>
        </w:rPr>
        <w:t>8.</w:t>
      </w:r>
      <w:r w:rsidRPr="00E37C10">
        <w:rPr>
          <w:b/>
          <w:sz w:val="24"/>
          <w:szCs w:val="24"/>
        </w:rPr>
        <w:tab/>
        <w:t xml:space="preserve">If applicable, provide a copy and identify the date and page number of </w:t>
      </w:r>
      <w:r w:rsidRPr="00E37C10">
        <w:rPr>
          <w:b/>
          <w:sz w:val="24"/>
          <w:szCs w:val="24"/>
        </w:rPr>
        <w:t>publication</w:t>
      </w:r>
      <w:r w:rsidRPr="00E37C10">
        <w:rPr>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B2AD2" w:rsidRPr="00E37C10" w:rsidP="005871BF" w14:paraId="396769FF" w14:textId="77777777">
      <w:pPr>
        <w:tabs>
          <w:tab w:val="left" w:pos="-720"/>
          <w:tab w:val="left" w:pos="0"/>
        </w:tabs>
        <w:suppressAutoHyphens/>
        <w:spacing w:after="240"/>
        <w:ind w:left="720" w:hanging="720"/>
        <w:rPr>
          <w:b/>
          <w:sz w:val="24"/>
          <w:szCs w:val="24"/>
        </w:rPr>
      </w:pPr>
      <w:r w:rsidRPr="003B2AD2">
        <w:rPr>
          <w:sz w:val="24"/>
          <w:szCs w:val="24"/>
        </w:rPr>
        <w:tab/>
      </w:r>
      <w:r w:rsidRPr="00E37C10">
        <w:rPr>
          <w:b/>
          <w:sz w:val="24"/>
          <w:szCs w:val="24"/>
        </w:rPr>
        <w:t>Describe efforts to consult with persons outside the agency to obtain their views on the availability of data, frequency of collection, the clarity of instructions and recordkeeping disclosure, or reporting format (if any</w:t>
      </w:r>
      <w:r w:rsidRPr="00E37C10" w:rsidR="00923751">
        <w:rPr>
          <w:b/>
          <w:sz w:val="24"/>
          <w:szCs w:val="24"/>
        </w:rPr>
        <w:t>)</w:t>
      </w:r>
      <w:r w:rsidRPr="00E37C10">
        <w:rPr>
          <w:b/>
          <w:sz w:val="24"/>
          <w:szCs w:val="24"/>
        </w:rPr>
        <w:t>, and on the data elements to be recorded, disclosed, or reported.</w:t>
      </w:r>
    </w:p>
    <w:p w:rsidR="00717C54" w:rsidP="005871BF" w14:paraId="4FF97B10" w14:textId="4B0F6EDC">
      <w:pPr>
        <w:tabs>
          <w:tab w:val="left" w:pos="-720"/>
        </w:tabs>
        <w:suppressAutoHyphens/>
        <w:spacing w:after="240"/>
        <w:ind w:left="720"/>
        <w:rPr>
          <w:sz w:val="24"/>
          <w:szCs w:val="24"/>
        </w:rPr>
      </w:pPr>
      <w:r>
        <w:rPr>
          <w:sz w:val="24"/>
          <w:szCs w:val="24"/>
        </w:rPr>
        <w:t>Prior to adoption of the regulations that include these information collections, t</w:t>
      </w:r>
      <w:r w:rsidRPr="00AF473D" w:rsidR="00AF473D">
        <w:rPr>
          <w:sz w:val="24"/>
          <w:szCs w:val="24"/>
        </w:rPr>
        <w:t>he Commission publish</w:t>
      </w:r>
      <w:r w:rsidR="00F56C11">
        <w:rPr>
          <w:sz w:val="24"/>
          <w:szCs w:val="24"/>
        </w:rPr>
        <w:t>ed</w:t>
      </w:r>
      <w:r w:rsidRPr="00AF473D" w:rsidR="00AF473D">
        <w:rPr>
          <w:sz w:val="24"/>
          <w:szCs w:val="24"/>
        </w:rPr>
        <w:t xml:space="preserve"> </w:t>
      </w:r>
      <w:r w:rsidR="00543DEF">
        <w:rPr>
          <w:sz w:val="24"/>
          <w:szCs w:val="24"/>
        </w:rPr>
        <w:t xml:space="preserve">a </w:t>
      </w:r>
      <w:r w:rsidRPr="00AF473D" w:rsidR="00AF473D">
        <w:rPr>
          <w:sz w:val="24"/>
          <w:szCs w:val="24"/>
        </w:rPr>
        <w:t xml:space="preserve">notice of proposed rulemaking (NPRM) </w:t>
      </w:r>
      <w:r w:rsidR="00543DEF">
        <w:rPr>
          <w:sz w:val="24"/>
          <w:szCs w:val="24"/>
        </w:rPr>
        <w:t xml:space="preserve">and a supplemental </w:t>
      </w:r>
      <w:r w:rsidR="00543DEF">
        <w:rPr>
          <w:sz w:val="24"/>
          <w:szCs w:val="24"/>
        </w:rPr>
        <w:t xml:space="preserve">NPRM </w:t>
      </w:r>
      <w:r w:rsidRPr="00AF473D" w:rsidR="00AF473D">
        <w:rPr>
          <w:sz w:val="24"/>
          <w:szCs w:val="24"/>
        </w:rPr>
        <w:t xml:space="preserve">in the </w:t>
      </w:r>
      <w:r w:rsidRPr="00AF473D" w:rsidR="00AF473D">
        <w:rPr>
          <w:i/>
          <w:sz w:val="24"/>
          <w:szCs w:val="24"/>
        </w:rPr>
        <w:t>Federal Register</w:t>
      </w:r>
      <w:r w:rsidRPr="00AF473D" w:rsidR="00AF473D">
        <w:rPr>
          <w:sz w:val="24"/>
          <w:szCs w:val="24"/>
        </w:rPr>
        <w:t>.</w:t>
      </w:r>
      <w:r>
        <w:rPr>
          <w:rStyle w:val="FootnoteReference"/>
          <w:sz w:val="24"/>
          <w:szCs w:val="24"/>
        </w:rPr>
        <w:footnoteReference w:id="3"/>
      </w:r>
      <w:r w:rsidRPr="00A55D9B" w:rsidR="00951336">
        <w:rPr>
          <w:sz w:val="24"/>
          <w:szCs w:val="24"/>
        </w:rPr>
        <w:t xml:space="preserve"> </w:t>
      </w:r>
      <w:r w:rsidRPr="00AF473D" w:rsidR="00AF473D">
        <w:rPr>
          <w:sz w:val="24"/>
          <w:szCs w:val="24"/>
        </w:rPr>
        <w:t xml:space="preserve"> The NPRM</w:t>
      </w:r>
      <w:r w:rsidR="00543DEF">
        <w:rPr>
          <w:sz w:val="24"/>
          <w:szCs w:val="24"/>
        </w:rPr>
        <w:t>s</w:t>
      </w:r>
      <w:r w:rsidRPr="00AF473D" w:rsidR="00AF473D">
        <w:rPr>
          <w:sz w:val="24"/>
          <w:szCs w:val="24"/>
        </w:rPr>
        <w:t xml:space="preserve"> include</w:t>
      </w:r>
      <w:r w:rsidR="00F56C11">
        <w:rPr>
          <w:sz w:val="24"/>
          <w:szCs w:val="24"/>
        </w:rPr>
        <w:t>d</w:t>
      </w:r>
      <w:r w:rsidRPr="00AF473D" w:rsidR="00AF473D">
        <w:rPr>
          <w:sz w:val="24"/>
          <w:szCs w:val="24"/>
        </w:rPr>
        <w:t xml:space="preserve"> a request for comment on all aspects of the proposed regulations, as well as requests for comment on several specific provisions and issues (including all aspects of the proposed inform</w:t>
      </w:r>
      <w:r w:rsidR="00C01F9D">
        <w:rPr>
          <w:sz w:val="24"/>
          <w:szCs w:val="24"/>
        </w:rPr>
        <w:t>ation</w:t>
      </w:r>
      <w:r w:rsidRPr="00AF473D" w:rsidR="00AF473D">
        <w:rPr>
          <w:sz w:val="24"/>
          <w:szCs w:val="24"/>
        </w:rPr>
        <w:t xml:space="preserve"> collection requirements).  The </w:t>
      </w:r>
      <w:r w:rsidR="00F56C11">
        <w:rPr>
          <w:sz w:val="24"/>
          <w:szCs w:val="24"/>
        </w:rPr>
        <w:t xml:space="preserve">Commission received one comment </w:t>
      </w:r>
      <w:r w:rsidR="00D26CCC">
        <w:rPr>
          <w:sz w:val="24"/>
          <w:szCs w:val="24"/>
        </w:rPr>
        <w:t xml:space="preserve">on the 2018 </w:t>
      </w:r>
      <w:r w:rsidR="00951336">
        <w:rPr>
          <w:sz w:val="24"/>
          <w:szCs w:val="24"/>
        </w:rPr>
        <w:t>P</w:t>
      </w:r>
      <w:r w:rsidR="00D26CCC">
        <w:rPr>
          <w:sz w:val="24"/>
          <w:szCs w:val="24"/>
        </w:rPr>
        <w:t xml:space="preserve">roposal </w:t>
      </w:r>
      <w:r w:rsidR="00F56C11">
        <w:rPr>
          <w:sz w:val="24"/>
          <w:szCs w:val="24"/>
        </w:rPr>
        <w:t>that referred to the proposed information collection requirements</w:t>
      </w:r>
      <w:r w:rsidR="004C542E">
        <w:rPr>
          <w:sz w:val="24"/>
          <w:szCs w:val="24"/>
        </w:rPr>
        <w:t xml:space="preserve">. </w:t>
      </w:r>
      <w:r w:rsidR="00F16F84">
        <w:rPr>
          <w:sz w:val="24"/>
          <w:szCs w:val="24"/>
        </w:rPr>
        <w:t xml:space="preserve"> Japan Securities Clearing Corporation (JSCC) stated that the Commission’s cost estimate of $10,500 for an application for exemption from DCO registration substantially underestimated an applicant’s costs</w:t>
      </w:r>
      <w:r w:rsidR="00E4338E">
        <w:rPr>
          <w:sz w:val="24"/>
          <w:szCs w:val="24"/>
        </w:rPr>
        <w:t xml:space="preserve">. </w:t>
      </w:r>
      <w:r w:rsidRPr="009E03FF" w:rsidR="009E03FF">
        <w:rPr>
          <w:sz w:val="24"/>
          <w:szCs w:val="24"/>
        </w:rPr>
        <w:t xml:space="preserve">As stated in the 2018 </w:t>
      </w:r>
      <w:r w:rsidR="00951336">
        <w:rPr>
          <w:sz w:val="24"/>
          <w:szCs w:val="24"/>
        </w:rPr>
        <w:t>P</w:t>
      </w:r>
      <w:r w:rsidRPr="009E03FF" w:rsidR="009E03FF">
        <w:rPr>
          <w:sz w:val="24"/>
          <w:szCs w:val="24"/>
        </w:rPr>
        <w:t xml:space="preserve">roposal, the Commission based its cost estimate of $10,500 for the exempt DCO application on the significantly reduced requirements as compared to a DCO registration application, which the Commission </w:t>
      </w:r>
      <w:r w:rsidR="004F4ECE">
        <w:rPr>
          <w:sz w:val="24"/>
          <w:szCs w:val="24"/>
        </w:rPr>
        <w:t xml:space="preserve">has </w:t>
      </w:r>
      <w:r w:rsidRPr="009E03FF" w:rsidR="009E03FF">
        <w:rPr>
          <w:sz w:val="24"/>
          <w:szCs w:val="24"/>
        </w:rPr>
        <w:t>estimated would cost $100,000.</w:t>
      </w:r>
      <w:r>
        <w:rPr>
          <w:rStyle w:val="FootnoteReference"/>
          <w:sz w:val="24"/>
          <w:szCs w:val="24"/>
        </w:rPr>
        <w:footnoteReference w:id="4"/>
      </w:r>
      <w:r w:rsidRPr="009E03FF" w:rsidR="009E03FF">
        <w:rPr>
          <w:sz w:val="24"/>
          <w:szCs w:val="24"/>
        </w:rPr>
        <w:t xml:space="preserve"> </w:t>
      </w:r>
      <w:r w:rsidR="00E4338E">
        <w:rPr>
          <w:sz w:val="24"/>
          <w:szCs w:val="24"/>
        </w:rPr>
        <w:t xml:space="preserve"> JSCC did not provide an estimate of what it expected the cost of an application to be, and t</w:t>
      </w:r>
      <w:r w:rsidRPr="009E03FF" w:rsidR="009E03FF">
        <w:rPr>
          <w:sz w:val="24"/>
          <w:szCs w:val="24"/>
        </w:rPr>
        <w:t xml:space="preserve">he Commission has </w:t>
      </w:r>
      <w:r w:rsidR="00E4338E">
        <w:rPr>
          <w:sz w:val="24"/>
          <w:szCs w:val="24"/>
        </w:rPr>
        <w:t>no</w:t>
      </w:r>
      <w:r w:rsidRPr="009E03FF" w:rsidR="009E03FF">
        <w:rPr>
          <w:sz w:val="24"/>
          <w:szCs w:val="24"/>
        </w:rPr>
        <w:t xml:space="preserve">t revised any of the elements of the proposal that would affect the cost estimate.  Therefore, the Commission is </w:t>
      </w:r>
      <w:r w:rsidR="00735557">
        <w:rPr>
          <w:sz w:val="24"/>
          <w:szCs w:val="24"/>
        </w:rPr>
        <w:t xml:space="preserve">retaining the burden </w:t>
      </w:r>
      <w:r w:rsidRPr="009E03FF" w:rsidR="009E03FF">
        <w:rPr>
          <w:sz w:val="24"/>
          <w:szCs w:val="24"/>
        </w:rPr>
        <w:t>estimate</w:t>
      </w:r>
      <w:r w:rsidR="00735557">
        <w:rPr>
          <w:sz w:val="24"/>
          <w:szCs w:val="24"/>
        </w:rPr>
        <w:t xml:space="preserve"> </w:t>
      </w:r>
      <w:r w:rsidR="00DA6C7B">
        <w:rPr>
          <w:sz w:val="24"/>
          <w:szCs w:val="24"/>
        </w:rPr>
        <w:t xml:space="preserve">for the cost of an application that </w:t>
      </w:r>
      <w:r w:rsidR="00735557">
        <w:rPr>
          <w:sz w:val="24"/>
          <w:szCs w:val="24"/>
        </w:rPr>
        <w:t xml:space="preserve">it included in the </w:t>
      </w:r>
      <w:r w:rsidR="00BF0D5C">
        <w:rPr>
          <w:sz w:val="24"/>
          <w:szCs w:val="24"/>
        </w:rPr>
        <w:t>P</w:t>
      </w:r>
      <w:r w:rsidR="00735557">
        <w:rPr>
          <w:sz w:val="24"/>
          <w:szCs w:val="24"/>
        </w:rPr>
        <w:t>roposal</w:t>
      </w:r>
      <w:r w:rsidR="00DA6C7B">
        <w:rPr>
          <w:sz w:val="24"/>
          <w:szCs w:val="24"/>
        </w:rPr>
        <w:t>s</w:t>
      </w:r>
      <w:r w:rsidR="00735557">
        <w:rPr>
          <w:sz w:val="24"/>
          <w:szCs w:val="24"/>
        </w:rPr>
        <w:t>.</w:t>
      </w:r>
      <w:r>
        <w:rPr>
          <w:sz w:val="24"/>
          <w:szCs w:val="24"/>
        </w:rPr>
        <w:t xml:space="preserve">  A final rule promulgating the regulations </w:t>
      </w:r>
      <w:r w:rsidR="0022118B">
        <w:rPr>
          <w:sz w:val="24"/>
          <w:szCs w:val="24"/>
        </w:rPr>
        <w:t>including the information collections was published in the Federal Register on January 7, 2021.</w:t>
      </w:r>
      <w:r>
        <w:rPr>
          <w:rStyle w:val="FootnoteReference"/>
          <w:sz w:val="24"/>
          <w:szCs w:val="24"/>
        </w:rPr>
        <w:footnoteReference w:id="5"/>
      </w:r>
    </w:p>
    <w:p w:rsidR="00B01245" w:rsidP="005871BF" w14:paraId="02BEAED3" w14:textId="5E0FD30E">
      <w:pPr>
        <w:tabs>
          <w:tab w:val="left" w:pos="-720"/>
        </w:tabs>
        <w:suppressAutoHyphens/>
        <w:spacing w:after="240"/>
        <w:ind w:left="720"/>
        <w:rPr>
          <w:sz w:val="24"/>
          <w:szCs w:val="24"/>
        </w:rPr>
      </w:pPr>
      <w:r>
        <w:rPr>
          <w:sz w:val="24"/>
          <w:szCs w:val="24"/>
        </w:rPr>
        <w:t xml:space="preserve">In addition, the Commission </w:t>
      </w:r>
      <w:r w:rsidRPr="0022118B" w:rsidR="0022118B">
        <w:rPr>
          <w:sz w:val="24"/>
          <w:szCs w:val="24"/>
        </w:rPr>
        <w:t xml:space="preserve">requested comments on the information collection by publication of a notice in the Federal Register on </w:t>
      </w:r>
      <w:r w:rsidRPr="00C35457" w:rsidR="00420A7E">
        <w:rPr>
          <w:sz w:val="24"/>
          <w:szCs w:val="24"/>
        </w:rPr>
        <w:t>May 30</w:t>
      </w:r>
      <w:r w:rsidRPr="00C35457" w:rsidR="0022118B">
        <w:rPr>
          <w:sz w:val="24"/>
          <w:szCs w:val="24"/>
        </w:rPr>
        <w:t>, 2023 (88 FR</w:t>
      </w:r>
      <w:r w:rsidRPr="00C35457" w:rsidR="00C35457">
        <w:rPr>
          <w:sz w:val="24"/>
          <w:szCs w:val="24"/>
        </w:rPr>
        <w:t xml:space="preserve"> 34489</w:t>
      </w:r>
      <w:r w:rsidRPr="00C35457" w:rsidR="0022118B">
        <w:rPr>
          <w:sz w:val="24"/>
          <w:szCs w:val="24"/>
        </w:rPr>
        <w:t>)</w:t>
      </w:r>
      <w:r w:rsidR="0022118B">
        <w:rPr>
          <w:sz w:val="24"/>
          <w:szCs w:val="24"/>
        </w:rPr>
        <w:t>, prior to requesting this approval of an Information Collection associated with an existing collecti</w:t>
      </w:r>
      <w:r w:rsidR="00CD7FB1">
        <w:rPr>
          <w:sz w:val="24"/>
          <w:szCs w:val="24"/>
        </w:rPr>
        <w:t>o</w:t>
      </w:r>
      <w:r w:rsidR="0022118B">
        <w:rPr>
          <w:sz w:val="24"/>
          <w:szCs w:val="24"/>
        </w:rPr>
        <w:t>n in use without an approved OMB control number</w:t>
      </w:r>
      <w:r w:rsidRPr="0022118B" w:rsidR="0022118B">
        <w:rPr>
          <w:sz w:val="24"/>
          <w:szCs w:val="24"/>
        </w:rPr>
        <w:t xml:space="preserve">. </w:t>
      </w:r>
      <w:r w:rsidR="0022118B">
        <w:rPr>
          <w:sz w:val="24"/>
          <w:szCs w:val="24"/>
        </w:rPr>
        <w:t xml:space="preserve"> </w:t>
      </w:r>
      <w:r w:rsidRPr="00C35457" w:rsidR="00C35457">
        <w:rPr>
          <w:sz w:val="24"/>
          <w:szCs w:val="24"/>
        </w:rPr>
        <w:t xml:space="preserve">The Commission </w:t>
      </w:r>
      <w:r w:rsidR="00C35457">
        <w:rPr>
          <w:sz w:val="24"/>
          <w:szCs w:val="24"/>
        </w:rPr>
        <w:t xml:space="preserve">did not </w:t>
      </w:r>
      <w:r w:rsidRPr="00C35457" w:rsidR="00C35457">
        <w:rPr>
          <w:sz w:val="24"/>
          <w:szCs w:val="24"/>
        </w:rPr>
        <w:t>receive</w:t>
      </w:r>
      <w:r w:rsidR="00C35457">
        <w:rPr>
          <w:sz w:val="24"/>
          <w:szCs w:val="24"/>
        </w:rPr>
        <w:t xml:space="preserve"> any </w:t>
      </w:r>
      <w:r w:rsidRPr="00C35457" w:rsidR="00C35457">
        <w:rPr>
          <w:sz w:val="24"/>
          <w:szCs w:val="24"/>
        </w:rPr>
        <w:t>relevant comments that addressed its PRA burden estimates</w:t>
      </w:r>
      <w:r w:rsidRPr="0022118B" w:rsidR="0022118B">
        <w:rPr>
          <w:sz w:val="24"/>
          <w:szCs w:val="24"/>
        </w:rPr>
        <w:t>.</w:t>
      </w:r>
    </w:p>
    <w:p w:rsidR="003B2AD2" w:rsidRPr="00E37C10" w:rsidP="005871BF" w14:paraId="7657E4B2" w14:textId="77777777">
      <w:pPr>
        <w:tabs>
          <w:tab w:val="left" w:pos="-720"/>
          <w:tab w:val="left" w:pos="0"/>
        </w:tabs>
        <w:suppressAutoHyphens/>
        <w:spacing w:after="240"/>
        <w:ind w:left="720" w:hanging="720"/>
        <w:rPr>
          <w:b/>
          <w:sz w:val="24"/>
          <w:szCs w:val="24"/>
        </w:rPr>
      </w:pPr>
      <w:r w:rsidRPr="003B2AD2">
        <w:rPr>
          <w:sz w:val="24"/>
          <w:szCs w:val="24"/>
        </w:rPr>
        <w:tab/>
      </w:r>
      <w:r w:rsidRPr="00E37C10">
        <w:rPr>
          <w:b/>
          <w:sz w:val="24"/>
          <w:szCs w:val="24"/>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p>
    <w:p w:rsidR="00F658F1" w:rsidRPr="003B2AD2" w:rsidP="00487DDC" w14:paraId="43003E3A" w14:textId="5CD6AAF8">
      <w:pPr>
        <w:tabs>
          <w:tab w:val="left" w:pos="-720"/>
        </w:tabs>
        <w:suppressAutoHyphens/>
        <w:spacing w:after="240"/>
        <w:ind w:firstLine="720"/>
        <w:rPr>
          <w:sz w:val="24"/>
          <w:szCs w:val="24"/>
        </w:rPr>
      </w:pPr>
      <w:r>
        <w:rPr>
          <w:sz w:val="24"/>
          <w:szCs w:val="24"/>
        </w:rPr>
        <w:t>N</w:t>
      </w:r>
      <w:r>
        <w:rPr>
          <w:sz w:val="24"/>
          <w:szCs w:val="24"/>
        </w:rPr>
        <w:t>o such circumstances</w:t>
      </w:r>
      <w:r>
        <w:rPr>
          <w:sz w:val="24"/>
          <w:szCs w:val="24"/>
        </w:rPr>
        <w:t xml:space="preserve"> are anticipated</w:t>
      </w:r>
      <w:r>
        <w:rPr>
          <w:sz w:val="24"/>
          <w:szCs w:val="24"/>
        </w:rPr>
        <w:t>.</w:t>
      </w:r>
    </w:p>
    <w:p w:rsidR="003B2AD2" w:rsidRPr="003B2AD2" w:rsidP="005871BF" w14:paraId="30EE1B60" w14:textId="77777777">
      <w:pPr>
        <w:tabs>
          <w:tab w:val="left" w:pos="-720"/>
          <w:tab w:val="left" w:pos="0"/>
        </w:tabs>
        <w:suppressAutoHyphens/>
        <w:spacing w:after="240"/>
        <w:ind w:left="720" w:hanging="720"/>
        <w:rPr>
          <w:sz w:val="24"/>
          <w:szCs w:val="24"/>
        </w:rPr>
      </w:pPr>
      <w:r w:rsidRPr="00944EE7">
        <w:rPr>
          <w:b/>
          <w:sz w:val="24"/>
          <w:szCs w:val="24"/>
        </w:rPr>
        <w:t>9.</w:t>
      </w:r>
      <w:r w:rsidRPr="00944EE7">
        <w:rPr>
          <w:b/>
          <w:sz w:val="24"/>
          <w:szCs w:val="24"/>
        </w:rPr>
        <w:tab/>
        <w:t>Explain any decision to provide any payment or gift to respondents, other than remuneration of contractors or grantees</w:t>
      </w:r>
      <w:r w:rsidRPr="003B2AD2">
        <w:rPr>
          <w:sz w:val="24"/>
          <w:szCs w:val="24"/>
        </w:rPr>
        <w:t>.</w:t>
      </w:r>
    </w:p>
    <w:p w:rsidR="00F658F1" w:rsidRPr="003B2AD2" w:rsidP="00487DDC" w14:paraId="585E8295" w14:textId="176D5473">
      <w:pPr>
        <w:tabs>
          <w:tab w:val="left" w:pos="-720"/>
        </w:tabs>
        <w:suppressAutoHyphens/>
        <w:spacing w:after="240"/>
        <w:ind w:firstLine="720"/>
        <w:rPr>
          <w:sz w:val="24"/>
          <w:szCs w:val="24"/>
        </w:rPr>
      </w:pPr>
      <w:r>
        <w:rPr>
          <w:sz w:val="24"/>
          <w:szCs w:val="24"/>
        </w:rPr>
        <w:t>This question does not apply.</w:t>
      </w:r>
    </w:p>
    <w:p w:rsidR="00F658F1" w:rsidP="00487DDC" w14:paraId="3D3E2A9A" w14:textId="54F35E16">
      <w:pPr>
        <w:tabs>
          <w:tab w:val="left" w:pos="-720"/>
          <w:tab w:val="left" w:pos="0"/>
        </w:tabs>
        <w:suppressAutoHyphens/>
        <w:spacing w:after="240"/>
        <w:ind w:left="720" w:hanging="720"/>
        <w:rPr>
          <w:sz w:val="24"/>
          <w:szCs w:val="24"/>
        </w:rPr>
      </w:pPr>
      <w:r w:rsidRPr="00944EE7">
        <w:rPr>
          <w:b/>
          <w:sz w:val="24"/>
          <w:szCs w:val="24"/>
        </w:rPr>
        <w:t>10.</w:t>
      </w:r>
      <w:r w:rsidRPr="00944EE7">
        <w:rPr>
          <w:b/>
          <w:sz w:val="24"/>
          <w:szCs w:val="24"/>
        </w:rPr>
        <w:tab/>
        <w:t>Describe any assurance of confidentiality provided to respondents and the basis for the assurance in statute, regulations, or agency policy.</w:t>
      </w:r>
    </w:p>
    <w:p w:rsidR="003B2AD2" w:rsidRPr="003B2AD2" w:rsidP="0022118B" w14:paraId="1E5956A2" w14:textId="5B9EF3E6">
      <w:pPr>
        <w:tabs>
          <w:tab w:val="left" w:pos="-720"/>
        </w:tabs>
        <w:suppressAutoHyphens/>
        <w:spacing w:after="240"/>
        <w:ind w:left="720"/>
        <w:rPr>
          <w:sz w:val="24"/>
          <w:szCs w:val="24"/>
        </w:rPr>
      </w:pPr>
      <w:r w:rsidRPr="00ED2108">
        <w:rPr>
          <w:sz w:val="24"/>
          <w:szCs w:val="24"/>
        </w:rPr>
        <w:t>The Commission does not provide respondents with an assurance of confidentiality</w:t>
      </w:r>
      <w:r w:rsidR="006C27F8">
        <w:rPr>
          <w:sz w:val="24"/>
          <w:szCs w:val="24"/>
        </w:rPr>
        <w:t xml:space="preserve"> other than that provided by applicable law</w:t>
      </w:r>
      <w:r w:rsidRPr="00ED2108">
        <w:rPr>
          <w:sz w:val="24"/>
          <w:szCs w:val="24"/>
        </w:rPr>
        <w:t>.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rsidR="00F658F1" w:rsidP="005871BF" w14:paraId="6812D701" w14:textId="32C6E8EF">
      <w:pPr>
        <w:tabs>
          <w:tab w:val="left" w:pos="-720"/>
        </w:tabs>
        <w:suppressAutoHyphens/>
        <w:spacing w:after="240"/>
        <w:ind w:left="720" w:hanging="720"/>
        <w:rPr>
          <w:sz w:val="24"/>
          <w:szCs w:val="24"/>
        </w:rPr>
      </w:pPr>
      <w:r w:rsidRPr="00944EE7">
        <w:rPr>
          <w:b/>
          <w:sz w:val="24"/>
          <w:szCs w:val="24"/>
        </w:rPr>
        <w:t>11.</w:t>
      </w:r>
      <w:r w:rsidRPr="00944EE7">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B2AD2" w:rsidRPr="003B2AD2" w:rsidP="00487DDC" w14:paraId="35CF2911" w14:textId="37EAD78C">
      <w:pPr>
        <w:tabs>
          <w:tab w:val="left" w:pos="-720"/>
        </w:tabs>
        <w:suppressAutoHyphens/>
        <w:spacing w:after="240"/>
        <w:ind w:left="720"/>
        <w:rPr>
          <w:sz w:val="24"/>
          <w:szCs w:val="24"/>
        </w:rPr>
      </w:pPr>
      <w:r>
        <w:rPr>
          <w:sz w:val="24"/>
          <w:szCs w:val="24"/>
        </w:rPr>
        <w:t>This question does not apply.  None of the required information is sensitive, as that term is used in Question 11.</w:t>
      </w:r>
    </w:p>
    <w:p w:rsidR="003B2AD2" w:rsidRPr="00944EE7" w:rsidP="005871BF" w14:paraId="7D34D279" w14:textId="77777777">
      <w:pPr>
        <w:tabs>
          <w:tab w:val="left" w:pos="-720"/>
          <w:tab w:val="left" w:pos="0"/>
        </w:tabs>
        <w:suppressAutoHyphens/>
        <w:spacing w:after="240"/>
        <w:ind w:left="720" w:hanging="720"/>
        <w:rPr>
          <w:b/>
          <w:sz w:val="24"/>
          <w:szCs w:val="24"/>
        </w:rPr>
      </w:pPr>
      <w:r w:rsidRPr="00944EE7">
        <w:rPr>
          <w:b/>
          <w:sz w:val="24"/>
          <w:szCs w:val="24"/>
        </w:rPr>
        <w:t>12.</w:t>
      </w:r>
      <w:r w:rsidRPr="00944EE7">
        <w:rPr>
          <w:b/>
          <w:sz w:val="24"/>
          <w:szCs w:val="24"/>
        </w:rPr>
        <w:tab/>
        <w:t>Provide estimates of the hour burden of the collection of information.  The Statement should:</w:t>
      </w:r>
    </w:p>
    <w:p w:rsidR="003B2AD2" w:rsidRPr="00944EE7" w:rsidP="005871BF" w14:paraId="0D17137E" w14:textId="77777777">
      <w:pPr>
        <w:tabs>
          <w:tab w:val="left" w:pos="-720"/>
          <w:tab w:val="left" w:pos="0"/>
          <w:tab w:val="left" w:pos="720"/>
        </w:tabs>
        <w:suppressAutoHyphens/>
        <w:spacing w:after="240"/>
        <w:ind w:left="1440" w:hanging="1440"/>
        <w:rPr>
          <w:b/>
          <w:sz w:val="24"/>
          <w:szCs w:val="24"/>
        </w:rPr>
      </w:pPr>
      <w:r w:rsidRPr="00944EE7">
        <w:rPr>
          <w:b/>
          <w:sz w:val="24"/>
          <w:szCs w:val="24"/>
        </w:rPr>
        <w:tab/>
        <w:t>-</w:t>
      </w:r>
      <w:r w:rsidRPr="00944EE7">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B2AD2" w:rsidRPr="00944EE7" w:rsidP="005871BF" w14:paraId="257316A9" w14:textId="77777777">
      <w:pPr>
        <w:tabs>
          <w:tab w:val="left" w:pos="-720"/>
          <w:tab w:val="left" w:pos="0"/>
          <w:tab w:val="left" w:pos="720"/>
        </w:tabs>
        <w:suppressAutoHyphens/>
        <w:spacing w:after="240"/>
        <w:ind w:left="1440" w:hanging="1440"/>
        <w:rPr>
          <w:b/>
          <w:sz w:val="24"/>
          <w:szCs w:val="24"/>
        </w:rPr>
      </w:pPr>
      <w:r w:rsidRPr="00944EE7">
        <w:rPr>
          <w:b/>
          <w:sz w:val="24"/>
          <w:szCs w:val="24"/>
        </w:rPr>
        <w:tab/>
        <w:t>-</w:t>
      </w:r>
      <w:r w:rsidRPr="00944EE7">
        <w:rPr>
          <w:b/>
          <w:sz w:val="24"/>
          <w:szCs w:val="24"/>
        </w:rPr>
        <w:tab/>
        <w:t>If the request for approval covers more than one form, provide separate hour burden estimates for each form and aggregate the hour burdens in Item 13 of OMB Form 83-I.</w:t>
      </w:r>
    </w:p>
    <w:p w:rsidR="003B2AD2" w:rsidRPr="00944EE7" w:rsidP="005871BF" w14:paraId="6A61F84C" w14:textId="77777777">
      <w:pPr>
        <w:tabs>
          <w:tab w:val="left" w:pos="-720"/>
          <w:tab w:val="left" w:pos="0"/>
          <w:tab w:val="left" w:pos="720"/>
        </w:tabs>
        <w:suppressAutoHyphens/>
        <w:spacing w:after="240"/>
        <w:ind w:left="1440" w:hanging="1440"/>
        <w:rPr>
          <w:b/>
          <w:sz w:val="24"/>
          <w:szCs w:val="24"/>
        </w:rPr>
      </w:pPr>
      <w:r w:rsidRPr="00944EE7">
        <w:rPr>
          <w:b/>
          <w:sz w:val="24"/>
          <w:szCs w:val="24"/>
        </w:rPr>
        <w:tab/>
        <w:t>-</w:t>
      </w:r>
      <w:r w:rsidRPr="00944EE7">
        <w:rPr>
          <w:b/>
          <w:sz w:val="24"/>
          <w:szCs w:val="24"/>
        </w:rPr>
        <w:tab/>
        <w:t>Provide estimates of annualized cost to respondents for the hours burdens for collections of information, identifying and using appropriate wage rate categories.  The cost of contracting ou</w:t>
      </w:r>
      <w:r w:rsidRPr="00944EE7" w:rsidR="00923751">
        <w:rPr>
          <w:b/>
          <w:sz w:val="24"/>
          <w:szCs w:val="24"/>
        </w:rPr>
        <w:t>t</w:t>
      </w:r>
      <w:r w:rsidRPr="00944EE7">
        <w:rPr>
          <w:b/>
          <w:sz w:val="24"/>
          <w:szCs w:val="24"/>
        </w:rPr>
        <w:t xml:space="preserve"> or paying outside parties for information collection activities should not be included here.  Instead, this cost should be included in Item 13.</w:t>
      </w:r>
    </w:p>
    <w:p w:rsidR="007C3CD2" w:rsidRPr="00704BA2" w:rsidP="00487DDC" w14:paraId="3825CEA4" w14:textId="7FA48727">
      <w:pPr>
        <w:spacing w:after="240"/>
        <w:ind w:left="720"/>
        <w:rPr>
          <w:sz w:val="24"/>
          <w:szCs w:val="24"/>
        </w:rPr>
      </w:pPr>
      <w:r>
        <w:rPr>
          <w:sz w:val="24"/>
          <w:szCs w:val="24"/>
        </w:rPr>
        <w:t>See Attachment A.</w:t>
      </w:r>
      <w:r>
        <w:rPr>
          <w:sz w:val="24"/>
          <w:szCs w:val="24"/>
        </w:rPr>
        <w:t xml:space="preserve">  </w:t>
      </w:r>
      <w:r w:rsidR="00AD4055">
        <w:rPr>
          <w:sz w:val="24"/>
          <w:szCs w:val="24"/>
        </w:rPr>
        <w:t xml:space="preserve">The </w:t>
      </w:r>
      <w:r w:rsidR="00CC47F6">
        <w:rPr>
          <w:sz w:val="24"/>
          <w:szCs w:val="24"/>
        </w:rPr>
        <w:t xml:space="preserve">number of respondents is based on </w:t>
      </w:r>
      <w:r w:rsidR="004D4351">
        <w:rPr>
          <w:sz w:val="24"/>
          <w:szCs w:val="24"/>
        </w:rPr>
        <w:t xml:space="preserve">four </w:t>
      </w:r>
      <w:r w:rsidR="00CC47F6">
        <w:rPr>
          <w:sz w:val="24"/>
          <w:szCs w:val="24"/>
        </w:rPr>
        <w:t xml:space="preserve">existing exempt DCOs, and </w:t>
      </w:r>
      <w:r w:rsidR="00D953FC">
        <w:rPr>
          <w:sz w:val="24"/>
          <w:szCs w:val="24"/>
        </w:rPr>
        <w:t>one</w:t>
      </w:r>
      <w:r w:rsidR="002F1350">
        <w:rPr>
          <w:sz w:val="24"/>
          <w:szCs w:val="24"/>
        </w:rPr>
        <w:t xml:space="preserve"> </w:t>
      </w:r>
      <w:r w:rsidR="00F43A7D">
        <w:rPr>
          <w:sz w:val="24"/>
          <w:szCs w:val="24"/>
        </w:rPr>
        <w:t>application for exemption per year.</w:t>
      </w:r>
      <w:r w:rsidR="00D953FC">
        <w:rPr>
          <w:sz w:val="24"/>
          <w:szCs w:val="24"/>
        </w:rPr>
        <w:t xml:space="preserve"> </w:t>
      </w:r>
      <w:r w:rsidR="00997FD0">
        <w:rPr>
          <w:sz w:val="24"/>
          <w:szCs w:val="24"/>
        </w:rPr>
        <w:t xml:space="preserve">Burden hours and costs were estimated based </w:t>
      </w:r>
      <w:r w:rsidR="00997FD0">
        <w:rPr>
          <w:sz w:val="24"/>
          <w:szCs w:val="24"/>
        </w:rPr>
        <w:t xml:space="preserve">on </w:t>
      </w:r>
      <w:r w:rsidR="000465FA">
        <w:rPr>
          <w:sz w:val="24"/>
          <w:szCs w:val="24"/>
        </w:rPr>
        <w:t xml:space="preserve">the </w:t>
      </w:r>
      <w:r w:rsidR="00997FD0">
        <w:rPr>
          <w:sz w:val="24"/>
          <w:szCs w:val="24"/>
        </w:rPr>
        <w:t xml:space="preserve">existing information collection for </w:t>
      </w:r>
      <w:r w:rsidR="000D2FDC">
        <w:rPr>
          <w:sz w:val="24"/>
          <w:szCs w:val="24"/>
        </w:rPr>
        <w:t xml:space="preserve">DCO registration and </w:t>
      </w:r>
      <w:r w:rsidR="00096A20">
        <w:rPr>
          <w:sz w:val="24"/>
          <w:szCs w:val="24"/>
        </w:rPr>
        <w:t>reporting</w:t>
      </w:r>
      <w:r w:rsidR="000D2FDC">
        <w:rPr>
          <w:sz w:val="24"/>
          <w:szCs w:val="24"/>
        </w:rPr>
        <w:t>,</w:t>
      </w:r>
      <w:r>
        <w:rPr>
          <w:rStyle w:val="FootnoteReference"/>
          <w:sz w:val="24"/>
          <w:szCs w:val="24"/>
        </w:rPr>
        <w:footnoteReference w:id="6"/>
      </w:r>
      <w:r w:rsidR="000D2FDC">
        <w:rPr>
          <w:sz w:val="24"/>
          <w:szCs w:val="24"/>
        </w:rPr>
        <w:t xml:space="preserve"> adjusted to reflect the significantly lower burde</w:t>
      </w:r>
      <w:r w:rsidR="004C7268">
        <w:rPr>
          <w:sz w:val="24"/>
          <w:szCs w:val="24"/>
        </w:rPr>
        <w:t xml:space="preserve">n of the </w:t>
      </w:r>
      <w:r w:rsidR="006A521B">
        <w:rPr>
          <w:sz w:val="24"/>
          <w:szCs w:val="24"/>
        </w:rPr>
        <w:t>r</w:t>
      </w:r>
      <w:r w:rsidR="004C7268">
        <w:rPr>
          <w:sz w:val="24"/>
          <w:szCs w:val="24"/>
        </w:rPr>
        <w:t>egulations.</w:t>
      </w:r>
    </w:p>
    <w:p w:rsidR="003B2AD2" w:rsidRPr="003B2AD2" w:rsidP="00B1763B" w14:paraId="338ED53D" w14:textId="0AC2A798">
      <w:pPr>
        <w:tabs>
          <w:tab w:val="left" w:pos="-720"/>
          <w:tab w:val="left" w:pos="0"/>
        </w:tabs>
        <w:suppressAutoHyphens/>
        <w:spacing w:after="240"/>
        <w:ind w:left="720" w:hanging="720"/>
        <w:rPr>
          <w:sz w:val="24"/>
          <w:szCs w:val="24"/>
        </w:rPr>
      </w:pPr>
      <w:r w:rsidRPr="00944EE7">
        <w:rPr>
          <w:b/>
          <w:sz w:val="24"/>
          <w:szCs w:val="24"/>
        </w:rPr>
        <w:t>13.</w:t>
      </w:r>
      <w:r w:rsidRPr="00944EE7">
        <w:rPr>
          <w:b/>
          <w:sz w:val="24"/>
          <w:szCs w:val="24"/>
        </w:rPr>
        <w:tab/>
        <w:t xml:space="preserve">Provide an estimate of the total annual cost burden to respondents or </w:t>
      </w:r>
      <w:r w:rsidRPr="00944EE7" w:rsidR="002B23C9">
        <w:rPr>
          <w:b/>
          <w:sz w:val="24"/>
          <w:szCs w:val="24"/>
        </w:rPr>
        <w:t>record keepers</w:t>
      </w:r>
      <w:r w:rsidRPr="00944EE7">
        <w:rPr>
          <w:b/>
          <w:sz w:val="24"/>
          <w:szCs w:val="24"/>
        </w:rPr>
        <w:t xml:space="preserve"> resulting f</w:t>
      </w:r>
      <w:r w:rsidRPr="00944EE7" w:rsidR="00CE5FA4">
        <w:rPr>
          <w:b/>
          <w:sz w:val="24"/>
          <w:szCs w:val="24"/>
        </w:rPr>
        <w:t>r</w:t>
      </w:r>
      <w:r w:rsidRPr="00944EE7">
        <w:rPr>
          <w:b/>
          <w:sz w:val="24"/>
          <w:szCs w:val="24"/>
        </w:rPr>
        <w:t>om the collection of information.  (Do not include the cost of any hour burden shown in Items 12 and 14).</w:t>
      </w:r>
    </w:p>
    <w:p w:rsidR="003B2AD2" w:rsidRPr="00944EE7" w:rsidP="000908EC" w14:paraId="0D0DACBB" w14:textId="02CB2A1F">
      <w:pPr>
        <w:tabs>
          <w:tab w:val="left" w:pos="-720"/>
          <w:tab w:val="left" w:pos="0"/>
          <w:tab w:val="left" w:pos="720"/>
        </w:tabs>
        <w:suppressAutoHyphens/>
        <w:spacing w:after="240"/>
        <w:ind w:left="1440" w:hanging="1440"/>
        <w:rPr>
          <w:b/>
          <w:sz w:val="24"/>
          <w:szCs w:val="24"/>
        </w:rPr>
      </w:pPr>
      <w:r w:rsidRPr="00944EE7">
        <w:rPr>
          <w:b/>
          <w:sz w:val="24"/>
          <w:szCs w:val="24"/>
        </w:rPr>
        <w:tab/>
        <w:t>-</w:t>
      </w:r>
      <w:r w:rsidRPr="00944EE7">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944EE7">
        <w:rPr>
          <w:b/>
          <w:sz w:val="24"/>
          <w:szCs w:val="24"/>
        </w:rPr>
        <w:t>take into account</w:t>
      </w:r>
      <w:r w:rsidRPr="00944EE7">
        <w:rPr>
          <w:b/>
          <w:sz w:val="24"/>
          <w:szCs w:val="24"/>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B2AD2" w:rsidRPr="00944EE7" w:rsidP="005871BF" w14:paraId="60A83435" w14:textId="77777777">
      <w:pPr>
        <w:tabs>
          <w:tab w:val="left" w:pos="-720"/>
          <w:tab w:val="left" w:pos="0"/>
          <w:tab w:val="left" w:pos="720"/>
        </w:tabs>
        <w:suppressAutoHyphens/>
        <w:spacing w:after="240"/>
        <w:ind w:left="1440" w:hanging="1440"/>
        <w:rPr>
          <w:b/>
          <w:sz w:val="24"/>
          <w:szCs w:val="24"/>
        </w:rPr>
      </w:pPr>
      <w:r w:rsidRPr="00944EE7">
        <w:rPr>
          <w:b/>
          <w:sz w:val="24"/>
          <w:szCs w:val="24"/>
        </w:rPr>
        <w:tab/>
        <w:t>-</w:t>
      </w:r>
      <w:r w:rsidRPr="00944EE7">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3B2AD2" w:rsidRPr="00944EE7" w:rsidP="005871BF" w14:paraId="6B456310" w14:textId="77777777">
      <w:pPr>
        <w:tabs>
          <w:tab w:val="left" w:pos="-720"/>
          <w:tab w:val="left" w:pos="0"/>
          <w:tab w:val="left" w:pos="720"/>
        </w:tabs>
        <w:suppressAutoHyphens/>
        <w:spacing w:after="240"/>
        <w:ind w:left="1440" w:hanging="1440"/>
        <w:rPr>
          <w:b/>
          <w:sz w:val="24"/>
          <w:szCs w:val="24"/>
        </w:rPr>
      </w:pPr>
      <w:r w:rsidRPr="00944EE7">
        <w:rPr>
          <w:b/>
          <w:sz w:val="24"/>
          <w:szCs w:val="24"/>
        </w:rPr>
        <w:tab/>
        <w:t>-</w:t>
      </w:r>
      <w:r w:rsidRPr="00944EE7">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944EE7" w:rsidR="00E825A7">
        <w:rPr>
          <w:b/>
          <w:sz w:val="24"/>
          <w:szCs w:val="24"/>
        </w:rPr>
        <w:t>government</w:t>
      </w:r>
      <w:r w:rsidRPr="00944EE7">
        <w:rPr>
          <w:b/>
          <w:sz w:val="24"/>
          <w:szCs w:val="24"/>
        </w:rPr>
        <w:t xml:space="preserve"> or (4) as part of customary and usual business or private practices.</w:t>
      </w:r>
    </w:p>
    <w:p w:rsidR="005F5B09" w:rsidRPr="00944EE7" w:rsidP="000908EC" w14:paraId="504854B5" w14:textId="4F862C78">
      <w:pPr>
        <w:tabs>
          <w:tab w:val="left" w:pos="-720"/>
        </w:tabs>
        <w:suppressAutoHyphens/>
        <w:spacing w:after="240"/>
        <w:ind w:left="720"/>
        <w:rPr>
          <w:b/>
          <w:sz w:val="24"/>
          <w:szCs w:val="24"/>
        </w:rPr>
      </w:pPr>
      <w:r>
        <w:rPr>
          <w:sz w:val="24"/>
          <w:szCs w:val="24"/>
        </w:rPr>
        <w:t xml:space="preserve">The costs </w:t>
      </w:r>
      <w:r w:rsidR="0040634B">
        <w:rPr>
          <w:sz w:val="24"/>
          <w:szCs w:val="24"/>
        </w:rPr>
        <w:t xml:space="preserve">associated with the </w:t>
      </w:r>
      <w:r w:rsidR="00C522B0">
        <w:rPr>
          <w:sz w:val="24"/>
          <w:szCs w:val="24"/>
        </w:rPr>
        <w:t>r</w:t>
      </w:r>
      <w:r w:rsidR="0040634B">
        <w:rPr>
          <w:sz w:val="24"/>
          <w:szCs w:val="24"/>
        </w:rPr>
        <w:t>egulations are provided in the responses to questions 12 and 14.</w:t>
      </w:r>
      <w:r w:rsidR="00997FD0">
        <w:rPr>
          <w:sz w:val="24"/>
          <w:szCs w:val="24"/>
        </w:rPr>
        <w:t xml:space="preserve"> </w:t>
      </w:r>
      <w:r w:rsidR="00A72970">
        <w:rPr>
          <w:sz w:val="24"/>
          <w:szCs w:val="24"/>
        </w:rPr>
        <w:t>N</w:t>
      </w:r>
      <w:r w:rsidR="008C738E">
        <w:rPr>
          <w:sz w:val="24"/>
          <w:szCs w:val="24"/>
        </w:rPr>
        <w:t xml:space="preserve">o initial/startup costs </w:t>
      </w:r>
      <w:r w:rsidR="00A72970">
        <w:rPr>
          <w:sz w:val="24"/>
          <w:szCs w:val="24"/>
        </w:rPr>
        <w:t>are anticipated</w:t>
      </w:r>
      <w:r w:rsidR="008C738E">
        <w:rPr>
          <w:sz w:val="24"/>
          <w:szCs w:val="24"/>
        </w:rPr>
        <w:t>.</w:t>
      </w:r>
    </w:p>
    <w:p w:rsidR="007C3CD2" w:rsidP="005871BF" w14:paraId="04BD2741" w14:textId="6964D567">
      <w:pPr>
        <w:tabs>
          <w:tab w:val="left" w:pos="-720"/>
        </w:tabs>
        <w:suppressAutoHyphens/>
        <w:spacing w:after="240"/>
        <w:ind w:left="720" w:hanging="720"/>
        <w:rPr>
          <w:sz w:val="24"/>
          <w:szCs w:val="24"/>
        </w:rPr>
      </w:pPr>
      <w:r w:rsidRPr="00944EE7">
        <w:rPr>
          <w:b/>
          <w:sz w:val="24"/>
          <w:szCs w:val="24"/>
        </w:rPr>
        <w:t>14.</w:t>
      </w:r>
      <w:r w:rsidRPr="00944EE7">
        <w:rPr>
          <w:b/>
          <w:sz w:val="24"/>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w:t>
      </w:r>
      <w:r w:rsidRPr="00944EE7">
        <w:rPr>
          <w:b/>
          <w:sz w:val="24"/>
          <w:szCs w:val="24"/>
        </w:rPr>
        <w:t>incurred without this collection of information.  Agencies may also aggregate cost estimates from Items 12, 13, and 14 in a single table.</w:t>
      </w:r>
    </w:p>
    <w:p w:rsidR="00D15459" w:rsidP="000908EC" w14:paraId="3D7D1055" w14:textId="2844205F">
      <w:pPr>
        <w:spacing w:after="240"/>
        <w:ind w:left="720"/>
        <w:rPr>
          <w:sz w:val="24"/>
          <w:szCs w:val="24"/>
        </w:rPr>
      </w:pPr>
      <w:r w:rsidRPr="00F02CFA">
        <w:rPr>
          <w:sz w:val="24"/>
          <w:szCs w:val="24"/>
        </w:rPr>
        <w:t xml:space="preserve">The primary cost to the federal government will be the salaries and benefits for staff to process the </w:t>
      </w:r>
      <w:r w:rsidR="0095191D">
        <w:rPr>
          <w:sz w:val="24"/>
          <w:szCs w:val="24"/>
        </w:rPr>
        <w:t xml:space="preserve">exemption applications </w:t>
      </w:r>
      <w:r w:rsidRPr="00F02CFA">
        <w:rPr>
          <w:sz w:val="24"/>
          <w:szCs w:val="24"/>
        </w:rPr>
        <w:t xml:space="preserve">received; </w:t>
      </w:r>
      <w:r w:rsidR="00C522B0">
        <w:rPr>
          <w:sz w:val="24"/>
          <w:szCs w:val="24"/>
        </w:rPr>
        <w:t xml:space="preserve">and </w:t>
      </w:r>
      <w:r w:rsidR="0095191D">
        <w:rPr>
          <w:sz w:val="24"/>
          <w:szCs w:val="24"/>
        </w:rPr>
        <w:t xml:space="preserve">to </w:t>
      </w:r>
      <w:r w:rsidRPr="00F02CFA">
        <w:rPr>
          <w:sz w:val="24"/>
          <w:szCs w:val="24"/>
        </w:rPr>
        <w:t xml:space="preserve">periodically review reports, disclosures, and records for compliance with the </w:t>
      </w:r>
      <w:r w:rsidR="0095191D">
        <w:rPr>
          <w:sz w:val="24"/>
          <w:szCs w:val="24"/>
        </w:rPr>
        <w:t>conditions of exemption</w:t>
      </w:r>
      <w:r w:rsidR="00C522B0">
        <w:rPr>
          <w:sz w:val="24"/>
          <w:szCs w:val="24"/>
        </w:rPr>
        <w:t xml:space="preserve">.  </w:t>
      </w:r>
      <w:r w:rsidRPr="00F02CFA" w:rsidR="00F02CFA">
        <w:rPr>
          <w:sz w:val="24"/>
          <w:szCs w:val="24"/>
        </w:rPr>
        <w:t xml:space="preserve">It is anticipated that these costs will translate into </w:t>
      </w:r>
      <w:r w:rsidR="000D2FDC">
        <w:rPr>
          <w:sz w:val="24"/>
          <w:szCs w:val="24"/>
        </w:rPr>
        <w:t xml:space="preserve">five </w:t>
      </w:r>
      <w:r w:rsidRPr="000D2FDC" w:rsidR="00F02CFA">
        <w:rPr>
          <w:sz w:val="24"/>
          <w:szCs w:val="24"/>
        </w:rPr>
        <w:t>Commission employees</w:t>
      </w:r>
      <w:r w:rsidR="00AE3CAF">
        <w:rPr>
          <w:sz w:val="24"/>
          <w:szCs w:val="24"/>
        </w:rPr>
        <w:t xml:space="preserve"> at the CT-14 level</w:t>
      </w:r>
      <w:r w:rsidRPr="000D2FDC" w:rsidR="00F02CFA">
        <w:rPr>
          <w:sz w:val="24"/>
          <w:szCs w:val="24"/>
        </w:rPr>
        <w:t xml:space="preserve">, who will spend approximately </w:t>
      </w:r>
      <w:r w:rsidR="000D2FDC">
        <w:rPr>
          <w:sz w:val="24"/>
          <w:szCs w:val="24"/>
        </w:rPr>
        <w:t>5</w:t>
      </w:r>
      <w:r w:rsidRPr="000D2FDC" w:rsidR="00F02CFA">
        <w:rPr>
          <w:sz w:val="24"/>
          <w:szCs w:val="24"/>
        </w:rPr>
        <w:t xml:space="preserve">% of their time performing these tasks. </w:t>
      </w:r>
      <w:r w:rsidRPr="000D2FDC" w:rsidR="00DC2A02">
        <w:rPr>
          <w:sz w:val="24"/>
          <w:szCs w:val="24"/>
        </w:rPr>
        <w:t xml:space="preserve"> </w:t>
      </w:r>
      <w:r w:rsidRPr="000D2FDC" w:rsidR="00F02CFA">
        <w:rPr>
          <w:sz w:val="24"/>
          <w:szCs w:val="24"/>
        </w:rPr>
        <w:t xml:space="preserve">At an estimated salary cost of </w:t>
      </w:r>
      <w:r w:rsidRPr="00AF3CA6" w:rsidR="00F02CFA">
        <w:rPr>
          <w:sz w:val="24"/>
          <w:szCs w:val="24"/>
        </w:rPr>
        <w:t>$</w:t>
      </w:r>
      <w:r w:rsidR="001F0B91">
        <w:rPr>
          <w:sz w:val="24"/>
          <w:szCs w:val="24"/>
        </w:rPr>
        <w:t>93</w:t>
      </w:r>
      <w:r w:rsidRPr="000D2FDC" w:rsidR="001F0B91">
        <w:rPr>
          <w:sz w:val="24"/>
          <w:szCs w:val="24"/>
        </w:rPr>
        <w:t xml:space="preserve"> </w:t>
      </w:r>
      <w:r w:rsidRPr="000D2FDC" w:rsidR="00F02CFA">
        <w:rPr>
          <w:sz w:val="24"/>
          <w:szCs w:val="24"/>
        </w:rPr>
        <w:t>per hour per employee,</w:t>
      </w:r>
      <w:r>
        <w:rPr>
          <w:rStyle w:val="FootnoteReference"/>
          <w:sz w:val="24"/>
          <w:szCs w:val="24"/>
        </w:rPr>
        <w:footnoteReference w:id="7"/>
      </w:r>
      <w:r w:rsidRPr="000D2FDC" w:rsidR="00F02CFA">
        <w:rPr>
          <w:sz w:val="24"/>
          <w:szCs w:val="24"/>
        </w:rPr>
        <w:t xml:space="preserve"> the costs to the government will be approximately $</w:t>
      </w:r>
      <w:r w:rsidRPr="001F0B91" w:rsidR="001F0B91">
        <w:rPr>
          <w:sz w:val="24"/>
          <w:szCs w:val="24"/>
        </w:rPr>
        <w:t>48,360</w:t>
      </w:r>
      <w:r w:rsidRPr="000D2FDC" w:rsidR="00F02CFA">
        <w:rPr>
          <w:sz w:val="24"/>
          <w:szCs w:val="24"/>
        </w:rPr>
        <w:t>.</w:t>
      </w:r>
    </w:p>
    <w:p w:rsidR="003B2AD2" w:rsidRPr="00944EE7" w:rsidP="005871BF" w14:paraId="01E86A18" w14:textId="77777777">
      <w:pPr>
        <w:tabs>
          <w:tab w:val="left" w:pos="-720"/>
          <w:tab w:val="left" w:pos="0"/>
        </w:tabs>
        <w:suppressAutoHyphens/>
        <w:spacing w:after="240"/>
        <w:ind w:left="720" w:hanging="720"/>
        <w:rPr>
          <w:b/>
          <w:sz w:val="24"/>
          <w:szCs w:val="24"/>
        </w:rPr>
      </w:pPr>
      <w:r w:rsidRPr="00944EE7">
        <w:rPr>
          <w:b/>
          <w:sz w:val="24"/>
          <w:szCs w:val="24"/>
        </w:rPr>
        <w:t>15.</w:t>
      </w:r>
      <w:r w:rsidRPr="00944EE7">
        <w:rPr>
          <w:b/>
          <w:sz w:val="24"/>
          <w:szCs w:val="24"/>
        </w:rPr>
        <w:tab/>
        <w:t>Explain the reasons for any program changes or adjustments reported in Items 13 or 14 of the OMB Form 83-I.</w:t>
      </w:r>
    </w:p>
    <w:p w:rsidR="00CD7FB1" w:rsidP="00C35457" w14:paraId="0D91FA39" w14:textId="4EF2062D">
      <w:pPr>
        <w:pStyle w:val="BodyTextIndent"/>
        <w:spacing w:after="240"/>
        <w:ind w:left="720"/>
        <w:rPr>
          <w:bCs/>
          <w:sz w:val="24"/>
        </w:rPr>
      </w:pPr>
      <w:r>
        <w:rPr>
          <w:bCs/>
          <w:sz w:val="24"/>
        </w:rPr>
        <w:t>This is an existing collection in use without an approved OMB control number.</w:t>
      </w:r>
    </w:p>
    <w:p w:rsidR="001A614E" w:rsidP="00E26E68" w14:paraId="742EDAF8" w14:textId="05CAFC00">
      <w:pPr>
        <w:tabs>
          <w:tab w:val="left" w:pos="-720"/>
        </w:tabs>
        <w:suppressAutoHyphens/>
        <w:spacing w:after="240"/>
        <w:ind w:left="720"/>
        <w:rPr>
          <w:sz w:val="24"/>
          <w:szCs w:val="24"/>
        </w:rPr>
      </w:pPr>
      <w:r>
        <w:rPr>
          <w:sz w:val="24"/>
          <w:szCs w:val="24"/>
        </w:rPr>
        <w:t xml:space="preserve">In 2019, the </w:t>
      </w:r>
      <w:r w:rsidR="00406F57">
        <w:rPr>
          <w:sz w:val="24"/>
          <w:szCs w:val="24"/>
        </w:rPr>
        <w:t>CFTC issued a Supplemental Notice of Proposed Rulemaking that proposed changes to Part 39.6 of the Commission’s regulations.  The proposed changes includ</w:t>
      </w:r>
      <w:r>
        <w:rPr>
          <w:sz w:val="24"/>
          <w:szCs w:val="24"/>
        </w:rPr>
        <w:t>ed</w:t>
      </w:r>
      <w:r w:rsidR="00406F57">
        <w:rPr>
          <w:sz w:val="24"/>
          <w:szCs w:val="24"/>
        </w:rPr>
        <w:t xml:space="preserve"> new information collection requirements.</w:t>
      </w:r>
      <w:r>
        <w:rPr>
          <w:rStyle w:val="FootnoteReference"/>
          <w:sz w:val="24"/>
          <w:szCs w:val="24"/>
        </w:rPr>
        <w:footnoteReference w:id="8"/>
      </w:r>
      <w:r w:rsidR="00406F57">
        <w:rPr>
          <w:sz w:val="24"/>
          <w:szCs w:val="24"/>
        </w:rPr>
        <w:t xml:space="preserve">  </w:t>
      </w:r>
      <w:r w:rsidR="00C56A6D">
        <w:rPr>
          <w:i/>
          <w:sz w:val="24"/>
          <w:szCs w:val="24"/>
        </w:rPr>
        <w:t xml:space="preserve">See </w:t>
      </w:r>
      <w:r w:rsidR="00C56A6D">
        <w:rPr>
          <w:sz w:val="24"/>
          <w:szCs w:val="24"/>
        </w:rPr>
        <w:t xml:space="preserve">84 FR 35456, 35466 (July 23, 2019).  </w:t>
      </w:r>
      <w:r>
        <w:rPr>
          <w:sz w:val="24"/>
          <w:szCs w:val="24"/>
        </w:rPr>
        <w:t>OMB assigned new Control Number 3038-0117 in connection with the SNRPM proposal.</w:t>
      </w:r>
    </w:p>
    <w:p w:rsidR="001536A6" w:rsidRPr="003B2AD2" w:rsidP="00E26E68" w14:paraId="1AE0B10E" w14:textId="7C129DE9">
      <w:pPr>
        <w:tabs>
          <w:tab w:val="left" w:pos="-720"/>
        </w:tabs>
        <w:suppressAutoHyphens/>
        <w:spacing w:after="240"/>
        <w:ind w:left="720"/>
        <w:rPr>
          <w:sz w:val="24"/>
          <w:szCs w:val="24"/>
        </w:rPr>
      </w:pPr>
      <w:r>
        <w:rPr>
          <w:sz w:val="24"/>
          <w:szCs w:val="24"/>
        </w:rPr>
        <w:t>In 2021, t</w:t>
      </w:r>
      <w:r w:rsidR="004D5D90">
        <w:rPr>
          <w:sz w:val="24"/>
          <w:szCs w:val="24"/>
        </w:rPr>
        <w:t xml:space="preserve">he </w:t>
      </w:r>
      <w:r w:rsidRPr="004D5D90" w:rsidR="004D5D90">
        <w:rPr>
          <w:sz w:val="24"/>
          <w:szCs w:val="24"/>
        </w:rPr>
        <w:t xml:space="preserve">Commission </w:t>
      </w:r>
      <w:r w:rsidR="006A521B">
        <w:rPr>
          <w:sz w:val="24"/>
          <w:szCs w:val="24"/>
        </w:rPr>
        <w:t>a</w:t>
      </w:r>
      <w:r w:rsidRPr="004D5D90" w:rsidR="004D5D90">
        <w:rPr>
          <w:sz w:val="24"/>
          <w:szCs w:val="24"/>
        </w:rPr>
        <w:t>mend</w:t>
      </w:r>
      <w:r w:rsidR="006A521B">
        <w:rPr>
          <w:sz w:val="24"/>
          <w:szCs w:val="24"/>
        </w:rPr>
        <w:t>ed</w:t>
      </w:r>
      <w:r w:rsidRPr="004D5D90" w:rsidR="004D5D90">
        <w:rPr>
          <w:sz w:val="24"/>
          <w:szCs w:val="24"/>
        </w:rPr>
        <w:t xml:space="preserve"> part 39</w:t>
      </w:r>
      <w:r w:rsidR="00406F57">
        <w:rPr>
          <w:sz w:val="24"/>
          <w:szCs w:val="24"/>
        </w:rPr>
        <w:t>.6</w:t>
      </w:r>
      <w:r w:rsidRPr="004D5D90" w:rsidR="004D5D90">
        <w:rPr>
          <w:sz w:val="24"/>
          <w:szCs w:val="24"/>
        </w:rPr>
        <w:t xml:space="preserve"> to </w:t>
      </w:r>
      <w:r w:rsidR="00406F57">
        <w:rPr>
          <w:sz w:val="24"/>
          <w:szCs w:val="24"/>
        </w:rPr>
        <w:t xml:space="preserve">adopt several of the proposed changes and </w:t>
      </w:r>
      <w:r w:rsidRPr="004D5D90" w:rsidR="004D5D90">
        <w:rPr>
          <w:sz w:val="24"/>
          <w:szCs w:val="24"/>
        </w:rPr>
        <w:t xml:space="preserve">establish a regulatory framework within which the Commission may exempt a clearing organization organized outside of the United States from registration as a DCO in connection with the clearing organization’s clearing of swaps. </w:t>
      </w:r>
      <w:r w:rsidR="00C56A6D">
        <w:rPr>
          <w:sz w:val="24"/>
          <w:szCs w:val="24"/>
        </w:rPr>
        <w:t xml:space="preserve"> </w:t>
      </w:r>
      <w:r w:rsidR="00C56A6D">
        <w:rPr>
          <w:i/>
          <w:sz w:val="24"/>
          <w:szCs w:val="24"/>
        </w:rPr>
        <w:t xml:space="preserve">See </w:t>
      </w:r>
      <w:r w:rsidR="00C56A6D">
        <w:rPr>
          <w:sz w:val="24"/>
          <w:szCs w:val="24"/>
        </w:rPr>
        <w:t xml:space="preserve">86 FR 949 (Jan. 7, 2021).  </w:t>
      </w:r>
      <w:r w:rsidR="001A614E">
        <w:rPr>
          <w:sz w:val="24"/>
          <w:szCs w:val="24"/>
        </w:rPr>
        <w:t>The Commission inadvertently failed to file a request with OMB to approve the new information collection requirements under Collection 3038-0117 when this Final Rule was published.</w:t>
      </w:r>
      <w:r w:rsidR="00214446">
        <w:rPr>
          <w:sz w:val="24"/>
          <w:szCs w:val="24"/>
        </w:rPr>
        <w:t xml:space="preserve">  </w:t>
      </w:r>
      <w:r w:rsidR="004D5D90">
        <w:rPr>
          <w:sz w:val="24"/>
          <w:szCs w:val="24"/>
        </w:rPr>
        <w:t xml:space="preserve">The </w:t>
      </w:r>
      <w:r w:rsidR="00406F57">
        <w:rPr>
          <w:sz w:val="24"/>
          <w:szCs w:val="24"/>
        </w:rPr>
        <w:t xml:space="preserve">new </w:t>
      </w:r>
      <w:r w:rsidR="0007387B">
        <w:rPr>
          <w:sz w:val="24"/>
          <w:szCs w:val="24"/>
        </w:rPr>
        <w:t xml:space="preserve">regulations </w:t>
      </w:r>
      <w:r w:rsidR="00214446">
        <w:rPr>
          <w:sz w:val="24"/>
          <w:szCs w:val="24"/>
        </w:rPr>
        <w:t>adopted in the Final Rule included</w:t>
      </w:r>
      <w:r w:rsidRPr="004D5D90" w:rsidR="004D5D90">
        <w:rPr>
          <w:sz w:val="24"/>
          <w:szCs w:val="24"/>
        </w:rPr>
        <w:t xml:space="preserve"> </w:t>
      </w:r>
      <w:r w:rsidR="00406F57">
        <w:rPr>
          <w:sz w:val="24"/>
          <w:szCs w:val="24"/>
        </w:rPr>
        <w:t xml:space="preserve">several </w:t>
      </w:r>
      <w:r w:rsidRPr="004D5D90" w:rsidR="004D5D90">
        <w:rPr>
          <w:sz w:val="24"/>
          <w:szCs w:val="24"/>
        </w:rPr>
        <w:t xml:space="preserve">reporting requirements </w:t>
      </w:r>
      <w:r w:rsidR="00406F57">
        <w:rPr>
          <w:sz w:val="24"/>
          <w:szCs w:val="24"/>
        </w:rPr>
        <w:t>associated with the</w:t>
      </w:r>
      <w:r w:rsidR="004D5D90">
        <w:rPr>
          <w:sz w:val="24"/>
          <w:szCs w:val="24"/>
        </w:rPr>
        <w:t xml:space="preserve"> </w:t>
      </w:r>
      <w:r w:rsidRPr="004D5D90" w:rsidR="004D5D90">
        <w:rPr>
          <w:sz w:val="24"/>
          <w:szCs w:val="24"/>
        </w:rPr>
        <w:t xml:space="preserve">application process for </w:t>
      </w:r>
      <w:r w:rsidR="004D5D90">
        <w:rPr>
          <w:sz w:val="24"/>
          <w:szCs w:val="24"/>
        </w:rPr>
        <w:t xml:space="preserve">the </w:t>
      </w:r>
      <w:r w:rsidRPr="004D5D90" w:rsidR="004D5D90">
        <w:rPr>
          <w:sz w:val="24"/>
          <w:szCs w:val="24"/>
        </w:rPr>
        <w:t>exemption from DCO registration</w:t>
      </w:r>
      <w:r w:rsidR="00406F57">
        <w:rPr>
          <w:sz w:val="24"/>
          <w:szCs w:val="24"/>
        </w:rPr>
        <w:t xml:space="preserve">, but the Commission declined to adopt a proposed third-party reporting (disclosure) requirement </w:t>
      </w:r>
      <w:r w:rsidR="00C56A6D">
        <w:rPr>
          <w:sz w:val="24"/>
          <w:szCs w:val="24"/>
        </w:rPr>
        <w:t>that was proposed in the SNPRM</w:t>
      </w:r>
      <w:r w:rsidR="004D5D90">
        <w:rPr>
          <w:sz w:val="24"/>
          <w:szCs w:val="24"/>
        </w:rPr>
        <w:t>.</w:t>
      </w:r>
      <w:r w:rsidR="00C56A6D">
        <w:rPr>
          <w:sz w:val="24"/>
          <w:szCs w:val="24"/>
        </w:rPr>
        <w:t xml:space="preserve">  As a result, the annual hours burden associated wit</w:t>
      </w:r>
      <w:r w:rsidR="001A614E">
        <w:rPr>
          <w:sz w:val="24"/>
          <w:szCs w:val="24"/>
        </w:rPr>
        <w:t>h this request includes 257 hours of reporting burden</w:t>
      </w:r>
      <w:r w:rsidR="00FF7854">
        <w:rPr>
          <w:sz w:val="24"/>
          <w:szCs w:val="24"/>
        </w:rPr>
        <w:t>, as shown in Attachment A</w:t>
      </w:r>
      <w:r w:rsidR="001A614E">
        <w:rPr>
          <w:sz w:val="24"/>
          <w:szCs w:val="24"/>
        </w:rPr>
        <w:t>.</w:t>
      </w:r>
    </w:p>
    <w:p w:rsidR="003B2AD2" w:rsidRPr="00944EE7" w:rsidP="005871BF" w14:paraId="511C86D1" w14:textId="77777777">
      <w:pPr>
        <w:tabs>
          <w:tab w:val="left" w:pos="-720"/>
          <w:tab w:val="left" w:pos="0"/>
        </w:tabs>
        <w:suppressAutoHyphens/>
        <w:spacing w:after="240"/>
        <w:ind w:left="720" w:hanging="720"/>
        <w:rPr>
          <w:b/>
          <w:sz w:val="24"/>
          <w:szCs w:val="24"/>
        </w:rPr>
      </w:pPr>
      <w:r w:rsidRPr="00944EE7">
        <w:rPr>
          <w:b/>
          <w:sz w:val="24"/>
          <w:szCs w:val="24"/>
        </w:rPr>
        <w:t>16.</w:t>
      </w:r>
      <w:r w:rsidRPr="00944EE7">
        <w:rPr>
          <w:b/>
          <w:sz w:val="24"/>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3B2AD2" w:rsidRPr="003B2AD2" w:rsidP="00E26E68" w14:paraId="43BC856A" w14:textId="5949A56A">
      <w:pPr>
        <w:tabs>
          <w:tab w:val="left" w:pos="-720"/>
        </w:tabs>
        <w:suppressAutoHyphens/>
        <w:spacing w:after="240"/>
        <w:ind w:left="720"/>
        <w:rPr>
          <w:sz w:val="24"/>
          <w:szCs w:val="24"/>
        </w:rPr>
      </w:pPr>
      <w:r>
        <w:rPr>
          <w:sz w:val="24"/>
          <w:szCs w:val="24"/>
        </w:rPr>
        <w:t>This question does not apply.</w:t>
      </w:r>
    </w:p>
    <w:p w:rsidR="003B2AD2" w:rsidRPr="00944EE7" w:rsidP="005871BF" w14:paraId="50CD3F52" w14:textId="77777777">
      <w:pPr>
        <w:tabs>
          <w:tab w:val="left" w:pos="-720"/>
          <w:tab w:val="left" w:pos="0"/>
        </w:tabs>
        <w:suppressAutoHyphens/>
        <w:spacing w:after="240"/>
        <w:ind w:left="720" w:hanging="720"/>
        <w:rPr>
          <w:b/>
          <w:sz w:val="24"/>
          <w:szCs w:val="24"/>
        </w:rPr>
      </w:pPr>
      <w:r w:rsidRPr="00944EE7">
        <w:rPr>
          <w:b/>
          <w:sz w:val="24"/>
          <w:szCs w:val="24"/>
        </w:rPr>
        <w:t>17.</w:t>
      </w:r>
      <w:r w:rsidRPr="00944EE7">
        <w:rPr>
          <w:b/>
          <w:sz w:val="24"/>
          <w:szCs w:val="24"/>
        </w:rPr>
        <w:tab/>
        <w:t>If seeking approval to not display the expiration date for OMB approval of the information collection, explain the reasons that display would be inappropriate.</w:t>
      </w:r>
    </w:p>
    <w:p w:rsidR="003B2AD2" w:rsidRPr="003B2AD2" w:rsidP="00E26E68" w14:paraId="2B8918FA" w14:textId="1B31E888">
      <w:pPr>
        <w:tabs>
          <w:tab w:val="left" w:pos="-720"/>
        </w:tabs>
        <w:suppressAutoHyphens/>
        <w:spacing w:after="240"/>
        <w:ind w:left="720"/>
        <w:rPr>
          <w:sz w:val="24"/>
          <w:szCs w:val="24"/>
        </w:rPr>
      </w:pPr>
      <w:r>
        <w:rPr>
          <w:sz w:val="24"/>
          <w:szCs w:val="24"/>
        </w:rPr>
        <w:t>This question does not apply.</w:t>
      </w:r>
    </w:p>
    <w:p w:rsidR="003B2AD2" w:rsidRPr="00944EE7" w:rsidP="005871BF" w14:paraId="3E72F20E" w14:textId="05609330">
      <w:pPr>
        <w:tabs>
          <w:tab w:val="left" w:pos="-720"/>
          <w:tab w:val="left" w:pos="0"/>
        </w:tabs>
        <w:suppressAutoHyphens/>
        <w:spacing w:after="240"/>
        <w:ind w:left="720" w:hanging="720"/>
        <w:rPr>
          <w:b/>
          <w:sz w:val="24"/>
          <w:szCs w:val="24"/>
        </w:rPr>
      </w:pPr>
      <w:r w:rsidRPr="00944EE7">
        <w:rPr>
          <w:b/>
          <w:sz w:val="24"/>
          <w:szCs w:val="24"/>
        </w:rPr>
        <w:t>18.</w:t>
      </w:r>
      <w:r w:rsidRPr="00944EE7">
        <w:rPr>
          <w:b/>
          <w:sz w:val="24"/>
          <w:szCs w:val="24"/>
        </w:rPr>
        <w:tab/>
        <w:t xml:space="preserve">Explain each exception to the certification statement identified in Item 19, </w:t>
      </w:r>
      <w:r w:rsidR="00E26E68">
        <w:rPr>
          <w:b/>
          <w:sz w:val="24"/>
          <w:szCs w:val="24"/>
        </w:rPr>
        <w:t>“</w:t>
      </w:r>
      <w:r w:rsidRPr="00944EE7">
        <w:rPr>
          <w:b/>
          <w:sz w:val="24"/>
          <w:szCs w:val="24"/>
        </w:rPr>
        <w:t>Certification for Paperwork Reduction Act Submissions,</w:t>
      </w:r>
      <w:r w:rsidR="00E26E68">
        <w:rPr>
          <w:b/>
          <w:sz w:val="24"/>
          <w:szCs w:val="24"/>
        </w:rPr>
        <w:t>”</w:t>
      </w:r>
      <w:r w:rsidRPr="00944EE7">
        <w:rPr>
          <w:b/>
          <w:sz w:val="24"/>
          <w:szCs w:val="24"/>
        </w:rPr>
        <w:t xml:space="preserve"> of OMB Form 83-I.</w:t>
      </w:r>
    </w:p>
    <w:p w:rsidR="003B2AD2" w:rsidRPr="003B2AD2" w:rsidP="00E26E68" w14:paraId="18CAD4EA" w14:textId="0B7B39F4">
      <w:pPr>
        <w:tabs>
          <w:tab w:val="left" w:pos="-720"/>
        </w:tabs>
        <w:suppressAutoHyphens/>
        <w:spacing w:after="240"/>
        <w:ind w:left="720"/>
        <w:rPr>
          <w:sz w:val="24"/>
          <w:szCs w:val="24"/>
        </w:rPr>
      </w:pPr>
      <w:r>
        <w:rPr>
          <w:sz w:val="24"/>
          <w:szCs w:val="24"/>
        </w:rPr>
        <w:t>This question does not apply.</w:t>
      </w:r>
    </w:p>
    <w:p w:rsidR="00944EE7" w:rsidP="005C5483" w14:paraId="335CF5ED" w14:textId="77777777">
      <w:pPr>
        <w:jc w:val="center"/>
        <w:rPr>
          <w:rFonts w:ascii="Arial" w:hAnsi="Arial"/>
          <w:sz w:val="24"/>
          <w:szCs w:val="24"/>
        </w:rPr>
        <w:sectPr w:rsidSect="009B76EB">
          <w:headerReference w:type="default" r:id="rId10"/>
          <w:footerReference w:type="default" r:id="rId11"/>
          <w:pgSz w:w="12240" w:h="15840"/>
          <w:pgMar w:top="1440" w:right="1440" w:bottom="1260" w:left="1440" w:header="720" w:footer="720" w:gutter="0"/>
          <w:cols w:space="720"/>
        </w:sectPr>
      </w:pPr>
    </w:p>
    <w:p w:rsidR="00593353" w:rsidRPr="00944EE7" w:rsidP="00C35457" w14:paraId="3856C423" w14:textId="5C6663E2">
      <w:pPr>
        <w:spacing w:after="240"/>
        <w:jc w:val="center"/>
        <w:rPr>
          <w:b/>
          <w:sz w:val="24"/>
          <w:szCs w:val="24"/>
          <w:u w:val="single"/>
        </w:rPr>
      </w:pPr>
      <w:r w:rsidRPr="00944EE7">
        <w:rPr>
          <w:b/>
          <w:sz w:val="24"/>
          <w:szCs w:val="24"/>
          <w:u w:val="single"/>
        </w:rPr>
        <w:t>Attachment A</w:t>
      </w:r>
    </w:p>
    <w:p w:rsidR="009A74B8" w:rsidRPr="00944EE7" w:rsidP="00C35457" w14:paraId="288B8494" w14:textId="77777777">
      <w:pPr>
        <w:spacing w:after="240"/>
        <w:jc w:val="center"/>
        <w:rPr>
          <w:b/>
          <w:sz w:val="24"/>
          <w:szCs w:val="24"/>
        </w:rPr>
      </w:pPr>
      <w:r w:rsidRPr="00944EE7">
        <w:rPr>
          <w:b/>
          <w:sz w:val="24"/>
          <w:szCs w:val="24"/>
        </w:rPr>
        <w:t xml:space="preserve">OMB </w:t>
      </w:r>
      <w:r w:rsidRPr="00944EE7" w:rsidR="00DC743B">
        <w:rPr>
          <w:b/>
          <w:sz w:val="24"/>
          <w:szCs w:val="24"/>
        </w:rPr>
        <w:t>Control Number</w:t>
      </w:r>
      <w:r w:rsidRPr="00944EE7">
        <w:rPr>
          <w:b/>
          <w:sz w:val="24"/>
          <w:szCs w:val="24"/>
        </w:rPr>
        <w:t xml:space="preserve"> 3038-0117</w:t>
      </w:r>
    </w:p>
    <w:p w:rsidR="009A74B8" w:rsidRPr="00944EE7" w:rsidP="00C35457" w14:paraId="76E9F466" w14:textId="77777777">
      <w:pPr>
        <w:spacing w:after="240"/>
        <w:jc w:val="center"/>
        <w:rPr>
          <w:b/>
          <w:sz w:val="24"/>
          <w:szCs w:val="24"/>
        </w:rPr>
      </w:pPr>
      <w:r w:rsidRPr="00944EE7">
        <w:rPr>
          <w:b/>
          <w:sz w:val="24"/>
          <w:szCs w:val="24"/>
        </w:rPr>
        <w:t>Exemption from Derivatives Clearing Organization Registration</w:t>
      </w:r>
    </w:p>
    <w:p w:rsidR="00795507" w:rsidP="00C35457" w14:paraId="7E8416EE" w14:textId="1D584307">
      <w:pPr>
        <w:spacing w:after="360"/>
        <w:rPr>
          <w:rFonts w:ascii="Arial" w:hAnsi="Arial"/>
          <w:sz w:val="24"/>
          <w:szCs w:val="24"/>
        </w:rPr>
      </w:pPr>
      <w:r w:rsidRPr="00944EE7">
        <w:rPr>
          <w:sz w:val="24"/>
          <w:szCs w:val="24"/>
        </w:rPr>
        <w:t xml:space="preserve">Figures in the table below reflect the burden of new information collection requirements based on the Commission’s </w:t>
      </w:r>
      <w:bookmarkStart w:id="1" w:name="_GoBack"/>
      <w:bookmarkEnd w:id="1"/>
      <w:r w:rsidRPr="00944EE7">
        <w:rPr>
          <w:sz w:val="24"/>
          <w:szCs w:val="24"/>
        </w:rPr>
        <w:t>regulations for exempt DCOs.</w:t>
      </w:r>
    </w:p>
    <w:tbl>
      <w:tblPr>
        <w:tblW w:w="14471"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9"/>
        <w:gridCol w:w="1452"/>
        <w:gridCol w:w="1350"/>
        <w:gridCol w:w="1170"/>
        <w:gridCol w:w="1170"/>
        <w:gridCol w:w="1530"/>
        <w:gridCol w:w="1350"/>
        <w:gridCol w:w="1440"/>
        <w:gridCol w:w="1710"/>
        <w:gridCol w:w="1710"/>
      </w:tblGrid>
      <w:tr w14:paraId="6EC736D4" w14:textId="77777777" w:rsidTr="005231C4">
        <w:tblPrEx>
          <w:tblW w:w="14471"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1589" w:type="dxa"/>
            <w:shd w:val="clear" w:color="auto" w:fill="D9D9D9" w:themeFill="background1" w:themeFillShade="D9"/>
            <w:vAlign w:val="bottom"/>
          </w:tcPr>
          <w:p w:rsidR="00795507" w:rsidRPr="00944EE7" w:rsidP="00D27606" w14:paraId="2C709602" w14:textId="77777777">
            <w:pPr>
              <w:rPr>
                <w:rFonts w:asciiTheme="minorHAnsi" w:hAnsiTheme="minorHAnsi" w:cstheme="minorHAnsi"/>
                <w:b/>
                <w:bCs/>
              </w:rPr>
            </w:pPr>
          </w:p>
        </w:tc>
        <w:tc>
          <w:tcPr>
            <w:tcW w:w="1452" w:type="dxa"/>
            <w:shd w:val="clear" w:color="auto" w:fill="D9D9D9" w:themeFill="background1" w:themeFillShade="D9"/>
          </w:tcPr>
          <w:p w:rsidR="00795507" w:rsidRPr="00944EE7" w:rsidP="00D27606" w14:paraId="763793C7" w14:textId="77777777">
            <w:pPr>
              <w:jc w:val="center"/>
              <w:rPr>
                <w:rFonts w:asciiTheme="minorHAnsi" w:hAnsiTheme="minorHAnsi" w:cstheme="minorHAnsi"/>
                <w:b/>
                <w:bCs/>
              </w:rPr>
            </w:pPr>
            <w:r w:rsidRPr="00944EE7">
              <w:rPr>
                <w:rFonts w:asciiTheme="minorHAnsi" w:hAnsiTheme="minorHAnsi" w:cstheme="minorHAnsi"/>
                <w:b/>
                <w:bCs/>
              </w:rPr>
              <w:t>1</w:t>
            </w:r>
          </w:p>
        </w:tc>
        <w:tc>
          <w:tcPr>
            <w:tcW w:w="1350" w:type="dxa"/>
            <w:shd w:val="clear" w:color="auto" w:fill="D9D9D9" w:themeFill="background1" w:themeFillShade="D9"/>
          </w:tcPr>
          <w:p w:rsidR="00795507" w:rsidRPr="00944EE7" w:rsidP="00D27606" w14:paraId="4D2D3D51" w14:textId="77777777">
            <w:pPr>
              <w:jc w:val="center"/>
              <w:rPr>
                <w:rFonts w:asciiTheme="minorHAnsi" w:hAnsiTheme="minorHAnsi" w:cstheme="minorHAnsi"/>
                <w:b/>
                <w:bCs/>
              </w:rPr>
            </w:pPr>
            <w:r w:rsidRPr="00944EE7">
              <w:rPr>
                <w:rFonts w:asciiTheme="minorHAnsi" w:hAnsiTheme="minorHAnsi" w:cstheme="minorHAnsi"/>
                <w:b/>
                <w:bCs/>
              </w:rPr>
              <w:t>2</w:t>
            </w:r>
          </w:p>
        </w:tc>
        <w:tc>
          <w:tcPr>
            <w:tcW w:w="1170" w:type="dxa"/>
            <w:shd w:val="clear" w:color="auto" w:fill="D9D9D9" w:themeFill="background1" w:themeFillShade="D9"/>
          </w:tcPr>
          <w:p w:rsidR="00795507" w:rsidRPr="00944EE7" w:rsidP="00D27606" w14:paraId="5B96285D" w14:textId="77777777">
            <w:pPr>
              <w:jc w:val="center"/>
              <w:rPr>
                <w:rFonts w:asciiTheme="minorHAnsi" w:hAnsiTheme="minorHAnsi" w:cstheme="minorHAnsi"/>
                <w:b/>
                <w:bCs/>
              </w:rPr>
            </w:pPr>
            <w:r w:rsidRPr="00944EE7">
              <w:rPr>
                <w:rFonts w:asciiTheme="minorHAnsi" w:hAnsiTheme="minorHAnsi" w:cstheme="minorHAnsi"/>
                <w:b/>
                <w:bCs/>
              </w:rPr>
              <w:t>3</w:t>
            </w:r>
          </w:p>
        </w:tc>
        <w:tc>
          <w:tcPr>
            <w:tcW w:w="1170" w:type="dxa"/>
            <w:shd w:val="clear" w:color="auto" w:fill="D9D9D9" w:themeFill="background1" w:themeFillShade="D9"/>
          </w:tcPr>
          <w:p w:rsidR="00795507" w:rsidRPr="00944EE7" w:rsidP="00D27606" w14:paraId="2A974CC1" w14:textId="77777777">
            <w:pPr>
              <w:jc w:val="center"/>
              <w:rPr>
                <w:rFonts w:asciiTheme="minorHAnsi" w:hAnsiTheme="minorHAnsi" w:cstheme="minorHAnsi"/>
                <w:b/>
                <w:bCs/>
              </w:rPr>
            </w:pPr>
            <w:r w:rsidRPr="00944EE7">
              <w:rPr>
                <w:rFonts w:asciiTheme="minorHAnsi" w:hAnsiTheme="minorHAnsi" w:cstheme="minorHAnsi"/>
                <w:b/>
                <w:bCs/>
              </w:rPr>
              <w:t>4</w:t>
            </w:r>
          </w:p>
        </w:tc>
        <w:tc>
          <w:tcPr>
            <w:tcW w:w="1530" w:type="dxa"/>
            <w:shd w:val="clear" w:color="auto" w:fill="D9D9D9" w:themeFill="background1" w:themeFillShade="D9"/>
          </w:tcPr>
          <w:p w:rsidR="00795507" w:rsidRPr="00944EE7" w:rsidP="00D27606" w14:paraId="09686135" w14:textId="77777777">
            <w:pPr>
              <w:jc w:val="center"/>
              <w:rPr>
                <w:rFonts w:asciiTheme="minorHAnsi" w:hAnsiTheme="minorHAnsi" w:cstheme="minorHAnsi"/>
                <w:b/>
                <w:bCs/>
              </w:rPr>
            </w:pPr>
            <w:r w:rsidRPr="00944EE7">
              <w:rPr>
                <w:rFonts w:asciiTheme="minorHAnsi" w:hAnsiTheme="minorHAnsi" w:cstheme="minorHAnsi"/>
                <w:b/>
                <w:bCs/>
              </w:rPr>
              <w:t>5</w:t>
            </w:r>
          </w:p>
        </w:tc>
        <w:tc>
          <w:tcPr>
            <w:tcW w:w="1350" w:type="dxa"/>
            <w:shd w:val="clear" w:color="auto" w:fill="D9D9D9" w:themeFill="background1" w:themeFillShade="D9"/>
          </w:tcPr>
          <w:p w:rsidR="00795507" w:rsidRPr="00944EE7" w:rsidP="00D27606" w14:paraId="0465E09C" w14:textId="77777777">
            <w:pPr>
              <w:jc w:val="center"/>
              <w:rPr>
                <w:rFonts w:asciiTheme="minorHAnsi" w:hAnsiTheme="minorHAnsi" w:cstheme="minorHAnsi"/>
                <w:b/>
                <w:bCs/>
              </w:rPr>
            </w:pPr>
            <w:r w:rsidRPr="00944EE7">
              <w:rPr>
                <w:rFonts w:asciiTheme="minorHAnsi" w:hAnsiTheme="minorHAnsi" w:cstheme="minorHAnsi"/>
                <w:b/>
                <w:bCs/>
              </w:rPr>
              <w:t>6</w:t>
            </w:r>
          </w:p>
        </w:tc>
        <w:tc>
          <w:tcPr>
            <w:tcW w:w="1440" w:type="dxa"/>
            <w:shd w:val="clear" w:color="auto" w:fill="D9D9D9" w:themeFill="background1" w:themeFillShade="D9"/>
          </w:tcPr>
          <w:p w:rsidR="00795507" w:rsidRPr="00944EE7" w:rsidP="00D27606" w14:paraId="5366768B" w14:textId="77777777">
            <w:pPr>
              <w:jc w:val="center"/>
              <w:rPr>
                <w:rFonts w:asciiTheme="minorHAnsi" w:hAnsiTheme="minorHAnsi" w:cstheme="minorHAnsi"/>
                <w:b/>
                <w:bCs/>
              </w:rPr>
            </w:pPr>
            <w:r w:rsidRPr="00944EE7">
              <w:rPr>
                <w:rFonts w:asciiTheme="minorHAnsi" w:hAnsiTheme="minorHAnsi" w:cstheme="minorHAnsi"/>
                <w:b/>
                <w:bCs/>
              </w:rPr>
              <w:t>7</w:t>
            </w:r>
          </w:p>
        </w:tc>
        <w:tc>
          <w:tcPr>
            <w:tcW w:w="1710" w:type="dxa"/>
            <w:shd w:val="clear" w:color="auto" w:fill="D9D9D9" w:themeFill="background1" w:themeFillShade="D9"/>
          </w:tcPr>
          <w:p w:rsidR="00795507" w:rsidRPr="00944EE7" w:rsidP="00D27606" w14:paraId="1CDEA357" w14:textId="77777777">
            <w:pPr>
              <w:jc w:val="center"/>
              <w:rPr>
                <w:rFonts w:asciiTheme="minorHAnsi" w:hAnsiTheme="minorHAnsi" w:cstheme="minorHAnsi"/>
                <w:b/>
                <w:bCs/>
              </w:rPr>
            </w:pPr>
            <w:r w:rsidRPr="00944EE7">
              <w:rPr>
                <w:rFonts w:asciiTheme="minorHAnsi" w:hAnsiTheme="minorHAnsi" w:cstheme="minorHAnsi"/>
                <w:b/>
                <w:bCs/>
              </w:rPr>
              <w:t>8</w:t>
            </w:r>
          </w:p>
        </w:tc>
        <w:tc>
          <w:tcPr>
            <w:tcW w:w="1710" w:type="dxa"/>
            <w:shd w:val="clear" w:color="auto" w:fill="D9D9D9" w:themeFill="background1" w:themeFillShade="D9"/>
          </w:tcPr>
          <w:p w:rsidR="00795507" w:rsidRPr="00944EE7" w:rsidP="00D27606" w14:paraId="242D0937" w14:textId="77777777">
            <w:pPr>
              <w:jc w:val="center"/>
              <w:rPr>
                <w:rFonts w:asciiTheme="minorHAnsi" w:hAnsiTheme="minorHAnsi" w:cstheme="minorHAnsi"/>
                <w:b/>
                <w:bCs/>
              </w:rPr>
            </w:pPr>
            <w:r w:rsidRPr="00944EE7">
              <w:rPr>
                <w:rFonts w:asciiTheme="minorHAnsi" w:hAnsiTheme="minorHAnsi" w:cstheme="minorHAnsi"/>
                <w:b/>
                <w:bCs/>
              </w:rPr>
              <w:t>9</w:t>
            </w:r>
          </w:p>
        </w:tc>
      </w:tr>
      <w:tr w14:paraId="10D3C9EE" w14:textId="77777777" w:rsidTr="005231C4">
        <w:tblPrEx>
          <w:tblW w:w="14471" w:type="dxa"/>
          <w:tblInd w:w="-706" w:type="dxa"/>
          <w:tblLayout w:type="fixed"/>
          <w:tblLook w:val="04A0"/>
        </w:tblPrEx>
        <w:trPr>
          <w:cantSplit/>
          <w:tblHeader/>
        </w:trPr>
        <w:tc>
          <w:tcPr>
            <w:tcW w:w="1589" w:type="dxa"/>
            <w:shd w:val="clear" w:color="auto" w:fill="D9D9D9" w:themeFill="background1" w:themeFillShade="D9"/>
            <w:vAlign w:val="bottom"/>
          </w:tcPr>
          <w:p w:rsidR="00795507" w:rsidRPr="00944EE7" w:rsidP="00D27606" w14:paraId="6B8F5787" w14:textId="77777777">
            <w:pPr>
              <w:rPr>
                <w:rFonts w:asciiTheme="minorHAnsi" w:hAnsiTheme="minorHAnsi" w:cstheme="minorHAnsi"/>
                <w:b/>
                <w:bCs/>
              </w:rPr>
            </w:pPr>
            <w:r w:rsidRPr="00944EE7">
              <w:rPr>
                <w:rFonts w:asciiTheme="minorHAnsi" w:hAnsiTheme="minorHAnsi" w:cstheme="minorHAnsi"/>
                <w:b/>
                <w:bCs/>
              </w:rPr>
              <w:t>Reporting</w:t>
            </w:r>
          </w:p>
        </w:tc>
        <w:tc>
          <w:tcPr>
            <w:tcW w:w="1452" w:type="dxa"/>
            <w:shd w:val="clear" w:color="auto" w:fill="D9D9D9" w:themeFill="background1" w:themeFillShade="D9"/>
          </w:tcPr>
          <w:p w:rsidR="00795507" w:rsidRPr="00944EE7" w:rsidP="00E26E68" w14:paraId="118C24D9" w14:textId="346B5B39">
            <w:pPr>
              <w:jc w:val="center"/>
              <w:rPr>
                <w:rFonts w:asciiTheme="minorHAnsi" w:hAnsiTheme="minorHAnsi" w:cstheme="minorHAnsi"/>
                <w:b/>
                <w:bCs/>
              </w:rPr>
            </w:pPr>
            <w:r w:rsidRPr="00944EE7">
              <w:rPr>
                <w:rFonts w:asciiTheme="minorHAnsi" w:hAnsiTheme="minorHAnsi" w:cstheme="minorHAnsi"/>
                <w:b/>
                <w:bCs/>
              </w:rPr>
              <w:t>Estimated # of Respondents</w:t>
            </w:r>
          </w:p>
        </w:tc>
        <w:tc>
          <w:tcPr>
            <w:tcW w:w="1350" w:type="dxa"/>
            <w:shd w:val="clear" w:color="auto" w:fill="D9D9D9" w:themeFill="background1" w:themeFillShade="D9"/>
          </w:tcPr>
          <w:p w:rsidR="00795507" w:rsidRPr="00944EE7" w:rsidP="00E26E68" w14:paraId="486E55E6" w14:textId="77777777">
            <w:pPr>
              <w:jc w:val="center"/>
              <w:rPr>
                <w:rFonts w:asciiTheme="minorHAnsi" w:hAnsiTheme="minorHAnsi" w:cstheme="minorHAnsi"/>
                <w:b/>
                <w:bCs/>
              </w:rPr>
            </w:pPr>
            <w:r w:rsidRPr="00944EE7">
              <w:rPr>
                <w:rFonts w:asciiTheme="minorHAnsi" w:hAnsiTheme="minorHAnsi" w:cstheme="minorHAnsi"/>
                <w:b/>
                <w:bCs/>
              </w:rPr>
              <w:t>Est. Annual Reports per Respondent</w:t>
            </w:r>
          </w:p>
        </w:tc>
        <w:tc>
          <w:tcPr>
            <w:tcW w:w="1170" w:type="dxa"/>
            <w:shd w:val="clear" w:color="auto" w:fill="D9D9D9" w:themeFill="background1" w:themeFillShade="D9"/>
          </w:tcPr>
          <w:p w:rsidR="00795507" w:rsidRPr="00944EE7" w:rsidP="00E26E68" w14:paraId="4BE233D1" w14:textId="43089D50">
            <w:pPr>
              <w:jc w:val="center"/>
              <w:rPr>
                <w:rFonts w:asciiTheme="minorHAnsi" w:hAnsiTheme="minorHAnsi" w:cstheme="minorHAnsi"/>
                <w:b/>
                <w:bCs/>
              </w:rPr>
            </w:pPr>
            <w:r w:rsidRPr="00944EE7">
              <w:rPr>
                <w:rFonts w:asciiTheme="minorHAnsi" w:hAnsiTheme="minorHAnsi" w:cstheme="minorHAnsi"/>
                <w:b/>
                <w:bCs/>
              </w:rPr>
              <w:t>Est. Total Annual Responses (1</w:t>
            </w:r>
            <w:r w:rsidR="00E26E68">
              <w:rPr>
                <w:rFonts w:asciiTheme="minorHAnsi" w:hAnsiTheme="minorHAnsi" w:cstheme="minorHAnsi"/>
                <w:b/>
                <w:bCs/>
              </w:rPr>
              <w:t>×</w:t>
            </w:r>
            <w:r w:rsidRPr="00944EE7">
              <w:rPr>
                <w:rFonts w:asciiTheme="minorHAnsi" w:hAnsiTheme="minorHAnsi" w:cstheme="minorHAnsi"/>
                <w:b/>
                <w:bCs/>
              </w:rPr>
              <w:t>2)</w:t>
            </w:r>
          </w:p>
        </w:tc>
        <w:tc>
          <w:tcPr>
            <w:tcW w:w="1170" w:type="dxa"/>
            <w:shd w:val="clear" w:color="auto" w:fill="D9D9D9" w:themeFill="background1" w:themeFillShade="D9"/>
          </w:tcPr>
          <w:p w:rsidR="00795507" w:rsidRPr="00944EE7" w:rsidP="00E26E68" w14:paraId="3FEABBE8" w14:textId="77777777">
            <w:pPr>
              <w:jc w:val="center"/>
              <w:rPr>
                <w:rFonts w:asciiTheme="minorHAnsi" w:hAnsiTheme="minorHAnsi" w:cstheme="minorHAnsi"/>
                <w:b/>
                <w:bCs/>
              </w:rPr>
            </w:pPr>
            <w:r w:rsidRPr="00944EE7">
              <w:rPr>
                <w:rFonts w:asciiTheme="minorHAnsi" w:hAnsiTheme="minorHAnsi" w:cstheme="minorHAnsi"/>
                <w:b/>
                <w:bCs/>
              </w:rPr>
              <w:t>Est. Avg. No. of Hours Per Response</w:t>
            </w:r>
          </w:p>
        </w:tc>
        <w:tc>
          <w:tcPr>
            <w:tcW w:w="1530" w:type="dxa"/>
            <w:shd w:val="clear" w:color="auto" w:fill="D9D9D9" w:themeFill="background1" w:themeFillShade="D9"/>
          </w:tcPr>
          <w:p w:rsidR="00795507" w:rsidRPr="00944EE7" w:rsidP="00E26E68" w14:paraId="2B378B19" w14:textId="6859D1F5">
            <w:pPr>
              <w:jc w:val="center"/>
              <w:rPr>
                <w:rFonts w:asciiTheme="minorHAnsi" w:hAnsiTheme="minorHAnsi" w:cstheme="minorHAnsi"/>
                <w:b/>
                <w:bCs/>
              </w:rPr>
            </w:pPr>
            <w:r w:rsidRPr="00944EE7">
              <w:rPr>
                <w:rFonts w:asciiTheme="minorHAnsi" w:hAnsiTheme="minorHAnsi" w:cstheme="minorHAnsi"/>
                <w:b/>
                <w:bCs/>
              </w:rPr>
              <w:t>Est. Annual No. of Burden Hours Per Respondent (2</w:t>
            </w:r>
            <w:r w:rsidR="00E26E68">
              <w:rPr>
                <w:rFonts w:asciiTheme="minorHAnsi" w:hAnsiTheme="minorHAnsi" w:cstheme="minorHAnsi"/>
                <w:b/>
                <w:bCs/>
              </w:rPr>
              <w:t>×</w:t>
            </w:r>
            <w:r w:rsidRPr="00944EE7">
              <w:rPr>
                <w:rFonts w:asciiTheme="minorHAnsi" w:hAnsiTheme="minorHAnsi" w:cstheme="minorHAnsi"/>
                <w:b/>
                <w:bCs/>
              </w:rPr>
              <w:t>4)</w:t>
            </w:r>
          </w:p>
        </w:tc>
        <w:tc>
          <w:tcPr>
            <w:tcW w:w="1350" w:type="dxa"/>
            <w:shd w:val="clear" w:color="auto" w:fill="D9D9D9" w:themeFill="background1" w:themeFillShade="D9"/>
          </w:tcPr>
          <w:p w:rsidR="00795507" w:rsidRPr="00944EE7" w:rsidP="00E26E68" w14:paraId="0CE0136E" w14:textId="77777777">
            <w:pPr>
              <w:jc w:val="center"/>
              <w:rPr>
                <w:rFonts w:asciiTheme="minorHAnsi" w:hAnsiTheme="minorHAnsi" w:cstheme="minorHAnsi"/>
                <w:b/>
                <w:bCs/>
              </w:rPr>
            </w:pPr>
            <w:r w:rsidRPr="00944EE7">
              <w:rPr>
                <w:rFonts w:asciiTheme="minorHAnsi" w:hAnsiTheme="minorHAnsi" w:cstheme="minorHAnsi"/>
                <w:b/>
                <w:bCs/>
              </w:rPr>
              <w:t>Est. Avg. Burden Hour Cost</w:t>
            </w:r>
          </w:p>
        </w:tc>
        <w:tc>
          <w:tcPr>
            <w:tcW w:w="1440" w:type="dxa"/>
            <w:shd w:val="clear" w:color="auto" w:fill="D9D9D9" w:themeFill="background1" w:themeFillShade="D9"/>
          </w:tcPr>
          <w:p w:rsidR="00795507" w:rsidRPr="00944EE7" w:rsidP="00E26E68" w14:paraId="0B56122B" w14:textId="08F28482">
            <w:pPr>
              <w:jc w:val="center"/>
              <w:rPr>
                <w:rFonts w:asciiTheme="minorHAnsi" w:hAnsiTheme="minorHAnsi" w:cstheme="minorHAnsi"/>
                <w:b/>
                <w:bCs/>
              </w:rPr>
            </w:pPr>
            <w:r w:rsidRPr="00944EE7">
              <w:rPr>
                <w:rFonts w:asciiTheme="minorHAnsi" w:hAnsiTheme="minorHAnsi" w:cstheme="minorHAnsi"/>
                <w:b/>
                <w:bCs/>
              </w:rPr>
              <w:t>Est. Avg. Burden Cost Per Respondent (5</w:t>
            </w:r>
            <w:r w:rsidR="00E26E68">
              <w:rPr>
                <w:rFonts w:asciiTheme="minorHAnsi" w:hAnsiTheme="minorHAnsi" w:cstheme="minorHAnsi"/>
                <w:b/>
                <w:bCs/>
              </w:rPr>
              <w:t>×</w:t>
            </w:r>
            <w:r w:rsidRPr="00944EE7">
              <w:rPr>
                <w:rFonts w:asciiTheme="minorHAnsi" w:hAnsiTheme="minorHAnsi" w:cstheme="minorHAnsi"/>
                <w:b/>
                <w:bCs/>
              </w:rPr>
              <w:t>6)</w:t>
            </w:r>
          </w:p>
        </w:tc>
        <w:tc>
          <w:tcPr>
            <w:tcW w:w="1710" w:type="dxa"/>
            <w:shd w:val="clear" w:color="auto" w:fill="D9D9D9" w:themeFill="background1" w:themeFillShade="D9"/>
          </w:tcPr>
          <w:p w:rsidR="00795507" w:rsidRPr="00944EE7" w:rsidP="00E26E68" w14:paraId="0003BFBC" w14:textId="77777777">
            <w:pPr>
              <w:jc w:val="center"/>
              <w:rPr>
                <w:rFonts w:asciiTheme="minorHAnsi" w:hAnsiTheme="minorHAnsi" w:cstheme="minorHAnsi"/>
                <w:b/>
                <w:bCs/>
              </w:rPr>
            </w:pPr>
            <w:r w:rsidRPr="00944EE7">
              <w:rPr>
                <w:rFonts w:asciiTheme="minorHAnsi" w:hAnsiTheme="minorHAnsi" w:cstheme="minorHAnsi"/>
                <w:b/>
                <w:bCs/>
              </w:rPr>
              <w:t>Est. Total Annual Burden Hours (3x4)</w:t>
            </w:r>
          </w:p>
        </w:tc>
        <w:tc>
          <w:tcPr>
            <w:tcW w:w="1710" w:type="dxa"/>
            <w:shd w:val="clear" w:color="auto" w:fill="D9D9D9" w:themeFill="background1" w:themeFillShade="D9"/>
          </w:tcPr>
          <w:p w:rsidR="00795507" w:rsidRPr="00944EE7" w:rsidP="00E26E68" w14:paraId="2ADF470C" w14:textId="4C13F358">
            <w:pPr>
              <w:jc w:val="center"/>
              <w:rPr>
                <w:rFonts w:asciiTheme="minorHAnsi" w:hAnsiTheme="minorHAnsi" w:cstheme="minorHAnsi"/>
                <w:b/>
                <w:bCs/>
              </w:rPr>
            </w:pPr>
            <w:r w:rsidRPr="00944EE7">
              <w:rPr>
                <w:rFonts w:asciiTheme="minorHAnsi" w:hAnsiTheme="minorHAnsi" w:cstheme="minorHAnsi"/>
                <w:b/>
                <w:bCs/>
              </w:rPr>
              <w:t>Total Est. Annual Burden Cost of All Responses (1</w:t>
            </w:r>
            <w:r w:rsidR="00E26E68">
              <w:rPr>
                <w:rFonts w:asciiTheme="minorHAnsi" w:hAnsiTheme="minorHAnsi" w:cstheme="minorHAnsi"/>
                <w:b/>
                <w:bCs/>
              </w:rPr>
              <w:t>×</w:t>
            </w:r>
            <w:r w:rsidRPr="00944EE7">
              <w:rPr>
                <w:rFonts w:asciiTheme="minorHAnsi" w:hAnsiTheme="minorHAnsi" w:cstheme="minorHAnsi"/>
                <w:b/>
                <w:bCs/>
              </w:rPr>
              <w:t>7)</w:t>
            </w:r>
          </w:p>
          <w:p w:rsidR="00795507" w:rsidRPr="00944EE7" w:rsidP="00E26E68" w14:paraId="52B5503B" w14:textId="77777777">
            <w:pPr>
              <w:jc w:val="center"/>
              <w:rPr>
                <w:rFonts w:asciiTheme="minorHAnsi" w:hAnsiTheme="minorHAnsi" w:cstheme="minorHAnsi"/>
                <w:color w:val="000000"/>
              </w:rPr>
            </w:pPr>
          </w:p>
        </w:tc>
      </w:tr>
      <w:tr w14:paraId="46B59460" w14:textId="77777777" w:rsidTr="00944EE7">
        <w:tblPrEx>
          <w:tblW w:w="14471" w:type="dxa"/>
          <w:tblInd w:w="-706" w:type="dxa"/>
          <w:tblLayout w:type="fixed"/>
          <w:tblLook w:val="04A0"/>
        </w:tblPrEx>
        <w:trPr>
          <w:cantSplit/>
        </w:trPr>
        <w:tc>
          <w:tcPr>
            <w:tcW w:w="1589" w:type="dxa"/>
            <w:shd w:val="clear" w:color="auto" w:fill="auto"/>
          </w:tcPr>
          <w:p w:rsidR="0084776F" w:rsidRPr="00944EE7" w:rsidP="00D27606" w14:paraId="33C83125" w14:textId="77777777">
            <w:pPr>
              <w:rPr>
                <w:rFonts w:asciiTheme="minorHAnsi" w:hAnsiTheme="minorHAnsi" w:cstheme="minorHAnsi"/>
                <w:b/>
                <w:bCs/>
              </w:rPr>
            </w:pPr>
          </w:p>
        </w:tc>
        <w:tc>
          <w:tcPr>
            <w:tcW w:w="1452" w:type="dxa"/>
            <w:shd w:val="clear" w:color="auto" w:fill="auto"/>
            <w:vAlign w:val="bottom"/>
          </w:tcPr>
          <w:p w:rsidR="0084776F" w:rsidRPr="00944EE7" w:rsidP="00D27606" w14:paraId="22121656" w14:textId="77777777">
            <w:pPr>
              <w:jc w:val="right"/>
              <w:rPr>
                <w:rFonts w:asciiTheme="minorHAnsi" w:hAnsiTheme="minorHAnsi" w:cstheme="minorHAnsi"/>
                <w:color w:val="000000"/>
              </w:rPr>
            </w:pPr>
          </w:p>
        </w:tc>
        <w:tc>
          <w:tcPr>
            <w:tcW w:w="1350" w:type="dxa"/>
            <w:vAlign w:val="bottom"/>
          </w:tcPr>
          <w:p w:rsidR="0084776F" w:rsidRPr="00944EE7" w:rsidP="00D27606" w14:paraId="2AEF9611" w14:textId="77777777">
            <w:pPr>
              <w:jc w:val="right"/>
              <w:rPr>
                <w:rFonts w:asciiTheme="minorHAnsi" w:hAnsiTheme="minorHAnsi" w:cstheme="minorHAnsi"/>
                <w:color w:val="000000"/>
              </w:rPr>
            </w:pPr>
          </w:p>
        </w:tc>
        <w:tc>
          <w:tcPr>
            <w:tcW w:w="1170" w:type="dxa"/>
            <w:vAlign w:val="bottom"/>
          </w:tcPr>
          <w:p w:rsidR="0084776F" w:rsidRPr="00944EE7" w:rsidP="00D27606" w14:paraId="445CE630" w14:textId="77777777">
            <w:pPr>
              <w:jc w:val="right"/>
              <w:rPr>
                <w:rFonts w:asciiTheme="minorHAnsi" w:hAnsiTheme="minorHAnsi" w:cstheme="minorHAnsi"/>
                <w:color w:val="000000"/>
              </w:rPr>
            </w:pPr>
          </w:p>
        </w:tc>
        <w:tc>
          <w:tcPr>
            <w:tcW w:w="1170" w:type="dxa"/>
            <w:shd w:val="clear" w:color="auto" w:fill="auto"/>
            <w:vAlign w:val="bottom"/>
          </w:tcPr>
          <w:p w:rsidR="0084776F" w:rsidRPr="00944EE7" w:rsidP="00D27606" w14:paraId="3AF79B60" w14:textId="77777777">
            <w:pPr>
              <w:jc w:val="right"/>
              <w:rPr>
                <w:rFonts w:asciiTheme="minorHAnsi" w:hAnsiTheme="minorHAnsi" w:cstheme="minorHAnsi"/>
                <w:color w:val="000000"/>
              </w:rPr>
            </w:pPr>
          </w:p>
        </w:tc>
        <w:tc>
          <w:tcPr>
            <w:tcW w:w="1530" w:type="dxa"/>
            <w:shd w:val="clear" w:color="auto" w:fill="auto"/>
            <w:vAlign w:val="bottom"/>
          </w:tcPr>
          <w:p w:rsidR="0084776F" w:rsidRPr="00944EE7" w:rsidP="00D27606" w14:paraId="481086D8" w14:textId="77777777">
            <w:pPr>
              <w:jc w:val="right"/>
              <w:rPr>
                <w:rFonts w:asciiTheme="minorHAnsi" w:hAnsiTheme="minorHAnsi" w:cstheme="minorHAnsi"/>
                <w:color w:val="000000"/>
              </w:rPr>
            </w:pPr>
          </w:p>
        </w:tc>
        <w:tc>
          <w:tcPr>
            <w:tcW w:w="1350" w:type="dxa"/>
            <w:shd w:val="clear" w:color="auto" w:fill="auto"/>
            <w:vAlign w:val="bottom"/>
          </w:tcPr>
          <w:p w:rsidR="0084776F" w:rsidRPr="00944EE7" w:rsidP="00D27606" w14:paraId="3D11E58F" w14:textId="77777777">
            <w:pPr>
              <w:jc w:val="right"/>
              <w:rPr>
                <w:rFonts w:asciiTheme="minorHAnsi" w:hAnsiTheme="minorHAnsi" w:cstheme="minorHAnsi"/>
                <w:color w:val="000000"/>
              </w:rPr>
            </w:pPr>
          </w:p>
        </w:tc>
        <w:tc>
          <w:tcPr>
            <w:tcW w:w="1440" w:type="dxa"/>
            <w:shd w:val="clear" w:color="auto" w:fill="auto"/>
            <w:vAlign w:val="bottom"/>
          </w:tcPr>
          <w:p w:rsidR="0084776F" w:rsidRPr="00944EE7" w:rsidP="00D27606" w14:paraId="72A077A9" w14:textId="77777777">
            <w:pPr>
              <w:jc w:val="right"/>
              <w:rPr>
                <w:rFonts w:asciiTheme="minorHAnsi" w:hAnsiTheme="minorHAnsi" w:cstheme="minorHAnsi"/>
                <w:color w:val="000000"/>
              </w:rPr>
            </w:pPr>
          </w:p>
        </w:tc>
        <w:tc>
          <w:tcPr>
            <w:tcW w:w="1710" w:type="dxa"/>
            <w:vAlign w:val="bottom"/>
          </w:tcPr>
          <w:p w:rsidR="0084776F" w:rsidRPr="00944EE7" w:rsidP="00D27606" w14:paraId="111B90FF" w14:textId="77777777">
            <w:pPr>
              <w:jc w:val="right"/>
              <w:rPr>
                <w:rFonts w:asciiTheme="minorHAnsi" w:hAnsiTheme="minorHAnsi" w:cstheme="minorHAnsi"/>
                <w:color w:val="000000"/>
              </w:rPr>
            </w:pPr>
          </w:p>
        </w:tc>
        <w:tc>
          <w:tcPr>
            <w:tcW w:w="1710" w:type="dxa"/>
            <w:shd w:val="clear" w:color="auto" w:fill="auto"/>
            <w:vAlign w:val="bottom"/>
          </w:tcPr>
          <w:p w:rsidR="0084776F" w:rsidRPr="00944EE7" w:rsidP="00D27606" w14:paraId="69965130" w14:textId="77777777">
            <w:pPr>
              <w:jc w:val="right"/>
              <w:rPr>
                <w:rFonts w:asciiTheme="minorHAnsi" w:hAnsiTheme="minorHAnsi" w:cstheme="minorHAnsi"/>
                <w:color w:val="000000"/>
              </w:rPr>
            </w:pPr>
          </w:p>
        </w:tc>
      </w:tr>
      <w:tr w14:paraId="1DBC6CE2" w14:textId="77777777" w:rsidTr="00944EE7">
        <w:tblPrEx>
          <w:tblW w:w="14471" w:type="dxa"/>
          <w:tblInd w:w="-706" w:type="dxa"/>
          <w:tblLayout w:type="fixed"/>
          <w:tblLook w:val="04A0"/>
        </w:tblPrEx>
        <w:trPr>
          <w:cantSplit/>
        </w:trPr>
        <w:tc>
          <w:tcPr>
            <w:tcW w:w="1589" w:type="dxa"/>
            <w:shd w:val="clear" w:color="auto" w:fill="auto"/>
          </w:tcPr>
          <w:p w:rsidR="0084776F" w:rsidRPr="00944EE7" w:rsidP="00CB2C64" w14:paraId="3F09FCF8" w14:textId="7DF75D6D">
            <w:pPr>
              <w:rPr>
                <w:rFonts w:asciiTheme="minorHAnsi" w:hAnsiTheme="minorHAnsi" w:cstheme="minorHAnsi"/>
              </w:rPr>
            </w:pPr>
            <w:r w:rsidRPr="00944EE7">
              <w:rPr>
                <w:rFonts w:asciiTheme="minorHAnsi" w:hAnsiTheme="minorHAnsi" w:cstheme="minorHAnsi"/>
                <w:bCs/>
              </w:rPr>
              <w:t>Exempt DCO application</w:t>
            </w:r>
            <w:r w:rsidRPr="00944EE7">
              <w:rPr>
                <w:rFonts w:asciiTheme="minorHAnsi" w:hAnsiTheme="minorHAnsi" w:cstheme="minorHAnsi"/>
              </w:rPr>
              <w:t xml:space="preserve">, </w:t>
            </w:r>
            <w:r w:rsidRPr="00944EE7">
              <w:rPr>
                <w:rFonts w:asciiTheme="minorHAnsi" w:hAnsiTheme="minorHAnsi" w:cstheme="minorHAnsi"/>
              </w:rPr>
              <w:t xml:space="preserve">including all exhibits, supplements </w:t>
            </w:r>
            <w:r w:rsidR="00E26E68">
              <w:rPr>
                <w:rFonts w:asciiTheme="minorHAnsi" w:hAnsiTheme="minorHAnsi" w:cstheme="minorHAnsi"/>
              </w:rPr>
              <w:t xml:space="preserve">&amp; </w:t>
            </w:r>
            <w:r w:rsidRPr="00944EE7">
              <w:rPr>
                <w:rFonts w:asciiTheme="minorHAnsi" w:hAnsiTheme="minorHAnsi" w:cstheme="minorHAnsi"/>
              </w:rPr>
              <w:t>amendments</w:t>
            </w:r>
            <w:r w:rsidRPr="00944EE7">
              <w:rPr>
                <w:rFonts w:asciiTheme="minorHAnsi" w:hAnsiTheme="minorHAnsi" w:cstheme="minorHAnsi"/>
              </w:rPr>
              <w:t xml:space="preserve"> - 39.6(e)(2)</w:t>
            </w:r>
          </w:p>
        </w:tc>
        <w:tc>
          <w:tcPr>
            <w:tcW w:w="1452" w:type="dxa"/>
            <w:shd w:val="clear" w:color="auto" w:fill="auto"/>
            <w:vAlign w:val="bottom"/>
          </w:tcPr>
          <w:p w:rsidR="0084776F" w:rsidRPr="00944EE7" w:rsidP="00D27606" w14:paraId="7D3A849D" w14:textId="116B064F">
            <w:pPr>
              <w:jc w:val="right"/>
              <w:rPr>
                <w:rFonts w:asciiTheme="minorHAnsi" w:hAnsiTheme="minorHAnsi" w:cstheme="minorHAnsi"/>
                <w:color w:val="000000"/>
              </w:rPr>
            </w:pPr>
            <w:r w:rsidRPr="00944EE7">
              <w:rPr>
                <w:rFonts w:asciiTheme="minorHAnsi" w:hAnsiTheme="minorHAnsi" w:cstheme="minorHAnsi"/>
                <w:color w:val="000000"/>
              </w:rPr>
              <w:t>1</w:t>
            </w:r>
          </w:p>
        </w:tc>
        <w:tc>
          <w:tcPr>
            <w:tcW w:w="1350" w:type="dxa"/>
            <w:vAlign w:val="bottom"/>
          </w:tcPr>
          <w:p w:rsidR="0084776F" w:rsidRPr="00944EE7" w:rsidP="00D27606" w14:paraId="48FE8906" w14:textId="77777777">
            <w:pPr>
              <w:jc w:val="right"/>
              <w:rPr>
                <w:rFonts w:asciiTheme="minorHAnsi" w:hAnsiTheme="minorHAnsi" w:cstheme="minorHAnsi"/>
                <w:color w:val="000000"/>
              </w:rPr>
            </w:pPr>
            <w:r w:rsidRPr="00944EE7">
              <w:rPr>
                <w:rFonts w:asciiTheme="minorHAnsi" w:hAnsiTheme="minorHAnsi" w:cstheme="minorHAnsi"/>
                <w:color w:val="000000"/>
              </w:rPr>
              <w:t>1</w:t>
            </w:r>
          </w:p>
        </w:tc>
        <w:tc>
          <w:tcPr>
            <w:tcW w:w="1170" w:type="dxa"/>
            <w:vAlign w:val="bottom"/>
          </w:tcPr>
          <w:p w:rsidR="0084776F" w:rsidRPr="00944EE7" w:rsidP="00D27606" w14:paraId="67DB8D1C" w14:textId="77777777">
            <w:pPr>
              <w:jc w:val="right"/>
              <w:rPr>
                <w:rFonts w:asciiTheme="minorHAnsi" w:hAnsiTheme="minorHAnsi" w:cstheme="minorHAnsi"/>
                <w:color w:val="000000"/>
              </w:rPr>
            </w:pPr>
            <w:r w:rsidRPr="00944EE7">
              <w:rPr>
                <w:rFonts w:asciiTheme="minorHAnsi" w:hAnsiTheme="minorHAnsi" w:cstheme="minorHAnsi"/>
                <w:color w:val="000000"/>
              </w:rPr>
              <w:t>1</w:t>
            </w:r>
          </w:p>
        </w:tc>
        <w:tc>
          <w:tcPr>
            <w:tcW w:w="1170" w:type="dxa"/>
            <w:shd w:val="clear" w:color="auto" w:fill="auto"/>
            <w:vAlign w:val="bottom"/>
          </w:tcPr>
          <w:p w:rsidR="0084776F" w:rsidRPr="00944EE7" w:rsidP="00D27606" w14:paraId="6CC15485" w14:textId="77777777">
            <w:pPr>
              <w:jc w:val="right"/>
              <w:rPr>
                <w:rFonts w:asciiTheme="minorHAnsi" w:hAnsiTheme="minorHAnsi" w:cstheme="minorHAnsi"/>
                <w:color w:val="000000"/>
              </w:rPr>
            </w:pPr>
            <w:r w:rsidRPr="00944EE7">
              <w:rPr>
                <w:rFonts w:asciiTheme="minorHAnsi" w:hAnsiTheme="minorHAnsi" w:cstheme="minorHAnsi"/>
                <w:color w:val="000000"/>
              </w:rPr>
              <w:t>40</w:t>
            </w:r>
          </w:p>
        </w:tc>
        <w:tc>
          <w:tcPr>
            <w:tcW w:w="1530" w:type="dxa"/>
            <w:shd w:val="clear" w:color="auto" w:fill="auto"/>
            <w:vAlign w:val="bottom"/>
          </w:tcPr>
          <w:p w:rsidR="0084776F" w:rsidRPr="00944EE7" w:rsidP="00D27606" w14:paraId="4FD45AFE" w14:textId="77777777">
            <w:pPr>
              <w:jc w:val="right"/>
              <w:rPr>
                <w:rFonts w:asciiTheme="minorHAnsi" w:hAnsiTheme="minorHAnsi" w:cstheme="minorHAnsi"/>
                <w:color w:val="000000"/>
              </w:rPr>
            </w:pPr>
            <w:r w:rsidRPr="00944EE7">
              <w:rPr>
                <w:rFonts w:asciiTheme="minorHAnsi" w:hAnsiTheme="minorHAnsi" w:cstheme="minorHAnsi"/>
                <w:color w:val="000000"/>
              </w:rPr>
              <w:t>40</w:t>
            </w:r>
          </w:p>
        </w:tc>
        <w:tc>
          <w:tcPr>
            <w:tcW w:w="1350" w:type="dxa"/>
            <w:shd w:val="clear" w:color="auto" w:fill="auto"/>
            <w:vAlign w:val="bottom"/>
          </w:tcPr>
          <w:p w:rsidR="0084776F" w:rsidRPr="00944EE7" w:rsidP="00D27606" w14:paraId="20B392AC" w14:textId="77777777">
            <w:pPr>
              <w:jc w:val="right"/>
              <w:rPr>
                <w:rFonts w:asciiTheme="minorHAnsi" w:hAnsiTheme="minorHAnsi" w:cstheme="minorHAnsi"/>
                <w:color w:val="000000"/>
              </w:rPr>
            </w:pPr>
            <w:r w:rsidRPr="00944EE7">
              <w:rPr>
                <w:rFonts w:asciiTheme="minorHAnsi" w:hAnsiTheme="minorHAnsi" w:cstheme="minorHAnsi"/>
                <w:color w:val="000000"/>
              </w:rPr>
              <w:t>$250</w:t>
            </w:r>
            <w:r>
              <w:rPr>
                <w:rStyle w:val="FootnoteReference"/>
                <w:rFonts w:asciiTheme="minorHAnsi" w:hAnsiTheme="minorHAnsi" w:cstheme="minorHAnsi"/>
              </w:rPr>
              <w:footnoteReference w:id="9"/>
            </w:r>
            <w:r w:rsidRPr="00944EE7">
              <w:rPr>
                <w:rFonts w:asciiTheme="minorHAnsi" w:hAnsiTheme="minorHAnsi" w:cstheme="minorHAnsi"/>
                <w:color w:val="000000"/>
              </w:rPr>
              <w:t xml:space="preserve"> </w:t>
            </w:r>
          </w:p>
        </w:tc>
        <w:tc>
          <w:tcPr>
            <w:tcW w:w="1440" w:type="dxa"/>
            <w:shd w:val="clear" w:color="auto" w:fill="auto"/>
            <w:vAlign w:val="bottom"/>
          </w:tcPr>
          <w:p w:rsidR="0084776F" w:rsidRPr="00944EE7" w:rsidP="00D27606" w14:paraId="240EA681" w14:textId="77777777">
            <w:pPr>
              <w:jc w:val="right"/>
              <w:rPr>
                <w:rFonts w:asciiTheme="minorHAnsi" w:hAnsiTheme="minorHAnsi" w:cstheme="minorHAnsi"/>
                <w:color w:val="000000"/>
              </w:rPr>
            </w:pPr>
            <w:r w:rsidRPr="00944EE7">
              <w:rPr>
                <w:rFonts w:asciiTheme="minorHAnsi" w:hAnsiTheme="minorHAnsi" w:cstheme="minorHAnsi"/>
                <w:color w:val="000000"/>
              </w:rPr>
              <w:t>$10,000</w:t>
            </w:r>
          </w:p>
        </w:tc>
        <w:tc>
          <w:tcPr>
            <w:tcW w:w="1710" w:type="dxa"/>
            <w:vAlign w:val="bottom"/>
          </w:tcPr>
          <w:p w:rsidR="0084776F" w:rsidRPr="00944EE7" w:rsidP="00D27606" w14:paraId="61166A6B" w14:textId="77777777">
            <w:pPr>
              <w:jc w:val="right"/>
              <w:rPr>
                <w:rFonts w:asciiTheme="minorHAnsi" w:hAnsiTheme="minorHAnsi" w:cstheme="minorHAnsi"/>
                <w:color w:val="000000"/>
              </w:rPr>
            </w:pPr>
            <w:r w:rsidRPr="00214446">
              <w:rPr>
                <w:rFonts w:asciiTheme="minorHAnsi" w:hAnsiTheme="minorHAnsi" w:cstheme="minorHAnsi"/>
                <w:color w:val="000000"/>
              </w:rPr>
              <w:t>40</w:t>
            </w:r>
          </w:p>
        </w:tc>
        <w:tc>
          <w:tcPr>
            <w:tcW w:w="1710" w:type="dxa"/>
            <w:shd w:val="clear" w:color="auto" w:fill="auto"/>
            <w:vAlign w:val="bottom"/>
          </w:tcPr>
          <w:p w:rsidR="0084776F" w:rsidRPr="00944EE7" w:rsidP="00D27606" w14:paraId="33FD769E" w14:textId="77777777">
            <w:pPr>
              <w:jc w:val="right"/>
              <w:rPr>
                <w:rFonts w:asciiTheme="minorHAnsi" w:hAnsiTheme="minorHAnsi" w:cstheme="minorHAnsi"/>
                <w:color w:val="000000"/>
              </w:rPr>
            </w:pPr>
            <w:r w:rsidRPr="00944EE7">
              <w:rPr>
                <w:rFonts w:asciiTheme="minorHAnsi" w:hAnsiTheme="minorHAnsi" w:cstheme="minorHAnsi"/>
                <w:color w:val="000000"/>
              </w:rPr>
              <w:t>$10,000</w:t>
            </w:r>
          </w:p>
        </w:tc>
      </w:tr>
      <w:tr w14:paraId="49BC2C1E" w14:textId="77777777" w:rsidTr="00944EE7">
        <w:tblPrEx>
          <w:tblW w:w="14471" w:type="dxa"/>
          <w:tblInd w:w="-706" w:type="dxa"/>
          <w:tblLayout w:type="fixed"/>
          <w:tblLook w:val="04A0"/>
        </w:tblPrEx>
        <w:trPr>
          <w:cantSplit/>
        </w:trPr>
        <w:tc>
          <w:tcPr>
            <w:tcW w:w="1589" w:type="dxa"/>
            <w:shd w:val="clear" w:color="auto" w:fill="auto"/>
            <w:vAlign w:val="bottom"/>
          </w:tcPr>
          <w:p w:rsidR="001235BB" w:rsidRPr="00944EE7" w:rsidP="00D27606" w14:paraId="60A9D9A4" w14:textId="77777777">
            <w:pPr>
              <w:rPr>
                <w:rFonts w:asciiTheme="minorHAnsi" w:hAnsiTheme="minorHAnsi" w:cstheme="minorHAnsi"/>
                <w:color w:val="000000"/>
              </w:rPr>
            </w:pPr>
            <w:r w:rsidRPr="00944EE7">
              <w:rPr>
                <w:rFonts w:asciiTheme="minorHAnsi" w:hAnsiTheme="minorHAnsi" w:cstheme="minorHAnsi"/>
                <w:color w:val="000000"/>
              </w:rPr>
              <w:t>Termination of exemption by Commission-39.6(f) or on request-39.6(g)</w:t>
            </w:r>
          </w:p>
        </w:tc>
        <w:tc>
          <w:tcPr>
            <w:tcW w:w="1452" w:type="dxa"/>
            <w:shd w:val="clear" w:color="auto" w:fill="auto"/>
            <w:vAlign w:val="bottom"/>
          </w:tcPr>
          <w:p w:rsidR="001235BB" w:rsidRPr="00944EE7" w:rsidP="00D27606" w14:paraId="6F0F439D" w14:textId="77777777">
            <w:pPr>
              <w:jc w:val="right"/>
              <w:rPr>
                <w:rFonts w:asciiTheme="minorHAnsi" w:hAnsiTheme="minorHAnsi" w:cstheme="minorHAnsi"/>
                <w:color w:val="000000"/>
              </w:rPr>
            </w:pPr>
            <w:r w:rsidRPr="00944EE7">
              <w:rPr>
                <w:rFonts w:asciiTheme="minorHAnsi" w:hAnsiTheme="minorHAnsi" w:cstheme="minorHAnsi"/>
                <w:color w:val="000000"/>
              </w:rPr>
              <w:t>1</w:t>
            </w:r>
          </w:p>
        </w:tc>
        <w:tc>
          <w:tcPr>
            <w:tcW w:w="1350" w:type="dxa"/>
            <w:vAlign w:val="bottom"/>
          </w:tcPr>
          <w:p w:rsidR="001235BB" w:rsidRPr="00944EE7" w:rsidP="00D27606" w14:paraId="37A1D279" w14:textId="77777777">
            <w:pPr>
              <w:jc w:val="right"/>
              <w:rPr>
                <w:rFonts w:asciiTheme="minorHAnsi" w:hAnsiTheme="minorHAnsi" w:cstheme="minorHAnsi"/>
                <w:color w:val="000000"/>
              </w:rPr>
            </w:pPr>
            <w:r w:rsidRPr="00944EE7">
              <w:rPr>
                <w:rFonts w:asciiTheme="minorHAnsi" w:hAnsiTheme="minorHAnsi" w:cstheme="minorHAnsi"/>
                <w:color w:val="000000"/>
              </w:rPr>
              <w:t>0.33</w:t>
            </w:r>
          </w:p>
        </w:tc>
        <w:tc>
          <w:tcPr>
            <w:tcW w:w="1170" w:type="dxa"/>
            <w:vAlign w:val="bottom"/>
          </w:tcPr>
          <w:p w:rsidR="001235BB" w:rsidRPr="00944EE7" w:rsidP="00D27606" w14:paraId="56145049" w14:textId="77777777">
            <w:pPr>
              <w:jc w:val="right"/>
              <w:rPr>
                <w:rFonts w:asciiTheme="minorHAnsi" w:hAnsiTheme="minorHAnsi" w:cstheme="minorHAnsi"/>
                <w:color w:val="000000"/>
              </w:rPr>
            </w:pPr>
            <w:r w:rsidRPr="00944EE7">
              <w:rPr>
                <w:rFonts w:asciiTheme="minorHAnsi" w:hAnsiTheme="minorHAnsi" w:cstheme="minorHAnsi"/>
                <w:color w:val="000000"/>
              </w:rPr>
              <w:t>0.33</w:t>
            </w:r>
          </w:p>
        </w:tc>
        <w:tc>
          <w:tcPr>
            <w:tcW w:w="1170" w:type="dxa"/>
            <w:shd w:val="clear" w:color="auto" w:fill="auto"/>
            <w:vAlign w:val="bottom"/>
          </w:tcPr>
          <w:p w:rsidR="001235BB" w:rsidRPr="00944EE7" w:rsidP="00D27606" w14:paraId="6458E2AC" w14:textId="77777777">
            <w:pPr>
              <w:jc w:val="right"/>
              <w:rPr>
                <w:rFonts w:asciiTheme="minorHAnsi" w:hAnsiTheme="minorHAnsi" w:cstheme="minorHAnsi"/>
                <w:color w:val="000000"/>
              </w:rPr>
            </w:pPr>
            <w:r w:rsidRPr="00944EE7">
              <w:rPr>
                <w:rFonts w:asciiTheme="minorHAnsi" w:hAnsiTheme="minorHAnsi" w:cstheme="minorHAnsi"/>
                <w:color w:val="000000"/>
              </w:rPr>
              <w:t>2</w:t>
            </w:r>
          </w:p>
        </w:tc>
        <w:tc>
          <w:tcPr>
            <w:tcW w:w="1530" w:type="dxa"/>
            <w:shd w:val="clear" w:color="auto" w:fill="auto"/>
            <w:vAlign w:val="bottom"/>
          </w:tcPr>
          <w:p w:rsidR="001235BB" w:rsidRPr="00944EE7" w:rsidP="00D27606" w14:paraId="40FCDEBD" w14:textId="77777777">
            <w:pPr>
              <w:jc w:val="right"/>
              <w:rPr>
                <w:rFonts w:asciiTheme="minorHAnsi" w:hAnsiTheme="minorHAnsi" w:cstheme="minorHAnsi"/>
                <w:color w:val="000000"/>
              </w:rPr>
            </w:pPr>
            <w:r w:rsidRPr="00944EE7">
              <w:rPr>
                <w:rFonts w:asciiTheme="minorHAnsi" w:hAnsiTheme="minorHAnsi" w:cstheme="minorHAnsi"/>
                <w:color w:val="000000"/>
              </w:rPr>
              <w:t>0.66</w:t>
            </w:r>
          </w:p>
        </w:tc>
        <w:tc>
          <w:tcPr>
            <w:tcW w:w="1350" w:type="dxa"/>
            <w:shd w:val="clear" w:color="auto" w:fill="auto"/>
            <w:vAlign w:val="bottom"/>
          </w:tcPr>
          <w:p w:rsidR="001235BB" w:rsidRPr="00944EE7" w:rsidP="00D27606" w14:paraId="3FF9D4F9" w14:textId="77777777">
            <w:pPr>
              <w:jc w:val="right"/>
              <w:rPr>
                <w:rFonts w:asciiTheme="minorHAnsi" w:hAnsiTheme="minorHAnsi" w:cstheme="minorHAnsi"/>
                <w:color w:val="000000"/>
              </w:rPr>
            </w:pPr>
            <w:r w:rsidRPr="00944EE7">
              <w:rPr>
                <w:rFonts w:asciiTheme="minorHAnsi" w:hAnsiTheme="minorHAnsi" w:cstheme="minorHAnsi"/>
                <w:color w:val="000000"/>
              </w:rPr>
              <w:t xml:space="preserve">$250 </w:t>
            </w:r>
          </w:p>
        </w:tc>
        <w:tc>
          <w:tcPr>
            <w:tcW w:w="1440" w:type="dxa"/>
            <w:shd w:val="clear" w:color="auto" w:fill="auto"/>
            <w:vAlign w:val="bottom"/>
          </w:tcPr>
          <w:p w:rsidR="001235BB" w:rsidRPr="00944EE7" w:rsidP="00D27606" w14:paraId="6E6C25E7" w14:textId="77777777">
            <w:pPr>
              <w:jc w:val="right"/>
              <w:rPr>
                <w:rFonts w:asciiTheme="minorHAnsi" w:hAnsiTheme="minorHAnsi" w:cstheme="minorHAnsi"/>
                <w:color w:val="000000"/>
              </w:rPr>
            </w:pPr>
            <w:r w:rsidRPr="00944EE7">
              <w:rPr>
                <w:rFonts w:asciiTheme="minorHAnsi" w:hAnsiTheme="minorHAnsi" w:cstheme="minorHAnsi"/>
                <w:color w:val="000000"/>
              </w:rPr>
              <w:t>$165</w:t>
            </w:r>
          </w:p>
        </w:tc>
        <w:tc>
          <w:tcPr>
            <w:tcW w:w="1710" w:type="dxa"/>
            <w:vAlign w:val="bottom"/>
          </w:tcPr>
          <w:p w:rsidR="001235BB" w:rsidRPr="00944EE7" w:rsidP="00D27606" w14:paraId="45F6F9C4" w14:textId="77777777">
            <w:pPr>
              <w:jc w:val="right"/>
              <w:rPr>
                <w:rFonts w:asciiTheme="minorHAnsi" w:hAnsiTheme="minorHAnsi" w:cstheme="minorHAnsi"/>
                <w:color w:val="000000"/>
              </w:rPr>
            </w:pPr>
            <w:r w:rsidRPr="00214446">
              <w:rPr>
                <w:rFonts w:asciiTheme="minorHAnsi" w:hAnsiTheme="minorHAnsi" w:cstheme="minorHAnsi"/>
                <w:color w:val="000000"/>
              </w:rPr>
              <w:t>0.66</w:t>
            </w:r>
          </w:p>
        </w:tc>
        <w:tc>
          <w:tcPr>
            <w:tcW w:w="1710" w:type="dxa"/>
            <w:shd w:val="clear" w:color="auto" w:fill="auto"/>
            <w:vAlign w:val="bottom"/>
          </w:tcPr>
          <w:p w:rsidR="001235BB" w:rsidRPr="00944EE7" w:rsidP="00D27606" w14:paraId="2ED8AEF1" w14:textId="77777777">
            <w:pPr>
              <w:jc w:val="right"/>
              <w:rPr>
                <w:rFonts w:asciiTheme="minorHAnsi" w:hAnsiTheme="minorHAnsi" w:cstheme="minorHAnsi"/>
                <w:color w:val="000000"/>
              </w:rPr>
            </w:pPr>
            <w:r w:rsidRPr="00944EE7">
              <w:rPr>
                <w:rFonts w:asciiTheme="minorHAnsi" w:hAnsiTheme="minorHAnsi" w:cstheme="minorHAnsi"/>
                <w:color w:val="000000"/>
              </w:rPr>
              <w:t>$165</w:t>
            </w:r>
          </w:p>
        </w:tc>
      </w:tr>
      <w:tr w14:paraId="1906E86A" w14:textId="77777777" w:rsidTr="00944EE7">
        <w:tblPrEx>
          <w:tblW w:w="14471" w:type="dxa"/>
          <w:tblInd w:w="-706" w:type="dxa"/>
          <w:tblLayout w:type="fixed"/>
          <w:tblLook w:val="04A0"/>
        </w:tblPrEx>
        <w:trPr>
          <w:cantSplit/>
        </w:trPr>
        <w:tc>
          <w:tcPr>
            <w:tcW w:w="1589" w:type="dxa"/>
            <w:shd w:val="clear" w:color="auto" w:fill="auto"/>
            <w:vAlign w:val="bottom"/>
          </w:tcPr>
          <w:p w:rsidR="001235BB" w:rsidRPr="00944EE7" w:rsidP="00D27606" w14:paraId="52F54933" w14:textId="77777777">
            <w:pPr>
              <w:rPr>
                <w:rFonts w:asciiTheme="minorHAnsi" w:hAnsiTheme="minorHAnsi" w:cstheme="minorHAnsi"/>
                <w:color w:val="000000"/>
              </w:rPr>
            </w:pPr>
            <w:r w:rsidRPr="00944EE7">
              <w:rPr>
                <w:rFonts w:asciiTheme="minorHAnsi" w:hAnsiTheme="minorHAnsi" w:cstheme="minorHAnsi"/>
                <w:color w:val="000000"/>
              </w:rPr>
              <w:t>Notice to clearing members re: termination of exemption -39.6(h)</w:t>
            </w:r>
          </w:p>
        </w:tc>
        <w:tc>
          <w:tcPr>
            <w:tcW w:w="1452" w:type="dxa"/>
            <w:shd w:val="clear" w:color="auto" w:fill="auto"/>
            <w:vAlign w:val="bottom"/>
          </w:tcPr>
          <w:p w:rsidR="001235BB" w:rsidRPr="00944EE7" w:rsidP="00D27606" w14:paraId="2705FC40" w14:textId="77777777">
            <w:pPr>
              <w:jc w:val="right"/>
              <w:rPr>
                <w:rFonts w:asciiTheme="minorHAnsi" w:hAnsiTheme="minorHAnsi" w:cstheme="minorHAnsi"/>
                <w:color w:val="000000"/>
              </w:rPr>
            </w:pPr>
            <w:r w:rsidRPr="00944EE7">
              <w:rPr>
                <w:rFonts w:asciiTheme="minorHAnsi" w:hAnsiTheme="minorHAnsi" w:cstheme="minorHAnsi"/>
                <w:color w:val="000000"/>
              </w:rPr>
              <w:t>1</w:t>
            </w:r>
          </w:p>
        </w:tc>
        <w:tc>
          <w:tcPr>
            <w:tcW w:w="1350" w:type="dxa"/>
            <w:vAlign w:val="bottom"/>
          </w:tcPr>
          <w:p w:rsidR="001235BB" w:rsidRPr="00944EE7" w:rsidP="00D27606" w14:paraId="2BAAEB1C" w14:textId="77777777">
            <w:pPr>
              <w:jc w:val="right"/>
              <w:rPr>
                <w:rFonts w:asciiTheme="minorHAnsi" w:hAnsiTheme="minorHAnsi" w:cstheme="minorHAnsi"/>
                <w:color w:val="000000"/>
              </w:rPr>
            </w:pPr>
            <w:r w:rsidRPr="00944EE7">
              <w:rPr>
                <w:rFonts w:asciiTheme="minorHAnsi" w:hAnsiTheme="minorHAnsi" w:cstheme="minorHAnsi"/>
                <w:color w:val="000000"/>
              </w:rPr>
              <w:t>8</w:t>
            </w:r>
            <w:r>
              <w:rPr>
                <w:rStyle w:val="FootnoteReference"/>
                <w:rFonts w:asciiTheme="minorHAnsi" w:hAnsiTheme="minorHAnsi" w:cstheme="minorHAnsi"/>
                <w:color w:val="000000"/>
              </w:rPr>
              <w:footnoteReference w:id="10"/>
            </w:r>
          </w:p>
        </w:tc>
        <w:tc>
          <w:tcPr>
            <w:tcW w:w="1170" w:type="dxa"/>
            <w:vAlign w:val="bottom"/>
          </w:tcPr>
          <w:p w:rsidR="001235BB" w:rsidRPr="00944EE7" w:rsidP="00D27606" w14:paraId="570A4C10" w14:textId="77777777">
            <w:pPr>
              <w:jc w:val="right"/>
              <w:rPr>
                <w:rFonts w:asciiTheme="minorHAnsi" w:hAnsiTheme="minorHAnsi" w:cstheme="minorHAnsi"/>
                <w:color w:val="000000"/>
              </w:rPr>
            </w:pPr>
            <w:r w:rsidRPr="00944EE7">
              <w:rPr>
                <w:rFonts w:asciiTheme="minorHAnsi" w:hAnsiTheme="minorHAnsi" w:cstheme="minorHAnsi"/>
                <w:color w:val="000000"/>
              </w:rPr>
              <w:t>8</w:t>
            </w:r>
          </w:p>
        </w:tc>
        <w:tc>
          <w:tcPr>
            <w:tcW w:w="1170" w:type="dxa"/>
            <w:shd w:val="clear" w:color="auto" w:fill="auto"/>
            <w:vAlign w:val="bottom"/>
          </w:tcPr>
          <w:p w:rsidR="001235BB" w:rsidRPr="00944EE7" w:rsidP="00D27606" w14:paraId="4114F92C" w14:textId="77777777">
            <w:pPr>
              <w:jc w:val="right"/>
              <w:rPr>
                <w:rFonts w:asciiTheme="minorHAnsi" w:hAnsiTheme="minorHAnsi" w:cstheme="minorHAnsi"/>
                <w:color w:val="000000"/>
              </w:rPr>
            </w:pPr>
            <w:r w:rsidRPr="00944EE7">
              <w:rPr>
                <w:rFonts w:asciiTheme="minorHAnsi" w:hAnsiTheme="minorHAnsi" w:cstheme="minorHAnsi"/>
                <w:color w:val="000000"/>
              </w:rPr>
              <w:t>0.1</w:t>
            </w:r>
          </w:p>
        </w:tc>
        <w:tc>
          <w:tcPr>
            <w:tcW w:w="1530" w:type="dxa"/>
            <w:shd w:val="clear" w:color="auto" w:fill="auto"/>
            <w:vAlign w:val="bottom"/>
          </w:tcPr>
          <w:p w:rsidR="001235BB" w:rsidRPr="00944EE7" w:rsidP="00D27606" w14:paraId="5CA7F462" w14:textId="77777777">
            <w:pPr>
              <w:jc w:val="right"/>
              <w:rPr>
                <w:rFonts w:asciiTheme="minorHAnsi" w:hAnsiTheme="minorHAnsi" w:cstheme="minorHAnsi"/>
                <w:color w:val="000000"/>
              </w:rPr>
            </w:pPr>
            <w:r w:rsidRPr="00944EE7">
              <w:rPr>
                <w:rFonts w:asciiTheme="minorHAnsi" w:hAnsiTheme="minorHAnsi" w:cstheme="minorHAnsi"/>
                <w:color w:val="000000"/>
              </w:rPr>
              <w:t>0.8</w:t>
            </w:r>
          </w:p>
        </w:tc>
        <w:tc>
          <w:tcPr>
            <w:tcW w:w="1350" w:type="dxa"/>
            <w:shd w:val="clear" w:color="auto" w:fill="auto"/>
            <w:vAlign w:val="bottom"/>
          </w:tcPr>
          <w:p w:rsidR="001235BB" w:rsidRPr="00944EE7" w:rsidP="00D9583A" w14:paraId="325746EB" w14:textId="1E7E04EC">
            <w:pPr>
              <w:jc w:val="right"/>
              <w:rPr>
                <w:rFonts w:asciiTheme="minorHAnsi" w:hAnsiTheme="minorHAnsi" w:cstheme="minorHAnsi"/>
                <w:color w:val="000000"/>
              </w:rPr>
            </w:pPr>
            <w:r w:rsidRPr="00944EE7">
              <w:rPr>
                <w:rFonts w:asciiTheme="minorHAnsi" w:hAnsiTheme="minorHAnsi" w:cstheme="minorHAnsi"/>
                <w:color w:val="000000"/>
              </w:rPr>
              <w:t>$2</w:t>
            </w:r>
            <w:r w:rsidRPr="00944EE7" w:rsidR="00B87087">
              <w:rPr>
                <w:rFonts w:asciiTheme="minorHAnsi" w:hAnsiTheme="minorHAnsi" w:cstheme="minorHAnsi"/>
                <w:color w:val="000000"/>
              </w:rPr>
              <w:t>5</w:t>
            </w:r>
            <w:r w:rsidRPr="00944EE7" w:rsidR="00D9583A">
              <w:rPr>
                <w:rFonts w:asciiTheme="minorHAnsi" w:hAnsiTheme="minorHAnsi" w:cstheme="minorHAnsi"/>
                <w:color w:val="000000"/>
              </w:rPr>
              <w:t>0</w:t>
            </w:r>
            <w:r w:rsidRPr="00944EE7">
              <w:rPr>
                <w:rFonts w:asciiTheme="minorHAnsi" w:hAnsiTheme="minorHAnsi" w:cstheme="minorHAnsi"/>
                <w:color w:val="000000"/>
              </w:rPr>
              <w:t xml:space="preserve"> </w:t>
            </w:r>
          </w:p>
        </w:tc>
        <w:tc>
          <w:tcPr>
            <w:tcW w:w="1440" w:type="dxa"/>
            <w:shd w:val="clear" w:color="auto" w:fill="auto"/>
            <w:vAlign w:val="bottom"/>
          </w:tcPr>
          <w:p w:rsidR="001235BB" w:rsidRPr="00944EE7" w:rsidP="00D9583A" w14:paraId="59486DC0" w14:textId="77777777">
            <w:pPr>
              <w:jc w:val="right"/>
              <w:rPr>
                <w:rFonts w:asciiTheme="minorHAnsi" w:hAnsiTheme="minorHAnsi" w:cstheme="minorHAnsi"/>
                <w:color w:val="000000"/>
              </w:rPr>
            </w:pPr>
            <w:r w:rsidRPr="00944EE7">
              <w:rPr>
                <w:rFonts w:asciiTheme="minorHAnsi" w:hAnsiTheme="minorHAnsi" w:cstheme="minorHAnsi"/>
                <w:color w:val="000000"/>
              </w:rPr>
              <w:t>$2</w:t>
            </w:r>
            <w:r w:rsidRPr="00944EE7" w:rsidR="00D9583A">
              <w:rPr>
                <w:rFonts w:asciiTheme="minorHAnsi" w:hAnsiTheme="minorHAnsi" w:cstheme="minorHAnsi"/>
                <w:color w:val="000000"/>
              </w:rPr>
              <w:t>00</w:t>
            </w:r>
          </w:p>
        </w:tc>
        <w:tc>
          <w:tcPr>
            <w:tcW w:w="1710" w:type="dxa"/>
            <w:vAlign w:val="bottom"/>
          </w:tcPr>
          <w:p w:rsidR="001235BB" w:rsidRPr="00944EE7" w:rsidP="00D27606" w14:paraId="4AA74A6C" w14:textId="77777777">
            <w:pPr>
              <w:jc w:val="right"/>
              <w:rPr>
                <w:rFonts w:asciiTheme="minorHAnsi" w:hAnsiTheme="minorHAnsi" w:cstheme="minorHAnsi"/>
                <w:color w:val="000000"/>
              </w:rPr>
            </w:pPr>
            <w:r w:rsidRPr="00214446">
              <w:rPr>
                <w:rFonts w:asciiTheme="minorHAnsi" w:hAnsiTheme="minorHAnsi" w:cstheme="minorHAnsi"/>
                <w:color w:val="000000"/>
              </w:rPr>
              <w:t>0.8</w:t>
            </w:r>
          </w:p>
        </w:tc>
        <w:tc>
          <w:tcPr>
            <w:tcW w:w="1710" w:type="dxa"/>
            <w:shd w:val="clear" w:color="auto" w:fill="auto"/>
            <w:vAlign w:val="bottom"/>
          </w:tcPr>
          <w:p w:rsidR="001235BB" w:rsidRPr="00944EE7" w:rsidP="00D9583A" w14:paraId="0EDEEBC0" w14:textId="77777777">
            <w:pPr>
              <w:jc w:val="right"/>
              <w:rPr>
                <w:rFonts w:asciiTheme="minorHAnsi" w:hAnsiTheme="minorHAnsi" w:cstheme="minorHAnsi"/>
                <w:color w:val="000000"/>
              </w:rPr>
            </w:pPr>
            <w:r w:rsidRPr="00944EE7">
              <w:rPr>
                <w:rFonts w:asciiTheme="minorHAnsi" w:hAnsiTheme="minorHAnsi" w:cstheme="minorHAnsi"/>
                <w:color w:val="000000"/>
              </w:rPr>
              <w:t>$2</w:t>
            </w:r>
            <w:r w:rsidRPr="00944EE7" w:rsidR="00D9583A">
              <w:rPr>
                <w:rFonts w:asciiTheme="minorHAnsi" w:hAnsiTheme="minorHAnsi" w:cstheme="minorHAnsi"/>
                <w:color w:val="000000"/>
              </w:rPr>
              <w:t>00</w:t>
            </w:r>
          </w:p>
        </w:tc>
      </w:tr>
      <w:tr w14:paraId="1213E414" w14:textId="77777777" w:rsidTr="00944EE7">
        <w:tblPrEx>
          <w:tblW w:w="14471" w:type="dxa"/>
          <w:tblInd w:w="-706" w:type="dxa"/>
          <w:tblLayout w:type="fixed"/>
          <w:tblLook w:val="04A0"/>
        </w:tblPrEx>
        <w:trPr>
          <w:cantSplit/>
        </w:trPr>
        <w:tc>
          <w:tcPr>
            <w:tcW w:w="1589" w:type="dxa"/>
            <w:shd w:val="clear" w:color="auto" w:fill="auto"/>
          </w:tcPr>
          <w:p w:rsidR="00CB2C64" w:rsidRPr="00944EE7" w:rsidP="00D27606" w14:paraId="390EDECF" w14:textId="77777777">
            <w:pPr>
              <w:rPr>
                <w:rFonts w:asciiTheme="minorHAnsi" w:hAnsiTheme="minorHAnsi" w:cstheme="minorHAnsi"/>
              </w:rPr>
            </w:pPr>
            <w:r w:rsidRPr="00944EE7">
              <w:rPr>
                <w:rFonts w:asciiTheme="minorHAnsi" w:hAnsiTheme="minorHAnsi" w:cstheme="minorHAnsi"/>
              </w:rPr>
              <w:t>Daily reporting-39.6(c)(2)(</w:t>
            </w:r>
            <w:r w:rsidRPr="00944EE7">
              <w:rPr>
                <w:rFonts w:asciiTheme="minorHAnsi" w:hAnsiTheme="minorHAnsi" w:cstheme="minorHAnsi"/>
              </w:rPr>
              <w:t>i</w:t>
            </w:r>
            <w:r w:rsidRPr="00944EE7">
              <w:rPr>
                <w:rFonts w:asciiTheme="minorHAnsi" w:hAnsiTheme="minorHAnsi" w:cstheme="minorHAnsi"/>
              </w:rPr>
              <w:t>)</w:t>
            </w:r>
          </w:p>
        </w:tc>
        <w:tc>
          <w:tcPr>
            <w:tcW w:w="1452" w:type="dxa"/>
            <w:shd w:val="clear" w:color="auto" w:fill="auto"/>
            <w:vAlign w:val="bottom"/>
          </w:tcPr>
          <w:p w:rsidR="00CB2C64" w:rsidRPr="00944EE7" w:rsidP="0084776F" w14:paraId="0A867CCD" w14:textId="77777777">
            <w:pPr>
              <w:jc w:val="right"/>
              <w:rPr>
                <w:rFonts w:asciiTheme="minorHAnsi" w:hAnsiTheme="minorHAnsi" w:cstheme="minorHAnsi"/>
              </w:rPr>
            </w:pPr>
            <w:r w:rsidRPr="00944EE7">
              <w:rPr>
                <w:rFonts w:asciiTheme="minorHAnsi" w:hAnsiTheme="minorHAnsi" w:cstheme="minorHAnsi"/>
              </w:rPr>
              <w:t>7</w:t>
            </w:r>
          </w:p>
        </w:tc>
        <w:tc>
          <w:tcPr>
            <w:tcW w:w="1350" w:type="dxa"/>
            <w:vAlign w:val="bottom"/>
          </w:tcPr>
          <w:p w:rsidR="00CB2C64" w:rsidRPr="00944EE7" w:rsidP="0084776F" w14:paraId="646E7087" w14:textId="77777777">
            <w:pPr>
              <w:jc w:val="right"/>
              <w:rPr>
                <w:rFonts w:asciiTheme="minorHAnsi" w:hAnsiTheme="minorHAnsi" w:cstheme="minorHAnsi"/>
                <w:color w:val="000000"/>
              </w:rPr>
            </w:pPr>
            <w:r w:rsidRPr="00944EE7">
              <w:rPr>
                <w:rFonts w:asciiTheme="minorHAnsi" w:hAnsiTheme="minorHAnsi" w:cstheme="minorHAnsi"/>
              </w:rPr>
              <w:t>250</w:t>
            </w:r>
            <w:r>
              <w:rPr>
                <w:rStyle w:val="FootnoteReference"/>
                <w:rFonts w:asciiTheme="minorHAnsi" w:hAnsiTheme="minorHAnsi" w:cstheme="minorHAnsi"/>
              </w:rPr>
              <w:footnoteReference w:id="11"/>
            </w:r>
          </w:p>
        </w:tc>
        <w:tc>
          <w:tcPr>
            <w:tcW w:w="1170" w:type="dxa"/>
            <w:vAlign w:val="bottom"/>
          </w:tcPr>
          <w:p w:rsidR="00CB2C64" w:rsidRPr="00944EE7" w:rsidP="0084776F" w14:paraId="7BDFE3C0" w14:textId="77777777">
            <w:pPr>
              <w:jc w:val="right"/>
              <w:rPr>
                <w:rFonts w:asciiTheme="minorHAnsi" w:hAnsiTheme="minorHAnsi" w:cstheme="minorHAnsi"/>
              </w:rPr>
            </w:pPr>
            <w:r w:rsidRPr="00944EE7">
              <w:rPr>
                <w:rFonts w:asciiTheme="minorHAnsi" w:hAnsiTheme="minorHAnsi" w:cstheme="minorHAnsi"/>
              </w:rPr>
              <w:t>1750</w:t>
            </w:r>
          </w:p>
        </w:tc>
        <w:tc>
          <w:tcPr>
            <w:tcW w:w="1170" w:type="dxa"/>
            <w:shd w:val="clear" w:color="auto" w:fill="auto"/>
            <w:vAlign w:val="bottom"/>
          </w:tcPr>
          <w:p w:rsidR="00CB2C64" w:rsidRPr="00944EE7" w:rsidP="0084776F" w14:paraId="57312E7D" w14:textId="77777777">
            <w:pPr>
              <w:jc w:val="right"/>
              <w:rPr>
                <w:rFonts w:asciiTheme="minorHAnsi" w:hAnsiTheme="minorHAnsi" w:cstheme="minorHAnsi"/>
              </w:rPr>
            </w:pPr>
            <w:r w:rsidRPr="00944EE7">
              <w:rPr>
                <w:rFonts w:asciiTheme="minorHAnsi" w:hAnsiTheme="minorHAnsi" w:cstheme="minorHAnsi"/>
              </w:rPr>
              <w:t>0.1</w:t>
            </w:r>
          </w:p>
        </w:tc>
        <w:tc>
          <w:tcPr>
            <w:tcW w:w="1530" w:type="dxa"/>
            <w:shd w:val="clear" w:color="auto" w:fill="auto"/>
            <w:vAlign w:val="bottom"/>
          </w:tcPr>
          <w:p w:rsidR="00CB2C64" w:rsidRPr="00944EE7" w:rsidP="0084776F" w14:paraId="14D1676D" w14:textId="77777777">
            <w:pPr>
              <w:jc w:val="right"/>
              <w:rPr>
                <w:rFonts w:asciiTheme="minorHAnsi" w:hAnsiTheme="minorHAnsi" w:cstheme="minorHAnsi"/>
              </w:rPr>
            </w:pPr>
            <w:r w:rsidRPr="00944EE7">
              <w:rPr>
                <w:rFonts w:asciiTheme="minorHAnsi" w:hAnsiTheme="minorHAnsi" w:cstheme="minorHAnsi"/>
              </w:rPr>
              <w:t>25</w:t>
            </w:r>
          </w:p>
        </w:tc>
        <w:tc>
          <w:tcPr>
            <w:tcW w:w="1350" w:type="dxa"/>
            <w:shd w:val="clear" w:color="auto" w:fill="auto"/>
            <w:vAlign w:val="bottom"/>
          </w:tcPr>
          <w:p w:rsidR="00CB2C64" w:rsidRPr="00944EE7" w:rsidP="0067203F" w14:paraId="4079774C" w14:textId="0C6EE236">
            <w:pPr>
              <w:jc w:val="right"/>
              <w:rPr>
                <w:rFonts w:asciiTheme="minorHAnsi" w:hAnsiTheme="minorHAnsi" w:cstheme="minorHAnsi"/>
              </w:rPr>
            </w:pPr>
            <w:r w:rsidRPr="00944EE7">
              <w:rPr>
                <w:rFonts w:asciiTheme="minorHAnsi" w:hAnsiTheme="minorHAnsi" w:cstheme="minorHAnsi"/>
              </w:rPr>
              <w:t>$4</w:t>
            </w:r>
            <w:r w:rsidR="00C362BA">
              <w:rPr>
                <w:rFonts w:asciiTheme="minorHAnsi" w:hAnsiTheme="minorHAnsi" w:cstheme="minorHAnsi"/>
              </w:rPr>
              <w:t>6</w:t>
            </w:r>
            <w:r>
              <w:rPr>
                <w:rStyle w:val="FootnoteReference"/>
                <w:rFonts w:asciiTheme="minorHAnsi" w:hAnsiTheme="minorHAnsi" w:cstheme="minorHAnsi"/>
              </w:rPr>
              <w:footnoteReference w:id="12"/>
            </w:r>
          </w:p>
        </w:tc>
        <w:tc>
          <w:tcPr>
            <w:tcW w:w="1440" w:type="dxa"/>
            <w:shd w:val="clear" w:color="auto" w:fill="auto"/>
            <w:vAlign w:val="bottom"/>
          </w:tcPr>
          <w:p w:rsidR="00CB2C64" w:rsidRPr="00944EE7" w:rsidP="003A3175" w14:paraId="0EE26904" w14:textId="14E8DE21">
            <w:pPr>
              <w:jc w:val="right"/>
              <w:rPr>
                <w:rFonts w:asciiTheme="minorHAnsi" w:hAnsiTheme="minorHAnsi" w:cstheme="minorHAnsi"/>
              </w:rPr>
            </w:pPr>
            <w:r w:rsidRPr="00944EE7">
              <w:rPr>
                <w:rFonts w:asciiTheme="minorHAnsi" w:hAnsiTheme="minorHAnsi" w:cstheme="minorHAnsi"/>
              </w:rPr>
              <w:t>$11</w:t>
            </w:r>
            <w:r w:rsidR="00C362BA">
              <w:rPr>
                <w:rFonts w:asciiTheme="minorHAnsi" w:hAnsiTheme="minorHAnsi" w:cstheme="minorHAnsi"/>
              </w:rPr>
              <w:t>50</w:t>
            </w:r>
          </w:p>
        </w:tc>
        <w:tc>
          <w:tcPr>
            <w:tcW w:w="1710" w:type="dxa"/>
            <w:vAlign w:val="bottom"/>
          </w:tcPr>
          <w:p w:rsidR="00CB2C64" w:rsidRPr="00944EE7" w:rsidP="0084776F" w14:paraId="1EE38018" w14:textId="77777777">
            <w:pPr>
              <w:jc w:val="right"/>
              <w:rPr>
                <w:rFonts w:asciiTheme="minorHAnsi" w:hAnsiTheme="minorHAnsi" w:cstheme="minorHAnsi"/>
              </w:rPr>
            </w:pPr>
            <w:r w:rsidRPr="00214446">
              <w:rPr>
                <w:rFonts w:asciiTheme="minorHAnsi" w:hAnsiTheme="minorHAnsi" w:cstheme="minorHAnsi"/>
              </w:rPr>
              <w:t>175</w:t>
            </w:r>
          </w:p>
        </w:tc>
        <w:tc>
          <w:tcPr>
            <w:tcW w:w="1710" w:type="dxa"/>
            <w:shd w:val="clear" w:color="auto" w:fill="auto"/>
            <w:vAlign w:val="bottom"/>
          </w:tcPr>
          <w:p w:rsidR="00CB2C64" w:rsidRPr="00944EE7" w:rsidP="0067203F" w14:paraId="18B5D0B1" w14:textId="0726ACE4">
            <w:pPr>
              <w:jc w:val="right"/>
              <w:rPr>
                <w:rFonts w:asciiTheme="minorHAnsi" w:hAnsiTheme="minorHAnsi" w:cstheme="minorHAnsi"/>
                <w:color w:val="000000"/>
              </w:rPr>
            </w:pPr>
            <w:r w:rsidRPr="00944EE7">
              <w:rPr>
                <w:rFonts w:asciiTheme="minorHAnsi" w:hAnsiTheme="minorHAnsi" w:cstheme="minorHAnsi"/>
              </w:rPr>
              <w:t>$</w:t>
            </w:r>
            <w:r w:rsidR="00C362BA">
              <w:rPr>
                <w:rFonts w:asciiTheme="minorHAnsi" w:hAnsiTheme="minorHAnsi" w:cstheme="minorHAnsi"/>
              </w:rPr>
              <w:t>8050</w:t>
            </w:r>
          </w:p>
        </w:tc>
      </w:tr>
      <w:tr w14:paraId="41DC9079" w14:textId="77777777" w:rsidTr="00944EE7">
        <w:tblPrEx>
          <w:tblW w:w="14471" w:type="dxa"/>
          <w:tblInd w:w="-706" w:type="dxa"/>
          <w:tblLayout w:type="fixed"/>
          <w:tblLook w:val="04A0"/>
        </w:tblPrEx>
        <w:trPr>
          <w:cantSplit/>
        </w:trPr>
        <w:tc>
          <w:tcPr>
            <w:tcW w:w="1589" w:type="dxa"/>
            <w:shd w:val="clear" w:color="auto" w:fill="auto"/>
          </w:tcPr>
          <w:p w:rsidR="00CB2C64" w:rsidRPr="00944EE7" w:rsidP="0084776F" w14:paraId="20219B93" w14:textId="77777777">
            <w:pPr>
              <w:rPr>
                <w:rFonts w:asciiTheme="minorHAnsi" w:hAnsiTheme="minorHAnsi" w:cstheme="minorHAnsi"/>
                <w:highlight w:val="yellow"/>
              </w:rPr>
            </w:pPr>
            <w:r w:rsidRPr="00944EE7">
              <w:rPr>
                <w:rFonts w:asciiTheme="minorHAnsi" w:hAnsiTheme="minorHAnsi" w:cstheme="minorHAnsi"/>
              </w:rPr>
              <w:t>Quarterly reporting-39.6(c)(2)(ii)</w:t>
            </w:r>
          </w:p>
        </w:tc>
        <w:tc>
          <w:tcPr>
            <w:tcW w:w="1452" w:type="dxa"/>
            <w:shd w:val="clear" w:color="auto" w:fill="auto"/>
            <w:vAlign w:val="bottom"/>
          </w:tcPr>
          <w:p w:rsidR="00CB2C64" w:rsidRPr="00944EE7" w14:paraId="445A14BE" w14:textId="77777777">
            <w:pPr>
              <w:jc w:val="right"/>
              <w:rPr>
                <w:rFonts w:asciiTheme="minorHAnsi" w:hAnsiTheme="minorHAnsi" w:cstheme="minorHAnsi"/>
                <w:color w:val="000000"/>
              </w:rPr>
            </w:pPr>
            <w:r w:rsidRPr="00944EE7">
              <w:rPr>
                <w:rFonts w:asciiTheme="minorHAnsi" w:hAnsiTheme="minorHAnsi" w:cstheme="minorHAnsi"/>
                <w:color w:val="000000"/>
              </w:rPr>
              <w:t>7</w:t>
            </w:r>
          </w:p>
        </w:tc>
        <w:tc>
          <w:tcPr>
            <w:tcW w:w="1350" w:type="dxa"/>
            <w:vAlign w:val="bottom"/>
          </w:tcPr>
          <w:p w:rsidR="00CB2C64" w:rsidRPr="00944EE7" w14:paraId="4EDA9BA8" w14:textId="77777777">
            <w:pPr>
              <w:jc w:val="right"/>
              <w:rPr>
                <w:rFonts w:asciiTheme="minorHAnsi" w:hAnsiTheme="minorHAnsi" w:cstheme="minorHAnsi"/>
                <w:color w:val="000000"/>
              </w:rPr>
            </w:pPr>
            <w:r w:rsidRPr="00944EE7">
              <w:rPr>
                <w:rFonts w:asciiTheme="minorHAnsi" w:hAnsiTheme="minorHAnsi" w:cstheme="minorHAnsi"/>
                <w:color w:val="000000"/>
              </w:rPr>
              <w:t>4</w:t>
            </w:r>
          </w:p>
        </w:tc>
        <w:tc>
          <w:tcPr>
            <w:tcW w:w="1170" w:type="dxa"/>
            <w:vAlign w:val="bottom"/>
          </w:tcPr>
          <w:p w:rsidR="00CB2C64" w:rsidRPr="00944EE7" w14:paraId="339265AE" w14:textId="77777777">
            <w:pPr>
              <w:jc w:val="right"/>
              <w:rPr>
                <w:rFonts w:asciiTheme="minorHAnsi" w:hAnsiTheme="minorHAnsi" w:cstheme="minorHAnsi"/>
                <w:color w:val="000000"/>
              </w:rPr>
            </w:pPr>
            <w:r w:rsidRPr="00944EE7">
              <w:rPr>
                <w:rFonts w:asciiTheme="minorHAnsi" w:hAnsiTheme="minorHAnsi" w:cstheme="minorHAnsi"/>
                <w:color w:val="000000"/>
              </w:rPr>
              <w:t>28</w:t>
            </w:r>
          </w:p>
        </w:tc>
        <w:tc>
          <w:tcPr>
            <w:tcW w:w="1170" w:type="dxa"/>
            <w:shd w:val="clear" w:color="auto" w:fill="auto"/>
            <w:vAlign w:val="bottom"/>
          </w:tcPr>
          <w:p w:rsidR="00CB2C64" w:rsidRPr="00944EE7" w14:paraId="1253A266" w14:textId="77777777">
            <w:pPr>
              <w:jc w:val="right"/>
              <w:rPr>
                <w:rFonts w:asciiTheme="minorHAnsi" w:hAnsiTheme="minorHAnsi" w:cstheme="minorHAnsi"/>
                <w:color w:val="000000"/>
              </w:rPr>
            </w:pPr>
            <w:r w:rsidRPr="00944EE7">
              <w:rPr>
                <w:rFonts w:asciiTheme="minorHAnsi" w:hAnsiTheme="minorHAnsi" w:cstheme="minorHAnsi"/>
                <w:color w:val="000000"/>
              </w:rPr>
              <w:t>1</w:t>
            </w:r>
          </w:p>
        </w:tc>
        <w:tc>
          <w:tcPr>
            <w:tcW w:w="1530" w:type="dxa"/>
            <w:shd w:val="clear" w:color="auto" w:fill="auto"/>
            <w:vAlign w:val="bottom"/>
          </w:tcPr>
          <w:p w:rsidR="00CB2C64" w:rsidRPr="00944EE7" w14:paraId="2D89E2E5" w14:textId="77777777">
            <w:pPr>
              <w:jc w:val="right"/>
              <w:rPr>
                <w:rFonts w:asciiTheme="minorHAnsi" w:hAnsiTheme="minorHAnsi" w:cstheme="minorHAnsi"/>
                <w:color w:val="000000"/>
              </w:rPr>
            </w:pPr>
            <w:r w:rsidRPr="00944EE7">
              <w:rPr>
                <w:rFonts w:asciiTheme="minorHAnsi" w:hAnsiTheme="minorHAnsi" w:cstheme="minorHAnsi"/>
                <w:color w:val="000000"/>
              </w:rPr>
              <w:t>4</w:t>
            </w:r>
          </w:p>
        </w:tc>
        <w:tc>
          <w:tcPr>
            <w:tcW w:w="1350" w:type="dxa"/>
            <w:shd w:val="clear" w:color="auto" w:fill="auto"/>
            <w:vAlign w:val="bottom"/>
          </w:tcPr>
          <w:p w:rsidR="00CB2C64" w:rsidRPr="00944EE7" w:rsidP="0067203F" w14:paraId="1DD23BBE" w14:textId="71C35235">
            <w:pPr>
              <w:jc w:val="right"/>
              <w:rPr>
                <w:rFonts w:asciiTheme="minorHAnsi" w:hAnsiTheme="minorHAnsi" w:cstheme="minorHAnsi"/>
                <w:color w:val="000000"/>
              </w:rPr>
            </w:pPr>
            <w:r w:rsidRPr="00944EE7">
              <w:rPr>
                <w:rFonts w:asciiTheme="minorHAnsi" w:hAnsiTheme="minorHAnsi" w:cstheme="minorHAnsi"/>
                <w:color w:val="000000"/>
              </w:rPr>
              <w:t>$</w:t>
            </w:r>
            <w:r w:rsidR="00C362BA">
              <w:rPr>
                <w:rFonts w:asciiTheme="minorHAnsi" w:hAnsiTheme="minorHAnsi" w:cstheme="minorHAnsi"/>
                <w:color w:val="000000"/>
              </w:rPr>
              <w:t>59</w:t>
            </w:r>
            <w:r>
              <w:rPr>
                <w:rStyle w:val="FootnoteReference"/>
                <w:rFonts w:asciiTheme="minorHAnsi" w:hAnsiTheme="minorHAnsi" w:cstheme="minorHAnsi"/>
                <w:color w:val="000000"/>
              </w:rPr>
              <w:footnoteReference w:id="13"/>
            </w:r>
            <w:r w:rsidRPr="00944EE7">
              <w:rPr>
                <w:rFonts w:asciiTheme="minorHAnsi" w:hAnsiTheme="minorHAnsi" w:cstheme="minorHAnsi"/>
                <w:color w:val="000000"/>
              </w:rPr>
              <w:t xml:space="preserve"> </w:t>
            </w:r>
          </w:p>
        </w:tc>
        <w:tc>
          <w:tcPr>
            <w:tcW w:w="1440" w:type="dxa"/>
            <w:shd w:val="clear" w:color="auto" w:fill="auto"/>
            <w:vAlign w:val="bottom"/>
          </w:tcPr>
          <w:p w:rsidR="00CB2C64" w:rsidRPr="00944EE7" w:rsidP="0067203F" w14:paraId="254AA59E" w14:textId="6D35C1F9">
            <w:pPr>
              <w:jc w:val="right"/>
              <w:rPr>
                <w:rFonts w:asciiTheme="minorHAnsi" w:hAnsiTheme="minorHAnsi" w:cstheme="minorHAnsi"/>
                <w:color w:val="000000"/>
              </w:rPr>
            </w:pPr>
            <w:r w:rsidRPr="00944EE7">
              <w:rPr>
                <w:rFonts w:asciiTheme="minorHAnsi" w:hAnsiTheme="minorHAnsi" w:cstheme="minorHAnsi"/>
                <w:color w:val="000000"/>
              </w:rPr>
              <w:t>$</w:t>
            </w:r>
            <w:r w:rsidR="00C362BA">
              <w:rPr>
                <w:rFonts w:asciiTheme="minorHAnsi" w:hAnsiTheme="minorHAnsi" w:cstheme="minorHAnsi"/>
                <w:color w:val="000000"/>
              </w:rPr>
              <w:t>236</w:t>
            </w:r>
          </w:p>
        </w:tc>
        <w:tc>
          <w:tcPr>
            <w:tcW w:w="1710" w:type="dxa"/>
            <w:vAlign w:val="bottom"/>
          </w:tcPr>
          <w:p w:rsidR="00CB2C64" w:rsidRPr="00944EE7" w14:paraId="3BC05DB7" w14:textId="77777777">
            <w:pPr>
              <w:jc w:val="right"/>
              <w:rPr>
                <w:rFonts w:asciiTheme="minorHAnsi" w:hAnsiTheme="minorHAnsi" w:cstheme="minorHAnsi"/>
                <w:color w:val="000000"/>
              </w:rPr>
            </w:pPr>
            <w:r w:rsidRPr="00214446">
              <w:rPr>
                <w:rFonts w:asciiTheme="minorHAnsi" w:hAnsiTheme="minorHAnsi" w:cstheme="minorHAnsi"/>
                <w:color w:val="000000"/>
              </w:rPr>
              <w:t>28</w:t>
            </w:r>
          </w:p>
        </w:tc>
        <w:tc>
          <w:tcPr>
            <w:tcW w:w="1710" w:type="dxa"/>
            <w:shd w:val="clear" w:color="auto" w:fill="auto"/>
            <w:vAlign w:val="bottom"/>
          </w:tcPr>
          <w:p w:rsidR="00CB2C64" w:rsidRPr="00944EE7" w:rsidP="0067203F" w14:paraId="5DD7FB9D" w14:textId="5FA8D90A">
            <w:pPr>
              <w:jc w:val="right"/>
              <w:rPr>
                <w:rFonts w:asciiTheme="minorHAnsi" w:hAnsiTheme="minorHAnsi" w:cstheme="minorHAnsi"/>
                <w:color w:val="000000"/>
              </w:rPr>
            </w:pPr>
            <w:r w:rsidRPr="00944EE7">
              <w:rPr>
                <w:rFonts w:asciiTheme="minorHAnsi" w:hAnsiTheme="minorHAnsi" w:cstheme="minorHAnsi"/>
                <w:color w:val="000000"/>
              </w:rPr>
              <w:t>$</w:t>
            </w:r>
            <w:r w:rsidR="00C362BA">
              <w:rPr>
                <w:rFonts w:asciiTheme="minorHAnsi" w:hAnsiTheme="minorHAnsi" w:cstheme="minorHAnsi"/>
                <w:color w:val="000000"/>
              </w:rPr>
              <w:t>1652</w:t>
            </w:r>
          </w:p>
        </w:tc>
      </w:tr>
      <w:tr w14:paraId="38FE3328" w14:textId="77777777" w:rsidTr="00944EE7">
        <w:tblPrEx>
          <w:tblW w:w="14471" w:type="dxa"/>
          <w:tblInd w:w="-706" w:type="dxa"/>
          <w:tblLayout w:type="fixed"/>
          <w:tblLook w:val="04A0"/>
        </w:tblPrEx>
        <w:trPr>
          <w:cantSplit/>
        </w:trPr>
        <w:tc>
          <w:tcPr>
            <w:tcW w:w="1589" w:type="dxa"/>
            <w:shd w:val="clear" w:color="auto" w:fill="auto"/>
          </w:tcPr>
          <w:p w:rsidR="00CB2C64" w:rsidRPr="00944EE7" w:rsidP="00D27606" w14:paraId="459F5503" w14:textId="77777777">
            <w:pPr>
              <w:rPr>
                <w:rFonts w:asciiTheme="minorHAnsi" w:hAnsiTheme="minorHAnsi" w:cstheme="minorHAnsi"/>
                <w:highlight w:val="yellow"/>
              </w:rPr>
            </w:pPr>
            <w:r w:rsidRPr="00944EE7">
              <w:rPr>
                <w:rFonts w:asciiTheme="minorHAnsi" w:hAnsiTheme="minorHAnsi" w:cstheme="minorHAnsi"/>
              </w:rPr>
              <w:t>Event-specific reporting-39.6(c)(2)(</w:t>
            </w:r>
            <w:r w:rsidRPr="00944EE7">
              <w:rPr>
                <w:rFonts w:asciiTheme="minorHAnsi" w:hAnsiTheme="minorHAnsi" w:cstheme="minorHAnsi"/>
              </w:rPr>
              <w:t>iii)-(</w:t>
            </w:r>
            <w:r w:rsidRPr="00944EE7">
              <w:rPr>
                <w:rFonts w:asciiTheme="minorHAnsi" w:hAnsiTheme="minorHAnsi" w:cstheme="minorHAnsi"/>
              </w:rPr>
              <w:t>viii) and 39.6(b)(4)(iii)</w:t>
            </w:r>
          </w:p>
        </w:tc>
        <w:tc>
          <w:tcPr>
            <w:tcW w:w="1452" w:type="dxa"/>
            <w:shd w:val="clear" w:color="auto" w:fill="auto"/>
            <w:vAlign w:val="bottom"/>
          </w:tcPr>
          <w:p w:rsidR="00CB2C64" w:rsidRPr="00944EE7" w14:paraId="0C8D32E1" w14:textId="77777777">
            <w:pPr>
              <w:jc w:val="right"/>
              <w:rPr>
                <w:rFonts w:asciiTheme="minorHAnsi" w:hAnsiTheme="minorHAnsi" w:cstheme="minorHAnsi"/>
                <w:color w:val="000000"/>
              </w:rPr>
            </w:pPr>
            <w:r w:rsidRPr="00944EE7">
              <w:rPr>
                <w:rFonts w:asciiTheme="minorHAnsi" w:hAnsiTheme="minorHAnsi" w:cstheme="minorHAnsi"/>
                <w:color w:val="000000"/>
              </w:rPr>
              <w:t>4</w:t>
            </w:r>
          </w:p>
        </w:tc>
        <w:tc>
          <w:tcPr>
            <w:tcW w:w="1350" w:type="dxa"/>
            <w:vAlign w:val="bottom"/>
          </w:tcPr>
          <w:p w:rsidR="00CB2C64" w:rsidRPr="00944EE7" w14:paraId="1FE58C99" w14:textId="77777777">
            <w:pPr>
              <w:jc w:val="right"/>
              <w:rPr>
                <w:rFonts w:asciiTheme="minorHAnsi" w:hAnsiTheme="minorHAnsi" w:cstheme="minorHAnsi"/>
                <w:color w:val="000000"/>
              </w:rPr>
            </w:pPr>
            <w:r w:rsidRPr="00944EE7">
              <w:rPr>
                <w:rFonts w:asciiTheme="minorHAnsi" w:hAnsiTheme="minorHAnsi" w:cstheme="minorHAnsi"/>
                <w:color w:val="000000"/>
              </w:rPr>
              <w:t>1</w:t>
            </w:r>
          </w:p>
        </w:tc>
        <w:tc>
          <w:tcPr>
            <w:tcW w:w="1170" w:type="dxa"/>
            <w:vAlign w:val="bottom"/>
          </w:tcPr>
          <w:p w:rsidR="00CB2C64" w:rsidRPr="00944EE7" w14:paraId="444F9F86" w14:textId="77777777">
            <w:pPr>
              <w:jc w:val="right"/>
              <w:rPr>
                <w:rFonts w:asciiTheme="minorHAnsi" w:hAnsiTheme="minorHAnsi" w:cstheme="minorHAnsi"/>
                <w:color w:val="000000"/>
              </w:rPr>
            </w:pPr>
            <w:r w:rsidRPr="00944EE7">
              <w:rPr>
                <w:rFonts w:asciiTheme="minorHAnsi" w:hAnsiTheme="minorHAnsi" w:cstheme="minorHAnsi"/>
                <w:color w:val="000000"/>
              </w:rPr>
              <w:t>4</w:t>
            </w:r>
          </w:p>
        </w:tc>
        <w:tc>
          <w:tcPr>
            <w:tcW w:w="1170" w:type="dxa"/>
            <w:shd w:val="clear" w:color="auto" w:fill="auto"/>
            <w:vAlign w:val="bottom"/>
          </w:tcPr>
          <w:p w:rsidR="00CB2C64" w:rsidRPr="00944EE7" w14:paraId="3DA7BEA2" w14:textId="77777777">
            <w:pPr>
              <w:jc w:val="right"/>
              <w:rPr>
                <w:rFonts w:asciiTheme="minorHAnsi" w:hAnsiTheme="minorHAnsi" w:cstheme="minorHAnsi"/>
                <w:color w:val="000000"/>
              </w:rPr>
            </w:pPr>
            <w:r w:rsidRPr="00944EE7">
              <w:rPr>
                <w:rFonts w:asciiTheme="minorHAnsi" w:hAnsiTheme="minorHAnsi" w:cstheme="minorHAnsi"/>
                <w:color w:val="000000"/>
              </w:rPr>
              <w:t>0.5</w:t>
            </w:r>
          </w:p>
        </w:tc>
        <w:tc>
          <w:tcPr>
            <w:tcW w:w="1530" w:type="dxa"/>
            <w:shd w:val="clear" w:color="auto" w:fill="auto"/>
            <w:vAlign w:val="bottom"/>
          </w:tcPr>
          <w:p w:rsidR="00CB2C64" w:rsidRPr="00944EE7" w14:paraId="6749165B" w14:textId="77777777">
            <w:pPr>
              <w:jc w:val="right"/>
              <w:rPr>
                <w:rFonts w:asciiTheme="minorHAnsi" w:hAnsiTheme="minorHAnsi" w:cstheme="minorHAnsi"/>
                <w:color w:val="000000"/>
              </w:rPr>
            </w:pPr>
            <w:r w:rsidRPr="00944EE7">
              <w:rPr>
                <w:rFonts w:asciiTheme="minorHAnsi" w:hAnsiTheme="minorHAnsi" w:cstheme="minorHAnsi"/>
                <w:color w:val="000000"/>
              </w:rPr>
              <w:t>0.5</w:t>
            </w:r>
          </w:p>
        </w:tc>
        <w:tc>
          <w:tcPr>
            <w:tcW w:w="1350" w:type="dxa"/>
            <w:shd w:val="clear" w:color="auto" w:fill="auto"/>
            <w:vAlign w:val="bottom"/>
          </w:tcPr>
          <w:p w:rsidR="00CB2C64" w:rsidRPr="00944EE7" w:rsidP="00D90FF6" w14:paraId="79EB822A" w14:textId="6B9B422D">
            <w:pPr>
              <w:jc w:val="right"/>
              <w:rPr>
                <w:rFonts w:asciiTheme="minorHAnsi" w:hAnsiTheme="minorHAnsi" w:cstheme="minorHAnsi"/>
                <w:color w:val="000000"/>
              </w:rPr>
            </w:pPr>
            <w:r w:rsidRPr="00944EE7">
              <w:rPr>
                <w:rFonts w:asciiTheme="minorHAnsi" w:hAnsiTheme="minorHAnsi" w:cstheme="minorHAnsi"/>
                <w:color w:val="000000"/>
              </w:rPr>
              <w:t>$</w:t>
            </w:r>
            <w:r w:rsidR="00C362BA">
              <w:rPr>
                <w:rFonts w:asciiTheme="minorHAnsi" w:hAnsiTheme="minorHAnsi" w:cstheme="minorHAnsi"/>
                <w:color w:val="000000"/>
              </w:rPr>
              <w:t>79</w:t>
            </w:r>
            <w:r>
              <w:rPr>
                <w:rStyle w:val="FootnoteReference"/>
                <w:rFonts w:asciiTheme="minorHAnsi" w:hAnsiTheme="minorHAnsi" w:cstheme="minorHAnsi"/>
                <w:color w:val="000000"/>
              </w:rPr>
              <w:footnoteReference w:id="14"/>
            </w:r>
            <w:r w:rsidRPr="00944EE7">
              <w:rPr>
                <w:rFonts w:asciiTheme="minorHAnsi" w:hAnsiTheme="minorHAnsi" w:cstheme="minorHAnsi"/>
                <w:color w:val="000000"/>
              </w:rPr>
              <w:t xml:space="preserve"> </w:t>
            </w:r>
          </w:p>
        </w:tc>
        <w:tc>
          <w:tcPr>
            <w:tcW w:w="1440" w:type="dxa"/>
            <w:shd w:val="clear" w:color="auto" w:fill="auto"/>
            <w:vAlign w:val="bottom"/>
          </w:tcPr>
          <w:p w:rsidR="00CB2C64" w:rsidRPr="00944EE7" w:rsidP="00883220" w14:paraId="5AED6EAE" w14:textId="3E46A79E">
            <w:pPr>
              <w:jc w:val="right"/>
              <w:rPr>
                <w:rFonts w:asciiTheme="minorHAnsi" w:hAnsiTheme="minorHAnsi" w:cstheme="minorHAnsi"/>
                <w:color w:val="000000"/>
              </w:rPr>
            </w:pPr>
            <w:r w:rsidRPr="00944EE7">
              <w:rPr>
                <w:rFonts w:asciiTheme="minorHAnsi" w:hAnsiTheme="minorHAnsi" w:cstheme="minorHAnsi"/>
                <w:color w:val="000000"/>
              </w:rPr>
              <w:t>$4</w:t>
            </w:r>
            <w:r w:rsidR="00C362BA">
              <w:rPr>
                <w:rFonts w:asciiTheme="minorHAnsi" w:hAnsiTheme="minorHAnsi" w:cstheme="minorHAnsi"/>
                <w:color w:val="000000"/>
              </w:rPr>
              <w:t>0</w:t>
            </w:r>
          </w:p>
        </w:tc>
        <w:tc>
          <w:tcPr>
            <w:tcW w:w="1710" w:type="dxa"/>
            <w:vAlign w:val="bottom"/>
          </w:tcPr>
          <w:p w:rsidR="00CB2C64" w:rsidRPr="00944EE7" w14:paraId="61BBF8ED" w14:textId="77777777">
            <w:pPr>
              <w:jc w:val="right"/>
              <w:rPr>
                <w:rFonts w:asciiTheme="minorHAnsi" w:hAnsiTheme="minorHAnsi" w:cstheme="minorHAnsi"/>
                <w:color w:val="000000"/>
              </w:rPr>
            </w:pPr>
            <w:r w:rsidRPr="00214446">
              <w:rPr>
                <w:rFonts w:asciiTheme="minorHAnsi" w:hAnsiTheme="minorHAnsi" w:cstheme="minorHAnsi"/>
                <w:color w:val="000000"/>
              </w:rPr>
              <w:t>2</w:t>
            </w:r>
          </w:p>
        </w:tc>
        <w:tc>
          <w:tcPr>
            <w:tcW w:w="1710" w:type="dxa"/>
            <w:shd w:val="clear" w:color="auto" w:fill="auto"/>
            <w:vAlign w:val="bottom"/>
          </w:tcPr>
          <w:p w:rsidR="00CB2C64" w:rsidRPr="00944EE7" w:rsidP="00883220" w14:paraId="034995A3" w14:textId="37992833">
            <w:pPr>
              <w:jc w:val="right"/>
              <w:rPr>
                <w:rFonts w:asciiTheme="minorHAnsi" w:hAnsiTheme="minorHAnsi" w:cstheme="minorHAnsi"/>
                <w:color w:val="000000"/>
              </w:rPr>
            </w:pPr>
            <w:r w:rsidRPr="00944EE7">
              <w:rPr>
                <w:rFonts w:asciiTheme="minorHAnsi" w:hAnsiTheme="minorHAnsi" w:cstheme="minorHAnsi"/>
                <w:color w:val="000000"/>
              </w:rPr>
              <w:t>$1</w:t>
            </w:r>
            <w:r w:rsidR="00C362BA">
              <w:rPr>
                <w:rFonts w:asciiTheme="minorHAnsi" w:hAnsiTheme="minorHAnsi" w:cstheme="minorHAnsi"/>
                <w:color w:val="000000"/>
              </w:rPr>
              <w:t>60</w:t>
            </w:r>
          </w:p>
        </w:tc>
      </w:tr>
      <w:tr w14:paraId="0ABF7B56" w14:textId="77777777" w:rsidTr="00944EE7">
        <w:tblPrEx>
          <w:tblW w:w="14471" w:type="dxa"/>
          <w:tblInd w:w="-706" w:type="dxa"/>
          <w:tblLayout w:type="fixed"/>
          <w:tblLook w:val="04A0"/>
        </w:tblPrEx>
        <w:trPr>
          <w:cantSplit/>
        </w:trPr>
        <w:tc>
          <w:tcPr>
            <w:tcW w:w="1589" w:type="dxa"/>
            <w:shd w:val="clear" w:color="auto" w:fill="auto"/>
            <w:vAlign w:val="bottom"/>
          </w:tcPr>
          <w:p w:rsidR="001235BB" w:rsidRPr="00944EE7" w:rsidP="00D27606" w14:paraId="0AFD4E11" w14:textId="77777777">
            <w:pPr>
              <w:rPr>
                <w:rFonts w:asciiTheme="minorHAnsi" w:hAnsiTheme="minorHAnsi" w:cstheme="minorHAnsi"/>
                <w:color w:val="000000"/>
              </w:rPr>
            </w:pPr>
            <w:r w:rsidRPr="00944EE7">
              <w:rPr>
                <w:rFonts w:asciiTheme="minorHAnsi" w:hAnsiTheme="minorHAnsi" w:cstheme="minorHAnsi"/>
                <w:color w:val="000000"/>
              </w:rPr>
              <w:t>Annual certification (PFMI compliance and good standing w/home country regulator) -39.6(b)(</w:t>
            </w:r>
            <w:r w:rsidRPr="00944EE7" w:rsidR="008A1422">
              <w:rPr>
                <w:rFonts w:asciiTheme="minorHAnsi" w:hAnsiTheme="minorHAnsi" w:cstheme="minorHAnsi"/>
                <w:color w:val="000000"/>
              </w:rPr>
              <w:t>6</w:t>
            </w:r>
            <w:r w:rsidRPr="00944EE7">
              <w:rPr>
                <w:rFonts w:asciiTheme="minorHAnsi" w:hAnsiTheme="minorHAnsi" w:cstheme="minorHAnsi"/>
                <w:color w:val="000000"/>
              </w:rPr>
              <w:t>) and (</w:t>
            </w:r>
            <w:r w:rsidRPr="00944EE7" w:rsidR="008A1422">
              <w:rPr>
                <w:rFonts w:asciiTheme="minorHAnsi" w:hAnsiTheme="minorHAnsi" w:cstheme="minorHAnsi"/>
                <w:color w:val="000000"/>
              </w:rPr>
              <w:t>7</w:t>
            </w:r>
            <w:r w:rsidRPr="00944EE7">
              <w:rPr>
                <w:rFonts w:asciiTheme="minorHAnsi" w:hAnsiTheme="minorHAnsi" w:cstheme="minorHAnsi"/>
                <w:color w:val="000000"/>
              </w:rPr>
              <w:t>)</w:t>
            </w:r>
          </w:p>
        </w:tc>
        <w:tc>
          <w:tcPr>
            <w:tcW w:w="1452" w:type="dxa"/>
            <w:shd w:val="clear" w:color="auto" w:fill="auto"/>
            <w:vAlign w:val="bottom"/>
          </w:tcPr>
          <w:p w:rsidR="001235BB" w:rsidRPr="00944EE7" w:rsidP="00D27606" w14:paraId="32A8A610" w14:textId="77777777">
            <w:pPr>
              <w:jc w:val="right"/>
              <w:rPr>
                <w:rFonts w:asciiTheme="minorHAnsi" w:hAnsiTheme="minorHAnsi" w:cstheme="minorHAnsi"/>
                <w:color w:val="000000"/>
              </w:rPr>
            </w:pPr>
            <w:r w:rsidRPr="00944EE7">
              <w:rPr>
                <w:rFonts w:asciiTheme="minorHAnsi" w:hAnsiTheme="minorHAnsi" w:cstheme="minorHAnsi"/>
                <w:color w:val="000000"/>
              </w:rPr>
              <w:t>7</w:t>
            </w:r>
          </w:p>
        </w:tc>
        <w:tc>
          <w:tcPr>
            <w:tcW w:w="1350" w:type="dxa"/>
            <w:vAlign w:val="bottom"/>
          </w:tcPr>
          <w:p w:rsidR="001235BB" w:rsidRPr="00944EE7" w:rsidP="00D27606" w14:paraId="0AF77D05" w14:textId="77777777">
            <w:pPr>
              <w:jc w:val="right"/>
              <w:rPr>
                <w:rFonts w:asciiTheme="minorHAnsi" w:hAnsiTheme="minorHAnsi" w:cstheme="minorHAnsi"/>
                <w:color w:val="000000"/>
              </w:rPr>
            </w:pPr>
            <w:r w:rsidRPr="00944EE7">
              <w:rPr>
                <w:rFonts w:asciiTheme="minorHAnsi" w:hAnsiTheme="minorHAnsi" w:cstheme="minorHAnsi"/>
                <w:color w:val="000000"/>
              </w:rPr>
              <w:t>1</w:t>
            </w:r>
          </w:p>
        </w:tc>
        <w:tc>
          <w:tcPr>
            <w:tcW w:w="1170" w:type="dxa"/>
            <w:vAlign w:val="bottom"/>
          </w:tcPr>
          <w:p w:rsidR="001235BB" w:rsidRPr="00944EE7" w:rsidP="00D27606" w14:paraId="5383EE0D" w14:textId="77777777">
            <w:pPr>
              <w:jc w:val="right"/>
              <w:rPr>
                <w:rFonts w:asciiTheme="minorHAnsi" w:hAnsiTheme="minorHAnsi" w:cstheme="minorHAnsi"/>
                <w:color w:val="000000"/>
              </w:rPr>
            </w:pPr>
            <w:r w:rsidRPr="00944EE7">
              <w:rPr>
                <w:rFonts w:asciiTheme="minorHAnsi" w:hAnsiTheme="minorHAnsi" w:cstheme="minorHAnsi"/>
                <w:color w:val="000000"/>
              </w:rPr>
              <w:t>7</w:t>
            </w:r>
          </w:p>
        </w:tc>
        <w:tc>
          <w:tcPr>
            <w:tcW w:w="1170" w:type="dxa"/>
            <w:shd w:val="clear" w:color="auto" w:fill="auto"/>
            <w:vAlign w:val="bottom"/>
          </w:tcPr>
          <w:p w:rsidR="001235BB" w:rsidRPr="00944EE7" w:rsidP="00D27606" w14:paraId="07503C46" w14:textId="77777777">
            <w:pPr>
              <w:jc w:val="right"/>
              <w:rPr>
                <w:rFonts w:asciiTheme="minorHAnsi" w:hAnsiTheme="minorHAnsi" w:cstheme="minorHAnsi"/>
                <w:color w:val="000000"/>
              </w:rPr>
            </w:pPr>
            <w:r w:rsidRPr="00944EE7">
              <w:rPr>
                <w:rFonts w:asciiTheme="minorHAnsi" w:hAnsiTheme="minorHAnsi" w:cstheme="minorHAnsi"/>
                <w:color w:val="000000"/>
              </w:rPr>
              <w:t>1.5</w:t>
            </w:r>
          </w:p>
        </w:tc>
        <w:tc>
          <w:tcPr>
            <w:tcW w:w="1530" w:type="dxa"/>
            <w:shd w:val="clear" w:color="auto" w:fill="auto"/>
            <w:vAlign w:val="bottom"/>
          </w:tcPr>
          <w:p w:rsidR="001235BB" w:rsidRPr="00944EE7" w:rsidP="00D27606" w14:paraId="2C24EAD9" w14:textId="77777777">
            <w:pPr>
              <w:jc w:val="right"/>
              <w:rPr>
                <w:rFonts w:asciiTheme="minorHAnsi" w:hAnsiTheme="minorHAnsi" w:cstheme="minorHAnsi"/>
                <w:color w:val="000000"/>
              </w:rPr>
            </w:pPr>
            <w:r w:rsidRPr="00944EE7">
              <w:rPr>
                <w:rFonts w:asciiTheme="minorHAnsi" w:hAnsiTheme="minorHAnsi" w:cstheme="minorHAnsi"/>
                <w:color w:val="000000"/>
              </w:rPr>
              <w:t>1.5</w:t>
            </w:r>
          </w:p>
        </w:tc>
        <w:tc>
          <w:tcPr>
            <w:tcW w:w="1350" w:type="dxa"/>
            <w:shd w:val="clear" w:color="auto" w:fill="auto"/>
            <w:vAlign w:val="bottom"/>
          </w:tcPr>
          <w:p w:rsidR="001235BB" w:rsidRPr="00944EE7" w:rsidP="00D27606" w14:paraId="1F52611F" w14:textId="77777777">
            <w:pPr>
              <w:jc w:val="right"/>
              <w:rPr>
                <w:rFonts w:asciiTheme="minorHAnsi" w:hAnsiTheme="minorHAnsi" w:cstheme="minorHAnsi"/>
                <w:color w:val="000000"/>
              </w:rPr>
            </w:pPr>
            <w:r w:rsidRPr="00944EE7">
              <w:rPr>
                <w:rFonts w:asciiTheme="minorHAnsi" w:hAnsiTheme="minorHAnsi" w:cstheme="minorHAnsi"/>
                <w:color w:val="000000"/>
              </w:rPr>
              <w:t xml:space="preserve">$250 </w:t>
            </w:r>
          </w:p>
        </w:tc>
        <w:tc>
          <w:tcPr>
            <w:tcW w:w="1440" w:type="dxa"/>
            <w:shd w:val="clear" w:color="auto" w:fill="auto"/>
            <w:vAlign w:val="bottom"/>
          </w:tcPr>
          <w:p w:rsidR="001235BB" w:rsidRPr="00944EE7" w:rsidP="00D27606" w14:paraId="3664B762" w14:textId="77777777">
            <w:pPr>
              <w:jc w:val="right"/>
              <w:rPr>
                <w:rFonts w:asciiTheme="minorHAnsi" w:hAnsiTheme="minorHAnsi" w:cstheme="minorHAnsi"/>
                <w:color w:val="000000"/>
              </w:rPr>
            </w:pPr>
            <w:r w:rsidRPr="00944EE7">
              <w:rPr>
                <w:rFonts w:asciiTheme="minorHAnsi" w:hAnsiTheme="minorHAnsi" w:cstheme="minorHAnsi"/>
                <w:color w:val="000000"/>
              </w:rPr>
              <w:t>$375</w:t>
            </w:r>
          </w:p>
        </w:tc>
        <w:tc>
          <w:tcPr>
            <w:tcW w:w="1710" w:type="dxa"/>
            <w:vAlign w:val="bottom"/>
          </w:tcPr>
          <w:p w:rsidR="001235BB" w:rsidRPr="00944EE7" w:rsidP="00D27606" w14:paraId="50DBEB44" w14:textId="77777777">
            <w:pPr>
              <w:jc w:val="right"/>
              <w:rPr>
                <w:rFonts w:asciiTheme="minorHAnsi" w:hAnsiTheme="minorHAnsi" w:cstheme="minorHAnsi"/>
                <w:color w:val="000000"/>
              </w:rPr>
            </w:pPr>
            <w:r w:rsidRPr="00214446">
              <w:rPr>
                <w:rFonts w:asciiTheme="minorHAnsi" w:hAnsiTheme="minorHAnsi" w:cstheme="minorHAnsi"/>
                <w:color w:val="000000"/>
              </w:rPr>
              <w:t>10.5</w:t>
            </w:r>
          </w:p>
        </w:tc>
        <w:tc>
          <w:tcPr>
            <w:tcW w:w="1710" w:type="dxa"/>
            <w:shd w:val="clear" w:color="auto" w:fill="auto"/>
            <w:vAlign w:val="bottom"/>
          </w:tcPr>
          <w:p w:rsidR="001235BB" w:rsidRPr="00944EE7" w:rsidP="00D27606" w14:paraId="1FDD602E" w14:textId="77777777">
            <w:pPr>
              <w:jc w:val="right"/>
              <w:rPr>
                <w:rFonts w:asciiTheme="minorHAnsi" w:hAnsiTheme="minorHAnsi" w:cstheme="minorHAnsi"/>
                <w:color w:val="000000"/>
              </w:rPr>
            </w:pPr>
            <w:r w:rsidRPr="00944EE7">
              <w:rPr>
                <w:rFonts w:asciiTheme="minorHAnsi" w:hAnsiTheme="minorHAnsi" w:cstheme="minorHAnsi"/>
                <w:color w:val="000000"/>
              </w:rPr>
              <w:t>$2,625</w:t>
            </w:r>
          </w:p>
        </w:tc>
      </w:tr>
      <w:tr w14:paraId="2BC79760" w14:textId="77777777" w:rsidTr="00944EE7">
        <w:tblPrEx>
          <w:tblW w:w="14471" w:type="dxa"/>
          <w:tblInd w:w="-706" w:type="dxa"/>
          <w:tblLayout w:type="fixed"/>
          <w:tblLook w:val="04A0"/>
        </w:tblPrEx>
        <w:trPr>
          <w:cantSplit/>
        </w:trPr>
        <w:tc>
          <w:tcPr>
            <w:tcW w:w="1589" w:type="dxa"/>
            <w:shd w:val="clear" w:color="auto" w:fill="auto"/>
            <w:vAlign w:val="bottom"/>
          </w:tcPr>
          <w:p w:rsidR="00C829B1" w:rsidRPr="00944EE7" w14:paraId="700C11F0" w14:textId="77777777">
            <w:pPr>
              <w:rPr>
                <w:rFonts w:asciiTheme="minorHAnsi" w:hAnsiTheme="minorHAnsi" w:cstheme="minorHAnsi"/>
                <w:b/>
                <w:color w:val="000000"/>
              </w:rPr>
            </w:pPr>
          </w:p>
        </w:tc>
        <w:tc>
          <w:tcPr>
            <w:tcW w:w="1452" w:type="dxa"/>
            <w:shd w:val="clear" w:color="auto" w:fill="auto"/>
            <w:vAlign w:val="bottom"/>
          </w:tcPr>
          <w:p w:rsidR="00C829B1" w:rsidRPr="00944EE7" w14:paraId="1A192272" w14:textId="77777777">
            <w:pPr>
              <w:jc w:val="right"/>
              <w:rPr>
                <w:rFonts w:asciiTheme="minorHAnsi" w:hAnsiTheme="minorHAnsi" w:cstheme="minorHAnsi"/>
                <w:color w:val="000000"/>
              </w:rPr>
            </w:pPr>
          </w:p>
        </w:tc>
        <w:tc>
          <w:tcPr>
            <w:tcW w:w="1350" w:type="dxa"/>
            <w:vAlign w:val="bottom"/>
          </w:tcPr>
          <w:p w:rsidR="00C829B1" w:rsidRPr="00944EE7" w:rsidP="00D9583A" w14:paraId="514B2570" w14:textId="77777777">
            <w:pPr>
              <w:jc w:val="right"/>
              <w:rPr>
                <w:rFonts w:asciiTheme="minorHAnsi" w:hAnsiTheme="minorHAnsi" w:cstheme="minorHAnsi"/>
                <w:color w:val="000000"/>
              </w:rPr>
            </w:pPr>
          </w:p>
        </w:tc>
        <w:tc>
          <w:tcPr>
            <w:tcW w:w="1170" w:type="dxa"/>
            <w:vAlign w:val="bottom"/>
          </w:tcPr>
          <w:p w:rsidR="00C829B1" w:rsidRPr="00944EE7" w:rsidP="00D9583A" w14:paraId="4AE8121A" w14:textId="77777777">
            <w:pPr>
              <w:jc w:val="right"/>
              <w:rPr>
                <w:rFonts w:asciiTheme="minorHAnsi" w:hAnsiTheme="minorHAnsi" w:cstheme="minorHAnsi"/>
                <w:color w:val="000000"/>
              </w:rPr>
            </w:pPr>
          </w:p>
        </w:tc>
        <w:tc>
          <w:tcPr>
            <w:tcW w:w="1170" w:type="dxa"/>
            <w:shd w:val="clear" w:color="auto" w:fill="auto"/>
            <w:vAlign w:val="bottom"/>
          </w:tcPr>
          <w:p w:rsidR="00C829B1" w:rsidRPr="00944EE7" w14:paraId="440B562C" w14:textId="77777777">
            <w:pPr>
              <w:jc w:val="right"/>
              <w:rPr>
                <w:rFonts w:asciiTheme="minorHAnsi" w:hAnsiTheme="minorHAnsi" w:cstheme="minorHAnsi"/>
                <w:color w:val="000000"/>
              </w:rPr>
            </w:pPr>
          </w:p>
        </w:tc>
        <w:tc>
          <w:tcPr>
            <w:tcW w:w="1530" w:type="dxa"/>
            <w:shd w:val="clear" w:color="auto" w:fill="auto"/>
            <w:vAlign w:val="bottom"/>
          </w:tcPr>
          <w:p w:rsidR="00C829B1" w:rsidRPr="00944EE7" w:rsidP="00D9583A" w14:paraId="01F5B0F4" w14:textId="77777777">
            <w:pPr>
              <w:jc w:val="right"/>
              <w:rPr>
                <w:rFonts w:asciiTheme="minorHAnsi" w:hAnsiTheme="minorHAnsi" w:cstheme="minorHAnsi"/>
                <w:color w:val="000000"/>
              </w:rPr>
            </w:pPr>
          </w:p>
        </w:tc>
        <w:tc>
          <w:tcPr>
            <w:tcW w:w="1350" w:type="dxa"/>
            <w:shd w:val="clear" w:color="auto" w:fill="auto"/>
            <w:vAlign w:val="bottom"/>
          </w:tcPr>
          <w:p w:rsidR="00C829B1" w:rsidRPr="00944EE7" w14:paraId="49922162" w14:textId="77777777">
            <w:pPr>
              <w:jc w:val="right"/>
              <w:rPr>
                <w:rFonts w:asciiTheme="minorHAnsi" w:hAnsiTheme="minorHAnsi" w:cstheme="minorHAnsi"/>
                <w:color w:val="000000"/>
              </w:rPr>
            </w:pPr>
          </w:p>
        </w:tc>
        <w:tc>
          <w:tcPr>
            <w:tcW w:w="1440" w:type="dxa"/>
            <w:shd w:val="clear" w:color="auto" w:fill="auto"/>
            <w:vAlign w:val="bottom"/>
          </w:tcPr>
          <w:p w:rsidR="00C829B1" w:rsidRPr="00944EE7" w:rsidP="00D9583A" w14:paraId="061794E8" w14:textId="77777777">
            <w:pPr>
              <w:jc w:val="right"/>
              <w:rPr>
                <w:rFonts w:asciiTheme="minorHAnsi" w:hAnsiTheme="minorHAnsi" w:cstheme="minorHAnsi"/>
                <w:color w:val="000000"/>
              </w:rPr>
            </w:pPr>
          </w:p>
        </w:tc>
        <w:tc>
          <w:tcPr>
            <w:tcW w:w="1710" w:type="dxa"/>
            <w:vAlign w:val="bottom"/>
          </w:tcPr>
          <w:p w:rsidR="00C829B1" w:rsidRPr="00944EE7" w:rsidP="00CE0D54" w14:paraId="51B84CC4" w14:textId="77777777">
            <w:pPr>
              <w:jc w:val="right"/>
              <w:rPr>
                <w:rFonts w:asciiTheme="minorHAnsi" w:hAnsiTheme="minorHAnsi" w:cstheme="minorHAnsi"/>
                <w:color w:val="000000"/>
              </w:rPr>
            </w:pPr>
          </w:p>
        </w:tc>
        <w:tc>
          <w:tcPr>
            <w:tcW w:w="1710" w:type="dxa"/>
            <w:shd w:val="clear" w:color="auto" w:fill="auto"/>
            <w:vAlign w:val="bottom"/>
          </w:tcPr>
          <w:p w:rsidR="00C829B1" w:rsidRPr="00944EE7" w:rsidP="00D9583A" w14:paraId="2665D5CB" w14:textId="77777777">
            <w:pPr>
              <w:jc w:val="right"/>
              <w:rPr>
                <w:rFonts w:asciiTheme="minorHAnsi" w:hAnsiTheme="minorHAnsi" w:cstheme="minorHAnsi"/>
                <w:color w:val="000000"/>
              </w:rPr>
            </w:pPr>
          </w:p>
        </w:tc>
      </w:tr>
      <w:tr w14:paraId="47CFFFB8" w14:textId="77777777" w:rsidTr="005231C4">
        <w:tblPrEx>
          <w:tblW w:w="14471" w:type="dxa"/>
          <w:tblInd w:w="-706" w:type="dxa"/>
          <w:tblLayout w:type="fixed"/>
          <w:tblLook w:val="04A0"/>
        </w:tblPrEx>
        <w:trPr>
          <w:cantSplit/>
        </w:trPr>
        <w:tc>
          <w:tcPr>
            <w:tcW w:w="1589" w:type="dxa"/>
            <w:shd w:val="clear" w:color="auto" w:fill="FFFFFF" w:themeFill="background1"/>
            <w:vAlign w:val="bottom"/>
          </w:tcPr>
          <w:p w:rsidR="00CB2C64" w:rsidRPr="00C829B1" w14:paraId="6EEB55AD" w14:textId="65C7BA0D">
            <w:pPr>
              <w:rPr>
                <w:rFonts w:asciiTheme="minorHAnsi" w:hAnsiTheme="minorHAnsi" w:cstheme="minorHAnsi"/>
                <w:b/>
                <w:color w:val="000000"/>
              </w:rPr>
            </w:pPr>
            <w:r w:rsidRPr="00C829B1">
              <w:rPr>
                <w:rFonts w:asciiTheme="minorHAnsi" w:hAnsiTheme="minorHAnsi" w:cstheme="minorHAnsi"/>
                <w:b/>
                <w:color w:val="000000"/>
              </w:rPr>
              <w:t>DCO Exemption - Reporting</w:t>
            </w:r>
            <w:r w:rsidRPr="00C829B1" w:rsidR="00C829B1">
              <w:rPr>
                <w:rFonts w:asciiTheme="minorHAnsi" w:hAnsiTheme="minorHAnsi" w:cstheme="minorHAnsi"/>
                <w:b/>
                <w:color w:val="000000"/>
              </w:rPr>
              <w:t xml:space="preserve"> Totals</w:t>
            </w:r>
            <w:r>
              <w:rPr>
                <w:rStyle w:val="FootnoteReference"/>
                <w:rFonts w:asciiTheme="minorHAnsi" w:hAnsiTheme="minorHAnsi" w:cstheme="minorHAnsi"/>
                <w:b/>
                <w:color w:val="000000"/>
              </w:rPr>
              <w:footnoteReference w:id="15"/>
            </w:r>
          </w:p>
        </w:tc>
        <w:tc>
          <w:tcPr>
            <w:tcW w:w="1452" w:type="dxa"/>
            <w:shd w:val="clear" w:color="auto" w:fill="FFFFFF" w:themeFill="background1"/>
            <w:vAlign w:val="bottom"/>
          </w:tcPr>
          <w:p w:rsidR="00CB2C64" w:rsidRPr="006A6D8E" w14:paraId="5542B9F8" w14:textId="77777777">
            <w:pPr>
              <w:jc w:val="right"/>
              <w:rPr>
                <w:rFonts w:asciiTheme="minorHAnsi" w:hAnsiTheme="minorHAnsi" w:cstheme="minorHAnsi"/>
                <w:b/>
                <w:color w:val="000000"/>
              </w:rPr>
            </w:pPr>
            <w:r w:rsidRPr="006A6D8E">
              <w:rPr>
                <w:rFonts w:asciiTheme="minorHAnsi" w:hAnsiTheme="minorHAnsi" w:cstheme="minorHAnsi"/>
                <w:b/>
                <w:color w:val="000000"/>
              </w:rPr>
              <w:t>9</w:t>
            </w:r>
          </w:p>
        </w:tc>
        <w:tc>
          <w:tcPr>
            <w:tcW w:w="1350" w:type="dxa"/>
            <w:shd w:val="clear" w:color="auto" w:fill="FFFFFF" w:themeFill="background1"/>
            <w:vAlign w:val="bottom"/>
          </w:tcPr>
          <w:p w:rsidR="00CB2C64" w:rsidRPr="006A6D8E" w:rsidP="00D9583A" w14:paraId="7BE53D20" w14:textId="4D8C220D">
            <w:pPr>
              <w:jc w:val="right"/>
              <w:rPr>
                <w:rFonts w:asciiTheme="minorHAnsi" w:hAnsiTheme="minorHAnsi" w:cstheme="minorHAnsi"/>
                <w:b/>
                <w:color w:val="000000"/>
              </w:rPr>
            </w:pPr>
            <w:r w:rsidRPr="006A6D8E">
              <w:rPr>
                <w:rFonts w:asciiTheme="minorHAnsi" w:hAnsiTheme="minorHAnsi" w:cstheme="minorHAnsi"/>
                <w:b/>
                <w:color w:val="000000"/>
              </w:rPr>
              <w:t>26</w:t>
            </w:r>
            <w:r w:rsidRPr="006A6D8E" w:rsidR="00D9583A">
              <w:rPr>
                <w:rFonts w:asciiTheme="minorHAnsi" w:hAnsiTheme="minorHAnsi" w:cstheme="minorHAnsi"/>
                <w:b/>
                <w:color w:val="000000"/>
              </w:rPr>
              <w:t>5</w:t>
            </w:r>
          </w:p>
        </w:tc>
        <w:tc>
          <w:tcPr>
            <w:tcW w:w="1170" w:type="dxa"/>
            <w:shd w:val="clear" w:color="auto" w:fill="D9D9D9" w:themeFill="background1" w:themeFillShade="D9"/>
            <w:vAlign w:val="bottom"/>
          </w:tcPr>
          <w:p w:rsidR="00CB2C64" w:rsidRPr="006A6D8E" w:rsidP="00D9583A" w14:paraId="2466F341" w14:textId="1B350470">
            <w:pPr>
              <w:jc w:val="right"/>
              <w:rPr>
                <w:rFonts w:asciiTheme="minorHAnsi" w:hAnsiTheme="minorHAnsi" w:cstheme="minorHAnsi"/>
                <w:b/>
                <w:color w:val="000000"/>
              </w:rPr>
            </w:pPr>
          </w:p>
        </w:tc>
        <w:tc>
          <w:tcPr>
            <w:tcW w:w="1170" w:type="dxa"/>
            <w:shd w:val="clear" w:color="auto" w:fill="D9D9D9" w:themeFill="background1" w:themeFillShade="D9"/>
            <w:vAlign w:val="bottom"/>
          </w:tcPr>
          <w:p w:rsidR="00CB2C64" w:rsidRPr="006A6D8E" w14:paraId="1C8EDD8E" w14:textId="5BF7F1CF">
            <w:pPr>
              <w:jc w:val="right"/>
              <w:rPr>
                <w:rFonts w:asciiTheme="minorHAnsi" w:hAnsiTheme="minorHAnsi" w:cstheme="minorHAnsi"/>
                <w:b/>
                <w:color w:val="000000"/>
              </w:rPr>
            </w:pPr>
          </w:p>
        </w:tc>
        <w:tc>
          <w:tcPr>
            <w:tcW w:w="1530" w:type="dxa"/>
            <w:shd w:val="clear" w:color="auto" w:fill="D9D9D9" w:themeFill="background1" w:themeFillShade="D9"/>
            <w:vAlign w:val="bottom"/>
          </w:tcPr>
          <w:p w:rsidR="00CB2C64" w:rsidRPr="006A6D8E" w:rsidP="00D9583A" w14:paraId="2FD65B5E" w14:textId="1372C91C">
            <w:pPr>
              <w:jc w:val="right"/>
              <w:rPr>
                <w:rFonts w:asciiTheme="minorHAnsi" w:hAnsiTheme="minorHAnsi" w:cstheme="minorHAnsi"/>
                <w:b/>
                <w:color w:val="000000"/>
              </w:rPr>
            </w:pPr>
          </w:p>
        </w:tc>
        <w:tc>
          <w:tcPr>
            <w:tcW w:w="1350" w:type="dxa"/>
            <w:shd w:val="clear" w:color="auto" w:fill="D9D9D9" w:themeFill="background1" w:themeFillShade="D9"/>
            <w:vAlign w:val="bottom"/>
          </w:tcPr>
          <w:p w:rsidR="00CB2C64" w:rsidRPr="006A6D8E" w14:paraId="4D7BE343" w14:textId="77777777">
            <w:pPr>
              <w:jc w:val="right"/>
              <w:rPr>
                <w:rFonts w:asciiTheme="minorHAnsi" w:hAnsiTheme="minorHAnsi" w:cstheme="minorHAnsi"/>
                <w:b/>
                <w:color w:val="000000"/>
              </w:rPr>
            </w:pPr>
          </w:p>
        </w:tc>
        <w:tc>
          <w:tcPr>
            <w:tcW w:w="1440" w:type="dxa"/>
            <w:shd w:val="clear" w:color="auto" w:fill="D9D9D9" w:themeFill="background1" w:themeFillShade="D9"/>
            <w:vAlign w:val="bottom"/>
          </w:tcPr>
          <w:p w:rsidR="00CB2C64" w:rsidRPr="006A6D8E" w:rsidP="00D9583A" w14:paraId="24CA716F" w14:textId="6BC61FBE">
            <w:pPr>
              <w:jc w:val="right"/>
              <w:rPr>
                <w:rFonts w:asciiTheme="minorHAnsi" w:hAnsiTheme="minorHAnsi" w:cstheme="minorHAnsi"/>
                <w:b/>
                <w:color w:val="000000"/>
              </w:rPr>
            </w:pPr>
          </w:p>
        </w:tc>
        <w:tc>
          <w:tcPr>
            <w:tcW w:w="1710" w:type="dxa"/>
            <w:shd w:val="clear" w:color="auto" w:fill="FFFFFF" w:themeFill="background1"/>
            <w:vAlign w:val="bottom"/>
          </w:tcPr>
          <w:p w:rsidR="00CB2C64" w:rsidRPr="006A6D8E" w:rsidP="00CE0D54" w14:paraId="056E7EFA" w14:textId="77777777">
            <w:pPr>
              <w:jc w:val="right"/>
              <w:rPr>
                <w:rFonts w:asciiTheme="minorHAnsi" w:hAnsiTheme="minorHAnsi" w:cstheme="minorHAnsi"/>
                <w:b/>
                <w:color w:val="000000"/>
              </w:rPr>
            </w:pPr>
            <w:r w:rsidRPr="006A6D8E">
              <w:rPr>
                <w:rFonts w:asciiTheme="minorHAnsi" w:hAnsiTheme="minorHAnsi" w:cstheme="minorHAnsi"/>
                <w:b/>
                <w:color w:val="000000"/>
              </w:rPr>
              <w:t>257</w:t>
            </w:r>
          </w:p>
        </w:tc>
        <w:tc>
          <w:tcPr>
            <w:tcW w:w="1710" w:type="dxa"/>
            <w:shd w:val="clear" w:color="auto" w:fill="FFFFFF" w:themeFill="background1"/>
            <w:vAlign w:val="bottom"/>
          </w:tcPr>
          <w:p w:rsidR="00CB2C64" w:rsidRPr="006A6D8E" w:rsidP="00D9583A" w14:paraId="7B09F384" w14:textId="70120CC1">
            <w:pPr>
              <w:jc w:val="right"/>
              <w:rPr>
                <w:rFonts w:asciiTheme="minorHAnsi" w:hAnsiTheme="minorHAnsi" w:cstheme="minorHAnsi"/>
                <w:b/>
                <w:color w:val="000000"/>
              </w:rPr>
            </w:pPr>
            <w:r w:rsidRPr="006A6D8E">
              <w:rPr>
                <w:rFonts w:asciiTheme="minorHAnsi" w:hAnsiTheme="minorHAnsi" w:cstheme="minorHAnsi"/>
                <w:b/>
                <w:color w:val="000000"/>
              </w:rPr>
              <w:t>$22,</w:t>
            </w:r>
            <w:r w:rsidR="00AC165E">
              <w:rPr>
                <w:rFonts w:asciiTheme="minorHAnsi" w:hAnsiTheme="minorHAnsi" w:cstheme="minorHAnsi"/>
                <w:b/>
                <w:color w:val="000000"/>
              </w:rPr>
              <w:t>852</w:t>
            </w:r>
          </w:p>
        </w:tc>
      </w:tr>
    </w:tbl>
    <w:p w:rsidR="00B80484" w:rsidP="005C5483" w14:paraId="545775F3" w14:textId="77777777">
      <w:pPr>
        <w:jc w:val="center"/>
        <w:rPr>
          <w:sz w:val="24"/>
          <w:szCs w:val="24"/>
        </w:rPr>
      </w:pPr>
    </w:p>
    <w:p w:rsidR="00AD1561" w:rsidP="0084776F" w14:paraId="3A54C5DE" w14:textId="77777777">
      <w:pPr>
        <w:rPr>
          <w:sz w:val="24"/>
          <w:szCs w:val="24"/>
        </w:rPr>
      </w:pPr>
    </w:p>
    <w:sectPr w:rsidSect="006C1A01">
      <w:footnotePr>
        <w:numRestart w:val="eachSect"/>
      </w:footnotePr>
      <w:type w:val="continuous"/>
      <w:pgSz w:w="15840" w:h="12240" w:orient="landscape"/>
      <w:pgMar w:top="1440" w:right="1440" w:bottom="1440" w:left="126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1446" w14:paraId="02C370A0" w14:textId="77777777">
    <w:pPr>
      <w:pStyle w:val="Footer"/>
      <w:jc w:val="center"/>
    </w:pPr>
    <w:r>
      <w:fldChar w:fldCharType="begin"/>
    </w:r>
    <w:r>
      <w:instrText xml:space="preserve"> PAGE   \* MERGEFORMAT </w:instrText>
    </w:r>
    <w:r>
      <w:fldChar w:fldCharType="separate"/>
    </w:r>
    <w:r w:rsidR="002943F5">
      <w:rPr>
        <w:noProof/>
      </w:rPr>
      <w:t>11</w:t>
    </w:r>
    <w:r>
      <w:rPr>
        <w:noProof/>
      </w:rPr>
      <w:fldChar w:fldCharType="end"/>
    </w:r>
  </w:p>
  <w:p w:rsidR="000A1446" w14:paraId="1EC4527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66D6F" w:rsidP="00353548" w14:paraId="7DB587CD" w14:textId="77777777">
      <w:r>
        <w:separator/>
      </w:r>
    </w:p>
  </w:footnote>
  <w:footnote w:type="continuationSeparator" w:id="1">
    <w:p w:rsidR="00D66D6F" w:rsidP="00353548" w14:paraId="68E69174" w14:textId="77777777">
      <w:r>
        <w:continuationSeparator/>
      </w:r>
    </w:p>
  </w:footnote>
  <w:footnote w:id="2">
    <w:p w:rsidR="003A60BE" w14:paraId="592225AE" w14:textId="3B48D44B">
      <w:pPr>
        <w:pStyle w:val="FootnoteText"/>
      </w:pPr>
      <w:r>
        <w:rPr>
          <w:rStyle w:val="FootnoteReference"/>
        </w:rPr>
        <w:footnoteRef/>
      </w:r>
      <w:r>
        <w:t xml:space="preserve"> </w:t>
      </w:r>
      <w:r w:rsidR="00306398">
        <w:t xml:space="preserve">Regulation </w:t>
      </w:r>
      <w:r w:rsidR="00C5737C">
        <w:t>39</w:t>
      </w:r>
      <w:r w:rsidR="00306398">
        <w:t>.6</w:t>
      </w:r>
      <w:r w:rsidRPr="003A60BE">
        <w:t xml:space="preserve"> also include</w:t>
      </w:r>
      <w:r w:rsidR="00306398">
        <w:t>s</w:t>
      </w:r>
      <w:r w:rsidRPr="003A60BE">
        <w:t xml:space="preserve"> a swap reporting requirement that is covered by a </w:t>
      </w:r>
      <w:r w:rsidR="00C5737C">
        <w:t>separate</w:t>
      </w:r>
      <w:r w:rsidRPr="003A60BE" w:rsidR="00C5737C">
        <w:t xml:space="preserve"> </w:t>
      </w:r>
      <w:r w:rsidRPr="003A60BE">
        <w:t>information collection under OMB Control No. 3038-0096.</w:t>
      </w:r>
    </w:p>
  </w:footnote>
  <w:footnote w:id="3">
    <w:p w:rsidR="00951336" w:rsidP="00731C29" w14:paraId="05D55BA9" w14:textId="46979EB3">
      <w:pPr>
        <w:pStyle w:val="FootnoteText"/>
        <w:spacing w:after="240"/>
      </w:pPr>
      <w:r>
        <w:rPr>
          <w:rStyle w:val="FootnoteReference"/>
        </w:rPr>
        <w:footnoteRef/>
      </w:r>
      <w:r>
        <w:t xml:space="preserve"> </w:t>
      </w:r>
      <w:r w:rsidRPr="007F7BFC">
        <w:rPr>
          <w:i/>
        </w:rPr>
        <w:t>See</w:t>
      </w:r>
      <w:r w:rsidRPr="007F7BFC">
        <w:t xml:space="preserve"> Exemption </w:t>
      </w:r>
      <w:r w:rsidRPr="007F7BFC">
        <w:t>From</w:t>
      </w:r>
      <w:r w:rsidRPr="007F7BFC">
        <w:t xml:space="preserve"> Derivatives Clearing Organization Registration, 83 FR 39923 (Aug. 13, 2018)</w:t>
      </w:r>
      <w:r>
        <w:t xml:space="preserve"> (“2018 Proposal”); and </w:t>
      </w:r>
      <w:r w:rsidRPr="009B4364">
        <w:t>8</w:t>
      </w:r>
      <w:r>
        <w:t xml:space="preserve">4 FR 35456 </w:t>
      </w:r>
      <w:r w:rsidRPr="009B4364">
        <w:t>(</w:t>
      </w:r>
      <w:r>
        <w:t>Jul. 23, 2019) (“2019 Proposal”).</w:t>
      </w:r>
    </w:p>
  </w:footnote>
  <w:footnote w:id="4">
    <w:p w:rsidR="00ED508E" w:rsidP="00731C29" w14:paraId="1938C684" w14:textId="5E178D6F">
      <w:pPr>
        <w:pStyle w:val="FootnoteText"/>
        <w:spacing w:after="240"/>
      </w:pPr>
      <w:r>
        <w:rPr>
          <w:rStyle w:val="FootnoteReference"/>
        </w:rPr>
        <w:footnoteRef/>
      </w:r>
      <w:r>
        <w:t xml:space="preserve"> Due to minor adjustments to the burden estimate for an exempt DCO application</w:t>
      </w:r>
      <w:r w:rsidR="00270D1B">
        <w:t xml:space="preserve"> due to consolidating </w:t>
      </w:r>
      <w:r>
        <w:t>the</w:t>
      </w:r>
      <w:r w:rsidR="00270D1B">
        <w:t xml:space="preserve"> burden estimates for components of the application, the </w:t>
      </w:r>
      <w:r>
        <w:t xml:space="preserve">current burden estimate is 40 hours </w:t>
      </w:r>
      <w:r w:rsidR="00270D1B">
        <w:t>per application, at $250/</w:t>
      </w:r>
      <w:r w:rsidR="00270D1B">
        <w:t>hr</w:t>
      </w:r>
      <w:r w:rsidR="00270D1B">
        <w:t xml:space="preserve">, for a total estimated cost of $10,000 per application. </w:t>
      </w:r>
    </w:p>
  </w:footnote>
  <w:footnote w:id="5">
    <w:p w:rsidR="0022118B" w14:paraId="7A3F9463" w14:textId="6F30EEB0">
      <w:pPr>
        <w:pStyle w:val="FootnoteText"/>
      </w:pPr>
      <w:r>
        <w:rPr>
          <w:rStyle w:val="FootnoteReference"/>
        </w:rPr>
        <w:footnoteRef/>
      </w:r>
      <w:r>
        <w:t xml:space="preserve"> 86 FR 949 (Jan. 7, 2021).</w:t>
      </w:r>
    </w:p>
  </w:footnote>
  <w:footnote w:id="6">
    <w:p w:rsidR="000465FA" w:rsidP="00731C29" w14:paraId="652A0BC1" w14:textId="77777777">
      <w:pPr>
        <w:pStyle w:val="FootnoteText"/>
        <w:spacing w:after="240"/>
      </w:pPr>
      <w:r>
        <w:rPr>
          <w:rStyle w:val="FootnoteReference"/>
        </w:rPr>
        <w:footnoteRef/>
      </w:r>
      <w:r>
        <w:t xml:space="preserve"> OMB Control No. 3038-0076.</w:t>
      </w:r>
    </w:p>
  </w:footnote>
  <w:footnote w:id="7">
    <w:p w:rsidR="001A5D30" w:rsidP="00731C29" w14:paraId="1911CF25" w14:textId="4672243E">
      <w:pPr>
        <w:pStyle w:val="FootnoteText"/>
        <w:spacing w:after="120"/>
      </w:pPr>
      <w:r>
        <w:rPr>
          <w:rStyle w:val="FootnoteReference"/>
        </w:rPr>
        <w:footnoteRef/>
      </w:r>
      <w:r>
        <w:t xml:space="preserve"> </w:t>
      </w:r>
      <w:r w:rsidRPr="00731C29">
        <w:t xml:space="preserve">Five employees </w:t>
      </w:r>
      <w:r w:rsidR="003A60BE">
        <w:t>×</w:t>
      </w:r>
      <w:r w:rsidRPr="00731C29">
        <w:t xml:space="preserve"> [.05 </w:t>
      </w:r>
      <w:r w:rsidRPr="00731C29" w:rsidR="00731C29">
        <w:rPr>
          <w:b/>
          <w:bCs/>
        </w:rPr>
        <w:t>×</w:t>
      </w:r>
      <w:r w:rsidRPr="00731C29">
        <w:t xml:space="preserve"> 2,080 hours per year] </w:t>
      </w:r>
      <w:r w:rsidRPr="00731C29" w:rsidR="00731C29">
        <w:rPr>
          <w:b/>
          <w:bCs/>
        </w:rPr>
        <w:t>×</w:t>
      </w:r>
      <w:r w:rsidRPr="00731C29">
        <w:t xml:space="preserve"> $</w:t>
      </w:r>
      <w:r w:rsidR="00943001">
        <w:t>93</w:t>
      </w:r>
      <w:r w:rsidRPr="00731C29">
        <w:t xml:space="preserve"> per hour = $</w:t>
      </w:r>
      <w:bookmarkStart w:id="0" w:name="_Hlk135322039"/>
      <w:r w:rsidR="001F0B91">
        <w:t>48,360</w:t>
      </w:r>
      <w:bookmarkEnd w:id="0"/>
      <w:r w:rsidRPr="00731C29">
        <w:t>.  This figure is based on an average of CT-14 salaries for employees in Washington, DC and Chicago based on the Commission’s CFTC 20</w:t>
      </w:r>
      <w:r w:rsidRPr="00731C29" w:rsidR="000C5F38">
        <w:t>2</w:t>
      </w:r>
      <w:r w:rsidR="001F0B91">
        <w:t>3</w:t>
      </w:r>
      <w:r w:rsidRPr="00731C29">
        <w:t xml:space="preserve"> Pay Chart (with adjusted locality pay).  This figure does not include employee benefits.</w:t>
      </w:r>
    </w:p>
  </w:footnote>
  <w:footnote w:id="8">
    <w:p w:rsidR="004919B4" w14:paraId="57323EE0" w14:textId="2390EDB8">
      <w:pPr>
        <w:pStyle w:val="FootnoteText"/>
      </w:pPr>
      <w:r>
        <w:rPr>
          <w:rStyle w:val="FootnoteReference"/>
        </w:rPr>
        <w:footnoteRef/>
      </w:r>
      <w:r>
        <w:t xml:space="preserve"> The information collection requirements proposed in the SNPRM included reporting requirements totaling 257 annual burden hours and disclosure requirements totaling 434 burden </w:t>
      </w:r>
      <w:r w:rsidR="00704324">
        <w:t>hours.</w:t>
      </w:r>
    </w:p>
  </w:footnote>
  <w:footnote w:id="9">
    <w:p w:rsidR="00CB2C64" w:rsidP="00731C29" w14:paraId="5B4484B9" w14:textId="77777777">
      <w:pPr>
        <w:pStyle w:val="FootnoteText"/>
        <w:spacing w:after="120"/>
      </w:pPr>
      <w:r>
        <w:rPr>
          <w:rStyle w:val="FootnoteReference"/>
        </w:rPr>
        <w:footnoteRef/>
      </w:r>
      <w:r>
        <w:t xml:space="preserve"> </w:t>
      </w:r>
      <w:r w:rsidRPr="00A47FBE">
        <w:t>In the Commission’s experience, exempt DCO applicants often hire outside counsel to prepare and submit their applications, and exempt DCOs may engage outside counsel to assist with their continued compliance with conditions of exemption</w:t>
      </w:r>
      <w:r>
        <w:t>, including annual certifications</w:t>
      </w:r>
      <w:r w:rsidRPr="00A47FBE">
        <w:t>. While the Commission is uncertain about the billing rates that these registrants may pay for outside counsel, the Commission believes that such counsel may bill at a rate of several hundred dollars per hour. The calculation for estimates other than daily, quarterly and event-specific reporting uses $250, which is consistent with the figure used in the existing burden estimates for DCO registration applications.</w:t>
      </w:r>
    </w:p>
    <w:p w:rsidR="00CB2C64" w:rsidP="00731C29" w14:paraId="6EA49594" w14:textId="77777777">
      <w:pPr>
        <w:pStyle w:val="FootnoteText"/>
        <w:spacing w:after="120"/>
      </w:pPr>
    </w:p>
  </w:footnote>
  <w:footnote w:id="10">
    <w:p w:rsidR="007F43D7" w:rsidP="00731C29" w14:paraId="3B0B4FF1" w14:textId="5C9BCAA5">
      <w:pPr>
        <w:pStyle w:val="FootnoteText"/>
        <w:spacing w:after="120"/>
      </w:pPr>
      <w:r>
        <w:rPr>
          <w:rStyle w:val="FootnoteReference"/>
        </w:rPr>
        <w:footnoteRef/>
      </w:r>
      <w:r>
        <w:t xml:space="preserve"> The estimated number of </w:t>
      </w:r>
      <w:r w:rsidR="00E32F5B">
        <w:t xml:space="preserve">notices </w:t>
      </w:r>
      <w:r w:rsidR="001F0B91">
        <w:t>is</w:t>
      </w:r>
      <w:r>
        <w:t xml:space="preserve"> based on</w:t>
      </w:r>
      <w:r w:rsidR="00E32F5B">
        <w:t xml:space="preserve"> </w:t>
      </w:r>
      <w:r w:rsidR="00327F4D">
        <w:t>numbers of filings by</w:t>
      </w:r>
      <w:r w:rsidR="00E32F5B">
        <w:t xml:space="preserve"> clearing members</w:t>
      </w:r>
      <w:r>
        <w:t xml:space="preserve"> </w:t>
      </w:r>
      <w:r w:rsidR="00E32F5B">
        <w:t xml:space="preserve">of </w:t>
      </w:r>
      <w:r>
        <w:t xml:space="preserve">existing exempt DCOs.  </w:t>
      </w:r>
    </w:p>
  </w:footnote>
  <w:footnote w:id="11">
    <w:p w:rsidR="00CB2C64" w:rsidP="00731C29" w14:paraId="679E062B" w14:textId="2BC1CBDC">
      <w:pPr>
        <w:pStyle w:val="FootnoteText"/>
        <w:spacing w:after="120"/>
      </w:pPr>
      <w:r>
        <w:rPr>
          <w:rStyle w:val="FootnoteReference"/>
        </w:rPr>
        <w:footnoteRef/>
      </w:r>
      <w:r>
        <w:t xml:space="preserve"> </w:t>
      </w:r>
      <w:r w:rsidRPr="00A47FBE">
        <w:t>Indicates the approximate number of trading days in the fiscal year.</w:t>
      </w:r>
    </w:p>
  </w:footnote>
  <w:footnote w:id="12">
    <w:p w:rsidR="00CB2C64" w:rsidP="00731C29" w14:paraId="52807EF6" w14:textId="37F4022D">
      <w:pPr>
        <w:pStyle w:val="FootnoteText"/>
        <w:spacing w:after="120"/>
      </w:pPr>
      <w:r>
        <w:rPr>
          <w:rStyle w:val="FootnoteReference"/>
        </w:rPr>
        <w:footnoteRef/>
      </w:r>
      <w:r>
        <w:t xml:space="preserve"> </w:t>
      </w:r>
      <w:r w:rsidR="0067203F">
        <w:t>Th</w:t>
      </w:r>
      <w:r w:rsidR="00C362BA">
        <w:t>is</w:t>
      </w:r>
      <w:r w:rsidR="0067203F">
        <w:t xml:space="preserve"> dollar estimate </w:t>
      </w:r>
      <w:r w:rsidRPr="0084776F">
        <w:t>use</w:t>
      </w:r>
      <w:r w:rsidR="00C362BA">
        <w:t>s</w:t>
      </w:r>
      <w:r w:rsidRPr="0084776F">
        <w:t xml:space="preserve"> $4</w:t>
      </w:r>
      <w:r w:rsidR="00C362BA">
        <w:t>6</w:t>
      </w:r>
      <w:r w:rsidRPr="0084776F">
        <w:t xml:space="preserve">, </w:t>
      </w:r>
      <w:r w:rsidRPr="00C362BA" w:rsidR="00C362BA">
        <w:t>the Bureau of Labor Statistics mean hourly rate for category 13-2099, Financial Specialist, as of May 2021</w:t>
      </w:r>
      <w:r w:rsidR="00C362BA">
        <w:t>.</w:t>
      </w:r>
    </w:p>
  </w:footnote>
  <w:footnote w:id="13">
    <w:p w:rsidR="00C362BA" w:rsidP="001A518A" w14:paraId="25418C86" w14:textId="5C7FE6BF">
      <w:pPr>
        <w:pStyle w:val="FootnoteText"/>
        <w:spacing w:after="120"/>
      </w:pPr>
      <w:r>
        <w:rPr>
          <w:rStyle w:val="FootnoteReference"/>
        </w:rPr>
        <w:footnoteRef/>
      </w:r>
      <w:r>
        <w:t xml:space="preserve"> </w:t>
      </w:r>
      <w:r w:rsidRPr="00C362BA">
        <w:t>This dollar estimate uses $59, the Bureau of Labor Statistics mean hourly rate for category 13-0000, Business and Financial Operations, as of May 2021.</w:t>
      </w:r>
    </w:p>
  </w:footnote>
  <w:footnote w:id="14">
    <w:p w:rsidR="00CB2C64" w:rsidP="00731C29" w14:paraId="06FD007A" w14:textId="6B9B2F90">
      <w:pPr>
        <w:pStyle w:val="FootnoteText"/>
        <w:spacing w:after="120"/>
      </w:pPr>
      <w:r>
        <w:rPr>
          <w:rStyle w:val="FootnoteReference"/>
        </w:rPr>
        <w:footnoteRef/>
      </w:r>
      <w:r>
        <w:t xml:space="preserve"> </w:t>
      </w:r>
      <w:r w:rsidRPr="00C362BA" w:rsidR="00C362BA">
        <w:t>The hour burden cost is estimated at $79 based on a weighted average of 60% of the Bureau of Labor Statistics mean hourly wage as of May 2021 of $102.14 for 23-1011, Lawyers, and 40% of the mean hourly wage of $45.50 for 13-2099, Financial Specialists</w:t>
      </w:r>
      <w:r w:rsidRPr="00D90FF6" w:rsidR="00D90FF6">
        <w:t>.</w:t>
      </w:r>
    </w:p>
  </w:footnote>
  <w:footnote w:id="15">
    <w:p w:rsidR="00D74946" w:rsidP="00731C29" w14:paraId="53B859C4" w14:textId="385E62D6">
      <w:pPr>
        <w:pStyle w:val="FootnoteText"/>
        <w:spacing w:after="120"/>
      </w:pPr>
      <w:r>
        <w:rPr>
          <w:rStyle w:val="FootnoteReference"/>
        </w:rPr>
        <w:footnoteRef/>
      </w:r>
      <w:r>
        <w:t xml:space="preserve"> </w:t>
      </w:r>
      <w:r w:rsidR="00C829B1">
        <w:t>Total respondents</w:t>
      </w:r>
      <w:r>
        <w:t xml:space="preserve"> include 1 DCO applicant, 1 termination of exemption every three years, and 7 exempt DCOs (four existing exempt DCOs plus one new exempt DCO each of the next three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1F6B" w:rsidRPr="00281F6B" w:rsidP="00281F6B" w14:paraId="23990A0D" w14:textId="77777777">
    <w:pPr>
      <w:pStyle w:val="Header"/>
      <w:ind w:left="864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CFA2248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C61000"/>
    <w:multiLevelType w:val="hybridMultilevel"/>
    <w:tmpl w:val="1320334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3267C95"/>
    <w:multiLevelType w:val="hybridMultilevel"/>
    <w:tmpl w:val="3A4CDD5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A703C50"/>
    <w:multiLevelType w:val="hybridMultilevel"/>
    <w:tmpl w:val="A8BA963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AA83D2B"/>
    <w:multiLevelType w:val="hybridMultilevel"/>
    <w:tmpl w:val="FEC45E1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C601C17"/>
    <w:multiLevelType w:val="hybridMultilevel"/>
    <w:tmpl w:val="D73C990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79D4990"/>
    <w:multiLevelType w:val="hybridMultilevel"/>
    <w:tmpl w:val="AE9ADC6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47F24193"/>
    <w:multiLevelType w:val="hybridMultilevel"/>
    <w:tmpl w:val="3402B90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3315FED"/>
    <w:multiLevelType w:val="hybridMultilevel"/>
    <w:tmpl w:val="EE92047A"/>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3"/>
  </w:num>
  <w:num w:numId="3">
    <w:abstractNumId w:val="4"/>
  </w:num>
  <w:num w:numId="4">
    <w:abstractNumId w:val="7"/>
  </w:num>
  <w:num w:numId="5">
    <w:abstractNumId w:val="5"/>
  </w:num>
  <w:num w:numId="6">
    <w:abstractNumId w:val="8"/>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2E"/>
    <w:rsid w:val="0000067A"/>
    <w:rsid w:val="0001093E"/>
    <w:rsid w:val="0001736D"/>
    <w:rsid w:val="00020009"/>
    <w:rsid w:val="00022688"/>
    <w:rsid w:val="00022EA5"/>
    <w:rsid w:val="000404FB"/>
    <w:rsid w:val="000410D0"/>
    <w:rsid w:val="00044226"/>
    <w:rsid w:val="000465FA"/>
    <w:rsid w:val="00053141"/>
    <w:rsid w:val="0006079E"/>
    <w:rsid w:val="000615FF"/>
    <w:rsid w:val="000623A0"/>
    <w:rsid w:val="00063282"/>
    <w:rsid w:val="00063D5E"/>
    <w:rsid w:val="0007387B"/>
    <w:rsid w:val="0007686C"/>
    <w:rsid w:val="00081DE0"/>
    <w:rsid w:val="000830B6"/>
    <w:rsid w:val="00085CC7"/>
    <w:rsid w:val="000908EC"/>
    <w:rsid w:val="00091FD2"/>
    <w:rsid w:val="00096A20"/>
    <w:rsid w:val="000A0A81"/>
    <w:rsid w:val="000A13C5"/>
    <w:rsid w:val="000A1446"/>
    <w:rsid w:val="000A2B47"/>
    <w:rsid w:val="000B4628"/>
    <w:rsid w:val="000B5968"/>
    <w:rsid w:val="000C0ED9"/>
    <w:rsid w:val="000C3372"/>
    <w:rsid w:val="000C5F38"/>
    <w:rsid w:val="000D0AE9"/>
    <w:rsid w:val="000D2FDC"/>
    <w:rsid w:val="000D343B"/>
    <w:rsid w:val="000D3508"/>
    <w:rsid w:val="000E4ECF"/>
    <w:rsid w:val="000F0B26"/>
    <w:rsid w:val="000F0DFA"/>
    <w:rsid w:val="000F32F5"/>
    <w:rsid w:val="000F62E4"/>
    <w:rsid w:val="000F7720"/>
    <w:rsid w:val="000F7A54"/>
    <w:rsid w:val="0010057C"/>
    <w:rsid w:val="00106789"/>
    <w:rsid w:val="00112391"/>
    <w:rsid w:val="00112CF6"/>
    <w:rsid w:val="00113B08"/>
    <w:rsid w:val="001161B6"/>
    <w:rsid w:val="00121D7A"/>
    <w:rsid w:val="001235BB"/>
    <w:rsid w:val="00127D0C"/>
    <w:rsid w:val="00130D48"/>
    <w:rsid w:val="001313D2"/>
    <w:rsid w:val="00133ACE"/>
    <w:rsid w:val="001359F3"/>
    <w:rsid w:val="001367C8"/>
    <w:rsid w:val="001400C6"/>
    <w:rsid w:val="00141437"/>
    <w:rsid w:val="00141ED9"/>
    <w:rsid w:val="001536A6"/>
    <w:rsid w:val="0015688C"/>
    <w:rsid w:val="0016393A"/>
    <w:rsid w:val="001670F0"/>
    <w:rsid w:val="00170446"/>
    <w:rsid w:val="00176654"/>
    <w:rsid w:val="001822CC"/>
    <w:rsid w:val="001838D5"/>
    <w:rsid w:val="00183F39"/>
    <w:rsid w:val="00187766"/>
    <w:rsid w:val="00190EB6"/>
    <w:rsid w:val="00191846"/>
    <w:rsid w:val="001940F3"/>
    <w:rsid w:val="00195350"/>
    <w:rsid w:val="00196456"/>
    <w:rsid w:val="001A1D50"/>
    <w:rsid w:val="001A3AA0"/>
    <w:rsid w:val="001A426B"/>
    <w:rsid w:val="001A518A"/>
    <w:rsid w:val="001A5D30"/>
    <w:rsid w:val="001A614E"/>
    <w:rsid w:val="001B3F7F"/>
    <w:rsid w:val="001B5799"/>
    <w:rsid w:val="001C28FB"/>
    <w:rsid w:val="001C2B20"/>
    <w:rsid w:val="001C5EA5"/>
    <w:rsid w:val="001C726D"/>
    <w:rsid w:val="001C76B6"/>
    <w:rsid w:val="001D4ED2"/>
    <w:rsid w:val="001E1361"/>
    <w:rsid w:val="001E2D85"/>
    <w:rsid w:val="001E4403"/>
    <w:rsid w:val="001E78C1"/>
    <w:rsid w:val="001F00D8"/>
    <w:rsid w:val="001F0B91"/>
    <w:rsid w:val="001F2764"/>
    <w:rsid w:val="001F3335"/>
    <w:rsid w:val="001F3F49"/>
    <w:rsid w:val="0020072E"/>
    <w:rsid w:val="0020188A"/>
    <w:rsid w:val="002039FE"/>
    <w:rsid w:val="00207025"/>
    <w:rsid w:val="00211E33"/>
    <w:rsid w:val="00213F78"/>
    <w:rsid w:val="00214446"/>
    <w:rsid w:val="0021661C"/>
    <w:rsid w:val="002167D5"/>
    <w:rsid w:val="0022118B"/>
    <w:rsid w:val="00221656"/>
    <w:rsid w:val="00221A0D"/>
    <w:rsid w:val="00230835"/>
    <w:rsid w:val="00230E7F"/>
    <w:rsid w:val="002346D3"/>
    <w:rsid w:val="00237CCF"/>
    <w:rsid w:val="002420B3"/>
    <w:rsid w:val="00242DE5"/>
    <w:rsid w:val="00244FC4"/>
    <w:rsid w:val="00252B92"/>
    <w:rsid w:val="00253126"/>
    <w:rsid w:val="002578A3"/>
    <w:rsid w:val="00263275"/>
    <w:rsid w:val="00267185"/>
    <w:rsid w:val="00270138"/>
    <w:rsid w:val="00270D1B"/>
    <w:rsid w:val="002713E5"/>
    <w:rsid w:val="002756DD"/>
    <w:rsid w:val="0027718F"/>
    <w:rsid w:val="00281F6B"/>
    <w:rsid w:val="00292001"/>
    <w:rsid w:val="00293AD6"/>
    <w:rsid w:val="002943F5"/>
    <w:rsid w:val="002A0181"/>
    <w:rsid w:val="002A0DE1"/>
    <w:rsid w:val="002A6291"/>
    <w:rsid w:val="002A6C49"/>
    <w:rsid w:val="002A76F9"/>
    <w:rsid w:val="002B001C"/>
    <w:rsid w:val="002B0C68"/>
    <w:rsid w:val="002B1A30"/>
    <w:rsid w:val="002B23C9"/>
    <w:rsid w:val="002C124C"/>
    <w:rsid w:val="002C5244"/>
    <w:rsid w:val="002C5946"/>
    <w:rsid w:val="002C732B"/>
    <w:rsid w:val="002D1730"/>
    <w:rsid w:val="002D68DC"/>
    <w:rsid w:val="002E1940"/>
    <w:rsid w:val="002E2BFC"/>
    <w:rsid w:val="002F1350"/>
    <w:rsid w:val="002F3F4A"/>
    <w:rsid w:val="002F5834"/>
    <w:rsid w:val="00300DFA"/>
    <w:rsid w:val="00301201"/>
    <w:rsid w:val="00301DD8"/>
    <w:rsid w:val="003057F8"/>
    <w:rsid w:val="00306398"/>
    <w:rsid w:val="00307A9B"/>
    <w:rsid w:val="00310189"/>
    <w:rsid w:val="00314A5D"/>
    <w:rsid w:val="003169CE"/>
    <w:rsid w:val="00327F4D"/>
    <w:rsid w:val="00331C40"/>
    <w:rsid w:val="0034398A"/>
    <w:rsid w:val="00352C6E"/>
    <w:rsid w:val="00353548"/>
    <w:rsid w:val="00354090"/>
    <w:rsid w:val="00355AF7"/>
    <w:rsid w:val="00355B9F"/>
    <w:rsid w:val="003649B8"/>
    <w:rsid w:val="003653A5"/>
    <w:rsid w:val="00366D42"/>
    <w:rsid w:val="003715AE"/>
    <w:rsid w:val="00372959"/>
    <w:rsid w:val="00377CFB"/>
    <w:rsid w:val="003800A4"/>
    <w:rsid w:val="003806AC"/>
    <w:rsid w:val="00380A70"/>
    <w:rsid w:val="00380C27"/>
    <w:rsid w:val="00382058"/>
    <w:rsid w:val="003849E3"/>
    <w:rsid w:val="00385DEB"/>
    <w:rsid w:val="00385E28"/>
    <w:rsid w:val="003962FB"/>
    <w:rsid w:val="003966A9"/>
    <w:rsid w:val="003A3175"/>
    <w:rsid w:val="003A60BE"/>
    <w:rsid w:val="003A793C"/>
    <w:rsid w:val="003B0F0B"/>
    <w:rsid w:val="003B189D"/>
    <w:rsid w:val="003B2AD2"/>
    <w:rsid w:val="003B2CEA"/>
    <w:rsid w:val="003B3E3F"/>
    <w:rsid w:val="003B4576"/>
    <w:rsid w:val="003B62CA"/>
    <w:rsid w:val="003B66FA"/>
    <w:rsid w:val="003B692C"/>
    <w:rsid w:val="003B6ADB"/>
    <w:rsid w:val="003C5607"/>
    <w:rsid w:val="003D11BE"/>
    <w:rsid w:val="003D4F81"/>
    <w:rsid w:val="003D53DF"/>
    <w:rsid w:val="003E10ED"/>
    <w:rsid w:val="003E1A46"/>
    <w:rsid w:val="003E6380"/>
    <w:rsid w:val="003E67D1"/>
    <w:rsid w:val="003F17C9"/>
    <w:rsid w:val="003F25DA"/>
    <w:rsid w:val="003F644F"/>
    <w:rsid w:val="003F72C9"/>
    <w:rsid w:val="00402A6A"/>
    <w:rsid w:val="0040634B"/>
    <w:rsid w:val="00406422"/>
    <w:rsid w:val="00406F57"/>
    <w:rsid w:val="00414F37"/>
    <w:rsid w:val="004150A2"/>
    <w:rsid w:val="00420A7E"/>
    <w:rsid w:val="00421B9A"/>
    <w:rsid w:val="00433A1D"/>
    <w:rsid w:val="004362E2"/>
    <w:rsid w:val="00441AF0"/>
    <w:rsid w:val="00445B87"/>
    <w:rsid w:val="0044762B"/>
    <w:rsid w:val="00450343"/>
    <w:rsid w:val="00452022"/>
    <w:rsid w:val="004525DB"/>
    <w:rsid w:val="004575D6"/>
    <w:rsid w:val="00462476"/>
    <w:rsid w:val="004633BB"/>
    <w:rsid w:val="0047779A"/>
    <w:rsid w:val="00480A66"/>
    <w:rsid w:val="0048151F"/>
    <w:rsid w:val="00482D5A"/>
    <w:rsid w:val="004855AC"/>
    <w:rsid w:val="00487620"/>
    <w:rsid w:val="00487DDC"/>
    <w:rsid w:val="00490847"/>
    <w:rsid w:val="00490890"/>
    <w:rsid w:val="004919B4"/>
    <w:rsid w:val="00491AE6"/>
    <w:rsid w:val="00492857"/>
    <w:rsid w:val="00496E48"/>
    <w:rsid w:val="004A5791"/>
    <w:rsid w:val="004C238C"/>
    <w:rsid w:val="004C29CE"/>
    <w:rsid w:val="004C5158"/>
    <w:rsid w:val="004C542E"/>
    <w:rsid w:val="004C7268"/>
    <w:rsid w:val="004C7DDB"/>
    <w:rsid w:val="004D0288"/>
    <w:rsid w:val="004D4351"/>
    <w:rsid w:val="004D4571"/>
    <w:rsid w:val="004D5D90"/>
    <w:rsid w:val="004E17B0"/>
    <w:rsid w:val="004E1DDA"/>
    <w:rsid w:val="004E6D5D"/>
    <w:rsid w:val="004E79A4"/>
    <w:rsid w:val="004F45C4"/>
    <w:rsid w:val="004F4ECE"/>
    <w:rsid w:val="004F6D6C"/>
    <w:rsid w:val="004F787F"/>
    <w:rsid w:val="00500D42"/>
    <w:rsid w:val="00501438"/>
    <w:rsid w:val="00501DE5"/>
    <w:rsid w:val="00510471"/>
    <w:rsid w:val="00512A7D"/>
    <w:rsid w:val="00522539"/>
    <w:rsid w:val="005231C4"/>
    <w:rsid w:val="005317B4"/>
    <w:rsid w:val="005337FF"/>
    <w:rsid w:val="00534D38"/>
    <w:rsid w:val="00537037"/>
    <w:rsid w:val="00540294"/>
    <w:rsid w:val="005416D5"/>
    <w:rsid w:val="00541ED7"/>
    <w:rsid w:val="00543DEF"/>
    <w:rsid w:val="0054706B"/>
    <w:rsid w:val="00552D13"/>
    <w:rsid w:val="005531CF"/>
    <w:rsid w:val="00562110"/>
    <w:rsid w:val="0056386C"/>
    <w:rsid w:val="00563EDF"/>
    <w:rsid w:val="00564DD1"/>
    <w:rsid w:val="005722F7"/>
    <w:rsid w:val="00573787"/>
    <w:rsid w:val="005871BF"/>
    <w:rsid w:val="00587C66"/>
    <w:rsid w:val="00591A5E"/>
    <w:rsid w:val="005920D5"/>
    <w:rsid w:val="00593353"/>
    <w:rsid w:val="0059427F"/>
    <w:rsid w:val="00594BBF"/>
    <w:rsid w:val="00595C0C"/>
    <w:rsid w:val="005977A6"/>
    <w:rsid w:val="00597B1E"/>
    <w:rsid w:val="005A14E2"/>
    <w:rsid w:val="005A1587"/>
    <w:rsid w:val="005B0919"/>
    <w:rsid w:val="005B195D"/>
    <w:rsid w:val="005B1960"/>
    <w:rsid w:val="005B3165"/>
    <w:rsid w:val="005B3803"/>
    <w:rsid w:val="005B577A"/>
    <w:rsid w:val="005B64BE"/>
    <w:rsid w:val="005C18B6"/>
    <w:rsid w:val="005C26EE"/>
    <w:rsid w:val="005C2CE6"/>
    <w:rsid w:val="005C4F2C"/>
    <w:rsid w:val="005C531B"/>
    <w:rsid w:val="005C5483"/>
    <w:rsid w:val="005C5FA9"/>
    <w:rsid w:val="005D025A"/>
    <w:rsid w:val="005D5D5C"/>
    <w:rsid w:val="005D79A9"/>
    <w:rsid w:val="005E12FD"/>
    <w:rsid w:val="005E2706"/>
    <w:rsid w:val="005F1840"/>
    <w:rsid w:val="005F28E0"/>
    <w:rsid w:val="005F3786"/>
    <w:rsid w:val="005F42F9"/>
    <w:rsid w:val="005F48AB"/>
    <w:rsid w:val="005F491D"/>
    <w:rsid w:val="005F4D77"/>
    <w:rsid w:val="005F5B09"/>
    <w:rsid w:val="005F6A10"/>
    <w:rsid w:val="00601CD9"/>
    <w:rsid w:val="00605F3A"/>
    <w:rsid w:val="006133D3"/>
    <w:rsid w:val="00616BF3"/>
    <w:rsid w:val="0062380D"/>
    <w:rsid w:val="006266FB"/>
    <w:rsid w:val="006278F7"/>
    <w:rsid w:val="00633128"/>
    <w:rsid w:val="00636219"/>
    <w:rsid w:val="00636C45"/>
    <w:rsid w:val="006377D2"/>
    <w:rsid w:val="006402C7"/>
    <w:rsid w:val="00640549"/>
    <w:rsid w:val="00640DA8"/>
    <w:rsid w:val="0064280E"/>
    <w:rsid w:val="0064348E"/>
    <w:rsid w:val="0065794E"/>
    <w:rsid w:val="00665315"/>
    <w:rsid w:val="00667708"/>
    <w:rsid w:val="006714BC"/>
    <w:rsid w:val="0067203F"/>
    <w:rsid w:val="006742C2"/>
    <w:rsid w:val="00677F98"/>
    <w:rsid w:val="00681EED"/>
    <w:rsid w:val="006902A2"/>
    <w:rsid w:val="006935FF"/>
    <w:rsid w:val="00695E3E"/>
    <w:rsid w:val="006A521B"/>
    <w:rsid w:val="006A6D8E"/>
    <w:rsid w:val="006B5AE2"/>
    <w:rsid w:val="006C0696"/>
    <w:rsid w:val="006C1A01"/>
    <w:rsid w:val="006C27F8"/>
    <w:rsid w:val="006C6E3E"/>
    <w:rsid w:val="006C774B"/>
    <w:rsid w:val="006D1C67"/>
    <w:rsid w:val="006D1D17"/>
    <w:rsid w:val="006D23F7"/>
    <w:rsid w:val="006D7CCE"/>
    <w:rsid w:val="006E1431"/>
    <w:rsid w:val="006E3231"/>
    <w:rsid w:val="006E683C"/>
    <w:rsid w:val="006F4D34"/>
    <w:rsid w:val="00701050"/>
    <w:rsid w:val="00702C90"/>
    <w:rsid w:val="00704324"/>
    <w:rsid w:val="007048EA"/>
    <w:rsid w:val="00704BA2"/>
    <w:rsid w:val="0070522A"/>
    <w:rsid w:val="007121E2"/>
    <w:rsid w:val="007125DD"/>
    <w:rsid w:val="007146C4"/>
    <w:rsid w:val="00716063"/>
    <w:rsid w:val="00716087"/>
    <w:rsid w:val="0071726D"/>
    <w:rsid w:val="00717C54"/>
    <w:rsid w:val="00731C29"/>
    <w:rsid w:val="00731D04"/>
    <w:rsid w:val="00735557"/>
    <w:rsid w:val="007369B5"/>
    <w:rsid w:val="00743E3A"/>
    <w:rsid w:val="007449E3"/>
    <w:rsid w:val="00751746"/>
    <w:rsid w:val="00757831"/>
    <w:rsid w:val="00764238"/>
    <w:rsid w:val="00771824"/>
    <w:rsid w:val="00771925"/>
    <w:rsid w:val="00780086"/>
    <w:rsid w:val="00781D58"/>
    <w:rsid w:val="007823ED"/>
    <w:rsid w:val="00783824"/>
    <w:rsid w:val="00784218"/>
    <w:rsid w:val="0079131B"/>
    <w:rsid w:val="007925F8"/>
    <w:rsid w:val="00795507"/>
    <w:rsid w:val="007A1ED6"/>
    <w:rsid w:val="007A597B"/>
    <w:rsid w:val="007B07FA"/>
    <w:rsid w:val="007B7A19"/>
    <w:rsid w:val="007C0CD1"/>
    <w:rsid w:val="007C153C"/>
    <w:rsid w:val="007C247B"/>
    <w:rsid w:val="007C3CD2"/>
    <w:rsid w:val="007C5F2E"/>
    <w:rsid w:val="007C6812"/>
    <w:rsid w:val="007D046B"/>
    <w:rsid w:val="007D25EA"/>
    <w:rsid w:val="007E0192"/>
    <w:rsid w:val="007E0DBE"/>
    <w:rsid w:val="007E6919"/>
    <w:rsid w:val="007F0C11"/>
    <w:rsid w:val="007F0CDF"/>
    <w:rsid w:val="007F38B9"/>
    <w:rsid w:val="007F43D7"/>
    <w:rsid w:val="007F4D0C"/>
    <w:rsid w:val="007F5609"/>
    <w:rsid w:val="007F6D85"/>
    <w:rsid w:val="007F7BFC"/>
    <w:rsid w:val="00807F2B"/>
    <w:rsid w:val="0081169E"/>
    <w:rsid w:val="00812210"/>
    <w:rsid w:val="008144B0"/>
    <w:rsid w:val="008335FF"/>
    <w:rsid w:val="00833E22"/>
    <w:rsid w:val="00835524"/>
    <w:rsid w:val="00836992"/>
    <w:rsid w:val="008401FB"/>
    <w:rsid w:val="00842CBC"/>
    <w:rsid w:val="00847207"/>
    <w:rsid w:val="008473A9"/>
    <w:rsid w:val="0084776F"/>
    <w:rsid w:val="00847C47"/>
    <w:rsid w:val="008511BA"/>
    <w:rsid w:val="00853F56"/>
    <w:rsid w:val="0085752F"/>
    <w:rsid w:val="008629EE"/>
    <w:rsid w:val="00865FF2"/>
    <w:rsid w:val="008664B0"/>
    <w:rsid w:val="00867BE7"/>
    <w:rsid w:val="00867F95"/>
    <w:rsid w:val="00871C06"/>
    <w:rsid w:val="00883220"/>
    <w:rsid w:val="00885EB2"/>
    <w:rsid w:val="008A1422"/>
    <w:rsid w:val="008A5957"/>
    <w:rsid w:val="008B0220"/>
    <w:rsid w:val="008B0D06"/>
    <w:rsid w:val="008B0DCB"/>
    <w:rsid w:val="008B2E05"/>
    <w:rsid w:val="008B5E88"/>
    <w:rsid w:val="008C6D3D"/>
    <w:rsid w:val="008C738E"/>
    <w:rsid w:val="008D23BB"/>
    <w:rsid w:val="008E3931"/>
    <w:rsid w:val="008E5344"/>
    <w:rsid w:val="008E74F1"/>
    <w:rsid w:val="00901963"/>
    <w:rsid w:val="00906F82"/>
    <w:rsid w:val="00907C22"/>
    <w:rsid w:val="009113DA"/>
    <w:rsid w:val="009164BC"/>
    <w:rsid w:val="00916B59"/>
    <w:rsid w:val="00917899"/>
    <w:rsid w:val="00923751"/>
    <w:rsid w:val="00923939"/>
    <w:rsid w:val="00926D44"/>
    <w:rsid w:val="00930C33"/>
    <w:rsid w:val="0093681D"/>
    <w:rsid w:val="00943001"/>
    <w:rsid w:val="00943C22"/>
    <w:rsid w:val="00943EF1"/>
    <w:rsid w:val="00944EE7"/>
    <w:rsid w:val="0095015E"/>
    <w:rsid w:val="009502B3"/>
    <w:rsid w:val="00951336"/>
    <w:rsid w:val="0095191D"/>
    <w:rsid w:val="009536AE"/>
    <w:rsid w:val="00957BE9"/>
    <w:rsid w:val="00965455"/>
    <w:rsid w:val="00972BB2"/>
    <w:rsid w:val="00974BFB"/>
    <w:rsid w:val="009758DB"/>
    <w:rsid w:val="009825A0"/>
    <w:rsid w:val="00985C36"/>
    <w:rsid w:val="0098742E"/>
    <w:rsid w:val="0099277D"/>
    <w:rsid w:val="00993098"/>
    <w:rsid w:val="00996148"/>
    <w:rsid w:val="00997762"/>
    <w:rsid w:val="00997FD0"/>
    <w:rsid w:val="009A74B8"/>
    <w:rsid w:val="009A7D72"/>
    <w:rsid w:val="009B2A1F"/>
    <w:rsid w:val="009B4364"/>
    <w:rsid w:val="009B76EB"/>
    <w:rsid w:val="009B7E63"/>
    <w:rsid w:val="009C2859"/>
    <w:rsid w:val="009C2CC8"/>
    <w:rsid w:val="009C7F39"/>
    <w:rsid w:val="009D0430"/>
    <w:rsid w:val="009D3548"/>
    <w:rsid w:val="009D4E52"/>
    <w:rsid w:val="009D6F08"/>
    <w:rsid w:val="009D712B"/>
    <w:rsid w:val="009E03FF"/>
    <w:rsid w:val="009E2145"/>
    <w:rsid w:val="009E34FD"/>
    <w:rsid w:val="009E3FC8"/>
    <w:rsid w:val="009E4980"/>
    <w:rsid w:val="009E6DD9"/>
    <w:rsid w:val="009E723C"/>
    <w:rsid w:val="009E7696"/>
    <w:rsid w:val="009F7355"/>
    <w:rsid w:val="00A000DD"/>
    <w:rsid w:val="00A00483"/>
    <w:rsid w:val="00A01B44"/>
    <w:rsid w:val="00A0275B"/>
    <w:rsid w:val="00A06FBF"/>
    <w:rsid w:val="00A13C68"/>
    <w:rsid w:val="00A231E9"/>
    <w:rsid w:val="00A25AB9"/>
    <w:rsid w:val="00A26774"/>
    <w:rsid w:val="00A26F94"/>
    <w:rsid w:val="00A456C5"/>
    <w:rsid w:val="00A463E5"/>
    <w:rsid w:val="00A47A6E"/>
    <w:rsid w:val="00A47FBE"/>
    <w:rsid w:val="00A50712"/>
    <w:rsid w:val="00A53B6F"/>
    <w:rsid w:val="00A55D9B"/>
    <w:rsid w:val="00A572FB"/>
    <w:rsid w:val="00A57958"/>
    <w:rsid w:val="00A72970"/>
    <w:rsid w:val="00A776E4"/>
    <w:rsid w:val="00A83015"/>
    <w:rsid w:val="00A83618"/>
    <w:rsid w:val="00A8734E"/>
    <w:rsid w:val="00A912D3"/>
    <w:rsid w:val="00A913FA"/>
    <w:rsid w:val="00A952AD"/>
    <w:rsid w:val="00A95391"/>
    <w:rsid w:val="00AA11E8"/>
    <w:rsid w:val="00AA1430"/>
    <w:rsid w:val="00AA1643"/>
    <w:rsid w:val="00AA7047"/>
    <w:rsid w:val="00AB4B53"/>
    <w:rsid w:val="00AB5863"/>
    <w:rsid w:val="00AB7D2E"/>
    <w:rsid w:val="00AC165E"/>
    <w:rsid w:val="00AC39ED"/>
    <w:rsid w:val="00AC622A"/>
    <w:rsid w:val="00AC6CA5"/>
    <w:rsid w:val="00AD1561"/>
    <w:rsid w:val="00AD4055"/>
    <w:rsid w:val="00AD69A4"/>
    <w:rsid w:val="00AD7B8B"/>
    <w:rsid w:val="00AD7E57"/>
    <w:rsid w:val="00AE3875"/>
    <w:rsid w:val="00AE3BDE"/>
    <w:rsid w:val="00AE3CAF"/>
    <w:rsid w:val="00AE48BE"/>
    <w:rsid w:val="00AE7696"/>
    <w:rsid w:val="00AF0339"/>
    <w:rsid w:val="00AF136A"/>
    <w:rsid w:val="00AF22B6"/>
    <w:rsid w:val="00AF263D"/>
    <w:rsid w:val="00AF2CE2"/>
    <w:rsid w:val="00AF3CA6"/>
    <w:rsid w:val="00AF473D"/>
    <w:rsid w:val="00AF516D"/>
    <w:rsid w:val="00AF5998"/>
    <w:rsid w:val="00B01245"/>
    <w:rsid w:val="00B017A3"/>
    <w:rsid w:val="00B031F3"/>
    <w:rsid w:val="00B05A4B"/>
    <w:rsid w:val="00B07F97"/>
    <w:rsid w:val="00B13A70"/>
    <w:rsid w:val="00B13EA6"/>
    <w:rsid w:val="00B14523"/>
    <w:rsid w:val="00B14916"/>
    <w:rsid w:val="00B15CB3"/>
    <w:rsid w:val="00B1763B"/>
    <w:rsid w:val="00B21814"/>
    <w:rsid w:val="00B226E5"/>
    <w:rsid w:val="00B23F46"/>
    <w:rsid w:val="00B318D1"/>
    <w:rsid w:val="00B35608"/>
    <w:rsid w:val="00B4067C"/>
    <w:rsid w:val="00B40FBD"/>
    <w:rsid w:val="00B443FC"/>
    <w:rsid w:val="00B45E9B"/>
    <w:rsid w:val="00B50B22"/>
    <w:rsid w:val="00B50B4F"/>
    <w:rsid w:val="00B544F4"/>
    <w:rsid w:val="00B56C10"/>
    <w:rsid w:val="00B62F71"/>
    <w:rsid w:val="00B64A8F"/>
    <w:rsid w:val="00B65B2C"/>
    <w:rsid w:val="00B702D7"/>
    <w:rsid w:val="00B704F8"/>
    <w:rsid w:val="00B72DB9"/>
    <w:rsid w:val="00B767A5"/>
    <w:rsid w:val="00B80484"/>
    <w:rsid w:val="00B80CD2"/>
    <w:rsid w:val="00B839A6"/>
    <w:rsid w:val="00B87087"/>
    <w:rsid w:val="00B939F9"/>
    <w:rsid w:val="00B963A6"/>
    <w:rsid w:val="00BA24FE"/>
    <w:rsid w:val="00BB1D34"/>
    <w:rsid w:val="00BB2D1B"/>
    <w:rsid w:val="00BB3C07"/>
    <w:rsid w:val="00BB794F"/>
    <w:rsid w:val="00BC00C7"/>
    <w:rsid w:val="00BC37FC"/>
    <w:rsid w:val="00BC4249"/>
    <w:rsid w:val="00BC49EB"/>
    <w:rsid w:val="00BD18B1"/>
    <w:rsid w:val="00BD232D"/>
    <w:rsid w:val="00BD5E52"/>
    <w:rsid w:val="00BD75F5"/>
    <w:rsid w:val="00BE77D8"/>
    <w:rsid w:val="00BF0308"/>
    <w:rsid w:val="00BF0D5C"/>
    <w:rsid w:val="00BF6A2F"/>
    <w:rsid w:val="00BF7B43"/>
    <w:rsid w:val="00C01F9D"/>
    <w:rsid w:val="00C02531"/>
    <w:rsid w:val="00C059F4"/>
    <w:rsid w:val="00C05A80"/>
    <w:rsid w:val="00C06EC8"/>
    <w:rsid w:val="00C13CCB"/>
    <w:rsid w:val="00C1506D"/>
    <w:rsid w:val="00C20CAF"/>
    <w:rsid w:val="00C22FE6"/>
    <w:rsid w:val="00C235ED"/>
    <w:rsid w:val="00C25F88"/>
    <w:rsid w:val="00C276E3"/>
    <w:rsid w:val="00C279BA"/>
    <w:rsid w:val="00C33318"/>
    <w:rsid w:val="00C35457"/>
    <w:rsid w:val="00C362BA"/>
    <w:rsid w:val="00C36D8C"/>
    <w:rsid w:val="00C402AA"/>
    <w:rsid w:val="00C42FC4"/>
    <w:rsid w:val="00C4759A"/>
    <w:rsid w:val="00C522B0"/>
    <w:rsid w:val="00C53920"/>
    <w:rsid w:val="00C56A6D"/>
    <w:rsid w:val="00C5734D"/>
    <w:rsid w:val="00C5737C"/>
    <w:rsid w:val="00C61401"/>
    <w:rsid w:val="00C66D39"/>
    <w:rsid w:val="00C71958"/>
    <w:rsid w:val="00C73014"/>
    <w:rsid w:val="00C829B1"/>
    <w:rsid w:val="00C87F0D"/>
    <w:rsid w:val="00C93247"/>
    <w:rsid w:val="00CA4F09"/>
    <w:rsid w:val="00CB0A19"/>
    <w:rsid w:val="00CB2490"/>
    <w:rsid w:val="00CB2C64"/>
    <w:rsid w:val="00CC0F52"/>
    <w:rsid w:val="00CC47F6"/>
    <w:rsid w:val="00CD6E84"/>
    <w:rsid w:val="00CD7986"/>
    <w:rsid w:val="00CD7BCD"/>
    <w:rsid w:val="00CD7FB1"/>
    <w:rsid w:val="00CE0010"/>
    <w:rsid w:val="00CE05F7"/>
    <w:rsid w:val="00CE0D54"/>
    <w:rsid w:val="00CE5FA4"/>
    <w:rsid w:val="00D001BF"/>
    <w:rsid w:val="00D07146"/>
    <w:rsid w:val="00D07CBE"/>
    <w:rsid w:val="00D15459"/>
    <w:rsid w:val="00D173F7"/>
    <w:rsid w:val="00D232BF"/>
    <w:rsid w:val="00D26CCC"/>
    <w:rsid w:val="00D27606"/>
    <w:rsid w:val="00D30DB7"/>
    <w:rsid w:val="00D30F70"/>
    <w:rsid w:val="00D34EA2"/>
    <w:rsid w:val="00D40231"/>
    <w:rsid w:val="00D405C9"/>
    <w:rsid w:val="00D416C3"/>
    <w:rsid w:val="00D51648"/>
    <w:rsid w:val="00D51E82"/>
    <w:rsid w:val="00D53C2B"/>
    <w:rsid w:val="00D5404D"/>
    <w:rsid w:val="00D649C3"/>
    <w:rsid w:val="00D65071"/>
    <w:rsid w:val="00D66D6F"/>
    <w:rsid w:val="00D66EA3"/>
    <w:rsid w:val="00D67F2A"/>
    <w:rsid w:val="00D74946"/>
    <w:rsid w:val="00D753E5"/>
    <w:rsid w:val="00D7612E"/>
    <w:rsid w:val="00D7684D"/>
    <w:rsid w:val="00D775CD"/>
    <w:rsid w:val="00D80DDE"/>
    <w:rsid w:val="00D82D06"/>
    <w:rsid w:val="00D8656A"/>
    <w:rsid w:val="00D86E1A"/>
    <w:rsid w:val="00D90FF6"/>
    <w:rsid w:val="00D9140C"/>
    <w:rsid w:val="00D920E2"/>
    <w:rsid w:val="00D923CF"/>
    <w:rsid w:val="00D92AA3"/>
    <w:rsid w:val="00D953FC"/>
    <w:rsid w:val="00D9583A"/>
    <w:rsid w:val="00DA1577"/>
    <w:rsid w:val="00DA27D6"/>
    <w:rsid w:val="00DA3850"/>
    <w:rsid w:val="00DA6C7B"/>
    <w:rsid w:val="00DA7458"/>
    <w:rsid w:val="00DA74D7"/>
    <w:rsid w:val="00DB14B5"/>
    <w:rsid w:val="00DC1A2C"/>
    <w:rsid w:val="00DC2A02"/>
    <w:rsid w:val="00DC64AD"/>
    <w:rsid w:val="00DC743B"/>
    <w:rsid w:val="00DD12B0"/>
    <w:rsid w:val="00DD1731"/>
    <w:rsid w:val="00DD3396"/>
    <w:rsid w:val="00DD3A8D"/>
    <w:rsid w:val="00DD66B6"/>
    <w:rsid w:val="00DD680C"/>
    <w:rsid w:val="00DD6C76"/>
    <w:rsid w:val="00DE0A8E"/>
    <w:rsid w:val="00DE12FD"/>
    <w:rsid w:val="00DE16E5"/>
    <w:rsid w:val="00DF002C"/>
    <w:rsid w:val="00DF4FF1"/>
    <w:rsid w:val="00DF5E6F"/>
    <w:rsid w:val="00DF62F3"/>
    <w:rsid w:val="00DF7898"/>
    <w:rsid w:val="00E021B0"/>
    <w:rsid w:val="00E031EE"/>
    <w:rsid w:val="00E1789E"/>
    <w:rsid w:val="00E21135"/>
    <w:rsid w:val="00E26E68"/>
    <w:rsid w:val="00E310C7"/>
    <w:rsid w:val="00E32F5B"/>
    <w:rsid w:val="00E364CE"/>
    <w:rsid w:val="00E37C10"/>
    <w:rsid w:val="00E40803"/>
    <w:rsid w:val="00E4225A"/>
    <w:rsid w:val="00E4338E"/>
    <w:rsid w:val="00E45DEF"/>
    <w:rsid w:val="00E51225"/>
    <w:rsid w:val="00E52667"/>
    <w:rsid w:val="00E5711D"/>
    <w:rsid w:val="00E57162"/>
    <w:rsid w:val="00E60193"/>
    <w:rsid w:val="00E61873"/>
    <w:rsid w:val="00E65550"/>
    <w:rsid w:val="00E67DA4"/>
    <w:rsid w:val="00E70A3A"/>
    <w:rsid w:val="00E81795"/>
    <w:rsid w:val="00E825A7"/>
    <w:rsid w:val="00E90306"/>
    <w:rsid w:val="00E93E6A"/>
    <w:rsid w:val="00E975AE"/>
    <w:rsid w:val="00E97886"/>
    <w:rsid w:val="00EA0513"/>
    <w:rsid w:val="00EA05D6"/>
    <w:rsid w:val="00EA30C2"/>
    <w:rsid w:val="00EA42DF"/>
    <w:rsid w:val="00EA6B95"/>
    <w:rsid w:val="00EA73DB"/>
    <w:rsid w:val="00EB6C65"/>
    <w:rsid w:val="00EC00DC"/>
    <w:rsid w:val="00EC1FA6"/>
    <w:rsid w:val="00EC1FB8"/>
    <w:rsid w:val="00EC5221"/>
    <w:rsid w:val="00ED1E2A"/>
    <w:rsid w:val="00ED2108"/>
    <w:rsid w:val="00ED21C9"/>
    <w:rsid w:val="00ED508E"/>
    <w:rsid w:val="00EE0DA1"/>
    <w:rsid w:val="00EE0E06"/>
    <w:rsid w:val="00EE6390"/>
    <w:rsid w:val="00EE79A3"/>
    <w:rsid w:val="00EE7F8A"/>
    <w:rsid w:val="00EF29BA"/>
    <w:rsid w:val="00EF6884"/>
    <w:rsid w:val="00EF715F"/>
    <w:rsid w:val="00F02AFD"/>
    <w:rsid w:val="00F02CFA"/>
    <w:rsid w:val="00F039F8"/>
    <w:rsid w:val="00F05373"/>
    <w:rsid w:val="00F0592C"/>
    <w:rsid w:val="00F070CF"/>
    <w:rsid w:val="00F14DEA"/>
    <w:rsid w:val="00F16678"/>
    <w:rsid w:val="00F16F84"/>
    <w:rsid w:val="00F21577"/>
    <w:rsid w:val="00F23492"/>
    <w:rsid w:val="00F2462B"/>
    <w:rsid w:val="00F31415"/>
    <w:rsid w:val="00F32F90"/>
    <w:rsid w:val="00F40C13"/>
    <w:rsid w:val="00F41335"/>
    <w:rsid w:val="00F42871"/>
    <w:rsid w:val="00F43A7D"/>
    <w:rsid w:val="00F46F85"/>
    <w:rsid w:val="00F472A3"/>
    <w:rsid w:val="00F47C4E"/>
    <w:rsid w:val="00F5268B"/>
    <w:rsid w:val="00F56C11"/>
    <w:rsid w:val="00F6176F"/>
    <w:rsid w:val="00F658F1"/>
    <w:rsid w:val="00F74161"/>
    <w:rsid w:val="00F7764E"/>
    <w:rsid w:val="00F8134C"/>
    <w:rsid w:val="00F835AE"/>
    <w:rsid w:val="00F83E81"/>
    <w:rsid w:val="00F84634"/>
    <w:rsid w:val="00F85378"/>
    <w:rsid w:val="00F86C2A"/>
    <w:rsid w:val="00F912B9"/>
    <w:rsid w:val="00F91867"/>
    <w:rsid w:val="00F9789C"/>
    <w:rsid w:val="00FA20BA"/>
    <w:rsid w:val="00FA42FF"/>
    <w:rsid w:val="00FB1D57"/>
    <w:rsid w:val="00FB46C0"/>
    <w:rsid w:val="00FC0C2C"/>
    <w:rsid w:val="00FC0F8F"/>
    <w:rsid w:val="00FC1B0D"/>
    <w:rsid w:val="00FC29F1"/>
    <w:rsid w:val="00FC2DA2"/>
    <w:rsid w:val="00FC66B5"/>
    <w:rsid w:val="00FD0979"/>
    <w:rsid w:val="00FD0FDE"/>
    <w:rsid w:val="00FD4F9B"/>
    <w:rsid w:val="00FD5E02"/>
    <w:rsid w:val="00FE7D5E"/>
    <w:rsid w:val="00FF082A"/>
    <w:rsid w:val="00FF342A"/>
    <w:rsid w:val="00FF3F39"/>
    <w:rsid w:val="00FF78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43B92F"/>
  <w15:chartTrackingRefBased/>
  <w15:docId w15:val="{4E28D86F-2A7C-409F-B205-E06C25D0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Narrow" w:hAnsi="Arial Narrow"/>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Main">
    <w:name w:val="AR Main"/>
    <w:basedOn w:val="Normal"/>
    <w:pPr>
      <w:tabs>
        <w:tab w:val="right" w:pos="9360"/>
      </w:tabs>
      <w:suppressAutoHyphens/>
      <w:jc w:val="both"/>
    </w:pPr>
    <w:rPr>
      <w:rFonts w:ascii="Arial" w:hAnsi="Arial"/>
      <w:b/>
      <w:i/>
      <w:spacing w:val="-3"/>
      <w:sz w:val="36"/>
    </w:rPr>
  </w:style>
  <w:style w:type="paragraph" w:customStyle="1" w:styleId="ARSecondLevel">
    <w:name w:val="AR Second Level"/>
    <w:basedOn w:val="Normal"/>
    <w:pPr>
      <w:tabs>
        <w:tab w:val="right" w:pos="9360"/>
      </w:tabs>
      <w:suppressAutoHyphens/>
      <w:jc w:val="both"/>
    </w:pPr>
    <w:rPr>
      <w:rFonts w:ascii="Arial" w:hAnsi="Arial"/>
      <w:b/>
      <w:spacing w:val="-3"/>
      <w:sz w:val="28"/>
    </w:rPr>
  </w:style>
  <w:style w:type="paragraph" w:customStyle="1" w:styleId="ARThirdLevel">
    <w:name w:val="AR Third Level"/>
    <w:basedOn w:val="Normal"/>
    <w:pPr>
      <w:tabs>
        <w:tab w:val="right" w:pos="9360"/>
      </w:tabs>
      <w:suppressAutoHyphens/>
      <w:jc w:val="both"/>
    </w:pPr>
    <w:rPr>
      <w:rFonts w:ascii="Arial" w:hAnsi="Arial"/>
      <w:b/>
      <w:spacing w:val="-3"/>
      <w:sz w:val="24"/>
    </w:rPr>
  </w:style>
  <w:style w:type="paragraph" w:customStyle="1" w:styleId="ARFourthLevel">
    <w:name w:val="AR Fourth Level"/>
    <w:basedOn w:val="Normal"/>
    <w:pPr>
      <w:tabs>
        <w:tab w:val="right" w:pos="9360"/>
      </w:tabs>
      <w:suppressAutoHyphens/>
      <w:jc w:val="both"/>
    </w:pPr>
    <w:rPr>
      <w:rFonts w:ascii="Arial" w:hAnsi="Arial"/>
      <w:b/>
      <w:smallCaps/>
      <w:spacing w:val="-3"/>
      <w:sz w:val="24"/>
    </w:rPr>
  </w:style>
  <w:style w:type="paragraph" w:customStyle="1" w:styleId="ARcasetitle">
    <w:name w:val="AR case title"/>
    <w:basedOn w:val="Normal"/>
    <w:pPr>
      <w:tabs>
        <w:tab w:val="right" w:pos="9360"/>
      </w:tabs>
      <w:suppressAutoHyphens/>
      <w:jc w:val="both"/>
    </w:pPr>
    <w:rPr>
      <w:b/>
      <w:i/>
      <w:spacing w:val="-3"/>
      <w:sz w:val="24"/>
    </w:rPr>
  </w:style>
  <w:style w:type="paragraph" w:styleId="Title">
    <w:name w:val="Title"/>
    <w:basedOn w:val="Normal"/>
    <w:qFormat/>
    <w:pPr>
      <w:jc w:val="center"/>
    </w:pPr>
    <w:rPr>
      <w:rFonts w:ascii="Arial" w:hAnsi="Arial"/>
      <w:b/>
      <w:sz w:val="24"/>
    </w:rPr>
  </w:style>
  <w:style w:type="paragraph" w:styleId="DocumentMap">
    <w:name w:val="Document Map"/>
    <w:basedOn w:val="Normal"/>
    <w:semiHidden/>
    <w:rsid w:val="007C5F2E"/>
    <w:pPr>
      <w:shd w:val="clear" w:color="auto" w:fill="000080"/>
    </w:pPr>
    <w:rPr>
      <w:rFonts w:ascii="Tahoma" w:hAnsi="Tahoma" w:cs="Tahoma"/>
    </w:rPr>
  </w:style>
  <w:style w:type="table" w:styleId="TableGrid">
    <w:name w:val="Table Grid"/>
    <w:basedOn w:val="TableNormal"/>
    <w:rsid w:val="00FC6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D3548"/>
    <w:rPr>
      <w:sz w:val="16"/>
      <w:szCs w:val="16"/>
    </w:rPr>
  </w:style>
  <w:style w:type="paragraph" w:styleId="CommentText">
    <w:name w:val="annotation text"/>
    <w:basedOn w:val="Normal"/>
    <w:link w:val="CommentTextChar"/>
    <w:uiPriority w:val="99"/>
    <w:rsid w:val="009D3548"/>
  </w:style>
  <w:style w:type="character" w:customStyle="1" w:styleId="CommentTextChar">
    <w:name w:val="Comment Text Char"/>
    <w:basedOn w:val="DefaultParagraphFont"/>
    <w:link w:val="CommentText"/>
    <w:uiPriority w:val="99"/>
    <w:rsid w:val="009D3548"/>
  </w:style>
  <w:style w:type="paragraph" w:styleId="CommentSubject">
    <w:name w:val="annotation subject"/>
    <w:basedOn w:val="CommentText"/>
    <w:next w:val="CommentText"/>
    <w:link w:val="CommentSubjectChar"/>
    <w:rsid w:val="009D3548"/>
    <w:rPr>
      <w:b/>
      <w:bCs/>
    </w:rPr>
  </w:style>
  <w:style w:type="character" w:customStyle="1" w:styleId="CommentSubjectChar">
    <w:name w:val="Comment Subject Char"/>
    <w:link w:val="CommentSubject"/>
    <w:rsid w:val="009D3548"/>
    <w:rPr>
      <w:b/>
      <w:bCs/>
    </w:rPr>
  </w:style>
  <w:style w:type="paragraph" w:styleId="BalloonText">
    <w:name w:val="Balloon Text"/>
    <w:basedOn w:val="Normal"/>
    <w:link w:val="BalloonTextChar"/>
    <w:rsid w:val="009D3548"/>
    <w:rPr>
      <w:rFonts w:ascii="Tahoma" w:hAnsi="Tahoma" w:cs="Tahoma"/>
      <w:sz w:val="16"/>
      <w:szCs w:val="16"/>
    </w:rPr>
  </w:style>
  <w:style w:type="character" w:customStyle="1" w:styleId="BalloonTextChar">
    <w:name w:val="Balloon Text Char"/>
    <w:link w:val="BalloonText"/>
    <w:rsid w:val="009D3548"/>
    <w:rPr>
      <w:rFonts w:ascii="Tahoma" w:hAnsi="Tahoma" w:cs="Tahoma"/>
      <w:sz w:val="16"/>
      <w:szCs w:val="16"/>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unhideWhenUsed/>
    <w:rsid w:val="00353548"/>
    <w:rPr>
      <w:rFonts w:eastAsia="Calibri"/>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link w:val="FootnoteText"/>
    <w:uiPriority w:val="99"/>
    <w:rsid w:val="00353548"/>
    <w:rPr>
      <w:rFonts w:eastAsia="Calibri"/>
    </w:rPr>
  </w:style>
  <w:style w:type="character" w:styleId="FootnoteReference">
    <w:name w:val="footnote reference"/>
    <w:aliases w:val="12,Style 14,Style 16,Style 19,Style 35,Style 39,Style 46,fr"/>
    <w:uiPriority w:val="99"/>
    <w:unhideWhenUsed/>
    <w:qFormat/>
    <w:rsid w:val="00353548"/>
    <w:rPr>
      <w:vertAlign w:val="superscript"/>
    </w:rPr>
  </w:style>
  <w:style w:type="paragraph" w:styleId="Revision">
    <w:name w:val="Revision"/>
    <w:hidden/>
    <w:uiPriority w:val="99"/>
    <w:semiHidden/>
    <w:rsid w:val="00242DE5"/>
  </w:style>
  <w:style w:type="paragraph" w:styleId="Header">
    <w:name w:val="header"/>
    <w:basedOn w:val="Normal"/>
    <w:link w:val="HeaderChar"/>
    <w:uiPriority w:val="99"/>
    <w:rsid w:val="003E6380"/>
    <w:pPr>
      <w:tabs>
        <w:tab w:val="center" w:pos="4680"/>
        <w:tab w:val="right" w:pos="9360"/>
      </w:tabs>
    </w:pPr>
  </w:style>
  <w:style w:type="character" w:customStyle="1" w:styleId="HeaderChar">
    <w:name w:val="Header Char"/>
    <w:basedOn w:val="DefaultParagraphFont"/>
    <w:link w:val="Header"/>
    <w:uiPriority w:val="99"/>
    <w:rsid w:val="003E6380"/>
  </w:style>
  <w:style w:type="paragraph" w:styleId="Footer">
    <w:name w:val="footer"/>
    <w:basedOn w:val="Normal"/>
    <w:link w:val="FooterChar"/>
    <w:uiPriority w:val="99"/>
    <w:rsid w:val="003E6380"/>
    <w:pPr>
      <w:tabs>
        <w:tab w:val="center" w:pos="4680"/>
        <w:tab w:val="right" w:pos="9360"/>
      </w:tabs>
    </w:pPr>
  </w:style>
  <w:style w:type="character" w:customStyle="1" w:styleId="FooterChar">
    <w:name w:val="Footer Char"/>
    <w:basedOn w:val="DefaultParagraphFont"/>
    <w:link w:val="Footer"/>
    <w:uiPriority w:val="99"/>
    <w:rsid w:val="003E6380"/>
  </w:style>
  <w:style w:type="paragraph" w:styleId="ListParagraph">
    <w:name w:val="List Paragraph"/>
    <w:basedOn w:val="Normal"/>
    <w:uiPriority w:val="34"/>
    <w:qFormat/>
    <w:rsid w:val="005C2CE6"/>
    <w:pPr>
      <w:ind w:left="720"/>
    </w:pPr>
  </w:style>
  <w:style w:type="character" w:styleId="Hyperlink">
    <w:name w:val="Hyperlink"/>
    <w:rsid w:val="009A74B8"/>
    <w:rPr>
      <w:color w:val="0000FF"/>
      <w:u w:val="single"/>
    </w:rPr>
  </w:style>
  <w:style w:type="character" w:styleId="FollowedHyperlink">
    <w:name w:val="FollowedHyperlink"/>
    <w:basedOn w:val="DefaultParagraphFont"/>
    <w:rsid w:val="00EA73DB"/>
    <w:rPr>
      <w:color w:val="954F72" w:themeColor="followedHyperlink"/>
      <w:u w:val="single"/>
    </w:rPr>
  </w:style>
  <w:style w:type="character" w:styleId="UnresolvedMention">
    <w:name w:val="Unresolved Mention"/>
    <w:basedOn w:val="DefaultParagraphFont"/>
    <w:uiPriority w:val="99"/>
    <w:semiHidden/>
    <w:unhideWhenUsed/>
    <w:rsid w:val="00E81795"/>
    <w:rPr>
      <w:color w:val="605E5C"/>
      <w:shd w:val="clear" w:color="auto" w:fill="E1DFDD"/>
    </w:rPr>
  </w:style>
  <w:style w:type="paragraph" w:styleId="BodyTextIndent">
    <w:name w:val="Body Text Indent"/>
    <w:basedOn w:val="Normal"/>
    <w:link w:val="BodyTextIndentChar"/>
    <w:unhideWhenUsed/>
    <w:rsid w:val="00CD7FB1"/>
    <w:pPr>
      <w:tabs>
        <w:tab w:val="left" w:pos="360"/>
      </w:tabs>
      <w:ind w:left="360"/>
    </w:pPr>
    <w:rPr>
      <w:sz w:val="18"/>
      <w:szCs w:val="24"/>
    </w:rPr>
  </w:style>
  <w:style w:type="character" w:customStyle="1" w:styleId="BodyTextIndentChar">
    <w:name w:val="Body Text Indent Char"/>
    <w:basedOn w:val="DefaultParagraphFont"/>
    <w:link w:val="BodyTextIndent"/>
    <w:rsid w:val="00CD7FB1"/>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20Files\Microsoft%20Office\Templates\OMBForm83-I.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fidential1 xmlns="a022ed7a-fce8-465b-bc62-1c8368cd056f">Confidential</Confidential1>
    <Type_x0020_of_x0020_Document xmlns="e740feb5-aee2-4b7f-b707-3779e6de7904">PRA</Type_x0020_of_x0020_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396B082A093642AAE5137BE8245962" ma:contentTypeVersion="3" ma:contentTypeDescription="Create a new document." ma:contentTypeScope="" ma:versionID="05b1cfc713d923102066ef1a5af8fdd0">
  <xsd:schema xmlns:xsd="http://www.w3.org/2001/XMLSchema" xmlns:xs="http://www.w3.org/2001/XMLSchema" xmlns:p="http://schemas.microsoft.com/office/2006/metadata/properties" xmlns:ns2="a022ed7a-fce8-465b-bc62-1c8368cd056f" xmlns:ns3="e740feb5-aee2-4b7f-b707-3779e6de7904" targetNamespace="http://schemas.microsoft.com/office/2006/metadata/properties" ma:root="true" ma:fieldsID="d83ba39d62ddaaeaa1ae749368146440" ns2:_="" ns3:_="">
    <xsd:import namespace="a022ed7a-fce8-465b-bc62-1c8368cd056f"/>
    <xsd:import namespace="e740feb5-aee2-4b7f-b707-3779e6de7904"/>
    <xsd:element name="properties">
      <xsd:complexType>
        <xsd:sequence>
          <xsd:element name="documentManagement">
            <xsd:complexType>
              <xsd:all>
                <xsd:element ref="ns2:Confidential1" minOccurs="0"/>
                <xsd:element ref="ns3:Type_x0020_of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2ed7a-fce8-465b-bc62-1c8368cd056f" elementFormDefault="qualified">
    <xsd:import namespace="http://schemas.microsoft.com/office/2006/documentManagement/types"/>
    <xsd:import namespace="http://schemas.microsoft.com/office/infopath/2007/PartnerControls"/>
    <xsd:element name="Confidential1" ma:index="8" nillable="true" ma:displayName="Confidential" ma:default="Confidential" ma:format="Dropdown" ma:internalName="Confidential1">
      <xsd:simpleType>
        <xsd:restriction base="dms:Choice">
          <xsd:enumeration value="Confidential"/>
          <xsd:enumeration value="Non-confidential"/>
        </xsd:restriction>
      </xsd:simpleType>
    </xsd:element>
  </xsd:schema>
  <xsd:schema xmlns:xsd="http://www.w3.org/2001/XMLSchema" xmlns:xs="http://www.w3.org/2001/XMLSchema" xmlns:dms="http://schemas.microsoft.com/office/2006/documentManagement/types" xmlns:pc="http://schemas.microsoft.com/office/infopath/2007/PartnerControls" targetNamespace="e740feb5-aee2-4b7f-b707-3779e6de7904" elementFormDefault="qualified">
    <xsd:import namespace="http://schemas.microsoft.com/office/2006/documentManagement/types"/>
    <xsd:import namespace="http://schemas.microsoft.com/office/infopath/2007/PartnerControls"/>
    <xsd:element name="Type_x0020_of_x0020_Document" ma:index="9" nillable="true" ma:displayName="Document Type" ma:format="Dropdown" ma:internalName="Type_x0020_of_x0020_Document">
      <xsd:simpleType>
        <xsd:restriction base="dms:Choice">
          <xsd:enumeration value="NPRM"/>
          <xsd:enumeration value="CBA"/>
          <xsd:enumeration value="PRA"/>
          <xsd:enumeration value="Final Rule"/>
          <xsd:enumeration value="Mem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7EDAA-4AC8-4439-81FC-F698EC6A36FF}">
  <ds:schemaRefs>
    <ds:schemaRef ds:uri="http://schemas.microsoft.com/sharepoint/v3/contenttype/forms"/>
  </ds:schemaRefs>
</ds:datastoreItem>
</file>

<file path=customXml/itemProps2.xml><?xml version="1.0" encoding="utf-8"?>
<ds:datastoreItem xmlns:ds="http://schemas.openxmlformats.org/officeDocument/2006/customXml" ds:itemID="{EACB3463-7B56-426C-B586-683603F3A0DF}">
  <ds:schemaRefs>
    <ds:schemaRef ds:uri="e740feb5-aee2-4b7f-b707-3779e6de7904"/>
    <ds:schemaRef ds:uri="http://schemas.microsoft.com/office/2006/documentManagement/types"/>
    <ds:schemaRef ds:uri="http://purl.org/dc/elements/1.1/"/>
    <ds:schemaRef ds:uri="a022ed7a-fce8-465b-bc62-1c8368cd056f"/>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AF23A30-E502-4B1A-9744-4307B331E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2ed7a-fce8-465b-bc62-1c8368cd056f"/>
    <ds:schemaRef ds:uri="e740feb5-aee2-4b7f-b707-3779e6de7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B2AC3C-AD3B-485E-9B75-D907928DC2B5}">
  <ds:schemaRefs>
    <ds:schemaRef ds:uri="http://schemas.microsoft.com/office/2006/metadata/longProperties"/>
  </ds:schemaRefs>
</ds:datastoreItem>
</file>

<file path=customXml/itemProps5.xml><?xml version="1.0" encoding="utf-8"?>
<ds:datastoreItem xmlns:ds="http://schemas.openxmlformats.org/officeDocument/2006/customXml" ds:itemID="{AF05A15C-A7F8-4762-8C81-F02D8977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OMBForm83-I</Template>
  <TotalTime>11</TotalTime>
  <Pages>12</Pages>
  <Words>3465</Words>
  <Characters>19399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Electronic OMB Form 83-I</vt:lpstr>
    </vt:vector>
  </TitlesOfParts>
  <Company>CFTC</Company>
  <LinksUpToDate>false</LinksUpToDate>
  <CharactersWithSpaces>22819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OMB Form 83-I</dc:title>
  <dc:creator>Donovan, Eileen A.</dc:creator>
  <dc:description>Sent to OGC 11/6/20</dc:description>
  <cp:lastModifiedBy>Wright, Kenny</cp:lastModifiedBy>
  <cp:revision>4</cp:revision>
  <cp:lastPrinted>2020-09-04T18:29:00Z</cp:lastPrinted>
  <dcterms:created xsi:type="dcterms:W3CDTF">2023-08-03T18:51:00Z</dcterms:created>
  <dcterms:modified xsi:type="dcterms:W3CDTF">2023-08-03T20:23:00Z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Document</vt:lpwstr>
  </property>
  <property fmtid="{D5CDD505-2E9C-101B-9397-08002B2CF9AE}" pid="4" name="ContentTypeId">
    <vt:lpwstr>0x010100D0396B082A093642AAE5137BE8245962</vt:lpwstr>
  </property>
  <property fmtid="{D5CDD505-2E9C-101B-9397-08002B2CF9AE}" pid="5" name="EmailCc">
    <vt:lpwstr/>
  </property>
  <property fmtid="{D5CDD505-2E9C-101B-9397-08002B2CF9AE}" pid="6" name="EmailFrom">
    <vt:lpwstr/>
  </property>
  <property fmtid="{D5CDD505-2E9C-101B-9397-08002B2CF9AE}" pid="7" name="EmailSender">
    <vt:lpwstr/>
  </property>
  <property fmtid="{D5CDD505-2E9C-101B-9397-08002B2CF9AE}" pid="8" name="EmailSubject">
    <vt:lpwstr/>
  </property>
  <property fmtid="{D5CDD505-2E9C-101B-9397-08002B2CF9AE}" pid="9" name="EmailTo">
    <vt:lpwstr/>
  </property>
  <property fmtid="{D5CDD505-2E9C-101B-9397-08002B2CF9AE}" pid="10" name="Order">
    <vt:lpwstr>23800.0000000000</vt:lpwstr>
  </property>
  <property fmtid="{D5CDD505-2E9C-101B-9397-08002B2CF9AE}" pid="11" name="Rule Subject">
    <vt:lpwstr/>
  </property>
  <property fmtid="{D5CDD505-2E9C-101B-9397-08002B2CF9AE}" pid="12" name="TemplateUrl">
    <vt:lpwstr/>
  </property>
  <property fmtid="{D5CDD505-2E9C-101B-9397-08002B2CF9AE}" pid="13" name="xd_ProgID">
    <vt:lpwstr/>
  </property>
  <property fmtid="{D5CDD505-2E9C-101B-9397-08002B2CF9AE}" pid="14" name="_CopySource">
    <vt:lpwstr>http://dcr.wss/rulemaking/crossborder/PRA/Exempt DCO Final Rule/2020 Supporting Statement-3038-0117 exempt DCO final rule-response to OGC edits.doc</vt:lpwstr>
  </property>
</Properties>
</file>