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B34C0" w:rsidRPr="00905D8C" w:rsidP="00A245F5" w14:paraId="2E43E220" w14:textId="77777777">
      <w:pPr>
        <w:ind w:left="-90"/>
        <w:jc w:val="center"/>
        <w:rPr>
          <w:b/>
        </w:rPr>
      </w:pPr>
      <w:r w:rsidRPr="00905D8C">
        <w:rPr>
          <w:b/>
        </w:rPr>
        <w:t>SUPPORTING STATEMENT</w:t>
      </w:r>
    </w:p>
    <w:p w:rsidR="00E402EC" w:rsidRPr="00905D8C" w:rsidP="00A245F5" w14:paraId="7D46B74B" w14:textId="77777777">
      <w:pPr>
        <w:ind w:left="-90"/>
        <w:jc w:val="center"/>
        <w:rPr>
          <w:bCs/>
        </w:rPr>
      </w:pPr>
      <w:r w:rsidRPr="00905D8C">
        <w:rPr>
          <w:bCs/>
        </w:rPr>
        <w:t>Internal Revenue Service</w:t>
      </w:r>
    </w:p>
    <w:p w:rsidR="0085434C" w:rsidP="00A245F5" w14:paraId="1D41AD77" w14:textId="77777777">
      <w:pPr>
        <w:ind w:right="-72"/>
        <w:jc w:val="center"/>
        <w:rPr>
          <w:bCs/>
        </w:rPr>
      </w:pPr>
      <w:r w:rsidRPr="0085434C">
        <w:rPr>
          <w:bCs/>
        </w:rPr>
        <w:t xml:space="preserve">Reporting Requirements for Recipients of Points Paid </w:t>
      </w:r>
    </w:p>
    <w:p w:rsidR="0085434C" w:rsidP="00A245F5" w14:paraId="407BA4B0" w14:textId="379105CB">
      <w:pPr>
        <w:ind w:right="-72"/>
        <w:jc w:val="center"/>
        <w:rPr>
          <w:bCs/>
        </w:rPr>
      </w:pPr>
      <w:r w:rsidRPr="0085434C">
        <w:rPr>
          <w:bCs/>
        </w:rPr>
        <w:t>on Residential Mortgages</w:t>
      </w:r>
      <w:r>
        <w:rPr>
          <w:bCs/>
        </w:rPr>
        <w:t xml:space="preserve"> </w:t>
      </w:r>
    </w:p>
    <w:p w:rsidR="005B34C0" w:rsidRPr="00905D8C" w:rsidP="00A245F5" w14:paraId="2689A64D" w14:textId="186F8C79">
      <w:pPr>
        <w:ind w:right="-72"/>
        <w:jc w:val="center"/>
      </w:pPr>
      <w:r w:rsidRPr="00905D8C">
        <w:t>OMB</w:t>
      </w:r>
      <w:r w:rsidRPr="00905D8C" w:rsidR="00905D8C">
        <w:t xml:space="preserve"># </w:t>
      </w:r>
      <w:r w:rsidRPr="00905D8C">
        <w:rPr>
          <w:b/>
          <w:bCs/>
        </w:rPr>
        <w:t>1545-</w:t>
      </w:r>
      <w:r w:rsidR="00626FF1">
        <w:rPr>
          <w:b/>
          <w:bCs/>
        </w:rPr>
        <w:t>1380</w:t>
      </w:r>
    </w:p>
    <w:p w:rsidR="005B34C0" w:rsidRPr="00905D8C" w14:paraId="09BDAAB2" w14:textId="77777777">
      <w:pPr>
        <w:ind w:left="-72" w:right="-72"/>
      </w:pPr>
    </w:p>
    <w:p w:rsidR="005B34C0" w:rsidRPr="00905D8C" w14:paraId="4C4A3685" w14:textId="77777777">
      <w:pPr>
        <w:ind w:left="-72" w:right="-72"/>
      </w:pPr>
    </w:p>
    <w:p w:rsidR="005B34C0" w:rsidRPr="00905D8C" w14:paraId="561A6D93" w14:textId="77777777">
      <w:pPr>
        <w:ind w:left="-72" w:right="-72"/>
        <w:rPr>
          <w:bCs/>
        </w:rPr>
      </w:pPr>
      <w:r w:rsidRPr="00905D8C">
        <w:rPr>
          <w:bCs/>
        </w:rPr>
        <w:t xml:space="preserve">1.   </w:t>
      </w:r>
      <w:r w:rsidRPr="00905D8C">
        <w:rPr>
          <w:bCs/>
          <w:u w:val="single"/>
        </w:rPr>
        <w:t>CIRCUMSTANCES NECESSITATING COLLECTION OF INFORMATION</w:t>
      </w:r>
    </w:p>
    <w:p w:rsidR="005B34C0" w:rsidRPr="00905D8C" w14:paraId="4EEA7166" w14:textId="77777777">
      <w:pPr>
        <w:ind w:left="-72" w:right="-72"/>
      </w:pPr>
    </w:p>
    <w:p w:rsidR="00626FF1" w:rsidP="00626FF1" w14:paraId="4D3B40DF" w14:textId="77777777">
      <w:pPr>
        <w:ind w:left="720" w:right="-72"/>
      </w:pPr>
      <w:r>
        <w:t>Section 6050H of the Internal Revenue Code requires mortgagors to report mortgage interest, including points, of $600 or more paid to them during the year by an individual on Form 1098.</w:t>
      </w:r>
    </w:p>
    <w:p w:rsidR="00626FF1" w:rsidP="00626FF1" w14:paraId="753485AC" w14:textId="77777777">
      <w:pPr>
        <w:ind w:left="720" w:right="-72"/>
      </w:pPr>
    </w:p>
    <w:p w:rsidR="00626FF1" w:rsidP="00626FF1" w14:paraId="7AF90F71" w14:textId="77777777">
      <w:pPr>
        <w:ind w:left="720" w:right="-72"/>
      </w:pPr>
      <w:r>
        <w:t>Section 6050H was added to the Code to encourage compliance with the tax laws relating to the deductibility of mortgage interest and authorizes the Secretary to require the reporting of certain information relating to payments of mortgage interest. Subsequent to the issuance of 26 C.F.R. 1.6050H l, providing guidance for the information reporting of interest (other than points) under this statutory provision, Congress amended section 6050H (b) to require taxpayers subject to the mortgage interest reporting requirement to separately state on Form 1098 (provided to the Internal Revenue Service) the amount of points and the amount of interest (other than points) received during the taxable year on a single mortgage and to provide to the payor of the points a separate statement setting forth the information being reported to the Service.  The regulations supplement the existing regulations by providing taxpayers with guidance regarding this statutorily mandated reporting requirement.</w:t>
      </w:r>
    </w:p>
    <w:p w:rsidR="00626FF1" w:rsidP="00626FF1" w14:paraId="3FD25AE9" w14:textId="77777777">
      <w:pPr>
        <w:ind w:left="720" w:right="-72"/>
      </w:pPr>
    </w:p>
    <w:p w:rsidR="00626FF1" w:rsidP="00626FF1" w14:paraId="03F6760A" w14:textId="77777777">
      <w:pPr>
        <w:ind w:left="720" w:right="-72"/>
      </w:pPr>
      <w:r>
        <w:t>In addition, the regulations allow taxpayers who are subject to the information reporting requirement of section 6050H to voluntarily enter into a written agreement designating pursuant to which a third party will assume the information reporting requirement otherwise imposed on the designating party. Taxpayers subject to the reporting requirements of section 6050H and the regulations who choose to designate another person to fulfill this information reporting requirement are required by the regulations to retain a copy of the written designation agreement for a period of four years.  Retention of this agreement is necessary for the Internal Revenue Service to determine which person has the information reporting requirement and thus is subject to applicable statutory penalties in the event of noncompliance.  This written agreement does not have to be provided to the Internal Revenue Service.</w:t>
      </w:r>
    </w:p>
    <w:p w:rsidR="00626FF1" w:rsidP="00626FF1" w14:paraId="211B057F" w14:textId="77777777">
      <w:pPr>
        <w:ind w:left="720" w:right="-72"/>
      </w:pPr>
    </w:p>
    <w:p w:rsidR="00626FF1" w:rsidP="00626FF1" w14:paraId="0BF1E1B9" w14:textId="77777777">
      <w:pPr>
        <w:ind w:left="720" w:right="-72"/>
      </w:pPr>
      <w:r>
        <w:t>Finally, the regulations provide that a recipient of mortgage points, in determining whether the points are being paid in connection with the payor's purchase of a principal residence, may rely on a signed, written statement from the payor stating that the points are being paid in connection with the purchase of a principal residence.  This statement does not have to be provided by the reporting party to the Internal Revenue Service. Obtaining such a statement is entirely voluntary.</w:t>
      </w:r>
      <w:r w:rsidRPr="00905D8C" w:rsidR="00C11E57">
        <w:t xml:space="preserve">      </w:t>
      </w:r>
    </w:p>
    <w:p w:rsidR="00626FF1" w:rsidP="00626FF1" w14:paraId="4B18D96E" w14:textId="77777777">
      <w:pPr>
        <w:ind w:left="720" w:right="-72"/>
      </w:pPr>
    </w:p>
    <w:p w:rsidR="005B34C0" w:rsidRPr="00905D8C" w:rsidP="00626FF1" w14:paraId="342F16E3" w14:textId="596D245D">
      <w:pPr>
        <w:ind w:left="720" w:right="-72"/>
      </w:pPr>
      <w:r w:rsidRPr="00905D8C">
        <w:t xml:space="preserve">                            </w:t>
      </w:r>
    </w:p>
    <w:p w:rsidR="005B34C0" w:rsidRPr="00905D8C" w14:paraId="0D8DC7ED" w14:textId="77777777">
      <w:pPr>
        <w:ind w:left="-72" w:right="-72"/>
      </w:pPr>
    </w:p>
    <w:p w:rsidR="005B34C0" w:rsidRPr="00905D8C" w14:paraId="133B9130" w14:textId="77777777">
      <w:pPr>
        <w:ind w:left="-72" w:right="-72"/>
      </w:pPr>
      <w:r w:rsidRPr="00905D8C">
        <w:rPr>
          <w:bCs/>
        </w:rPr>
        <w:t xml:space="preserve">2.   </w:t>
      </w:r>
      <w:r w:rsidRPr="00905D8C">
        <w:rPr>
          <w:bCs/>
          <w:u w:val="single"/>
        </w:rPr>
        <w:t>USE OF DATA</w:t>
      </w:r>
      <w:r w:rsidRPr="00905D8C">
        <w:rPr>
          <w:bCs/>
        </w:rPr>
        <w:t xml:space="preserve">              </w:t>
      </w:r>
    </w:p>
    <w:p w:rsidR="005B34C0" w:rsidRPr="00905D8C" w14:paraId="6F3D99DA" w14:textId="77777777">
      <w:pPr>
        <w:ind w:left="-72" w:right="-72"/>
      </w:pPr>
    </w:p>
    <w:p w:rsidR="00626FF1" w:rsidP="00A245F5" w14:paraId="2A7BDC3C" w14:textId="1D932010">
      <w:pPr>
        <w:ind w:left="648" w:right="-72" w:hanging="18"/>
      </w:pPr>
      <w:r>
        <w:t xml:space="preserve">Form 1098 </w:t>
      </w:r>
      <w:r w:rsidRPr="00626FF1">
        <w:t xml:space="preserve">will be used by </w:t>
      </w:r>
      <w:r w:rsidR="00B51B8D">
        <w:t>Internal Revenue Service (</w:t>
      </w:r>
      <w:r w:rsidRPr="00626FF1">
        <w:t>IRS</w:t>
      </w:r>
      <w:r w:rsidR="00B51B8D">
        <w:t>)</w:t>
      </w:r>
      <w:r w:rsidRPr="00626FF1">
        <w:t xml:space="preserve"> to verify that taxpayers have deducted the proper amount of mortgage interest expense on their tax returns.  The information required by section 1.6050H will be reported to the Service on Form 1098, </w:t>
      </w:r>
      <w:r w:rsidRPr="00626FF1">
        <w:rPr>
          <w:i/>
          <w:iCs/>
        </w:rPr>
        <w:t>Mortgage Interest Statement</w:t>
      </w:r>
      <w:r w:rsidRPr="00626FF1">
        <w:t xml:space="preserve">.  </w:t>
      </w:r>
    </w:p>
    <w:p w:rsidR="00626FF1" w:rsidP="00A245F5" w14:paraId="1F42C60E" w14:textId="77777777">
      <w:pPr>
        <w:ind w:left="648" w:right="-72" w:hanging="18"/>
      </w:pPr>
    </w:p>
    <w:p w:rsidR="005B34C0" w:rsidRPr="00905D8C" w:rsidP="00A245F5" w14:paraId="294441F9" w14:textId="5FB4CA98">
      <w:pPr>
        <w:ind w:left="648" w:right="-72" w:hanging="18"/>
      </w:pPr>
      <w:r w:rsidRPr="00626FF1">
        <w:t>The information will also be reported to the homeowner mortgagor that pays such points to the reporting party.  The data will be used by the Service and the payor of record to determine if the payor of record may claim a deduction from gross income for an amount paid as points on a residential mortgage.</w:t>
      </w:r>
    </w:p>
    <w:p w:rsidR="005B34C0" w:rsidRPr="00905D8C" w14:paraId="3AA3B803" w14:textId="77777777">
      <w:pPr>
        <w:ind w:left="-72" w:right="-72"/>
      </w:pPr>
      <w:r w:rsidRPr="00905D8C">
        <w:t xml:space="preserve">  </w:t>
      </w:r>
    </w:p>
    <w:p w:rsidR="005B34C0" w:rsidRPr="00905D8C" w14:paraId="35D71AAA" w14:textId="77777777">
      <w:pPr>
        <w:ind w:left="-72" w:right="-72"/>
      </w:pPr>
      <w:r w:rsidRPr="00905D8C">
        <w:rPr>
          <w:bCs/>
        </w:rPr>
        <w:t xml:space="preserve">3.   </w:t>
      </w:r>
      <w:r w:rsidRPr="00905D8C">
        <w:rPr>
          <w:bCs/>
          <w:u w:val="single"/>
        </w:rPr>
        <w:t>USE OF IMPROVED INFORMATION TECHNOLOGY TO REDUCE BURDEN</w:t>
      </w:r>
    </w:p>
    <w:p w:rsidR="005B34C0" w:rsidRPr="00905D8C" w14:paraId="1826C1DA" w14:textId="77777777">
      <w:pPr>
        <w:ind w:left="-72" w:right="-72"/>
      </w:pPr>
    </w:p>
    <w:p w:rsidR="005B34C0" w:rsidRPr="00905D8C" w:rsidP="003A0AF5" w14:paraId="4C8DF878" w14:textId="107078C4">
      <w:r w:rsidRPr="00905D8C">
        <w:tab/>
        <w:t xml:space="preserve">Electronic filing of Form </w:t>
      </w:r>
      <w:r w:rsidR="00626FF1">
        <w:t>1098</w:t>
      </w:r>
      <w:r w:rsidRPr="00905D8C">
        <w:t xml:space="preserve"> is currently available.</w:t>
      </w:r>
    </w:p>
    <w:p w:rsidR="005B34C0" w:rsidRPr="00905D8C" w14:paraId="7D81F572" w14:textId="77777777">
      <w:pPr>
        <w:ind w:left="-72" w:right="-72"/>
      </w:pPr>
      <w:r w:rsidRPr="00905D8C">
        <w:t xml:space="preserve">                                        </w:t>
      </w:r>
    </w:p>
    <w:p w:rsidR="005B34C0" w:rsidRPr="00905D8C" w14:paraId="7DB21F28" w14:textId="77777777">
      <w:pPr>
        <w:ind w:left="-72" w:right="-72"/>
        <w:rPr>
          <w:bCs/>
        </w:rPr>
      </w:pPr>
      <w:r w:rsidRPr="00905D8C">
        <w:rPr>
          <w:bCs/>
        </w:rPr>
        <w:t xml:space="preserve">4.   </w:t>
      </w:r>
      <w:r w:rsidRPr="00905D8C">
        <w:rPr>
          <w:bCs/>
          <w:u w:val="single"/>
        </w:rPr>
        <w:t>EFFORTS TO IDENTIFY DUPLICATION</w:t>
      </w:r>
    </w:p>
    <w:p w:rsidR="005B34C0" w:rsidRPr="00905D8C" w14:paraId="35622E67" w14:textId="77777777">
      <w:pPr>
        <w:ind w:left="-72" w:right="-72"/>
      </w:pPr>
    </w:p>
    <w:p w:rsidR="005B34C0" w:rsidRPr="00905D8C" w:rsidP="00643DFE" w14:paraId="129AFC6A" w14:textId="77777777">
      <w:pPr>
        <w:ind w:left="720" w:right="-72"/>
      </w:pPr>
      <w:r w:rsidRPr="00905D8C">
        <w:t>T</w:t>
      </w:r>
      <w:r w:rsidRPr="00905D8C">
        <w:rPr>
          <w:iCs/>
        </w:rPr>
        <w:t>he information obtained through this collection is unique and is not already available</w:t>
      </w:r>
      <w:r w:rsidRPr="00905D8C" w:rsidR="00D54569">
        <w:rPr>
          <w:iCs/>
        </w:rPr>
        <w:t xml:space="preserve"> </w:t>
      </w:r>
      <w:r w:rsidRPr="00905D8C">
        <w:rPr>
          <w:iCs/>
        </w:rPr>
        <w:t>for use or adaptation from another source</w:t>
      </w:r>
      <w:r w:rsidRPr="00905D8C">
        <w:t xml:space="preserve">. </w:t>
      </w:r>
    </w:p>
    <w:p w:rsidR="005B34C0" w:rsidRPr="00905D8C" w14:paraId="5ED21D90" w14:textId="77777777">
      <w:pPr>
        <w:ind w:left="-72" w:right="-72"/>
      </w:pPr>
    </w:p>
    <w:p w:rsidR="005B34C0" w:rsidRPr="00905D8C" w:rsidP="005B5114" w14:paraId="3DC4F9D9" w14:textId="77777777">
      <w:pPr>
        <w:ind w:left="270" w:right="-72" w:hanging="342"/>
      </w:pPr>
      <w:r w:rsidRPr="00905D8C">
        <w:rPr>
          <w:bCs/>
        </w:rPr>
        <w:t xml:space="preserve">5.   </w:t>
      </w:r>
      <w:r w:rsidRPr="00905D8C">
        <w:rPr>
          <w:bCs/>
          <w:u w:val="single"/>
        </w:rPr>
        <w:t>METHODS TO MINIMIZE BURDEN ON SMALL BUSINESSES OR OTHER</w:t>
      </w:r>
      <w:r w:rsidR="00945E07">
        <w:rPr>
          <w:bCs/>
          <w:u w:val="single"/>
        </w:rPr>
        <w:t xml:space="preserve"> </w:t>
      </w:r>
      <w:r w:rsidRPr="00905D8C">
        <w:rPr>
          <w:bCs/>
          <w:u w:val="single"/>
        </w:rPr>
        <w:t>SMALL ENTITIES</w:t>
      </w:r>
    </w:p>
    <w:p w:rsidR="005B34C0" w:rsidRPr="00905D8C" w14:paraId="48B1E02F" w14:textId="77777777">
      <w:pPr>
        <w:ind w:left="-72" w:right="-72"/>
      </w:pPr>
    </w:p>
    <w:p w:rsidR="004F6913" w:rsidRPr="00905D8C" w:rsidP="004F6913" w14:paraId="6AF2498E" w14:textId="69002691">
      <w:pPr>
        <w:ind w:left="720" w:right="-72"/>
      </w:pPr>
      <w:r w:rsidRPr="00626FF1">
        <w:t>There is no burden on small businesses or entities by this collection due to the inapplicability of the authorizing statute under section 1.6050H</w:t>
      </w:r>
      <w:r w:rsidRPr="00905D8C" w:rsidR="00C11E57">
        <w:t>.</w:t>
      </w:r>
      <w:r w:rsidRPr="00905D8C" w:rsidR="005B34C0">
        <w:t xml:space="preserve">   </w:t>
      </w:r>
      <w:r w:rsidRPr="00426478" w:rsidR="00B05E66">
        <w:t>The collection of information requirement will not have a significant economic impact on a substantial number of small entities.</w:t>
      </w:r>
      <w:r w:rsidRPr="00905D8C" w:rsidR="005B34C0">
        <w:t xml:space="preserve"> </w:t>
      </w:r>
    </w:p>
    <w:p w:rsidR="008119B7" w:rsidP="004F6913" w14:paraId="28F5FFFC" w14:textId="77777777">
      <w:pPr>
        <w:ind w:left="720" w:right="-72"/>
      </w:pPr>
      <w:r w:rsidRPr="00905D8C">
        <w:t xml:space="preserve">       </w:t>
      </w:r>
    </w:p>
    <w:p w:rsidR="00945E07" w:rsidRPr="00905D8C" w:rsidP="004F6913" w14:paraId="070FC07D" w14:textId="4048190E">
      <w:pPr>
        <w:ind w:left="720" w:right="-72"/>
      </w:pPr>
      <w:r w:rsidRPr="00905D8C">
        <w:t xml:space="preserve">                                         </w:t>
      </w:r>
    </w:p>
    <w:p w:rsidR="005B34C0" w:rsidRPr="00905D8C" w:rsidP="005B5114" w14:paraId="025837BB" w14:textId="77777777">
      <w:pPr>
        <w:ind w:left="270" w:right="-72" w:hanging="342"/>
      </w:pPr>
      <w:r w:rsidRPr="00905D8C">
        <w:rPr>
          <w:bCs/>
        </w:rPr>
        <w:t xml:space="preserve">6.   </w:t>
      </w:r>
      <w:r w:rsidRPr="00905D8C">
        <w:rPr>
          <w:bCs/>
          <w:u w:val="single"/>
        </w:rPr>
        <w:t>CONSEQUENCES OF LESS FREQUENT COLLECTION ON FEDERAL PROGRAMS</w:t>
      </w:r>
      <w:r w:rsidRPr="00905D8C">
        <w:rPr>
          <w:bCs/>
        </w:rPr>
        <w:t xml:space="preserve"> </w:t>
      </w:r>
      <w:r w:rsidRPr="00905D8C">
        <w:rPr>
          <w:bCs/>
          <w:u w:val="single"/>
        </w:rPr>
        <w:t>OR POLICY ACTIVITIES</w:t>
      </w:r>
    </w:p>
    <w:p w:rsidR="005B34C0" w:rsidRPr="00905D8C" w14:paraId="0D5EBCE1" w14:textId="77777777">
      <w:pPr>
        <w:ind w:left="-72" w:right="-72"/>
      </w:pPr>
    </w:p>
    <w:p w:rsidR="005B34C0" w:rsidRPr="00905D8C" w:rsidP="00945E07" w14:paraId="0680C335" w14:textId="730447EF">
      <w:pPr>
        <w:ind w:left="720" w:right="-72"/>
      </w:pPr>
      <w:r w:rsidRPr="00905D8C">
        <w:t xml:space="preserve">Consequences of less frequent collection on federal programs or policy activities, </w:t>
      </w:r>
      <w:r w:rsidR="00626FF1">
        <w:t xml:space="preserve">affect the ability of the Service from being able to </w:t>
      </w:r>
      <w:r w:rsidRPr="00626FF1" w:rsidR="00626FF1">
        <w:t>promptly verify that taxpayers have deducted and reported the proper amount of mortgage interest expense on their tax returns which would not allow IRS to meet its mission</w:t>
      </w:r>
      <w:r w:rsidRPr="00905D8C" w:rsidR="00FA2384">
        <w:t>.</w:t>
      </w:r>
    </w:p>
    <w:p w:rsidR="005B34C0" w:rsidRPr="00905D8C" w14:paraId="14CD8CF7" w14:textId="77777777">
      <w:pPr>
        <w:ind w:left="-72" w:right="-72"/>
      </w:pPr>
    </w:p>
    <w:p w:rsidR="005B34C0" w:rsidRPr="00905D8C" w:rsidP="005B5114" w14:paraId="2CA5A8DD" w14:textId="77777777">
      <w:pPr>
        <w:ind w:left="360" w:right="-72" w:hanging="360"/>
        <w:rPr>
          <w:bCs/>
        </w:rPr>
      </w:pPr>
      <w:r w:rsidRPr="00905D8C">
        <w:rPr>
          <w:bCs/>
        </w:rPr>
        <w:t xml:space="preserve">7.   </w:t>
      </w:r>
      <w:r w:rsidRPr="00905D8C">
        <w:rPr>
          <w:bCs/>
          <w:u w:val="single"/>
        </w:rPr>
        <w:t>SPECIAL CIRCUMSTANCES REQUIRING DATA COLLECTION TO BE</w:t>
      </w:r>
      <w:r w:rsidRPr="00905D8C" w:rsidR="00A245F5">
        <w:rPr>
          <w:bCs/>
          <w:u w:val="single"/>
        </w:rPr>
        <w:t xml:space="preserve"> </w:t>
      </w:r>
      <w:r w:rsidRPr="00905D8C">
        <w:rPr>
          <w:bCs/>
          <w:u w:val="single"/>
        </w:rPr>
        <w:t>INCONSISTENT WITH GUIDELINES IN 5 CFR 1320.5(d)(2)</w:t>
      </w:r>
    </w:p>
    <w:p w:rsidR="005B34C0" w:rsidRPr="00905D8C" w14:paraId="6A4BE48C" w14:textId="77777777">
      <w:pPr>
        <w:ind w:left="-72" w:right="-72" w:firstLine="7920"/>
      </w:pPr>
    </w:p>
    <w:p w:rsidR="005B34C0" w:rsidP="00945E07" w14:paraId="60B32373" w14:textId="77777777">
      <w:pPr>
        <w:ind w:left="720"/>
      </w:pPr>
      <w:r w:rsidRPr="00905D8C">
        <w:t>There are no special circumstances requiring data collection to be inconsistent with Guidelines in 5 CFR 1320.5(d)(2).</w:t>
      </w:r>
    </w:p>
    <w:p w:rsidR="00B51B8D" w:rsidP="00945E07" w14:paraId="3BCC6019" w14:textId="77777777">
      <w:pPr>
        <w:ind w:left="720"/>
      </w:pPr>
    </w:p>
    <w:p w:rsidR="00B51B8D" w:rsidP="00945E07" w14:paraId="5D248725" w14:textId="77777777">
      <w:pPr>
        <w:ind w:left="720"/>
      </w:pPr>
    </w:p>
    <w:p w:rsidR="00B51B8D" w:rsidP="00945E07" w14:paraId="028F989E" w14:textId="77777777">
      <w:pPr>
        <w:ind w:left="720"/>
      </w:pPr>
    </w:p>
    <w:p w:rsidR="00B51B8D" w:rsidP="00945E07" w14:paraId="4E30BD4E" w14:textId="77777777">
      <w:pPr>
        <w:ind w:left="720"/>
      </w:pPr>
    </w:p>
    <w:p w:rsidR="00B51B8D" w:rsidRPr="00905D8C" w:rsidP="00945E07" w14:paraId="7C8BCCE3" w14:textId="59DEAA1B">
      <w:pPr>
        <w:ind w:left="720"/>
        <w:rPr>
          <w:bCs/>
        </w:rPr>
        <w:sectPr>
          <w:pgSz w:w="12240" w:h="15840"/>
          <w:pgMar w:top="1368" w:right="1440" w:bottom="1368" w:left="1440" w:header="1368" w:footer="1368" w:gutter="0"/>
          <w:cols w:space="720"/>
          <w:noEndnote/>
        </w:sectPr>
      </w:pPr>
    </w:p>
    <w:p w:rsidR="005B34C0" w:rsidRPr="00905D8C" w14:paraId="1A400E3D" w14:textId="77777777">
      <w:pPr>
        <w:rPr>
          <w:bCs/>
        </w:rPr>
      </w:pPr>
    </w:p>
    <w:p w:rsidR="005B34C0" w:rsidRPr="00905D8C" w:rsidP="005B5114" w14:paraId="266EF1AF" w14:textId="77777777">
      <w:pPr>
        <w:ind w:left="360" w:hanging="360"/>
        <w:rPr>
          <w:bCs/>
        </w:rPr>
      </w:pPr>
      <w:r w:rsidRPr="00905D8C">
        <w:rPr>
          <w:bCs/>
        </w:rPr>
        <w:t xml:space="preserve">8.   </w:t>
      </w:r>
      <w:r w:rsidRPr="00905D8C">
        <w:rPr>
          <w:bCs/>
          <w:u w:val="single"/>
        </w:rPr>
        <w:t>CONSULTATION WITH INDIVIDUALS OUTSIDE OF THE AGENCY ON</w:t>
      </w:r>
      <w:r w:rsidRPr="00905D8C" w:rsidR="00A245F5">
        <w:rPr>
          <w:bCs/>
          <w:u w:val="single"/>
        </w:rPr>
        <w:t xml:space="preserve"> </w:t>
      </w:r>
      <w:r w:rsidRPr="00905D8C">
        <w:rPr>
          <w:bCs/>
          <w:u w:val="single"/>
        </w:rPr>
        <w:t>AVAILABILITY OF DATA, FREQUENCY OF COLLECTION, CLARITY</w:t>
      </w:r>
      <w:r w:rsidRPr="00905D8C" w:rsidR="00A245F5">
        <w:rPr>
          <w:bCs/>
          <w:u w:val="single"/>
        </w:rPr>
        <w:t xml:space="preserve"> </w:t>
      </w:r>
      <w:r w:rsidRPr="00905D8C">
        <w:rPr>
          <w:bCs/>
          <w:u w:val="single"/>
        </w:rPr>
        <w:t>OF INSTRUCTIONS AND FORMS, AND DATA ELEMENTS</w:t>
      </w:r>
    </w:p>
    <w:p w:rsidR="005B34C0" w:rsidRPr="00905D8C" w14:paraId="093A90E8" w14:textId="77777777"/>
    <w:p w:rsidR="005B2F8F" w:rsidP="00945E07" w14:paraId="26D5CEF4" w14:textId="42ACDFED">
      <w:pPr>
        <w:ind w:left="720"/>
      </w:pPr>
      <w:r w:rsidRPr="005B2F8F">
        <w:t xml:space="preserve">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Form </w:t>
      </w:r>
      <w:r w:rsidR="00B51B8D">
        <w:t>1098</w:t>
      </w:r>
      <w:r w:rsidRPr="005B2F8F">
        <w:t xml:space="preserve">.  </w:t>
      </w:r>
    </w:p>
    <w:p w:rsidR="005B2F8F" w:rsidP="00FA2384" w14:paraId="737122BB" w14:textId="77777777"/>
    <w:p w:rsidR="005B34C0" w:rsidRPr="00905D8C" w:rsidP="00945E07" w14:paraId="564E53B2" w14:textId="778BAEDB">
      <w:pPr>
        <w:ind w:left="720"/>
      </w:pPr>
      <w:r w:rsidRPr="00905D8C">
        <w:t xml:space="preserve">In response to the </w:t>
      </w:r>
      <w:r w:rsidRPr="00905D8C">
        <w:rPr>
          <w:i/>
        </w:rPr>
        <w:t>Federal Register</w:t>
      </w:r>
      <w:r w:rsidRPr="00905D8C">
        <w:t xml:space="preserve"> notice dated </w:t>
      </w:r>
      <w:r w:rsidR="00B51B8D">
        <w:t xml:space="preserve">March </w:t>
      </w:r>
      <w:r w:rsidR="00E95E1F">
        <w:t>14</w:t>
      </w:r>
      <w:r w:rsidR="00B51B8D">
        <w:t>, 2023</w:t>
      </w:r>
      <w:r w:rsidRPr="00905D8C" w:rsidR="00950C06">
        <w:t>,</w:t>
      </w:r>
      <w:r w:rsidRPr="00905D8C" w:rsidR="00D41AE4">
        <w:t xml:space="preserve"> </w:t>
      </w:r>
      <w:r w:rsidRPr="00905D8C">
        <w:t>(</w:t>
      </w:r>
      <w:r w:rsidR="00B51B8D">
        <w:t>8</w:t>
      </w:r>
      <w:r w:rsidR="00E95E1F">
        <w:t>8</w:t>
      </w:r>
      <w:r w:rsidRPr="00905D8C">
        <w:t xml:space="preserve"> FR </w:t>
      </w:r>
      <w:r w:rsidR="00E95E1F">
        <w:t>15853</w:t>
      </w:r>
      <w:r w:rsidRPr="00905D8C">
        <w:t>). We received no comments during the</w:t>
      </w:r>
      <w:r w:rsidRPr="00905D8C" w:rsidR="00950C06">
        <w:t xml:space="preserve"> </w:t>
      </w:r>
      <w:r w:rsidRPr="00905D8C">
        <w:t xml:space="preserve">comment period regarding Form </w:t>
      </w:r>
      <w:r w:rsidR="00B51B8D">
        <w:t>1098</w:t>
      </w:r>
      <w:r w:rsidRPr="00905D8C" w:rsidR="008D448C">
        <w:t>.</w:t>
      </w:r>
    </w:p>
    <w:p w:rsidR="005B34C0" w:rsidRPr="00905D8C" w14:paraId="15EDC5EF" w14:textId="77777777">
      <w:r w:rsidRPr="00905D8C">
        <w:t xml:space="preserve"> </w:t>
      </w:r>
    </w:p>
    <w:p w:rsidR="005B34C0" w:rsidRPr="00905D8C" w:rsidP="005B5114" w14:paraId="5DCF1560" w14:textId="77777777">
      <w:pPr>
        <w:ind w:left="450" w:hanging="450"/>
        <w:rPr>
          <w:bCs/>
          <w:u w:val="single"/>
        </w:rPr>
      </w:pPr>
      <w:r w:rsidRPr="00905D8C">
        <w:rPr>
          <w:bCs/>
        </w:rPr>
        <w:t xml:space="preserve">9.  </w:t>
      </w:r>
      <w:r w:rsidRPr="00905D8C">
        <w:rPr>
          <w:bCs/>
          <w:u w:val="single"/>
        </w:rPr>
        <w:t>EXPLANATION OF DECISION TO PROVIDE ANY PAYMENT OR GIFT TO</w:t>
      </w:r>
    </w:p>
    <w:p w:rsidR="005B34C0" w:rsidRPr="00905D8C" w14:paraId="6C73DC83" w14:textId="77777777">
      <w:r w:rsidRPr="00905D8C">
        <w:rPr>
          <w:bCs/>
        </w:rPr>
        <w:t xml:space="preserve">     </w:t>
      </w:r>
      <w:r w:rsidRPr="00905D8C">
        <w:rPr>
          <w:bCs/>
          <w:u w:val="single"/>
        </w:rPr>
        <w:t>RESPONDENTS</w:t>
      </w:r>
    </w:p>
    <w:p w:rsidR="005B34C0" w:rsidRPr="00905D8C" w14:paraId="33DF8939" w14:textId="77777777"/>
    <w:p w:rsidR="005B34C0" w:rsidRPr="00905D8C" w:rsidP="00945E07" w14:paraId="21A01E75" w14:textId="596EAFE3">
      <w:pPr>
        <w:ind w:left="720"/>
      </w:pPr>
      <w:r w:rsidRPr="00905D8C">
        <w:t>No payment or gift has been provided to any respondents.</w:t>
      </w:r>
    </w:p>
    <w:p w:rsidR="005B34C0" w:rsidRPr="00905D8C" w14:paraId="16BD44AD" w14:textId="77777777"/>
    <w:p w:rsidR="005B34C0" w:rsidRPr="00905D8C" w14:paraId="76004FF9" w14:textId="77777777">
      <w:pPr>
        <w:rPr>
          <w:bCs/>
        </w:rPr>
      </w:pPr>
      <w:r w:rsidRPr="00905D8C">
        <w:rPr>
          <w:bCs/>
        </w:rPr>
        <w:t xml:space="preserve">10.  </w:t>
      </w:r>
      <w:r w:rsidRPr="00905D8C">
        <w:rPr>
          <w:bCs/>
          <w:u w:val="single"/>
        </w:rPr>
        <w:t>ASSURANCE OF CONFIDENTIALITY OF RESPONSES</w:t>
      </w:r>
    </w:p>
    <w:p w:rsidR="005B34C0" w:rsidRPr="00905D8C" w14:paraId="05090D54" w14:textId="77777777"/>
    <w:p w:rsidR="005B34C0" w:rsidRPr="00905D8C" w:rsidP="00945E07" w14:paraId="47510B62" w14:textId="77777777">
      <w:pPr>
        <w:ind w:left="720"/>
      </w:pPr>
      <w:r w:rsidRPr="00905D8C">
        <w:t>Generally, tax returns and tax return information are confidential as required by 26 USC 6103.</w:t>
      </w:r>
    </w:p>
    <w:p w:rsidR="005B34C0" w:rsidRPr="00905D8C" w14:paraId="0B2E8D77" w14:textId="77777777">
      <w:r w:rsidRPr="00905D8C">
        <w:t xml:space="preserve">     </w:t>
      </w:r>
    </w:p>
    <w:p w:rsidR="005B34C0" w:rsidRPr="00905D8C" w14:paraId="13F5C010" w14:textId="77777777">
      <w:pPr>
        <w:rPr>
          <w:bCs/>
          <w:u w:val="single"/>
        </w:rPr>
      </w:pPr>
      <w:r w:rsidRPr="00905D8C">
        <w:rPr>
          <w:bCs/>
        </w:rPr>
        <w:t xml:space="preserve">11.  </w:t>
      </w:r>
      <w:r w:rsidRPr="00905D8C">
        <w:rPr>
          <w:bCs/>
          <w:u w:val="single"/>
        </w:rPr>
        <w:t>JUSTIFICATION OF SENSITIVE QUESTIONS</w:t>
      </w:r>
    </w:p>
    <w:p w:rsidR="005B34C0" w:rsidRPr="00905D8C" w14:paraId="55D5D145" w14:textId="77777777">
      <w:pPr>
        <w:rPr>
          <w:u w:val="single"/>
        </w:rPr>
      </w:pPr>
    </w:p>
    <w:p w:rsidR="008119B7" w:rsidP="009D787B" w14:paraId="0485E68D" w14:textId="259B7D3F">
      <w:pPr>
        <w:ind w:left="720"/>
      </w:pPr>
      <w:r w:rsidRPr="00B51B8D">
        <w:t>A privacy impact assessment (PIA) has been conducted for information collected under this request as part of the “Information Returns Master File (IRMF)</w:t>
      </w:r>
      <w:r>
        <w:t>”</w:t>
      </w:r>
      <w:r w:rsidRPr="00B51B8D">
        <w:t xml:space="preserve"> system and a Privacy Act System of Records notice (SORN) has been issued for this system under: IRS 22.061 - Information Returns Master File (IRMF); IRS 24.030, CADE Individual Master File (IMF) and IRS 34.047 IRS Audit Trail &amp; Security Records System SORNs. The Internal Revenue Service PIAs can be found at: </w:t>
      </w:r>
      <w:hyperlink r:id="rId4" w:history="1">
        <w:r w:rsidRPr="000F2B7B">
          <w:rPr>
            <w:rStyle w:val="Hyperlink"/>
          </w:rPr>
          <w:t>https://www.irs.gov/uac/Privacy-Impact-Assessments-PIA</w:t>
        </w:r>
      </w:hyperlink>
      <w:r>
        <w:t xml:space="preserve">. </w:t>
      </w:r>
    </w:p>
    <w:p w:rsidR="00B51B8D" w:rsidRPr="00905D8C" w:rsidP="009D787B" w14:paraId="16B49678" w14:textId="77777777">
      <w:pPr>
        <w:ind w:left="720"/>
      </w:pPr>
    </w:p>
    <w:p w:rsidR="009D787B" w:rsidRPr="00905D8C" w:rsidP="00945E07" w14:paraId="4434C459" w14:textId="592090CF">
      <w:pPr>
        <w:ind w:left="720"/>
      </w:pPr>
      <w:r w:rsidRPr="00905D8C">
        <w:t>Title 26 USC 6109 requires inclusion of identifying numbers in returns, statements, or other documents for securing proper identification of persons required to make such returns, statements, or documents and is the authority for social security numbers (SSNs) in IRS systems. </w:t>
      </w:r>
      <w:r w:rsidR="00B51B8D">
        <w:t xml:space="preserve"> </w:t>
      </w:r>
    </w:p>
    <w:p w:rsidR="005B34C0" w14:paraId="375D75A1" w14:textId="0CA5F7D7"/>
    <w:p w:rsidR="00B51B8D" w:rsidRPr="00905D8C" w14:paraId="5621B963" w14:textId="77777777"/>
    <w:p w:rsidR="005B34C0" w:rsidRPr="00905D8C" w14:paraId="17767F87" w14:textId="77777777">
      <w:pPr>
        <w:rPr>
          <w:bCs/>
          <w:u w:val="single"/>
        </w:rPr>
      </w:pPr>
      <w:r w:rsidRPr="00905D8C">
        <w:rPr>
          <w:bCs/>
        </w:rPr>
        <w:t xml:space="preserve">12.  </w:t>
      </w:r>
      <w:r w:rsidR="00853DBE">
        <w:rPr>
          <w:bCs/>
        </w:rPr>
        <w:t xml:space="preserve"> </w:t>
      </w:r>
      <w:r w:rsidRPr="00905D8C">
        <w:rPr>
          <w:bCs/>
          <w:u w:val="single"/>
        </w:rPr>
        <w:t>ESTIMATED BURDEN OF INFORMATION COLLECTION</w:t>
      </w:r>
    </w:p>
    <w:p w:rsidR="005B34C0" w:rsidRPr="00905D8C" w14:paraId="38070FF2" w14:textId="77777777">
      <w:r w:rsidRPr="00905D8C">
        <w:t xml:space="preserve">     </w:t>
      </w:r>
    </w:p>
    <w:p w:rsidR="00B51B8D" w:rsidP="00B51B8D" w14:paraId="40AA7ED2" w14:textId="77777777">
      <w:pPr>
        <w:tabs>
          <w:tab w:val="left" w:pos="4168"/>
        </w:tabs>
        <w:ind w:left="720"/>
      </w:pPr>
      <w:r>
        <w:t xml:space="preserve">Section 6050H-1 of the Internal Revenue Code requires the information reporting of mortgage interest received in a trade or business from an individual. </w:t>
      </w:r>
    </w:p>
    <w:p w:rsidR="00B51B8D" w:rsidP="00B51B8D" w14:paraId="67D00535" w14:textId="77777777">
      <w:pPr>
        <w:tabs>
          <w:tab w:val="left" w:pos="4168"/>
        </w:tabs>
        <w:ind w:left="720"/>
      </w:pPr>
    </w:p>
    <w:p w:rsidR="00B51B8D" w:rsidP="00B51B8D" w14:paraId="3264AC5B" w14:textId="77777777">
      <w:pPr>
        <w:tabs>
          <w:tab w:val="left" w:pos="4168"/>
        </w:tabs>
        <w:ind w:left="720"/>
      </w:pPr>
      <w:r>
        <w:t xml:space="preserve">Section 6050H-2 of the Internal Revenue Code provides guidance on the time, form, and manner of reporting interest received on a qualified mortgage. </w:t>
      </w:r>
    </w:p>
    <w:p w:rsidR="00B51B8D" w:rsidP="00B51B8D" w14:paraId="5B34DA53" w14:textId="77777777">
      <w:pPr>
        <w:tabs>
          <w:tab w:val="left" w:pos="4168"/>
        </w:tabs>
        <w:ind w:left="720"/>
      </w:pPr>
    </w:p>
    <w:p w:rsidR="00B51B8D" w:rsidP="00B51B8D" w14:paraId="2C9BF55D" w14:textId="77777777">
      <w:pPr>
        <w:tabs>
          <w:tab w:val="left" w:pos="4168"/>
        </w:tabs>
        <w:ind w:left="720"/>
      </w:pPr>
      <w:r>
        <w:t xml:space="preserve">Form 1098 is used by an interest recipient to report mortgage interest of $600 or more received on a qualified mortgage for a calendar year. </w:t>
      </w:r>
    </w:p>
    <w:p w:rsidR="00B51B8D" w:rsidP="00B51B8D" w14:paraId="6388A81B" w14:textId="77777777">
      <w:pPr>
        <w:tabs>
          <w:tab w:val="left" w:pos="4168"/>
        </w:tabs>
        <w:ind w:left="720"/>
      </w:pPr>
    </w:p>
    <w:p w:rsidR="004061C8" w:rsidRPr="00905D8C" w:rsidP="00B51B8D" w14:paraId="32AB2CDC" w14:textId="7620CDEB">
      <w:pPr>
        <w:tabs>
          <w:tab w:val="left" w:pos="4168"/>
        </w:tabs>
        <w:ind w:left="720"/>
      </w:pPr>
      <w:r w:rsidRPr="00905D8C">
        <w:t>The burden estimate is as follows:</w:t>
      </w:r>
      <w:r w:rsidR="005B2F8F">
        <w:tab/>
      </w:r>
    </w:p>
    <w:p w:rsidR="004061C8" w:rsidRPr="00905D8C" w14:paraId="6BE4B256" w14:textId="77777777"/>
    <w:tbl>
      <w:tblPr>
        <w:tblW w:w="924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7"/>
        <w:gridCol w:w="1353"/>
        <w:gridCol w:w="1468"/>
        <w:gridCol w:w="1379"/>
        <w:gridCol w:w="1251"/>
        <w:gridCol w:w="1137"/>
        <w:gridCol w:w="1472"/>
      </w:tblGrid>
      <w:tr w14:paraId="27872A35" w14:textId="77777777" w:rsidTr="009A5721">
        <w:tblPrEx>
          <w:tblW w:w="924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87" w:type="dxa"/>
            <w:shd w:val="clear" w:color="auto" w:fill="auto"/>
            <w:vAlign w:val="bottom"/>
          </w:tcPr>
          <w:p w:rsidR="004061C8" w:rsidRPr="00E95E1F" w:rsidP="00C9330E" w14:paraId="3F9A72D8" w14:textId="77777777">
            <w:pPr>
              <w:keepNext/>
              <w:keepLines/>
              <w:numPr>
                <w:ilvl w:val="12"/>
                <w:numId w:val="0"/>
              </w:numPr>
              <w:jc w:val="center"/>
              <w:rPr>
                <w:b/>
                <w:sz w:val="20"/>
                <w:szCs w:val="20"/>
              </w:rPr>
            </w:pPr>
            <w:bookmarkStart w:id="0" w:name="_Hlk495931810"/>
            <w:r w:rsidRPr="00E95E1F">
              <w:rPr>
                <w:b/>
                <w:sz w:val="20"/>
                <w:szCs w:val="20"/>
              </w:rPr>
              <w:t>Authority</w:t>
            </w:r>
          </w:p>
        </w:tc>
        <w:tc>
          <w:tcPr>
            <w:tcW w:w="1353" w:type="dxa"/>
            <w:vAlign w:val="bottom"/>
          </w:tcPr>
          <w:p w:rsidR="004061C8" w:rsidRPr="00E95E1F" w:rsidP="00C9330E" w14:paraId="2334AE00" w14:textId="77777777">
            <w:pPr>
              <w:keepNext/>
              <w:keepLines/>
              <w:numPr>
                <w:ilvl w:val="12"/>
                <w:numId w:val="0"/>
              </w:numPr>
              <w:jc w:val="center"/>
              <w:rPr>
                <w:b/>
                <w:sz w:val="20"/>
                <w:szCs w:val="20"/>
              </w:rPr>
            </w:pPr>
            <w:r w:rsidRPr="00E95E1F">
              <w:rPr>
                <w:b/>
                <w:sz w:val="20"/>
                <w:szCs w:val="20"/>
              </w:rPr>
              <w:t>Description</w:t>
            </w:r>
          </w:p>
        </w:tc>
        <w:tc>
          <w:tcPr>
            <w:tcW w:w="1468" w:type="dxa"/>
            <w:vAlign w:val="bottom"/>
          </w:tcPr>
          <w:p w:rsidR="004061C8" w:rsidRPr="00E95E1F" w:rsidP="00C9330E" w14:paraId="3703EE32" w14:textId="21C774D8">
            <w:pPr>
              <w:keepNext/>
              <w:keepLines/>
              <w:numPr>
                <w:ilvl w:val="12"/>
                <w:numId w:val="0"/>
              </w:numPr>
              <w:jc w:val="center"/>
              <w:rPr>
                <w:b/>
                <w:sz w:val="20"/>
                <w:szCs w:val="20"/>
              </w:rPr>
            </w:pPr>
            <w:r w:rsidRPr="00E95E1F">
              <w:rPr>
                <w:b/>
                <w:sz w:val="20"/>
                <w:szCs w:val="20"/>
              </w:rPr>
              <w:t xml:space="preserve"># </w:t>
            </w:r>
            <w:r w:rsidRPr="00E95E1F" w:rsidR="00AC5FB4">
              <w:rPr>
                <w:b/>
                <w:sz w:val="20"/>
                <w:szCs w:val="20"/>
              </w:rPr>
              <w:t>Of</w:t>
            </w:r>
            <w:r w:rsidRPr="00E95E1F">
              <w:rPr>
                <w:b/>
                <w:sz w:val="20"/>
                <w:szCs w:val="20"/>
              </w:rPr>
              <w:t xml:space="preserve"> Respondents</w:t>
            </w:r>
          </w:p>
        </w:tc>
        <w:tc>
          <w:tcPr>
            <w:tcW w:w="1379" w:type="dxa"/>
            <w:vAlign w:val="bottom"/>
          </w:tcPr>
          <w:p w:rsidR="004061C8" w:rsidRPr="00E95E1F" w:rsidP="00C9330E" w14:paraId="2CD5D6D9" w14:textId="77777777">
            <w:pPr>
              <w:keepNext/>
              <w:keepLines/>
              <w:numPr>
                <w:ilvl w:val="12"/>
                <w:numId w:val="0"/>
              </w:numPr>
              <w:jc w:val="center"/>
              <w:rPr>
                <w:b/>
                <w:sz w:val="20"/>
                <w:szCs w:val="20"/>
              </w:rPr>
            </w:pPr>
            <w:r w:rsidRPr="00E95E1F">
              <w:rPr>
                <w:b/>
                <w:sz w:val="20"/>
                <w:szCs w:val="20"/>
              </w:rPr>
              <w:t># Responses per Respondent</w:t>
            </w:r>
          </w:p>
        </w:tc>
        <w:tc>
          <w:tcPr>
            <w:tcW w:w="1251" w:type="dxa"/>
            <w:shd w:val="clear" w:color="auto" w:fill="auto"/>
            <w:vAlign w:val="bottom"/>
          </w:tcPr>
          <w:p w:rsidR="004061C8" w:rsidRPr="00E95E1F" w:rsidP="00C9330E" w14:paraId="229FFEC7" w14:textId="77777777">
            <w:pPr>
              <w:keepNext/>
              <w:keepLines/>
              <w:numPr>
                <w:ilvl w:val="12"/>
                <w:numId w:val="0"/>
              </w:numPr>
              <w:jc w:val="center"/>
              <w:rPr>
                <w:b/>
                <w:sz w:val="20"/>
                <w:szCs w:val="20"/>
              </w:rPr>
            </w:pPr>
            <w:r w:rsidRPr="00E95E1F">
              <w:rPr>
                <w:b/>
                <w:sz w:val="20"/>
                <w:szCs w:val="20"/>
              </w:rPr>
              <w:t>Annual Responses</w:t>
            </w:r>
          </w:p>
        </w:tc>
        <w:tc>
          <w:tcPr>
            <w:tcW w:w="1137" w:type="dxa"/>
            <w:vAlign w:val="bottom"/>
          </w:tcPr>
          <w:p w:rsidR="004061C8" w:rsidRPr="00E95E1F" w:rsidP="00C9330E" w14:paraId="6EFDD7C1" w14:textId="77777777">
            <w:pPr>
              <w:keepNext/>
              <w:keepLines/>
              <w:numPr>
                <w:ilvl w:val="12"/>
                <w:numId w:val="0"/>
              </w:numPr>
              <w:jc w:val="center"/>
              <w:rPr>
                <w:b/>
                <w:sz w:val="20"/>
                <w:szCs w:val="20"/>
              </w:rPr>
            </w:pPr>
            <w:r w:rsidRPr="00E95E1F">
              <w:rPr>
                <w:b/>
                <w:sz w:val="20"/>
                <w:szCs w:val="20"/>
              </w:rPr>
              <w:t>Hours per Response</w:t>
            </w:r>
          </w:p>
        </w:tc>
        <w:tc>
          <w:tcPr>
            <w:tcW w:w="1472" w:type="dxa"/>
            <w:shd w:val="clear" w:color="auto" w:fill="auto"/>
            <w:vAlign w:val="bottom"/>
          </w:tcPr>
          <w:p w:rsidR="004061C8" w:rsidRPr="00E95E1F" w:rsidP="00C9330E" w14:paraId="1B4B018C" w14:textId="77777777">
            <w:pPr>
              <w:keepNext/>
              <w:keepLines/>
              <w:numPr>
                <w:ilvl w:val="12"/>
                <w:numId w:val="0"/>
              </w:numPr>
              <w:jc w:val="center"/>
              <w:rPr>
                <w:b/>
                <w:sz w:val="20"/>
                <w:szCs w:val="20"/>
              </w:rPr>
            </w:pPr>
            <w:r w:rsidRPr="00E95E1F">
              <w:rPr>
                <w:b/>
                <w:sz w:val="20"/>
                <w:szCs w:val="20"/>
              </w:rPr>
              <w:t>Total Burden</w:t>
            </w:r>
          </w:p>
        </w:tc>
      </w:tr>
      <w:tr w14:paraId="4BF14A37" w14:textId="77777777" w:rsidTr="009A5721">
        <w:tblPrEx>
          <w:tblW w:w="9247" w:type="dxa"/>
          <w:tblInd w:w="468" w:type="dxa"/>
          <w:tblLook w:val="04A0"/>
        </w:tblPrEx>
        <w:tc>
          <w:tcPr>
            <w:tcW w:w="1187" w:type="dxa"/>
            <w:shd w:val="clear" w:color="auto" w:fill="auto"/>
            <w:vAlign w:val="bottom"/>
          </w:tcPr>
          <w:p w:rsidR="004061C8" w:rsidRPr="00E95E1F" w:rsidP="00C9330E" w14:paraId="076AFEA3" w14:textId="4908B738">
            <w:pPr>
              <w:keepNext/>
              <w:keepLines/>
              <w:numPr>
                <w:ilvl w:val="12"/>
                <w:numId w:val="0"/>
              </w:numPr>
              <w:jc w:val="center"/>
              <w:rPr>
                <w:sz w:val="20"/>
                <w:szCs w:val="20"/>
              </w:rPr>
            </w:pPr>
            <w:r w:rsidRPr="00E95E1F">
              <w:rPr>
                <w:sz w:val="20"/>
                <w:szCs w:val="20"/>
              </w:rPr>
              <w:t xml:space="preserve">IRC </w:t>
            </w:r>
            <w:r w:rsidRPr="00E95E1F" w:rsidR="00B51B8D">
              <w:rPr>
                <w:sz w:val="20"/>
                <w:szCs w:val="20"/>
              </w:rPr>
              <w:t>6050H</w:t>
            </w:r>
          </w:p>
        </w:tc>
        <w:tc>
          <w:tcPr>
            <w:tcW w:w="1353" w:type="dxa"/>
            <w:vAlign w:val="bottom"/>
          </w:tcPr>
          <w:p w:rsidR="004061C8" w:rsidRPr="00E95E1F" w:rsidP="00C9330E" w14:paraId="2EB75C5A" w14:textId="7EA30A3E">
            <w:pPr>
              <w:keepNext/>
              <w:keepLines/>
              <w:numPr>
                <w:ilvl w:val="12"/>
                <w:numId w:val="0"/>
              </w:numPr>
              <w:jc w:val="center"/>
              <w:rPr>
                <w:sz w:val="20"/>
                <w:szCs w:val="20"/>
              </w:rPr>
            </w:pPr>
            <w:r w:rsidRPr="00E95E1F">
              <w:rPr>
                <w:sz w:val="20"/>
                <w:szCs w:val="20"/>
              </w:rPr>
              <w:t>TD 8571</w:t>
            </w:r>
          </w:p>
        </w:tc>
        <w:tc>
          <w:tcPr>
            <w:tcW w:w="1468" w:type="dxa"/>
            <w:vAlign w:val="bottom"/>
          </w:tcPr>
          <w:p w:rsidR="004061C8" w:rsidRPr="00E95E1F" w:rsidP="00C9330E" w14:paraId="4B5EB7D2" w14:textId="2E95F7C1">
            <w:pPr>
              <w:keepNext/>
              <w:keepLines/>
              <w:numPr>
                <w:ilvl w:val="12"/>
                <w:numId w:val="0"/>
              </w:numPr>
              <w:jc w:val="center"/>
              <w:rPr>
                <w:sz w:val="20"/>
                <w:szCs w:val="20"/>
              </w:rPr>
            </w:pPr>
            <w:r w:rsidRPr="00E95E1F">
              <w:rPr>
                <w:sz w:val="20"/>
                <w:szCs w:val="20"/>
              </w:rPr>
              <w:t>37,644</w:t>
            </w:r>
          </w:p>
        </w:tc>
        <w:tc>
          <w:tcPr>
            <w:tcW w:w="1379" w:type="dxa"/>
            <w:vAlign w:val="bottom"/>
          </w:tcPr>
          <w:p w:rsidR="004061C8" w:rsidRPr="00E95E1F" w:rsidP="00C9330E" w14:paraId="0BBEC5F0" w14:textId="59DE4E13">
            <w:pPr>
              <w:keepNext/>
              <w:keepLines/>
              <w:numPr>
                <w:ilvl w:val="12"/>
                <w:numId w:val="0"/>
              </w:numPr>
              <w:jc w:val="center"/>
              <w:rPr>
                <w:sz w:val="20"/>
                <w:szCs w:val="20"/>
              </w:rPr>
            </w:pPr>
            <w:r w:rsidRPr="00E95E1F">
              <w:rPr>
                <w:sz w:val="20"/>
                <w:szCs w:val="20"/>
              </w:rPr>
              <w:t>33.38008</w:t>
            </w:r>
          </w:p>
        </w:tc>
        <w:tc>
          <w:tcPr>
            <w:tcW w:w="1251" w:type="dxa"/>
            <w:shd w:val="clear" w:color="auto" w:fill="auto"/>
            <w:vAlign w:val="bottom"/>
          </w:tcPr>
          <w:p w:rsidR="004061C8" w:rsidRPr="00E95E1F" w:rsidP="00C9330E" w14:paraId="30BC4914" w14:textId="10A9CD41">
            <w:pPr>
              <w:keepNext/>
              <w:keepLines/>
              <w:numPr>
                <w:ilvl w:val="12"/>
                <w:numId w:val="0"/>
              </w:numPr>
              <w:jc w:val="center"/>
              <w:rPr>
                <w:sz w:val="20"/>
                <w:szCs w:val="20"/>
              </w:rPr>
            </w:pPr>
            <w:r w:rsidRPr="00E95E1F">
              <w:rPr>
                <w:sz w:val="20"/>
                <w:szCs w:val="20"/>
              </w:rPr>
              <w:t>1,256,560</w:t>
            </w:r>
          </w:p>
        </w:tc>
        <w:tc>
          <w:tcPr>
            <w:tcW w:w="1137" w:type="dxa"/>
            <w:vAlign w:val="bottom"/>
          </w:tcPr>
          <w:p w:rsidR="004061C8" w:rsidRPr="00E95E1F" w:rsidP="00C9330E" w14:paraId="424C4348" w14:textId="7C6728F5">
            <w:pPr>
              <w:keepNext/>
              <w:keepLines/>
              <w:numPr>
                <w:ilvl w:val="12"/>
                <w:numId w:val="0"/>
              </w:numPr>
              <w:jc w:val="center"/>
              <w:rPr>
                <w:bCs/>
                <w:sz w:val="20"/>
                <w:szCs w:val="20"/>
              </w:rPr>
            </w:pPr>
            <w:r w:rsidRPr="00E95E1F">
              <w:rPr>
                <w:bCs/>
                <w:sz w:val="20"/>
                <w:szCs w:val="20"/>
              </w:rPr>
              <w:t>.23</w:t>
            </w:r>
          </w:p>
        </w:tc>
        <w:tc>
          <w:tcPr>
            <w:tcW w:w="1472" w:type="dxa"/>
            <w:shd w:val="clear" w:color="auto" w:fill="auto"/>
            <w:vAlign w:val="bottom"/>
          </w:tcPr>
          <w:p w:rsidR="004061C8" w:rsidRPr="00E95E1F" w:rsidP="00C9330E" w14:paraId="02BDF1C8" w14:textId="6529E065">
            <w:pPr>
              <w:keepNext/>
              <w:keepLines/>
              <w:numPr>
                <w:ilvl w:val="12"/>
                <w:numId w:val="0"/>
              </w:numPr>
              <w:jc w:val="center"/>
              <w:rPr>
                <w:sz w:val="20"/>
                <w:szCs w:val="20"/>
              </w:rPr>
            </w:pPr>
            <w:r>
              <w:rPr>
                <w:sz w:val="20"/>
                <w:szCs w:val="20"/>
              </w:rPr>
              <w:t xml:space="preserve">     </w:t>
            </w:r>
            <w:r w:rsidRPr="00E95E1F" w:rsidR="00B51B8D">
              <w:rPr>
                <w:sz w:val="20"/>
                <w:szCs w:val="20"/>
              </w:rPr>
              <w:t>283,056</w:t>
            </w:r>
          </w:p>
        </w:tc>
      </w:tr>
      <w:tr w14:paraId="7347C269" w14:textId="77777777" w:rsidTr="009A5721">
        <w:tblPrEx>
          <w:tblW w:w="9247" w:type="dxa"/>
          <w:tblInd w:w="468" w:type="dxa"/>
          <w:tblLook w:val="04A0"/>
        </w:tblPrEx>
        <w:trPr>
          <w:trHeight w:val="58"/>
        </w:trPr>
        <w:tc>
          <w:tcPr>
            <w:tcW w:w="1187" w:type="dxa"/>
            <w:shd w:val="clear" w:color="auto" w:fill="auto"/>
            <w:vAlign w:val="bottom"/>
          </w:tcPr>
          <w:p w:rsidR="004061C8" w:rsidRPr="00E95E1F" w:rsidP="00C9330E" w14:paraId="02B9018B" w14:textId="1C823BCE">
            <w:pPr>
              <w:keepNext/>
              <w:keepLines/>
              <w:numPr>
                <w:ilvl w:val="12"/>
                <w:numId w:val="0"/>
              </w:numPr>
              <w:jc w:val="center"/>
              <w:rPr>
                <w:sz w:val="20"/>
                <w:szCs w:val="20"/>
              </w:rPr>
            </w:pPr>
          </w:p>
        </w:tc>
        <w:tc>
          <w:tcPr>
            <w:tcW w:w="1353" w:type="dxa"/>
            <w:vAlign w:val="bottom"/>
          </w:tcPr>
          <w:p w:rsidR="004061C8" w:rsidRPr="00E95E1F" w:rsidP="00C9330E" w14:paraId="0E7CE8A6" w14:textId="2C5E11F6">
            <w:pPr>
              <w:keepNext/>
              <w:keepLines/>
              <w:numPr>
                <w:ilvl w:val="12"/>
                <w:numId w:val="0"/>
              </w:numPr>
              <w:jc w:val="center"/>
              <w:rPr>
                <w:sz w:val="20"/>
                <w:szCs w:val="20"/>
              </w:rPr>
            </w:pPr>
            <w:r w:rsidRPr="00E95E1F">
              <w:rPr>
                <w:sz w:val="20"/>
                <w:szCs w:val="20"/>
              </w:rPr>
              <w:t>Form 1098</w:t>
            </w:r>
          </w:p>
        </w:tc>
        <w:tc>
          <w:tcPr>
            <w:tcW w:w="1468" w:type="dxa"/>
            <w:vAlign w:val="bottom"/>
          </w:tcPr>
          <w:p w:rsidR="004061C8" w:rsidRPr="00E95E1F" w:rsidP="00C9330E" w14:paraId="68F5CFCB" w14:textId="1EAB5E5C">
            <w:pPr>
              <w:keepNext/>
              <w:keepLines/>
              <w:numPr>
                <w:ilvl w:val="12"/>
                <w:numId w:val="0"/>
              </w:numPr>
              <w:jc w:val="center"/>
              <w:rPr>
                <w:sz w:val="20"/>
                <w:szCs w:val="20"/>
              </w:rPr>
            </w:pPr>
            <w:r w:rsidRPr="00E95E1F">
              <w:rPr>
                <w:sz w:val="20"/>
                <w:szCs w:val="20"/>
              </w:rPr>
              <w:t>96,102,400</w:t>
            </w:r>
          </w:p>
        </w:tc>
        <w:tc>
          <w:tcPr>
            <w:tcW w:w="1379" w:type="dxa"/>
            <w:vAlign w:val="bottom"/>
          </w:tcPr>
          <w:p w:rsidR="004061C8" w:rsidRPr="00E95E1F" w:rsidP="00C9330E" w14:paraId="39318506" w14:textId="1E1627A3">
            <w:pPr>
              <w:keepNext/>
              <w:keepLines/>
              <w:numPr>
                <w:ilvl w:val="12"/>
                <w:numId w:val="0"/>
              </w:numPr>
              <w:jc w:val="center"/>
              <w:rPr>
                <w:sz w:val="20"/>
                <w:szCs w:val="20"/>
              </w:rPr>
            </w:pPr>
            <w:r w:rsidRPr="00E95E1F">
              <w:rPr>
                <w:sz w:val="20"/>
                <w:szCs w:val="20"/>
              </w:rPr>
              <w:t>1</w:t>
            </w:r>
          </w:p>
        </w:tc>
        <w:tc>
          <w:tcPr>
            <w:tcW w:w="1251" w:type="dxa"/>
            <w:shd w:val="clear" w:color="auto" w:fill="auto"/>
            <w:vAlign w:val="bottom"/>
          </w:tcPr>
          <w:p w:rsidR="004061C8" w:rsidRPr="00E95E1F" w:rsidP="00C9330E" w14:paraId="3BC90EB2" w14:textId="525963EB">
            <w:pPr>
              <w:keepNext/>
              <w:keepLines/>
              <w:numPr>
                <w:ilvl w:val="12"/>
                <w:numId w:val="0"/>
              </w:numPr>
              <w:jc w:val="center"/>
              <w:rPr>
                <w:sz w:val="20"/>
                <w:szCs w:val="20"/>
              </w:rPr>
            </w:pPr>
            <w:r w:rsidRPr="00E95E1F">
              <w:rPr>
                <w:sz w:val="20"/>
                <w:szCs w:val="20"/>
              </w:rPr>
              <w:t>96,102,400</w:t>
            </w:r>
          </w:p>
        </w:tc>
        <w:tc>
          <w:tcPr>
            <w:tcW w:w="1137" w:type="dxa"/>
            <w:vAlign w:val="bottom"/>
          </w:tcPr>
          <w:p w:rsidR="004061C8" w:rsidRPr="00E95E1F" w:rsidP="00C9330E" w14:paraId="2B45A280" w14:textId="0200B3F8">
            <w:pPr>
              <w:keepNext/>
              <w:keepLines/>
              <w:numPr>
                <w:ilvl w:val="12"/>
                <w:numId w:val="0"/>
              </w:numPr>
              <w:jc w:val="center"/>
              <w:rPr>
                <w:sz w:val="20"/>
                <w:szCs w:val="20"/>
              </w:rPr>
            </w:pPr>
            <w:r w:rsidRPr="00E95E1F">
              <w:rPr>
                <w:sz w:val="20"/>
                <w:szCs w:val="20"/>
              </w:rPr>
              <w:t>.25</w:t>
            </w:r>
          </w:p>
        </w:tc>
        <w:tc>
          <w:tcPr>
            <w:tcW w:w="1472" w:type="dxa"/>
            <w:shd w:val="clear" w:color="auto" w:fill="auto"/>
            <w:vAlign w:val="bottom"/>
          </w:tcPr>
          <w:p w:rsidR="004061C8" w:rsidRPr="00E95E1F" w:rsidP="00C9330E" w14:paraId="2977C831" w14:textId="6BE1D057">
            <w:pPr>
              <w:keepNext/>
              <w:keepLines/>
              <w:numPr>
                <w:ilvl w:val="12"/>
                <w:numId w:val="0"/>
              </w:numPr>
              <w:jc w:val="center"/>
              <w:rPr>
                <w:sz w:val="20"/>
                <w:szCs w:val="20"/>
              </w:rPr>
            </w:pPr>
            <w:r w:rsidRPr="00E95E1F">
              <w:rPr>
                <w:sz w:val="20"/>
                <w:szCs w:val="20"/>
              </w:rPr>
              <w:t>24,0</w:t>
            </w:r>
            <w:r w:rsidR="00A80BC9">
              <w:rPr>
                <w:sz w:val="20"/>
                <w:szCs w:val="20"/>
              </w:rPr>
              <w:t>2</w:t>
            </w:r>
            <w:r w:rsidRPr="00E95E1F">
              <w:rPr>
                <w:sz w:val="20"/>
                <w:szCs w:val="20"/>
              </w:rPr>
              <w:t>5,600</w:t>
            </w:r>
          </w:p>
        </w:tc>
      </w:tr>
      <w:tr w14:paraId="36C58CC6" w14:textId="77777777" w:rsidTr="009A5721">
        <w:tblPrEx>
          <w:tblW w:w="9247" w:type="dxa"/>
          <w:tblInd w:w="468" w:type="dxa"/>
          <w:tblLook w:val="04A0"/>
        </w:tblPrEx>
        <w:trPr>
          <w:trHeight w:val="58"/>
        </w:trPr>
        <w:tc>
          <w:tcPr>
            <w:tcW w:w="1187" w:type="dxa"/>
            <w:shd w:val="clear" w:color="auto" w:fill="auto"/>
            <w:vAlign w:val="bottom"/>
          </w:tcPr>
          <w:p w:rsidR="00B51B8D" w:rsidRPr="00E95E1F" w:rsidP="00C9330E" w14:paraId="3D64F6DA" w14:textId="0594886C">
            <w:pPr>
              <w:keepNext/>
              <w:keepLines/>
              <w:numPr>
                <w:ilvl w:val="12"/>
                <w:numId w:val="0"/>
              </w:numPr>
              <w:jc w:val="center"/>
              <w:rPr>
                <w:sz w:val="20"/>
                <w:szCs w:val="20"/>
              </w:rPr>
            </w:pPr>
            <w:r w:rsidRPr="00E95E1F">
              <w:rPr>
                <w:sz w:val="20"/>
                <w:szCs w:val="20"/>
              </w:rPr>
              <w:t>Total</w:t>
            </w:r>
          </w:p>
        </w:tc>
        <w:tc>
          <w:tcPr>
            <w:tcW w:w="1353" w:type="dxa"/>
            <w:vAlign w:val="bottom"/>
          </w:tcPr>
          <w:p w:rsidR="00B51B8D" w:rsidRPr="00E95E1F" w:rsidP="00C9330E" w14:paraId="655EE73A" w14:textId="77777777">
            <w:pPr>
              <w:keepNext/>
              <w:keepLines/>
              <w:numPr>
                <w:ilvl w:val="12"/>
                <w:numId w:val="0"/>
              </w:numPr>
              <w:jc w:val="center"/>
              <w:rPr>
                <w:sz w:val="20"/>
                <w:szCs w:val="20"/>
              </w:rPr>
            </w:pPr>
          </w:p>
        </w:tc>
        <w:tc>
          <w:tcPr>
            <w:tcW w:w="1468" w:type="dxa"/>
            <w:vAlign w:val="bottom"/>
          </w:tcPr>
          <w:p w:rsidR="00B51B8D" w:rsidRPr="00E95E1F" w:rsidP="00C9330E" w14:paraId="04D99AB4" w14:textId="77777777">
            <w:pPr>
              <w:keepNext/>
              <w:keepLines/>
              <w:numPr>
                <w:ilvl w:val="12"/>
                <w:numId w:val="0"/>
              </w:numPr>
              <w:jc w:val="center"/>
              <w:rPr>
                <w:sz w:val="20"/>
                <w:szCs w:val="20"/>
              </w:rPr>
            </w:pPr>
          </w:p>
        </w:tc>
        <w:tc>
          <w:tcPr>
            <w:tcW w:w="1379" w:type="dxa"/>
            <w:vAlign w:val="bottom"/>
          </w:tcPr>
          <w:p w:rsidR="00B51B8D" w:rsidRPr="00E95E1F" w:rsidP="00C9330E" w14:paraId="2B109DD2" w14:textId="77777777">
            <w:pPr>
              <w:keepNext/>
              <w:keepLines/>
              <w:numPr>
                <w:ilvl w:val="12"/>
                <w:numId w:val="0"/>
              </w:numPr>
              <w:jc w:val="center"/>
              <w:rPr>
                <w:sz w:val="20"/>
                <w:szCs w:val="20"/>
              </w:rPr>
            </w:pPr>
          </w:p>
        </w:tc>
        <w:tc>
          <w:tcPr>
            <w:tcW w:w="1251" w:type="dxa"/>
            <w:shd w:val="clear" w:color="auto" w:fill="auto"/>
            <w:vAlign w:val="bottom"/>
          </w:tcPr>
          <w:p w:rsidR="00B51B8D" w:rsidRPr="00E95E1F" w:rsidP="00C9330E" w14:paraId="37833E22" w14:textId="28B5F119">
            <w:pPr>
              <w:keepNext/>
              <w:keepLines/>
              <w:numPr>
                <w:ilvl w:val="12"/>
                <w:numId w:val="0"/>
              </w:numPr>
              <w:jc w:val="center"/>
              <w:rPr>
                <w:sz w:val="20"/>
                <w:szCs w:val="20"/>
              </w:rPr>
            </w:pPr>
            <w:r w:rsidRPr="00E95E1F">
              <w:rPr>
                <w:sz w:val="20"/>
                <w:szCs w:val="20"/>
              </w:rPr>
              <w:t>97,358,960</w:t>
            </w:r>
          </w:p>
        </w:tc>
        <w:tc>
          <w:tcPr>
            <w:tcW w:w="1137" w:type="dxa"/>
            <w:vAlign w:val="bottom"/>
          </w:tcPr>
          <w:p w:rsidR="00B51B8D" w:rsidRPr="00E95E1F" w:rsidP="00C9330E" w14:paraId="40F364B6" w14:textId="77777777">
            <w:pPr>
              <w:keepNext/>
              <w:keepLines/>
              <w:numPr>
                <w:ilvl w:val="12"/>
                <w:numId w:val="0"/>
              </w:numPr>
              <w:jc w:val="center"/>
              <w:rPr>
                <w:sz w:val="20"/>
                <w:szCs w:val="20"/>
              </w:rPr>
            </w:pPr>
          </w:p>
        </w:tc>
        <w:tc>
          <w:tcPr>
            <w:tcW w:w="1472" w:type="dxa"/>
            <w:shd w:val="clear" w:color="auto" w:fill="auto"/>
            <w:vAlign w:val="bottom"/>
          </w:tcPr>
          <w:p w:rsidR="00B51B8D" w:rsidRPr="00E95E1F" w:rsidP="00C9330E" w14:paraId="546B6319" w14:textId="18D426F4">
            <w:pPr>
              <w:keepNext/>
              <w:keepLines/>
              <w:numPr>
                <w:ilvl w:val="12"/>
                <w:numId w:val="0"/>
              </w:numPr>
              <w:jc w:val="center"/>
              <w:rPr>
                <w:sz w:val="20"/>
                <w:szCs w:val="20"/>
              </w:rPr>
            </w:pPr>
            <w:r w:rsidRPr="00E95E1F">
              <w:rPr>
                <w:sz w:val="20"/>
                <w:szCs w:val="20"/>
              </w:rPr>
              <w:t>24,3</w:t>
            </w:r>
            <w:r w:rsidR="00A80BC9">
              <w:rPr>
                <w:sz w:val="20"/>
                <w:szCs w:val="20"/>
              </w:rPr>
              <w:t>0</w:t>
            </w:r>
            <w:r w:rsidRPr="00E95E1F">
              <w:rPr>
                <w:sz w:val="20"/>
                <w:szCs w:val="20"/>
              </w:rPr>
              <w:t>8,656</w:t>
            </w:r>
          </w:p>
        </w:tc>
      </w:tr>
      <w:bookmarkEnd w:id="0"/>
    </w:tbl>
    <w:p w:rsidR="005B34C0" w:rsidRPr="00905D8C" w14:paraId="22FA2258" w14:textId="77777777"/>
    <w:p w:rsidR="005B34C0" w:rsidRPr="00905D8C" w:rsidP="005D1308" w14:paraId="71044888" w14:textId="108DF068">
      <w:pPr>
        <w:ind w:firstLine="720"/>
      </w:pPr>
      <w:r w:rsidRPr="00905D8C">
        <w:t>The following regulations impose no additional burden:</w:t>
      </w:r>
    </w:p>
    <w:p w:rsidR="005B34C0" w:rsidRPr="00905D8C" w14:paraId="4C5F7CF2" w14:textId="77777777"/>
    <w:p w:rsidR="00B51B8D" w:rsidP="00B51B8D" w14:paraId="3F2703E9" w14:textId="77777777">
      <w:pPr>
        <w:ind w:left="720"/>
      </w:pPr>
      <w:r w:rsidRPr="00905D8C">
        <w:t xml:space="preserve">          1.60</w:t>
      </w:r>
      <w:r>
        <w:t>50H-1</w:t>
      </w:r>
      <w:r w:rsidRPr="00905D8C">
        <w:t xml:space="preserve">              1.6</w:t>
      </w:r>
      <w:r>
        <w:t>050H-2</w:t>
      </w:r>
    </w:p>
    <w:p w:rsidR="005B34C0" w:rsidRPr="00905D8C" w:rsidP="00B51B8D" w14:paraId="329BDE1B" w14:textId="0C4E9E99">
      <w:pPr>
        <w:ind w:left="720"/>
      </w:pPr>
      <w:r w:rsidRPr="00905D8C">
        <w:t xml:space="preserve">         </w:t>
      </w:r>
    </w:p>
    <w:p w:rsidR="005B34C0" w:rsidP="00945E07" w14:paraId="20A46DFA" w14:textId="77777777">
      <w:pPr>
        <w:ind w:left="720"/>
      </w:pPr>
      <w:r w:rsidRPr="00905D8C">
        <w:t xml:space="preserve">We have reviewed these regulations and have determined that the reporting requirements contained in them are entirely reflected on form.  </w:t>
      </w:r>
    </w:p>
    <w:p w:rsidR="005B2F8F" w:rsidRPr="00905D8C" w14:paraId="5F1BE430" w14:textId="77777777">
      <w:pPr>
        <w:rPr>
          <w:b/>
          <w:bCs/>
        </w:rPr>
      </w:pPr>
    </w:p>
    <w:p w:rsidR="005B34C0" w:rsidRPr="00905D8C" w14:paraId="4C0DF382" w14:textId="77777777">
      <w:pPr>
        <w:rPr>
          <w:bCs/>
        </w:rPr>
      </w:pPr>
      <w:r w:rsidRPr="00905D8C">
        <w:rPr>
          <w:bCs/>
        </w:rPr>
        <w:t xml:space="preserve">13. </w:t>
      </w:r>
      <w:r w:rsidR="00853DBE">
        <w:rPr>
          <w:bCs/>
        </w:rPr>
        <w:t xml:space="preserve"> </w:t>
      </w:r>
      <w:r w:rsidRPr="00905D8C">
        <w:rPr>
          <w:bCs/>
        </w:rPr>
        <w:t xml:space="preserve"> </w:t>
      </w:r>
      <w:r w:rsidRPr="00905D8C">
        <w:rPr>
          <w:bCs/>
          <w:u w:val="single"/>
        </w:rPr>
        <w:t>ESTIMATED TOTAL ANNUAL COST BURDEN TO RESPONDENTS</w:t>
      </w:r>
    </w:p>
    <w:p w:rsidR="005B34C0" w:rsidRPr="00905D8C" w14:paraId="4E43958C" w14:textId="77777777"/>
    <w:p w:rsidR="00945E07" w:rsidRPr="00905D8C" w:rsidP="003A0AF5" w14:paraId="7E804E4A" w14:textId="6BB358E8">
      <w:pPr>
        <w:tabs>
          <w:tab w:val="left" w:pos="-1440"/>
        </w:tabs>
        <w:ind w:left="720"/>
      </w:pPr>
      <w:r w:rsidRPr="00945E07">
        <w:t>F</w:t>
      </w:r>
      <w:r w:rsidR="003A0AF5">
        <w:t>r</w:t>
      </w:r>
      <w:r w:rsidRPr="00945E07">
        <w:t xml:space="preserve">om our Federal Register notice dated </w:t>
      </w:r>
      <w:r w:rsidR="00E95E1F">
        <w:t>March 14, 2023</w:t>
      </w:r>
      <w:r w:rsidRPr="00945E07">
        <w:t>, no public comments were received on the estimates of cost burden that are not captured in the estimates of burden hours, i.e., estimates of capital or start-up costs and costs of operation, maintenance, and purchase of services to provide information.  As a result, estimates of these cost burdens are not available currently.</w:t>
      </w:r>
      <w:r w:rsidRPr="00905D8C" w:rsidR="005B34C0">
        <w:t xml:space="preserve"> </w:t>
      </w:r>
      <w:r w:rsidRPr="00905D8C" w:rsidR="005B34C0">
        <w:tab/>
      </w:r>
    </w:p>
    <w:p w:rsidR="0068366E" w:rsidP="0068366E" w14:paraId="1B485E8D" w14:textId="1FEA55BD">
      <w:pPr>
        <w:tabs>
          <w:tab w:val="left" w:pos="-1440"/>
        </w:tabs>
        <w:ind w:left="720" w:hanging="720"/>
      </w:pPr>
    </w:p>
    <w:p w:rsidR="008119B7" w:rsidRPr="00905D8C" w:rsidP="0068366E" w14:paraId="7BE80091" w14:textId="77777777">
      <w:pPr>
        <w:tabs>
          <w:tab w:val="left" w:pos="-1440"/>
        </w:tabs>
        <w:ind w:left="720" w:hanging="720"/>
      </w:pPr>
    </w:p>
    <w:p w:rsidR="005B34C0" w:rsidRPr="00905D8C" w14:paraId="42600FD4" w14:textId="77777777">
      <w:pPr>
        <w:rPr>
          <w:bCs/>
        </w:rPr>
      </w:pPr>
      <w:r w:rsidRPr="00905D8C">
        <w:rPr>
          <w:bCs/>
        </w:rPr>
        <w:t xml:space="preserve">14. </w:t>
      </w:r>
      <w:r w:rsidR="00853DBE">
        <w:rPr>
          <w:bCs/>
        </w:rPr>
        <w:t xml:space="preserve">  </w:t>
      </w:r>
      <w:r w:rsidRPr="00905D8C">
        <w:rPr>
          <w:bCs/>
          <w:u w:val="single"/>
        </w:rPr>
        <w:t>ESTIMATED ANNUALIZED COST TO THE FEDERAL GOVERNMENT</w:t>
      </w:r>
    </w:p>
    <w:p w:rsidR="005B34C0" w:rsidRPr="00905D8C" w14:paraId="7A4C123A" w14:textId="77777777"/>
    <w:p w:rsidR="00A479C0" w:rsidRPr="00905D8C" w:rsidP="00A479C0" w14:paraId="53642F95" w14:textId="56B242C5">
      <w:pPr>
        <w:ind w:left="720"/>
      </w:pPr>
      <w:r w:rsidRPr="00905D8C">
        <w:t xml:space="preserve">The estimated annualized cost to the Federal Government is based on a model that considers the following three factors for each information product:  aggregate labor costs for development, including annualized start-up expenses, operating and maintenance expenses, and distribution of the product that collects the information.  </w:t>
      </w:r>
    </w:p>
    <w:p w:rsidR="00A479C0" w:rsidRPr="00905D8C" w:rsidP="00A479C0" w14:paraId="4582525A" w14:textId="77777777">
      <w:pPr>
        <w:ind w:left="720"/>
      </w:pPr>
    </w:p>
    <w:p w:rsidR="00A479C0" w:rsidRPr="00905D8C" w:rsidP="00A479C0" w14:paraId="339E1DC3" w14:textId="104DEE18">
      <w:pPr>
        <w:ind w:left="720"/>
      </w:pPr>
      <w:r w:rsidRPr="00905D8C">
        <w:t xml:space="preserve">The government computes cost using a multi-step process.  First, the government creates a weighted factor for the level of effort to create each information collection product based on variables such </w:t>
      </w:r>
      <w:r w:rsidRPr="00905D8C" w:rsidR="003A0AF5">
        <w:t>as</w:t>
      </w:r>
      <w:r w:rsidRPr="00905D8C">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r w:rsidRPr="00905D8C" w:rsidR="003A0AF5">
        <w:t>libraries,</w:t>
      </w:r>
      <w:r w:rsidRPr="00905D8C">
        <w:t xml:space="preserve"> and other outlets. The result is the Federal Government estimated annualized cost per product.</w:t>
      </w:r>
    </w:p>
    <w:p w:rsidR="00A479C0" w:rsidRPr="00905D8C" w:rsidP="00A479C0" w14:paraId="53E89E3A" w14:textId="77777777">
      <w:pPr>
        <w:ind w:left="720"/>
      </w:pPr>
    </w:p>
    <w:p w:rsidR="00A479C0" w:rsidRPr="00905D8C" w:rsidP="00A479C0" w14:paraId="1E0AEF7D" w14:textId="77777777">
      <w:pPr>
        <w:ind w:left="720"/>
      </w:pPr>
      <w:r w:rsidRPr="00905D8C">
        <w:t>The Federal Government estimated annualized cost is as follows:</w:t>
      </w:r>
    </w:p>
    <w:p w:rsidR="00342050" w:rsidRPr="00905D8C" w14:paraId="24924EC7" w14:textId="77777777">
      <w:pPr>
        <w:ind w:left="720" w:hanging="720"/>
      </w:pPr>
    </w:p>
    <w:tbl>
      <w:tblPr>
        <w:tblW w:w="8910" w:type="dxa"/>
        <w:tblInd w:w="800" w:type="dxa"/>
        <w:tblCellMar>
          <w:left w:w="0" w:type="dxa"/>
          <w:right w:w="0" w:type="dxa"/>
        </w:tblCellMar>
        <w:tblLook w:val="04A0"/>
      </w:tblPr>
      <w:tblGrid>
        <w:gridCol w:w="1620"/>
        <w:gridCol w:w="1975"/>
        <w:gridCol w:w="444"/>
        <w:gridCol w:w="1853"/>
        <w:gridCol w:w="614"/>
        <w:gridCol w:w="2404"/>
      </w:tblGrid>
      <w:tr w14:paraId="25933AB1" w14:textId="77777777" w:rsidTr="004E19E0">
        <w:tblPrEx>
          <w:tblW w:w="8910" w:type="dxa"/>
          <w:tblInd w:w="800" w:type="dxa"/>
          <w:tblCellMar>
            <w:left w:w="0" w:type="dxa"/>
            <w:right w:w="0" w:type="dxa"/>
          </w:tblCellMar>
          <w:tblLook w:val="04A0"/>
        </w:tblPrEx>
        <w:tc>
          <w:tcPr>
            <w:tcW w:w="1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342050" w:rsidRPr="00E95E1F" w:rsidP="00C9330E" w14:paraId="1BE4DCE5" w14:textId="77777777">
            <w:pPr>
              <w:keepNext/>
              <w:jc w:val="center"/>
              <w:rPr>
                <w:bCs/>
                <w:sz w:val="20"/>
                <w:szCs w:val="20"/>
                <w:u w:val="single"/>
              </w:rPr>
            </w:pPr>
            <w:r w:rsidRPr="00E95E1F">
              <w:rPr>
                <w:bCs/>
                <w:sz w:val="20"/>
                <w:szCs w:val="20"/>
                <w:u w:val="single"/>
              </w:rPr>
              <w:t>Product</w:t>
            </w:r>
          </w:p>
        </w:tc>
        <w:tc>
          <w:tcPr>
            <w:tcW w:w="19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42050" w:rsidRPr="00E95E1F" w:rsidP="00C9330E" w14:paraId="35FB044D" w14:textId="77777777">
            <w:pPr>
              <w:keepNext/>
              <w:jc w:val="center"/>
              <w:rPr>
                <w:bCs/>
                <w:sz w:val="20"/>
                <w:szCs w:val="20"/>
                <w:u w:val="single"/>
              </w:rPr>
            </w:pPr>
            <w:r w:rsidRPr="00E95E1F">
              <w:rPr>
                <w:bCs/>
                <w:sz w:val="20"/>
                <w:szCs w:val="20"/>
                <w:u w:val="single"/>
              </w:rPr>
              <w:t>Aggregate Cost per Product (factor applied)</w:t>
            </w:r>
          </w:p>
        </w:tc>
        <w:tc>
          <w:tcPr>
            <w:tcW w:w="4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42050" w:rsidRPr="00E95E1F" w:rsidP="00C9330E" w14:paraId="79E0BFE8" w14:textId="77777777">
            <w:pPr>
              <w:keepNext/>
              <w:jc w:val="center"/>
              <w:rPr>
                <w:bCs/>
                <w:sz w:val="20"/>
                <w:szCs w:val="20"/>
                <w:u w:val="single"/>
              </w:rPr>
            </w:pPr>
          </w:p>
        </w:tc>
        <w:tc>
          <w:tcPr>
            <w:tcW w:w="18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42050" w:rsidRPr="00E95E1F" w:rsidP="00C9330E" w14:paraId="3E2F217D" w14:textId="77777777">
            <w:pPr>
              <w:keepNext/>
              <w:jc w:val="center"/>
              <w:rPr>
                <w:bCs/>
                <w:sz w:val="20"/>
                <w:szCs w:val="20"/>
                <w:u w:val="single"/>
              </w:rPr>
            </w:pPr>
            <w:r w:rsidRPr="00E95E1F">
              <w:rPr>
                <w:bCs/>
                <w:sz w:val="20"/>
                <w:szCs w:val="20"/>
                <w:u w:val="single"/>
              </w:rPr>
              <w:t>Printing and Distribution</w:t>
            </w:r>
          </w:p>
        </w:tc>
        <w:tc>
          <w:tcPr>
            <w:tcW w:w="6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42050" w:rsidRPr="00E95E1F" w:rsidP="00C9330E" w14:paraId="31249C24" w14:textId="77777777">
            <w:pPr>
              <w:keepNext/>
              <w:jc w:val="center"/>
              <w:rPr>
                <w:bCs/>
                <w:sz w:val="20"/>
                <w:szCs w:val="20"/>
                <w:u w:val="single"/>
              </w:rPr>
            </w:pPr>
          </w:p>
        </w:tc>
        <w:tc>
          <w:tcPr>
            <w:tcW w:w="24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42050" w:rsidRPr="00E95E1F" w:rsidP="00C9330E" w14:paraId="6486E1D9" w14:textId="77777777">
            <w:pPr>
              <w:keepNext/>
              <w:jc w:val="center"/>
              <w:rPr>
                <w:bCs/>
                <w:sz w:val="20"/>
                <w:szCs w:val="20"/>
                <w:u w:val="single"/>
              </w:rPr>
            </w:pPr>
            <w:r w:rsidRPr="00E95E1F">
              <w:rPr>
                <w:bCs/>
                <w:sz w:val="20"/>
                <w:szCs w:val="20"/>
                <w:u w:val="single"/>
              </w:rPr>
              <w:t>Government Cost Estimate per Product</w:t>
            </w:r>
          </w:p>
        </w:tc>
      </w:tr>
      <w:tr w14:paraId="19E52CAF" w14:textId="77777777" w:rsidTr="004E19E0">
        <w:tblPrEx>
          <w:tblW w:w="8910" w:type="dxa"/>
          <w:tblInd w:w="800" w:type="dxa"/>
          <w:tblCellMar>
            <w:left w:w="0" w:type="dxa"/>
            <w:right w:w="0" w:type="dxa"/>
          </w:tblCellMar>
          <w:tblLook w:val="04A0"/>
        </w:tblPrEx>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342050" w:rsidRPr="00E95E1F" w:rsidP="00C9330E" w14:paraId="1C3F719E" w14:textId="381787D2">
            <w:pPr>
              <w:keepNext/>
              <w:numPr>
                <w:ilvl w:val="12"/>
                <w:numId w:val="0"/>
              </w:numPr>
              <w:rPr>
                <w:sz w:val="20"/>
                <w:szCs w:val="20"/>
              </w:rPr>
            </w:pPr>
            <w:r w:rsidRPr="00E95E1F">
              <w:rPr>
                <w:sz w:val="20"/>
                <w:szCs w:val="20"/>
              </w:rPr>
              <w:t xml:space="preserve">Form </w:t>
            </w:r>
            <w:r w:rsidRPr="00E95E1F" w:rsidR="00B51B8D">
              <w:rPr>
                <w:sz w:val="20"/>
                <w:szCs w:val="20"/>
              </w:rPr>
              <w:t>1098</w:t>
            </w:r>
          </w:p>
        </w:tc>
        <w:tc>
          <w:tcPr>
            <w:tcW w:w="1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2050" w:rsidRPr="00E95E1F" w:rsidP="004E19E0" w14:paraId="48F681A8" w14:textId="61BD42E3">
            <w:pPr>
              <w:keepNext/>
              <w:jc w:val="center"/>
              <w:rPr>
                <w:sz w:val="20"/>
                <w:szCs w:val="20"/>
              </w:rPr>
            </w:pPr>
            <w:r w:rsidRPr="00E95E1F">
              <w:rPr>
                <w:sz w:val="20"/>
                <w:szCs w:val="20"/>
              </w:rPr>
              <w:t>$</w:t>
            </w:r>
            <w:r w:rsidRPr="00E95E1F" w:rsidR="00154D57">
              <w:rPr>
                <w:sz w:val="20"/>
                <w:szCs w:val="20"/>
              </w:rPr>
              <w:t>104,700</w:t>
            </w:r>
          </w:p>
        </w:tc>
        <w:tc>
          <w:tcPr>
            <w:tcW w:w="4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2050" w:rsidRPr="00E95E1F" w:rsidP="004E19E0" w14:paraId="33D8D9E8" w14:textId="77777777">
            <w:pPr>
              <w:keepNext/>
              <w:jc w:val="center"/>
              <w:rPr>
                <w:sz w:val="20"/>
                <w:szCs w:val="20"/>
              </w:rPr>
            </w:pPr>
            <w:r w:rsidRPr="00E95E1F">
              <w:rPr>
                <w:sz w:val="20"/>
                <w:szCs w:val="20"/>
              </w:rPr>
              <w:t>+</w:t>
            </w:r>
          </w:p>
        </w:tc>
        <w:tc>
          <w:tcPr>
            <w:tcW w:w="1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2050" w:rsidRPr="00E95E1F" w:rsidP="004E19E0" w14:paraId="212C64E3" w14:textId="26C33E22">
            <w:pPr>
              <w:keepNext/>
              <w:jc w:val="center"/>
              <w:rPr>
                <w:sz w:val="20"/>
                <w:szCs w:val="20"/>
              </w:rPr>
            </w:pPr>
            <w:r w:rsidRPr="00E95E1F">
              <w:rPr>
                <w:sz w:val="20"/>
                <w:szCs w:val="20"/>
              </w:rPr>
              <w:t>$</w:t>
            </w:r>
            <w:r w:rsidRPr="00E95E1F" w:rsidR="00154D57">
              <w:rPr>
                <w:sz w:val="20"/>
                <w:szCs w:val="20"/>
              </w:rPr>
              <w:t>8,773</w:t>
            </w:r>
          </w:p>
        </w:tc>
        <w:tc>
          <w:tcPr>
            <w:tcW w:w="6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2050" w:rsidRPr="00E95E1F" w:rsidP="004E19E0" w14:paraId="3F271681" w14:textId="77777777">
            <w:pPr>
              <w:keepNext/>
              <w:jc w:val="center"/>
              <w:rPr>
                <w:sz w:val="20"/>
                <w:szCs w:val="20"/>
              </w:rPr>
            </w:pPr>
            <w:r w:rsidRPr="00E95E1F">
              <w:rPr>
                <w:sz w:val="20"/>
                <w:szCs w:val="20"/>
              </w:rPr>
              <w:t>=</w:t>
            </w:r>
          </w:p>
        </w:tc>
        <w:tc>
          <w:tcPr>
            <w:tcW w:w="24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2050" w:rsidRPr="00E95E1F" w:rsidP="004E19E0" w14:paraId="59973BFD" w14:textId="691D8556">
            <w:pPr>
              <w:keepNext/>
              <w:jc w:val="center"/>
              <w:rPr>
                <w:sz w:val="20"/>
                <w:szCs w:val="20"/>
              </w:rPr>
            </w:pPr>
            <w:r w:rsidRPr="00E95E1F">
              <w:rPr>
                <w:sz w:val="20"/>
                <w:szCs w:val="20"/>
              </w:rPr>
              <w:t>$</w:t>
            </w:r>
            <w:r w:rsidRPr="00E95E1F" w:rsidR="00154D57">
              <w:rPr>
                <w:sz w:val="20"/>
                <w:szCs w:val="20"/>
              </w:rPr>
              <w:t>113,473</w:t>
            </w:r>
          </w:p>
        </w:tc>
      </w:tr>
      <w:tr w14:paraId="1470E063" w14:textId="77777777" w:rsidTr="004E19E0">
        <w:tblPrEx>
          <w:tblW w:w="8910" w:type="dxa"/>
          <w:tblInd w:w="800" w:type="dxa"/>
          <w:tblCellMar>
            <w:left w:w="0" w:type="dxa"/>
            <w:right w:w="0" w:type="dxa"/>
          </w:tblCellMar>
          <w:tblLook w:val="04A0"/>
        </w:tblPrEx>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342050" w:rsidRPr="00E95E1F" w:rsidP="00C9330E" w14:paraId="07EFEBE7" w14:textId="2760A684">
            <w:pPr>
              <w:keepNext/>
              <w:numPr>
                <w:ilvl w:val="12"/>
                <w:numId w:val="0"/>
              </w:numPr>
              <w:rPr>
                <w:sz w:val="20"/>
                <w:szCs w:val="20"/>
              </w:rPr>
            </w:pPr>
            <w:r w:rsidRPr="00E95E1F">
              <w:rPr>
                <w:sz w:val="20"/>
                <w:szCs w:val="20"/>
              </w:rPr>
              <w:t xml:space="preserve">Instructions </w:t>
            </w:r>
            <w:r w:rsidRPr="00E95E1F" w:rsidR="00B51B8D">
              <w:rPr>
                <w:sz w:val="20"/>
                <w:szCs w:val="20"/>
              </w:rPr>
              <w:t>1098</w:t>
            </w:r>
          </w:p>
        </w:tc>
        <w:tc>
          <w:tcPr>
            <w:tcW w:w="1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2050" w:rsidRPr="00E95E1F" w:rsidP="004E19E0" w14:paraId="1A39A47C" w14:textId="41688361">
            <w:pPr>
              <w:keepNext/>
              <w:tabs>
                <w:tab w:val="left" w:pos="890"/>
                <w:tab w:val="center" w:pos="1148"/>
              </w:tabs>
              <w:jc w:val="center"/>
              <w:rPr>
                <w:sz w:val="20"/>
                <w:szCs w:val="20"/>
              </w:rPr>
            </w:pPr>
            <w:r w:rsidRPr="00E95E1F">
              <w:rPr>
                <w:sz w:val="20"/>
                <w:szCs w:val="20"/>
              </w:rPr>
              <w:t>$</w:t>
            </w:r>
            <w:r w:rsidRPr="00E95E1F" w:rsidR="00154D57">
              <w:rPr>
                <w:sz w:val="20"/>
                <w:szCs w:val="20"/>
              </w:rPr>
              <w:t>6,544</w:t>
            </w:r>
          </w:p>
        </w:tc>
        <w:tc>
          <w:tcPr>
            <w:tcW w:w="4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2050" w:rsidRPr="00E95E1F" w:rsidP="004E19E0" w14:paraId="3067D8ED" w14:textId="77777777">
            <w:pPr>
              <w:keepNext/>
              <w:jc w:val="center"/>
              <w:rPr>
                <w:sz w:val="20"/>
                <w:szCs w:val="20"/>
              </w:rPr>
            </w:pPr>
            <w:r w:rsidRPr="00E95E1F">
              <w:rPr>
                <w:sz w:val="20"/>
                <w:szCs w:val="20"/>
              </w:rPr>
              <w:t>+</w:t>
            </w:r>
          </w:p>
        </w:tc>
        <w:tc>
          <w:tcPr>
            <w:tcW w:w="1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2050" w:rsidRPr="00E95E1F" w:rsidP="004E19E0" w14:paraId="1AF9D890" w14:textId="27DC77D2">
            <w:pPr>
              <w:keepNext/>
              <w:jc w:val="center"/>
              <w:rPr>
                <w:sz w:val="20"/>
                <w:szCs w:val="20"/>
              </w:rPr>
            </w:pPr>
            <w:r w:rsidRPr="00E95E1F">
              <w:rPr>
                <w:sz w:val="20"/>
                <w:szCs w:val="20"/>
              </w:rPr>
              <w:t>$</w:t>
            </w:r>
            <w:r w:rsidRPr="00E95E1F" w:rsidR="00154D57">
              <w:rPr>
                <w:sz w:val="20"/>
                <w:szCs w:val="20"/>
              </w:rPr>
              <w:t>2,394</w:t>
            </w:r>
          </w:p>
        </w:tc>
        <w:tc>
          <w:tcPr>
            <w:tcW w:w="6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2050" w:rsidRPr="00E95E1F" w:rsidP="004E19E0" w14:paraId="7DF5C554" w14:textId="77777777">
            <w:pPr>
              <w:keepNext/>
              <w:jc w:val="center"/>
              <w:rPr>
                <w:sz w:val="20"/>
                <w:szCs w:val="20"/>
              </w:rPr>
            </w:pPr>
            <w:r w:rsidRPr="00E95E1F">
              <w:rPr>
                <w:sz w:val="20"/>
                <w:szCs w:val="20"/>
              </w:rPr>
              <w:t>=</w:t>
            </w:r>
          </w:p>
        </w:tc>
        <w:tc>
          <w:tcPr>
            <w:tcW w:w="24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2050" w:rsidRPr="00E95E1F" w:rsidP="004E19E0" w14:paraId="58A0307C" w14:textId="38D7B1F5">
            <w:pPr>
              <w:keepNext/>
              <w:jc w:val="center"/>
              <w:rPr>
                <w:sz w:val="20"/>
                <w:szCs w:val="20"/>
              </w:rPr>
            </w:pPr>
            <w:r w:rsidRPr="00E95E1F">
              <w:rPr>
                <w:sz w:val="20"/>
                <w:szCs w:val="20"/>
              </w:rPr>
              <w:t>$</w:t>
            </w:r>
            <w:r w:rsidRPr="00E95E1F" w:rsidR="00154D57">
              <w:rPr>
                <w:sz w:val="20"/>
                <w:szCs w:val="20"/>
              </w:rPr>
              <w:t>8,938</w:t>
            </w:r>
          </w:p>
        </w:tc>
      </w:tr>
      <w:tr w14:paraId="05B40591" w14:textId="77777777" w:rsidTr="00154D57">
        <w:tblPrEx>
          <w:tblW w:w="8910" w:type="dxa"/>
          <w:tblInd w:w="800" w:type="dxa"/>
          <w:tblCellMar>
            <w:left w:w="0" w:type="dxa"/>
            <w:right w:w="0" w:type="dxa"/>
          </w:tblCellMar>
          <w:tblLook w:val="04A0"/>
        </w:tblPrEx>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2050" w:rsidRPr="00E95E1F" w:rsidP="00C9330E" w14:paraId="495CF98D" w14:textId="77777777">
            <w:pPr>
              <w:keepNext/>
              <w:rPr>
                <w:bCs/>
                <w:sz w:val="20"/>
                <w:szCs w:val="20"/>
              </w:rPr>
            </w:pPr>
            <w:r w:rsidRPr="00E95E1F">
              <w:rPr>
                <w:bCs/>
                <w:sz w:val="20"/>
                <w:szCs w:val="20"/>
              </w:rPr>
              <w:t>Grand Total</w:t>
            </w:r>
          </w:p>
        </w:tc>
        <w:tc>
          <w:tcPr>
            <w:tcW w:w="1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2050" w:rsidRPr="00E95E1F" w:rsidP="004E19E0" w14:paraId="0EDE69EC" w14:textId="3843BD29">
            <w:pPr>
              <w:keepNext/>
              <w:jc w:val="center"/>
              <w:rPr>
                <w:bCs/>
                <w:sz w:val="20"/>
                <w:szCs w:val="20"/>
              </w:rPr>
            </w:pPr>
            <w:r>
              <w:rPr>
                <w:bCs/>
                <w:sz w:val="20"/>
                <w:szCs w:val="20"/>
              </w:rPr>
              <w:t>$111,244</w:t>
            </w:r>
          </w:p>
        </w:tc>
        <w:tc>
          <w:tcPr>
            <w:tcW w:w="444" w:type="dxa"/>
            <w:tcBorders>
              <w:top w:val="nil"/>
              <w:left w:val="nil"/>
              <w:bottom w:val="single" w:sz="8" w:space="0" w:color="auto"/>
              <w:right w:val="single" w:sz="8" w:space="0" w:color="auto"/>
            </w:tcBorders>
            <w:tcMar>
              <w:top w:w="0" w:type="dxa"/>
              <w:left w:w="108" w:type="dxa"/>
              <w:bottom w:w="0" w:type="dxa"/>
              <w:right w:w="108" w:type="dxa"/>
            </w:tcMar>
            <w:vAlign w:val="center"/>
          </w:tcPr>
          <w:p w:rsidR="00342050" w:rsidRPr="00E95E1F" w:rsidP="004E19E0" w14:paraId="05923218" w14:textId="6D587A81">
            <w:pPr>
              <w:keepNext/>
              <w:jc w:val="center"/>
              <w:rPr>
                <w:bCs/>
                <w:sz w:val="20"/>
                <w:szCs w:val="20"/>
              </w:rPr>
            </w:pPr>
          </w:p>
        </w:tc>
        <w:tc>
          <w:tcPr>
            <w:tcW w:w="1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2050" w:rsidRPr="00E95E1F" w:rsidP="004E19E0" w14:paraId="54986E67" w14:textId="70AF594D">
            <w:pPr>
              <w:keepNext/>
              <w:jc w:val="center"/>
              <w:rPr>
                <w:bCs/>
                <w:sz w:val="20"/>
                <w:szCs w:val="20"/>
              </w:rPr>
            </w:pPr>
            <w:r>
              <w:rPr>
                <w:bCs/>
                <w:sz w:val="20"/>
                <w:szCs w:val="20"/>
              </w:rPr>
              <w:t>$11,167</w:t>
            </w:r>
          </w:p>
        </w:tc>
        <w:tc>
          <w:tcPr>
            <w:tcW w:w="614" w:type="dxa"/>
            <w:tcBorders>
              <w:top w:val="nil"/>
              <w:left w:val="nil"/>
              <w:bottom w:val="single" w:sz="8" w:space="0" w:color="auto"/>
              <w:right w:val="single" w:sz="8" w:space="0" w:color="auto"/>
            </w:tcBorders>
            <w:tcMar>
              <w:top w:w="0" w:type="dxa"/>
              <w:left w:w="108" w:type="dxa"/>
              <w:bottom w:w="0" w:type="dxa"/>
              <w:right w:w="108" w:type="dxa"/>
            </w:tcMar>
            <w:vAlign w:val="center"/>
          </w:tcPr>
          <w:p w:rsidR="00342050" w:rsidRPr="00E95E1F" w:rsidP="004E19E0" w14:paraId="76D03B48" w14:textId="77777777">
            <w:pPr>
              <w:keepNext/>
              <w:jc w:val="center"/>
              <w:rPr>
                <w:bCs/>
                <w:sz w:val="20"/>
                <w:szCs w:val="20"/>
              </w:rPr>
            </w:pPr>
          </w:p>
        </w:tc>
        <w:tc>
          <w:tcPr>
            <w:tcW w:w="24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2050" w:rsidRPr="00E95E1F" w:rsidP="004E19E0" w14:paraId="2D7F3F81" w14:textId="02246C54">
            <w:pPr>
              <w:keepNext/>
              <w:jc w:val="center"/>
              <w:rPr>
                <w:bCs/>
                <w:sz w:val="20"/>
                <w:szCs w:val="20"/>
              </w:rPr>
            </w:pPr>
            <w:r w:rsidRPr="00E95E1F">
              <w:rPr>
                <w:bCs/>
                <w:sz w:val="20"/>
                <w:szCs w:val="20"/>
              </w:rPr>
              <w:t>$</w:t>
            </w:r>
            <w:r w:rsidRPr="00E95E1F" w:rsidR="00154D57">
              <w:rPr>
                <w:bCs/>
                <w:sz w:val="20"/>
                <w:szCs w:val="20"/>
              </w:rPr>
              <w:t>122,411</w:t>
            </w:r>
          </w:p>
        </w:tc>
      </w:tr>
      <w:tr w14:paraId="320554EA" w14:textId="77777777" w:rsidTr="004E19E0">
        <w:tblPrEx>
          <w:tblW w:w="8910" w:type="dxa"/>
          <w:tblInd w:w="800" w:type="dxa"/>
          <w:tblCellMar>
            <w:left w:w="0" w:type="dxa"/>
            <w:right w:w="0" w:type="dxa"/>
          </w:tblCellMar>
          <w:tblLook w:val="04A0"/>
        </w:tblPrEx>
        <w:tc>
          <w:tcPr>
            <w:tcW w:w="891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2050" w:rsidRPr="00E95E1F" w:rsidP="00C9330E" w14:paraId="66464D03" w14:textId="1845E21D">
            <w:pPr>
              <w:keepNext/>
              <w:rPr>
                <w:sz w:val="20"/>
                <w:szCs w:val="20"/>
              </w:rPr>
            </w:pPr>
            <w:r w:rsidRPr="00E95E1F">
              <w:rPr>
                <w:sz w:val="20"/>
                <w:szCs w:val="20"/>
              </w:rPr>
              <w:t>Table costs are based on 20</w:t>
            </w:r>
            <w:r w:rsidRPr="00E95E1F" w:rsidR="000908E8">
              <w:rPr>
                <w:sz w:val="20"/>
                <w:szCs w:val="20"/>
              </w:rPr>
              <w:t>2</w:t>
            </w:r>
            <w:r w:rsidRPr="00E95E1F" w:rsidR="004E19E0">
              <w:rPr>
                <w:sz w:val="20"/>
                <w:szCs w:val="20"/>
              </w:rPr>
              <w:t>1</w:t>
            </w:r>
            <w:r w:rsidRPr="00E95E1F">
              <w:rPr>
                <w:sz w:val="20"/>
                <w:szCs w:val="20"/>
              </w:rPr>
              <w:t xml:space="preserve"> actuals obtained from IRS Chief Financial Office and Media and Publications</w:t>
            </w:r>
          </w:p>
        </w:tc>
      </w:tr>
    </w:tbl>
    <w:p w:rsidR="00342050" w:rsidRPr="00905D8C" w14:paraId="4DB231CD" w14:textId="77777777">
      <w:pPr>
        <w:ind w:left="720" w:hanging="720"/>
      </w:pPr>
    </w:p>
    <w:p w:rsidR="005B34C0" w:rsidRPr="00905D8C" w14:paraId="482D69CD" w14:textId="77777777">
      <w:r w:rsidRPr="00905D8C">
        <w:rPr>
          <w:bCs/>
        </w:rPr>
        <w:t xml:space="preserve">15.  </w:t>
      </w:r>
      <w:r w:rsidRPr="00905D8C">
        <w:rPr>
          <w:bCs/>
          <w:u w:val="single"/>
        </w:rPr>
        <w:t>REASONS FOR CHANGE IN BURDEN</w:t>
      </w:r>
    </w:p>
    <w:p w:rsidR="005B34C0" w:rsidRPr="00905D8C" w14:paraId="1140BFA2" w14:textId="77777777">
      <w:pPr>
        <w:ind w:left="720" w:hanging="720"/>
        <w:rPr>
          <w:b/>
          <w:bCs/>
        </w:rPr>
      </w:pPr>
      <w:r w:rsidRPr="00905D8C">
        <w:t xml:space="preserve">    </w:t>
      </w:r>
    </w:p>
    <w:p w:rsidR="00945E07" w:rsidRPr="00945E07" w:rsidP="00945E07" w14:paraId="7C045B60" w14:textId="1A592323">
      <w:pPr>
        <w:ind w:left="720"/>
      </w:pPr>
      <w:r>
        <w:t xml:space="preserve">IRS has increased the number of respondents by </w:t>
      </w:r>
      <w:r w:rsidR="00453F3B">
        <w:t xml:space="preserve">16,708,000 </w:t>
      </w:r>
      <w:r>
        <w:t>based on the projected number of filers from IRS Publication 6961.   Th</w:t>
      </w:r>
      <w:r w:rsidR="00453F3B">
        <w:t>is</w:t>
      </w:r>
      <w:r>
        <w:t xml:space="preserve"> update </w:t>
      </w:r>
      <w:r w:rsidR="00453F3B">
        <w:t xml:space="preserve">to the agency estimate has </w:t>
      </w:r>
      <w:r>
        <w:t xml:space="preserve">increased the burden </w:t>
      </w:r>
      <w:r w:rsidRPr="00945E07" w:rsidR="00C11E57">
        <w:t xml:space="preserve">by </w:t>
      </w:r>
      <w:r w:rsidR="00453F3B">
        <w:t>4,1</w:t>
      </w:r>
      <w:r w:rsidR="00EF18FE">
        <w:t>7</w:t>
      </w:r>
      <w:r w:rsidR="00453F3B">
        <w:t>7,000</w:t>
      </w:r>
      <w:r>
        <w:t xml:space="preserve"> </w:t>
      </w:r>
      <w:r w:rsidRPr="00945E07" w:rsidR="00C11E57">
        <w:t>hours</w:t>
      </w:r>
      <w:r>
        <w:t xml:space="preserve">. </w:t>
      </w:r>
      <w:r w:rsidR="005D4EB7">
        <w:tab/>
      </w:r>
    </w:p>
    <w:p w:rsidR="008119B7" w:rsidRPr="00945E07" w:rsidP="00945E07" w14:paraId="03AD7FE0" w14:textId="6B1AACF1">
      <w:pPr>
        <w:ind w:left="360"/>
      </w:pPr>
      <w:r w:rsidRPr="00945E07">
        <w:t xml:space="preserve">   </w:t>
      </w:r>
    </w:p>
    <w:tbl>
      <w:tblPr>
        <w:tblW w:w="4904" w:type="pct"/>
        <w:tblInd w:w="664" w:type="dxa"/>
        <w:tblBorders>
          <w:top w:val="single" w:sz="6" w:space="0" w:color="C5DBEC"/>
          <w:left w:val="single" w:sz="6" w:space="0" w:color="C5DBEC"/>
          <w:bottom w:val="single" w:sz="6" w:space="0" w:color="C5DBEC"/>
          <w:right w:val="single" w:sz="6" w:space="0" w:color="C5DBEC"/>
        </w:tblBorders>
        <w:shd w:val="clear" w:color="auto" w:fill="FFFFFF"/>
        <w:tblCellMar>
          <w:left w:w="0" w:type="dxa"/>
          <w:right w:w="0" w:type="dxa"/>
        </w:tblCellMar>
        <w:tblLook w:val="04A0"/>
      </w:tblPr>
      <w:tblGrid>
        <w:gridCol w:w="1309"/>
        <w:gridCol w:w="1349"/>
        <w:gridCol w:w="1228"/>
        <w:gridCol w:w="1338"/>
        <w:gridCol w:w="1470"/>
        <w:gridCol w:w="1251"/>
        <w:gridCol w:w="1361"/>
      </w:tblGrid>
      <w:tr w14:paraId="15875A7F" w14:textId="77777777" w:rsidTr="00440CB8">
        <w:tblPrEx>
          <w:tblW w:w="4904" w:type="pct"/>
          <w:tblInd w:w="664" w:type="dxa"/>
          <w:tblBorders>
            <w:top w:val="single" w:sz="6" w:space="0" w:color="C5DBEC"/>
            <w:left w:val="single" w:sz="6" w:space="0" w:color="C5DBEC"/>
            <w:bottom w:val="single" w:sz="6" w:space="0" w:color="C5DBEC"/>
            <w:right w:val="single" w:sz="6" w:space="0" w:color="C5DBEC"/>
          </w:tblBorders>
          <w:shd w:val="clear" w:color="auto" w:fill="FFFFFF"/>
          <w:tblCellMar>
            <w:left w:w="0" w:type="dxa"/>
            <w:right w:w="0" w:type="dxa"/>
          </w:tblCellMar>
          <w:tblLook w:val="04A0"/>
        </w:tblPrEx>
        <w:trPr>
          <w:trHeight w:val="222"/>
        </w:trPr>
        <w:tc>
          <w:tcPr>
            <w:tcW w:w="703"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945E07" w:rsidRPr="00E95E1F" w:rsidP="00945E07" w14:paraId="00AE16AD" w14:textId="77777777">
            <w:pPr>
              <w:ind w:left="360"/>
              <w:rPr>
                <w:b/>
                <w:bCs/>
                <w:sz w:val="16"/>
                <w:szCs w:val="16"/>
              </w:rPr>
            </w:pPr>
            <w:r w:rsidRPr="00E95E1F">
              <w:rPr>
                <w:b/>
                <w:bCs/>
                <w:sz w:val="16"/>
                <w:szCs w:val="16"/>
              </w:rPr>
              <w:t> </w:t>
            </w:r>
          </w:p>
        </w:tc>
        <w:tc>
          <w:tcPr>
            <w:tcW w:w="725"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945E07" w:rsidRPr="00E95E1F" w:rsidP="00945E07" w14:paraId="31A888F8" w14:textId="77777777">
            <w:pPr>
              <w:ind w:left="360"/>
              <w:rPr>
                <w:b/>
                <w:bCs/>
                <w:sz w:val="16"/>
                <w:szCs w:val="16"/>
              </w:rPr>
            </w:pPr>
            <w:r w:rsidRPr="00E95E1F">
              <w:rPr>
                <w:b/>
                <w:bCs/>
                <w:sz w:val="16"/>
                <w:szCs w:val="16"/>
              </w:rPr>
              <w:t>Requested</w:t>
            </w:r>
          </w:p>
        </w:tc>
        <w:tc>
          <w:tcPr>
            <w:tcW w:w="660"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945E07" w:rsidRPr="00E95E1F" w:rsidP="00945E07" w14:paraId="299B6CAF" w14:textId="77777777">
            <w:pPr>
              <w:ind w:left="360"/>
              <w:rPr>
                <w:b/>
                <w:bCs/>
                <w:sz w:val="16"/>
                <w:szCs w:val="16"/>
              </w:rPr>
            </w:pPr>
            <w:r w:rsidRPr="00E95E1F">
              <w:rPr>
                <w:b/>
                <w:bCs/>
                <w:sz w:val="16"/>
                <w:szCs w:val="16"/>
              </w:rPr>
              <w:t>Program Change Due to New Statute</w:t>
            </w:r>
          </w:p>
        </w:tc>
        <w:tc>
          <w:tcPr>
            <w:tcW w:w="71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945E07" w:rsidRPr="00E95E1F" w:rsidP="00945E07" w14:paraId="4AA54BB4" w14:textId="77777777">
            <w:pPr>
              <w:ind w:left="360"/>
              <w:rPr>
                <w:b/>
                <w:bCs/>
                <w:sz w:val="16"/>
                <w:szCs w:val="16"/>
              </w:rPr>
            </w:pPr>
            <w:r w:rsidRPr="00E95E1F">
              <w:rPr>
                <w:b/>
                <w:bCs/>
                <w:sz w:val="16"/>
                <w:szCs w:val="16"/>
              </w:rPr>
              <w:t>Program Change Due to Agency Discretion</w:t>
            </w:r>
          </w:p>
        </w:tc>
        <w:tc>
          <w:tcPr>
            <w:tcW w:w="790"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945E07" w:rsidRPr="00E95E1F" w:rsidP="00945E07" w14:paraId="42561D95" w14:textId="77777777">
            <w:pPr>
              <w:ind w:left="360"/>
              <w:rPr>
                <w:b/>
                <w:bCs/>
                <w:sz w:val="16"/>
                <w:szCs w:val="16"/>
              </w:rPr>
            </w:pPr>
            <w:r w:rsidRPr="00E95E1F">
              <w:rPr>
                <w:b/>
                <w:bCs/>
                <w:sz w:val="16"/>
                <w:szCs w:val="16"/>
              </w:rPr>
              <w:t>Change Due to Adjustment in Agency Estimate</w:t>
            </w:r>
          </w:p>
        </w:tc>
        <w:tc>
          <w:tcPr>
            <w:tcW w:w="672"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945E07" w:rsidRPr="00E95E1F" w:rsidP="00945E07" w14:paraId="7CB9AF8C" w14:textId="77777777">
            <w:pPr>
              <w:ind w:left="360"/>
              <w:rPr>
                <w:b/>
                <w:bCs/>
                <w:sz w:val="16"/>
                <w:szCs w:val="16"/>
              </w:rPr>
            </w:pPr>
            <w:r w:rsidRPr="00E95E1F">
              <w:rPr>
                <w:b/>
                <w:bCs/>
                <w:sz w:val="16"/>
                <w:szCs w:val="16"/>
              </w:rPr>
              <w:t>Change Due to Potential Violation of the PRA</w:t>
            </w:r>
          </w:p>
        </w:tc>
        <w:tc>
          <w:tcPr>
            <w:tcW w:w="731"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945E07" w:rsidRPr="00E95E1F" w:rsidP="00945E07" w14:paraId="7A908691" w14:textId="77777777">
            <w:pPr>
              <w:ind w:left="360"/>
              <w:rPr>
                <w:b/>
                <w:bCs/>
                <w:sz w:val="16"/>
                <w:szCs w:val="16"/>
              </w:rPr>
            </w:pPr>
            <w:r w:rsidRPr="00E95E1F">
              <w:rPr>
                <w:b/>
                <w:bCs/>
                <w:sz w:val="16"/>
                <w:szCs w:val="16"/>
              </w:rPr>
              <w:t>Previously Approved</w:t>
            </w:r>
          </w:p>
        </w:tc>
      </w:tr>
      <w:tr w14:paraId="734DE5AA" w14:textId="77777777" w:rsidTr="00440CB8">
        <w:tblPrEx>
          <w:tblW w:w="4904" w:type="pct"/>
          <w:tblInd w:w="664" w:type="dxa"/>
          <w:shd w:val="clear" w:color="auto" w:fill="FFFFFF"/>
          <w:tblCellMar>
            <w:left w:w="0" w:type="dxa"/>
            <w:right w:w="0" w:type="dxa"/>
          </w:tblCellMar>
          <w:tblLook w:val="04A0"/>
        </w:tblPrEx>
        <w:trPr>
          <w:trHeight w:val="222"/>
        </w:trPr>
        <w:tc>
          <w:tcPr>
            <w:tcW w:w="703" w:type="pct"/>
            <w:tcBorders>
              <w:top w:val="outset" w:sz="6" w:space="0" w:color="C5DBEC"/>
              <w:left w:val="outset" w:sz="6" w:space="0" w:color="C5DBEC"/>
              <w:bottom w:val="outset" w:sz="6" w:space="0" w:color="C5DBEC"/>
              <w:right w:val="single" w:sz="6" w:space="0" w:color="C5DBEC"/>
            </w:tcBorders>
            <w:shd w:val="clear" w:color="auto" w:fill="E0FF84"/>
            <w:tcMar>
              <w:top w:w="60" w:type="dxa"/>
              <w:left w:w="60" w:type="dxa"/>
              <w:bottom w:w="60" w:type="dxa"/>
              <w:right w:w="60" w:type="dxa"/>
            </w:tcMar>
            <w:hideMark/>
          </w:tcPr>
          <w:p w:rsidR="00945E07" w:rsidRPr="00E95E1F" w:rsidP="00945E07" w14:paraId="04A76A52" w14:textId="77777777">
            <w:pPr>
              <w:ind w:left="360"/>
              <w:rPr>
                <w:sz w:val="16"/>
                <w:szCs w:val="16"/>
              </w:rPr>
            </w:pPr>
            <w:r w:rsidRPr="00E95E1F">
              <w:rPr>
                <w:sz w:val="16"/>
                <w:szCs w:val="16"/>
              </w:rPr>
              <w:t>Annual Number of Responses for this IC</w:t>
            </w:r>
          </w:p>
        </w:tc>
        <w:tc>
          <w:tcPr>
            <w:tcW w:w="725" w:type="pct"/>
            <w:tcBorders>
              <w:top w:val="outset" w:sz="6" w:space="0" w:color="C5DBEC"/>
              <w:left w:val="outset" w:sz="6" w:space="0" w:color="C5DBEC"/>
              <w:bottom w:val="outset" w:sz="6" w:space="0" w:color="C5DBEC"/>
              <w:right w:val="single" w:sz="6" w:space="0" w:color="C5DBEC"/>
            </w:tcBorders>
            <w:shd w:val="clear" w:color="auto" w:fill="E0FF84"/>
            <w:tcMar>
              <w:top w:w="60" w:type="dxa"/>
              <w:left w:w="60" w:type="dxa"/>
              <w:bottom w:w="60" w:type="dxa"/>
              <w:right w:w="60" w:type="dxa"/>
            </w:tcMar>
            <w:hideMark/>
          </w:tcPr>
          <w:p w:rsidR="00945E07" w:rsidRPr="00E95E1F" w:rsidP="002123F4" w14:paraId="25A67766" w14:textId="50087600">
            <w:pPr>
              <w:ind w:left="360"/>
              <w:jc w:val="center"/>
              <w:rPr>
                <w:sz w:val="16"/>
                <w:szCs w:val="16"/>
              </w:rPr>
            </w:pPr>
            <w:r w:rsidRPr="00E95E1F">
              <w:rPr>
                <w:sz w:val="16"/>
                <w:szCs w:val="16"/>
              </w:rPr>
              <w:t>97,358,960</w:t>
            </w:r>
          </w:p>
        </w:tc>
        <w:tc>
          <w:tcPr>
            <w:tcW w:w="660" w:type="pct"/>
            <w:tcBorders>
              <w:top w:val="outset" w:sz="6" w:space="0" w:color="C5DBEC"/>
              <w:left w:val="outset" w:sz="6" w:space="0" w:color="C5DBEC"/>
              <w:bottom w:val="outset" w:sz="6" w:space="0" w:color="C5DBEC"/>
              <w:right w:val="single" w:sz="6" w:space="0" w:color="C5DBEC"/>
            </w:tcBorders>
            <w:shd w:val="clear" w:color="auto" w:fill="E0FF84"/>
            <w:tcMar>
              <w:top w:w="60" w:type="dxa"/>
              <w:left w:w="60" w:type="dxa"/>
              <w:bottom w:w="60" w:type="dxa"/>
              <w:right w:w="60" w:type="dxa"/>
            </w:tcMar>
            <w:hideMark/>
          </w:tcPr>
          <w:p w:rsidR="00945E07" w:rsidRPr="00E95E1F" w:rsidP="002123F4" w14:paraId="7E3F52F3" w14:textId="77777777">
            <w:pPr>
              <w:ind w:left="360"/>
              <w:jc w:val="center"/>
              <w:rPr>
                <w:sz w:val="16"/>
                <w:szCs w:val="16"/>
              </w:rPr>
            </w:pPr>
            <w:r w:rsidRPr="00E95E1F">
              <w:rPr>
                <w:sz w:val="16"/>
                <w:szCs w:val="16"/>
              </w:rPr>
              <w:t>0</w:t>
            </w:r>
          </w:p>
        </w:tc>
        <w:tc>
          <w:tcPr>
            <w:tcW w:w="719" w:type="pct"/>
            <w:tcBorders>
              <w:top w:val="outset" w:sz="6" w:space="0" w:color="C5DBEC"/>
              <w:left w:val="outset" w:sz="6" w:space="0" w:color="C5DBEC"/>
              <w:bottom w:val="outset" w:sz="6" w:space="0" w:color="C5DBEC"/>
              <w:right w:val="single" w:sz="6" w:space="0" w:color="C5DBEC"/>
            </w:tcBorders>
            <w:shd w:val="clear" w:color="auto" w:fill="E0FF84"/>
            <w:tcMar>
              <w:top w:w="60" w:type="dxa"/>
              <w:left w:w="60" w:type="dxa"/>
              <w:bottom w:w="60" w:type="dxa"/>
              <w:right w:w="60" w:type="dxa"/>
            </w:tcMar>
            <w:hideMark/>
          </w:tcPr>
          <w:p w:rsidR="00945E07" w:rsidRPr="00E95E1F" w:rsidP="002123F4" w14:paraId="5E5E3EBE" w14:textId="77777777">
            <w:pPr>
              <w:ind w:left="360"/>
              <w:jc w:val="center"/>
              <w:rPr>
                <w:sz w:val="16"/>
                <w:szCs w:val="16"/>
              </w:rPr>
            </w:pPr>
            <w:r w:rsidRPr="00E95E1F">
              <w:rPr>
                <w:sz w:val="16"/>
                <w:szCs w:val="16"/>
              </w:rPr>
              <w:t>0</w:t>
            </w:r>
          </w:p>
        </w:tc>
        <w:tc>
          <w:tcPr>
            <w:tcW w:w="790" w:type="pct"/>
            <w:tcBorders>
              <w:top w:val="outset" w:sz="6" w:space="0" w:color="C5DBEC"/>
              <w:left w:val="outset" w:sz="6" w:space="0" w:color="C5DBEC"/>
              <w:bottom w:val="outset" w:sz="6" w:space="0" w:color="C5DBEC"/>
              <w:right w:val="single" w:sz="6" w:space="0" w:color="C5DBEC"/>
            </w:tcBorders>
            <w:shd w:val="clear" w:color="auto" w:fill="E0FF84"/>
            <w:tcMar>
              <w:top w:w="60" w:type="dxa"/>
              <w:left w:w="60" w:type="dxa"/>
              <w:bottom w:w="60" w:type="dxa"/>
              <w:right w:w="60" w:type="dxa"/>
            </w:tcMar>
            <w:hideMark/>
          </w:tcPr>
          <w:p w:rsidR="00945E07" w:rsidRPr="00E95E1F" w:rsidP="002123F4" w14:paraId="6099F2A3" w14:textId="284145B0">
            <w:pPr>
              <w:ind w:left="360"/>
              <w:jc w:val="center"/>
              <w:rPr>
                <w:sz w:val="16"/>
                <w:szCs w:val="16"/>
              </w:rPr>
            </w:pPr>
            <w:r w:rsidRPr="00E95E1F">
              <w:rPr>
                <w:sz w:val="16"/>
                <w:szCs w:val="16"/>
              </w:rPr>
              <w:t>16,708,000</w:t>
            </w:r>
          </w:p>
        </w:tc>
        <w:tc>
          <w:tcPr>
            <w:tcW w:w="672" w:type="pct"/>
            <w:tcBorders>
              <w:top w:val="outset" w:sz="6" w:space="0" w:color="C5DBEC"/>
              <w:left w:val="outset" w:sz="6" w:space="0" w:color="C5DBEC"/>
              <w:bottom w:val="outset" w:sz="6" w:space="0" w:color="C5DBEC"/>
              <w:right w:val="single" w:sz="6" w:space="0" w:color="C5DBEC"/>
            </w:tcBorders>
            <w:shd w:val="clear" w:color="auto" w:fill="E0FF84"/>
            <w:tcMar>
              <w:top w:w="60" w:type="dxa"/>
              <w:left w:w="60" w:type="dxa"/>
              <w:bottom w:w="60" w:type="dxa"/>
              <w:right w:w="60" w:type="dxa"/>
            </w:tcMar>
            <w:hideMark/>
          </w:tcPr>
          <w:p w:rsidR="00945E07" w:rsidRPr="00E95E1F" w:rsidP="002123F4" w14:paraId="0CFE3B79" w14:textId="77777777">
            <w:pPr>
              <w:ind w:left="360"/>
              <w:jc w:val="center"/>
              <w:rPr>
                <w:sz w:val="16"/>
                <w:szCs w:val="16"/>
              </w:rPr>
            </w:pPr>
            <w:r w:rsidRPr="00E95E1F">
              <w:rPr>
                <w:sz w:val="16"/>
                <w:szCs w:val="16"/>
              </w:rPr>
              <w:t>0</w:t>
            </w:r>
          </w:p>
        </w:tc>
        <w:tc>
          <w:tcPr>
            <w:tcW w:w="731" w:type="pct"/>
            <w:tcBorders>
              <w:top w:val="outset" w:sz="6" w:space="0" w:color="C5DBEC"/>
              <w:left w:val="outset" w:sz="6" w:space="0" w:color="C5DBEC"/>
              <w:bottom w:val="outset" w:sz="6" w:space="0" w:color="C5DBEC"/>
              <w:right w:val="single" w:sz="6" w:space="0" w:color="C5DBEC"/>
            </w:tcBorders>
            <w:shd w:val="clear" w:color="auto" w:fill="E0FF84"/>
            <w:tcMar>
              <w:top w:w="60" w:type="dxa"/>
              <w:left w:w="60" w:type="dxa"/>
              <w:bottom w:w="60" w:type="dxa"/>
              <w:right w:w="60" w:type="dxa"/>
            </w:tcMar>
            <w:hideMark/>
          </w:tcPr>
          <w:p w:rsidR="00945E07" w:rsidRPr="00E95E1F" w:rsidP="002123F4" w14:paraId="103C45C9" w14:textId="4C68078C">
            <w:pPr>
              <w:ind w:left="360"/>
              <w:jc w:val="center"/>
              <w:rPr>
                <w:sz w:val="16"/>
                <w:szCs w:val="16"/>
              </w:rPr>
            </w:pPr>
            <w:r w:rsidRPr="00E95E1F">
              <w:rPr>
                <w:sz w:val="16"/>
                <w:szCs w:val="16"/>
              </w:rPr>
              <w:t>80,650,960</w:t>
            </w:r>
          </w:p>
        </w:tc>
      </w:tr>
      <w:tr w14:paraId="5FBBC796" w14:textId="77777777" w:rsidTr="00440CB8">
        <w:tblPrEx>
          <w:tblW w:w="4904" w:type="pct"/>
          <w:tblInd w:w="664" w:type="dxa"/>
          <w:shd w:val="clear" w:color="auto" w:fill="FFFFFF"/>
          <w:tblCellMar>
            <w:left w:w="0" w:type="dxa"/>
            <w:right w:w="0" w:type="dxa"/>
          </w:tblCellMar>
          <w:tblLook w:val="04A0"/>
        </w:tblPrEx>
        <w:trPr>
          <w:trHeight w:val="222"/>
        </w:trPr>
        <w:tc>
          <w:tcPr>
            <w:tcW w:w="703"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945E07" w:rsidRPr="00E95E1F" w:rsidP="00945E07" w14:paraId="0E70AD10" w14:textId="77777777">
            <w:pPr>
              <w:ind w:left="360"/>
              <w:rPr>
                <w:sz w:val="16"/>
                <w:szCs w:val="16"/>
              </w:rPr>
            </w:pPr>
            <w:r w:rsidRPr="00E95E1F">
              <w:rPr>
                <w:sz w:val="16"/>
                <w:szCs w:val="16"/>
              </w:rPr>
              <w:t>Annual IC Time Burden (Hours)</w:t>
            </w:r>
          </w:p>
        </w:tc>
        <w:tc>
          <w:tcPr>
            <w:tcW w:w="725"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945E07" w:rsidRPr="00E95E1F" w:rsidP="002123F4" w14:paraId="13ABED7F" w14:textId="46CB4242">
            <w:pPr>
              <w:ind w:left="360"/>
              <w:jc w:val="center"/>
              <w:rPr>
                <w:sz w:val="16"/>
                <w:szCs w:val="16"/>
              </w:rPr>
            </w:pPr>
            <w:r w:rsidRPr="00E95E1F">
              <w:rPr>
                <w:sz w:val="16"/>
                <w:szCs w:val="16"/>
              </w:rPr>
              <w:t>24,3</w:t>
            </w:r>
            <w:r w:rsidR="00A80BC9">
              <w:rPr>
                <w:sz w:val="16"/>
                <w:szCs w:val="16"/>
              </w:rPr>
              <w:t>0</w:t>
            </w:r>
            <w:r w:rsidRPr="00E95E1F">
              <w:rPr>
                <w:sz w:val="16"/>
                <w:szCs w:val="16"/>
              </w:rPr>
              <w:t>8,656</w:t>
            </w:r>
          </w:p>
        </w:tc>
        <w:tc>
          <w:tcPr>
            <w:tcW w:w="660"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945E07" w:rsidRPr="00E95E1F" w:rsidP="002123F4" w14:paraId="45C2DAD5" w14:textId="3E622517">
            <w:pPr>
              <w:ind w:left="360"/>
              <w:jc w:val="center"/>
              <w:rPr>
                <w:sz w:val="16"/>
                <w:szCs w:val="16"/>
              </w:rPr>
            </w:pPr>
            <w:r w:rsidRPr="00E95E1F">
              <w:rPr>
                <w:sz w:val="16"/>
                <w:szCs w:val="16"/>
              </w:rPr>
              <w:t>0</w:t>
            </w:r>
          </w:p>
        </w:tc>
        <w:tc>
          <w:tcPr>
            <w:tcW w:w="719"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945E07" w:rsidRPr="00E95E1F" w:rsidP="002123F4" w14:paraId="5F51F1F9" w14:textId="674A8D36">
            <w:pPr>
              <w:ind w:left="360"/>
              <w:jc w:val="center"/>
              <w:rPr>
                <w:sz w:val="16"/>
                <w:szCs w:val="16"/>
              </w:rPr>
            </w:pPr>
            <w:r w:rsidRPr="00E95E1F">
              <w:rPr>
                <w:sz w:val="16"/>
                <w:szCs w:val="16"/>
              </w:rPr>
              <w:t>0</w:t>
            </w:r>
          </w:p>
        </w:tc>
        <w:tc>
          <w:tcPr>
            <w:tcW w:w="790"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945E07" w:rsidRPr="00E95E1F" w:rsidP="002123F4" w14:paraId="65BCBA11" w14:textId="349CEC4F">
            <w:pPr>
              <w:ind w:left="360"/>
              <w:jc w:val="center"/>
              <w:rPr>
                <w:sz w:val="16"/>
                <w:szCs w:val="16"/>
              </w:rPr>
            </w:pPr>
            <w:r w:rsidRPr="00E95E1F">
              <w:rPr>
                <w:sz w:val="16"/>
                <w:szCs w:val="16"/>
              </w:rPr>
              <w:t>4,1</w:t>
            </w:r>
            <w:r w:rsidR="00A80BC9">
              <w:rPr>
                <w:sz w:val="16"/>
                <w:szCs w:val="16"/>
              </w:rPr>
              <w:t>7</w:t>
            </w:r>
            <w:r w:rsidRPr="00E95E1F">
              <w:rPr>
                <w:sz w:val="16"/>
                <w:szCs w:val="16"/>
              </w:rPr>
              <w:t>7,000</w:t>
            </w:r>
          </w:p>
        </w:tc>
        <w:tc>
          <w:tcPr>
            <w:tcW w:w="672"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945E07" w:rsidRPr="00E95E1F" w:rsidP="002123F4" w14:paraId="143B0B80" w14:textId="77777777">
            <w:pPr>
              <w:ind w:left="360"/>
              <w:jc w:val="center"/>
              <w:rPr>
                <w:sz w:val="16"/>
                <w:szCs w:val="16"/>
              </w:rPr>
            </w:pPr>
            <w:r w:rsidRPr="00E95E1F">
              <w:rPr>
                <w:sz w:val="16"/>
                <w:szCs w:val="16"/>
              </w:rPr>
              <w:t>0</w:t>
            </w:r>
          </w:p>
        </w:tc>
        <w:tc>
          <w:tcPr>
            <w:tcW w:w="731"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945E07" w:rsidRPr="00E95E1F" w:rsidP="002123F4" w14:paraId="3834E180" w14:textId="32038DAE">
            <w:pPr>
              <w:ind w:left="360"/>
              <w:jc w:val="center"/>
              <w:rPr>
                <w:sz w:val="16"/>
                <w:szCs w:val="16"/>
              </w:rPr>
            </w:pPr>
            <w:r w:rsidRPr="00E95E1F">
              <w:rPr>
                <w:sz w:val="16"/>
                <w:szCs w:val="16"/>
              </w:rPr>
              <w:t>20,131,656</w:t>
            </w:r>
          </w:p>
        </w:tc>
      </w:tr>
      <w:tr w14:paraId="1E06E4D0" w14:textId="77777777" w:rsidTr="00440CB8">
        <w:tblPrEx>
          <w:tblW w:w="4904" w:type="pct"/>
          <w:tblInd w:w="664" w:type="dxa"/>
          <w:shd w:val="clear" w:color="auto" w:fill="FFFFFF"/>
          <w:tblCellMar>
            <w:left w:w="0" w:type="dxa"/>
            <w:right w:w="0" w:type="dxa"/>
          </w:tblCellMar>
          <w:tblLook w:val="04A0"/>
        </w:tblPrEx>
        <w:trPr>
          <w:trHeight w:val="222"/>
        </w:trPr>
        <w:tc>
          <w:tcPr>
            <w:tcW w:w="703"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945E07" w:rsidRPr="00E95E1F" w:rsidP="00945E07" w14:paraId="41E4A866" w14:textId="77777777">
            <w:pPr>
              <w:ind w:left="360"/>
              <w:rPr>
                <w:sz w:val="16"/>
                <w:szCs w:val="16"/>
              </w:rPr>
            </w:pPr>
            <w:r w:rsidRPr="00E95E1F">
              <w:rPr>
                <w:sz w:val="16"/>
                <w:szCs w:val="16"/>
              </w:rPr>
              <w:t>Annual IC Cost Burden (Dollars)</w:t>
            </w:r>
          </w:p>
        </w:tc>
        <w:tc>
          <w:tcPr>
            <w:tcW w:w="725"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945E07" w:rsidRPr="00E95E1F" w:rsidP="002123F4" w14:paraId="7C1D21E6" w14:textId="77777777">
            <w:pPr>
              <w:ind w:left="360"/>
              <w:jc w:val="center"/>
              <w:rPr>
                <w:sz w:val="16"/>
                <w:szCs w:val="16"/>
              </w:rPr>
            </w:pPr>
            <w:r w:rsidRPr="00E95E1F">
              <w:rPr>
                <w:sz w:val="16"/>
                <w:szCs w:val="16"/>
              </w:rPr>
              <w:t>0</w:t>
            </w:r>
          </w:p>
        </w:tc>
        <w:tc>
          <w:tcPr>
            <w:tcW w:w="660"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945E07" w:rsidRPr="00E95E1F" w:rsidP="002123F4" w14:paraId="04AA7463" w14:textId="77777777">
            <w:pPr>
              <w:ind w:left="360"/>
              <w:jc w:val="center"/>
              <w:rPr>
                <w:sz w:val="16"/>
                <w:szCs w:val="16"/>
              </w:rPr>
            </w:pPr>
            <w:r w:rsidRPr="00E95E1F">
              <w:rPr>
                <w:sz w:val="16"/>
                <w:szCs w:val="16"/>
              </w:rPr>
              <w:t>0</w:t>
            </w:r>
          </w:p>
        </w:tc>
        <w:tc>
          <w:tcPr>
            <w:tcW w:w="719"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945E07" w:rsidRPr="00E95E1F" w:rsidP="002123F4" w14:paraId="1A3FA8F3" w14:textId="77777777">
            <w:pPr>
              <w:ind w:left="360"/>
              <w:jc w:val="center"/>
              <w:rPr>
                <w:sz w:val="16"/>
                <w:szCs w:val="16"/>
              </w:rPr>
            </w:pPr>
            <w:r w:rsidRPr="00E95E1F">
              <w:rPr>
                <w:sz w:val="16"/>
                <w:szCs w:val="16"/>
              </w:rPr>
              <w:t>0</w:t>
            </w:r>
          </w:p>
        </w:tc>
        <w:tc>
          <w:tcPr>
            <w:tcW w:w="790"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945E07" w:rsidRPr="00E95E1F" w:rsidP="002123F4" w14:paraId="1741217C" w14:textId="77777777">
            <w:pPr>
              <w:ind w:left="360"/>
              <w:jc w:val="center"/>
              <w:rPr>
                <w:sz w:val="16"/>
                <w:szCs w:val="16"/>
              </w:rPr>
            </w:pPr>
            <w:r w:rsidRPr="00E95E1F">
              <w:rPr>
                <w:sz w:val="16"/>
                <w:szCs w:val="16"/>
              </w:rPr>
              <w:t>0</w:t>
            </w:r>
          </w:p>
        </w:tc>
        <w:tc>
          <w:tcPr>
            <w:tcW w:w="672"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945E07" w:rsidRPr="00E95E1F" w:rsidP="002123F4" w14:paraId="38AE5628" w14:textId="77777777">
            <w:pPr>
              <w:ind w:left="360"/>
              <w:jc w:val="center"/>
              <w:rPr>
                <w:sz w:val="16"/>
                <w:szCs w:val="16"/>
              </w:rPr>
            </w:pPr>
            <w:r w:rsidRPr="00E95E1F">
              <w:rPr>
                <w:sz w:val="16"/>
                <w:szCs w:val="16"/>
              </w:rPr>
              <w:t>0</w:t>
            </w:r>
          </w:p>
        </w:tc>
        <w:tc>
          <w:tcPr>
            <w:tcW w:w="731"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945E07" w:rsidRPr="00E95E1F" w:rsidP="002123F4" w14:paraId="132C1AA5" w14:textId="77777777">
            <w:pPr>
              <w:ind w:left="360"/>
              <w:jc w:val="center"/>
              <w:rPr>
                <w:sz w:val="16"/>
                <w:szCs w:val="16"/>
              </w:rPr>
            </w:pPr>
            <w:r w:rsidRPr="00E95E1F">
              <w:rPr>
                <w:sz w:val="16"/>
                <w:szCs w:val="16"/>
              </w:rPr>
              <w:t>0</w:t>
            </w:r>
          </w:p>
        </w:tc>
      </w:tr>
    </w:tbl>
    <w:p w:rsidR="00945E07" w:rsidRPr="00945E07" w:rsidP="00945E07" w14:paraId="0984D43C" w14:textId="77777777">
      <w:pPr>
        <w:ind w:left="360"/>
      </w:pPr>
    </w:p>
    <w:p w:rsidR="005B34C0" w:rsidRPr="00905D8C" w:rsidP="004E19E0" w14:paraId="2472D4F8" w14:textId="6D143A43">
      <w:pPr>
        <w:ind w:left="720"/>
      </w:pPr>
      <w:r w:rsidRPr="00945E07">
        <w:t xml:space="preserve">We are submitting this request for renewal purposes only.    </w:t>
      </w:r>
      <w:r w:rsidRPr="00905D8C" w:rsidR="00B152E2">
        <w:t xml:space="preserve"> </w:t>
      </w:r>
      <w:r w:rsidRPr="00905D8C">
        <w:t xml:space="preserve">         </w:t>
      </w:r>
    </w:p>
    <w:p w:rsidR="005B34C0" w:rsidRPr="00905D8C" w14:paraId="6460E863" w14:textId="77777777">
      <w:pPr>
        <w:rPr>
          <w:b/>
          <w:bCs/>
        </w:rPr>
      </w:pPr>
      <w:r w:rsidRPr="00905D8C">
        <w:t xml:space="preserve">    </w:t>
      </w:r>
      <w:r w:rsidRPr="00905D8C">
        <w:rPr>
          <w:b/>
          <w:bCs/>
        </w:rPr>
        <w:t xml:space="preserve">       </w:t>
      </w:r>
    </w:p>
    <w:p w:rsidR="005B34C0" w:rsidRPr="00905D8C" w14:paraId="74C003F0" w14:textId="77777777">
      <w:r w:rsidRPr="00905D8C">
        <w:rPr>
          <w:bCs/>
        </w:rPr>
        <w:t xml:space="preserve">16.  </w:t>
      </w:r>
      <w:r w:rsidR="005B5114">
        <w:rPr>
          <w:bCs/>
        </w:rPr>
        <w:t xml:space="preserve"> </w:t>
      </w:r>
      <w:r w:rsidRPr="00905D8C">
        <w:rPr>
          <w:bCs/>
          <w:u w:val="single"/>
        </w:rPr>
        <w:t>PLANS FOR TABULATION, STATISTICAL ANALYSIS AND PUBLICATION</w:t>
      </w:r>
    </w:p>
    <w:p w:rsidR="005B34C0" w:rsidRPr="00905D8C" w14:paraId="05641690" w14:textId="77777777"/>
    <w:p w:rsidR="005B34C0" w:rsidP="008119B7" w14:paraId="149AC37A" w14:textId="14CD9F56">
      <w:pPr>
        <w:ind w:left="720"/>
        <w:rPr>
          <w:bCs/>
        </w:rPr>
      </w:pPr>
      <w:r w:rsidRPr="00905D8C">
        <w:t xml:space="preserve">There are no plans for tabulation, statistical </w:t>
      </w:r>
      <w:r w:rsidRPr="00905D8C" w:rsidR="003A0AF5">
        <w:t>analysis,</w:t>
      </w:r>
      <w:r w:rsidRPr="00905D8C">
        <w:t xml:space="preserve"> and publication.</w:t>
      </w:r>
    </w:p>
    <w:p w:rsidR="000908E8" w:rsidRPr="00905D8C" w14:paraId="0C40F4EF" w14:textId="77777777">
      <w:pPr>
        <w:rPr>
          <w:bCs/>
        </w:rPr>
      </w:pPr>
    </w:p>
    <w:p w:rsidR="005B34C0" w:rsidRPr="00905D8C" w:rsidP="005B5114" w14:paraId="1049C9CF" w14:textId="77777777">
      <w:pPr>
        <w:ind w:left="180" w:hanging="180"/>
        <w:rPr>
          <w:bCs/>
        </w:rPr>
      </w:pPr>
      <w:r w:rsidRPr="00905D8C">
        <w:rPr>
          <w:bCs/>
        </w:rPr>
        <w:t>17.</w:t>
      </w:r>
      <w:r w:rsidR="005B5114">
        <w:rPr>
          <w:bCs/>
        </w:rPr>
        <w:t xml:space="preserve">    </w:t>
      </w:r>
      <w:r w:rsidRPr="00905D8C">
        <w:rPr>
          <w:bCs/>
          <w:u w:val="single"/>
        </w:rPr>
        <w:t>REASONS WHY DISPLAYING THE OMB EXPIRATION DATE IS</w:t>
      </w:r>
      <w:r w:rsidR="005B5114">
        <w:rPr>
          <w:bCs/>
          <w:u w:val="single"/>
        </w:rPr>
        <w:t xml:space="preserve"> </w:t>
      </w:r>
      <w:r w:rsidRPr="00905D8C">
        <w:rPr>
          <w:bCs/>
          <w:u w:val="single"/>
        </w:rPr>
        <w:t>INAPPROPRIATE</w:t>
      </w:r>
    </w:p>
    <w:p w:rsidR="005B34C0" w:rsidRPr="00905D8C" w14:paraId="79CFBD4C" w14:textId="77777777"/>
    <w:p w:rsidR="00E716FF" w:rsidRPr="00905D8C" w:rsidP="00E716FF" w14:paraId="319E082B" w14:textId="0C5DE5DB">
      <w:pPr>
        <w:ind w:left="720"/>
      </w:pPr>
      <w:r w:rsidRPr="00905D8C">
        <w:t xml:space="preserve">We believe that displaying the OMB expiration date is inappropriate because it could cause confusion by leading taxpayers to believe that the </w:t>
      </w:r>
      <w:r w:rsidRPr="00905D8C" w:rsidR="0007412F">
        <w:t>form</w:t>
      </w:r>
      <w:r w:rsidRPr="00905D8C">
        <w:t xml:space="preserve"> sunsets as of the expiration date.  Taxpayers are not likely to be aware that the </w:t>
      </w:r>
      <w:r w:rsidR="004E19E0">
        <w:t>IRS</w:t>
      </w:r>
      <w:r w:rsidRPr="00905D8C" w:rsidR="004E19E0">
        <w:t xml:space="preserve"> </w:t>
      </w:r>
      <w:r w:rsidRPr="00905D8C">
        <w:t>intends to request renewal of OMB approval and obtain a new expiration date before the old one expires.</w:t>
      </w:r>
    </w:p>
    <w:p w:rsidR="00B152E2" w:rsidRPr="00905D8C" w14:paraId="16AC2155" w14:textId="77777777"/>
    <w:p w:rsidR="005B34C0" w:rsidRPr="00905D8C" w14:paraId="648766D5" w14:textId="77777777">
      <w:pPr>
        <w:rPr>
          <w:bCs/>
        </w:rPr>
      </w:pPr>
      <w:r w:rsidRPr="00905D8C">
        <w:rPr>
          <w:bCs/>
        </w:rPr>
        <w:t xml:space="preserve">18.  </w:t>
      </w:r>
      <w:r w:rsidR="00853DBE">
        <w:rPr>
          <w:bCs/>
        </w:rPr>
        <w:t xml:space="preserve">  </w:t>
      </w:r>
      <w:r w:rsidRPr="00905D8C">
        <w:rPr>
          <w:bCs/>
          <w:u w:val="single"/>
        </w:rPr>
        <w:t xml:space="preserve">EXCEPTIONS TO THE CERTIFICATION STATEMENT </w:t>
      </w:r>
    </w:p>
    <w:p w:rsidR="005B34C0" w:rsidRPr="00905D8C" w14:paraId="3980F8FC" w14:textId="77777777"/>
    <w:p w:rsidR="00E402EC" w:rsidRPr="00905D8C" w:rsidP="005B5114" w14:paraId="23DC9BD6" w14:textId="77777777">
      <w:pPr>
        <w:ind w:left="720"/>
      </w:pPr>
      <w:r w:rsidRPr="00905D8C">
        <w:t>There are no exceptions to the certification statement.</w:t>
      </w:r>
    </w:p>
    <w:p w:rsidR="005B34C0" w:rsidRPr="00905D8C" w14:paraId="501B01E3" w14:textId="507406A0">
      <w:r w:rsidRPr="00905D8C">
        <w:t xml:space="preserve">  </w:t>
      </w:r>
    </w:p>
    <w:p w:rsidR="005B34C0" w:rsidRPr="00905D8C" w:rsidP="004E19E0" w14:paraId="37244964" w14:textId="77777777">
      <w:pPr>
        <w:ind w:left="720"/>
      </w:pPr>
      <w:r w:rsidRPr="00905D8C">
        <w:rPr>
          <w:bCs/>
          <w:u w:val="single"/>
        </w:rPr>
        <w:t>Note:</w:t>
      </w:r>
      <w:r w:rsidRPr="00905D8C">
        <w:t xml:space="preserve">  The following paragraph applies to </w:t>
      </w:r>
      <w:r w:rsidRPr="00905D8C">
        <w:t>all of</w:t>
      </w:r>
      <w:r w:rsidRPr="00905D8C">
        <w:t xml:space="preserve"> the collections of information in this submission:</w:t>
      </w:r>
    </w:p>
    <w:p w:rsidR="005B34C0" w:rsidRPr="00905D8C" w14:paraId="062058B3" w14:textId="77777777"/>
    <w:p w:rsidR="005B34C0" w:rsidRPr="00905D8C" w:rsidP="005B5114" w14:paraId="21F77690" w14:textId="46945AE2">
      <w:pPr>
        <w:ind w:left="720"/>
      </w:pPr>
      <w:r w:rsidRPr="00905D8C">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905D8C" w:rsidR="005B5114">
        <w:t>if</w:t>
      </w:r>
      <w:r w:rsidRPr="00905D8C">
        <w:t xml:space="preserve"> their contents may become material in the administration of any internal revenue law.  Generally, tax returns and tax return information are confidential, as</w:t>
      </w:r>
      <w:r w:rsidRPr="00905D8C" w:rsidR="00D41AE4">
        <w:t xml:space="preserve"> </w:t>
      </w:r>
      <w:r w:rsidRPr="00905D8C">
        <w:t>required by 26 U.S.C. 6103.</w:t>
      </w:r>
    </w:p>
    <w:sectPr w:rsidSect="005B34C0">
      <w:type w:val="continuous"/>
      <w:pgSz w:w="12240" w:h="15840"/>
      <w:pgMar w:top="1368" w:right="1368" w:bottom="1368"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4C0"/>
    <w:rsid w:val="00043A05"/>
    <w:rsid w:val="0004558B"/>
    <w:rsid w:val="0007412F"/>
    <w:rsid w:val="00090278"/>
    <w:rsid w:val="000908E8"/>
    <w:rsid w:val="000F2B7B"/>
    <w:rsid w:val="00136E3E"/>
    <w:rsid w:val="00154D57"/>
    <w:rsid w:val="00175CB4"/>
    <w:rsid w:val="001823BA"/>
    <w:rsid w:val="001A69F2"/>
    <w:rsid w:val="00203356"/>
    <w:rsid w:val="002114DC"/>
    <w:rsid w:val="002123F4"/>
    <w:rsid w:val="00212687"/>
    <w:rsid w:val="00222F2D"/>
    <w:rsid w:val="00237D04"/>
    <w:rsid w:val="00242E8C"/>
    <w:rsid w:val="002572A5"/>
    <w:rsid w:val="0029027A"/>
    <w:rsid w:val="002C6582"/>
    <w:rsid w:val="002E2DE9"/>
    <w:rsid w:val="0032181B"/>
    <w:rsid w:val="00326C08"/>
    <w:rsid w:val="00327916"/>
    <w:rsid w:val="00342050"/>
    <w:rsid w:val="00345C4B"/>
    <w:rsid w:val="00385F05"/>
    <w:rsid w:val="00392F0E"/>
    <w:rsid w:val="003A0AF5"/>
    <w:rsid w:val="003C1922"/>
    <w:rsid w:val="003D7EF7"/>
    <w:rsid w:val="003E7BA2"/>
    <w:rsid w:val="003F1A4D"/>
    <w:rsid w:val="004061C8"/>
    <w:rsid w:val="00426478"/>
    <w:rsid w:val="00427418"/>
    <w:rsid w:val="00440CB8"/>
    <w:rsid w:val="00453F3B"/>
    <w:rsid w:val="00454AE2"/>
    <w:rsid w:val="004935CC"/>
    <w:rsid w:val="004E19E0"/>
    <w:rsid w:val="004E2CAC"/>
    <w:rsid w:val="004E57A3"/>
    <w:rsid w:val="004F6913"/>
    <w:rsid w:val="005010D2"/>
    <w:rsid w:val="00501EBC"/>
    <w:rsid w:val="005201D3"/>
    <w:rsid w:val="00523379"/>
    <w:rsid w:val="005642D0"/>
    <w:rsid w:val="0056433D"/>
    <w:rsid w:val="005B2F8F"/>
    <w:rsid w:val="005B34C0"/>
    <w:rsid w:val="005B5114"/>
    <w:rsid w:val="005C28D1"/>
    <w:rsid w:val="005D023F"/>
    <w:rsid w:val="005D1308"/>
    <w:rsid w:val="005D4EB7"/>
    <w:rsid w:val="00626FF1"/>
    <w:rsid w:val="00633A62"/>
    <w:rsid w:val="00643DFE"/>
    <w:rsid w:val="0065225A"/>
    <w:rsid w:val="0067206C"/>
    <w:rsid w:val="00672CCB"/>
    <w:rsid w:val="00674B2E"/>
    <w:rsid w:val="0067771B"/>
    <w:rsid w:val="0068366E"/>
    <w:rsid w:val="006923ED"/>
    <w:rsid w:val="00710A6D"/>
    <w:rsid w:val="00735FF8"/>
    <w:rsid w:val="00762CC7"/>
    <w:rsid w:val="008119B7"/>
    <w:rsid w:val="00820FB0"/>
    <w:rsid w:val="00827222"/>
    <w:rsid w:val="00844E85"/>
    <w:rsid w:val="00853DBE"/>
    <w:rsid w:val="0085434C"/>
    <w:rsid w:val="00886A11"/>
    <w:rsid w:val="008954AA"/>
    <w:rsid w:val="008D448C"/>
    <w:rsid w:val="008E25D7"/>
    <w:rsid w:val="008E5F9E"/>
    <w:rsid w:val="00905D8C"/>
    <w:rsid w:val="0093454C"/>
    <w:rsid w:val="0094213C"/>
    <w:rsid w:val="00945791"/>
    <w:rsid w:val="00945E07"/>
    <w:rsid w:val="00950C06"/>
    <w:rsid w:val="00961E16"/>
    <w:rsid w:val="009A5721"/>
    <w:rsid w:val="009D787B"/>
    <w:rsid w:val="00A245F5"/>
    <w:rsid w:val="00A479C0"/>
    <w:rsid w:val="00A64A7E"/>
    <w:rsid w:val="00A80BC9"/>
    <w:rsid w:val="00A832F9"/>
    <w:rsid w:val="00A847CA"/>
    <w:rsid w:val="00A91105"/>
    <w:rsid w:val="00AC5FB4"/>
    <w:rsid w:val="00AD4274"/>
    <w:rsid w:val="00B05E66"/>
    <w:rsid w:val="00B152E2"/>
    <w:rsid w:val="00B51B8D"/>
    <w:rsid w:val="00BB372C"/>
    <w:rsid w:val="00C11BEF"/>
    <w:rsid w:val="00C11E57"/>
    <w:rsid w:val="00C42923"/>
    <w:rsid w:val="00C50E13"/>
    <w:rsid w:val="00C8570E"/>
    <w:rsid w:val="00C93071"/>
    <w:rsid w:val="00C9330E"/>
    <w:rsid w:val="00CA7DC8"/>
    <w:rsid w:val="00CE4057"/>
    <w:rsid w:val="00CF4033"/>
    <w:rsid w:val="00D04189"/>
    <w:rsid w:val="00D41AE4"/>
    <w:rsid w:val="00D54569"/>
    <w:rsid w:val="00D60473"/>
    <w:rsid w:val="00D72D7A"/>
    <w:rsid w:val="00DC3293"/>
    <w:rsid w:val="00DC53AA"/>
    <w:rsid w:val="00DD5268"/>
    <w:rsid w:val="00DE7192"/>
    <w:rsid w:val="00DF3B50"/>
    <w:rsid w:val="00E402EC"/>
    <w:rsid w:val="00E43486"/>
    <w:rsid w:val="00E716FF"/>
    <w:rsid w:val="00E95E1F"/>
    <w:rsid w:val="00EA132D"/>
    <w:rsid w:val="00EC791B"/>
    <w:rsid w:val="00EF18FE"/>
    <w:rsid w:val="00EF1AA4"/>
    <w:rsid w:val="00F2597A"/>
    <w:rsid w:val="00F464F7"/>
    <w:rsid w:val="00F762CD"/>
    <w:rsid w:val="00F8456F"/>
    <w:rsid w:val="00FA2384"/>
    <w:rsid w:val="00FF3D31"/>
    <w:rsid w:val="00FF6D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4CCECD49"/>
  <w15:chartTrackingRefBased/>
  <w15:docId w15:val="{F5566DAA-DAD9-4FBD-BD59-F109D6EB8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sid w:val="009D787B"/>
    <w:rPr>
      <w:color w:val="0000FF"/>
      <w:u w:val="single"/>
    </w:rPr>
  </w:style>
  <w:style w:type="paragraph" w:styleId="Header">
    <w:name w:val="header"/>
    <w:basedOn w:val="Normal"/>
    <w:link w:val="HeaderChar"/>
    <w:rsid w:val="00090278"/>
    <w:pPr>
      <w:tabs>
        <w:tab w:val="center" w:pos="4680"/>
        <w:tab w:val="right" w:pos="9360"/>
      </w:tabs>
    </w:pPr>
  </w:style>
  <w:style w:type="character" w:customStyle="1" w:styleId="HeaderChar">
    <w:name w:val="Header Char"/>
    <w:link w:val="Header"/>
    <w:rsid w:val="00090278"/>
    <w:rPr>
      <w:sz w:val="24"/>
      <w:szCs w:val="24"/>
    </w:rPr>
  </w:style>
  <w:style w:type="paragraph" w:styleId="Footer">
    <w:name w:val="footer"/>
    <w:basedOn w:val="Normal"/>
    <w:link w:val="FooterChar"/>
    <w:rsid w:val="00090278"/>
    <w:pPr>
      <w:tabs>
        <w:tab w:val="center" w:pos="4680"/>
        <w:tab w:val="right" w:pos="9360"/>
      </w:tabs>
    </w:pPr>
  </w:style>
  <w:style w:type="character" w:customStyle="1" w:styleId="FooterChar">
    <w:name w:val="Footer Char"/>
    <w:link w:val="Footer"/>
    <w:rsid w:val="00090278"/>
    <w:rPr>
      <w:sz w:val="24"/>
      <w:szCs w:val="24"/>
    </w:rPr>
  </w:style>
  <w:style w:type="character" w:styleId="CommentReference">
    <w:name w:val="annotation reference"/>
    <w:basedOn w:val="DefaultParagraphFont"/>
    <w:rsid w:val="004E19E0"/>
    <w:rPr>
      <w:sz w:val="16"/>
      <w:szCs w:val="16"/>
    </w:rPr>
  </w:style>
  <w:style w:type="paragraph" w:styleId="CommentText">
    <w:name w:val="annotation text"/>
    <w:basedOn w:val="Normal"/>
    <w:link w:val="CommentTextChar"/>
    <w:rsid w:val="004E19E0"/>
    <w:rPr>
      <w:sz w:val="20"/>
      <w:szCs w:val="20"/>
    </w:rPr>
  </w:style>
  <w:style w:type="character" w:customStyle="1" w:styleId="CommentTextChar">
    <w:name w:val="Comment Text Char"/>
    <w:basedOn w:val="DefaultParagraphFont"/>
    <w:link w:val="CommentText"/>
    <w:rsid w:val="004E19E0"/>
  </w:style>
  <w:style w:type="paragraph" w:styleId="CommentSubject">
    <w:name w:val="annotation subject"/>
    <w:basedOn w:val="CommentText"/>
    <w:next w:val="CommentText"/>
    <w:link w:val="CommentSubjectChar"/>
    <w:rsid w:val="004E19E0"/>
    <w:rPr>
      <w:b/>
      <w:bCs/>
    </w:rPr>
  </w:style>
  <w:style w:type="character" w:customStyle="1" w:styleId="CommentSubjectChar">
    <w:name w:val="Comment Subject Char"/>
    <w:basedOn w:val="CommentTextChar"/>
    <w:link w:val="CommentSubject"/>
    <w:rsid w:val="004E19E0"/>
    <w:rPr>
      <w:b/>
      <w:bCs/>
    </w:rPr>
  </w:style>
  <w:style w:type="paragraph" w:styleId="Revision">
    <w:name w:val="Revision"/>
    <w:hidden/>
    <w:uiPriority w:val="99"/>
    <w:semiHidden/>
    <w:rsid w:val="00385F05"/>
    <w:rPr>
      <w:sz w:val="24"/>
      <w:szCs w:val="24"/>
    </w:rPr>
  </w:style>
  <w:style w:type="character" w:styleId="UnresolvedMention">
    <w:name w:val="Unresolved Mention"/>
    <w:basedOn w:val="DefaultParagraphFont"/>
    <w:uiPriority w:val="99"/>
    <w:semiHidden/>
    <w:unhideWhenUsed/>
    <w:rsid w:val="00B51B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1733</Words>
  <Characters>10080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11790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TQ1FB</dc:creator>
  <cp:lastModifiedBy>Durbala R Joseph</cp:lastModifiedBy>
  <cp:revision>3</cp:revision>
  <cp:lastPrinted>2005-05-25T20:21:00Z</cp:lastPrinted>
  <dcterms:created xsi:type="dcterms:W3CDTF">2023-06-15T23:20:00Z</dcterms:created>
  <dcterms:modified xsi:type="dcterms:W3CDTF">2023-06-16T11:44:00Z</dcterms:modified>
</cp:coreProperties>
</file>