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EC5AF5" w:rsidRPr="009940DD" w:rsidP="00D50718" w14:paraId="0CA1ADF8" w14:textId="77777777">
      <w:pPr>
        <w:widowControl w:val="0"/>
        <w:tabs>
          <w:tab w:val="left" w:pos="-3060"/>
          <w:tab w:val="center" w:pos="4752"/>
        </w:tabs>
        <w:suppressAutoHyphens/>
        <w:autoSpaceDE w:val="0"/>
        <w:autoSpaceDN w:val="0"/>
        <w:adjustRightInd w:val="0"/>
        <w:spacing w:after="240" w:line="240" w:lineRule="auto"/>
        <w:rPr>
          <w:rFonts w:ascii="Times New Roman" w:eastAsia="Times New Roman" w:hAnsi="Times New Roman" w:cs="Times New Roman"/>
          <w:bCs/>
          <w:sz w:val="24"/>
          <w:szCs w:val="24"/>
        </w:rPr>
      </w:pPr>
      <w:r w:rsidRPr="009940DD">
        <w:rPr>
          <w:rFonts w:ascii="Times New Roman" w:eastAsia="Times New Roman" w:hAnsi="Times New Roman" w:cs="Times New Roman"/>
          <w:bCs/>
          <w:sz w:val="24"/>
          <w:szCs w:val="24"/>
        </w:rPr>
        <w:t>Attachment A</w:t>
      </w:r>
    </w:p>
    <w:p w:rsidR="005615C9" w:rsidRPr="009940DD" w:rsidP="00D50718" w14:paraId="400AD5F1" w14:textId="77777777">
      <w:pPr>
        <w:widowControl w:val="0"/>
        <w:tabs>
          <w:tab w:val="left" w:pos="-3060"/>
          <w:tab w:val="center" w:pos="4752"/>
        </w:tabs>
        <w:suppressAutoHyphens/>
        <w:autoSpaceDE w:val="0"/>
        <w:autoSpaceDN w:val="0"/>
        <w:adjustRightInd w:val="0"/>
        <w:spacing w:before="240" w:after="0" w:line="240" w:lineRule="auto"/>
        <w:jc w:val="center"/>
        <w:outlineLvl w:val="0"/>
        <w:rPr>
          <w:rFonts w:ascii="Times New Roman" w:eastAsia="Times New Roman" w:hAnsi="Times New Roman" w:cs="Times New Roman"/>
          <w:b/>
          <w:sz w:val="24"/>
          <w:szCs w:val="24"/>
        </w:rPr>
      </w:pPr>
      <w:r w:rsidRPr="009940DD">
        <w:rPr>
          <w:rFonts w:ascii="Times New Roman" w:eastAsia="Times New Roman" w:hAnsi="Times New Roman" w:cs="Times New Roman"/>
          <w:b/>
          <w:sz w:val="24"/>
          <w:szCs w:val="24"/>
        </w:rPr>
        <w:t xml:space="preserve">Supporting Statement </w:t>
      </w:r>
      <w:r w:rsidRPr="009940DD">
        <w:rPr>
          <w:rFonts w:ascii="Times New Roman" w:eastAsia="Times New Roman" w:hAnsi="Times New Roman" w:cs="Times New Roman"/>
          <w:b/>
          <w:sz w:val="24"/>
          <w:szCs w:val="24"/>
        </w:rPr>
        <w:t>Part</w:t>
      </w:r>
      <w:r w:rsidRPr="009940DD">
        <w:rPr>
          <w:rFonts w:ascii="Times New Roman" w:eastAsia="Times New Roman" w:hAnsi="Times New Roman" w:cs="Times New Roman"/>
          <w:b/>
          <w:sz w:val="24"/>
          <w:szCs w:val="24"/>
        </w:rPr>
        <w:t xml:space="preserve"> A</w:t>
      </w:r>
    </w:p>
    <w:p w:rsidR="00AB3DC6" w:rsidRPr="009940DD" w:rsidP="00F22F37" w14:paraId="475D5A97" w14:textId="77777777">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9940DD">
        <w:rPr>
          <w:rFonts w:ascii="Times New Roman" w:eastAsia="Times New Roman" w:hAnsi="Times New Roman" w:cs="Times New Roman"/>
          <w:b/>
          <w:sz w:val="24"/>
          <w:szCs w:val="24"/>
        </w:rPr>
        <w:t xml:space="preserve">Medical Loss Ratio (MLR) </w:t>
      </w:r>
      <w:r w:rsidRPr="009940DD" w:rsidR="0059043F">
        <w:rPr>
          <w:rFonts w:ascii="Times New Roman" w:eastAsia="Times New Roman" w:hAnsi="Times New Roman" w:cs="Times New Roman"/>
          <w:b/>
          <w:sz w:val="24"/>
          <w:szCs w:val="24"/>
        </w:rPr>
        <w:t xml:space="preserve">Data Form </w:t>
      </w:r>
      <w:r w:rsidRPr="009940DD">
        <w:rPr>
          <w:rFonts w:ascii="Times New Roman" w:eastAsia="Times New Roman" w:hAnsi="Times New Roman" w:cs="Times New Roman"/>
          <w:b/>
          <w:sz w:val="24"/>
          <w:szCs w:val="24"/>
        </w:rPr>
        <w:t>for</w:t>
      </w:r>
    </w:p>
    <w:p w:rsidR="00EC5AF5" w:rsidRPr="009940DD" w:rsidP="00F22F37" w14:paraId="71E4B66C" w14:textId="324059D1">
      <w:pPr>
        <w:widowControl w:val="0"/>
        <w:tabs>
          <w:tab w:val="left" w:pos="-3060"/>
          <w:tab w:val="center" w:pos="4752"/>
        </w:tabs>
        <w:suppressAutoHyphens/>
        <w:autoSpaceDE w:val="0"/>
        <w:autoSpaceDN w:val="0"/>
        <w:adjustRightInd w:val="0"/>
        <w:spacing w:after="0" w:line="240" w:lineRule="auto"/>
        <w:jc w:val="center"/>
        <w:outlineLvl w:val="0"/>
        <w:rPr>
          <w:rFonts w:ascii="Times New Roman" w:eastAsia="Times New Roman" w:hAnsi="Times New Roman" w:cs="Times New Roman"/>
          <w:b/>
          <w:sz w:val="24"/>
          <w:szCs w:val="24"/>
        </w:rPr>
      </w:pPr>
      <w:r w:rsidRPr="009940DD">
        <w:rPr>
          <w:rFonts w:ascii="Times New Roman" w:eastAsia="Times New Roman" w:hAnsi="Times New Roman" w:cs="Times New Roman"/>
          <w:b/>
          <w:sz w:val="24"/>
          <w:szCs w:val="24"/>
        </w:rPr>
        <w:t>Medicare Advantage (MA) Plans and</w:t>
      </w:r>
      <w:r w:rsidRPr="009940DD" w:rsidR="00AB3DC6">
        <w:rPr>
          <w:rFonts w:ascii="Times New Roman" w:eastAsia="Times New Roman" w:hAnsi="Times New Roman" w:cs="Times New Roman"/>
          <w:b/>
          <w:sz w:val="24"/>
          <w:szCs w:val="24"/>
        </w:rPr>
        <w:t xml:space="preserve"> </w:t>
      </w:r>
      <w:r w:rsidRPr="009940DD">
        <w:rPr>
          <w:rFonts w:ascii="Times New Roman" w:eastAsia="Times New Roman" w:hAnsi="Times New Roman" w:cs="Times New Roman"/>
          <w:b/>
          <w:sz w:val="24"/>
          <w:szCs w:val="24"/>
        </w:rPr>
        <w:t>Prescription Drug Plans (PDP)</w:t>
      </w:r>
    </w:p>
    <w:p w:rsidR="00EC5AF5" w:rsidRPr="009940DD" w:rsidP="00D50718" w14:paraId="6E373F59" w14:textId="77777777">
      <w:pPr>
        <w:widowControl w:val="0"/>
        <w:tabs>
          <w:tab w:val="left" w:pos="-3060"/>
          <w:tab w:val="center" w:pos="4752"/>
        </w:tabs>
        <w:suppressAutoHyphens/>
        <w:autoSpaceDE w:val="0"/>
        <w:autoSpaceDN w:val="0"/>
        <w:adjustRightInd w:val="0"/>
        <w:spacing w:after="480" w:line="240" w:lineRule="auto"/>
        <w:jc w:val="center"/>
        <w:outlineLvl w:val="0"/>
        <w:rPr>
          <w:rFonts w:ascii="Times New Roman" w:eastAsia="Times New Roman" w:hAnsi="Times New Roman" w:cs="Times New Roman"/>
          <w:b/>
          <w:sz w:val="24"/>
          <w:szCs w:val="24"/>
        </w:rPr>
      </w:pPr>
      <w:r w:rsidRPr="009940DD">
        <w:rPr>
          <w:rFonts w:ascii="Times New Roman" w:eastAsia="Times New Roman" w:hAnsi="Times New Roman" w:cs="Times New Roman"/>
          <w:b/>
          <w:sz w:val="24"/>
          <w:szCs w:val="24"/>
        </w:rPr>
        <w:t>CMS-10</w:t>
      </w:r>
      <w:r w:rsidRPr="009940DD" w:rsidR="00E11EB9">
        <w:rPr>
          <w:rFonts w:ascii="Times New Roman" w:eastAsia="Times New Roman" w:hAnsi="Times New Roman" w:cs="Times New Roman"/>
          <w:b/>
          <w:sz w:val="24"/>
          <w:szCs w:val="24"/>
        </w:rPr>
        <w:t>476</w:t>
      </w:r>
      <w:r w:rsidRPr="009940DD" w:rsidR="00F22F37">
        <w:rPr>
          <w:rFonts w:ascii="Times New Roman" w:eastAsia="Times New Roman" w:hAnsi="Times New Roman" w:cs="Times New Roman"/>
          <w:b/>
          <w:sz w:val="24"/>
          <w:szCs w:val="24"/>
        </w:rPr>
        <w:t>, O</w:t>
      </w:r>
      <w:r w:rsidRPr="009940DD" w:rsidR="00247F1F">
        <w:rPr>
          <w:rFonts w:ascii="Times New Roman" w:eastAsia="Times New Roman" w:hAnsi="Times New Roman" w:cs="Times New Roman"/>
          <w:b/>
          <w:sz w:val="24"/>
          <w:szCs w:val="24"/>
        </w:rPr>
        <w:t>MB</w:t>
      </w:r>
      <w:r w:rsidRPr="009940DD" w:rsidR="00F22F37">
        <w:rPr>
          <w:rFonts w:ascii="Times New Roman" w:eastAsia="Times New Roman" w:hAnsi="Times New Roman" w:cs="Times New Roman"/>
          <w:b/>
          <w:sz w:val="24"/>
          <w:szCs w:val="24"/>
        </w:rPr>
        <w:t xml:space="preserve"> 0938-</w:t>
      </w:r>
      <w:r w:rsidRPr="009940DD" w:rsidR="00EB121E">
        <w:rPr>
          <w:rFonts w:ascii="Times New Roman" w:eastAsia="Times New Roman" w:hAnsi="Times New Roman" w:cs="Times New Roman"/>
          <w:b/>
          <w:sz w:val="24"/>
          <w:szCs w:val="24"/>
        </w:rPr>
        <w:t>1232</w:t>
      </w:r>
    </w:p>
    <w:p w:rsidR="00481962" w:rsidP="00D50718" w14:paraId="2F8AF0C5" w14:textId="737DEC28">
      <w:pPr>
        <w:tabs>
          <w:tab w:val="left" w:pos="-3060"/>
          <w:tab w:val="left" w:pos="0"/>
          <w:tab w:val="left" w:pos="432"/>
          <w:tab w:val="left" w:pos="720"/>
        </w:tabs>
        <w:suppressAutoHyphens/>
        <w:autoSpaceDE w:val="0"/>
        <w:autoSpaceDN w:val="0"/>
        <w:adjustRightInd w:val="0"/>
        <w:spacing w:before="240" w:after="240" w:line="240" w:lineRule="auto"/>
        <w:rPr>
          <w:rFonts w:ascii="Times New Roman" w:hAnsi="Times New Roman" w:cs="Times New Roman"/>
          <w:i/>
          <w:sz w:val="24"/>
          <w:szCs w:val="24"/>
        </w:rPr>
      </w:pPr>
      <w:r w:rsidRPr="009940DD">
        <w:rPr>
          <w:rFonts w:ascii="Times New Roman" w:eastAsia="Times New Roman" w:hAnsi="Times New Roman" w:cs="Times New Roman"/>
          <w:i/>
          <w:sz w:val="24"/>
          <w:szCs w:val="24"/>
        </w:rPr>
        <w:t xml:space="preserve">Supporting </w:t>
      </w:r>
      <w:r w:rsidRPr="009940DD" w:rsidR="00175727">
        <w:rPr>
          <w:rFonts w:ascii="Times New Roman" w:eastAsia="Times New Roman" w:hAnsi="Times New Roman" w:cs="Times New Roman"/>
          <w:i/>
          <w:sz w:val="24"/>
          <w:szCs w:val="24"/>
        </w:rPr>
        <w:t>r</w:t>
      </w:r>
      <w:r w:rsidRPr="009940DD">
        <w:rPr>
          <w:rFonts w:ascii="Times New Roman" w:eastAsia="Times New Roman" w:hAnsi="Times New Roman" w:cs="Times New Roman"/>
          <w:i/>
          <w:sz w:val="24"/>
          <w:szCs w:val="24"/>
        </w:rPr>
        <w:t xml:space="preserve">egulations </w:t>
      </w:r>
      <w:r w:rsidRPr="00481962">
        <w:rPr>
          <w:rFonts w:ascii="Times New Roman" w:eastAsia="Times New Roman" w:hAnsi="Times New Roman" w:cs="Times New Roman"/>
          <w:i/>
          <w:sz w:val="24"/>
          <w:szCs w:val="24"/>
        </w:rPr>
        <w:t>related to the requirements for a minimum MLR on the Part C side</w:t>
      </w:r>
      <w:r>
        <w:rPr>
          <w:rFonts w:ascii="Times New Roman" w:eastAsia="Times New Roman" w:hAnsi="Times New Roman" w:cs="Times New Roman"/>
          <w:i/>
          <w:sz w:val="24"/>
          <w:szCs w:val="24"/>
        </w:rPr>
        <w:t xml:space="preserve"> are set out in: </w:t>
      </w:r>
      <w:r w:rsidRPr="009940DD">
        <w:rPr>
          <w:rFonts w:ascii="Times New Roman" w:eastAsia="Times New Roman" w:hAnsi="Times New Roman" w:cs="Times New Roman"/>
          <w:i/>
          <w:sz w:val="24"/>
          <w:szCs w:val="24"/>
        </w:rPr>
        <w:t xml:space="preserve">42 CFR </w:t>
      </w:r>
      <w:r w:rsidRPr="009940DD">
        <w:rPr>
          <w:rFonts w:ascii="Times New Roman" w:hAnsi="Times New Roman" w:cs="Times New Roman"/>
          <w:i/>
          <w:sz w:val="24"/>
          <w:szCs w:val="24"/>
        </w:rPr>
        <w:t xml:space="preserve">422.2400, 422.2401, 422.2410, 422.2420, 422.2430, 422.2440, 422.2450, 422.2460, 422.2470, 422.2480, </w:t>
      </w:r>
      <w:r>
        <w:rPr>
          <w:rFonts w:ascii="Times New Roman" w:hAnsi="Times New Roman" w:cs="Times New Roman"/>
          <w:i/>
          <w:sz w:val="24"/>
          <w:szCs w:val="24"/>
        </w:rPr>
        <w:t xml:space="preserve">and </w:t>
      </w:r>
      <w:r w:rsidRPr="009940DD" w:rsidR="001F3B36">
        <w:rPr>
          <w:rFonts w:ascii="Times New Roman" w:hAnsi="Times New Roman" w:cs="Times New Roman"/>
          <w:i/>
          <w:sz w:val="24"/>
          <w:szCs w:val="24"/>
        </w:rPr>
        <w:t>422.2490</w:t>
      </w:r>
      <w:r>
        <w:rPr>
          <w:rFonts w:ascii="Times New Roman" w:hAnsi="Times New Roman" w:cs="Times New Roman"/>
          <w:i/>
          <w:sz w:val="24"/>
          <w:szCs w:val="24"/>
        </w:rPr>
        <w:t xml:space="preserve">. </w:t>
      </w:r>
    </w:p>
    <w:p w:rsidR="006B142B" w:rsidRPr="009940DD" w:rsidP="00D50718" w14:paraId="055A778C" w14:textId="0379C9CC">
      <w:pPr>
        <w:tabs>
          <w:tab w:val="left" w:pos="-3060"/>
          <w:tab w:val="left" w:pos="0"/>
          <w:tab w:val="left" w:pos="432"/>
          <w:tab w:val="left" w:pos="720"/>
        </w:tabs>
        <w:suppressAutoHyphens/>
        <w:autoSpaceDE w:val="0"/>
        <w:autoSpaceDN w:val="0"/>
        <w:adjustRightInd w:val="0"/>
        <w:spacing w:before="240" w:after="240" w:line="240" w:lineRule="auto"/>
        <w:rPr>
          <w:rFonts w:ascii="Times New Roman" w:eastAsia="Times New Roman" w:hAnsi="Times New Roman" w:cs="Times New Roman"/>
          <w:sz w:val="24"/>
          <w:szCs w:val="24"/>
        </w:rPr>
      </w:pPr>
      <w:r w:rsidRPr="009940DD">
        <w:rPr>
          <w:rFonts w:ascii="Times New Roman" w:eastAsia="Times New Roman" w:hAnsi="Times New Roman" w:cs="Times New Roman"/>
          <w:i/>
          <w:sz w:val="24"/>
          <w:szCs w:val="24"/>
        </w:rPr>
        <w:t xml:space="preserve">Supporting regulations </w:t>
      </w:r>
      <w:r w:rsidRPr="00481962">
        <w:rPr>
          <w:rFonts w:ascii="Times New Roman" w:eastAsia="Times New Roman" w:hAnsi="Times New Roman" w:cs="Times New Roman"/>
          <w:i/>
          <w:sz w:val="24"/>
          <w:szCs w:val="24"/>
        </w:rPr>
        <w:t xml:space="preserve">related to the requirements for a minimum MLR on the Part </w:t>
      </w:r>
      <w:r>
        <w:rPr>
          <w:rFonts w:ascii="Times New Roman" w:eastAsia="Times New Roman" w:hAnsi="Times New Roman" w:cs="Times New Roman"/>
          <w:i/>
          <w:sz w:val="24"/>
          <w:szCs w:val="24"/>
        </w:rPr>
        <w:t>D</w:t>
      </w:r>
      <w:r w:rsidRPr="00481962">
        <w:rPr>
          <w:rFonts w:ascii="Times New Roman" w:eastAsia="Times New Roman" w:hAnsi="Times New Roman" w:cs="Times New Roman"/>
          <w:i/>
          <w:sz w:val="24"/>
          <w:szCs w:val="24"/>
        </w:rPr>
        <w:t xml:space="preserve"> side</w:t>
      </w:r>
      <w:r>
        <w:rPr>
          <w:rFonts w:ascii="Times New Roman" w:eastAsia="Times New Roman" w:hAnsi="Times New Roman" w:cs="Times New Roman"/>
          <w:i/>
          <w:sz w:val="24"/>
          <w:szCs w:val="24"/>
        </w:rPr>
        <w:t xml:space="preserve"> are set out in:</w:t>
      </w:r>
      <w:r>
        <w:rPr>
          <w:rFonts w:ascii="Times New Roman" w:eastAsia="Times New Roman" w:hAnsi="Times New Roman" w:cs="Times New Roman"/>
          <w:i/>
          <w:sz w:val="24"/>
          <w:szCs w:val="24"/>
        </w:rPr>
        <w:t xml:space="preserve"> </w:t>
      </w:r>
      <w:r w:rsidRPr="009940DD" w:rsidR="00EC54F5">
        <w:rPr>
          <w:rFonts w:ascii="Times New Roman" w:hAnsi="Times New Roman" w:cs="Times New Roman"/>
          <w:i/>
          <w:sz w:val="24"/>
          <w:szCs w:val="24"/>
        </w:rPr>
        <w:t>423.2</w:t>
      </w:r>
      <w:r w:rsidR="00457BA8">
        <w:rPr>
          <w:rFonts w:ascii="Times New Roman" w:hAnsi="Times New Roman" w:cs="Times New Roman"/>
          <w:i/>
          <w:sz w:val="24"/>
          <w:szCs w:val="24"/>
        </w:rPr>
        <w:t>4</w:t>
      </w:r>
      <w:r w:rsidRPr="009940DD" w:rsidR="00EC54F5">
        <w:rPr>
          <w:rFonts w:ascii="Times New Roman" w:hAnsi="Times New Roman" w:cs="Times New Roman"/>
          <w:i/>
          <w:sz w:val="24"/>
          <w:szCs w:val="24"/>
        </w:rPr>
        <w:t>00, 423.2401, 423.2410, 423.2420, 423.2430, 423.2440, 423.2450, 423.2460, 423.2470, 423.2480</w:t>
      </w:r>
      <w:r w:rsidRPr="009940DD" w:rsidR="001F3B36">
        <w:rPr>
          <w:rFonts w:ascii="Times New Roman" w:hAnsi="Times New Roman" w:cs="Times New Roman"/>
          <w:i/>
          <w:sz w:val="24"/>
          <w:szCs w:val="24"/>
        </w:rPr>
        <w:t>, and 423.2490</w:t>
      </w:r>
      <w:r w:rsidRPr="009940DD" w:rsidR="00175727">
        <w:rPr>
          <w:rFonts w:ascii="Times New Roman" w:hAnsi="Times New Roman" w:cs="Times New Roman"/>
          <w:i/>
          <w:sz w:val="24"/>
          <w:szCs w:val="24"/>
        </w:rPr>
        <w:t>.</w:t>
      </w:r>
    </w:p>
    <w:p w:rsidR="000C50E6" w:rsidRPr="009940DD" w:rsidP="00D50718" w14:paraId="7460EADA" w14:textId="674121BE">
      <w:pPr>
        <w:tabs>
          <w:tab w:val="left" w:pos="-3060"/>
          <w:tab w:val="left" w:pos="0"/>
          <w:tab w:val="left" w:pos="432"/>
          <w:tab w:val="left" w:pos="720"/>
        </w:tabs>
        <w:suppressAutoHyphens/>
        <w:autoSpaceDE w:val="0"/>
        <w:autoSpaceDN w:val="0"/>
        <w:adjustRightInd w:val="0"/>
        <w:spacing w:before="240" w:after="240" w:line="240" w:lineRule="auto"/>
        <w:rPr>
          <w:rFonts w:ascii="Times New Roman" w:hAnsi="Times New Roman" w:cs="Times New Roman"/>
          <w:sz w:val="24"/>
          <w:szCs w:val="24"/>
        </w:rPr>
      </w:pPr>
      <w:r w:rsidRPr="009940DD">
        <w:rPr>
          <w:rFonts w:ascii="Times New Roman" w:eastAsia="Times New Roman" w:hAnsi="Times New Roman" w:cs="Times New Roman"/>
          <w:b/>
          <w:sz w:val="24"/>
          <w:szCs w:val="24"/>
        </w:rPr>
        <w:t>Background</w:t>
      </w:r>
    </w:p>
    <w:p w:rsidR="0041761A" w:rsidRPr="004F08A9" w:rsidP="004F08A9" w14:paraId="5CEA5FCC" w14:textId="156A9774">
      <w:pPr>
        <w:tabs>
          <w:tab w:val="left" w:pos="-3060"/>
          <w:tab w:val="left" w:pos="0"/>
          <w:tab w:val="left" w:pos="432"/>
          <w:tab w:val="left" w:pos="720"/>
        </w:tabs>
        <w:suppressAutoHyphens/>
        <w:autoSpaceDE w:val="0"/>
        <w:autoSpaceDN w:val="0"/>
        <w:adjustRightInd w:val="0"/>
        <w:spacing w:before="240" w:after="240" w:line="240" w:lineRule="auto"/>
        <w:rPr>
          <w:rFonts w:ascii="Times New Roman" w:eastAsia="Calibri" w:hAnsi="Times New Roman" w:cs="Times New Roman"/>
          <w:sz w:val="24"/>
          <w:szCs w:val="24"/>
          <w:shd w:val="clear" w:color="auto" w:fill="FFFFFF"/>
        </w:rPr>
      </w:pPr>
      <w:bookmarkStart w:id="0" w:name="_Hlk91967655"/>
      <w:r w:rsidRPr="009940DD">
        <w:rPr>
          <w:rFonts w:ascii="Times New Roman" w:hAnsi="Times New Roman" w:cs="Times New Roman"/>
          <w:sz w:val="24"/>
          <w:szCs w:val="24"/>
        </w:rPr>
        <w:t xml:space="preserve">This collection of information request is associated with </w:t>
      </w:r>
      <w:r w:rsidRPr="009940DD" w:rsidR="00124CF7">
        <w:rPr>
          <w:rFonts w:ascii="Times New Roman" w:hAnsi="Times New Roman" w:cs="Times New Roman"/>
          <w:sz w:val="24"/>
          <w:szCs w:val="24"/>
        </w:rPr>
        <w:t xml:space="preserve">our </w:t>
      </w:r>
      <w:r w:rsidRPr="009940DD" w:rsidR="002653AD">
        <w:rPr>
          <w:rFonts w:ascii="Times New Roman" w:hAnsi="Times New Roman" w:cs="Times New Roman"/>
          <w:sz w:val="24"/>
          <w:szCs w:val="24"/>
        </w:rPr>
        <w:t>May 9</w:t>
      </w:r>
      <w:r w:rsidRPr="009940DD" w:rsidR="00124CF7">
        <w:rPr>
          <w:rFonts w:ascii="Times New Roman" w:hAnsi="Times New Roman" w:cs="Times New Roman"/>
          <w:sz w:val="24"/>
          <w:szCs w:val="24"/>
        </w:rPr>
        <w:t xml:space="preserve">, 2022 </w:t>
      </w:r>
      <w:r w:rsidRPr="009940DD" w:rsidR="007B7BFB">
        <w:rPr>
          <w:rFonts w:ascii="Times New Roman" w:hAnsi="Times New Roman" w:cs="Times New Roman"/>
          <w:sz w:val="24"/>
          <w:szCs w:val="24"/>
        </w:rPr>
        <w:t>final</w:t>
      </w:r>
      <w:r w:rsidRPr="009940DD" w:rsidR="00124CF7">
        <w:rPr>
          <w:rFonts w:ascii="Times New Roman" w:hAnsi="Times New Roman" w:cs="Times New Roman"/>
          <w:sz w:val="24"/>
          <w:szCs w:val="24"/>
        </w:rPr>
        <w:t xml:space="preserve"> rule </w:t>
      </w:r>
      <w:bookmarkStart w:id="1" w:name="_Hlk122593561"/>
      <w:r w:rsidRPr="009940DD" w:rsidR="00124CF7">
        <w:rPr>
          <w:rFonts w:ascii="Times New Roman" w:hAnsi="Times New Roman" w:cs="Times New Roman"/>
          <w:sz w:val="24"/>
          <w:szCs w:val="24"/>
        </w:rPr>
        <w:t>(</w:t>
      </w:r>
      <w:r w:rsidRPr="009940DD" w:rsidR="007E665B">
        <w:rPr>
          <w:rFonts w:ascii="Times New Roman" w:hAnsi="Times New Roman" w:cs="Times New Roman"/>
          <w:sz w:val="24"/>
          <w:szCs w:val="24"/>
        </w:rPr>
        <w:t xml:space="preserve">87 </w:t>
      </w:r>
      <w:r w:rsidRPr="009940DD" w:rsidR="00124CF7">
        <w:rPr>
          <w:rFonts w:ascii="Times New Roman" w:hAnsi="Times New Roman" w:cs="Times New Roman"/>
          <w:sz w:val="24"/>
          <w:szCs w:val="24"/>
        </w:rPr>
        <w:t xml:space="preserve">FR </w:t>
      </w:r>
      <w:r w:rsidRPr="009940DD" w:rsidR="00D00058">
        <w:rPr>
          <w:rFonts w:ascii="Times New Roman" w:hAnsi="Times New Roman" w:cs="Times New Roman"/>
          <w:sz w:val="24"/>
          <w:szCs w:val="24"/>
        </w:rPr>
        <w:t>27704</w:t>
      </w:r>
      <w:r w:rsidRPr="009940DD" w:rsidR="004F4C25">
        <w:rPr>
          <w:rFonts w:ascii="Times New Roman" w:hAnsi="Times New Roman" w:cs="Times New Roman"/>
          <w:sz w:val="24"/>
          <w:szCs w:val="24"/>
        </w:rPr>
        <w:t>) (</w:t>
      </w:r>
      <w:r w:rsidRPr="009940DD" w:rsidR="00124CF7">
        <w:rPr>
          <w:rFonts w:ascii="Times New Roman" w:hAnsi="Times New Roman" w:cs="Times New Roman"/>
          <w:sz w:val="24"/>
          <w:szCs w:val="24"/>
        </w:rPr>
        <w:t>CMS-4192-</w:t>
      </w:r>
      <w:r w:rsidRPr="009940DD" w:rsidR="007B7BFB">
        <w:rPr>
          <w:rFonts w:ascii="Times New Roman" w:hAnsi="Times New Roman" w:cs="Times New Roman"/>
          <w:sz w:val="24"/>
          <w:szCs w:val="24"/>
        </w:rPr>
        <w:t>F</w:t>
      </w:r>
      <w:r w:rsidRPr="009940DD" w:rsidR="00124CF7">
        <w:rPr>
          <w:rFonts w:ascii="Times New Roman" w:hAnsi="Times New Roman" w:cs="Times New Roman"/>
          <w:sz w:val="24"/>
          <w:szCs w:val="24"/>
        </w:rPr>
        <w:t>, RIN 0938-AU30)</w:t>
      </w:r>
      <w:r w:rsidRPr="009940DD" w:rsidR="001A35E9">
        <w:rPr>
          <w:rFonts w:ascii="Times New Roman" w:hAnsi="Times New Roman" w:cs="Times New Roman"/>
          <w:sz w:val="24"/>
          <w:szCs w:val="24"/>
        </w:rPr>
        <w:t xml:space="preserve"> </w:t>
      </w:r>
      <w:bookmarkEnd w:id="1"/>
      <w:r w:rsidRPr="009940DD" w:rsidR="001A35E9">
        <w:rPr>
          <w:rFonts w:ascii="Times New Roman" w:hAnsi="Times New Roman" w:cs="Times New Roman"/>
          <w:sz w:val="24"/>
          <w:szCs w:val="24"/>
        </w:rPr>
        <w:t xml:space="preserve">(hereinafter referred to as the </w:t>
      </w:r>
      <w:r w:rsidRPr="009940DD" w:rsidR="007B7BFB">
        <w:rPr>
          <w:rFonts w:ascii="Times New Roman" w:hAnsi="Times New Roman" w:cs="Times New Roman"/>
          <w:sz w:val="24"/>
          <w:szCs w:val="24"/>
        </w:rPr>
        <w:t>May</w:t>
      </w:r>
      <w:r w:rsidRPr="009940DD" w:rsidR="001A35E9">
        <w:rPr>
          <w:rFonts w:ascii="Times New Roman" w:hAnsi="Times New Roman" w:cs="Times New Roman"/>
          <w:sz w:val="24"/>
          <w:szCs w:val="24"/>
        </w:rPr>
        <w:t xml:space="preserve"> 2022 </w:t>
      </w:r>
      <w:r w:rsidRPr="009940DD" w:rsidR="007B7BFB">
        <w:rPr>
          <w:rFonts w:ascii="Times New Roman" w:hAnsi="Times New Roman" w:cs="Times New Roman"/>
          <w:sz w:val="24"/>
          <w:szCs w:val="24"/>
        </w:rPr>
        <w:t>final</w:t>
      </w:r>
      <w:r w:rsidRPr="009940DD" w:rsidR="001A35E9">
        <w:rPr>
          <w:rFonts w:ascii="Times New Roman" w:hAnsi="Times New Roman" w:cs="Times New Roman"/>
          <w:sz w:val="24"/>
          <w:szCs w:val="24"/>
        </w:rPr>
        <w:t xml:space="preserve"> rule)</w:t>
      </w:r>
      <w:r w:rsidRPr="009940DD">
        <w:rPr>
          <w:rFonts w:ascii="Times New Roman" w:hAnsi="Times New Roman" w:cs="Times New Roman"/>
          <w:sz w:val="24"/>
          <w:szCs w:val="24"/>
        </w:rPr>
        <w:t xml:space="preserve">. In that rule </w:t>
      </w:r>
      <w:r w:rsidRPr="009940DD" w:rsidR="00124CF7">
        <w:rPr>
          <w:rFonts w:ascii="Times New Roman" w:hAnsi="Times New Roman" w:cs="Times New Roman"/>
          <w:sz w:val="24"/>
          <w:szCs w:val="24"/>
        </w:rPr>
        <w:t>we amend</w:t>
      </w:r>
      <w:r w:rsidRPr="009940DD" w:rsidR="007B7BFB">
        <w:rPr>
          <w:rFonts w:ascii="Times New Roman" w:hAnsi="Times New Roman" w:cs="Times New Roman"/>
          <w:sz w:val="24"/>
          <w:szCs w:val="24"/>
        </w:rPr>
        <w:t>ed</w:t>
      </w:r>
      <w:r w:rsidRPr="009940DD" w:rsidR="00124CF7">
        <w:rPr>
          <w:rFonts w:ascii="Times New Roman" w:hAnsi="Times New Roman" w:cs="Times New Roman"/>
          <w:sz w:val="24"/>
          <w:szCs w:val="24"/>
        </w:rPr>
        <w:t xml:space="preserve"> §§ 422.2460 and 423.2460 to </w:t>
      </w:r>
      <w:bookmarkStart w:id="2" w:name="_Hlk122595500"/>
      <w:r w:rsidRPr="009940DD" w:rsidR="00124CF7">
        <w:rPr>
          <w:rFonts w:ascii="Times New Roman" w:hAnsi="Times New Roman" w:cs="Times New Roman"/>
          <w:sz w:val="24"/>
          <w:szCs w:val="24"/>
        </w:rPr>
        <w:t>reinstate the detailed MLR reporting requirements</w:t>
      </w:r>
      <w:r w:rsidRPr="009940DD" w:rsidR="00D955E3">
        <w:rPr>
          <w:rFonts w:ascii="Times New Roman" w:hAnsi="Times New Roman" w:cs="Times New Roman"/>
          <w:sz w:val="24"/>
          <w:szCs w:val="24"/>
        </w:rPr>
        <w:t xml:space="preserve"> that were in effect for CYs 2014 through 2017. In addition</w:t>
      </w:r>
      <w:r w:rsidRPr="009940DD" w:rsidR="00124CF7">
        <w:rPr>
          <w:rFonts w:ascii="Times New Roman" w:hAnsi="Times New Roman" w:cs="Times New Roman"/>
          <w:sz w:val="24"/>
          <w:szCs w:val="24"/>
        </w:rPr>
        <w:t xml:space="preserve">, </w:t>
      </w:r>
      <w:r w:rsidRPr="009940DD" w:rsidR="00D955E3">
        <w:rPr>
          <w:rFonts w:ascii="Times New Roman" w:hAnsi="Times New Roman" w:cs="Times New Roman"/>
          <w:sz w:val="24"/>
          <w:szCs w:val="24"/>
        </w:rPr>
        <w:t>we expand</w:t>
      </w:r>
      <w:r w:rsidRPr="009940DD" w:rsidR="007B7BFB">
        <w:rPr>
          <w:rFonts w:ascii="Times New Roman" w:hAnsi="Times New Roman" w:cs="Times New Roman"/>
          <w:sz w:val="24"/>
          <w:szCs w:val="24"/>
        </w:rPr>
        <w:t>ed</w:t>
      </w:r>
      <w:r w:rsidRPr="009940DD" w:rsidR="00D955E3">
        <w:rPr>
          <w:rFonts w:ascii="Times New Roman" w:hAnsi="Times New Roman" w:cs="Times New Roman"/>
          <w:sz w:val="24"/>
          <w:szCs w:val="24"/>
        </w:rPr>
        <w:t xml:space="preserve"> those detailed reporting requirements to include separate</w:t>
      </w:r>
      <w:r w:rsidRPr="009940DD" w:rsidR="00124CF7">
        <w:rPr>
          <w:rFonts w:ascii="Times New Roman" w:hAnsi="Times New Roman" w:cs="Times New Roman"/>
          <w:sz w:val="24"/>
          <w:szCs w:val="24"/>
        </w:rPr>
        <w:t xml:space="preserve"> reporting of </w:t>
      </w:r>
      <w:r w:rsidRPr="009940DD" w:rsidR="00D955E3">
        <w:rPr>
          <w:rFonts w:ascii="Times New Roman" w:hAnsi="Times New Roman" w:cs="Times New Roman"/>
          <w:sz w:val="24"/>
          <w:szCs w:val="24"/>
        </w:rPr>
        <w:t xml:space="preserve">amounts spent on </w:t>
      </w:r>
      <w:r w:rsidRPr="009940DD" w:rsidR="00124CF7">
        <w:rPr>
          <w:rFonts w:ascii="Times New Roman" w:hAnsi="Times New Roman" w:cs="Times New Roman"/>
          <w:sz w:val="24"/>
          <w:szCs w:val="24"/>
        </w:rPr>
        <w:t>MA supplemental benefits.</w:t>
      </w:r>
      <w:bookmarkEnd w:id="2"/>
    </w:p>
    <w:p w:rsidR="00124CF7" w:rsidRPr="009940DD" w:rsidP="00AB6197" w14:paraId="50D947A9" w14:textId="2785963F">
      <w:pPr>
        <w:spacing w:after="0" w:line="240" w:lineRule="auto"/>
        <w:rPr>
          <w:rFonts w:ascii="Times New Roman" w:hAnsi="Times New Roman" w:cs="Times New Roman"/>
          <w:sz w:val="24"/>
          <w:szCs w:val="24"/>
        </w:rPr>
      </w:pPr>
      <w:r w:rsidRPr="009940DD">
        <w:rPr>
          <w:rFonts w:ascii="Times New Roman" w:hAnsi="Times New Roman" w:cs="Times New Roman"/>
          <w:sz w:val="24"/>
          <w:szCs w:val="24"/>
        </w:rPr>
        <w:t>We revise</w:t>
      </w:r>
      <w:r w:rsidRPr="009940DD" w:rsidR="007B7BFB">
        <w:rPr>
          <w:rFonts w:ascii="Times New Roman" w:hAnsi="Times New Roman" w:cs="Times New Roman"/>
          <w:sz w:val="24"/>
          <w:szCs w:val="24"/>
        </w:rPr>
        <w:t>d</w:t>
      </w:r>
      <w:r w:rsidRPr="009940DD">
        <w:rPr>
          <w:rFonts w:ascii="Times New Roman" w:hAnsi="Times New Roman" w:cs="Times New Roman"/>
          <w:sz w:val="24"/>
          <w:szCs w:val="24"/>
        </w:rPr>
        <w:t xml:space="preserve"> our information collection request to take into account (1) the additional burden for MA organizations and Part D sponsors to report their MLRs under the reporting requirements</w:t>
      </w:r>
      <w:r w:rsidRPr="009940DD" w:rsidR="00003BF3">
        <w:rPr>
          <w:rFonts w:ascii="Times New Roman" w:hAnsi="Times New Roman" w:cs="Times New Roman"/>
          <w:sz w:val="24"/>
          <w:szCs w:val="24"/>
        </w:rPr>
        <w:t xml:space="preserve"> as finalized in the M</w:t>
      </w:r>
      <w:r w:rsidRPr="00392EF8" w:rsidR="00003BF3">
        <w:rPr>
          <w:rFonts w:ascii="Times New Roman" w:hAnsi="Times New Roman" w:cs="Times New Roman"/>
          <w:sz w:val="24"/>
          <w:szCs w:val="24"/>
        </w:rPr>
        <w:t>ay 2022 final rule</w:t>
      </w:r>
      <w:r w:rsidRPr="009940DD">
        <w:rPr>
          <w:rFonts w:ascii="Times New Roman" w:hAnsi="Times New Roman" w:cs="Times New Roman"/>
          <w:sz w:val="24"/>
          <w:szCs w:val="24"/>
        </w:rPr>
        <w:t>;</w:t>
      </w:r>
      <w:r w:rsidRPr="009940DD" w:rsidR="008C27EF">
        <w:rPr>
          <w:rFonts w:ascii="Times New Roman" w:hAnsi="Times New Roman" w:cs="Times New Roman"/>
          <w:sz w:val="24"/>
          <w:szCs w:val="24"/>
        </w:rPr>
        <w:t xml:space="preserve"> and</w:t>
      </w:r>
      <w:r w:rsidRPr="009940DD">
        <w:rPr>
          <w:rFonts w:ascii="Times New Roman" w:hAnsi="Times New Roman" w:cs="Times New Roman"/>
          <w:sz w:val="24"/>
          <w:szCs w:val="24"/>
        </w:rPr>
        <w:t xml:space="preserve"> (2) the elimination of the burden for MA organizations to calculate and apply the deductible factor to the MLR calculation for MA MSA contracts because the software used to report Medicare MLRs under the </w:t>
      </w:r>
      <w:r w:rsidR="005C6269">
        <w:rPr>
          <w:rFonts w:ascii="Times New Roman" w:hAnsi="Times New Roman" w:cs="Times New Roman"/>
          <w:sz w:val="24"/>
          <w:szCs w:val="24"/>
        </w:rPr>
        <w:t>finalized</w:t>
      </w:r>
      <w:r w:rsidRPr="009940DD">
        <w:rPr>
          <w:rFonts w:ascii="Times New Roman" w:hAnsi="Times New Roman" w:cs="Times New Roman"/>
          <w:sz w:val="24"/>
          <w:szCs w:val="24"/>
        </w:rPr>
        <w:t xml:space="preserve"> requirements w</w:t>
      </w:r>
      <w:r w:rsidR="005C6269">
        <w:rPr>
          <w:rFonts w:ascii="Times New Roman" w:hAnsi="Times New Roman" w:cs="Times New Roman"/>
          <w:sz w:val="24"/>
          <w:szCs w:val="24"/>
        </w:rPr>
        <w:t>ill</w:t>
      </w:r>
      <w:r w:rsidRPr="009940DD">
        <w:rPr>
          <w:rFonts w:ascii="Times New Roman" w:hAnsi="Times New Roman" w:cs="Times New Roman"/>
          <w:sz w:val="24"/>
          <w:szCs w:val="24"/>
        </w:rPr>
        <w:t xml:space="preserve"> automatically calculate this burden.</w:t>
      </w:r>
    </w:p>
    <w:p w:rsidR="001C7D88" w:rsidP="001C7D88" w14:paraId="3D9F745C" w14:textId="259E54C2">
      <w:pPr>
        <w:spacing w:after="0" w:line="240" w:lineRule="auto"/>
        <w:rPr>
          <w:rFonts w:ascii="Times New Roman" w:hAnsi="Times New Roman" w:cs="Times New Roman"/>
          <w:sz w:val="24"/>
          <w:szCs w:val="24"/>
        </w:rPr>
      </w:pPr>
    </w:p>
    <w:p w:rsidR="00507649" w:rsidP="001C7D88" w14:paraId="46266A9F" w14:textId="1CC1C46B">
      <w:pPr>
        <w:spacing w:after="0" w:line="240" w:lineRule="auto"/>
        <w:rPr>
          <w:rFonts w:ascii="Times New Roman" w:hAnsi="Times New Roman" w:cs="Times New Roman"/>
          <w:sz w:val="24"/>
          <w:szCs w:val="24"/>
        </w:rPr>
      </w:pPr>
      <w:r w:rsidRPr="00507649">
        <w:rPr>
          <w:rFonts w:ascii="Times New Roman" w:hAnsi="Times New Roman" w:cs="Times New Roman"/>
          <w:sz w:val="24"/>
          <w:szCs w:val="24"/>
        </w:rPr>
        <w:t>Overall, this collection of information request adds 14 respondents/responses and 15,589 hours.</w:t>
      </w:r>
    </w:p>
    <w:p w:rsidR="00507649" w:rsidRPr="009940DD" w:rsidP="001C7D88" w14:paraId="2FC6A7C9" w14:textId="77777777">
      <w:pPr>
        <w:spacing w:after="0" w:line="240" w:lineRule="auto"/>
        <w:rPr>
          <w:rFonts w:ascii="Times New Roman" w:hAnsi="Times New Roman" w:cs="Times New Roman"/>
          <w:sz w:val="24"/>
          <w:szCs w:val="24"/>
        </w:rPr>
      </w:pPr>
    </w:p>
    <w:p w:rsidR="001C7D88" w:rsidRPr="00AB6197" w:rsidP="00AB6197" w14:paraId="471E3F54" w14:textId="4123854F">
      <w:pPr>
        <w:spacing w:after="0" w:line="240" w:lineRule="auto"/>
        <w:rPr>
          <w:rFonts w:ascii="Times New Roman" w:hAnsi="Times New Roman"/>
          <w:sz w:val="24"/>
        </w:rPr>
      </w:pPr>
      <w:r w:rsidRPr="009940DD">
        <w:rPr>
          <w:rFonts w:ascii="Times New Roman" w:hAnsi="Times New Roman" w:cs="Times New Roman"/>
          <w:sz w:val="24"/>
          <w:szCs w:val="24"/>
        </w:rPr>
        <w:t xml:space="preserve">Out active collection of information </w:t>
      </w:r>
      <w:r w:rsidRPr="009940DD" w:rsidR="00011D2A">
        <w:rPr>
          <w:rFonts w:ascii="Times New Roman" w:hAnsi="Times New Roman" w:cs="Times New Roman"/>
          <w:sz w:val="24"/>
          <w:szCs w:val="24"/>
        </w:rPr>
        <w:t>requir</w:t>
      </w:r>
      <w:r w:rsidRPr="009940DD" w:rsidR="00210B42">
        <w:rPr>
          <w:rFonts w:ascii="Times New Roman" w:hAnsi="Times New Roman" w:cs="Times New Roman"/>
          <w:sz w:val="24"/>
          <w:szCs w:val="24"/>
        </w:rPr>
        <w:t>e</w:t>
      </w:r>
      <w:r w:rsidRPr="009940DD" w:rsidR="00011D2A">
        <w:rPr>
          <w:rFonts w:ascii="Times New Roman" w:hAnsi="Times New Roman" w:cs="Times New Roman"/>
          <w:sz w:val="24"/>
          <w:szCs w:val="24"/>
        </w:rPr>
        <w:t>m</w:t>
      </w:r>
      <w:r w:rsidRPr="009940DD" w:rsidR="00210B42">
        <w:rPr>
          <w:rFonts w:ascii="Times New Roman" w:hAnsi="Times New Roman" w:cs="Times New Roman"/>
          <w:sz w:val="24"/>
          <w:szCs w:val="24"/>
        </w:rPr>
        <w:t>e</w:t>
      </w:r>
      <w:r w:rsidRPr="009940DD" w:rsidR="00011D2A">
        <w:rPr>
          <w:rFonts w:ascii="Times New Roman" w:hAnsi="Times New Roman" w:cs="Times New Roman"/>
          <w:sz w:val="24"/>
          <w:szCs w:val="24"/>
        </w:rPr>
        <w:t xml:space="preserve">nts </w:t>
      </w:r>
      <w:r w:rsidRPr="009940DD">
        <w:rPr>
          <w:rFonts w:ascii="Times New Roman" w:hAnsi="Times New Roman" w:cs="Times New Roman"/>
          <w:sz w:val="24"/>
          <w:szCs w:val="24"/>
        </w:rPr>
        <w:t>include two ICs: our MLR Data Form</w:t>
      </w:r>
      <w:r w:rsidRPr="009940DD">
        <w:rPr>
          <w:rFonts w:ascii="Times New Roman" w:hAnsi="Times New Roman" w:cs="Times New Roman"/>
          <w:sz w:val="24"/>
          <w:szCs w:val="24"/>
        </w:rPr>
        <w:t xml:space="preserve"> </w:t>
      </w:r>
      <w:r w:rsidRPr="009940DD">
        <w:rPr>
          <w:rFonts w:ascii="Times New Roman" w:hAnsi="Times New Roman" w:cs="Times New Roman"/>
          <w:sz w:val="24"/>
          <w:szCs w:val="24"/>
        </w:rPr>
        <w:t xml:space="preserve">and our MLR Data Submission Instructions. </w:t>
      </w:r>
      <w:r w:rsidRPr="009940DD" w:rsidR="002542E4">
        <w:rPr>
          <w:rFonts w:ascii="Times New Roman" w:hAnsi="Times New Roman" w:cs="Times New Roman"/>
          <w:sz w:val="24"/>
          <w:szCs w:val="24"/>
        </w:rPr>
        <w:t>We are revising both (see the attached Crosswalk</w:t>
      </w:r>
      <w:r w:rsidRPr="009940DD" w:rsidR="00ED2C8B">
        <w:rPr>
          <w:rFonts w:ascii="Times New Roman" w:hAnsi="Times New Roman" w:cs="Times New Roman"/>
          <w:sz w:val="24"/>
          <w:szCs w:val="24"/>
        </w:rPr>
        <w:t>s</w:t>
      </w:r>
      <w:r w:rsidRPr="009940DD" w:rsidR="002542E4">
        <w:rPr>
          <w:rFonts w:ascii="Times New Roman" w:hAnsi="Times New Roman" w:cs="Times New Roman"/>
          <w:sz w:val="24"/>
          <w:szCs w:val="24"/>
        </w:rPr>
        <w:t xml:space="preserve"> and Track Change versions for details).</w:t>
      </w:r>
    </w:p>
    <w:p w:rsidR="001C7D88" w:rsidRPr="009940DD" w:rsidP="001C7D88" w14:paraId="71A0539E" w14:textId="77777777">
      <w:pPr>
        <w:spacing w:after="0" w:line="240" w:lineRule="auto"/>
        <w:rPr>
          <w:rFonts w:ascii="Times New Roman" w:hAnsi="Times New Roman" w:cs="Times New Roman"/>
          <w:sz w:val="24"/>
          <w:szCs w:val="24"/>
        </w:rPr>
      </w:pPr>
    </w:p>
    <w:bookmarkEnd w:id="0"/>
    <w:p w:rsidR="00D45B7E" w:rsidRPr="004B62EB" w:rsidP="00AB6197" w14:paraId="2D737989" w14:textId="3A2C58F1">
      <w:pPr>
        <w:pStyle w:val="Heading3"/>
        <w:spacing w:after="0" w:line="240" w:lineRule="auto"/>
      </w:pPr>
      <w:r w:rsidRPr="009940DD">
        <w:t>A. Justification</w:t>
      </w:r>
    </w:p>
    <w:p w:rsidR="00D45B7E" w:rsidRPr="004B62EB" w:rsidP="00D50718" w14:paraId="208CDD26" w14:textId="525CFB61">
      <w:pPr>
        <w:pStyle w:val="Heading4"/>
        <w:spacing w:before="240" w:after="240" w:line="240" w:lineRule="auto"/>
      </w:pPr>
      <w:r w:rsidRPr="00570B5E">
        <w:rPr>
          <w:b w:val="0"/>
          <w:u w:val="single"/>
        </w:rPr>
        <w:t xml:space="preserve">1. </w:t>
      </w:r>
      <w:r w:rsidRPr="00570B5E" w:rsidR="00354DDB">
        <w:rPr>
          <w:b w:val="0"/>
          <w:u w:val="single"/>
        </w:rPr>
        <w:t>Need</w:t>
      </w:r>
      <w:r w:rsidRPr="00570B5E" w:rsidR="00354DDB">
        <w:rPr>
          <w:b w:val="0"/>
          <w:spacing w:val="-2"/>
          <w:u w:val="single"/>
        </w:rPr>
        <w:t xml:space="preserve"> </w:t>
      </w:r>
      <w:r w:rsidRPr="00570B5E" w:rsidR="00354DDB">
        <w:rPr>
          <w:b w:val="0"/>
          <w:u w:val="single"/>
        </w:rPr>
        <w:t>and</w:t>
      </w:r>
      <w:r w:rsidRPr="00570B5E" w:rsidR="00354DDB">
        <w:rPr>
          <w:b w:val="0"/>
          <w:spacing w:val="6"/>
          <w:u w:val="single"/>
        </w:rPr>
        <w:t xml:space="preserve"> </w:t>
      </w:r>
      <w:r w:rsidRPr="00570B5E" w:rsidR="00354DDB">
        <w:rPr>
          <w:b w:val="0"/>
          <w:u w:val="single"/>
        </w:rPr>
        <w:t>Legal</w:t>
      </w:r>
      <w:r w:rsidRPr="00570B5E" w:rsidR="00354DDB">
        <w:rPr>
          <w:b w:val="0"/>
          <w:spacing w:val="30"/>
          <w:u w:val="single"/>
        </w:rPr>
        <w:t xml:space="preserve"> </w:t>
      </w:r>
      <w:r w:rsidRPr="00570B5E" w:rsidR="00354DDB">
        <w:rPr>
          <w:b w:val="0"/>
          <w:w w:val="101"/>
          <w:u w:val="single"/>
        </w:rPr>
        <w:t>Basis</w:t>
      </w:r>
    </w:p>
    <w:p w:rsidR="004E01F1" w:rsidRPr="00387EC3" w:rsidP="00D50718" w14:paraId="3E4E3BBD" w14:textId="3D3723CE">
      <w:pPr>
        <w:pStyle w:val="BodyText"/>
        <w:spacing w:before="240" w:line="240" w:lineRule="auto"/>
        <w:jc w:val="left"/>
        <w:rPr>
          <w:i/>
        </w:rPr>
      </w:pPr>
      <w:r w:rsidRPr="00387EC3">
        <w:rPr>
          <w:i/>
        </w:rPr>
        <w:t>Statutory Requirements</w:t>
      </w:r>
    </w:p>
    <w:p w:rsidR="00713EDB" w:rsidRPr="00387EC3" w:rsidP="00D50718" w14:paraId="06B66282" w14:textId="013E2CC7">
      <w:pPr>
        <w:pStyle w:val="BodyText"/>
        <w:spacing w:before="240" w:line="240" w:lineRule="auto"/>
        <w:jc w:val="left"/>
      </w:pPr>
      <w:r w:rsidRPr="00387EC3">
        <w:t>The Patient Protection and Affordable Care Act (Pub. L. 111–148), was enacted on March 23, 2010; the Health Care and Education Reconciliation Act (Pub. L. 111–152) (</w:t>
      </w:r>
      <w:r w:rsidRPr="00387EC3" w:rsidR="00491AB8">
        <w:t>“</w:t>
      </w:r>
      <w:r w:rsidRPr="00387EC3">
        <w:t>Reconciliation Act</w:t>
      </w:r>
      <w:r w:rsidRPr="00387EC3" w:rsidR="00491AB8">
        <w:t>”</w:t>
      </w:r>
      <w:r w:rsidRPr="00387EC3">
        <w:t>), was enacted on March 30, 2010.</w:t>
      </w:r>
      <w:r w:rsidRPr="00387EC3" w:rsidR="001314AA">
        <w:t xml:space="preserve"> </w:t>
      </w:r>
    </w:p>
    <w:p w:rsidR="00D45B7E" w:rsidRPr="00387EC3" w:rsidP="00D50718" w14:paraId="1304D3B1" w14:textId="3775EF7C">
      <w:pPr>
        <w:pStyle w:val="BodyText"/>
        <w:spacing w:before="240" w:line="240" w:lineRule="auto"/>
        <w:jc w:val="left"/>
      </w:pPr>
      <w:r w:rsidRPr="00387EC3">
        <w:t>S</w:t>
      </w:r>
      <w:r w:rsidRPr="00387EC3" w:rsidR="00B136C0">
        <w:t>ection 1103 of the Reconciliation Act amend</w:t>
      </w:r>
      <w:r w:rsidRPr="00387EC3" w:rsidR="00750767">
        <w:t>ed</w:t>
      </w:r>
      <w:r w:rsidRPr="00387EC3" w:rsidR="00B136C0">
        <w:t xml:space="preserve"> section 1857(e) of the Social Security Act (the Act) </w:t>
      </w:r>
      <w:r w:rsidRPr="00387EC3" w:rsidR="00394704">
        <w:t>by</w:t>
      </w:r>
      <w:r w:rsidRPr="00387EC3" w:rsidR="00B136C0">
        <w:t xml:space="preserve"> add</w:t>
      </w:r>
      <w:r w:rsidRPr="00387EC3" w:rsidR="00394704">
        <w:t xml:space="preserve">ing a minimum </w:t>
      </w:r>
      <w:r w:rsidRPr="00387EC3" w:rsidR="00B136C0">
        <w:t>medical loss ratio (MLR) requirement</w:t>
      </w:r>
      <w:r w:rsidRPr="00387EC3" w:rsidR="00120988">
        <w:t xml:space="preserve"> to the MA program</w:t>
      </w:r>
      <w:r w:rsidRPr="00387EC3" w:rsidR="00B136C0">
        <w:t>. An MLR is expressed as a percentage, generally representing the percentage of revenue used for patient care, rather than for such other items as administrative expenses or profit. Because section 1860D–12(b)(3)(D) of</w:t>
      </w:r>
      <w:r w:rsidRPr="00387EC3" w:rsidR="00EE2991">
        <w:t xml:space="preserve"> </w:t>
      </w:r>
      <w:r w:rsidRPr="00387EC3" w:rsidR="00B136C0">
        <w:t>the Act incorporates by reference the</w:t>
      </w:r>
      <w:r w:rsidRPr="00387EC3">
        <w:t xml:space="preserve"> </w:t>
      </w:r>
      <w:r w:rsidRPr="00387EC3" w:rsidR="00B136C0">
        <w:t>requirements of section 1857(e), th</w:t>
      </w:r>
      <w:r w:rsidRPr="00387EC3" w:rsidR="00BD18DB">
        <w:t>e</w:t>
      </w:r>
      <w:r w:rsidRPr="00387EC3" w:rsidR="00394704">
        <w:t xml:space="preserve"> minimum</w:t>
      </w:r>
      <w:r w:rsidRPr="00387EC3" w:rsidR="00B136C0">
        <w:t xml:space="preserve"> </w:t>
      </w:r>
      <w:r w:rsidRPr="00387EC3" w:rsidR="00120988">
        <w:t>MLR</w:t>
      </w:r>
      <w:r w:rsidRPr="00387EC3" w:rsidR="00B136C0">
        <w:t xml:space="preserve"> requirement also appl</w:t>
      </w:r>
      <w:r w:rsidRPr="00387EC3" w:rsidR="00564BF4">
        <w:t>ies</w:t>
      </w:r>
      <w:r w:rsidRPr="00387EC3" w:rsidR="00B136C0">
        <w:t xml:space="preserve"> to the Part</w:t>
      </w:r>
      <w:r w:rsidRPr="00387EC3">
        <w:t xml:space="preserve"> </w:t>
      </w:r>
      <w:r w:rsidRPr="00387EC3" w:rsidR="00B136C0">
        <w:t>D program.</w:t>
      </w:r>
      <w:r w:rsidRPr="00387EC3" w:rsidR="001314AA">
        <w:t xml:space="preserve"> The MLR requirement for the MA and Part D programs </w:t>
      </w:r>
      <w:r w:rsidRPr="00387EC3" w:rsidR="00DE1738">
        <w:t xml:space="preserve">took </w:t>
      </w:r>
      <w:r w:rsidRPr="00387EC3" w:rsidR="001314AA">
        <w:t>effect in contract year 2014.</w:t>
      </w:r>
    </w:p>
    <w:p w:rsidR="002557D3" w:rsidP="00D50718" w14:paraId="7C1E4053" w14:textId="0F55A521">
      <w:pPr>
        <w:pStyle w:val="BodyText"/>
        <w:spacing w:before="240" w:line="240" w:lineRule="auto"/>
        <w:jc w:val="left"/>
      </w:pPr>
      <w:r w:rsidRPr="00387EC3">
        <w:t xml:space="preserve">Under </w:t>
      </w:r>
      <w:r w:rsidRPr="00387EC3" w:rsidR="00394704">
        <w:t xml:space="preserve">the minimum MLR </w:t>
      </w:r>
      <w:r w:rsidRPr="00387EC3">
        <w:t>requirement, MA organizations and Part D sponsors are</w:t>
      </w:r>
      <w:r w:rsidRPr="004B62EB">
        <w:t xml:space="preserve"> subject to financial and other penalties for a failure to meet </w:t>
      </w:r>
      <w:r w:rsidRPr="004B62EB" w:rsidR="00AC5120">
        <w:t>the</w:t>
      </w:r>
      <w:r w:rsidRPr="004B62EB">
        <w:t xml:space="preserve"> statutory requirement that they have an MLR of at least 85 percent.</w:t>
      </w:r>
      <w:r w:rsidRPr="004B62EB" w:rsidR="00566CD3">
        <w:t xml:space="preserve"> </w:t>
      </w:r>
      <w:r w:rsidRPr="00715554">
        <w:t xml:space="preserve">The </w:t>
      </w:r>
      <w:r w:rsidR="008C4B74">
        <w:t xml:space="preserve">Patient Protection and Affordable Care </w:t>
      </w:r>
      <w:r w:rsidR="008E2E14">
        <w:t>Act</w:t>
      </w:r>
      <w:r w:rsidRPr="004B62EB">
        <w:t xml:space="preserve"> </w:t>
      </w:r>
      <w:r w:rsidRPr="004B62EB">
        <w:t>requires several levels of sanctions for failure to meet the 85 percent minimum MLR requirement, including remittance of funds to CMS, a prohibition on enrolling new members, and</w:t>
      </w:r>
      <w:r w:rsidRPr="004B62EB" w:rsidR="00AC5120">
        <w:t>,</w:t>
      </w:r>
      <w:r w:rsidRPr="004B62EB">
        <w:t xml:space="preserve"> ultimately</w:t>
      </w:r>
      <w:r w:rsidRPr="004B62EB" w:rsidR="00AC5120">
        <w:t>,</w:t>
      </w:r>
      <w:r w:rsidRPr="004B62EB">
        <w:t xml:space="preserve"> contract termination.</w:t>
      </w:r>
    </w:p>
    <w:p w:rsidR="004E01F1" w:rsidRPr="009940DD" w:rsidP="004E01F1" w14:paraId="7417D71C" w14:textId="01FCFA80">
      <w:pPr>
        <w:pStyle w:val="BodyText"/>
        <w:spacing w:before="240" w:line="240" w:lineRule="auto"/>
        <w:jc w:val="left"/>
        <w:rPr>
          <w:i/>
        </w:rPr>
      </w:pPr>
      <w:bookmarkStart w:id="3" w:name="_Hlk91967624"/>
      <w:r w:rsidRPr="009940DD">
        <w:rPr>
          <w:i/>
        </w:rPr>
        <w:t>CMS Regulations</w:t>
      </w:r>
    </w:p>
    <w:p w:rsidR="005E0CB5" w:rsidRPr="009940DD" w:rsidP="00254605" w14:paraId="6787ED4B" w14:textId="15715937">
      <w:pPr>
        <w:spacing w:before="240" w:after="240" w:line="240" w:lineRule="auto"/>
        <w:rPr>
          <w:rFonts w:ascii="Times New Roman" w:hAnsi="Times New Roman" w:cs="Times New Roman"/>
          <w:sz w:val="24"/>
          <w:szCs w:val="24"/>
        </w:rPr>
      </w:pPr>
      <w:r>
        <w:rPr>
          <w:rFonts w:ascii="Times New Roman" w:hAnsi="Times New Roman" w:cs="Times New Roman"/>
          <w:sz w:val="24"/>
          <w:szCs w:val="24"/>
        </w:rPr>
        <w:t xml:space="preserve">CMS </w:t>
      </w:r>
      <w:r w:rsidR="002316E5">
        <w:rPr>
          <w:rFonts w:ascii="Times New Roman" w:hAnsi="Times New Roman" w:cs="Times New Roman"/>
          <w:sz w:val="24"/>
          <w:szCs w:val="24"/>
        </w:rPr>
        <w:t>implemented</w:t>
      </w:r>
      <w:r>
        <w:rPr>
          <w:rFonts w:ascii="Times New Roman" w:hAnsi="Times New Roman" w:cs="Times New Roman"/>
          <w:sz w:val="24"/>
          <w:szCs w:val="24"/>
        </w:rPr>
        <w:t xml:space="preserve"> the changes as required through the Patient Protection and Affordable Care Act and Reconciliation Act through a </w:t>
      </w:r>
      <w:r w:rsidRPr="00940DB3">
        <w:rPr>
          <w:rFonts w:ascii="Times New Roman" w:hAnsi="Times New Roman" w:cs="Times New Roman"/>
          <w:sz w:val="24"/>
          <w:szCs w:val="24"/>
        </w:rPr>
        <w:t>final rule for the M</w:t>
      </w:r>
      <w:r>
        <w:rPr>
          <w:rFonts w:ascii="Times New Roman" w:hAnsi="Times New Roman" w:cs="Times New Roman"/>
          <w:sz w:val="24"/>
          <w:szCs w:val="24"/>
        </w:rPr>
        <w:t xml:space="preserve">A and </w:t>
      </w:r>
      <w:r w:rsidRPr="00940DB3">
        <w:rPr>
          <w:rFonts w:ascii="Times New Roman" w:hAnsi="Times New Roman" w:cs="Times New Roman"/>
          <w:sz w:val="24"/>
          <w:szCs w:val="24"/>
        </w:rPr>
        <w:t xml:space="preserve">Part D programs. </w:t>
      </w:r>
      <w:r w:rsidRPr="009940DD" w:rsidR="001E6F8F">
        <w:rPr>
          <w:rFonts w:ascii="Times New Roman" w:hAnsi="Times New Roman" w:cs="Times New Roman"/>
          <w:sz w:val="24"/>
          <w:szCs w:val="24"/>
        </w:rPr>
        <w:t xml:space="preserve">In </w:t>
      </w:r>
      <w:r w:rsidRPr="009940DD" w:rsidR="00D2153A">
        <w:rPr>
          <w:rFonts w:ascii="Times New Roman" w:hAnsi="Times New Roman" w:cs="Times New Roman"/>
          <w:sz w:val="24"/>
          <w:szCs w:val="24"/>
        </w:rPr>
        <w:t xml:space="preserve">our </w:t>
      </w:r>
      <w:r w:rsidRPr="009940DD" w:rsidR="001E6F8F">
        <w:rPr>
          <w:rFonts w:ascii="Times New Roman" w:hAnsi="Times New Roman" w:cs="Times New Roman"/>
          <w:sz w:val="24"/>
          <w:szCs w:val="24"/>
        </w:rPr>
        <w:t xml:space="preserve">May 23, 2013 </w:t>
      </w:r>
      <w:r w:rsidRPr="009940DD" w:rsidR="00982760">
        <w:rPr>
          <w:rFonts w:ascii="Times New Roman" w:hAnsi="Times New Roman" w:cs="Times New Roman"/>
          <w:sz w:val="24"/>
          <w:szCs w:val="24"/>
        </w:rPr>
        <w:t xml:space="preserve">(78 FR 31284) </w:t>
      </w:r>
      <w:r w:rsidRPr="009940DD" w:rsidR="001E6F8F">
        <w:rPr>
          <w:rFonts w:ascii="Times New Roman" w:hAnsi="Times New Roman" w:cs="Times New Roman"/>
          <w:sz w:val="24"/>
          <w:szCs w:val="24"/>
        </w:rPr>
        <w:t xml:space="preserve">final rule </w:t>
      </w:r>
      <w:r w:rsidRPr="009940DD" w:rsidR="003A42B0">
        <w:rPr>
          <w:rFonts w:ascii="Times New Roman" w:hAnsi="Times New Roman" w:cs="Times New Roman"/>
          <w:sz w:val="24"/>
          <w:szCs w:val="24"/>
        </w:rPr>
        <w:t>(</w:t>
      </w:r>
      <w:r w:rsidRPr="009940DD" w:rsidR="00720CD0">
        <w:rPr>
          <w:rFonts w:ascii="Times New Roman" w:hAnsi="Times New Roman" w:cs="Times New Roman"/>
          <w:sz w:val="24"/>
          <w:szCs w:val="24"/>
        </w:rPr>
        <w:t>CMS–4173–F</w:t>
      </w:r>
      <w:r w:rsidRPr="009940DD" w:rsidR="00982760">
        <w:rPr>
          <w:rFonts w:ascii="Times New Roman" w:hAnsi="Times New Roman" w:cs="Times New Roman"/>
          <w:sz w:val="24"/>
          <w:szCs w:val="24"/>
        </w:rPr>
        <w:t xml:space="preserve">, </w:t>
      </w:r>
      <w:r w:rsidRPr="009940DD" w:rsidR="00720CD0">
        <w:rPr>
          <w:rFonts w:ascii="Times New Roman" w:hAnsi="Times New Roman" w:cs="Times New Roman"/>
          <w:sz w:val="24"/>
          <w:szCs w:val="24"/>
        </w:rPr>
        <w:t>RIN 0938–AR69</w:t>
      </w:r>
      <w:r w:rsidRPr="009940DD" w:rsidR="00982760">
        <w:rPr>
          <w:rFonts w:ascii="Times New Roman" w:hAnsi="Times New Roman" w:cs="Times New Roman"/>
          <w:sz w:val="24"/>
          <w:szCs w:val="24"/>
        </w:rPr>
        <w:t>)</w:t>
      </w:r>
      <w:r w:rsidRPr="009940DD" w:rsidR="003A42B0">
        <w:rPr>
          <w:rFonts w:ascii="Times New Roman" w:hAnsi="Times New Roman" w:cs="Times New Roman"/>
          <w:sz w:val="24"/>
          <w:szCs w:val="24"/>
        </w:rPr>
        <w:t xml:space="preserve"> </w:t>
      </w:r>
      <w:r w:rsidRPr="009940DD" w:rsidR="001E6F8F">
        <w:rPr>
          <w:rFonts w:ascii="Times New Roman" w:hAnsi="Times New Roman" w:cs="Times New Roman"/>
          <w:sz w:val="24"/>
          <w:szCs w:val="24"/>
        </w:rPr>
        <w:t xml:space="preserve">regarding </w:t>
      </w:r>
      <w:r w:rsidRPr="009940DD" w:rsidR="00D2153A">
        <w:rPr>
          <w:rFonts w:ascii="Times New Roman" w:hAnsi="Times New Roman" w:cs="Times New Roman"/>
          <w:sz w:val="24"/>
          <w:szCs w:val="24"/>
        </w:rPr>
        <w:t xml:space="preserve">the </w:t>
      </w:r>
      <w:r w:rsidRPr="009940DD" w:rsidR="001E6F8F">
        <w:rPr>
          <w:rFonts w:ascii="Times New Roman" w:hAnsi="Times New Roman" w:cs="Times New Roman"/>
          <w:sz w:val="24"/>
          <w:szCs w:val="24"/>
        </w:rPr>
        <w:t>implementation of these new MLR requirements for the MA and Part D programs</w:t>
      </w:r>
      <w:r w:rsidRPr="009940DD" w:rsidR="001D246F">
        <w:rPr>
          <w:rFonts w:ascii="Times New Roman" w:hAnsi="Times New Roman" w:cs="Times New Roman"/>
          <w:sz w:val="24"/>
          <w:szCs w:val="24"/>
        </w:rPr>
        <w:t xml:space="preserve">, </w:t>
      </w:r>
      <w:r w:rsidRPr="009940DD" w:rsidR="003A42B0">
        <w:rPr>
          <w:rFonts w:ascii="Times New Roman" w:hAnsi="Times New Roman" w:cs="Times New Roman"/>
          <w:sz w:val="24"/>
          <w:szCs w:val="24"/>
        </w:rPr>
        <w:t xml:space="preserve">we </w:t>
      </w:r>
      <w:r w:rsidRPr="009940DD" w:rsidR="00D2153A">
        <w:rPr>
          <w:rFonts w:ascii="Times New Roman" w:hAnsi="Times New Roman" w:cs="Times New Roman"/>
          <w:sz w:val="24"/>
          <w:szCs w:val="24"/>
        </w:rPr>
        <w:t xml:space="preserve">established </w:t>
      </w:r>
      <w:r w:rsidRPr="009940DD" w:rsidR="001D246F">
        <w:rPr>
          <w:rFonts w:ascii="Times New Roman" w:hAnsi="Times New Roman" w:cs="Times New Roman"/>
          <w:sz w:val="24"/>
          <w:szCs w:val="24"/>
        </w:rPr>
        <w:t xml:space="preserve">the requirement that </w:t>
      </w:r>
      <w:r w:rsidRPr="009940DD" w:rsidR="001E6F8F">
        <w:rPr>
          <w:rFonts w:ascii="Times New Roman" w:hAnsi="Times New Roman" w:cs="Times New Roman"/>
          <w:sz w:val="24"/>
          <w:szCs w:val="24"/>
        </w:rPr>
        <w:t xml:space="preserve">MA </w:t>
      </w:r>
      <w:r w:rsidRPr="009940DD" w:rsidR="00AA6AED">
        <w:rPr>
          <w:rFonts w:ascii="Times New Roman" w:hAnsi="Times New Roman" w:cs="Times New Roman"/>
          <w:sz w:val="24"/>
          <w:szCs w:val="24"/>
        </w:rPr>
        <w:t xml:space="preserve">organizations </w:t>
      </w:r>
      <w:r w:rsidRPr="009940DD" w:rsidR="001E6F8F">
        <w:rPr>
          <w:rFonts w:ascii="Times New Roman" w:hAnsi="Times New Roman" w:cs="Times New Roman"/>
          <w:sz w:val="24"/>
          <w:szCs w:val="24"/>
        </w:rPr>
        <w:t xml:space="preserve">and Part D sponsors </w:t>
      </w:r>
      <w:r w:rsidRPr="009940DD" w:rsidR="00394704">
        <w:rPr>
          <w:rFonts w:ascii="Times New Roman" w:hAnsi="Times New Roman" w:cs="Times New Roman"/>
          <w:sz w:val="24"/>
          <w:szCs w:val="24"/>
        </w:rPr>
        <w:t xml:space="preserve">(collectively referred to as “plan sponsors” in this Supporting Statement) </w:t>
      </w:r>
      <w:r w:rsidRPr="009940DD" w:rsidR="009E7B95">
        <w:rPr>
          <w:rFonts w:ascii="Times New Roman" w:hAnsi="Times New Roman" w:cs="Times New Roman"/>
          <w:sz w:val="24"/>
          <w:szCs w:val="24"/>
        </w:rPr>
        <w:t xml:space="preserve">submit </w:t>
      </w:r>
      <w:r w:rsidRPr="009940DD" w:rsidR="00120988">
        <w:rPr>
          <w:rFonts w:ascii="Times New Roman" w:hAnsi="Times New Roman" w:cs="Times New Roman"/>
          <w:sz w:val="24"/>
          <w:szCs w:val="24"/>
        </w:rPr>
        <w:t xml:space="preserve">contract-level MLR data on an </w:t>
      </w:r>
      <w:r w:rsidRPr="009940DD" w:rsidR="001E6F8F">
        <w:rPr>
          <w:rFonts w:ascii="Times New Roman" w:hAnsi="Times New Roman" w:cs="Times New Roman"/>
          <w:sz w:val="24"/>
          <w:szCs w:val="24"/>
        </w:rPr>
        <w:t>annual</w:t>
      </w:r>
      <w:r w:rsidRPr="009940DD" w:rsidR="00120988">
        <w:rPr>
          <w:rFonts w:ascii="Times New Roman" w:hAnsi="Times New Roman" w:cs="Times New Roman"/>
          <w:sz w:val="24"/>
          <w:szCs w:val="24"/>
        </w:rPr>
        <w:t xml:space="preserve"> basis</w:t>
      </w:r>
      <w:r w:rsidRPr="009940DD" w:rsidR="003A42B0">
        <w:rPr>
          <w:rFonts w:ascii="Times New Roman" w:hAnsi="Times New Roman" w:cs="Times New Roman"/>
          <w:sz w:val="24"/>
          <w:szCs w:val="24"/>
        </w:rPr>
        <w:t xml:space="preserve"> (§§ 422.2460 and 423.2460)</w:t>
      </w:r>
      <w:r w:rsidRPr="009940DD" w:rsidR="009E7B95">
        <w:rPr>
          <w:rFonts w:ascii="Times New Roman" w:hAnsi="Times New Roman" w:cs="Times New Roman"/>
          <w:sz w:val="24"/>
          <w:szCs w:val="24"/>
        </w:rPr>
        <w:t xml:space="preserve">. </w:t>
      </w:r>
      <w:r w:rsidR="00251F9B">
        <w:rPr>
          <w:rFonts w:ascii="Times New Roman" w:hAnsi="Times New Roman" w:cs="Times New Roman"/>
          <w:sz w:val="24"/>
          <w:szCs w:val="24"/>
        </w:rPr>
        <w:t xml:space="preserve">This rule established the MLR reporting and recordkeeping requirements MA organizations and Part D sponsors originally had to fulfill. </w:t>
      </w:r>
      <w:r w:rsidRPr="009940DD" w:rsidR="00120988">
        <w:rPr>
          <w:rFonts w:ascii="Times New Roman" w:hAnsi="Times New Roman" w:cs="Times New Roman"/>
          <w:sz w:val="24"/>
          <w:szCs w:val="24"/>
        </w:rPr>
        <w:t xml:space="preserve"> </w:t>
      </w:r>
      <w:r w:rsidRPr="009940DD" w:rsidR="00D2153A">
        <w:rPr>
          <w:rFonts w:ascii="Times New Roman" w:hAnsi="Times New Roman" w:cs="Times New Roman"/>
          <w:sz w:val="24"/>
          <w:szCs w:val="24"/>
        </w:rPr>
        <w:t>However, i</w:t>
      </w:r>
      <w:r w:rsidRPr="009940DD" w:rsidR="00120988">
        <w:rPr>
          <w:rFonts w:ascii="Times New Roman" w:hAnsi="Times New Roman" w:cs="Times New Roman"/>
          <w:sz w:val="24"/>
          <w:szCs w:val="24"/>
        </w:rPr>
        <w:t xml:space="preserve">n </w:t>
      </w:r>
      <w:r w:rsidRPr="009940DD" w:rsidR="00982760">
        <w:rPr>
          <w:rFonts w:ascii="Times New Roman" w:hAnsi="Times New Roman" w:cs="Times New Roman"/>
          <w:sz w:val="24"/>
          <w:szCs w:val="24"/>
        </w:rPr>
        <w:t xml:space="preserve">our </w:t>
      </w:r>
      <w:r w:rsidRPr="009940DD" w:rsidR="00254605">
        <w:rPr>
          <w:rFonts w:ascii="Times New Roman" w:hAnsi="Times New Roman" w:cs="Times New Roman"/>
          <w:sz w:val="24"/>
          <w:szCs w:val="24"/>
        </w:rPr>
        <w:t xml:space="preserve">April </w:t>
      </w:r>
      <w:r w:rsidRPr="009940DD" w:rsidR="001B3880">
        <w:rPr>
          <w:rFonts w:ascii="Times New Roman" w:hAnsi="Times New Roman" w:cs="Times New Roman"/>
          <w:sz w:val="24"/>
          <w:szCs w:val="24"/>
        </w:rPr>
        <w:t xml:space="preserve">16, </w:t>
      </w:r>
      <w:r w:rsidRPr="009940DD" w:rsidR="00254605">
        <w:rPr>
          <w:rFonts w:ascii="Times New Roman" w:hAnsi="Times New Roman" w:cs="Times New Roman"/>
          <w:sz w:val="24"/>
          <w:szCs w:val="24"/>
        </w:rPr>
        <w:t>2018</w:t>
      </w:r>
      <w:r w:rsidRPr="009940DD" w:rsidR="00B946DC">
        <w:rPr>
          <w:rFonts w:ascii="Times New Roman" w:hAnsi="Times New Roman" w:cs="Times New Roman"/>
          <w:sz w:val="24"/>
          <w:szCs w:val="24"/>
        </w:rPr>
        <w:t xml:space="preserve"> </w:t>
      </w:r>
      <w:r w:rsidRPr="009940DD" w:rsidR="001B3880">
        <w:rPr>
          <w:rFonts w:ascii="Times New Roman" w:hAnsi="Times New Roman" w:cs="Times New Roman"/>
          <w:sz w:val="24"/>
          <w:szCs w:val="24"/>
        </w:rPr>
        <w:t xml:space="preserve">(83 FR 16440) </w:t>
      </w:r>
      <w:r w:rsidRPr="009940DD" w:rsidR="00EE73EC">
        <w:rPr>
          <w:rFonts w:ascii="Times New Roman" w:hAnsi="Times New Roman" w:cs="Times New Roman"/>
          <w:sz w:val="24"/>
          <w:szCs w:val="24"/>
        </w:rPr>
        <w:t>final</w:t>
      </w:r>
      <w:r w:rsidRPr="009940DD" w:rsidR="001D246F">
        <w:rPr>
          <w:rFonts w:ascii="Times New Roman" w:hAnsi="Times New Roman" w:cs="Times New Roman"/>
          <w:sz w:val="24"/>
          <w:szCs w:val="24"/>
        </w:rPr>
        <w:t xml:space="preserve"> rule</w:t>
      </w:r>
      <w:r w:rsidRPr="009940DD" w:rsidR="00D2153A">
        <w:rPr>
          <w:rFonts w:ascii="Times New Roman" w:hAnsi="Times New Roman" w:cs="Times New Roman"/>
          <w:sz w:val="24"/>
          <w:szCs w:val="24"/>
        </w:rPr>
        <w:t xml:space="preserve"> (CMS-4182-</w:t>
      </w:r>
      <w:r w:rsidRPr="009940DD" w:rsidR="00EE73EC">
        <w:rPr>
          <w:rFonts w:ascii="Times New Roman" w:hAnsi="Times New Roman" w:cs="Times New Roman"/>
          <w:sz w:val="24"/>
          <w:szCs w:val="24"/>
        </w:rPr>
        <w:t>F</w:t>
      </w:r>
      <w:r w:rsidRPr="009940DD" w:rsidR="00D2153A">
        <w:rPr>
          <w:rFonts w:ascii="Times New Roman" w:hAnsi="Times New Roman" w:cs="Times New Roman"/>
          <w:sz w:val="24"/>
          <w:szCs w:val="24"/>
        </w:rPr>
        <w:t>; RIN 0938-AT08)</w:t>
      </w:r>
      <w:r w:rsidRPr="009940DD" w:rsidR="001D246F">
        <w:rPr>
          <w:rFonts w:ascii="Times New Roman" w:hAnsi="Times New Roman" w:cs="Times New Roman"/>
          <w:sz w:val="24"/>
          <w:szCs w:val="24"/>
        </w:rPr>
        <w:t xml:space="preserve">, </w:t>
      </w:r>
      <w:r w:rsidRPr="009940DD" w:rsidR="00D2153A">
        <w:rPr>
          <w:rFonts w:ascii="Times New Roman" w:hAnsi="Times New Roman" w:cs="Times New Roman"/>
          <w:sz w:val="24"/>
          <w:szCs w:val="24"/>
        </w:rPr>
        <w:t xml:space="preserve">we </w:t>
      </w:r>
      <w:r w:rsidRPr="009940DD" w:rsidR="000D38D1">
        <w:rPr>
          <w:rFonts w:ascii="Times New Roman" w:hAnsi="Times New Roman" w:cs="Times New Roman"/>
          <w:sz w:val="24"/>
          <w:szCs w:val="24"/>
        </w:rPr>
        <w:t xml:space="preserve">finalized </w:t>
      </w:r>
      <w:r w:rsidRPr="009940DD" w:rsidR="001D246F">
        <w:rPr>
          <w:rFonts w:ascii="Times New Roman" w:hAnsi="Times New Roman" w:cs="Times New Roman"/>
          <w:sz w:val="24"/>
          <w:szCs w:val="24"/>
        </w:rPr>
        <w:t xml:space="preserve">that, for contract year </w:t>
      </w:r>
      <w:r w:rsidRPr="009940DD" w:rsidR="00316DC4">
        <w:rPr>
          <w:rFonts w:ascii="Times New Roman" w:hAnsi="Times New Roman" w:cs="Times New Roman"/>
          <w:sz w:val="24"/>
          <w:szCs w:val="24"/>
        </w:rPr>
        <w:t xml:space="preserve">2018 data (submitted in </w:t>
      </w:r>
      <w:r w:rsidRPr="009940DD" w:rsidR="001D246F">
        <w:rPr>
          <w:rFonts w:ascii="Times New Roman" w:hAnsi="Times New Roman" w:cs="Times New Roman"/>
          <w:sz w:val="24"/>
          <w:szCs w:val="24"/>
        </w:rPr>
        <w:t>201</w:t>
      </w:r>
      <w:r w:rsidRPr="009940DD" w:rsidR="00320152">
        <w:rPr>
          <w:rFonts w:ascii="Times New Roman" w:hAnsi="Times New Roman" w:cs="Times New Roman"/>
          <w:sz w:val="24"/>
          <w:szCs w:val="24"/>
        </w:rPr>
        <w:t>9</w:t>
      </w:r>
      <w:r w:rsidRPr="009940DD" w:rsidR="00316DC4">
        <w:rPr>
          <w:rFonts w:ascii="Times New Roman" w:hAnsi="Times New Roman" w:cs="Times New Roman"/>
          <w:sz w:val="24"/>
          <w:szCs w:val="24"/>
        </w:rPr>
        <w:t>)</w:t>
      </w:r>
      <w:r w:rsidRPr="009940DD" w:rsidR="001D246F">
        <w:rPr>
          <w:rFonts w:ascii="Times New Roman" w:hAnsi="Times New Roman" w:cs="Times New Roman"/>
          <w:sz w:val="24"/>
          <w:szCs w:val="24"/>
        </w:rPr>
        <w:t xml:space="preserve"> and </w:t>
      </w:r>
      <w:r w:rsidRPr="009940DD" w:rsidR="00316DC4">
        <w:rPr>
          <w:rFonts w:ascii="Times New Roman" w:hAnsi="Times New Roman" w:cs="Times New Roman"/>
          <w:sz w:val="24"/>
          <w:szCs w:val="24"/>
        </w:rPr>
        <w:t xml:space="preserve">for </w:t>
      </w:r>
      <w:r w:rsidRPr="009940DD" w:rsidR="001D246F">
        <w:rPr>
          <w:rFonts w:ascii="Times New Roman" w:hAnsi="Times New Roman" w:cs="Times New Roman"/>
          <w:sz w:val="24"/>
          <w:szCs w:val="24"/>
        </w:rPr>
        <w:t xml:space="preserve">subsequent contract years, this annual data submission </w:t>
      </w:r>
      <w:r w:rsidRPr="009940DD" w:rsidR="00320152">
        <w:rPr>
          <w:rFonts w:ascii="Times New Roman" w:hAnsi="Times New Roman" w:cs="Times New Roman"/>
          <w:sz w:val="24"/>
          <w:szCs w:val="24"/>
        </w:rPr>
        <w:t xml:space="preserve">for each contract year </w:t>
      </w:r>
      <w:r w:rsidRPr="009940DD" w:rsidR="001D246F">
        <w:rPr>
          <w:rFonts w:ascii="Times New Roman" w:hAnsi="Times New Roman" w:cs="Times New Roman"/>
          <w:sz w:val="24"/>
          <w:szCs w:val="24"/>
        </w:rPr>
        <w:t>would consist of either</w:t>
      </w:r>
      <w:r w:rsidRPr="009940DD" w:rsidR="00F20FB0">
        <w:rPr>
          <w:rFonts w:ascii="Times New Roman" w:hAnsi="Times New Roman" w:cs="Times New Roman"/>
          <w:sz w:val="24"/>
          <w:szCs w:val="24"/>
        </w:rPr>
        <w:t>:</w:t>
      </w:r>
      <w:r w:rsidRPr="009940DD" w:rsidR="001D246F">
        <w:rPr>
          <w:rFonts w:ascii="Times New Roman" w:hAnsi="Times New Roman" w:cs="Times New Roman"/>
          <w:sz w:val="24"/>
          <w:szCs w:val="24"/>
        </w:rPr>
        <w:t xml:space="preserve"> (a) the MLR and the amount of any remittance due to CMS, for each credible or partially credible contract; </w:t>
      </w:r>
      <w:r w:rsidRPr="009940DD" w:rsidR="00A3585A">
        <w:rPr>
          <w:rFonts w:ascii="Times New Roman" w:hAnsi="Times New Roman" w:cs="Times New Roman"/>
          <w:sz w:val="24"/>
          <w:szCs w:val="24"/>
        </w:rPr>
        <w:t xml:space="preserve">or (b) a submission noting that the contract </w:t>
      </w:r>
      <w:r w:rsidRPr="009940DD" w:rsidR="00EE3DEE">
        <w:rPr>
          <w:rFonts w:ascii="Times New Roman" w:hAnsi="Times New Roman" w:cs="Times New Roman"/>
          <w:sz w:val="24"/>
          <w:szCs w:val="24"/>
        </w:rPr>
        <w:t xml:space="preserve">is </w:t>
      </w:r>
      <w:r w:rsidRPr="009940DD" w:rsidR="00320152">
        <w:rPr>
          <w:rFonts w:ascii="Times New Roman" w:hAnsi="Times New Roman" w:cs="Times New Roman"/>
          <w:sz w:val="24"/>
          <w:szCs w:val="24"/>
        </w:rPr>
        <w:t xml:space="preserve">not subject to </w:t>
      </w:r>
      <w:r w:rsidRPr="009940DD" w:rsidR="00A3585A">
        <w:rPr>
          <w:rFonts w:ascii="Times New Roman" w:hAnsi="Times New Roman" w:cs="Times New Roman"/>
          <w:sz w:val="24"/>
          <w:szCs w:val="24"/>
        </w:rPr>
        <w:t xml:space="preserve">the 85 percent minimum MLR requirement </w:t>
      </w:r>
      <w:r w:rsidRPr="009940DD" w:rsidR="00EE3DEE">
        <w:rPr>
          <w:rFonts w:ascii="Times New Roman" w:hAnsi="Times New Roman" w:cs="Times New Roman"/>
          <w:sz w:val="24"/>
          <w:szCs w:val="24"/>
        </w:rPr>
        <w:t>and</w:t>
      </w:r>
      <w:r w:rsidRPr="009940DD" w:rsidR="00A3585A">
        <w:rPr>
          <w:rFonts w:ascii="Times New Roman" w:hAnsi="Times New Roman" w:cs="Times New Roman"/>
          <w:sz w:val="24"/>
          <w:szCs w:val="24"/>
        </w:rPr>
        <w:t xml:space="preserve"> the remittance requirement, for each non-credible </w:t>
      </w:r>
      <w:r w:rsidRPr="009940DD" w:rsidR="00450250">
        <w:rPr>
          <w:rFonts w:ascii="Times New Roman" w:hAnsi="Times New Roman" w:cs="Times New Roman"/>
          <w:sz w:val="24"/>
          <w:szCs w:val="24"/>
        </w:rPr>
        <w:t>contract</w:t>
      </w:r>
      <w:bookmarkStart w:id="4" w:name="_Hlk91967694"/>
      <w:r w:rsidRPr="009940DD">
        <w:rPr>
          <w:rFonts w:ascii="Times New Roman" w:hAnsi="Times New Roman" w:cs="Times New Roman"/>
          <w:sz w:val="24"/>
          <w:szCs w:val="24"/>
        </w:rPr>
        <w:t>.</w:t>
      </w:r>
      <w:r w:rsidRPr="009940DD" w:rsidR="000D38D1">
        <w:rPr>
          <w:rFonts w:ascii="Times New Roman" w:hAnsi="Times New Roman" w:cs="Times New Roman"/>
          <w:sz w:val="24"/>
          <w:szCs w:val="24"/>
        </w:rPr>
        <w:t xml:space="preserve"> </w:t>
      </w:r>
    </w:p>
    <w:p w:rsidR="007727AE" w:rsidRPr="009940DD" w:rsidP="005E0CB5" w14:paraId="398CED83" w14:textId="3878481B">
      <w:pPr>
        <w:spacing w:before="240" w:after="240" w:line="240" w:lineRule="auto"/>
        <w:rPr>
          <w:rFonts w:ascii="Times New Roman" w:hAnsi="Times New Roman" w:cs="Times New Roman"/>
          <w:sz w:val="24"/>
          <w:szCs w:val="24"/>
        </w:rPr>
      </w:pPr>
      <w:r w:rsidRPr="009940DD">
        <w:rPr>
          <w:rFonts w:ascii="Times New Roman" w:hAnsi="Times New Roman" w:cs="Times New Roman"/>
          <w:sz w:val="24"/>
          <w:szCs w:val="24"/>
        </w:rPr>
        <w:t xml:space="preserve">Our </w:t>
      </w:r>
      <w:r w:rsidR="008C4B74">
        <w:rPr>
          <w:rFonts w:ascii="Times New Roman" w:hAnsi="Times New Roman" w:cs="Times New Roman"/>
          <w:sz w:val="24"/>
          <w:szCs w:val="24"/>
        </w:rPr>
        <w:t>June 2,</w:t>
      </w:r>
      <w:r w:rsidRPr="009940DD">
        <w:rPr>
          <w:rFonts w:ascii="Times New Roman" w:hAnsi="Times New Roman" w:cs="Times New Roman"/>
          <w:sz w:val="24"/>
          <w:szCs w:val="24"/>
        </w:rPr>
        <w:t xml:space="preserve"> 2020</w:t>
      </w:r>
      <w:r w:rsidR="008C4B74">
        <w:rPr>
          <w:rFonts w:ascii="Times New Roman" w:hAnsi="Times New Roman" w:cs="Times New Roman"/>
          <w:sz w:val="24"/>
          <w:szCs w:val="24"/>
        </w:rPr>
        <w:t xml:space="preserve"> (85 FR 33797)</w:t>
      </w:r>
      <w:r w:rsidRPr="009940DD">
        <w:rPr>
          <w:rFonts w:ascii="Times New Roman" w:hAnsi="Times New Roman" w:cs="Times New Roman"/>
          <w:sz w:val="24"/>
          <w:szCs w:val="24"/>
        </w:rPr>
        <w:t xml:space="preserve"> final rule (CMS-4190-F, RIN 0938-AT97) amended § 422.2440 to provide for the application of a deductible factor to the MLR calculation for MA MSA (medical savings account) contracts that receive a credibility adjustment. Our currently approved (active) information collection request takes into account the additional burden for MA organizations to calculate and apply the deductible factor to the MLR calculation.</w:t>
      </w:r>
    </w:p>
    <w:bookmarkEnd w:id="3"/>
    <w:p w:rsidR="00896BBF" w:rsidRPr="009940DD" w:rsidP="00896BBF" w14:paraId="16884E55" w14:textId="25C004EE">
      <w:pPr>
        <w:kinsoku w:val="0"/>
        <w:overflowPunct w:val="0"/>
        <w:autoSpaceDE w:val="0"/>
        <w:autoSpaceDN w:val="0"/>
        <w:adjustRightInd w:val="0"/>
        <w:spacing w:before="240" w:after="240" w:line="240" w:lineRule="auto"/>
        <w:rPr>
          <w:rFonts w:ascii="Times New Roman" w:hAnsi="Times New Roman" w:cs="Times New Roman"/>
          <w:sz w:val="24"/>
          <w:szCs w:val="24"/>
        </w:rPr>
      </w:pPr>
      <w:r w:rsidRPr="009940DD">
        <w:rPr>
          <w:rFonts w:ascii="Times New Roman" w:hAnsi="Times New Roman" w:cs="Times New Roman"/>
          <w:sz w:val="24"/>
          <w:szCs w:val="24"/>
        </w:rPr>
        <w:t xml:space="preserve">In the </w:t>
      </w:r>
      <w:r w:rsidRPr="009940DD" w:rsidR="00234DAB">
        <w:rPr>
          <w:rFonts w:ascii="Times New Roman" w:eastAsia="Times New Roman" w:hAnsi="Times New Roman" w:cs="Times New Roman"/>
          <w:snapToGrid w:val="0"/>
          <w:sz w:val="24"/>
          <w:szCs w:val="24"/>
        </w:rPr>
        <w:t>May</w:t>
      </w:r>
      <w:r w:rsidRPr="009940DD" w:rsidR="001A35E9">
        <w:rPr>
          <w:rFonts w:ascii="Times New Roman" w:eastAsia="Times New Roman" w:hAnsi="Times New Roman" w:cs="Times New Roman"/>
          <w:snapToGrid w:val="0"/>
          <w:sz w:val="24"/>
          <w:szCs w:val="24"/>
        </w:rPr>
        <w:t xml:space="preserve"> 2022 </w:t>
      </w:r>
      <w:r w:rsidRPr="009940DD" w:rsidR="00234DAB">
        <w:rPr>
          <w:rFonts w:ascii="Times New Roman" w:hAnsi="Times New Roman" w:cs="Times New Roman"/>
          <w:sz w:val="24"/>
          <w:szCs w:val="24"/>
        </w:rPr>
        <w:t>final</w:t>
      </w:r>
      <w:r w:rsidRPr="009940DD">
        <w:rPr>
          <w:rFonts w:ascii="Times New Roman" w:hAnsi="Times New Roman" w:cs="Times New Roman"/>
          <w:sz w:val="24"/>
          <w:szCs w:val="24"/>
        </w:rPr>
        <w:t xml:space="preserve"> rule, we amend</w:t>
      </w:r>
      <w:r w:rsidRPr="009940DD" w:rsidR="00234DAB">
        <w:rPr>
          <w:rFonts w:ascii="Times New Roman" w:hAnsi="Times New Roman" w:cs="Times New Roman"/>
          <w:sz w:val="24"/>
          <w:szCs w:val="24"/>
        </w:rPr>
        <w:t>ed</w:t>
      </w:r>
      <w:r w:rsidRPr="009940DD">
        <w:rPr>
          <w:rFonts w:ascii="Times New Roman" w:hAnsi="Times New Roman" w:cs="Times New Roman"/>
          <w:sz w:val="24"/>
          <w:szCs w:val="24"/>
        </w:rPr>
        <w:t xml:space="preserve"> § 422.2460 and 423.2460 to reinstate the detailed MLR reporting requirements</w:t>
      </w:r>
      <w:r w:rsidRPr="009940DD" w:rsidR="001A35E9">
        <w:rPr>
          <w:rFonts w:ascii="Times New Roman" w:hAnsi="Times New Roman" w:cs="Times New Roman"/>
          <w:sz w:val="24"/>
          <w:szCs w:val="24"/>
        </w:rPr>
        <w:t xml:space="preserve"> </w:t>
      </w:r>
      <w:r w:rsidRPr="009940DD">
        <w:rPr>
          <w:rFonts w:ascii="Times New Roman" w:hAnsi="Times New Roman" w:cs="Times New Roman"/>
          <w:sz w:val="24"/>
          <w:szCs w:val="24"/>
        </w:rPr>
        <w:t>that were in effect for CYs 2014 through 2017, and expand</w:t>
      </w:r>
      <w:r w:rsidRPr="009940DD" w:rsidR="003523F1">
        <w:rPr>
          <w:rFonts w:ascii="Times New Roman" w:hAnsi="Times New Roman" w:cs="Times New Roman"/>
          <w:sz w:val="24"/>
          <w:szCs w:val="24"/>
        </w:rPr>
        <w:t>ed</w:t>
      </w:r>
      <w:r w:rsidRPr="009940DD">
        <w:rPr>
          <w:rFonts w:ascii="Times New Roman" w:hAnsi="Times New Roman" w:cs="Times New Roman"/>
          <w:sz w:val="24"/>
          <w:szCs w:val="24"/>
        </w:rPr>
        <w:t xml:space="preserve"> the MLR reporting requirements for MA contracts to require reporting of additional information on expenditures for MA supplemental benefits.</w:t>
      </w:r>
      <w:r w:rsidRPr="009940DD" w:rsidR="0024504D">
        <w:rPr>
          <w:rFonts w:ascii="Times New Roman" w:hAnsi="Times New Roman" w:cs="Times New Roman"/>
          <w:sz w:val="24"/>
          <w:szCs w:val="24"/>
        </w:rPr>
        <w:t xml:space="preserve"> </w:t>
      </w:r>
      <w:r w:rsidRPr="009940DD" w:rsidR="00F752F3">
        <w:rPr>
          <w:rFonts w:ascii="Times New Roman" w:hAnsi="Times New Roman" w:cs="Times New Roman"/>
          <w:sz w:val="24"/>
          <w:szCs w:val="24"/>
        </w:rPr>
        <w:t xml:space="preserve">The more detailed reporting requirements will be applied to CY 2023 MLR data collection. </w:t>
      </w:r>
    </w:p>
    <w:p w:rsidR="00D45B7E" w:rsidRPr="009940DD" w:rsidP="00D50718" w14:paraId="1C4B2BC9" w14:textId="3714D59D">
      <w:pPr>
        <w:pStyle w:val="BodyText"/>
        <w:spacing w:before="240" w:line="240" w:lineRule="auto"/>
        <w:jc w:val="left"/>
      </w:pPr>
      <w:r w:rsidRPr="009940DD">
        <w:t>MA organizations and Part D sponsors</w:t>
      </w:r>
      <w:r w:rsidRPr="009940DD" w:rsidR="001E6F8F">
        <w:t xml:space="preserve"> </w:t>
      </w:r>
      <w:r w:rsidRPr="009940DD" w:rsidR="009E7B95">
        <w:t>must provide a re</w:t>
      </w:r>
      <w:r w:rsidRPr="009940DD" w:rsidR="001E6F8F">
        <w:t xml:space="preserve">mittance to the Secretary </w:t>
      </w:r>
      <w:r w:rsidRPr="009940DD" w:rsidR="009E7B95">
        <w:t xml:space="preserve">if the amount </w:t>
      </w:r>
      <w:r w:rsidRPr="009940DD" w:rsidR="001E6F8F">
        <w:t xml:space="preserve">spent </w:t>
      </w:r>
      <w:r w:rsidRPr="009940DD" w:rsidR="009E7B95">
        <w:t xml:space="preserve">in a </w:t>
      </w:r>
      <w:r w:rsidRPr="009940DD" w:rsidR="00081D4B">
        <w:t xml:space="preserve">contract </w:t>
      </w:r>
      <w:r w:rsidRPr="009940DD" w:rsidR="009E7B95">
        <w:t xml:space="preserve">year on certain costs compared to </w:t>
      </w:r>
      <w:r w:rsidRPr="009940DD">
        <w:t xml:space="preserve">total </w:t>
      </w:r>
      <w:r w:rsidRPr="009940DD" w:rsidR="009E7B95">
        <w:t>revenue</w:t>
      </w:r>
      <w:r w:rsidRPr="009940DD">
        <w:t>s</w:t>
      </w:r>
      <w:r w:rsidRPr="009940DD" w:rsidR="009E7B95">
        <w:t xml:space="preserve"> (excluding Federal and States taxes and licensing and regulatory fees) is below </w:t>
      </w:r>
      <w:r w:rsidRPr="009940DD" w:rsidR="00081D4B">
        <w:t>the 85 percent minimum MLR</w:t>
      </w:r>
      <w:r w:rsidRPr="009940DD" w:rsidR="009E7B95">
        <w:t xml:space="preserve">. </w:t>
      </w:r>
      <w:r w:rsidRPr="009940DD" w:rsidR="001D246F">
        <w:t xml:space="preserve">MLR sanctions </w:t>
      </w:r>
      <w:r w:rsidRPr="009940DD" w:rsidR="001D246F">
        <w:t>do not apply</w:t>
      </w:r>
      <w:r w:rsidRPr="009940DD" w:rsidR="00320152">
        <w:t xml:space="preserve"> to</w:t>
      </w:r>
      <w:r w:rsidRPr="009940DD">
        <w:t xml:space="preserve"> contracts with</w:t>
      </w:r>
      <w:r w:rsidRPr="009940DD" w:rsidR="000535F3">
        <w:t xml:space="preserve"> non-credible </w:t>
      </w:r>
      <w:r w:rsidRPr="009940DD">
        <w:t>experience</w:t>
      </w:r>
      <w:r w:rsidRPr="009940DD" w:rsidR="000535F3">
        <w:t>, as defined in the regulations</w:t>
      </w:r>
      <w:r w:rsidRPr="009940DD" w:rsidR="001D246F">
        <w:t xml:space="preserve">. These </w:t>
      </w:r>
      <w:r w:rsidRPr="009940DD" w:rsidR="00FC5293">
        <w:t xml:space="preserve">non-credible </w:t>
      </w:r>
      <w:r w:rsidRPr="009940DD" w:rsidR="001D246F">
        <w:t>contracts are not required to submit their MLR or remittance amount to CMS; however, they must inform CMS that the</w:t>
      </w:r>
      <w:r w:rsidRPr="009940DD" w:rsidR="00FC5293">
        <w:t xml:space="preserve"> contract’s experience is </w:t>
      </w:r>
      <w:r w:rsidRPr="009940DD" w:rsidR="001D246F">
        <w:t>non-credible</w:t>
      </w:r>
      <w:r w:rsidRPr="009940DD" w:rsidR="00FC5293">
        <w:t>,</w:t>
      </w:r>
      <w:r w:rsidRPr="009940DD" w:rsidR="001D246F">
        <w:t xml:space="preserve"> in the manner prescribed by CMS.</w:t>
      </w:r>
      <w:r w:rsidRPr="009940DD" w:rsidR="001D246F">
        <w:t xml:space="preserve"> </w:t>
      </w:r>
    </w:p>
    <w:bookmarkEnd w:id="4"/>
    <w:p w:rsidR="00D45B7E" w:rsidRPr="004B62EB" w:rsidP="00D50718" w14:paraId="5082EFF7" w14:textId="1ECC3DFD">
      <w:pPr>
        <w:pStyle w:val="Heading4"/>
        <w:spacing w:before="240" w:after="240" w:line="240" w:lineRule="auto"/>
      </w:pPr>
      <w:r w:rsidRPr="009940DD">
        <w:rPr>
          <w:b w:val="0"/>
          <w:u w:val="single"/>
        </w:rPr>
        <w:t xml:space="preserve">2. </w:t>
      </w:r>
      <w:r w:rsidRPr="009940DD" w:rsidR="00354DDB">
        <w:rPr>
          <w:b w:val="0"/>
          <w:w w:val="106"/>
          <w:u w:val="single"/>
        </w:rPr>
        <w:t>Information</w:t>
      </w:r>
      <w:r w:rsidRPr="009940DD" w:rsidR="00354DDB">
        <w:rPr>
          <w:b w:val="0"/>
          <w:spacing w:val="31"/>
          <w:w w:val="106"/>
          <w:u w:val="single"/>
        </w:rPr>
        <w:t xml:space="preserve"> </w:t>
      </w:r>
      <w:r w:rsidRPr="009940DD" w:rsidR="00354DDB">
        <w:rPr>
          <w:b w:val="0"/>
          <w:w w:val="106"/>
          <w:u w:val="single"/>
        </w:rPr>
        <w:t>Users</w:t>
      </w:r>
    </w:p>
    <w:p w:rsidR="00291F4F" w:rsidRPr="003C75B9" w:rsidP="000908A1" w14:paraId="4DB28961" w14:textId="497965DD">
      <w:pPr>
        <w:spacing w:before="240" w:after="240" w:line="240" w:lineRule="auto"/>
        <w:rPr>
          <w:rFonts w:ascii="Times New Roman" w:hAnsi="Times New Roman" w:cs="Times New Roman"/>
          <w:sz w:val="24"/>
          <w:szCs w:val="24"/>
        </w:rPr>
      </w:pPr>
      <w:r w:rsidRPr="003C75B9">
        <w:rPr>
          <w:rFonts w:ascii="Times New Roman" w:hAnsi="Times New Roman" w:cs="Times New Roman"/>
          <w:bCs/>
          <w:sz w:val="24"/>
          <w:szCs w:val="24"/>
        </w:rPr>
        <w:t xml:space="preserve">The collection of data </w:t>
      </w:r>
      <w:r w:rsidRPr="003C75B9" w:rsidR="00AC073E">
        <w:rPr>
          <w:rFonts w:ascii="Times New Roman" w:hAnsi="Times New Roman" w:cs="Times New Roman"/>
          <w:bCs/>
          <w:sz w:val="24"/>
          <w:szCs w:val="24"/>
        </w:rPr>
        <w:t xml:space="preserve">for the CY 2023 MLR reporting is an expansion of MLR reporting requirements </w:t>
      </w:r>
      <w:r w:rsidRPr="003C75B9" w:rsidR="000908A1">
        <w:rPr>
          <w:rFonts w:ascii="Times New Roman" w:hAnsi="Times New Roman" w:cs="Times New Roman"/>
          <w:bCs/>
          <w:sz w:val="24"/>
          <w:szCs w:val="24"/>
        </w:rPr>
        <w:t xml:space="preserve">that are being reinstated </w:t>
      </w:r>
      <w:r w:rsidRPr="003C75B9" w:rsidR="000908A1">
        <w:rPr>
          <w:rFonts w:ascii="Times New Roman" w:hAnsi="Times New Roman" w:cs="Times New Roman"/>
          <w:sz w:val="24"/>
          <w:szCs w:val="24"/>
        </w:rPr>
        <w:t xml:space="preserve">that were in effect for MLR reporting CYs 2014 through 2017. </w:t>
      </w:r>
      <w:r w:rsidRPr="003C75B9">
        <w:rPr>
          <w:rFonts w:ascii="Times New Roman" w:hAnsi="Times New Roman" w:cs="Times New Roman"/>
          <w:sz w:val="24"/>
          <w:szCs w:val="24"/>
        </w:rPr>
        <w:t xml:space="preserve">This </w:t>
      </w:r>
      <w:r w:rsidRPr="003C75B9" w:rsidR="000908A1">
        <w:rPr>
          <w:rFonts w:ascii="Times New Roman" w:hAnsi="Times New Roman" w:cs="Times New Roman"/>
          <w:sz w:val="24"/>
          <w:szCs w:val="24"/>
        </w:rPr>
        <w:t xml:space="preserve">MLR reporting expansion </w:t>
      </w:r>
      <w:r w:rsidRPr="003C75B9">
        <w:rPr>
          <w:rFonts w:ascii="Times New Roman" w:hAnsi="Times New Roman" w:cs="Times New Roman"/>
          <w:sz w:val="24"/>
          <w:szCs w:val="24"/>
        </w:rPr>
        <w:t xml:space="preserve">includes a more detailed description of the data elements, updated regulations relevant to reporting MLR data, and reporting considerations dependent on the plan type.   </w:t>
      </w:r>
    </w:p>
    <w:p w:rsidR="00B0371B" w:rsidRPr="003C75B9" w:rsidP="00B0371B" w14:paraId="17887AD3" w14:textId="469CCEEA">
      <w:pPr>
        <w:autoSpaceDE w:val="0"/>
        <w:autoSpaceDN w:val="0"/>
        <w:adjustRightInd w:val="0"/>
        <w:spacing w:after="240" w:line="240" w:lineRule="auto"/>
        <w:rPr>
          <w:rFonts w:ascii="Times New Roman" w:hAnsi="Times New Roman" w:cs="Times New Roman"/>
          <w:color w:val="000000"/>
          <w:sz w:val="24"/>
          <w:szCs w:val="24"/>
        </w:rPr>
      </w:pPr>
      <w:r w:rsidRPr="003C75B9">
        <w:rPr>
          <w:rFonts w:ascii="Times New Roman" w:hAnsi="Times New Roman" w:cs="Times New Roman"/>
          <w:color w:val="000000"/>
          <w:sz w:val="24"/>
          <w:szCs w:val="24"/>
        </w:rPr>
        <w:t>Moreover, the detailed collection of data for the CY 2023</w:t>
      </w:r>
      <w:r w:rsidRPr="003C75B9">
        <w:rPr>
          <w:rFonts w:ascii="Times New Roman" w:hAnsi="Times New Roman" w:cs="Times New Roman"/>
          <w:color w:val="000000"/>
          <w:sz w:val="24"/>
          <w:szCs w:val="24"/>
        </w:rPr>
        <w:t xml:space="preserve"> MLR reporting requirements includes plans reporting to CMS on their expenditures related to the following categories of supplemental benefits: Dental; Vision; Hearing; Transportation; Fitness Benefit; Worldwide Coverage/Visitor Travel; Over the Counter (OTC) Items; Remote Access Technologies; Meals; Routine Foot Care; Out-of-network Services (informational only);Acupuncture Treatments; Chiropractic Care; Personal Emergency Response System (PRS); Health Education; Smoking and Tobacco Cessation Counseling; All Other Primarily Health Related Supplemental Benefits; Non-Primarily Health Related Items and Services that are Special Supplemental Benefits for the Chronically Ill (SSBCI) (as defined in § 422.102(f)); and Non-Primarily Health Related Items - Other.</w:t>
      </w:r>
    </w:p>
    <w:p w:rsidR="00D45B7E" w:rsidRPr="004B62EB" w:rsidP="00D50718" w14:paraId="165436F2" w14:textId="51904CC7">
      <w:pPr>
        <w:spacing w:before="240" w:after="240" w:line="240" w:lineRule="auto"/>
        <w:rPr>
          <w:rFonts w:ascii="Times New Roman" w:hAnsi="Times New Roman" w:cs="Times New Roman"/>
          <w:bCs/>
          <w:sz w:val="24"/>
          <w:szCs w:val="24"/>
          <w:u w:val="single"/>
        </w:rPr>
      </w:pPr>
      <w:r>
        <w:rPr>
          <w:rFonts w:ascii="Times New Roman" w:hAnsi="Times New Roman" w:cs="Times New Roman"/>
          <w:sz w:val="24"/>
          <w:szCs w:val="24"/>
        </w:rPr>
        <w:t xml:space="preserve">As described below, respondents and users of the reported information consist of: </w:t>
      </w:r>
      <w:r w:rsidRPr="004B62EB">
        <w:rPr>
          <w:rFonts w:ascii="Times New Roman" w:hAnsi="Times New Roman" w:cs="Times New Roman"/>
          <w:sz w:val="24"/>
          <w:szCs w:val="24"/>
        </w:rPr>
        <w:t>MA organizations</w:t>
      </w:r>
      <w:r>
        <w:rPr>
          <w:rFonts w:ascii="Times New Roman" w:hAnsi="Times New Roman" w:cs="Times New Roman"/>
          <w:sz w:val="24"/>
          <w:szCs w:val="24"/>
        </w:rPr>
        <w:t xml:space="preserve">, </w:t>
      </w:r>
      <w:r w:rsidRPr="004B62EB">
        <w:rPr>
          <w:rFonts w:ascii="Times New Roman" w:hAnsi="Times New Roman" w:cs="Times New Roman"/>
          <w:sz w:val="24"/>
          <w:szCs w:val="24"/>
        </w:rPr>
        <w:t>Part D sponsors</w:t>
      </w:r>
      <w:r>
        <w:rPr>
          <w:rFonts w:ascii="Times New Roman" w:hAnsi="Times New Roman" w:cs="Times New Roman"/>
          <w:sz w:val="24"/>
          <w:szCs w:val="24"/>
        </w:rPr>
        <w:t>, and CMS.</w:t>
      </w:r>
    </w:p>
    <w:p w:rsidR="005A4435" w:rsidRPr="005A4435" w:rsidP="00D50718" w14:paraId="03FADC6E" w14:textId="0086EA5C">
      <w:pPr>
        <w:spacing w:before="240" w:after="240" w:line="240" w:lineRule="auto"/>
        <w:rPr>
          <w:rFonts w:ascii="Times New Roman" w:hAnsi="Times New Roman" w:cs="Times New Roman"/>
          <w:bCs/>
          <w:sz w:val="24"/>
          <w:szCs w:val="24"/>
        </w:rPr>
      </w:pPr>
      <w:r w:rsidRPr="00FA4E32">
        <w:rPr>
          <w:rFonts w:ascii="Times New Roman" w:hAnsi="Times New Roman" w:cs="Times New Roman"/>
          <w:bCs/>
          <w:i/>
          <w:sz w:val="24"/>
          <w:szCs w:val="24"/>
          <w:u w:val="single"/>
        </w:rPr>
        <w:t>Publication Information</w:t>
      </w:r>
      <w:r>
        <w:rPr>
          <w:rFonts w:ascii="Times New Roman" w:hAnsi="Times New Roman" w:cs="Times New Roman"/>
          <w:bCs/>
          <w:sz w:val="24"/>
          <w:szCs w:val="24"/>
        </w:rPr>
        <w:t xml:space="preserve"> </w:t>
      </w:r>
      <w:r>
        <w:rPr>
          <w:rFonts w:ascii="Times New Roman" w:hAnsi="Times New Roman" w:cs="Times New Roman"/>
          <w:bCs/>
          <w:sz w:val="24"/>
          <w:szCs w:val="24"/>
        </w:rPr>
        <w:t>The publication of the</w:t>
      </w:r>
      <w:r w:rsidR="00FD654F">
        <w:rPr>
          <w:rFonts w:ascii="Times New Roman" w:hAnsi="Times New Roman" w:cs="Times New Roman"/>
          <w:bCs/>
          <w:sz w:val="24"/>
          <w:szCs w:val="24"/>
        </w:rPr>
        <w:t xml:space="preserve"> </w:t>
      </w:r>
      <w:r w:rsidR="00BD7D63">
        <w:rPr>
          <w:rFonts w:ascii="Times New Roman" w:hAnsi="Times New Roman" w:cs="Times New Roman"/>
          <w:bCs/>
          <w:sz w:val="24"/>
          <w:szCs w:val="24"/>
        </w:rPr>
        <w:t xml:space="preserve">Medicare Advantage </w:t>
      </w:r>
      <w:r w:rsidR="00FD654F">
        <w:rPr>
          <w:rFonts w:ascii="Times New Roman" w:hAnsi="Times New Roman" w:cs="Times New Roman"/>
          <w:bCs/>
          <w:sz w:val="24"/>
          <w:szCs w:val="24"/>
        </w:rPr>
        <w:t xml:space="preserve">MLR </w:t>
      </w:r>
      <w:r w:rsidR="002316E5">
        <w:rPr>
          <w:rFonts w:ascii="Times New Roman" w:hAnsi="Times New Roman" w:cs="Times New Roman"/>
          <w:bCs/>
          <w:sz w:val="24"/>
          <w:szCs w:val="24"/>
        </w:rPr>
        <w:t>data</w:t>
      </w:r>
      <w:r w:rsidR="00FD654F">
        <w:rPr>
          <w:rFonts w:ascii="Times New Roman" w:hAnsi="Times New Roman" w:cs="Times New Roman"/>
          <w:bCs/>
          <w:sz w:val="24"/>
          <w:szCs w:val="24"/>
        </w:rPr>
        <w:t xml:space="preserve"> will be </w:t>
      </w:r>
      <w:r>
        <w:rPr>
          <w:rFonts w:ascii="Times New Roman" w:hAnsi="Times New Roman" w:cs="Times New Roman"/>
          <w:bCs/>
          <w:sz w:val="24"/>
          <w:szCs w:val="24"/>
        </w:rPr>
        <w:t xml:space="preserve">found on </w:t>
      </w:r>
      <w:r w:rsidR="007211E1">
        <w:rPr>
          <w:rFonts w:ascii="Times New Roman" w:hAnsi="Times New Roman" w:cs="Times New Roman"/>
          <w:bCs/>
          <w:sz w:val="24"/>
          <w:szCs w:val="24"/>
        </w:rPr>
        <w:t xml:space="preserve">the </w:t>
      </w:r>
      <w:r>
        <w:rPr>
          <w:rFonts w:ascii="Times New Roman" w:hAnsi="Times New Roman" w:cs="Times New Roman"/>
          <w:bCs/>
          <w:sz w:val="24"/>
          <w:szCs w:val="24"/>
        </w:rPr>
        <w:t>CMS website for the Medical Loss Ratio at</w:t>
      </w:r>
      <w:hyperlink w:history="1"/>
      <w:hyperlink r:id="rId9" w:history="1">
        <w:r w:rsidR="00481711">
          <w:rPr>
            <w:rStyle w:val="Hyperlink"/>
            <w:rFonts w:ascii="Times New Roman" w:hAnsi="Times New Roman" w:cs="Times New Roman"/>
            <w:sz w:val="24"/>
            <w:szCs w:val="24"/>
          </w:rPr>
          <w:t>https://www.cms.gov/medicare/medicare-advantage/plan-payment/medicallossratio</w:t>
        </w:r>
      </w:hyperlink>
      <w:r>
        <w:rPr>
          <w:rFonts w:ascii="Times New Roman" w:hAnsi="Times New Roman" w:cs="Times New Roman"/>
          <w:bCs/>
          <w:sz w:val="24"/>
          <w:szCs w:val="24"/>
        </w:rPr>
        <w:t xml:space="preserve">. </w:t>
      </w:r>
    </w:p>
    <w:p w:rsidR="00E73DE6" w:rsidP="00D50718" w14:paraId="270F1E9D" w14:textId="7D96D736">
      <w:pPr>
        <w:spacing w:before="240" w:after="240" w:line="240" w:lineRule="auto"/>
        <w:rPr>
          <w:rFonts w:ascii="Times New Roman" w:hAnsi="Times New Roman" w:cs="Times New Roman"/>
          <w:bCs/>
          <w:i/>
          <w:sz w:val="24"/>
          <w:szCs w:val="24"/>
          <w:u w:val="single"/>
        </w:rPr>
      </w:pPr>
      <w:r>
        <w:rPr>
          <w:rFonts w:ascii="Times New Roman" w:hAnsi="Times New Roman" w:cs="Times New Roman"/>
          <w:bCs/>
          <w:i/>
          <w:sz w:val="24"/>
          <w:szCs w:val="24"/>
          <w:u w:val="single"/>
        </w:rPr>
        <w:t xml:space="preserve">Burden for Plans </w:t>
      </w:r>
      <w:r w:rsidRPr="00FA4E32">
        <w:rPr>
          <w:rFonts w:ascii="Times New Roman" w:hAnsi="Times New Roman" w:cs="Times New Roman"/>
          <w:bCs/>
          <w:sz w:val="24"/>
          <w:szCs w:val="24"/>
        </w:rPr>
        <w:t>Given that MA organizations and Part D sponsors are already tracking expenses by line of business and contract in order to comply with our current regulations and account for supplemental benefit expenditures for both internal accounting and bid development purposes, we estimate that the additional start-up and ongoing costs and time burden for submitting detailed data will be moderate. We estimate that MA organizations and Part D sponsors will incur minimal one-time start-up costs associated with developing processes for capturing the necessary data and will incur ongoing annual costs relating to data collection, populating the MLR reporting form, conducting an internal review, submitting the MLR reports to the Secretary, and conducting internal audits.</w:t>
      </w:r>
    </w:p>
    <w:p w:rsidR="00D45B7E" w:rsidRPr="004B62EB" w:rsidP="00D50718" w14:paraId="3FC540E7" w14:textId="4EB59482">
      <w:pPr>
        <w:spacing w:before="240" w:after="240" w:line="240" w:lineRule="auto"/>
        <w:rPr>
          <w:rFonts w:ascii="Times New Roman" w:hAnsi="Times New Roman" w:cs="Times New Roman"/>
          <w:sz w:val="24"/>
          <w:szCs w:val="24"/>
        </w:rPr>
      </w:pPr>
      <w:r w:rsidRPr="004B62EB">
        <w:rPr>
          <w:rFonts w:ascii="Times New Roman" w:hAnsi="Times New Roman" w:cs="Times New Roman"/>
          <w:bCs/>
          <w:i/>
          <w:sz w:val="24"/>
          <w:szCs w:val="24"/>
          <w:u w:val="single"/>
        </w:rPr>
        <w:t>Annual Data Submission</w:t>
      </w:r>
      <w:r w:rsidRPr="004B62EB" w:rsidR="003A42B0">
        <w:rPr>
          <w:rFonts w:ascii="Times New Roman" w:hAnsi="Times New Roman" w:cs="Times New Roman"/>
          <w:bCs/>
          <w:i/>
          <w:sz w:val="24"/>
          <w:szCs w:val="24"/>
          <w:u w:val="single"/>
        </w:rPr>
        <w:t xml:space="preserve"> (</w:t>
      </w:r>
      <w:r w:rsidRPr="004B62EB" w:rsidR="004824AC">
        <w:rPr>
          <w:rFonts w:ascii="Times New Roman" w:hAnsi="Times New Roman" w:cs="Times New Roman"/>
          <w:bCs/>
          <w:i/>
          <w:sz w:val="24"/>
          <w:szCs w:val="24"/>
          <w:u w:val="single"/>
        </w:rPr>
        <w:t>Revised)</w:t>
      </w:r>
      <w:r w:rsidRPr="004B62EB">
        <w:rPr>
          <w:rFonts w:ascii="Times New Roman" w:hAnsi="Times New Roman" w:cs="Times New Roman"/>
          <w:bCs/>
          <w:sz w:val="24"/>
          <w:szCs w:val="24"/>
        </w:rPr>
        <w:t xml:space="preserve"> </w:t>
      </w:r>
      <w:r w:rsidRPr="004B62EB" w:rsidR="004D0495">
        <w:rPr>
          <w:rFonts w:ascii="Times New Roman" w:hAnsi="Times New Roman" w:cs="Times New Roman"/>
          <w:bCs/>
          <w:sz w:val="24"/>
          <w:szCs w:val="24"/>
        </w:rPr>
        <w:t xml:space="preserve"> </w:t>
      </w:r>
      <w:r w:rsidRPr="004B62EB" w:rsidR="009B1704">
        <w:rPr>
          <w:rFonts w:ascii="Times New Roman" w:hAnsi="Times New Roman" w:cs="Times New Roman"/>
          <w:sz w:val="24"/>
          <w:szCs w:val="24"/>
        </w:rPr>
        <w:t xml:space="preserve">MA organizations and Part D </w:t>
      </w:r>
      <w:r w:rsidRPr="004B62EB">
        <w:rPr>
          <w:rFonts w:ascii="Times New Roman" w:hAnsi="Times New Roman" w:cs="Times New Roman"/>
          <w:sz w:val="24"/>
          <w:szCs w:val="24"/>
        </w:rPr>
        <w:t xml:space="preserve">sponsors are required to submit MLR data to the Secretary on an annual basis. </w:t>
      </w:r>
      <w:r w:rsidRPr="004B62EB" w:rsidR="00DC4409">
        <w:rPr>
          <w:rFonts w:ascii="Times New Roman" w:hAnsi="Times New Roman" w:cs="Times New Roman"/>
          <w:sz w:val="24"/>
          <w:szCs w:val="24"/>
        </w:rPr>
        <w:t xml:space="preserve">Part C and Part D </w:t>
      </w:r>
      <w:r w:rsidRPr="004B62EB">
        <w:rPr>
          <w:rFonts w:ascii="Times New Roman" w:hAnsi="Times New Roman" w:cs="Times New Roman"/>
          <w:sz w:val="24"/>
          <w:szCs w:val="24"/>
        </w:rPr>
        <w:t>MLR data for</w:t>
      </w:r>
      <w:r w:rsidRPr="004B62EB" w:rsidR="004F429D">
        <w:rPr>
          <w:rFonts w:ascii="Times New Roman" w:hAnsi="Times New Roman" w:cs="Times New Roman"/>
          <w:sz w:val="24"/>
          <w:szCs w:val="24"/>
        </w:rPr>
        <w:t xml:space="preserve"> a contract year </w:t>
      </w:r>
      <w:r w:rsidRPr="004B62EB">
        <w:rPr>
          <w:rFonts w:ascii="Times New Roman" w:hAnsi="Times New Roman" w:cs="Times New Roman"/>
          <w:sz w:val="24"/>
          <w:szCs w:val="24"/>
        </w:rPr>
        <w:t xml:space="preserve">will generally be submitted in December of the year following the end of </w:t>
      </w:r>
      <w:r w:rsidRPr="004B62EB" w:rsidR="004F429D">
        <w:rPr>
          <w:rFonts w:ascii="Times New Roman" w:hAnsi="Times New Roman" w:cs="Times New Roman"/>
          <w:sz w:val="24"/>
          <w:szCs w:val="24"/>
        </w:rPr>
        <w:t>the</w:t>
      </w:r>
      <w:r w:rsidRPr="004B62EB">
        <w:rPr>
          <w:rFonts w:ascii="Times New Roman" w:hAnsi="Times New Roman" w:cs="Times New Roman"/>
          <w:sz w:val="24"/>
          <w:szCs w:val="24"/>
        </w:rPr>
        <w:t xml:space="preserve"> contract year.</w:t>
      </w:r>
    </w:p>
    <w:p w:rsidR="00D45B7E" w:rsidRPr="00425BA5" w:rsidP="00D50718" w14:paraId="04FA2F64" w14:textId="7B7507D5">
      <w:pPr>
        <w:spacing w:before="240" w:after="240" w:line="240" w:lineRule="auto"/>
        <w:rPr>
          <w:rFonts w:ascii="Times New Roman" w:hAnsi="Times New Roman"/>
          <w:sz w:val="24"/>
        </w:rPr>
      </w:pPr>
      <w:r w:rsidRPr="004B62EB">
        <w:rPr>
          <w:rFonts w:ascii="Times New Roman" w:hAnsi="Times New Roman" w:cs="Times New Roman"/>
          <w:sz w:val="24"/>
          <w:szCs w:val="24"/>
        </w:rPr>
        <w:t xml:space="preserve">The annual </w:t>
      </w:r>
      <w:r w:rsidRPr="004B62EB" w:rsidR="0067266B">
        <w:rPr>
          <w:rFonts w:ascii="Times New Roman" w:hAnsi="Times New Roman" w:cs="Times New Roman"/>
          <w:sz w:val="24"/>
          <w:szCs w:val="24"/>
        </w:rPr>
        <w:t xml:space="preserve">MLR data submissions </w:t>
      </w:r>
      <w:r w:rsidRPr="004B62EB">
        <w:rPr>
          <w:rFonts w:ascii="Times New Roman" w:hAnsi="Times New Roman" w:cs="Times New Roman"/>
          <w:sz w:val="24"/>
          <w:szCs w:val="24"/>
        </w:rPr>
        <w:t>will be used by CMS to ensure that beneficiaries are receiving value for their premium dollar</w:t>
      </w:r>
      <w:r w:rsidRPr="004B62EB" w:rsidR="0067266B">
        <w:rPr>
          <w:rFonts w:ascii="Times New Roman" w:hAnsi="Times New Roman" w:cs="Times New Roman"/>
          <w:sz w:val="24"/>
          <w:szCs w:val="24"/>
        </w:rPr>
        <w:t>s</w:t>
      </w:r>
      <w:r w:rsidRPr="004B62EB">
        <w:rPr>
          <w:rFonts w:ascii="Times New Roman" w:hAnsi="Times New Roman" w:cs="Times New Roman"/>
          <w:sz w:val="24"/>
          <w:szCs w:val="24"/>
        </w:rPr>
        <w:t xml:space="preserve"> b</w:t>
      </w:r>
      <w:r w:rsidRPr="004B62EB" w:rsidR="0067266B">
        <w:rPr>
          <w:rFonts w:ascii="Times New Roman" w:hAnsi="Times New Roman" w:cs="Times New Roman"/>
          <w:sz w:val="24"/>
          <w:szCs w:val="24"/>
        </w:rPr>
        <w:t xml:space="preserve">ased on </w:t>
      </w:r>
      <w:r w:rsidRPr="004B62EB">
        <w:rPr>
          <w:rFonts w:ascii="Times New Roman" w:hAnsi="Times New Roman" w:cs="Times New Roman"/>
          <w:sz w:val="24"/>
          <w:szCs w:val="24"/>
        </w:rPr>
        <w:t>each contract’s MLR and any remittances due.</w:t>
      </w:r>
    </w:p>
    <w:p w:rsidR="00D45B7E" w:rsidRPr="004B62EB" w:rsidP="00D50718" w14:paraId="3B7EEB3A" w14:textId="50588991">
      <w:pPr>
        <w:pStyle w:val="BodyText"/>
        <w:spacing w:before="240" w:line="240" w:lineRule="auto"/>
        <w:jc w:val="left"/>
      </w:pPr>
      <w:r w:rsidRPr="004B62EB">
        <w:rPr>
          <w:bCs/>
          <w:i/>
          <w:u w:val="single"/>
        </w:rPr>
        <w:t>Recordkeeping</w:t>
      </w:r>
      <w:r w:rsidRPr="004B62EB" w:rsidR="003A42B0">
        <w:rPr>
          <w:bCs/>
          <w:i/>
          <w:u w:val="single"/>
        </w:rPr>
        <w:t xml:space="preserve"> (No Changes)</w:t>
      </w:r>
      <w:r w:rsidRPr="004B62EB" w:rsidR="003A42B0">
        <w:rPr>
          <w:bCs/>
        </w:rPr>
        <w:t xml:space="preserve"> </w:t>
      </w:r>
      <w:r w:rsidRPr="004B62EB" w:rsidR="004D0495">
        <w:rPr>
          <w:bCs/>
        </w:rPr>
        <w:t xml:space="preserve"> </w:t>
      </w:r>
      <w:r w:rsidRPr="004B62EB">
        <w:t>The MLR regulations contain recordkeeping requirements that require plan sponsors to maintain evidence of the amounts reported to CMS, to enable CMS to verify that the data submitted is in compliance with MLR regulations, including all documents, records, and other evidence used to calculate the MLR. Documents, records, and other evidence must be preserved and maintained for 10 years from the date such calculations were reported to CMS with respect to a given MLR reporting year.</w:t>
      </w:r>
      <w:r w:rsidR="003129D3">
        <w:t xml:space="preserve"> </w:t>
      </w:r>
    </w:p>
    <w:p w:rsidR="00D45B7E" w:rsidRPr="004B62EB" w:rsidP="00D50718" w14:paraId="37AB7663" w14:textId="31BD76D0">
      <w:pPr>
        <w:pStyle w:val="BodyText"/>
        <w:spacing w:before="240" w:line="240" w:lineRule="auto"/>
        <w:jc w:val="left"/>
      </w:pPr>
      <w:r w:rsidRPr="004B62EB">
        <w:t xml:space="preserve">The recordkeeping requirements will be used by CMS to determine </w:t>
      </w:r>
      <w:r w:rsidRPr="004B62EB" w:rsidR="00081D4B">
        <w:t>MA organizations’ and Part D sponsors</w:t>
      </w:r>
      <w:r w:rsidRPr="004B62EB">
        <w:t>’ compliance with the MLR requirements, including</w:t>
      </w:r>
      <w:r w:rsidRPr="004B62EB" w:rsidR="003A7682">
        <w:t xml:space="preserve"> requirements concerning how</w:t>
      </w:r>
      <w:r w:rsidRPr="004B62EB" w:rsidR="00081D4B">
        <w:t xml:space="preserve"> MLR data</w:t>
      </w:r>
      <w:r w:rsidRPr="004B62EB">
        <w:t xml:space="preserve"> is to be reported, and how the MLR and any remittances are calculated.</w:t>
      </w:r>
    </w:p>
    <w:p w:rsidR="00D45B7E" w:rsidRPr="004B62EB" w:rsidP="00D50718" w14:paraId="64F7D4C2" w14:textId="4C83DAEF">
      <w:pPr>
        <w:pStyle w:val="Heading4"/>
        <w:spacing w:before="240" w:after="240" w:line="240" w:lineRule="auto"/>
      </w:pPr>
      <w:r w:rsidRPr="009940DD">
        <w:rPr>
          <w:b w:val="0"/>
          <w:u w:val="single"/>
        </w:rPr>
        <w:t>3. Use of Information Technology</w:t>
      </w:r>
    </w:p>
    <w:p w:rsidR="00D45B7E" w:rsidRPr="004B62EB" w:rsidP="00D50718" w14:paraId="358A7CDE" w14:textId="7972E6B3">
      <w:pPr>
        <w:pStyle w:val="BodyText"/>
        <w:spacing w:before="240" w:line="240" w:lineRule="auto"/>
        <w:jc w:val="left"/>
      </w:pPr>
      <w:r w:rsidRPr="004B62EB">
        <w:t xml:space="preserve">The submission process for </w:t>
      </w:r>
      <w:r w:rsidRPr="004B62EB" w:rsidR="00FC0111">
        <w:t xml:space="preserve">MLR </w:t>
      </w:r>
      <w:r w:rsidRPr="004B62EB" w:rsidR="00151B49">
        <w:t>data</w:t>
      </w:r>
      <w:r w:rsidRPr="004B62EB">
        <w:t xml:space="preserve"> is entirely automated (electronically) through CMS’s Health Plan Management System (HPMS). No paper/hardcopy submissions are required.  </w:t>
      </w:r>
    </w:p>
    <w:p w:rsidR="00D45B7E" w:rsidRPr="00425BA5" w:rsidP="00D50718" w14:paraId="1B5474D9" w14:textId="7D5F09E7">
      <w:pPr>
        <w:spacing w:before="240" w:after="240" w:line="240" w:lineRule="auto"/>
        <w:rPr>
          <w:rFonts w:ascii="Times New Roman" w:hAnsi="Times New Roman"/>
          <w:sz w:val="24"/>
        </w:rPr>
      </w:pPr>
      <w:r w:rsidRPr="004B62EB">
        <w:rPr>
          <w:rFonts w:ascii="Times New Roman" w:hAnsi="Times New Roman" w:cs="Times New Roman"/>
          <w:sz w:val="24"/>
          <w:szCs w:val="24"/>
        </w:rPr>
        <w:t xml:space="preserve">HPMS is already used by plan sponsors </w:t>
      </w:r>
      <w:r w:rsidRPr="004B62EB" w:rsidR="00C7589D">
        <w:rPr>
          <w:rFonts w:ascii="Times New Roman" w:hAnsi="Times New Roman" w:cs="Times New Roman"/>
          <w:sz w:val="24"/>
          <w:szCs w:val="24"/>
        </w:rPr>
        <w:t xml:space="preserve">for </w:t>
      </w:r>
      <w:r w:rsidRPr="004B62EB">
        <w:rPr>
          <w:rFonts w:ascii="Times New Roman" w:hAnsi="Times New Roman" w:cs="Times New Roman"/>
          <w:sz w:val="24"/>
          <w:szCs w:val="24"/>
        </w:rPr>
        <w:t xml:space="preserve">other </w:t>
      </w:r>
      <w:r w:rsidRPr="004B62EB" w:rsidR="004E1066">
        <w:rPr>
          <w:rFonts w:ascii="Times New Roman" w:hAnsi="Times New Roman" w:cs="Times New Roman"/>
          <w:sz w:val="24"/>
          <w:szCs w:val="24"/>
        </w:rPr>
        <w:t xml:space="preserve">annual </w:t>
      </w:r>
      <w:r w:rsidRPr="004B62EB">
        <w:rPr>
          <w:rFonts w:ascii="Times New Roman" w:hAnsi="Times New Roman" w:cs="Times New Roman"/>
          <w:sz w:val="24"/>
          <w:szCs w:val="24"/>
        </w:rPr>
        <w:t xml:space="preserve">Part C and Part D </w:t>
      </w:r>
      <w:r w:rsidRPr="004B62EB" w:rsidR="00C7589D">
        <w:rPr>
          <w:rFonts w:ascii="Times New Roman" w:hAnsi="Times New Roman" w:cs="Times New Roman"/>
          <w:sz w:val="24"/>
          <w:szCs w:val="24"/>
        </w:rPr>
        <w:t>submissions</w:t>
      </w:r>
      <w:r w:rsidRPr="004B62EB">
        <w:rPr>
          <w:rFonts w:ascii="Times New Roman" w:hAnsi="Times New Roman" w:cs="Times New Roman"/>
          <w:sz w:val="24"/>
          <w:szCs w:val="24"/>
        </w:rPr>
        <w:t xml:space="preserve"> to CMS (</w:t>
      </w:r>
      <w:r w:rsidRPr="004B62EB" w:rsidR="00C7589D">
        <w:rPr>
          <w:rFonts w:ascii="Times New Roman" w:hAnsi="Times New Roman" w:cs="Times New Roman"/>
          <w:sz w:val="24"/>
          <w:szCs w:val="24"/>
        </w:rPr>
        <w:t xml:space="preserve">e.g., </w:t>
      </w:r>
      <w:r w:rsidRPr="004B62EB">
        <w:rPr>
          <w:rFonts w:ascii="Times New Roman" w:hAnsi="Times New Roman" w:cs="Times New Roman"/>
          <w:sz w:val="24"/>
          <w:szCs w:val="24"/>
        </w:rPr>
        <w:t>contracting information, bid pricing tools, plan benefit packages, formularies, DIR data submission, attestations, etc.).</w:t>
      </w:r>
    </w:p>
    <w:p w:rsidR="00D45B7E" w:rsidRPr="004B62EB" w:rsidP="00D50718" w14:paraId="0DD43CD6" w14:textId="2B9EBDB3">
      <w:pPr>
        <w:pStyle w:val="Heading4"/>
        <w:spacing w:before="240" w:after="240" w:line="240" w:lineRule="auto"/>
      </w:pPr>
      <w:r w:rsidRPr="009940DD">
        <w:rPr>
          <w:b w:val="0"/>
          <w:u w:val="single"/>
        </w:rPr>
        <w:t>4. Duplication of Information</w:t>
      </w:r>
    </w:p>
    <w:p w:rsidR="00D45B7E" w:rsidRPr="00425BA5" w:rsidP="00D50718" w14:paraId="7209C60B" w14:textId="03E05618">
      <w:pPr>
        <w:spacing w:before="240" w:after="240" w:line="240" w:lineRule="auto"/>
        <w:rPr>
          <w:rFonts w:ascii="Times New Roman" w:hAnsi="Times New Roman"/>
          <w:sz w:val="24"/>
        </w:rPr>
      </w:pPr>
      <w:r w:rsidRPr="004B62EB">
        <w:rPr>
          <w:rFonts w:ascii="Times New Roman" w:hAnsi="Times New Roman" w:cs="Times New Roman"/>
          <w:sz w:val="24"/>
          <w:szCs w:val="24"/>
        </w:rPr>
        <w:t>There are no similar informatio</w:t>
      </w:r>
      <w:r w:rsidRPr="004B62EB" w:rsidR="000126DF">
        <w:rPr>
          <w:rFonts w:ascii="Times New Roman" w:hAnsi="Times New Roman" w:cs="Times New Roman"/>
          <w:sz w:val="24"/>
          <w:szCs w:val="24"/>
        </w:rPr>
        <w:t xml:space="preserve">n collections </w:t>
      </w:r>
      <w:r w:rsidRPr="004B62EB" w:rsidR="00CD2DE2">
        <w:rPr>
          <w:rFonts w:ascii="Times New Roman" w:hAnsi="Times New Roman" w:cs="Times New Roman"/>
          <w:sz w:val="24"/>
          <w:szCs w:val="24"/>
        </w:rPr>
        <w:t xml:space="preserve">that capture the requirements of </w:t>
      </w:r>
      <w:r w:rsidRPr="004B62EB" w:rsidR="000126DF">
        <w:rPr>
          <w:rFonts w:ascii="Times New Roman" w:hAnsi="Times New Roman" w:cs="Times New Roman"/>
          <w:sz w:val="24"/>
          <w:szCs w:val="24"/>
        </w:rPr>
        <w:t xml:space="preserve">MLR </w:t>
      </w:r>
      <w:r w:rsidRPr="004B62EB" w:rsidR="00452505">
        <w:rPr>
          <w:rFonts w:ascii="Times New Roman" w:hAnsi="Times New Roman" w:cs="Times New Roman"/>
          <w:sz w:val="24"/>
          <w:szCs w:val="24"/>
        </w:rPr>
        <w:t xml:space="preserve">data submission </w:t>
      </w:r>
      <w:r w:rsidRPr="004B62EB" w:rsidR="000126DF">
        <w:rPr>
          <w:rFonts w:ascii="Times New Roman" w:hAnsi="Times New Roman" w:cs="Times New Roman"/>
          <w:sz w:val="24"/>
          <w:szCs w:val="24"/>
        </w:rPr>
        <w:t xml:space="preserve">for </w:t>
      </w:r>
      <w:r w:rsidRPr="004B62EB" w:rsidR="00452505">
        <w:rPr>
          <w:rFonts w:ascii="Times New Roman" w:hAnsi="Times New Roman" w:cs="Times New Roman"/>
          <w:sz w:val="24"/>
          <w:szCs w:val="24"/>
        </w:rPr>
        <w:t xml:space="preserve">MA </w:t>
      </w:r>
      <w:r w:rsidRPr="004B62EB" w:rsidR="000126DF">
        <w:rPr>
          <w:rFonts w:ascii="Times New Roman" w:hAnsi="Times New Roman" w:cs="Times New Roman"/>
          <w:sz w:val="24"/>
          <w:szCs w:val="24"/>
        </w:rPr>
        <w:t>and Part D</w:t>
      </w:r>
      <w:r w:rsidRPr="004B62EB" w:rsidR="00452505">
        <w:rPr>
          <w:rFonts w:ascii="Times New Roman" w:hAnsi="Times New Roman" w:cs="Times New Roman"/>
          <w:sz w:val="24"/>
          <w:szCs w:val="24"/>
        </w:rPr>
        <w:t xml:space="preserve"> contracts</w:t>
      </w:r>
      <w:r w:rsidRPr="004B62EB" w:rsidR="000126DF">
        <w:rPr>
          <w:rFonts w:ascii="Times New Roman" w:hAnsi="Times New Roman" w:cs="Times New Roman"/>
          <w:sz w:val="24"/>
          <w:szCs w:val="24"/>
        </w:rPr>
        <w:t xml:space="preserve">. </w:t>
      </w:r>
    </w:p>
    <w:p w:rsidR="00D45B7E" w:rsidRPr="004B62EB" w:rsidP="00D50718" w14:paraId="1677FF31" w14:textId="505396EE">
      <w:pPr>
        <w:pStyle w:val="Heading4"/>
        <w:spacing w:before="240" w:after="240" w:line="240" w:lineRule="auto"/>
      </w:pPr>
      <w:r w:rsidRPr="009940DD">
        <w:rPr>
          <w:b w:val="0"/>
          <w:u w:val="single"/>
        </w:rPr>
        <w:t>5. Impact on Small Businesses or Other Small Entities</w:t>
      </w:r>
    </w:p>
    <w:p w:rsidR="00D45B7E" w:rsidRPr="00425BA5" w:rsidP="00D50718" w14:paraId="68F15AA6" w14:textId="063FE53D">
      <w:pPr>
        <w:spacing w:before="240" w:after="240" w:line="240" w:lineRule="auto"/>
        <w:rPr>
          <w:rFonts w:ascii="Times New Roman" w:hAnsi="Times New Roman"/>
          <w:sz w:val="24"/>
        </w:rPr>
      </w:pPr>
      <w:r w:rsidRPr="00394EEE">
        <w:rPr>
          <w:rFonts w:ascii="Times New Roman" w:hAnsi="Times New Roman" w:cs="Times New Roman"/>
          <w:sz w:val="24"/>
          <w:szCs w:val="24"/>
        </w:rPr>
        <w:t>Our analysis of the estimated administrative burden related to the MLR reporting requirements is based on the average number of MA and Part D contracts subject to the reporting requirements for each contract year. For contract years (CYs) 2014 to 2020, the average number of such contracts is 601.  The total number of MA and Part D contracts is relatively stable year over year.</w:t>
      </w:r>
      <w:r>
        <w:rPr>
          <w:rFonts w:ascii="Times New Roman" w:hAnsi="Times New Roman" w:cs="Times New Roman"/>
          <w:sz w:val="24"/>
          <w:szCs w:val="24"/>
        </w:rPr>
        <w:t xml:space="preserve"> </w:t>
      </w:r>
      <w:r w:rsidR="00111D8F">
        <w:rPr>
          <w:rFonts w:ascii="Times New Roman" w:hAnsi="Times New Roman" w:cs="Times New Roman"/>
          <w:sz w:val="24"/>
          <w:szCs w:val="24"/>
        </w:rPr>
        <w:t>As noted in the Regulatory Flexibility Act section of the final rule, t</w:t>
      </w:r>
      <w:r w:rsidRPr="00394EEE" w:rsidR="00111D8F">
        <w:rPr>
          <w:rFonts w:ascii="Times New Roman" w:hAnsi="Times New Roman" w:cs="Times New Roman"/>
          <w:sz w:val="24"/>
          <w:szCs w:val="24"/>
        </w:rPr>
        <w:t>he CMS threshold for what constitutes a substantial number of small entities for purposes of the RFA is 3 to 5 percent.</w:t>
      </w:r>
      <w:r w:rsidR="00111D8F">
        <w:rPr>
          <w:rFonts w:ascii="Times New Roman" w:hAnsi="Times New Roman" w:cs="Times New Roman"/>
          <w:sz w:val="24"/>
          <w:szCs w:val="24"/>
        </w:rPr>
        <w:t xml:space="preserve"> The estimated burden per contract is $3,787 annually. We note that in Medicare Advantage, MA organizations and Part D sponsors submit bids that cover all costs including administrative overhead and profit. Just as large organizations, s</w:t>
      </w:r>
      <w:r w:rsidRPr="00394EEE" w:rsidR="00111D8F">
        <w:rPr>
          <w:rFonts w:ascii="Times New Roman" w:hAnsi="Times New Roman" w:cs="Times New Roman"/>
          <w:sz w:val="24"/>
          <w:szCs w:val="24"/>
        </w:rPr>
        <w:t>mall entities that must comply with MA regulations, such as those in this proposed rule, are expected to include the costs of compliance in their bids</w:t>
      </w:r>
      <w:r w:rsidR="00111D8F">
        <w:rPr>
          <w:rFonts w:ascii="Times New Roman" w:hAnsi="Times New Roman" w:cs="Times New Roman"/>
          <w:sz w:val="24"/>
          <w:szCs w:val="24"/>
        </w:rPr>
        <w:t xml:space="preserve"> and will</w:t>
      </w:r>
      <w:r w:rsidR="00B33556">
        <w:rPr>
          <w:rFonts w:ascii="Times New Roman" w:hAnsi="Times New Roman" w:cs="Times New Roman"/>
          <w:sz w:val="24"/>
          <w:szCs w:val="24"/>
        </w:rPr>
        <w:t>, therefore, be compensated for the costs associated with</w:t>
      </w:r>
      <w:r w:rsidR="00111D8F">
        <w:rPr>
          <w:rFonts w:ascii="Times New Roman" w:hAnsi="Times New Roman" w:cs="Times New Roman"/>
          <w:sz w:val="24"/>
          <w:szCs w:val="24"/>
        </w:rPr>
        <w:t xml:space="preserve"> complying with the revised requirements for MLR reporting under this final </w:t>
      </w:r>
      <w:r w:rsidR="00B33556">
        <w:rPr>
          <w:rFonts w:ascii="Times New Roman" w:hAnsi="Times New Roman" w:cs="Times New Roman"/>
          <w:sz w:val="24"/>
          <w:szCs w:val="24"/>
        </w:rPr>
        <w:t>rule.</w:t>
      </w:r>
    </w:p>
    <w:p w:rsidR="00D45B7E" w:rsidRPr="004B62EB" w:rsidP="00D50718" w14:paraId="5236D559" w14:textId="6483498B">
      <w:pPr>
        <w:pStyle w:val="Heading4"/>
        <w:spacing w:before="240" w:after="240" w:line="240" w:lineRule="auto"/>
      </w:pPr>
      <w:r w:rsidRPr="009940DD">
        <w:rPr>
          <w:b w:val="0"/>
          <w:u w:val="single"/>
        </w:rPr>
        <w:t>6. Consequences of Collecting the Information Less Frequently</w:t>
      </w:r>
    </w:p>
    <w:p w:rsidR="00BA616C" w:rsidRPr="004B62EB" w:rsidP="00D50718" w14:paraId="67F4D07C" w14:textId="420BCD51">
      <w:pPr>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CMS must collect this information annually</w:t>
      </w:r>
      <w:r w:rsidRPr="004B62EB" w:rsidR="00151B49">
        <w:rPr>
          <w:rFonts w:ascii="Times New Roman" w:hAnsi="Times New Roman" w:cs="Times New Roman"/>
          <w:sz w:val="24"/>
          <w:szCs w:val="24"/>
        </w:rPr>
        <w:t xml:space="preserve"> in order to determine the amount of any remittances owed to CMS, and to implement sanctions</w:t>
      </w:r>
      <w:r w:rsidRPr="004B62EB">
        <w:rPr>
          <w:rFonts w:ascii="Times New Roman" w:hAnsi="Times New Roman" w:cs="Times New Roman"/>
          <w:sz w:val="24"/>
          <w:szCs w:val="24"/>
        </w:rPr>
        <w:t xml:space="preserve">, as required by the </w:t>
      </w:r>
      <w:r w:rsidRPr="004B62EB">
        <w:rPr>
          <w:rFonts w:ascii="Times New Roman" w:hAnsi="Times New Roman" w:cs="Times New Roman"/>
          <w:sz w:val="24"/>
          <w:szCs w:val="24"/>
        </w:rPr>
        <w:t>sections 1857(e) and 1860D–12(b)(3)(D) of the Act</w:t>
      </w:r>
      <w:r w:rsidRPr="004B62EB">
        <w:rPr>
          <w:rFonts w:ascii="Times New Roman" w:hAnsi="Times New Roman" w:cs="Times New Roman"/>
          <w:sz w:val="24"/>
          <w:szCs w:val="24"/>
        </w:rPr>
        <w:t xml:space="preserve">. </w:t>
      </w:r>
      <w:r w:rsidRPr="004B62EB" w:rsidR="00F12429">
        <w:rPr>
          <w:rFonts w:ascii="Times New Roman" w:hAnsi="Times New Roman" w:cs="Times New Roman"/>
          <w:sz w:val="24"/>
          <w:szCs w:val="24"/>
        </w:rPr>
        <w:t>MA organizations and Part D sponsors are required to report their MLR</w:t>
      </w:r>
      <w:r w:rsidRPr="004B62EB" w:rsidR="00151B49">
        <w:rPr>
          <w:rFonts w:ascii="Times New Roman" w:hAnsi="Times New Roman" w:cs="Times New Roman"/>
          <w:sz w:val="24"/>
          <w:szCs w:val="24"/>
        </w:rPr>
        <w:t xml:space="preserve"> data</w:t>
      </w:r>
      <w:r w:rsidRPr="004B62EB" w:rsidR="00F12429">
        <w:rPr>
          <w:rFonts w:ascii="Times New Roman" w:hAnsi="Times New Roman" w:cs="Times New Roman"/>
          <w:sz w:val="24"/>
          <w:szCs w:val="24"/>
        </w:rPr>
        <w:t xml:space="preserve">, and are subject to financial and other penalties for a failure to meet </w:t>
      </w:r>
      <w:r w:rsidRPr="004B62EB" w:rsidR="00AC5120">
        <w:rPr>
          <w:rFonts w:ascii="Times New Roman" w:hAnsi="Times New Roman" w:cs="Times New Roman"/>
          <w:sz w:val="24"/>
          <w:szCs w:val="24"/>
        </w:rPr>
        <w:t>the</w:t>
      </w:r>
      <w:r w:rsidRPr="004B62EB" w:rsidR="00F12429">
        <w:rPr>
          <w:rFonts w:ascii="Times New Roman" w:hAnsi="Times New Roman" w:cs="Times New Roman"/>
          <w:sz w:val="24"/>
          <w:szCs w:val="24"/>
        </w:rPr>
        <w:t xml:space="preserve"> statutory requirement that they have an MLR of at least 85 percent.</w:t>
      </w:r>
      <w:r w:rsidRPr="004B62EB" w:rsidR="00491AB8">
        <w:rPr>
          <w:rFonts w:ascii="Times New Roman" w:hAnsi="Times New Roman" w:cs="Times New Roman"/>
          <w:sz w:val="24"/>
          <w:szCs w:val="24"/>
        </w:rPr>
        <w:t xml:space="preserve"> </w:t>
      </w:r>
      <w:r w:rsidRPr="004B62EB" w:rsidR="00F12429">
        <w:rPr>
          <w:rFonts w:ascii="Times New Roman" w:hAnsi="Times New Roman" w:cs="Times New Roman"/>
          <w:sz w:val="24"/>
          <w:szCs w:val="24"/>
        </w:rPr>
        <w:t xml:space="preserve">The </w:t>
      </w:r>
      <w:r w:rsidRPr="004B62EB">
        <w:rPr>
          <w:rFonts w:ascii="Times New Roman" w:hAnsi="Times New Roman" w:cs="Times New Roman"/>
          <w:sz w:val="24"/>
          <w:szCs w:val="24"/>
        </w:rPr>
        <w:t>statute</w:t>
      </w:r>
      <w:r w:rsidRPr="004B62EB" w:rsidR="00F12429">
        <w:rPr>
          <w:rFonts w:ascii="Times New Roman" w:hAnsi="Times New Roman" w:cs="Times New Roman"/>
          <w:sz w:val="24"/>
          <w:szCs w:val="24"/>
        </w:rPr>
        <w:t xml:space="preserve"> requires several levels of </w:t>
      </w:r>
      <w:r w:rsidRPr="004B62EB" w:rsidR="00F12429">
        <w:rPr>
          <w:rFonts w:ascii="Times New Roman" w:hAnsi="Times New Roman" w:cs="Times New Roman"/>
          <w:sz w:val="24"/>
          <w:szCs w:val="24"/>
        </w:rPr>
        <w:t>sanctions for failure to meet the 85 percent minimum MLR requirement, including remittance of funds to CMS, a prohibition on enrolling new members, and</w:t>
      </w:r>
      <w:r w:rsidRPr="004B62EB" w:rsidR="00AC5120">
        <w:rPr>
          <w:rFonts w:ascii="Times New Roman" w:hAnsi="Times New Roman" w:cs="Times New Roman"/>
          <w:sz w:val="24"/>
          <w:szCs w:val="24"/>
        </w:rPr>
        <w:t>,</w:t>
      </w:r>
      <w:r w:rsidRPr="004B62EB" w:rsidR="00F12429">
        <w:rPr>
          <w:rFonts w:ascii="Times New Roman" w:hAnsi="Times New Roman" w:cs="Times New Roman"/>
          <w:sz w:val="24"/>
          <w:szCs w:val="24"/>
        </w:rPr>
        <w:t xml:space="preserve"> ultimately</w:t>
      </w:r>
      <w:r w:rsidRPr="004B62EB" w:rsidR="00AC5120">
        <w:rPr>
          <w:rFonts w:ascii="Times New Roman" w:hAnsi="Times New Roman" w:cs="Times New Roman"/>
          <w:sz w:val="24"/>
          <w:szCs w:val="24"/>
        </w:rPr>
        <w:t>,</w:t>
      </w:r>
      <w:r w:rsidRPr="004B62EB" w:rsidR="00F12429">
        <w:rPr>
          <w:rFonts w:ascii="Times New Roman" w:hAnsi="Times New Roman" w:cs="Times New Roman"/>
          <w:sz w:val="24"/>
          <w:szCs w:val="24"/>
        </w:rPr>
        <w:t xml:space="preserve"> contract termination. </w:t>
      </w:r>
    </w:p>
    <w:p w:rsidR="00D45B7E" w:rsidRPr="00425BA5" w:rsidP="00D50718" w14:paraId="6A25323B" w14:textId="4731443F">
      <w:pPr>
        <w:spacing w:before="240" w:after="240" w:line="240" w:lineRule="auto"/>
        <w:rPr>
          <w:rFonts w:ascii="Times New Roman" w:hAnsi="Times New Roman"/>
          <w:sz w:val="24"/>
        </w:rPr>
      </w:pPr>
      <w:r w:rsidRPr="004B62EB">
        <w:rPr>
          <w:rFonts w:ascii="Times New Roman" w:hAnsi="Times New Roman" w:cs="Times New Roman"/>
          <w:sz w:val="24"/>
          <w:szCs w:val="24"/>
        </w:rPr>
        <w:t xml:space="preserve">Annual submission of </w:t>
      </w:r>
      <w:r w:rsidRPr="004B62EB" w:rsidR="00E32886">
        <w:rPr>
          <w:rFonts w:ascii="Times New Roman" w:hAnsi="Times New Roman" w:cs="Times New Roman"/>
          <w:sz w:val="24"/>
          <w:szCs w:val="24"/>
        </w:rPr>
        <w:t xml:space="preserve">MLR </w:t>
      </w:r>
      <w:r w:rsidRPr="004B62EB">
        <w:rPr>
          <w:rFonts w:ascii="Times New Roman" w:hAnsi="Times New Roman" w:cs="Times New Roman"/>
          <w:sz w:val="24"/>
          <w:szCs w:val="24"/>
        </w:rPr>
        <w:t xml:space="preserve">data </w:t>
      </w:r>
      <w:r w:rsidRPr="004B62EB" w:rsidR="00E32886">
        <w:rPr>
          <w:rFonts w:ascii="Times New Roman" w:hAnsi="Times New Roman" w:cs="Times New Roman"/>
          <w:sz w:val="24"/>
          <w:szCs w:val="24"/>
        </w:rPr>
        <w:t xml:space="preserve">is necessary </w:t>
      </w:r>
      <w:r w:rsidRPr="004B62EB" w:rsidR="00BA616C">
        <w:rPr>
          <w:rFonts w:ascii="Times New Roman" w:hAnsi="Times New Roman" w:cs="Times New Roman"/>
          <w:sz w:val="24"/>
          <w:szCs w:val="24"/>
        </w:rPr>
        <w:t xml:space="preserve">for enforcement of </w:t>
      </w:r>
      <w:r w:rsidRPr="004B62EB" w:rsidR="00E32886">
        <w:rPr>
          <w:rFonts w:ascii="Times New Roman" w:hAnsi="Times New Roman" w:cs="Times New Roman"/>
          <w:sz w:val="24"/>
          <w:szCs w:val="24"/>
        </w:rPr>
        <w:t xml:space="preserve">the </w:t>
      </w:r>
      <w:r w:rsidRPr="004B62EB" w:rsidR="00BA616C">
        <w:rPr>
          <w:rFonts w:ascii="Times New Roman" w:hAnsi="Times New Roman" w:cs="Times New Roman"/>
          <w:sz w:val="24"/>
          <w:szCs w:val="24"/>
        </w:rPr>
        <w:t>statutory remittance requirement and other sanctions mandated by the Act.</w:t>
      </w:r>
    </w:p>
    <w:p w:rsidR="00D45B7E" w:rsidRPr="004B62EB" w:rsidP="00D50718" w14:paraId="49C96B26" w14:textId="48140B63">
      <w:pPr>
        <w:pStyle w:val="Heading4"/>
        <w:spacing w:before="240" w:after="240" w:line="240" w:lineRule="auto"/>
      </w:pPr>
      <w:r w:rsidRPr="009940DD">
        <w:rPr>
          <w:b w:val="0"/>
          <w:u w:val="single"/>
        </w:rPr>
        <w:t>7. S</w:t>
      </w:r>
      <w:r w:rsidRPr="009940DD" w:rsidR="00CC60DD">
        <w:rPr>
          <w:b w:val="0"/>
          <w:u w:val="single"/>
        </w:rPr>
        <w:t>pecial Circumstances</w:t>
      </w:r>
    </w:p>
    <w:p w:rsidR="007F2979" w:rsidRPr="004B62EB" w:rsidP="00D50718" w14:paraId="27B9A3DC" w14:textId="510ABFEA">
      <w:pPr>
        <w:pStyle w:val="Body2"/>
        <w:spacing w:before="240" w:after="240"/>
      </w:pPr>
      <w:r w:rsidRPr="00E80C81">
        <w:t>Each MA organization and Part D sponsor must maintain the supporting documentation for ten years from the date such data were reported to CMS with respect to a given contract year (see §§ 422.2480(c) and 423.2480(c), respectively).</w:t>
      </w:r>
      <w:r w:rsidR="00B80667">
        <w:t xml:space="preserve"> Regulations governing contract provisions under </w:t>
      </w:r>
      <w:r w:rsidRPr="00E80C81" w:rsidR="00B80667">
        <w:t>§§ 422.</w:t>
      </w:r>
      <w:r w:rsidR="00B80667">
        <w:t xml:space="preserve">504(d) </w:t>
      </w:r>
      <w:r w:rsidR="00665C51">
        <w:t xml:space="preserve">for Medicare Advantage and 423.505(d) for Part D </w:t>
      </w:r>
      <w:r w:rsidR="00B80667">
        <w:t>set forth record retention requirements.</w:t>
      </w:r>
      <w:r w:rsidRPr="001E58B0" w:rsidR="001E58B0">
        <w:t xml:space="preserve"> </w:t>
      </w:r>
      <w:r>
        <w:t>Otherwise, t</w:t>
      </w:r>
      <w:r w:rsidRPr="004B62EB">
        <w:t>here are no special circumstances</w:t>
      </w:r>
      <w:r w:rsidRPr="004B62EB" w:rsidR="00131507">
        <w:t xml:space="preserve"> that would require</w:t>
      </w:r>
      <w:r w:rsidRPr="004B62EB">
        <w:t xml:space="preserve"> </w:t>
      </w:r>
      <w:r w:rsidRPr="004B62EB" w:rsidR="00131507">
        <w:t xml:space="preserve">an </w:t>
      </w:r>
      <w:r w:rsidRPr="004B62EB">
        <w:t xml:space="preserve">information collection </w:t>
      </w:r>
      <w:r w:rsidRPr="004B62EB" w:rsidR="00131507">
        <w:t>to be conducted in a manner that requires respondents to:</w:t>
      </w:r>
    </w:p>
    <w:p w:rsidR="007F2979" w:rsidRPr="004B62EB" w:rsidP="00F61D3A" w14:paraId="17CFF43C" w14:textId="134919E6">
      <w:pPr>
        <w:pStyle w:val="Body2"/>
        <w:numPr>
          <w:ilvl w:val="0"/>
          <w:numId w:val="6"/>
        </w:numPr>
      </w:pPr>
      <w:r w:rsidRPr="004B62EB">
        <w:t>R</w:t>
      </w:r>
      <w:r w:rsidRPr="004B62EB">
        <w:t>eport information to the agency more often than quarterly;</w:t>
      </w:r>
    </w:p>
    <w:p w:rsidR="007F2979" w:rsidRPr="004B62EB" w:rsidP="00F61D3A" w14:paraId="6FC30EEF" w14:textId="403DEFA1">
      <w:pPr>
        <w:pStyle w:val="Body2"/>
        <w:numPr>
          <w:ilvl w:val="0"/>
          <w:numId w:val="6"/>
        </w:numPr>
      </w:pPr>
      <w:r w:rsidRPr="004B62EB">
        <w:t>P</w:t>
      </w:r>
      <w:r w:rsidRPr="004B62EB">
        <w:t>repare a written response to a collection of information in fewer than 30 days after receipt of it;</w:t>
      </w:r>
    </w:p>
    <w:p w:rsidR="007F2979" w:rsidRPr="003A00BC" w:rsidP="00F61D3A" w14:paraId="6E6B67F1" w14:textId="6D567C9A">
      <w:pPr>
        <w:pStyle w:val="Body2"/>
        <w:numPr>
          <w:ilvl w:val="0"/>
          <w:numId w:val="6"/>
        </w:numPr>
      </w:pPr>
      <w:r w:rsidRPr="003A00BC">
        <w:t>S</w:t>
      </w:r>
      <w:r w:rsidRPr="003A00BC">
        <w:t>ubmit more than an original and two copies of any document;</w:t>
      </w:r>
    </w:p>
    <w:p w:rsidR="007F2979" w:rsidRPr="003A00BC" w:rsidP="00F61D3A" w14:paraId="17E87CE7" w14:textId="073A7355">
      <w:pPr>
        <w:pStyle w:val="Body2"/>
        <w:numPr>
          <w:ilvl w:val="0"/>
          <w:numId w:val="6"/>
        </w:numPr>
      </w:pPr>
      <w:r w:rsidRPr="003A00BC">
        <w:t>R</w:t>
      </w:r>
      <w:r w:rsidRPr="003A00BC">
        <w:t>etain records, other than health, medical, government contract, grant-in-aid, or tax records for more than three years;</w:t>
      </w:r>
    </w:p>
    <w:p w:rsidR="007F2979" w:rsidRPr="004B62EB" w:rsidP="00F61D3A" w14:paraId="6E705CF9" w14:textId="387994F8">
      <w:pPr>
        <w:pStyle w:val="Body2"/>
        <w:numPr>
          <w:ilvl w:val="0"/>
          <w:numId w:val="6"/>
        </w:numPr>
      </w:pPr>
      <w:r w:rsidRPr="003A00BC">
        <w:t xml:space="preserve">Collect data in </w:t>
      </w:r>
      <w:r w:rsidRPr="003A00BC">
        <w:t>connect</w:t>
      </w:r>
      <w:r w:rsidRPr="003A00BC">
        <w:t>ion</w:t>
      </w:r>
      <w:r w:rsidRPr="003A00BC">
        <w:t xml:space="preserve"> with a statistical survey that is not designed to produce valid</w:t>
      </w:r>
      <w:r w:rsidRPr="004B62EB">
        <w:t xml:space="preserve"> and reliable results that can be generalized to the universe of study</w:t>
      </w:r>
      <w:r w:rsidRPr="004B62EB" w:rsidR="00A67BE8">
        <w:t>;</w:t>
      </w:r>
    </w:p>
    <w:p w:rsidR="007F2979" w:rsidRPr="004B62EB" w:rsidP="00F61D3A" w14:paraId="4085E72E" w14:textId="4B9635E9">
      <w:pPr>
        <w:pStyle w:val="Body2"/>
        <w:numPr>
          <w:ilvl w:val="0"/>
          <w:numId w:val="6"/>
        </w:numPr>
      </w:pPr>
      <w:r w:rsidRPr="004B62EB">
        <w:t>U</w:t>
      </w:r>
      <w:r w:rsidRPr="004B62EB">
        <w:t>se a statistical data classification that has not been reviewed and approved by OMB;</w:t>
      </w:r>
    </w:p>
    <w:p w:rsidR="007F2979" w:rsidRPr="004B62EB" w:rsidP="00F61D3A" w14:paraId="3F3D603A" w14:textId="5C7CADE3">
      <w:pPr>
        <w:pStyle w:val="Body2"/>
        <w:numPr>
          <w:ilvl w:val="0"/>
          <w:numId w:val="6"/>
        </w:numPr>
      </w:pPr>
      <w:r w:rsidRPr="004B62EB">
        <w:t>Include a pledge of confidentiality that is not supported by authority established in statu</w:t>
      </w:r>
      <w:r w:rsidRPr="004B62EB" w:rsidR="00A67BE8">
        <w:t>t</w:t>
      </w:r>
      <w:r w:rsidRPr="004B62EB">
        <w:t>e or regulation that is not supported by disclosure and data security policies that are consistent with the pledge, or which unnecessarily impedes sharing of data with other agencies for compatible confidential use; or</w:t>
      </w:r>
    </w:p>
    <w:p w:rsidR="007F2979" w:rsidRPr="004B62EB" w:rsidP="00F61D3A" w14:paraId="3D77E855" w14:textId="3E9C9CFA">
      <w:pPr>
        <w:pStyle w:val="Body2"/>
        <w:numPr>
          <w:ilvl w:val="0"/>
          <w:numId w:val="6"/>
        </w:numPr>
      </w:pPr>
      <w:r w:rsidRPr="004B62EB">
        <w:t>S</w:t>
      </w:r>
      <w:r w:rsidRPr="004B62EB">
        <w:t xml:space="preserve">ubmit proprietary trade secret or other confidential information unless the agency can demonstrate that it has instituted procedures to protect </w:t>
      </w:r>
      <w:r w:rsidRPr="004B62EB" w:rsidR="00A67BE8">
        <w:t xml:space="preserve">the </w:t>
      </w:r>
      <w:r w:rsidRPr="004B62EB">
        <w:t>information's confidentiality to the extent permitted by law.</w:t>
      </w:r>
    </w:p>
    <w:p w:rsidR="009E7B95" w:rsidRPr="003C4C4A" w:rsidP="00D50718" w14:paraId="1F929CA0" w14:textId="068CF863">
      <w:pPr>
        <w:pStyle w:val="Heading4"/>
        <w:spacing w:before="240" w:after="240" w:line="240" w:lineRule="auto"/>
        <w:rPr>
          <w:b w:val="0"/>
          <w:u w:val="single"/>
        </w:rPr>
      </w:pPr>
      <w:r w:rsidRPr="003C4C4A">
        <w:rPr>
          <w:b w:val="0"/>
          <w:u w:val="single"/>
        </w:rPr>
        <w:t>8. Federal Register Notice</w:t>
      </w:r>
      <w:r w:rsidRPr="003C4C4A" w:rsidR="005C27BE">
        <w:rPr>
          <w:b w:val="0"/>
          <w:u w:val="single"/>
        </w:rPr>
        <w:t>/Outside</w:t>
      </w:r>
      <w:r w:rsidRPr="003C4C4A" w:rsidR="005C27BE">
        <w:rPr>
          <w:b w:val="0"/>
          <w:spacing w:val="53"/>
          <w:u w:val="single"/>
        </w:rPr>
        <w:t xml:space="preserve"> </w:t>
      </w:r>
      <w:r w:rsidRPr="003C4C4A" w:rsidR="005C27BE">
        <w:rPr>
          <w:b w:val="0"/>
          <w:w w:val="106"/>
          <w:u w:val="single"/>
        </w:rPr>
        <w:t>Consultation</w:t>
      </w:r>
    </w:p>
    <w:p w:rsidR="00DF1377" w:rsidRPr="003C4C4A" w:rsidP="00303176" w14:paraId="1C24DA3E" w14:textId="15FB6384">
      <w:pPr>
        <w:spacing w:after="0" w:line="240" w:lineRule="auto"/>
        <w:rPr>
          <w:rFonts w:ascii="Times New Roman" w:hAnsi="Times New Roman" w:cs="Times New Roman"/>
          <w:sz w:val="24"/>
          <w:szCs w:val="24"/>
        </w:rPr>
      </w:pPr>
      <w:r w:rsidRPr="003C4C4A">
        <w:rPr>
          <w:rFonts w:ascii="Times New Roman" w:hAnsi="Times New Roman" w:cs="Times New Roman"/>
          <w:sz w:val="24"/>
          <w:szCs w:val="24"/>
        </w:rPr>
        <w:t>Serving as t</w:t>
      </w:r>
      <w:r w:rsidRPr="003C4C4A" w:rsidR="0060245F">
        <w:rPr>
          <w:rFonts w:ascii="Times New Roman" w:hAnsi="Times New Roman" w:cs="Times New Roman"/>
          <w:sz w:val="24"/>
          <w:szCs w:val="24"/>
        </w:rPr>
        <w:t>he</w:t>
      </w:r>
      <w:r w:rsidRPr="003C4C4A" w:rsidR="00197A6F">
        <w:rPr>
          <w:rFonts w:ascii="Times New Roman" w:hAnsi="Times New Roman" w:cs="Times New Roman"/>
          <w:sz w:val="24"/>
          <w:szCs w:val="24"/>
        </w:rPr>
        <w:t xml:space="preserve"> 60-day notice</w:t>
      </w:r>
      <w:r w:rsidRPr="003C4C4A">
        <w:rPr>
          <w:rFonts w:ascii="Times New Roman" w:hAnsi="Times New Roman" w:cs="Times New Roman"/>
          <w:sz w:val="24"/>
          <w:szCs w:val="24"/>
        </w:rPr>
        <w:t xml:space="preserve">, the proposed rule </w:t>
      </w:r>
      <w:r w:rsidRPr="003C4C4A" w:rsidR="00197A6F">
        <w:rPr>
          <w:rFonts w:ascii="Times New Roman" w:hAnsi="Times New Roman" w:cs="Times New Roman"/>
          <w:sz w:val="24"/>
          <w:szCs w:val="24"/>
        </w:rPr>
        <w:t>(CMS-419</w:t>
      </w:r>
      <w:r w:rsidRPr="003C4C4A" w:rsidR="00C7589D">
        <w:rPr>
          <w:rFonts w:ascii="Times New Roman" w:hAnsi="Times New Roman" w:cs="Times New Roman"/>
          <w:sz w:val="24"/>
          <w:szCs w:val="24"/>
        </w:rPr>
        <w:t>2</w:t>
      </w:r>
      <w:r w:rsidRPr="003C4C4A" w:rsidR="00197A6F">
        <w:rPr>
          <w:rFonts w:ascii="Times New Roman" w:hAnsi="Times New Roman" w:cs="Times New Roman"/>
          <w:sz w:val="24"/>
          <w:szCs w:val="24"/>
        </w:rPr>
        <w:t>-</w:t>
      </w:r>
      <w:r w:rsidRPr="003C4C4A" w:rsidR="00B87386">
        <w:rPr>
          <w:rFonts w:ascii="Times New Roman" w:hAnsi="Times New Roman" w:cs="Times New Roman"/>
          <w:sz w:val="24"/>
          <w:szCs w:val="24"/>
        </w:rPr>
        <w:t>F</w:t>
      </w:r>
      <w:r w:rsidRPr="003C4C4A" w:rsidR="00197A6F">
        <w:rPr>
          <w:rFonts w:ascii="Times New Roman" w:hAnsi="Times New Roman" w:cs="Times New Roman"/>
          <w:sz w:val="24"/>
          <w:szCs w:val="24"/>
        </w:rPr>
        <w:t>, RIN 0938-A</w:t>
      </w:r>
      <w:r w:rsidRPr="003C4C4A" w:rsidR="00C7589D">
        <w:rPr>
          <w:rFonts w:ascii="Times New Roman" w:hAnsi="Times New Roman" w:cs="Times New Roman"/>
          <w:sz w:val="24"/>
          <w:szCs w:val="24"/>
        </w:rPr>
        <w:t>U30</w:t>
      </w:r>
      <w:r w:rsidRPr="003C4C4A" w:rsidR="00197A6F">
        <w:rPr>
          <w:rFonts w:ascii="Times New Roman" w:hAnsi="Times New Roman" w:cs="Times New Roman"/>
          <w:sz w:val="24"/>
          <w:szCs w:val="24"/>
        </w:rPr>
        <w:t xml:space="preserve">) </w:t>
      </w:r>
      <w:r w:rsidRPr="003C4C4A" w:rsidR="006F7FD7">
        <w:rPr>
          <w:rFonts w:ascii="Times New Roman" w:hAnsi="Times New Roman" w:cs="Times New Roman"/>
          <w:sz w:val="24"/>
          <w:szCs w:val="24"/>
        </w:rPr>
        <w:t xml:space="preserve">published </w:t>
      </w:r>
      <w:r w:rsidRPr="003C4C4A" w:rsidR="00C57C7F">
        <w:rPr>
          <w:rFonts w:ascii="Times New Roman" w:hAnsi="Times New Roman" w:cs="Times New Roman"/>
          <w:sz w:val="24"/>
          <w:szCs w:val="24"/>
        </w:rPr>
        <w:t xml:space="preserve">in the Federal Register </w:t>
      </w:r>
      <w:r w:rsidRPr="003C4C4A" w:rsidR="006F7FD7">
        <w:rPr>
          <w:rFonts w:ascii="Times New Roman" w:hAnsi="Times New Roman" w:cs="Times New Roman"/>
          <w:sz w:val="24"/>
          <w:szCs w:val="24"/>
        </w:rPr>
        <w:t xml:space="preserve">on </w:t>
      </w:r>
      <w:r w:rsidRPr="003C4C4A">
        <w:rPr>
          <w:rFonts w:ascii="Times New Roman" w:hAnsi="Times New Roman" w:cs="Times New Roman"/>
          <w:sz w:val="24"/>
          <w:szCs w:val="24"/>
        </w:rPr>
        <w:t>January 12, 2022</w:t>
      </w:r>
      <w:r w:rsidRPr="003C4C4A" w:rsidR="00604550">
        <w:rPr>
          <w:rFonts w:ascii="Times New Roman" w:hAnsi="Times New Roman" w:cs="Times New Roman"/>
          <w:sz w:val="24"/>
          <w:szCs w:val="24"/>
        </w:rPr>
        <w:t xml:space="preserve"> (87 FR </w:t>
      </w:r>
      <w:r w:rsidRPr="003C4C4A">
        <w:rPr>
          <w:rFonts w:ascii="Times New Roman" w:hAnsi="Times New Roman" w:cs="Times New Roman"/>
          <w:sz w:val="24"/>
          <w:szCs w:val="24"/>
        </w:rPr>
        <w:t>1842</w:t>
      </w:r>
      <w:r w:rsidRPr="003C4C4A" w:rsidR="00604550">
        <w:rPr>
          <w:rFonts w:ascii="Times New Roman" w:hAnsi="Times New Roman" w:cs="Times New Roman"/>
          <w:sz w:val="24"/>
          <w:szCs w:val="24"/>
        </w:rPr>
        <w:t>)</w:t>
      </w:r>
      <w:r w:rsidRPr="003C4C4A" w:rsidR="00197A6F">
        <w:rPr>
          <w:rFonts w:ascii="Times New Roman" w:hAnsi="Times New Roman" w:cs="Times New Roman"/>
          <w:sz w:val="24"/>
          <w:szCs w:val="24"/>
        </w:rPr>
        <w:t xml:space="preserve">. </w:t>
      </w:r>
      <w:r w:rsidRPr="003C4C4A" w:rsidR="008D2438">
        <w:rPr>
          <w:rFonts w:ascii="Times New Roman" w:hAnsi="Times New Roman" w:cs="Times New Roman"/>
          <w:sz w:val="24"/>
          <w:szCs w:val="24"/>
        </w:rPr>
        <w:t xml:space="preserve">As it pertains to </w:t>
      </w:r>
      <w:r w:rsidRPr="003C4C4A">
        <w:rPr>
          <w:rFonts w:ascii="Times New Roman" w:hAnsi="Times New Roman" w:cs="Times New Roman"/>
          <w:sz w:val="24"/>
          <w:szCs w:val="24"/>
        </w:rPr>
        <w:t xml:space="preserve">that rule’s proposed requirements and burden </w:t>
      </w:r>
      <w:r w:rsidRPr="003C4C4A">
        <w:rPr>
          <w:rFonts w:ascii="Times New Roman" w:hAnsi="Times New Roman" w:cs="Times New Roman"/>
          <w:sz w:val="24"/>
          <w:szCs w:val="24"/>
        </w:rPr>
        <w:t xml:space="preserve">estimates </w:t>
      </w:r>
      <w:r w:rsidRPr="003C4C4A">
        <w:rPr>
          <w:rFonts w:ascii="Times New Roman" w:hAnsi="Times New Roman" w:cs="Times New Roman"/>
          <w:sz w:val="24"/>
          <w:szCs w:val="24"/>
        </w:rPr>
        <w:t xml:space="preserve">under this </w:t>
      </w:r>
      <w:r w:rsidRPr="003C4C4A">
        <w:rPr>
          <w:rFonts w:ascii="Times New Roman" w:hAnsi="Times New Roman" w:cs="Times New Roman"/>
          <w:sz w:val="24"/>
          <w:szCs w:val="24"/>
        </w:rPr>
        <w:t xml:space="preserve">collection of information request’s </w:t>
      </w:r>
      <w:r w:rsidRPr="003C4C4A">
        <w:rPr>
          <w:rFonts w:ascii="Times New Roman" w:hAnsi="Times New Roman" w:cs="Times New Roman"/>
          <w:sz w:val="24"/>
          <w:szCs w:val="24"/>
        </w:rPr>
        <w:t xml:space="preserve">control number (OMB 0938-1232) no comments were received. </w:t>
      </w:r>
      <w:r w:rsidRPr="003C4C4A">
        <w:rPr>
          <w:rFonts w:ascii="Times New Roman" w:hAnsi="Times New Roman" w:cs="Times New Roman"/>
          <w:sz w:val="24"/>
          <w:szCs w:val="24"/>
        </w:rPr>
        <w:t xml:space="preserve">The </w:t>
      </w:r>
      <w:bookmarkStart w:id="5" w:name="_Hlk122505491"/>
      <w:r w:rsidRPr="003C4C4A">
        <w:rPr>
          <w:rFonts w:ascii="Times New Roman" w:hAnsi="Times New Roman" w:cs="Times New Roman"/>
          <w:sz w:val="24"/>
          <w:szCs w:val="24"/>
        </w:rPr>
        <w:t xml:space="preserve">NPRM’s amendments to §422.2460(d) and (e) and §423.2460(d) and (e) were finalized as </w:t>
      </w:r>
      <w:bookmarkEnd w:id="5"/>
      <w:r w:rsidRPr="003C4C4A">
        <w:rPr>
          <w:rFonts w:ascii="Times New Roman" w:hAnsi="Times New Roman" w:cs="Times New Roman"/>
          <w:sz w:val="24"/>
          <w:szCs w:val="24"/>
        </w:rPr>
        <w:t>proposed.</w:t>
      </w:r>
      <w:r w:rsidRPr="003C4C4A">
        <w:t xml:space="preserve">  </w:t>
      </w:r>
    </w:p>
    <w:p w:rsidR="00303176" w:rsidRPr="003A4728" w:rsidP="003A4728" w14:paraId="135DE9B2" w14:textId="77777777">
      <w:pPr>
        <w:spacing w:after="0" w:line="240" w:lineRule="auto"/>
        <w:rPr>
          <w:rFonts w:ascii="Tahoma" w:hAnsi="Tahoma"/>
        </w:rPr>
      </w:pPr>
    </w:p>
    <w:p w:rsidR="00303176" w:rsidRPr="003C4C4A" w:rsidP="003A4728" w14:paraId="30DDA3FC" w14:textId="39A4D634">
      <w:pPr>
        <w:spacing w:after="0" w:line="240" w:lineRule="auto"/>
        <w:rPr>
          <w:rFonts w:ascii="Times New Roman" w:hAnsi="Times New Roman" w:cs="Times New Roman"/>
          <w:sz w:val="24"/>
          <w:szCs w:val="24"/>
        </w:rPr>
      </w:pPr>
      <w:r w:rsidRPr="003C4C4A">
        <w:rPr>
          <w:rFonts w:ascii="Times New Roman" w:hAnsi="Times New Roman" w:cs="Times New Roman"/>
          <w:sz w:val="24"/>
          <w:szCs w:val="24"/>
        </w:rPr>
        <w:t xml:space="preserve">The final rule (CMS-4192-F, RIN 0938-AU30) published in the Federal Register on May 9, 2022 (87 FR 27704). </w:t>
      </w:r>
    </w:p>
    <w:p w:rsidR="009E7B95" w:rsidRPr="003C4C4A" w:rsidP="00D50718" w14:paraId="3C22A944" w14:textId="61CE5E97">
      <w:pPr>
        <w:pStyle w:val="Heading4"/>
        <w:spacing w:before="240" w:after="240" w:line="240" w:lineRule="auto"/>
        <w:rPr>
          <w:b w:val="0"/>
          <w:u w:val="single"/>
        </w:rPr>
      </w:pPr>
      <w:r w:rsidRPr="003C4C4A">
        <w:rPr>
          <w:b w:val="0"/>
          <w:u w:val="single"/>
        </w:rPr>
        <w:t>9. Payment/Gift to Respondents</w:t>
      </w:r>
    </w:p>
    <w:p w:rsidR="009E7B95" w:rsidRPr="003C4C4A" w:rsidP="00D50718" w14:paraId="423481F6" w14:textId="77777777">
      <w:pPr>
        <w:spacing w:before="240" w:after="240" w:line="240" w:lineRule="auto"/>
        <w:rPr>
          <w:rFonts w:ascii="Times New Roman" w:hAnsi="Times New Roman" w:cs="Times New Roman"/>
          <w:sz w:val="24"/>
          <w:szCs w:val="24"/>
        </w:rPr>
      </w:pPr>
      <w:r w:rsidRPr="003C4C4A">
        <w:rPr>
          <w:rFonts w:ascii="Times New Roman" w:hAnsi="Times New Roman" w:cs="Times New Roman"/>
          <w:sz w:val="24"/>
          <w:szCs w:val="24"/>
        </w:rPr>
        <w:t xml:space="preserve">Respondents will not receive any payments or gifts as a condition of complying with this information collection request. </w:t>
      </w:r>
    </w:p>
    <w:p w:rsidR="009E7B95" w:rsidRPr="004B62EB" w:rsidP="00D50718" w14:paraId="5C73B387" w14:textId="6DCB7283">
      <w:pPr>
        <w:pStyle w:val="Heading4"/>
        <w:spacing w:before="240" w:after="240" w:line="240" w:lineRule="auto"/>
        <w:rPr>
          <w:b w:val="0"/>
          <w:u w:val="single"/>
        </w:rPr>
      </w:pPr>
      <w:r w:rsidRPr="003C4C4A">
        <w:rPr>
          <w:b w:val="0"/>
          <w:u w:val="single"/>
        </w:rPr>
        <w:t>10. Confiden</w:t>
      </w:r>
      <w:r w:rsidRPr="003C4C4A" w:rsidR="00902C50">
        <w:rPr>
          <w:b w:val="0"/>
          <w:u w:val="single"/>
        </w:rPr>
        <w:t>tiality</w:t>
      </w:r>
    </w:p>
    <w:p w:rsidR="00997C8A" w:rsidRPr="004B62EB" w:rsidP="00D50718" w14:paraId="660A7D3F" w14:textId="050A4D87">
      <w:pPr>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M</w:t>
      </w:r>
      <w:r w:rsidRPr="004B62EB" w:rsidR="00151B49">
        <w:rPr>
          <w:rFonts w:ascii="Times New Roman" w:hAnsi="Times New Roman" w:cs="Times New Roman"/>
          <w:sz w:val="24"/>
          <w:szCs w:val="24"/>
        </w:rPr>
        <w:t>LR d</w:t>
      </w:r>
      <w:r w:rsidRPr="004B62EB" w:rsidR="00491AB8">
        <w:rPr>
          <w:rFonts w:ascii="Times New Roman" w:hAnsi="Times New Roman" w:cs="Times New Roman"/>
          <w:sz w:val="24"/>
          <w:szCs w:val="24"/>
        </w:rPr>
        <w:t xml:space="preserve">ata </w:t>
      </w:r>
      <w:r w:rsidRPr="004B62EB" w:rsidR="00151B49">
        <w:rPr>
          <w:rFonts w:ascii="Times New Roman" w:hAnsi="Times New Roman" w:cs="Times New Roman"/>
          <w:sz w:val="24"/>
          <w:szCs w:val="24"/>
        </w:rPr>
        <w:t xml:space="preserve">submitted by </w:t>
      </w:r>
      <w:r w:rsidRPr="004B62EB" w:rsidR="00081D4B">
        <w:rPr>
          <w:rFonts w:ascii="Times New Roman" w:hAnsi="Times New Roman" w:cs="Times New Roman"/>
          <w:sz w:val="24"/>
          <w:szCs w:val="24"/>
        </w:rPr>
        <w:t>MA organizations and Part D</w:t>
      </w:r>
      <w:r w:rsidRPr="004B62EB" w:rsidR="00491AB8">
        <w:rPr>
          <w:rFonts w:ascii="Times New Roman" w:hAnsi="Times New Roman" w:cs="Times New Roman"/>
          <w:sz w:val="24"/>
          <w:szCs w:val="24"/>
        </w:rPr>
        <w:t xml:space="preserve"> sponsors </w:t>
      </w:r>
      <w:r w:rsidRPr="004B62EB">
        <w:rPr>
          <w:rFonts w:ascii="Times New Roman" w:hAnsi="Times New Roman" w:cs="Times New Roman"/>
          <w:sz w:val="24"/>
          <w:szCs w:val="24"/>
        </w:rPr>
        <w:t xml:space="preserve">will be </w:t>
      </w:r>
      <w:r w:rsidRPr="004B62EB" w:rsidR="00491AB8">
        <w:rPr>
          <w:rFonts w:ascii="Times New Roman" w:hAnsi="Times New Roman" w:cs="Times New Roman"/>
          <w:sz w:val="24"/>
          <w:szCs w:val="24"/>
        </w:rPr>
        <w:t xml:space="preserve">published </w:t>
      </w:r>
      <w:r w:rsidRPr="004B62EB">
        <w:rPr>
          <w:rFonts w:ascii="Times New Roman" w:hAnsi="Times New Roman" w:cs="Times New Roman"/>
          <w:sz w:val="24"/>
          <w:szCs w:val="24"/>
        </w:rPr>
        <w:t xml:space="preserve">on the CMS website </w:t>
      </w:r>
      <w:r w:rsidRPr="004B62EB" w:rsidR="00491AB8">
        <w:rPr>
          <w:rFonts w:ascii="Times New Roman" w:hAnsi="Times New Roman" w:cs="Times New Roman"/>
          <w:sz w:val="24"/>
          <w:szCs w:val="24"/>
        </w:rPr>
        <w:t xml:space="preserve">pursuant to the authority at </w:t>
      </w:r>
      <w:r w:rsidRPr="004B62EB" w:rsidR="00247F1F">
        <w:rPr>
          <w:rFonts w:ascii="Times New Roman" w:hAnsi="Times New Roman" w:cs="Times New Roman"/>
          <w:sz w:val="24"/>
          <w:szCs w:val="24"/>
        </w:rPr>
        <w:t>§</w:t>
      </w:r>
      <w:r w:rsidRPr="004B62EB" w:rsidR="00BA616C">
        <w:rPr>
          <w:rFonts w:ascii="Times New Roman" w:hAnsi="Times New Roman" w:cs="Times New Roman"/>
          <w:sz w:val="24"/>
          <w:szCs w:val="24"/>
        </w:rPr>
        <w:t>§</w:t>
      </w:r>
      <w:r w:rsidRPr="004B62EB" w:rsidR="00DA7B88">
        <w:rPr>
          <w:rFonts w:ascii="Times New Roman" w:hAnsi="Times New Roman" w:cs="Times New Roman"/>
          <w:sz w:val="24"/>
          <w:szCs w:val="24"/>
        </w:rPr>
        <w:t xml:space="preserve"> </w:t>
      </w:r>
      <w:r w:rsidRPr="004B62EB" w:rsidR="00247F1F">
        <w:rPr>
          <w:rFonts w:ascii="Times New Roman" w:hAnsi="Times New Roman" w:cs="Times New Roman"/>
          <w:sz w:val="24"/>
          <w:szCs w:val="24"/>
        </w:rPr>
        <w:t>422.2490 and 423.2490</w:t>
      </w:r>
      <w:r w:rsidRPr="004B62EB" w:rsidR="00491AB8">
        <w:rPr>
          <w:rFonts w:ascii="Times New Roman" w:hAnsi="Times New Roman" w:cs="Times New Roman"/>
          <w:sz w:val="24"/>
          <w:szCs w:val="24"/>
        </w:rPr>
        <w:t>.</w:t>
      </w:r>
      <w:r w:rsidRPr="004B62EB" w:rsidR="00892325">
        <w:rPr>
          <w:rFonts w:ascii="Times New Roman" w:hAnsi="Times New Roman" w:cs="Times New Roman"/>
          <w:sz w:val="24"/>
          <w:szCs w:val="24"/>
        </w:rPr>
        <w:t xml:space="preserve"> </w:t>
      </w:r>
      <w:r w:rsidRPr="004B62EB">
        <w:rPr>
          <w:rFonts w:ascii="Times New Roman" w:hAnsi="Times New Roman" w:cs="Times New Roman"/>
          <w:sz w:val="24"/>
          <w:szCs w:val="24"/>
        </w:rPr>
        <w:t xml:space="preserve">No individually identifiable personal health information will be collected and, consequently, cannot be disclosed. </w:t>
      </w:r>
    </w:p>
    <w:p w:rsidR="009E7B95" w:rsidRPr="00921E49" w:rsidP="00D50718" w14:paraId="7D60C3C1" w14:textId="5C7D296F">
      <w:pPr>
        <w:pStyle w:val="Heading4"/>
        <w:spacing w:before="240" w:after="240" w:line="240" w:lineRule="auto"/>
        <w:rPr>
          <w:b w:val="0"/>
          <w:u w:val="single"/>
        </w:rPr>
      </w:pPr>
      <w:r w:rsidRPr="00921E49">
        <w:rPr>
          <w:b w:val="0"/>
          <w:u w:val="single"/>
        </w:rPr>
        <w:t>11. Sensitive Questions</w:t>
      </w:r>
    </w:p>
    <w:p w:rsidR="00D45B7E" w:rsidRPr="00921E49" w:rsidP="00D45B7E" w14:paraId="0CF61E0D" w14:textId="48AB7C23">
      <w:pPr>
        <w:pStyle w:val="Heading4"/>
        <w:spacing w:after="0" w:line="240" w:lineRule="auto"/>
        <w:rPr>
          <w:b w:val="0"/>
        </w:rPr>
      </w:pPr>
      <w:r w:rsidRPr="00921E49">
        <w:rPr>
          <w:b w:val="0"/>
        </w:rPr>
        <w:t>There are no sensitive questions associated with this collection. Specifically, the collection does not solicit questions of a sensitive nature, such as sexual behavior and attitudes, religious beliefs, and other matters that are commonly considered private.</w:t>
      </w:r>
    </w:p>
    <w:p w:rsidR="00F67E29" w:rsidRPr="00921E49" w:rsidP="00D50718" w14:paraId="5EA7FB1F" w14:textId="77777777">
      <w:pPr>
        <w:pStyle w:val="Heading4"/>
        <w:spacing w:before="240" w:after="240" w:line="240" w:lineRule="auto"/>
        <w:rPr>
          <w:b w:val="0"/>
          <w:u w:val="single"/>
        </w:rPr>
      </w:pPr>
      <w:r w:rsidRPr="00921E49">
        <w:rPr>
          <w:b w:val="0"/>
          <w:u w:val="single"/>
        </w:rPr>
        <w:t xml:space="preserve">12. </w:t>
      </w:r>
      <w:r w:rsidRPr="00921E49" w:rsidR="00720AB4">
        <w:rPr>
          <w:b w:val="0"/>
          <w:u w:val="single"/>
        </w:rPr>
        <w:t xml:space="preserve">Collection of Information Requirements and </w:t>
      </w:r>
      <w:r w:rsidRPr="00921E49" w:rsidR="00D51091">
        <w:rPr>
          <w:b w:val="0"/>
          <w:u w:val="single"/>
        </w:rPr>
        <w:t xml:space="preserve">Burden </w:t>
      </w:r>
      <w:r w:rsidRPr="00921E49" w:rsidR="00063A93">
        <w:rPr>
          <w:b w:val="0"/>
          <w:u w:val="single"/>
        </w:rPr>
        <w:t>Estimates</w:t>
      </w:r>
    </w:p>
    <w:p w:rsidR="00FE3E68" w:rsidRPr="004B62EB" w:rsidP="00D50718" w14:paraId="26C6329B" w14:textId="77777777">
      <w:pPr>
        <w:kinsoku w:val="0"/>
        <w:overflowPunct w:val="0"/>
        <w:autoSpaceDE w:val="0"/>
        <w:autoSpaceDN w:val="0"/>
        <w:adjustRightInd w:val="0"/>
        <w:spacing w:before="240" w:after="240" w:line="240" w:lineRule="auto"/>
        <w:rPr>
          <w:rFonts w:ascii="Times New Roman" w:hAnsi="Times New Roman" w:cs="Times New Roman"/>
          <w:sz w:val="24"/>
          <w:szCs w:val="24"/>
        </w:rPr>
      </w:pPr>
      <w:r w:rsidRPr="00921E49">
        <w:rPr>
          <w:rFonts w:ascii="Times New Roman" w:hAnsi="Times New Roman" w:cs="Times New Roman"/>
          <w:i/>
          <w:iCs/>
          <w:sz w:val="24"/>
          <w:szCs w:val="24"/>
        </w:rPr>
        <w:t>Wage</w:t>
      </w:r>
      <w:r w:rsidRPr="00921E49">
        <w:rPr>
          <w:rFonts w:ascii="Times New Roman" w:hAnsi="Times New Roman" w:cs="Times New Roman"/>
          <w:i/>
          <w:iCs/>
          <w:spacing w:val="-1"/>
          <w:sz w:val="24"/>
          <w:szCs w:val="24"/>
        </w:rPr>
        <w:t xml:space="preserve"> </w:t>
      </w:r>
      <w:r w:rsidRPr="00921E49">
        <w:rPr>
          <w:rFonts w:ascii="Times New Roman" w:hAnsi="Times New Roman" w:cs="Times New Roman"/>
          <w:i/>
          <w:iCs/>
          <w:sz w:val="24"/>
          <w:szCs w:val="24"/>
        </w:rPr>
        <w:t>Estimates</w:t>
      </w:r>
    </w:p>
    <w:p w:rsidR="00FE3E68" w:rsidRPr="004B62EB" w:rsidP="00D50718" w14:paraId="647F0B8B" w14:textId="1BFECD7E">
      <w:pPr>
        <w:kinsoku w:val="0"/>
        <w:overflowPunct w:val="0"/>
        <w:autoSpaceDE w:val="0"/>
        <w:autoSpaceDN w:val="0"/>
        <w:adjustRightInd w:val="0"/>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To derive average costs, we used data from the U.S. Bureau of Labor </w:t>
      </w:r>
      <w:r w:rsidRPr="00EA47CC">
        <w:rPr>
          <w:rFonts w:ascii="Times New Roman" w:hAnsi="Times New Roman" w:cs="Times New Roman"/>
          <w:sz w:val="24"/>
          <w:szCs w:val="24"/>
        </w:rPr>
        <w:t xml:space="preserve">Statistics’ May </w:t>
      </w:r>
      <w:r w:rsidRPr="00EA47CC" w:rsidR="001911E1">
        <w:rPr>
          <w:rFonts w:ascii="Times New Roman" w:hAnsi="Times New Roman" w:cs="Times New Roman"/>
          <w:sz w:val="24"/>
          <w:szCs w:val="24"/>
        </w:rPr>
        <w:t>2021</w:t>
      </w:r>
      <w:r w:rsidRPr="00EA47CC">
        <w:rPr>
          <w:rFonts w:ascii="Times New Roman" w:hAnsi="Times New Roman" w:cs="Times New Roman"/>
          <w:sz w:val="24"/>
          <w:szCs w:val="24"/>
        </w:rPr>
        <w:t xml:space="preserve"> National Occupational Employment and Wage Estimates for</w:t>
      </w:r>
      <w:r w:rsidRPr="004B62EB">
        <w:rPr>
          <w:rFonts w:ascii="Times New Roman" w:hAnsi="Times New Roman" w:cs="Times New Roman"/>
          <w:sz w:val="24"/>
          <w:szCs w:val="24"/>
        </w:rPr>
        <w:t xml:space="preserve"> all salary estimates (</w:t>
      </w:r>
      <w:hyperlink r:id="rId10" w:history="1">
        <w:r w:rsidRPr="004B62EB">
          <w:rPr>
            <w:rFonts w:ascii="Times New Roman" w:hAnsi="Times New Roman" w:cs="Times New Roman"/>
            <w:sz w:val="24"/>
            <w:szCs w:val="24"/>
            <w:u w:val="single"/>
          </w:rPr>
          <w:t>www.bls.gov/oes/current/oes_nat.htm</w:t>
        </w:r>
      </w:hyperlink>
      <w:r w:rsidRPr="004B62EB">
        <w:rPr>
          <w:rFonts w:ascii="Times New Roman" w:hAnsi="Times New Roman" w:cs="Times New Roman"/>
          <w:sz w:val="24"/>
          <w:szCs w:val="24"/>
        </w:rPr>
        <w:t xml:space="preserve">). </w:t>
      </w:r>
      <w:r w:rsidRPr="004B62EB">
        <w:rPr>
          <w:rFonts w:ascii="Times New Roman" w:hAnsi="Times New Roman" w:cs="Times New Roman"/>
          <w:spacing w:val="-3"/>
          <w:sz w:val="24"/>
          <w:szCs w:val="24"/>
        </w:rPr>
        <w:t xml:space="preserve">In </w:t>
      </w:r>
      <w:r w:rsidRPr="004B62EB">
        <w:rPr>
          <w:rFonts w:ascii="Times New Roman" w:hAnsi="Times New Roman" w:cs="Times New Roman"/>
          <w:sz w:val="24"/>
          <w:szCs w:val="24"/>
        </w:rPr>
        <w:t>this regard, the following table</w:t>
      </w:r>
      <w:r w:rsidR="0087642C">
        <w:rPr>
          <w:rFonts w:ascii="Times New Roman" w:hAnsi="Times New Roman" w:cs="Times New Roman"/>
          <w:sz w:val="24"/>
          <w:szCs w:val="24"/>
        </w:rPr>
        <w:t xml:space="preserve"> (Table 1)</w:t>
      </w:r>
      <w:r w:rsidRPr="004B62EB">
        <w:rPr>
          <w:rFonts w:ascii="Times New Roman" w:hAnsi="Times New Roman" w:cs="Times New Roman"/>
          <w:sz w:val="24"/>
          <w:szCs w:val="24"/>
        </w:rPr>
        <w:t xml:space="preserve"> presents </w:t>
      </w:r>
      <w:r w:rsidR="001911E1">
        <w:rPr>
          <w:rFonts w:ascii="Times New Roman" w:hAnsi="Times New Roman" w:cs="Times New Roman"/>
          <w:sz w:val="24"/>
          <w:szCs w:val="24"/>
        </w:rPr>
        <w:t>BLS’</w:t>
      </w:r>
      <w:r w:rsidRPr="004B62EB">
        <w:rPr>
          <w:rFonts w:ascii="Times New Roman" w:hAnsi="Times New Roman" w:cs="Times New Roman"/>
          <w:sz w:val="24"/>
          <w:szCs w:val="24"/>
        </w:rPr>
        <w:t xml:space="preserve"> mean hourly wage, </w:t>
      </w:r>
      <w:r w:rsidR="001911E1">
        <w:rPr>
          <w:rFonts w:ascii="Times New Roman" w:hAnsi="Times New Roman" w:cs="Times New Roman"/>
          <w:sz w:val="24"/>
          <w:szCs w:val="24"/>
        </w:rPr>
        <w:t xml:space="preserve">our estimated </w:t>
      </w:r>
      <w:r w:rsidRPr="004B62EB">
        <w:rPr>
          <w:rFonts w:ascii="Times New Roman" w:hAnsi="Times New Roman" w:cs="Times New Roman"/>
          <w:sz w:val="24"/>
          <w:szCs w:val="24"/>
        </w:rPr>
        <w:t>cost of fringe benefits</w:t>
      </w:r>
      <w:r w:rsidRPr="004B62EB" w:rsidR="003B0CB6">
        <w:rPr>
          <w:rFonts w:ascii="Times New Roman" w:hAnsi="Times New Roman" w:cs="Times New Roman"/>
          <w:sz w:val="24"/>
          <w:szCs w:val="24"/>
        </w:rPr>
        <w:t xml:space="preserve"> and o</w:t>
      </w:r>
      <w:r w:rsidR="001911E1">
        <w:rPr>
          <w:rFonts w:ascii="Times New Roman" w:hAnsi="Times New Roman" w:cs="Times New Roman"/>
          <w:sz w:val="24"/>
          <w:szCs w:val="24"/>
        </w:rPr>
        <w:t>ther indirect costs</w:t>
      </w:r>
      <w:r w:rsidRPr="004B62EB">
        <w:rPr>
          <w:rFonts w:ascii="Times New Roman" w:hAnsi="Times New Roman" w:cs="Times New Roman"/>
          <w:sz w:val="24"/>
          <w:szCs w:val="24"/>
        </w:rPr>
        <w:t xml:space="preserve">, and </w:t>
      </w:r>
      <w:r w:rsidR="001911E1">
        <w:rPr>
          <w:rFonts w:ascii="Times New Roman" w:hAnsi="Times New Roman" w:cs="Times New Roman"/>
          <w:sz w:val="24"/>
          <w:szCs w:val="24"/>
        </w:rPr>
        <w:t xml:space="preserve">our </w:t>
      </w:r>
      <w:r w:rsidRPr="004B62EB">
        <w:rPr>
          <w:rFonts w:ascii="Times New Roman" w:hAnsi="Times New Roman" w:cs="Times New Roman"/>
          <w:sz w:val="24"/>
          <w:szCs w:val="24"/>
        </w:rPr>
        <w:t>adjusted hourly</w:t>
      </w:r>
      <w:r w:rsidRPr="004B62EB">
        <w:rPr>
          <w:rFonts w:ascii="Times New Roman" w:hAnsi="Times New Roman" w:cs="Times New Roman"/>
          <w:spacing w:val="-21"/>
          <w:sz w:val="24"/>
          <w:szCs w:val="24"/>
        </w:rPr>
        <w:t xml:space="preserve"> </w:t>
      </w:r>
      <w:r w:rsidRPr="004B62EB">
        <w:rPr>
          <w:rFonts w:ascii="Times New Roman" w:hAnsi="Times New Roman" w:cs="Times New Roman"/>
          <w:sz w:val="24"/>
          <w:szCs w:val="24"/>
        </w:rPr>
        <w:t>wage.</w:t>
      </w:r>
    </w:p>
    <w:p w:rsidR="00FE3E68" w:rsidRPr="004B62EB" w:rsidP="00C71C7D" w14:paraId="78EAC875" w14:textId="01EFF990">
      <w:pPr>
        <w:keepNext/>
        <w:kinsoku w:val="0"/>
        <w:overflowPunct w:val="0"/>
        <w:autoSpaceDE w:val="0"/>
        <w:autoSpaceDN w:val="0"/>
        <w:adjustRightInd w:val="0"/>
        <w:spacing w:before="240" w:after="0" w:line="240" w:lineRule="auto"/>
        <w:ind w:right="23"/>
        <w:jc w:val="center"/>
        <w:rPr>
          <w:rFonts w:ascii="Times New Roman" w:hAnsi="Times New Roman" w:cs="Times New Roman"/>
          <w:sz w:val="24"/>
          <w:szCs w:val="24"/>
        </w:rPr>
      </w:pPr>
      <w:r w:rsidRPr="00381DC8">
        <w:rPr>
          <w:rFonts w:ascii="Times New Roman" w:hAnsi="Times New Roman"/>
          <w:sz w:val="24"/>
        </w:rPr>
        <w:t>TABLE 1</w:t>
      </w:r>
      <w:r w:rsidRPr="005673CE" w:rsidR="005673CE">
        <w:rPr>
          <w:rFonts w:ascii="Times New Roman" w:hAnsi="Times New Roman" w:cs="Times New Roman"/>
          <w:sz w:val="24"/>
          <w:szCs w:val="24"/>
        </w:rPr>
        <w:t xml:space="preserve">: </w:t>
      </w:r>
      <w:r w:rsidRPr="004B62EB">
        <w:rPr>
          <w:rFonts w:ascii="Times New Roman" w:hAnsi="Times New Roman" w:cs="Times New Roman"/>
          <w:sz w:val="24"/>
          <w:szCs w:val="24"/>
        </w:rPr>
        <w:t>Estimated Hourly</w:t>
      </w:r>
      <w:r w:rsidRPr="004B62EB">
        <w:rPr>
          <w:rFonts w:ascii="Times New Roman" w:hAnsi="Times New Roman" w:cs="Times New Roman"/>
          <w:spacing w:val="-5"/>
          <w:sz w:val="24"/>
          <w:szCs w:val="24"/>
        </w:rPr>
        <w:t xml:space="preserve"> </w:t>
      </w:r>
      <w:r w:rsidRPr="004B62EB">
        <w:rPr>
          <w:rFonts w:ascii="Times New Roman" w:hAnsi="Times New Roman" w:cs="Times New Roman"/>
          <w:sz w:val="24"/>
          <w:szCs w:val="24"/>
        </w:rPr>
        <w:t>Wages</w:t>
      </w:r>
    </w:p>
    <w:tbl>
      <w:tblPr>
        <w:tblW w:w="0" w:type="auto"/>
        <w:tblInd w:w="218" w:type="dxa"/>
        <w:tblLayout w:type="fixed"/>
        <w:tblCellMar>
          <w:left w:w="0" w:type="dxa"/>
          <w:right w:w="0" w:type="dxa"/>
        </w:tblCellMar>
        <w:tblLook w:val="0000"/>
      </w:tblPr>
      <w:tblGrid>
        <w:gridCol w:w="1810"/>
        <w:gridCol w:w="1810"/>
        <w:gridCol w:w="1733"/>
        <w:gridCol w:w="1738"/>
        <w:gridCol w:w="1767"/>
      </w:tblGrid>
      <w:tr w14:paraId="25266157" w14:textId="77777777" w:rsidTr="00381DC8">
        <w:tblPrEx>
          <w:tblW w:w="0" w:type="auto"/>
          <w:tblInd w:w="218" w:type="dxa"/>
          <w:tblLayout w:type="fixed"/>
          <w:tblCellMar>
            <w:left w:w="0" w:type="dxa"/>
            <w:right w:w="0" w:type="dxa"/>
          </w:tblCellMar>
          <w:tblLook w:val="0000"/>
        </w:tblPrEx>
        <w:trPr>
          <w:trHeight w:hRule="exact" w:val="1152"/>
        </w:trPr>
        <w:tc>
          <w:tcPr>
            <w:tcW w:w="1810" w:type="dxa"/>
            <w:tcBorders>
              <w:top w:val="single" w:sz="4" w:space="0" w:color="000000"/>
              <w:left w:val="single" w:sz="4" w:space="0" w:color="000000"/>
              <w:bottom w:val="single" w:sz="4" w:space="0" w:color="000000"/>
              <w:right w:val="single" w:sz="4" w:space="0" w:color="000000"/>
            </w:tcBorders>
            <w:vAlign w:val="center"/>
          </w:tcPr>
          <w:p w:rsidR="00FE3E68" w:rsidRPr="00381DC8" w:rsidP="00C71C7D" w14:paraId="62191F19" w14:textId="05F905F4">
            <w:pPr>
              <w:keepNext/>
              <w:kinsoku w:val="0"/>
              <w:overflowPunct w:val="0"/>
              <w:autoSpaceDE w:val="0"/>
              <w:autoSpaceDN w:val="0"/>
              <w:adjustRightInd w:val="0"/>
              <w:spacing w:after="0" w:line="240" w:lineRule="auto"/>
              <w:jc w:val="center"/>
              <w:rPr>
                <w:rFonts w:ascii="Times New Roman" w:hAnsi="Times New Roman"/>
                <w:sz w:val="20"/>
              </w:rPr>
            </w:pPr>
            <w:r w:rsidRPr="00381DC8">
              <w:rPr>
                <w:rFonts w:ascii="Times New Roman" w:hAnsi="Times New Roman"/>
                <w:sz w:val="20"/>
              </w:rPr>
              <w:t>Occupation Title</w:t>
            </w:r>
          </w:p>
        </w:tc>
        <w:tc>
          <w:tcPr>
            <w:tcW w:w="1810" w:type="dxa"/>
            <w:tcBorders>
              <w:top w:val="single" w:sz="4" w:space="0" w:color="000000"/>
              <w:left w:val="single" w:sz="4" w:space="0" w:color="000000"/>
              <w:bottom w:val="single" w:sz="4" w:space="0" w:color="000000"/>
              <w:right w:val="single" w:sz="4" w:space="0" w:color="000000"/>
            </w:tcBorders>
            <w:vAlign w:val="center"/>
          </w:tcPr>
          <w:p w:rsidR="00FE3E68" w:rsidRPr="00381DC8" w:rsidP="00C71C7D" w14:paraId="78CADFD0" w14:textId="77777777">
            <w:pPr>
              <w:keepNext/>
              <w:kinsoku w:val="0"/>
              <w:overflowPunct w:val="0"/>
              <w:autoSpaceDE w:val="0"/>
              <w:autoSpaceDN w:val="0"/>
              <w:adjustRightInd w:val="0"/>
              <w:spacing w:after="0" w:line="240" w:lineRule="auto"/>
              <w:jc w:val="center"/>
              <w:rPr>
                <w:rFonts w:ascii="Times New Roman" w:hAnsi="Times New Roman"/>
                <w:sz w:val="20"/>
              </w:rPr>
            </w:pPr>
            <w:r w:rsidRPr="00381DC8">
              <w:rPr>
                <w:rFonts w:ascii="Times New Roman" w:hAnsi="Times New Roman"/>
                <w:sz w:val="20"/>
              </w:rPr>
              <w:t>Occupation Code</w:t>
            </w:r>
          </w:p>
        </w:tc>
        <w:tc>
          <w:tcPr>
            <w:tcW w:w="1733" w:type="dxa"/>
            <w:tcBorders>
              <w:top w:val="single" w:sz="4" w:space="0" w:color="000000"/>
              <w:left w:val="single" w:sz="4" w:space="0" w:color="000000"/>
              <w:bottom w:val="single" w:sz="4" w:space="0" w:color="000000"/>
              <w:right w:val="single" w:sz="4" w:space="0" w:color="000000"/>
            </w:tcBorders>
            <w:vAlign w:val="center"/>
          </w:tcPr>
          <w:p w:rsidR="00D31629" w:rsidP="00C71C7D" w14:paraId="4989A9A9" w14:textId="77777777">
            <w:pPr>
              <w:keepNext/>
              <w:kinsoku w:val="0"/>
              <w:overflowPunct w:val="0"/>
              <w:autoSpaceDE w:val="0"/>
              <w:autoSpaceDN w:val="0"/>
              <w:adjustRightInd w:val="0"/>
              <w:spacing w:after="0" w:line="240" w:lineRule="auto"/>
              <w:jc w:val="center"/>
              <w:rPr>
                <w:rFonts w:ascii="Times New Roman" w:hAnsi="Times New Roman"/>
                <w:sz w:val="20"/>
              </w:rPr>
            </w:pPr>
            <w:r w:rsidRPr="00381DC8">
              <w:rPr>
                <w:rFonts w:ascii="Times New Roman" w:hAnsi="Times New Roman"/>
                <w:sz w:val="20"/>
              </w:rPr>
              <w:t>Mean Hourly Wage</w:t>
            </w:r>
          </w:p>
          <w:p w:rsidR="00FE3E68" w:rsidRPr="00381DC8" w:rsidP="00C71C7D" w14:paraId="19F937AF" w14:textId="413E8BF1">
            <w:pPr>
              <w:keepNext/>
              <w:kinsoku w:val="0"/>
              <w:overflowPunct w:val="0"/>
              <w:autoSpaceDE w:val="0"/>
              <w:autoSpaceDN w:val="0"/>
              <w:adjustRightInd w:val="0"/>
              <w:spacing w:after="0" w:line="240" w:lineRule="auto"/>
              <w:jc w:val="center"/>
              <w:rPr>
                <w:rFonts w:ascii="Times New Roman" w:hAnsi="Times New Roman"/>
                <w:sz w:val="20"/>
              </w:rPr>
            </w:pPr>
            <w:r w:rsidRPr="00381DC8">
              <w:rPr>
                <w:rFonts w:ascii="Times New Roman" w:hAnsi="Times New Roman"/>
                <w:sz w:val="20"/>
              </w:rPr>
              <w:t>($/</w:t>
            </w:r>
            <w:r w:rsidRPr="00381DC8">
              <w:rPr>
                <w:rFonts w:ascii="Times New Roman" w:hAnsi="Times New Roman"/>
                <w:sz w:val="20"/>
              </w:rPr>
              <w:t>hr</w:t>
            </w:r>
            <w:r w:rsidRPr="00381DC8">
              <w:rPr>
                <w:rFonts w:ascii="Times New Roman" w:hAnsi="Times New Roman"/>
                <w:sz w:val="20"/>
              </w:rPr>
              <w:t>)</w:t>
            </w:r>
          </w:p>
        </w:tc>
        <w:tc>
          <w:tcPr>
            <w:tcW w:w="1738" w:type="dxa"/>
            <w:tcBorders>
              <w:top w:val="single" w:sz="4" w:space="0" w:color="000000"/>
              <w:left w:val="single" w:sz="4" w:space="0" w:color="000000"/>
              <w:bottom w:val="single" w:sz="4" w:space="0" w:color="000000"/>
              <w:right w:val="single" w:sz="4" w:space="0" w:color="000000"/>
            </w:tcBorders>
            <w:vAlign w:val="center"/>
          </w:tcPr>
          <w:p w:rsidR="00D31629" w:rsidP="00C71C7D" w14:paraId="5994EB2B" w14:textId="77777777">
            <w:pPr>
              <w:keepNext/>
              <w:kinsoku w:val="0"/>
              <w:overflowPunct w:val="0"/>
              <w:autoSpaceDE w:val="0"/>
              <w:autoSpaceDN w:val="0"/>
              <w:adjustRightInd w:val="0"/>
              <w:spacing w:after="0" w:line="240" w:lineRule="auto"/>
              <w:jc w:val="center"/>
              <w:rPr>
                <w:rFonts w:ascii="Times New Roman" w:hAnsi="Times New Roman"/>
                <w:sz w:val="20"/>
              </w:rPr>
            </w:pPr>
            <w:r w:rsidRPr="00381DC8">
              <w:rPr>
                <w:rFonts w:ascii="Times New Roman" w:hAnsi="Times New Roman"/>
                <w:sz w:val="20"/>
              </w:rPr>
              <w:t>Fringe</w:t>
            </w:r>
            <w:r w:rsidRPr="00381DC8">
              <w:rPr>
                <w:rFonts w:ascii="Times New Roman" w:hAnsi="Times New Roman"/>
                <w:spacing w:val="-4"/>
                <w:sz w:val="20"/>
              </w:rPr>
              <w:t xml:space="preserve"> </w:t>
            </w:r>
            <w:r w:rsidRPr="00381DC8">
              <w:rPr>
                <w:rFonts w:ascii="Times New Roman" w:hAnsi="Times New Roman"/>
                <w:sz w:val="20"/>
              </w:rPr>
              <w:t>Benefit</w:t>
            </w:r>
            <w:r w:rsidRPr="00381DC8" w:rsidR="003B0CB6">
              <w:rPr>
                <w:rFonts w:ascii="Times New Roman" w:hAnsi="Times New Roman"/>
                <w:sz w:val="20"/>
              </w:rPr>
              <w:t xml:space="preserve">s </w:t>
            </w:r>
            <w:r w:rsidRPr="00381DC8" w:rsidR="001911E1">
              <w:rPr>
                <w:rFonts w:ascii="Times New Roman" w:hAnsi="Times New Roman"/>
                <w:sz w:val="20"/>
              </w:rPr>
              <w:t xml:space="preserve">and </w:t>
            </w:r>
            <w:r w:rsidRPr="001911E1" w:rsidR="001911E1">
              <w:rPr>
                <w:rFonts w:ascii="Times New Roman" w:hAnsi="Times New Roman" w:cs="Times New Roman"/>
                <w:sz w:val="20"/>
                <w:szCs w:val="20"/>
              </w:rPr>
              <w:t xml:space="preserve">Other Indirect </w:t>
            </w:r>
            <w:r w:rsidR="00360E0C">
              <w:rPr>
                <w:rFonts w:ascii="Times New Roman" w:hAnsi="Times New Roman" w:cs="Times New Roman"/>
                <w:sz w:val="20"/>
                <w:szCs w:val="20"/>
              </w:rPr>
              <w:t>C</w:t>
            </w:r>
            <w:r w:rsidRPr="001911E1" w:rsidR="001911E1">
              <w:rPr>
                <w:rFonts w:ascii="Times New Roman" w:hAnsi="Times New Roman" w:cs="Times New Roman"/>
                <w:sz w:val="20"/>
                <w:szCs w:val="20"/>
              </w:rPr>
              <w:t>osts</w:t>
            </w:r>
            <w:r w:rsidRPr="00381DC8">
              <w:rPr>
                <w:rFonts w:ascii="Times New Roman" w:hAnsi="Times New Roman"/>
                <w:sz w:val="20"/>
              </w:rPr>
              <w:t xml:space="preserve"> </w:t>
            </w:r>
          </w:p>
          <w:p w:rsidR="00FE3E68" w:rsidRPr="00381DC8" w:rsidP="00C71C7D" w14:paraId="08D9F7A4" w14:textId="178B6456">
            <w:pPr>
              <w:keepNext/>
              <w:kinsoku w:val="0"/>
              <w:overflowPunct w:val="0"/>
              <w:autoSpaceDE w:val="0"/>
              <w:autoSpaceDN w:val="0"/>
              <w:adjustRightInd w:val="0"/>
              <w:spacing w:after="0" w:line="240" w:lineRule="auto"/>
              <w:jc w:val="center"/>
              <w:rPr>
                <w:rFonts w:ascii="Times New Roman" w:hAnsi="Times New Roman"/>
                <w:sz w:val="20"/>
              </w:rPr>
            </w:pPr>
            <w:r w:rsidRPr="00381DC8">
              <w:rPr>
                <w:rFonts w:ascii="Times New Roman" w:hAnsi="Times New Roman"/>
                <w:sz w:val="20"/>
              </w:rPr>
              <w:t>($/</w:t>
            </w:r>
            <w:r w:rsidRPr="00381DC8">
              <w:rPr>
                <w:rFonts w:ascii="Times New Roman" w:hAnsi="Times New Roman"/>
                <w:sz w:val="20"/>
              </w:rPr>
              <w:t>hr</w:t>
            </w:r>
            <w:r w:rsidRPr="00381DC8">
              <w:rPr>
                <w:rFonts w:ascii="Times New Roman" w:hAnsi="Times New Roman"/>
                <w:sz w:val="20"/>
              </w:rPr>
              <w:t>)</w:t>
            </w:r>
          </w:p>
        </w:tc>
        <w:tc>
          <w:tcPr>
            <w:tcW w:w="1767" w:type="dxa"/>
            <w:tcBorders>
              <w:top w:val="single" w:sz="4" w:space="0" w:color="000000"/>
              <w:left w:val="single" w:sz="4" w:space="0" w:color="000000"/>
              <w:bottom w:val="single" w:sz="4" w:space="0" w:color="000000"/>
              <w:right w:val="single" w:sz="4" w:space="0" w:color="000000"/>
            </w:tcBorders>
            <w:vAlign w:val="center"/>
          </w:tcPr>
          <w:p w:rsidR="00D31629" w:rsidP="00C71C7D" w14:paraId="69F92AAF" w14:textId="77777777">
            <w:pPr>
              <w:keepNext/>
              <w:kinsoku w:val="0"/>
              <w:overflowPunct w:val="0"/>
              <w:autoSpaceDE w:val="0"/>
              <w:autoSpaceDN w:val="0"/>
              <w:adjustRightInd w:val="0"/>
              <w:spacing w:after="0" w:line="240" w:lineRule="auto"/>
              <w:jc w:val="center"/>
              <w:rPr>
                <w:rFonts w:ascii="Times New Roman" w:hAnsi="Times New Roman"/>
                <w:sz w:val="20"/>
              </w:rPr>
            </w:pPr>
            <w:r w:rsidRPr="00381DC8">
              <w:rPr>
                <w:rFonts w:ascii="Times New Roman" w:hAnsi="Times New Roman"/>
                <w:sz w:val="20"/>
              </w:rPr>
              <w:t>Adjusted Hourly</w:t>
            </w:r>
            <w:r w:rsidRPr="00381DC8">
              <w:rPr>
                <w:rFonts w:ascii="Times New Roman" w:hAnsi="Times New Roman"/>
                <w:spacing w:val="-6"/>
                <w:sz w:val="20"/>
              </w:rPr>
              <w:t xml:space="preserve"> </w:t>
            </w:r>
            <w:r w:rsidRPr="00381DC8">
              <w:rPr>
                <w:rFonts w:ascii="Times New Roman" w:hAnsi="Times New Roman"/>
                <w:sz w:val="20"/>
              </w:rPr>
              <w:t>Wage</w:t>
            </w:r>
          </w:p>
          <w:p w:rsidR="00FE3E68" w:rsidRPr="00381DC8" w:rsidP="00C71C7D" w14:paraId="2CFDF17F" w14:textId="16E7726A">
            <w:pPr>
              <w:keepNext/>
              <w:kinsoku w:val="0"/>
              <w:overflowPunct w:val="0"/>
              <w:autoSpaceDE w:val="0"/>
              <w:autoSpaceDN w:val="0"/>
              <w:adjustRightInd w:val="0"/>
              <w:spacing w:after="0" w:line="240" w:lineRule="auto"/>
              <w:jc w:val="center"/>
              <w:rPr>
                <w:rFonts w:ascii="Times New Roman" w:hAnsi="Times New Roman"/>
                <w:sz w:val="20"/>
              </w:rPr>
            </w:pPr>
            <w:r w:rsidRPr="00381DC8">
              <w:rPr>
                <w:rFonts w:ascii="Times New Roman" w:hAnsi="Times New Roman"/>
                <w:sz w:val="20"/>
              </w:rPr>
              <w:t>($/</w:t>
            </w:r>
            <w:r w:rsidRPr="00381DC8">
              <w:rPr>
                <w:rFonts w:ascii="Times New Roman" w:hAnsi="Times New Roman"/>
                <w:sz w:val="20"/>
              </w:rPr>
              <w:t>hr</w:t>
            </w:r>
            <w:r w:rsidRPr="00381DC8">
              <w:rPr>
                <w:rFonts w:ascii="Times New Roman" w:hAnsi="Times New Roman"/>
                <w:sz w:val="20"/>
              </w:rPr>
              <w:t>)</w:t>
            </w:r>
          </w:p>
        </w:tc>
      </w:tr>
      <w:tr w14:paraId="65E3426B" w14:textId="77777777" w:rsidTr="00381DC8">
        <w:tblPrEx>
          <w:tblW w:w="0" w:type="auto"/>
          <w:tblInd w:w="218" w:type="dxa"/>
          <w:tblLayout w:type="fixed"/>
          <w:tblCellMar>
            <w:left w:w="0" w:type="dxa"/>
            <w:right w:w="0" w:type="dxa"/>
          </w:tblCellMar>
          <w:tblLook w:val="0000"/>
        </w:tblPrEx>
        <w:trPr>
          <w:trHeight w:hRule="exact" w:val="1008"/>
        </w:trPr>
        <w:tc>
          <w:tcPr>
            <w:tcW w:w="1810" w:type="dxa"/>
            <w:tcBorders>
              <w:top w:val="single" w:sz="4" w:space="0" w:color="000000"/>
              <w:left w:val="single" w:sz="4" w:space="0" w:color="000000"/>
              <w:bottom w:val="single" w:sz="4" w:space="0" w:color="000000"/>
              <w:right w:val="single" w:sz="4" w:space="0" w:color="000000"/>
            </w:tcBorders>
            <w:vAlign w:val="center"/>
          </w:tcPr>
          <w:p w:rsidR="00214A79" w:rsidRPr="00381DC8" w:rsidP="00C71C7D" w14:paraId="4C711607" w14:textId="77777777">
            <w:pPr>
              <w:keepNext/>
              <w:kinsoku w:val="0"/>
              <w:overflowPunct w:val="0"/>
              <w:autoSpaceDE w:val="0"/>
              <w:autoSpaceDN w:val="0"/>
              <w:adjustRightInd w:val="0"/>
              <w:spacing w:after="0" w:line="240" w:lineRule="auto"/>
              <w:jc w:val="center"/>
              <w:rPr>
                <w:rFonts w:ascii="Times New Roman" w:hAnsi="Times New Roman"/>
                <w:sz w:val="20"/>
              </w:rPr>
            </w:pPr>
            <w:r w:rsidRPr="00381DC8">
              <w:rPr>
                <w:rFonts w:ascii="Times New Roman" w:hAnsi="Times New Roman"/>
                <w:sz w:val="20"/>
              </w:rPr>
              <w:t>Computer</w:t>
            </w:r>
            <w:r w:rsidRPr="00381DC8">
              <w:rPr>
                <w:rFonts w:ascii="Times New Roman" w:hAnsi="Times New Roman"/>
                <w:spacing w:val="-3"/>
                <w:sz w:val="20"/>
              </w:rPr>
              <w:t xml:space="preserve"> </w:t>
            </w:r>
            <w:r w:rsidRPr="00381DC8">
              <w:rPr>
                <w:rFonts w:ascii="Times New Roman" w:hAnsi="Times New Roman"/>
                <w:sz w:val="20"/>
              </w:rPr>
              <w:t>and Information Systems Managers</w:t>
            </w:r>
          </w:p>
        </w:tc>
        <w:tc>
          <w:tcPr>
            <w:tcW w:w="1810" w:type="dxa"/>
            <w:tcBorders>
              <w:top w:val="single" w:sz="4" w:space="0" w:color="000000"/>
              <w:left w:val="single" w:sz="4" w:space="0" w:color="000000"/>
              <w:bottom w:val="single" w:sz="4" w:space="0" w:color="000000"/>
              <w:right w:val="single" w:sz="4" w:space="0" w:color="000000"/>
            </w:tcBorders>
            <w:vAlign w:val="center"/>
          </w:tcPr>
          <w:p w:rsidR="00214A79" w:rsidRPr="00381DC8" w:rsidP="00C71C7D" w14:paraId="2966F910" w14:textId="77777777">
            <w:pPr>
              <w:keepNext/>
              <w:kinsoku w:val="0"/>
              <w:overflowPunct w:val="0"/>
              <w:autoSpaceDE w:val="0"/>
              <w:autoSpaceDN w:val="0"/>
              <w:adjustRightInd w:val="0"/>
              <w:spacing w:after="0" w:line="240" w:lineRule="auto"/>
              <w:jc w:val="center"/>
              <w:rPr>
                <w:rFonts w:ascii="Times New Roman" w:hAnsi="Times New Roman"/>
                <w:sz w:val="20"/>
              </w:rPr>
            </w:pPr>
            <w:r w:rsidRPr="00381DC8">
              <w:rPr>
                <w:rFonts w:ascii="Times New Roman" w:hAnsi="Times New Roman"/>
                <w:sz w:val="20"/>
              </w:rPr>
              <w:t>11-3021</w:t>
            </w:r>
          </w:p>
        </w:tc>
        <w:tc>
          <w:tcPr>
            <w:tcW w:w="1733" w:type="dxa"/>
            <w:tcBorders>
              <w:top w:val="single" w:sz="4" w:space="0" w:color="000000"/>
              <w:left w:val="single" w:sz="4" w:space="0" w:color="000000"/>
              <w:bottom w:val="single" w:sz="4" w:space="0" w:color="000000"/>
              <w:right w:val="single" w:sz="4" w:space="0" w:color="000000"/>
            </w:tcBorders>
            <w:vAlign w:val="center"/>
          </w:tcPr>
          <w:p w:rsidR="00214A79" w:rsidRPr="00381DC8" w:rsidP="00C71C7D" w14:paraId="6E6DB194" w14:textId="3165FB4D">
            <w:pPr>
              <w:keepNext/>
              <w:kinsoku w:val="0"/>
              <w:overflowPunct w:val="0"/>
              <w:autoSpaceDE w:val="0"/>
              <w:autoSpaceDN w:val="0"/>
              <w:adjustRightInd w:val="0"/>
              <w:spacing w:after="0" w:line="240" w:lineRule="auto"/>
              <w:jc w:val="center"/>
              <w:rPr>
                <w:rFonts w:ascii="Times New Roman" w:hAnsi="Times New Roman"/>
                <w:sz w:val="20"/>
              </w:rPr>
            </w:pPr>
            <w:r>
              <w:rPr>
                <w:rFonts w:ascii="Times New Roman" w:hAnsi="Times New Roman"/>
                <w:sz w:val="20"/>
                <w:szCs w:val="20"/>
              </w:rPr>
              <w:t>78.33</w:t>
            </w:r>
          </w:p>
        </w:tc>
        <w:tc>
          <w:tcPr>
            <w:tcW w:w="1738" w:type="dxa"/>
            <w:tcBorders>
              <w:top w:val="single" w:sz="4" w:space="0" w:color="000000"/>
              <w:left w:val="single" w:sz="4" w:space="0" w:color="000000"/>
              <w:bottom w:val="single" w:sz="4" w:space="0" w:color="000000"/>
              <w:right w:val="single" w:sz="4" w:space="0" w:color="000000"/>
            </w:tcBorders>
            <w:vAlign w:val="center"/>
          </w:tcPr>
          <w:p w:rsidR="00214A79" w:rsidRPr="00381DC8" w:rsidP="00C71C7D" w14:paraId="014261A5" w14:textId="30669210">
            <w:pPr>
              <w:keepNext/>
              <w:kinsoku w:val="0"/>
              <w:overflowPunct w:val="0"/>
              <w:autoSpaceDE w:val="0"/>
              <w:autoSpaceDN w:val="0"/>
              <w:adjustRightInd w:val="0"/>
              <w:spacing w:after="0" w:line="240" w:lineRule="auto"/>
              <w:jc w:val="center"/>
              <w:rPr>
                <w:rFonts w:ascii="Times New Roman" w:hAnsi="Times New Roman"/>
                <w:sz w:val="20"/>
              </w:rPr>
            </w:pPr>
            <w:r>
              <w:rPr>
                <w:rFonts w:ascii="Times New Roman" w:hAnsi="Times New Roman"/>
                <w:sz w:val="20"/>
                <w:szCs w:val="20"/>
              </w:rPr>
              <w:t>78.33</w:t>
            </w:r>
          </w:p>
        </w:tc>
        <w:tc>
          <w:tcPr>
            <w:tcW w:w="1767" w:type="dxa"/>
            <w:tcBorders>
              <w:top w:val="single" w:sz="4" w:space="0" w:color="000000"/>
              <w:left w:val="single" w:sz="4" w:space="0" w:color="000000"/>
              <w:bottom w:val="single" w:sz="4" w:space="0" w:color="000000"/>
              <w:right w:val="single" w:sz="4" w:space="0" w:color="000000"/>
            </w:tcBorders>
            <w:vAlign w:val="center"/>
          </w:tcPr>
          <w:p w:rsidR="00214A79" w:rsidRPr="00381DC8" w:rsidP="00C71C7D" w14:paraId="6AA8B98D" w14:textId="37C70086">
            <w:pPr>
              <w:keepNext/>
              <w:kinsoku w:val="0"/>
              <w:overflowPunct w:val="0"/>
              <w:autoSpaceDE w:val="0"/>
              <w:autoSpaceDN w:val="0"/>
              <w:adjustRightInd w:val="0"/>
              <w:spacing w:after="0" w:line="240" w:lineRule="auto"/>
              <w:jc w:val="center"/>
              <w:rPr>
                <w:rFonts w:ascii="Times New Roman" w:hAnsi="Times New Roman"/>
                <w:sz w:val="20"/>
              </w:rPr>
            </w:pPr>
            <w:r w:rsidRPr="00381DC8">
              <w:rPr>
                <w:rFonts w:ascii="Times New Roman" w:hAnsi="Times New Roman"/>
                <w:sz w:val="20"/>
              </w:rPr>
              <w:t>155.52</w:t>
            </w:r>
          </w:p>
        </w:tc>
      </w:tr>
    </w:tbl>
    <w:p w:rsidR="00FE3E68" w:rsidRPr="004B62EB" w:rsidP="00D50718" w14:paraId="46BC3CDD" w14:textId="69FE4886">
      <w:pPr>
        <w:kinsoku w:val="0"/>
        <w:overflowPunct w:val="0"/>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W</w:t>
      </w:r>
      <w:r w:rsidRPr="004B62EB">
        <w:rPr>
          <w:rFonts w:ascii="Times New Roman" w:hAnsi="Times New Roman" w:cs="Times New Roman"/>
          <w:sz w:val="24"/>
          <w:szCs w:val="24"/>
        </w:rPr>
        <w:t xml:space="preserve">e are adjusting our employee hourly wage estimates by a factor of 100 percent. This is necessarily a rough adjustment, both because fringe benefits and </w:t>
      </w:r>
      <w:r w:rsidRPr="004B62EB" w:rsidR="00825D55">
        <w:rPr>
          <w:rFonts w:ascii="Times New Roman" w:hAnsi="Times New Roman" w:cs="Times New Roman"/>
          <w:sz w:val="24"/>
          <w:szCs w:val="24"/>
        </w:rPr>
        <w:t>o</w:t>
      </w:r>
      <w:r w:rsidR="00825D55">
        <w:rPr>
          <w:rFonts w:ascii="Times New Roman" w:hAnsi="Times New Roman" w:cs="Times New Roman"/>
          <w:sz w:val="24"/>
          <w:szCs w:val="24"/>
        </w:rPr>
        <w:t>ther indirect costs</w:t>
      </w:r>
      <w:r w:rsidRPr="004B62EB">
        <w:rPr>
          <w:rFonts w:ascii="Times New Roman" w:hAnsi="Times New Roman" w:cs="Times New Roman"/>
          <w:sz w:val="24"/>
          <w:szCs w:val="24"/>
        </w:rPr>
        <w:t xml:space="preserve"> vary significantly from employer to employer, and because methods of estimating these costs vary widely from study to study. Nonetheless, we believe that doubling the hourly wage to estimate total cost is a reasonably accurate estimation</w:t>
      </w:r>
      <w:r w:rsidRPr="004B62EB">
        <w:rPr>
          <w:rFonts w:ascii="Times New Roman" w:hAnsi="Times New Roman" w:cs="Times New Roman"/>
          <w:spacing w:val="55"/>
          <w:sz w:val="24"/>
          <w:szCs w:val="24"/>
        </w:rPr>
        <w:t xml:space="preserve"> </w:t>
      </w:r>
      <w:r w:rsidRPr="004B62EB">
        <w:rPr>
          <w:rFonts w:ascii="Times New Roman" w:hAnsi="Times New Roman" w:cs="Times New Roman"/>
          <w:sz w:val="24"/>
          <w:szCs w:val="24"/>
        </w:rPr>
        <w:t>method.</w:t>
      </w:r>
    </w:p>
    <w:p w:rsidR="00FE3E68" w:rsidRPr="004B62EB" w:rsidP="00D50718" w14:paraId="11AF0831" w14:textId="6D50B849">
      <w:pPr>
        <w:kinsoku w:val="0"/>
        <w:overflowPunct w:val="0"/>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i/>
          <w:iCs/>
          <w:sz w:val="24"/>
          <w:szCs w:val="24"/>
        </w:rPr>
        <w:t xml:space="preserve">Collection of Information </w:t>
      </w:r>
      <w:r w:rsidRPr="004B62EB">
        <w:rPr>
          <w:rFonts w:ascii="Times New Roman" w:hAnsi="Times New Roman" w:cs="Times New Roman"/>
          <w:i/>
          <w:iCs/>
          <w:sz w:val="24"/>
          <w:szCs w:val="24"/>
        </w:rPr>
        <w:t>Requirements</w:t>
      </w:r>
      <w:r w:rsidRPr="004B62EB">
        <w:rPr>
          <w:rFonts w:ascii="Times New Roman" w:hAnsi="Times New Roman" w:cs="Times New Roman"/>
          <w:i/>
          <w:iCs/>
          <w:sz w:val="24"/>
          <w:szCs w:val="24"/>
        </w:rPr>
        <w:t xml:space="preserve"> and Associated </w:t>
      </w:r>
      <w:r w:rsidRPr="004B62EB">
        <w:rPr>
          <w:rFonts w:ascii="Times New Roman" w:hAnsi="Times New Roman" w:cs="Times New Roman"/>
          <w:i/>
          <w:iCs/>
          <w:sz w:val="24"/>
          <w:szCs w:val="24"/>
        </w:rPr>
        <w:t>Burden</w:t>
      </w:r>
      <w:r w:rsidRPr="004B62EB" w:rsidR="00866E8F">
        <w:rPr>
          <w:rFonts w:ascii="Times New Roman" w:hAnsi="Times New Roman" w:cs="Times New Roman"/>
          <w:i/>
          <w:iCs/>
          <w:sz w:val="24"/>
          <w:szCs w:val="24"/>
        </w:rPr>
        <w:t xml:space="preserve"> Estimates</w:t>
      </w:r>
    </w:p>
    <w:p w:rsidR="00D81370" w:rsidRPr="004B62EB" w:rsidP="00D50718" w14:paraId="7E599C55" w14:textId="5B313F47">
      <w:pPr>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u w:val="single"/>
        </w:rPr>
        <w:t xml:space="preserve">Annual </w:t>
      </w:r>
      <w:r w:rsidRPr="004B62EB" w:rsidR="00151B49">
        <w:rPr>
          <w:rFonts w:ascii="Times New Roman" w:hAnsi="Times New Roman" w:cs="Times New Roman"/>
          <w:sz w:val="24"/>
          <w:szCs w:val="24"/>
          <w:u w:val="single"/>
        </w:rPr>
        <w:t>Data Submission</w:t>
      </w:r>
      <w:r w:rsidRPr="004B62EB" w:rsidR="00E37582">
        <w:rPr>
          <w:rFonts w:ascii="Times New Roman" w:hAnsi="Times New Roman" w:cs="Times New Roman"/>
          <w:sz w:val="24"/>
          <w:szCs w:val="24"/>
          <w:u w:val="single"/>
        </w:rPr>
        <w:t xml:space="preserve"> </w:t>
      </w:r>
      <w:r w:rsidRPr="004B62EB" w:rsidR="005F2839">
        <w:rPr>
          <w:rFonts w:ascii="Times New Roman" w:hAnsi="Times New Roman" w:cs="Times New Roman"/>
          <w:sz w:val="24"/>
          <w:szCs w:val="24"/>
          <w:u w:val="single"/>
        </w:rPr>
        <w:t>(Revised)</w:t>
      </w:r>
      <w:r w:rsidRPr="004B62EB" w:rsidR="005F2839">
        <w:rPr>
          <w:rFonts w:ascii="Times New Roman" w:hAnsi="Times New Roman" w:cs="Times New Roman"/>
          <w:sz w:val="24"/>
          <w:szCs w:val="24"/>
          <w:u w:val="single"/>
        </w:rPr>
        <w:t xml:space="preserve"> </w:t>
      </w:r>
    </w:p>
    <w:p w:rsidR="00FE3E68" w:rsidRPr="004B62EB" w:rsidP="00D50718" w14:paraId="6629FAF7" w14:textId="68DB70D1">
      <w:pPr>
        <w:kinsoku w:val="0"/>
        <w:overflowPunct w:val="0"/>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MA organizations and Part D sponsors will be submitting MLR </w:t>
      </w:r>
      <w:r w:rsidRPr="004B62EB" w:rsidR="00423F24">
        <w:rPr>
          <w:rFonts w:ascii="Times New Roman" w:hAnsi="Times New Roman" w:cs="Times New Roman"/>
          <w:sz w:val="24"/>
          <w:szCs w:val="24"/>
        </w:rPr>
        <w:t xml:space="preserve">data </w:t>
      </w:r>
      <w:r w:rsidR="008E24F8">
        <w:rPr>
          <w:rFonts w:ascii="Times New Roman" w:hAnsi="Times New Roman" w:cs="Times New Roman"/>
          <w:sz w:val="24"/>
          <w:szCs w:val="24"/>
        </w:rPr>
        <w:t xml:space="preserve">to CMS </w:t>
      </w:r>
      <w:r w:rsidRPr="004B62EB">
        <w:rPr>
          <w:rFonts w:ascii="Times New Roman" w:hAnsi="Times New Roman" w:cs="Times New Roman"/>
          <w:sz w:val="24"/>
          <w:szCs w:val="24"/>
        </w:rPr>
        <w:t>for each contract</w:t>
      </w:r>
      <w:r w:rsidRPr="004B62EB" w:rsidR="0068466E">
        <w:rPr>
          <w:rFonts w:ascii="Times New Roman" w:hAnsi="Times New Roman" w:cs="Times New Roman"/>
          <w:sz w:val="24"/>
          <w:szCs w:val="24"/>
        </w:rPr>
        <w:t xml:space="preserve"> on an annual basis</w:t>
      </w:r>
      <w:r w:rsidR="007F70AB">
        <w:rPr>
          <w:rFonts w:ascii="Times New Roman" w:hAnsi="Times New Roman" w:cs="Times New Roman"/>
          <w:sz w:val="24"/>
          <w:szCs w:val="24"/>
        </w:rPr>
        <w:t xml:space="preserve"> (see </w:t>
      </w:r>
      <w:r w:rsidRPr="004B62EB" w:rsidR="0068466E">
        <w:rPr>
          <w:rFonts w:ascii="Times New Roman" w:hAnsi="Times New Roman" w:cs="Times New Roman"/>
          <w:sz w:val="24"/>
          <w:szCs w:val="24"/>
        </w:rPr>
        <w:t>§§ 422.2460 and 423.2460</w:t>
      </w:r>
      <w:r w:rsidR="007F70AB">
        <w:rPr>
          <w:rFonts w:ascii="Times New Roman" w:hAnsi="Times New Roman" w:cs="Times New Roman"/>
          <w:sz w:val="24"/>
          <w:szCs w:val="24"/>
        </w:rPr>
        <w:t>, respectively)</w:t>
      </w:r>
      <w:r w:rsidRPr="004B62EB" w:rsidR="0068466E">
        <w:rPr>
          <w:rFonts w:ascii="Times New Roman" w:hAnsi="Times New Roman" w:cs="Times New Roman"/>
          <w:sz w:val="24"/>
          <w:szCs w:val="24"/>
        </w:rPr>
        <w:t xml:space="preserve">. </w:t>
      </w:r>
      <w:r w:rsidRPr="004B62EB">
        <w:rPr>
          <w:rFonts w:ascii="Times New Roman" w:hAnsi="Times New Roman" w:cs="Times New Roman"/>
          <w:sz w:val="24"/>
          <w:szCs w:val="24"/>
        </w:rPr>
        <w:t>CMS’</w:t>
      </w:r>
      <w:r w:rsidRPr="004B62EB" w:rsidR="00081D4B">
        <w:rPr>
          <w:rFonts w:ascii="Times New Roman" w:hAnsi="Times New Roman" w:cs="Times New Roman"/>
          <w:sz w:val="24"/>
          <w:szCs w:val="24"/>
        </w:rPr>
        <w:t>s</w:t>
      </w:r>
      <w:r w:rsidRPr="004B62EB">
        <w:rPr>
          <w:rFonts w:ascii="Times New Roman" w:hAnsi="Times New Roman" w:cs="Times New Roman"/>
          <w:sz w:val="24"/>
          <w:szCs w:val="24"/>
        </w:rPr>
        <w:t xml:space="preserve"> </w:t>
      </w:r>
      <w:r w:rsidRPr="004B62EB" w:rsidR="00D81370">
        <w:rPr>
          <w:rFonts w:ascii="Times New Roman" w:hAnsi="Times New Roman" w:cs="Times New Roman"/>
          <w:sz w:val="24"/>
          <w:szCs w:val="24"/>
        </w:rPr>
        <w:t xml:space="preserve">analysis is based on </w:t>
      </w:r>
      <w:r w:rsidRPr="004B62EB" w:rsidR="00FB7268">
        <w:rPr>
          <w:rFonts w:ascii="Times New Roman" w:hAnsi="Times New Roman" w:cs="Times New Roman"/>
          <w:sz w:val="24"/>
          <w:szCs w:val="24"/>
        </w:rPr>
        <w:t xml:space="preserve">an estimate of </w:t>
      </w:r>
      <w:r w:rsidRPr="004B62EB" w:rsidR="00691124">
        <w:rPr>
          <w:rFonts w:ascii="Times New Roman" w:hAnsi="Times New Roman" w:cs="Times New Roman"/>
          <w:sz w:val="24"/>
          <w:szCs w:val="24"/>
        </w:rPr>
        <w:t>601</w:t>
      </w:r>
      <w:r w:rsidRPr="004B62EB" w:rsidR="00FB7268">
        <w:rPr>
          <w:rFonts w:ascii="Times New Roman" w:hAnsi="Times New Roman" w:cs="Times New Roman"/>
          <w:sz w:val="24"/>
          <w:szCs w:val="24"/>
        </w:rPr>
        <w:t xml:space="preserve"> </w:t>
      </w:r>
      <w:r w:rsidRPr="004B62EB" w:rsidR="00452505">
        <w:rPr>
          <w:rFonts w:ascii="Times New Roman" w:hAnsi="Times New Roman" w:cs="Times New Roman"/>
          <w:sz w:val="24"/>
          <w:szCs w:val="24"/>
        </w:rPr>
        <w:t>MLR data submissions</w:t>
      </w:r>
      <w:r w:rsidRPr="004B62EB" w:rsidR="00092ACC">
        <w:rPr>
          <w:rFonts w:ascii="Times New Roman" w:hAnsi="Times New Roman" w:cs="Times New Roman"/>
          <w:sz w:val="24"/>
          <w:szCs w:val="24"/>
        </w:rPr>
        <w:t xml:space="preserve"> </w:t>
      </w:r>
      <w:r w:rsidRPr="004B62EB" w:rsidR="00452505">
        <w:rPr>
          <w:rFonts w:ascii="Times New Roman" w:hAnsi="Times New Roman" w:cs="Times New Roman"/>
          <w:sz w:val="24"/>
          <w:szCs w:val="24"/>
        </w:rPr>
        <w:t>each year</w:t>
      </w:r>
      <w:r w:rsidRPr="004B62EB">
        <w:rPr>
          <w:rFonts w:ascii="Times New Roman" w:hAnsi="Times New Roman" w:cs="Times New Roman"/>
          <w:sz w:val="24"/>
          <w:szCs w:val="24"/>
        </w:rPr>
        <w:t xml:space="preserve">. </w:t>
      </w:r>
      <w:r w:rsidRPr="004B62EB">
        <w:rPr>
          <w:rFonts w:ascii="Times New Roman" w:hAnsi="Times New Roman" w:cs="Times New Roman"/>
          <w:sz w:val="24"/>
          <w:szCs w:val="24"/>
        </w:rPr>
        <w:t xml:space="preserve">The </w:t>
      </w:r>
      <w:r w:rsidRPr="004B62EB" w:rsidR="00691124">
        <w:rPr>
          <w:rFonts w:ascii="Times New Roman" w:hAnsi="Times New Roman" w:cs="Times New Roman"/>
          <w:sz w:val="24"/>
          <w:szCs w:val="24"/>
        </w:rPr>
        <w:t>601</w:t>
      </w:r>
      <w:r w:rsidRPr="004B62EB">
        <w:rPr>
          <w:rFonts w:ascii="Times New Roman" w:hAnsi="Times New Roman" w:cs="Times New Roman"/>
          <w:sz w:val="24"/>
          <w:szCs w:val="24"/>
        </w:rPr>
        <w:t xml:space="preserve"> </w:t>
      </w:r>
      <w:r w:rsidRPr="004B62EB" w:rsidR="00FB7268">
        <w:rPr>
          <w:rFonts w:ascii="Times New Roman" w:hAnsi="Times New Roman" w:cs="Times New Roman"/>
          <w:sz w:val="24"/>
          <w:szCs w:val="24"/>
        </w:rPr>
        <w:t xml:space="preserve">figure </w:t>
      </w:r>
      <w:r w:rsidRPr="004B62EB">
        <w:rPr>
          <w:rFonts w:ascii="Times New Roman" w:hAnsi="Times New Roman" w:cs="Times New Roman"/>
          <w:sz w:val="24"/>
          <w:szCs w:val="24"/>
        </w:rPr>
        <w:t xml:space="preserve">is based on </w:t>
      </w:r>
      <w:r w:rsidRPr="004B62EB" w:rsidR="00423F24">
        <w:rPr>
          <w:rFonts w:ascii="Times New Roman" w:hAnsi="Times New Roman" w:cs="Times New Roman"/>
          <w:sz w:val="24"/>
          <w:szCs w:val="24"/>
        </w:rPr>
        <w:t xml:space="preserve">the </w:t>
      </w:r>
      <w:r w:rsidRPr="004B62EB" w:rsidR="00FB7268">
        <w:rPr>
          <w:rFonts w:ascii="Times New Roman" w:hAnsi="Times New Roman" w:cs="Times New Roman"/>
          <w:sz w:val="24"/>
          <w:szCs w:val="24"/>
        </w:rPr>
        <w:t xml:space="preserve">average </w:t>
      </w:r>
      <w:r w:rsidRPr="004B62EB" w:rsidR="00423F24">
        <w:rPr>
          <w:rFonts w:ascii="Times New Roman" w:hAnsi="Times New Roman" w:cs="Times New Roman"/>
          <w:sz w:val="24"/>
          <w:szCs w:val="24"/>
        </w:rPr>
        <w:t xml:space="preserve">number of </w:t>
      </w:r>
      <w:r w:rsidRPr="004B62EB" w:rsidR="00FB7268">
        <w:rPr>
          <w:rFonts w:ascii="Times New Roman" w:hAnsi="Times New Roman" w:cs="Times New Roman"/>
          <w:sz w:val="24"/>
          <w:szCs w:val="24"/>
        </w:rPr>
        <w:t xml:space="preserve">MA and Part D </w:t>
      </w:r>
      <w:r w:rsidRPr="004B62EB" w:rsidR="00423F24">
        <w:rPr>
          <w:rFonts w:ascii="Times New Roman" w:hAnsi="Times New Roman" w:cs="Times New Roman"/>
          <w:sz w:val="24"/>
          <w:szCs w:val="24"/>
        </w:rPr>
        <w:t xml:space="preserve">contracts </w:t>
      </w:r>
      <w:r w:rsidRPr="004B62EB" w:rsidR="00FB7268">
        <w:rPr>
          <w:rFonts w:ascii="Times New Roman" w:hAnsi="Times New Roman" w:cs="Times New Roman"/>
          <w:sz w:val="24"/>
          <w:szCs w:val="24"/>
        </w:rPr>
        <w:t xml:space="preserve">subject to the </w:t>
      </w:r>
      <w:r w:rsidRPr="004B62EB" w:rsidR="00423F24">
        <w:rPr>
          <w:rFonts w:ascii="Times New Roman" w:hAnsi="Times New Roman" w:cs="Times New Roman"/>
          <w:sz w:val="24"/>
          <w:szCs w:val="24"/>
        </w:rPr>
        <w:t xml:space="preserve">MLR data </w:t>
      </w:r>
      <w:r w:rsidRPr="004B62EB" w:rsidR="00FB7268">
        <w:rPr>
          <w:rFonts w:ascii="Times New Roman" w:hAnsi="Times New Roman" w:cs="Times New Roman"/>
          <w:sz w:val="24"/>
          <w:szCs w:val="24"/>
        </w:rPr>
        <w:t>submission requirements</w:t>
      </w:r>
      <w:r w:rsidRPr="004B62EB" w:rsidR="00092ACC">
        <w:rPr>
          <w:rFonts w:ascii="Times New Roman" w:hAnsi="Times New Roman" w:cs="Times New Roman"/>
          <w:sz w:val="24"/>
          <w:szCs w:val="24"/>
        </w:rPr>
        <w:t xml:space="preserve"> for</w:t>
      </w:r>
      <w:r w:rsidRPr="004B62EB" w:rsidR="00FB7268">
        <w:rPr>
          <w:rFonts w:ascii="Times New Roman" w:hAnsi="Times New Roman" w:cs="Times New Roman"/>
          <w:sz w:val="24"/>
          <w:szCs w:val="24"/>
        </w:rPr>
        <w:t xml:space="preserve"> </w:t>
      </w:r>
      <w:r w:rsidRPr="004B62EB" w:rsidR="00320152">
        <w:rPr>
          <w:rFonts w:ascii="Times New Roman" w:hAnsi="Times New Roman" w:cs="Times New Roman"/>
          <w:sz w:val="24"/>
          <w:szCs w:val="24"/>
        </w:rPr>
        <w:t>contract year</w:t>
      </w:r>
      <w:r w:rsidRPr="004B62EB" w:rsidR="00FB7268">
        <w:rPr>
          <w:rFonts w:ascii="Times New Roman" w:hAnsi="Times New Roman" w:cs="Times New Roman"/>
          <w:sz w:val="24"/>
          <w:szCs w:val="24"/>
        </w:rPr>
        <w:t>s</w:t>
      </w:r>
      <w:r w:rsidRPr="004B62EB" w:rsidR="00320152">
        <w:rPr>
          <w:rFonts w:ascii="Times New Roman" w:hAnsi="Times New Roman" w:cs="Times New Roman"/>
          <w:sz w:val="24"/>
          <w:szCs w:val="24"/>
        </w:rPr>
        <w:t xml:space="preserve"> </w:t>
      </w:r>
      <w:r w:rsidRPr="004B62EB" w:rsidR="00FB7268">
        <w:rPr>
          <w:rFonts w:ascii="Times New Roman" w:hAnsi="Times New Roman" w:cs="Times New Roman"/>
          <w:sz w:val="24"/>
          <w:szCs w:val="24"/>
        </w:rPr>
        <w:t>2014 to 20</w:t>
      </w:r>
      <w:r w:rsidRPr="004B62EB" w:rsidR="00691124">
        <w:rPr>
          <w:rFonts w:ascii="Times New Roman" w:hAnsi="Times New Roman" w:cs="Times New Roman"/>
          <w:sz w:val="24"/>
          <w:szCs w:val="24"/>
        </w:rPr>
        <w:t>20</w:t>
      </w:r>
      <w:r w:rsidRPr="004B62EB" w:rsidR="00423F24">
        <w:rPr>
          <w:rFonts w:ascii="Times New Roman" w:hAnsi="Times New Roman" w:cs="Times New Roman"/>
          <w:sz w:val="24"/>
          <w:szCs w:val="24"/>
        </w:rPr>
        <w:t>.</w:t>
      </w:r>
      <w:r w:rsidRPr="004B62EB">
        <w:rPr>
          <w:rFonts w:ascii="Times New Roman" w:hAnsi="Times New Roman" w:cs="Times New Roman"/>
          <w:sz w:val="24"/>
          <w:szCs w:val="24"/>
        </w:rPr>
        <w:t xml:space="preserve"> The total number of MA</w:t>
      </w:r>
      <w:r w:rsidRPr="004B62EB" w:rsidR="00021E35">
        <w:rPr>
          <w:rFonts w:ascii="Times New Roman" w:hAnsi="Times New Roman" w:cs="Times New Roman"/>
          <w:sz w:val="24"/>
          <w:szCs w:val="24"/>
        </w:rPr>
        <w:t xml:space="preserve"> and </w:t>
      </w:r>
      <w:r w:rsidRPr="004B62EB">
        <w:rPr>
          <w:rFonts w:ascii="Times New Roman" w:hAnsi="Times New Roman" w:cs="Times New Roman"/>
          <w:sz w:val="24"/>
          <w:szCs w:val="24"/>
        </w:rPr>
        <w:t>P</w:t>
      </w:r>
      <w:r w:rsidRPr="004B62EB" w:rsidR="00081D4B">
        <w:rPr>
          <w:rFonts w:ascii="Times New Roman" w:hAnsi="Times New Roman" w:cs="Times New Roman"/>
          <w:sz w:val="24"/>
          <w:szCs w:val="24"/>
        </w:rPr>
        <w:t xml:space="preserve">art </w:t>
      </w:r>
      <w:r w:rsidRPr="004B62EB">
        <w:rPr>
          <w:rFonts w:ascii="Times New Roman" w:hAnsi="Times New Roman" w:cs="Times New Roman"/>
          <w:sz w:val="24"/>
          <w:szCs w:val="24"/>
        </w:rPr>
        <w:t xml:space="preserve">D contracts is </w:t>
      </w:r>
      <w:r w:rsidRPr="004B62EB" w:rsidR="00EA775B">
        <w:rPr>
          <w:rFonts w:ascii="Times New Roman" w:hAnsi="Times New Roman" w:cs="Times New Roman"/>
          <w:sz w:val="24"/>
          <w:szCs w:val="24"/>
        </w:rPr>
        <w:t xml:space="preserve">relatively </w:t>
      </w:r>
      <w:r w:rsidRPr="004B62EB">
        <w:rPr>
          <w:rFonts w:ascii="Times New Roman" w:hAnsi="Times New Roman" w:cs="Times New Roman"/>
          <w:sz w:val="24"/>
          <w:szCs w:val="24"/>
        </w:rPr>
        <w:t xml:space="preserve">stable </w:t>
      </w:r>
      <w:r w:rsidRPr="004B62EB" w:rsidR="00EA775B">
        <w:rPr>
          <w:rFonts w:ascii="Times New Roman" w:hAnsi="Times New Roman" w:cs="Times New Roman"/>
          <w:sz w:val="24"/>
          <w:szCs w:val="24"/>
        </w:rPr>
        <w:t>year over year</w:t>
      </w:r>
      <w:r w:rsidRPr="004B62EB">
        <w:rPr>
          <w:rFonts w:ascii="Times New Roman" w:hAnsi="Times New Roman" w:cs="Times New Roman"/>
          <w:sz w:val="24"/>
          <w:szCs w:val="24"/>
        </w:rPr>
        <w:t>.</w:t>
      </w:r>
    </w:p>
    <w:p w:rsidR="00E11912" w:rsidRPr="004B62EB" w:rsidP="00D50718" w14:paraId="6C1F2243" w14:textId="1D7DF193">
      <w:pPr>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sz w:val="24"/>
          <w:szCs w:val="24"/>
        </w:rPr>
        <w:t>CMS anticipates that the level of effort relating to these activities will vary depending on the scope of an MA organization</w:t>
      </w:r>
      <w:r w:rsidRPr="004B62EB" w:rsidR="0078271E">
        <w:rPr>
          <w:rFonts w:ascii="Times New Roman" w:hAnsi="Times New Roman" w:cs="Times New Roman"/>
          <w:sz w:val="24"/>
          <w:szCs w:val="24"/>
        </w:rPr>
        <w:t>’s</w:t>
      </w:r>
      <w:r w:rsidRPr="004B62EB">
        <w:rPr>
          <w:rFonts w:ascii="Times New Roman" w:hAnsi="Times New Roman" w:cs="Times New Roman"/>
          <w:sz w:val="24"/>
          <w:szCs w:val="24"/>
        </w:rPr>
        <w:t xml:space="preserve"> or Part D sponsor’s operations. The complexity of each MA organization</w:t>
      </w:r>
      <w:r w:rsidRPr="004B62EB" w:rsidR="0078271E">
        <w:rPr>
          <w:rFonts w:ascii="Times New Roman" w:hAnsi="Times New Roman" w:cs="Times New Roman"/>
          <w:sz w:val="24"/>
          <w:szCs w:val="24"/>
        </w:rPr>
        <w:t>’s</w:t>
      </w:r>
      <w:r w:rsidRPr="004B62EB">
        <w:rPr>
          <w:rFonts w:ascii="Times New Roman" w:hAnsi="Times New Roman" w:cs="Times New Roman"/>
          <w:sz w:val="24"/>
          <w:szCs w:val="24"/>
        </w:rPr>
        <w:t xml:space="preserve"> or Part D sponsor’s estimated reporting burden is likely to be affected by a variety of factors, including the number of contracts it offers, enrollment size, the degree to which it currently captures </w:t>
      </w:r>
      <w:r w:rsidRPr="004B62EB" w:rsidR="0078271E">
        <w:rPr>
          <w:rFonts w:ascii="Times New Roman" w:hAnsi="Times New Roman" w:cs="Times New Roman"/>
          <w:sz w:val="24"/>
          <w:szCs w:val="24"/>
        </w:rPr>
        <w:t xml:space="preserve">the </w:t>
      </w:r>
      <w:r w:rsidRPr="004B62EB">
        <w:rPr>
          <w:rFonts w:ascii="Times New Roman" w:hAnsi="Times New Roman" w:cs="Times New Roman"/>
          <w:sz w:val="24"/>
          <w:szCs w:val="24"/>
        </w:rPr>
        <w:t>relevant data, whether it is a subsidiary of a larger carrier, and whether it currently offers</w:t>
      </w:r>
      <w:r w:rsidRPr="004B62EB" w:rsidR="00BA2076">
        <w:rPr>
          <w:rFonts w:ascii="Times New Roman" w:hAnsi="Times New Roman" w:cs="Times New Roman"/>
          <w:sz w:val="24"/>
          <w:szCs w:val="24"/>
        </w:rPr>
        <w:t xml:space="preserve"> </w:t>
      </w:r>
      <w:r w:rsidRPr="004B62EB">
        <w:rPr>
          <w:rFonts w:ascii="Times New Roman" w:hAnsi="Times New Roman" w:cs="Times New Roman"/>
          <w:sz w:val="24"/>
          <w:szCs w:val="24"/>
        </w:rPr>
        <w:t>coverage in the commercial market (and is therefore subject to the commercial MLR requirements).</w:t>
      </w:r>
    </w:p>
    <w:p w:rsidR="0068466E" w:rsidRPr="004B62EB" w:rsidP="00D50718" w14:paraId="4CEAD814" w14:textId="649B78B4">
      <w:pPr>
        <w:spacing w:after="240" w:line="240" w:lineRule="auto"/>
        <w:rPr>
          <w:rFonts w:ascii="Times New Roman" w:hAnsi="Times New Roman" w:cs="Times New Roman"/>
          <w:sz w:val="24"/>
          <w:szCs w:val="24"/>
        </w:rPr>
      </w:pPr>
      <w:r w:rsidRPr="006F6592">
        <w:rPr>
          <w:rFonts w:ascii="Times New Roman" w:hAnsi="Times New Roman" w:cs="Times New Roman"/>
          <w:sz w:val="24"/>
          <w:szCs w:val="24"/>
        </w:rPr>
        <w:t>Section</w:t>
      </w:r>
      <w:r w:rsidRPr="006F6592">
        <w:rPr>
          <w:rFonts w:ascii="Times New Roman" w:hAnsi="Times New Roman" w:cs="Times New Roman"/>
          <w:sz w:val="24"/>
          <w:szCs w:val="24"/>
        </w:rPr>
        <w:t xml:space="preserve"> 422.2440 provide</w:t>
      </w:r>
      <w:r w:rsidRPr="006F6592">
        <w:rPr>
          <w:rFonts w:ascii="Times New Roman" w:hAnsi="Times New Roman" w:cs="Times New Roman"/>
          <w:sz w:val="24"/>
          <w:szCs w:val="24"/>
        </w:rPr>
        <w:t>s</w:t>
      </w:r>
      <w:r w:rsidRPr="006F6592">
        <w:rPr>
          <w:rFonts w:ascii="Times New Roman" w:hAnsi="Times New Roman" w:cs="Times New Roman"/>
          <w:sz w:val="24"/>
          <w:szCs w:val="24"/>
        </w:rPr>
        <w:t xml:space="preserve"> for the application of a deductible factor to the MLR calculation for MA MSA contracts that receive a credibility adjustment. The deductible factor serve</w:t>
      </w:r>
      <w:r w:rsidRPr="006F6592">
        <w:rPr>
          <w:rFonts w:ascii="Times New Roman" w:hAnsi="Times New Roman" w:cs="Times New Roman"/>
          <w:sz w:val="24"/>
          <w:szCs w:val="24"/>
        </w:rPr>
        <w:t>s</w:t>
      </w:r>
      <w:r w:rsidRPr="006F6592">
        <w:rPr>
          <w:rFonts w:ascii="Times New Roman" w:hAnsi="Times New Roman" w:cs="Times New Roman"/>
          <w:sz w:val="24"/>
          <w:szCs w:val="24"/>
        </w:rPr>
        <w:t xml:space="preserve"> as a multiplier on the credibility factor. We </w:t>
      </w:r>
      <w:r w:rsidRPr="006F6592" w:rsidR="002F45E9">
        <w:rPr>
          <w:rFonts w:ascii="Times New Roman" w:hAnsi="Times New Roman" w:cs="Times New Roman"/>
          <w:sz w:val="24"/>
          <w:szCs w:val="24"/>
        </w:rPr>
        <w:t xml:space="preserve">previously </w:t>
      </w:r>
      <w:r w:rsidRPr="006F6592">
        <w:rPr>
          <w:rFonts w:ascii="Times New Roman" w:hAnsi="Times New Roman" w:cs="Times New Roman"/>
          <w:sz w:val="24"/>
          <w:szCs w:val="24"/>
        </w:rPr>
        <w:t>estimate</w:t>
      </w:r>
      <w:r w:rsidRPr="006F6592" w:rsidR="002F45E9">
        <w:rPr>
          <w:rFonts w:ascii="Times New Roman" w:hAnsi="Times New Roman" w:cs="Times New Roman"/>
          <w:sz w:val="24"/>
          <w:szCs w:val="24"/>
        </w:rPr>
        <w:t>d</w:t>
      </w:r>
      <w:r w:rsidRPr="006F6592">
        <w:rPr>
          <w:rFonts w:ascii="Times New Roman" w:hAnsi="Times New Roman" w:cs="Times New Roman"/>
          <w:sz w:val="24"/>
          <w:szCs w:val="24"/>
        </w:rPr>
        <w:t xml:space="preserve"> that </w:t>
      </w:r>
      <w:r w:rsidRPr="006F6592" w:rsidR="00730085">
        <w:rPr>
          <w:rFonts w:ascii="Times New Roman" w:hAnsi="Times New Roman" w:cs="Times New Roman"/>
          <w:sz w:val="24"/>
          <w:szCs w:val="24"/>
        </w:rPr>
        <w:t xml:space="preserve">it would </w:t>
      </w:r>
      <w:r w:rsidRPr="006F6592">
        <w:rPr>
          <w:rFonts w:ascii="Times New Roman" w:hAnsi="Times New Roman" w:cs="Times New Roman"/>
          <w:sz w:val="24"/>
          <w:szCs w:val="24"/>
        </w:rPr>
        <w:t xml:space="preserve">take an actuary approximately 5 minutes </w:t>
      </w:r>
      <w:r w:rsidRPr="006F6592" w:rsidR="005C396E">
        <w:rPr>
          <w:rFonts w:ascii="Times New Roman" w:hAnsi="Times New Roman" w:cs="Times New Roman"/>
          <w:sz w:val="24"/>
          <w:szCs w:val="24"/>
        </w:rPr>
        <w:t xml:space="preserve"> </w:t>
      </w:r>
      <w:r w:rsidRPr="006F6592">
        <w:rPr>
          <w:rFonts w:ascii="Times New Roman" w:hAnsi="Times New Roman" w:cs="Times New Roman"/>
          <w:sz w:val="24"/>
          <w:szCs w:val="24"/>
        </w:rPr>
        <w:t xml:space="preserve">to calculate the deductible factor for the contract. </w:t>
      </w:r>
      <w:r w:rsidRPr="006F6592" w:rsidR="008E24F8">
        <w:rPr>
          <w:rFonts w:ascii="Times New Roman" w:hAnsi="Times New Roman" w:cs="Times New Roman"/>
          <w:sz w:val="24"/>
          <w:szCs w:val="24"/>
        </w:rPr>
        <w:t>W</w:t>
      </w:r>
      <w:r w:rsidRPr="006F6592" w:rsidR="00C57C7F">
        <w:rPr>
          <w:rFonts w:ascii="Times New Roman" w:hAnsi="Times New Roman" w:cs="Times New Roman"/>
          <w:sz w:val="24"/>
          <w:szCs w:val="24"/>
        </w:rPr>
        <w:t>e anticipate that th</w:t>
      </w:r>
      <w:r w:rsidRPr="006F6592" w:rsidR="00E61AC1">
        <w:rPr>
          <w:rFonts w:ascii="Times New Roman" w:hAnsi="Times New Roman" w:cs="Times New Roman"/>
          <w:sz w:val="24"/>
          <w:szCs w:val="24"/>
        </w:rPr>
        <w:t>e</w:t>
      </w:r>
      <w:r w:rsidRPr="006F6592" w:rsidR="00C57C7F">
        <w:rPr>
          <w:rFonts w:ascii="Times New Roman" w:hAnsi="Times New Roman" w:cs="Times New Roman"/>
          <w:sz w:val="24"/>
          <w:szCs w:val="24"/>
        </w:rPr>
        <w:t xml:space="preserve"> burden to calculate the MSA deductible factor would be eliminated as this factor would be automatically calculated by the MLR Report software that MA organizations and Part D sponsors</w:t>
      </w:r>
      <w:r w:rsidRPr="006F6592" w:rsidR="00E61AC1">
        <w:rPr>
          <w:rFonts w:ascii="Times New Roman" w:hAnsi="Times New Roman" w:cs="Times New Roman"/>
          <w:sz w:val="24"/>
          <w:szCs w:val="24"/>
        </w:rPr>
        <w:t xml:space="preserve"> will</w:t>
      </w:r>
      <w:r w:rsidRPr="006F6592" w:rsidR="00C57C7F">
        <w:rPr>
          <w:rFonts w:ascii="Times New Roman" w:hAnsi="Times New Roman" w:cs="Times New Roman"/>
          <w:sz w:val="24"/>
          <w:szCs w:val="24"/>
        </w:rPr>
        <w:t xml:space="preserve"> use to submit their detailed MLR data to CMS, starting with CY 2023 MLR reporting. </w:t>
      </w:r>
      <w:r w:rsidR="00D80805">
        <w:rPr>
          <w:rFonts w:ascii="Times New Roman" w:hAnsi="Times New Roman" w:cs="Times New Roman"/>
          <w:sz w:val="24"/>
          <w:szCs w:val="24"/>
        </w:rPr>
        <w:t xml:space="preserve">While the requirement is now subsumed in our reporting requirements, </w:t>
      </w:r>
      <w:r w:rsidRPr="006F6592" w:rsidR="00C57C7F">
        <w:rPr>
          <w:rFonts w:ascii="Times New Roman" w:hAnsi="Times New Roman" w:cs="Times New Roman"/>
          <w:sz w:val="24"/>
          <w:szCs w:val="24"/>
        </w:rPr>
        <w:t>th</w:t>
      </w:r>
      <w:r w:rsidR="00D80805">
        <w:rPr>
          <w:rFonts w:ascii="Times New Roman" w:hAnsi="Times New Roman" w:cs="Times New Roman"/>
          <w:sz w:val="24"/>
          <w:szCs w:val="24"/>
        </w:rPr>
        <w:t>e</w:t>
      </w:r>
      <w:r w:rsidRPr="006F6592" w:rsidR="00C57C7F">
        <w:rPr>
          <w:rFonts w:ascii="Times New Roman" w:hAnsi="Times New Roman" w:cs="Times New Roman"/>
          <w:sz w:val="24"/>
          <w:szCs w:val="24"/>
        </w:rPr>
        <w:t xml:space="preserve"> burden </w:t>
      </w:r>
      <w:r w:rsidR="00D80805">
        <w:rPr>
          <w:rFonts w:ascii="Times New Roman" w:hAnsi="Times New Roman" w:cs="Times New Roman"/>
          <w:sz w:val="24"/>
          <w:szCs w:val="24"/>
        </w:rPr>
        <w:t>is excluded</w:t>
      </w:r>
      <w:r w:rsidRPr="006F6592" w:rsidR="00C57C7F">
        <w:rPr>
          <w:rFonts w:ascii="Times New Roman" w:hAnsi="Times New Roman" w:cs="Times New Roman"/>
          <w:sz w:val="24"/>
          <w:szCs w:val="24"/>
        </w:rPr>
        <w:t>.</w:t>
      </w:r>
      <w:r w:rsidRPr="006F6592" w:rsidR="008E24F8">
        <w:rPr>
          <w:rFonts w:ascii="Times New Roman" w:hAnsi="Times New Roman" w:cs="Times New Roman"/>
          <w:sz w:val="24"/>
          <w:szCs w:val="24"/>
        </w:rPr>
        <w:t xml:space="preserve"> See section 15 of this Supporting Statement for </w:t>
      </w:r>
      <w:r w:rsidRPr="006F6592" w:rsidR="006F6592">
        <w:rPr>
          <w:rFonts w:ascii="Times New Roman" w:hAnsi="Times New Roman" w:cs="Times New Roman"/>
          <w:sz w:val="24"/>
          <w:szCs w:val="24"/>
        </w:rPr>
        <w:t>details.</w:t>
      </w:r>
    </w:p>
    <w:p w:rsidR="00E61AC1" w:rsidP="00D50718" w14:paraId="2927ED15" w14:textId="76AB3677">
      <w:pPr>
        <w:spacing w:after="240" w:line="240" w:lineRule="auto"/>
        <w:rPr>
          <w:rFonts w:ascii="Times New Roman" w:hAnsi="Times New Roman" w:cs="Times New Roman"/>
          <w:sz w:val="24"/>
          <w:szCs w:val="24"/>
        </w:rPr>
      </w:pPr>
      <w:r w:rsidRPr="0074406C">
        <w:rPr>
          <w:rFonts w:ascii="Times New Roman" w:hAnsi="Times New Roman" w:cs="Times New Roman"/>
          <w:sz w:val="24"/>
          <w:szCs w:val="24"/>
        </w:rPr>
        <w:t>With regard to t</w:t>
      </w:r>
      <w:r w:rsidRPr="0074406C" w:rsidR="008F7D6D">
        <w:rPr>
          <w:rFonts w:ascii="Times New Roman" w:hAnsi="Times New Roman" w:cs="Times New Roman"/>
          <w:sz w:val="24"/>
          <w:szCs w:val="24"/>
        </w:rPr>
        <w:t>he</w:t>
      </w:r>
      <w:r w:rsidRPr="0074406C">
        <w:rPr>
          <w:rFonts w:ascii="Times New Roman" w:hAnsi="Times New Roman" w:cs="Times New Roman"/>
          <w:sz w:val="24"/>
          <w:szCs w:val="24"/>
        </w:rPr>
        <w:t xml:space="preserve"> reinstate</w:t>
      </w:r>
      <w:r w:rsidRPr="0074406C" w:rsidR="008F7D6D">
        <w:rPr>
          <w:rFonts w:ascii="Times New Roman" w:hAnsi="Times New Roman" w:cs="Times New Roman"/>
          <w:sz w:val="24"/>
          <w:szCs w:val="24"/>
        </w:rPr>
        <w:t>ment of</w:t>
      </w:r>
      <w:r w:rsidRPr="0074406C">
        <w:rPr>
          <w:rFonts w:ascii="Times New Roman" w:hAnsi="Times New Roman" w:cs="Times New Roman"/>
          <w:sz w:val="24"/>
          <w:szCs w:val="24"/>
        </w:rPr>
        <w:t xml:space="preserve"> the detailed MLR reporting requirements and to require reporting of additional information on expenditures for MA supplemental benefits</w:t>
      </w:r>
      <w:r w:rsidRPr="0074406C">
        <w:rPr>
          <w:rFonts w:ascii="Times New Roman" w:hAnsi="Times New Roman" w:cs="Times New Roman"/>
          <w:sz w:val="24"/>
          <w:szCs w:val="24"/>
        </w:rPr>
        <w:t>, w</w:t>
      </w:r>
      <w:r w:rsidRPr="0074406C" w:rsidR="00F229C0">
        <w:rPr>
          <w:rFonts w:ascii="Times New Roman" w:hAnsi="Times New Roman" w:cs="Times New Roman"/>
          <w:sz w:val="24"/>
          <w:szCs w:val="24"/>
        </w:rPr>
        <w:t xml:space="preserve">e anticipate that </w:t>
      </w:r>
      <w:r w:rsidRPr="0074406C" w:rsidR="00864B3A">
        <w:rPr>
          <w:rFonts w:ascii="Times New Roman" w:hAnsi="Times New Roman" w:cs="Times New Roman"/>
          <w:sz w:val="24"/>
          <w:szCs w:val="24"/>
        </w:rPr>
        <w:t xml:space="preserve">it would take </w:t>
      </w:r>
      <w:r w:rsidRPr="0074406C">
        <w:rPr>
          <w:rFonts w:ascii="Times New Roman" w:hAnsi="Times New Roman" w:cs="Times New Roman"/>
          <w:sz w:val="24"/>
          <w:szCs w:val="24"/>
        </w:rPr>
        <w:t xml:space="preserve">61.1 </w:t>
      </w:r>
      <w:r w:rsidRPr="0074406C" w:rsidR="00864B3A">
        <w:rPr>
          <w:rFonts w:ascii="Times New Roman" w:hAnsi="Times New Roman" w:cs="Times New Roman"/>
          <w:sz w:val="24"/>
          <w:szCs w:val="24"/>
        </w:rPr>
        <w:t xml:space="preserve">hours at $156.66/hr for a </w:t>
      </w:r>
      <w:r w:rsidRPr="0074406C">
        <w:rPr>
          <w:rFonts w:ascii="Times New Roman" w:hAnsi="Times New Roman" w:cs="Times New Roman"/>
          <w:sz w:val="24"/>
          <w:szCs w:val="24"/>
        </w:rPr>
        <w:t xml:space="preserve">computer and information systems manager </w:t>
      </w:r>
      <w:r w:rsidRPr="0074406C" w:rsidR="00864B3A">
        <w:rPr>
          <w:rFonts w:ascii="Times New Roman" w:hAnsi="Times New Roman" w:cs="Times New Roman"/>
          <w:sz w:val="24"/>
          <w:szCs w:val="24"/>
        </w:rPr>
        <w:t>to submit the MLR data to CMS</w:t>
      </w:r>
      <w:r w:rsidRPr="0074406C" w:rsidR="00F229C0">
        <w:rPr>
          <w:rFonts w:ascii="Times New Roman" w:hAnsi="Times New Roman" w:cs="Times New Roman"/>
          <w:sz w:val="24"/>
          <w:szCs w:val="24"/>
        </w:rPr>
        <w:t>.</w:t>
      </w:r>
    </w:p>
    <w:p w:rsidR="0087642C" w:rsidP="00381DC8" w14:paraId="2BFB5C03" w14:textId="333C597D">
      <w:pPr>
        <w:keepNext/>
        <w:spacing w:after="0" w:line="240" w:lineRule="auto"/>
        <w:jc w:val="center"/>
        <w:rPr>
          <w:rStyle w:val="CommentReference"/>
          <w:rFonts w:ascii="Times New Roman" w:hAnsi="Times New Roman" w:cs="Times New Roman"/>
          <w:sz w:val="24"/>
          <w:szCs w:val="24"/>
        </w:rPr>
      </w:pPr>
      <w:r w:rsidRPr="00381DC8">
        <w:rPr>
          <w:rFonts w:ascii="Times New Roman" w:hAnsi="Times New Roman"/>
          <w:sz w:val="24"/>
        </w:rPr>
        <w:t>TABLE 2</w:t>
      </w:r>
      <w:r w:rsidR="00252BBA">
        <w:rPr>
          <w:rFonts w:ascii="Times New Roman" w:hAnsi="Times New Roman" w:cs="Times New Roman"/>
          <w:sz w:val="24"/>
          <w:szCs w:val="24"/>
        </w:rPr>
        <w:t xml:space="preserve">: </w:t>
      </w:r>
      <w:r w:rsidR="0063476C">
        <w:rPr>
          <w:rStyle w:val="CommentReference"/>
          <w:rFonts w:ascii="Times New Roman" w:hAnsi="Times New Roman" w:cs="Times New Roman"/>
          <w:sz w:val="24"/>
          <w:szCs w:val="24"/>
        </w:rPr>
        <w:t xml:space="preserve">Average Time and Labor Costs Required </w:t>
      </w:r>
      <w:r w:rsidR="00911711">
        <w:rPr>
          <w:rStyle w:val="CommentReference"/>
          <w:rFonts w:ascii="Times New Roman" w:hAnsi="Times New Roman" w:cs="Times New Roman"/>
          <w:sz w:val="24"/>
          <w:szCs w:val="24"/>
        </w:rPr>
        <w:t>f</w:t>
      </w:r>
      <w:r w:rsidR="0063476C">
        <w:rPr>
          <w:rStyle w:val="CommentReference"/>
          <w:rFonts w:ascii="Times New Roman" w:hAnsi="Times New Roman" w:cs="Times New Roman"/>
          <w:sz w:val="24"/>
          <w:szCs w:val="24"/>
        </w:rPr>
        <w:t>or MLR Reporting</w:t>
      </w:r>
    </w:p>
    <w:tbl>
      <w:tblPr>
        <w:tblStyle w:val="TableGrid"/>
        <w:tblW w:w="9491" w:type="dxa"/>
        <w:jc w:val="center"/>
        <w:shd w:val="pct20" w:color="auto" w:fill="auto"/>
        <w:tblLayout w:type="fixed"/>
        <w:tblLook w:val="04A0"/>
      </w:tblPr>
      <w:tblGrid>
        <w:gridCol w:w="1435"/>
        <w:gridCol w:w="1260"/>
        <w:gridCol w:w="1350"/>
        <w:gridCol w:w="1350"/>
        <w:gridCol w:w="1080"/>
        <w:gridCol w:w="1530"/>
        <w:gridCol w:w="1486"/>
      </w:tblGrid>
      <w:tr w14:paraId="1CD51926" w14:textId="77777777" w:rsidTr="00C71C7D">
        <w:tblPrEx>
          <w:tblW w:w="9491" w:type="dxa"/>
          <w:jc w:val="center"/>
          <w:shd w:val="pct20" w:color="auto" w:fill="auto"/>
          <w:tblLayout w:type="fixed"/>
          <w:tblLook w:val="04A0"/>
        </w:tblPrEx>
        <w:trPr>
          <w:cantSplit/>
          <w:tblHeader/>
          <w:jc w:val="center"/>
        </w:trPr>
        <w:tc>
          <w:tcPr>
            <w:tcW w:w="1435" w:type="dxa"/>
            <w:vMerge w:val="restart"/>
            <w:shd w:val="clear" w:color="auto" w:fill="auto"/>
          </w:tcPr>
          <w:p w:rsidR="00E41022" w:rsidRPr="003D756F" w:rsidP="00222AE5" w14:paraId="4BC5D7BE" w14:textId="09A2FF47">
            <w:pPr>
              <w:keepNext/>
              <w:autoSpaceDE w:val="0"/>
              <w:autoSpaceDN w:val="0"/>
              <w:adjustRightInd w:val="0"/>
              <w:rPr>
                <w:rFonts w:ascii="Times New Roman" w:hAnsi="Times New Roman"/>
                <w:sz w:val="24"/>
              </w:rPr>
            </w:pPr>
            <w:r w:rsidRPr="003D756F">
              <w:rPr>
                <w:rFonts w:ascii="Times New Roman" w:hAnsi="Times New Roman"/>
                <w:sz w:val="24"/>
              </w:rPr>
              <w:t>Requirement</w:t>
            </w:r>
          </w:p>
        </w:tc>
        <w:tc>
          <w:tcPr>
            <w:tcW w:w="1260" w:type="dxa"/>
            <w:shd w:val="clear" w:color="auto" w:fill="auto"/>
          </w:tcPr>
          <w:p w:rsidR="00E41022" w:rsidRPr="003D756F" w:rsidP="00222AE5" w14:paraId="7FF27038" w14:textId="77777777">
            <w:pPr>
              <w:keepNext/>
              <w:autoSpaceDE w:val="0"/>
              <w:autoSpaceDN w:val="0"/>
              <w:adjustRightInd w:val="0"/>
              <w:jc w:val="center"/>
              <w:rPr>
                <w:rFonts w:ascii="Times New Roman" w:hAnsi="Times New Roman"/>
                <w:sz w:val="24"/>
              </w:rPr>
            </w:pPr>
            <w:r w:rsidRPr="003D756F">
              <w:rPr>
                <w:rFonts w:ascii="Times New Roman" w:hAnsi="Times New Roman"/>
                <w:sz w:val="24"/>
              </w:rPr>
              <w:t>(a)</w:t>
            </w:r>
          </w:p>
        </w:tc>
        <w:tc>
          <w:tcPr>
            <w:tcW w:w="1350" w:type="dxa"/>
            <w:shd w:val="clear" w:color="auto" w:fill="auto"/>
          </w:tcPr>
          <w:p w:rsidR="00E41022" w:rsidRPr="003D756F" w:rsidP="00222AE5" w14:paraId="12C814EC" w14:textId="77777777">
            <w:pPr>
              <w:keepNext/>
              <w:autoSpaceDE w:val="0"/>
              <w:autoSpaceDN w:val="0"/>
              <w:adjustRightInd w:val="0"/>
              <w:jc w:val="center"/>
              <w:rPr>
                <w:rFonts w:ascii="Times New Roman" w:hAnsi="Times New Roman"/>
                <w:sz w:val="24"/>
              </w:rPr>
            </w:pPr>
            <w:r w:rsidRPr="003D756F">
              <w:rPr>
                <w:rFonts w:ascii="Times New Roman" w:hAnsi="Times New Roman"/>
                <w:sz w:val="24"/>
              </w:rPr>
              <w:t>(b)</w:t>
            </w:r>
          </w:p>
        </w:tc>
        <w:tc>
          <w:tcPr>
            <w:tcW w:w="1350" w:type="dxa"/>
            <w:shd w:val="clear" w:color="auto" w:fill="auto"/>
          </w:tcPr>
          <w:p w:rsidR="00E41022" w:rsidRPr="003D756F" w:rsidP="00222AE5" w14:paraId="20D76FE3" w14:textId="77777777">
            <w:pPr>
              <w:keepNext/>
              <w:autoSpaceDE w:val="0"/>
              <w:autoSpaceDN w:val="0"/>
              <w:adjustRightInd w:val="0"/>
              <w:jc w:val="center"/>
              <w:rPr>
                <w:rFonts w:ascii="Times New Roman" w:hAnsi="Times New Roman"/>
                <w:sz w:val="24"/>
              </w:rPr>
            </w:pPr>
            <w:r w:rsidRPr="003D756F">
              <w:rPr>
                <w:rFonts w:ascii="Times New Roman" w:hAnsi="Times New Roman"/>
                <w:sz w:val="24"/>
              </w:rPr>
              <w:t>(c) = (a) x (b)</w:t>
            </w:r>
          </w:p>
        </w:tc>
        <w:tc>
          <w:tcPr>
            <w:tcW w:w="1080" w:type="dxa"/>
            <w:shd w:val="clear" w:color="auto" w:fill="auto"/>
          </w:tcPr>
          <w:p w:rsidR="00E41022" w:rsidRPr="003D756F" w:rsidP="00222AE5" w14:paraId="03EC1C41" w14:textId="77777777">
            <w:pPr>
              <w:keepNext/>
              <w:autoSpaceDE w:val="0"/>
              <w:autoSpaceDN w:val="0"/>
              <w:adjustRightInd w:val="0"/>
              <w:jc w:val="center"/>
              <w:rPr>
                <w:rFonts w:ascii="Times New Roman" w:hAnsi="Times New Roman"/>
                <w:sz w:val="24"/>
              </w:rPr>
            </w:pPr>
            <w:r w:rsidRPr="003D756F">
              <w:rPr>
                <w:rFonts w:ascii="Times New Roman" w:hAnsi="Times New Roman"/>
                <w:sz w:val="24"/>
              </w:rPr>
              <w:t>(d)</w:t>
            </w:r>
          </w:p>
        </w:tc>
        <w:tc>
          <w:tcPr>
            <w:tcW w:w="1530" w:type="dxa"/>
            <w:shd w:val="clear" w:color="auto" w:fill="auto"/>
          </w:tcPr>
          <w:p w:rsidR="00E41022" w:rsidRPr="003D756F" w:rsidP="00222AE5" w14:paraId="1404935A" w14:textId="77777777">
            <w:pPr>
              <w:keepNext/>
              <w:autoSpaceDE w:val="0"/>
              <w:autoSpaceDN w:val="0"/>
              <w:adjustRightInd w:val="0"/>
              <w:jc w:val="center"/>
              <w:rPr>
                <w:rFonts w:ascii="Times New Roman" w:hAnsi="Times New Roman"/>
                <w:sz w:val="24"/>
              </w:rPr>
            </w:pPr>
            <w:r w:rsidRPr="003D756F">
              <w:rPr>
                <w:rFonts w:ascii="Times New Roman" w:hAnsi="Times New Roman"/>
                <w:sz w:val="24"/>
              </w:rPr>
              <w:t>(e) = (c) x (d)</w:t>
            </w:r>
          </w:p>
        </w:tc>
        <w:tc>
          <w:tcPr>
            <w:tcW w:w="1486" w:type="dxa"/>
            <w:shd w:val="clear" w:color="auto" w:fill="auto"/>
          </w:tcPr>
          <w:p w:rsidR="00E41022" w:rsidRPr="003D756F" w:rsidP="00222AE5" w14:paraId="0E959DD8" w14:textId="77777777">
            <w:pPr>
              <w:keepNext/>
              <w:autoSpaceDE w:val="0"/>
              <w:autoSpaceDN w:val="0"/>
              <w:adjustRightInd w:val="0"/>
              <w:jc w:val="center"/>
              <w:rPr>
                <w:rFonts w:ascii="Times New Roman" w:hAnsi="Times New Roman"/>
                <w:sz w:val="24"/>
              </w:rPr>
            </w:pPr>
            <w:r w:rsidRPr="003D756F">
              <w:rPr>
                <w:rFonts w:ascii="Times New Roman" w:hAnsi="Times New Roman"/>
                <w:sz w:val="24"/>
              </w:rPr>
              <w:t>(f) = (e) / (a)</w:t>
            </w:r>
          </w:p>
        </w:tc>
      </w:tr>
      <w:tr w14:paraId="42395B79" w14:textId="77777777" w:rsidTr="00C71C7D">
        <w:tblPrEx>
          <w:tblW w:w="9491" w:type="dxa"/>
          <w:jc w:val="center"/>
          <w:shd w:val="pct20" w:color="auto" w:fill="auto"/>
          <w:tblLayout w:type="fixed"/>
          <w:tblLook w:val="04A0"/>
        </w:tblPrEx>
        <w:trPr>
          <w:cantSplit/>
          <w:tblHeader/>
          <w:jc w:val="center"/>
        </w:trPr>
        <w:tc>
          <w:tcPr>
            <w:tcW w:w="1435" w:type="dxa"/>
            <w:vMerge/>
            <w:shd w:val="clear" w:color="auto" w:fill="auto"/>
          </w:tcPr>
          <w:p w:rsidR="00E41022" w:rsidRPr="003D756F" w:rsidP="00222AE5" w14:paraId="36328AB1" w14:textId="77777777">
            <w:pPr>
              <w:keepNext/>
              <w:autoSpaceDE w:val="0"/>
              <w:autoSpaceDN w:val="0"/>
              <w:adjustRightInd w:val="0"/>
              <w:rPr>
                <w:rFonts w:ascii="Times New Roman" w:hAnsi="Times New Roman"/>
                <w:sz w:val="24"/>
              </w:rPr>
            </w:pPr>
          </w:p>
        </w:tc>
        <w:tc>
          <w:tcPr>
            <w:tcW w:w="1260" w:type="dxa"/>
            <w:shd w:val="clear" w:color="auto" w:fill="auto"/>
            <w:vAlign w:val="center"/>
          </w:tcPr>
          <w:p w:rsidR="00E41022" w:rsidRPr="003D756F" w:rsidP="00222AE5" w14:paraId="4BFF7181" w14:textId="4DA08D68">
            <w:pPr>
              <w:keepNext/>
              <w:autoSpaceDE w:val="0"/>
              <w:autoSpaceDN w:val="0"/>
              <w:adjustRightInd w:val="0"/>
              <w:jc w:val="center"/>
              <w:rPr>
                <w:rFonts w:ascii="Times New Roman" w:hAnsi="Times New Roman"/>
                <w:sz w:val="24"/>
              </w:rPr>
            </w:pPr>
            <w:r w:rsidRPr="003D756F">
              <w:rPr>
                <w:rFonts w:ascii="Times New Roman" w:hAnsi="Times New Roman"/>
                <w:sz w:val="24"/>
              </w:rPr>
              <w:t>Number of Contracts</w:t>
            </w:r>
          </w:p>
        </w:tc>
        <w:tc>
          <w:tcPr>
            <w:tcW w:w="1350" w:type="dxa"/>
            <w:shd w:val="clear" w:color="auto" w:fill="auto"/>
            <w:vAlign w:val="center"/>
          </w:tcPr>
          <w:p w:rsidR="005B4F38" w:rsidRPr="003D756F" w:rsidP="00222AE5" w14:paraId="6A53F0E7" w14:textId="7E7066AA">
            <w:pPr>
              <w:keepNext/>
              <w:autoSpaceDE w:val="0"/>
              <w:autoSpaceDN w:val="0"/>
              <w:adjustRightInd w:val="0"/>
              <w:jc w:val="center"/>
              <w:rPr>
                <w:rFonts w:ascii="Times New Roman" w:hAnsi="Times New Roman"/>
                <w:sz w:val="24"/>
              </w:rPr>
            </w:pPr>
            <w:r w:rsidRPr="003D756F">
              <w:rPr>
                <w:rFonts w:ascii="Times New Roman" w:hAnsi="Times New Roman"/>
                <w:sz w:val="24"/>
              </w:rPr>
              <w:t xml:space="preserve">Average </w:t>
            </w:r>
            <w:r w:rsidRPr="003D756F" w:rsidR="00E30059">
              <w:rPr>
                <w:rFonts w:ascii="Times New Roman" w:hAnsi="Times New Roman"/>
                <w:sz w:val="24"/>
              </w:rPr>
              <w:t xml:space="preserve">Time </w:t>
            </w:r>
            <w:r w:rsidRPr="003D756F">
              <w:rPr>
                <w:rFonts w:ascii="Times New Roman" w:hAnsi="Times New Roman"/>
                <w:sz w:val="24"/>
              </w:rPr>
              <w:t>per Contract</w:t>
            </w:r>
          </w:p>
          <w:p w:rsidR="00E41022" w:rsidRPr="003D756F" w:rsidP="00222AE5" w14:paraId="21B24D76" w14:textId="323954E0">
            <w:pPr>
              <w:keepNext/>
              <w:autoSpaceDE w:val="0"/>
              <w:autoSpaceDN w:val="0"/>
              <w:adjustRightInd w:val="0"/>
              <w:jc w:val="center"/>
              <w:rPr>
                <w:rFonts w:ascii="Times New Roman" w:hAnsi="Times New Roman"/>
                <w:sz w:val="24"/>
              </w:rPr>
            </w:pPr>
            <w:r w:rsidRPr="003D756F">
              <w:rPr>
                <w:rFonts w:ascii="Times New Roman" w:hAnsi="Times New Roman"/>
                <w:sz w:val="24"/>
              </w:rPr>
              <w:t>(hours</w:t>
            </w:r>
            <w:r w:rsidRPr="003D756F" w:rsidR="005B4F38">
              <w:rPr>
                <w:rFonts w:ascii="Times New Roman" w:hAnsi="Times New Roman"/>
                <w:sz w:val="24"/>
              </w:rPr>
              <w:t>)</w:t>
            </w:r>
          </w:p>
        </w:tc>
        <w:tc>
          <w:tcPr>
            <w:tcW w:w="1350" w:type="dxa"/>
            <w:shd w:val="clear" w:color="auto" w:fill="auto"/>
            <w:vAlign w:val="center"/>
          </w:tcPr>
          <w:p w:rsidR="005B4F38" w:rsidRPr="003D756F" w:rsidP="00222AE5" w14:paraId="773B3D23" w14:textId="0AB26E7A">
            <w:pPr>
              <w:keepNext/>
              <w:autoSpaceDE w:val="0"/>
              <w:autoSpaceDN w:val="0"/>
              <w:adjustRightInd w:val="0"/>
              <w:jc w:val="center"/>
              <w:rPr>
                <w:rFonts w:ascii="Times New Roman" w:hAnsi="Times New Roman"/>
                <w:sz w:val="24"/>
              </w:rPr>
            </w:pPr>
            <w:r w:rsidRPr="003D756F">
              <w:rPr>
                <w:rFonts w:ascii="Times New Roman" w:hAnsi="Times New Roman"/>
                <w:sz w:val="24"/>
              </w:rPr>
              <w:t xml:space="preserve">Total </w:t>
            </w:r>
            <w:r w:rsidRPr="003D756F">
              <w:rPr>
                <w:rFonts w:ascii="Times New Roman" w:hAnsi="Times New Roman"/>
                <w:sz w:val="24"/>
              </w:rPr>
              <w:t>Time</w:t>
            </w:r>
          </w:p>
          <w:p w:rsidR="00E41022" w:rsidRPr="003D756F" w:rsidP="00222AE5" w14:paraId="50527B69" w14:textId="4F483463">
            <w:pPr>
              <w:keepNext/>
              <w:autoSpaceDE w:val="0"/>
              <w:autoSpaceDN w:val="0"/>
              <w:adjustRightInd w:val="0"/>
              <w:jc w:val="center"/>
              <w:rPr>
                <w:rFonts w:ascii="Times New Roman" w:hAnsi="Times New Roman"/>
                <w:sz w:val="24"/>
              </w:rPr>
            </w:pPr>
            <w:r w:rsidRPr="003D756F">
              <w:rPr>
                <w:rFonts w:ascii="Times New Roman" w:hAnsi="Times New Roman"/>
                <w:sz w:val="24"/>
              </w:rPr>
              <w:t>(h</w:t>
            </w:r>
            <w:r w:rsidRPr="003D756F">
              <w:rPr>
                <w:rFonts w:ascii="Times New Roman" w:hAnsi="Times New Roman"/>
                <w:sz w:val="24"/>
              </w:rPr>
              <w:t>ours</w:t>
            </w:r>
            <w:r w:rsidRPr="003D756F">
              <w:rPr>
                <w:rFonts w:ascii="Times New Roman" w:hAnsi="Times New Roman"/>
                <w:sz w:val="24"/>
              </w:rPr>
              <w:t>)</w:t>
            </w:r>
          </w:p>
        </w:tc>
        <w:tc>
          <w:tcPr>
            <w:tcW w:w="1080" w:type="dxa"/>
            <w:shd w:val="clear" w:color="auto" w:fill="auto"/>
            <w:vAlign w:val="center"/>
          </w:tcPr>
          <w:p w:rsidR="00E41022" w:rsidRPr="003D756F" w:rsidP="00222AE5" w14:paraId="0755594B" w14:textId="6A96CD7E">
            <w:pPr>
              <w:keepNext/>
              <w:autoSpaceDE w:val="0"/>
              <w:autoSpaceDN w:val="0"/>
              <w:adjustRightInd w:val="0"/>
              <w:jc w:val="center"/>
              <w:rPr>
                <w:rFonts w:ascii="Times New Roman" w:hAnsi="Times New Roman"/>
                <w:sz w:val="24"/>
              </w:rPr>
            </w:pPr>
            <w:r w:rsidRPr="003D756F">
              <w:rPr>
                <w:rFonts w:ascii="Times New Roman" w:hAnsi="Times New Roman"/>
                <w:sz w:val="24"/>
              </w:rPr>
              <w:t>Labor Cost ($/hr)</w:t>
            </w:r>
          </w:p>
        </w:tc>
        <w:tc>
          <w:tcPr>
            <w:tcW w:w="1530" w:type="dxa"/>
            <w:shd w:val="clear" w:color="auto" w:fill="auto"/>
            <w:vAlign w:val="center"/>
          </w:tcPr>
          <w:p w:rsidR="005B4F38" w:rsidRPr="003D756F" w:rsidP="00222AE5" w14:paraId="20E8099A" w14:textId="7A45050D">
            <w:pPr>
              <w:keepNext/>
              <w:autoSpaceDE w:val="0"/>
              <w:autoSpaceDN w:val="0"/>
              <w:adjustRightInd w:val="0"/>
              <w:jc w:val="center"/>
              <w:rPr>
                <w:rFonts w:ascii="Times New Roman" w:hAnsi="Times New Roman"/>
                <w:sz w:val="24"/>
              </w:rPr>
            </w:pPr>
            <w:r w:rsidRPr="003D756F">
              <w:rPr>
                <w:rFonts w:ascii="Times New Roman" w:hAnsi="Times New Roman"/>
                <w:sz w:val="24"/>
              </w:rPr>
              <w:t>Total Cost</w:t>
            </w:r>
          </w:p>
          <w:p w:rsidR="00E41022" w:rsidRPr="003D756F" w:rsidP="00222AE5" w14:paraId="704F462B" w14:textId="19AA77BE">
            <w:pPr>
              <w:keepNext/>
              <w:autoSpaceDE w:val="0"/>
              <w:autoSpaceDN w:val="0"/>
              <w:adjustRightInd w:val="0"/>
              <w:jc w:val="center"/>
              <w:rPr>
                <w:rFonts w:ascii="Times New Roman" w:hAnsi="Times New Roman"/>
                <w:sz w:val="24"/>
              </w:rPr>
            </w:pPr>
            <w:r w:rsidRPr="003D756F">
              <w:rPr>
                <w:rFonts w:ascii="Times New Roman" w:hAnsi="Times New Roman"/>
                <w:sz w:val="24"/>
              </w:rPr>
              <w:t>($)</w:t>
            </w:r>
          </w:p>
        </w:tc>
        <w:tc>
          <w:tcPr>
            <w:tcW w:w="1486" w:type="dxa"/>
            <w:shd w:val="clear" w:color="auto" w:fill="auto"/>
            <w:vAlign w:val="center"/>
          </w:tcPr>
          <w:p w:rsidR="00E41022" w:rsidRPr="003D756F" w:rsidP="00222AE5" w14:paraId="2C43DB1B" w14:textId="44DFAF8B">
            <w:pPr>
              <w:keepNext/>
              <w:autoSpaceDE w:val="0"/>
              <w:autoSpaceDN w:val="0"/>
              <w:adjustRightInd w:val="0"/>
              <w:jc w:val="center"/>
              <w:rPr>
                <w:rFonts w:ascii="Times New Roman" w:hAnsi="Times New Roman"/>
                <w:sz w:val="24"/>
              </w:rPr>
            </w:pPr>
            <w:r w:rsidRPr="003D756F">
              <w:rPr>
                <w:rFonts w:ascii="Times New Roman" w:hAnsi="Times New Roman"/>
                <w:sz w:val="24"/>
              </w:rPr>
              <w:t>Average Cost per Contract ($)</w:t>
            </w:r>
          </w:p>
        </w:tc>
      </w:tr>
      <w:tr w14:paraId="3C6194C1" w14:textId="77777777" w:rsidTr="00C71C7D">
        <w:tblPrEx>
          <w:tblW w:w="9491" w:type="dxa"/>
          <w:jc w:val="center"/>
          <w:shd w:val="pct20" w:color="auto" w:fill="auto"/>
          <w:tblLayout w:type="fixed"/>
          <w:tblLook w:val="04A0"/>
        </w:tblPrEx>
        <w:trPr>
          <w:trHeight w:val="485"/>
          <w:jc w:val="center"/>
        </w:trPr>
        <w:tc>
          <w:tcPr>
            <w:tcW w:w="1435" w:type="dxa"/>
            <w:shd w:val="clear" w:color="auto" w:fill="auto"/>
            <w:vAlign w:val="center"/>
          </w:tcPr>
          <w:p w:rsidR="0065117E" w:rsidRPr="003D756F" w:rsidP="00222AE5" w14:paraId="2D77016E" w14:textId="545E5005">
            <w:pPr>
              <w:keepNext/>
              <w:autoSpaceDE w:val="0"/>
              <w:autoSpaceDN w:val="0"/>
              <w:adjustRightInd w:val="0"/>
              <w:jc w:val="center"/>
              <w:rPr>
                <w:rFonts w:ascii="Times New Roman" w:hAnsi="Times New Roman"/>
                <w:sz w:val="24"/>
              </w:rPr>
            </w:pPr>
            <w:r w:rsidRPr="003D756F">
              <w:rPr>
                <w:rFonts w:ascii="Times New Roman" w:hAnsi="Times New Roman"/>
                <w:sz w:val="24"/>
              </w:rPr>
              <w:t>MLR Reporting</w:t>
            </w:r>
          </w:p>
        </w:tc>
        <w:tc>
          <w:tcPr>
            <w:tcW w:w="1260" w:type="dxa"/>
            <w:shd w:val="clear" w:color="auto" w:fill="auto"/>
            <w:vAlign w:val="center"/>
          </w:tcPr>
          <w:p w:rsidR="0065117E" w:rsidRPr="003D756F" w:rsidP="00222AE5" w14:paraId="497EB5F2" w14:textId="1905CC04">
            <w:pPr>
              <w:keepNext/>
              <w:autoSpaceDE w:val="0"/>
              <w:autoSpaceDN w:val="0"/>
              <w:adjustRightInd w:val="0"/>
              <w:jc w:val="center"/>
              <w:rPr>
                <w:rFonts w:ascii="Times New Roman" w:hAnsi="Times New Roman"/>
                <w:sz w:val="24"/>
              </w:rPr>
            </w:pPr>
            <w:r w:rsidRPr="003D756F">
              <w:rPr>
                <w:rFonts w:ascii="Times New Roman" w:hAnsi="Times New Roman" w:cs="Times New Roman"/>
                <w:sz w:val="24"/>
                <w:szCs w:val="24"/>
              </w:rPr>
              <w:t>601</w:t>
            </w:r>
          </w:p>
        </w:tc>
        <w:tc>
          <w:tcPr>
            <w:tcW w:w="1350" w:type="dxa"/>
            <w:shd w:val="clear" w:color="auto" w:fill="auto"/>
            <w:vAlign w:val="center"/>
          </w:tcPr>
          <w:p w:rsidR="0065117E" w:rsidRPr="003D756F" w:rsidP="00222AE5" w14:paraId="1D16EEB7" w14:textId="0E706F87">
            <w:pPr>
              <w:keepNext/>
              <w:autoSpaceDE w:val="0"/>
              <w:autoSpaceDN w:val="0"/>
              <w:adjustRightInd w:val="0"/>
              <w:jc w:val="center"/>
              <w:rPr>
                <w:rFonts w:ascii="Times New Roman" w:hAnsi="Times New Roman"/>
                <w:sz w:val="24"/>
              </w:rPr>
            </w:pPr>
            <w:r w:rsidRPr="003D756F">
              <w:rPr>
                <w:rFonts w:ascii="Times New Roman" w:hAnsi="Times New Roman" w:cs="Times New Roman"/>
                <w:sz w:val="24"/>
                <w:szCs w:val="24"/>
              </w:rPr>
              <w:t>61.1</w:t>
            </w:r>
          </w:p>
        </w:tc>
        <w:tc>
          <w:tcPr>
            <w:tcW w:w="1350" w:type="dxa"/>
            <w:shd w:val="clear" w:color="auto" w:fill="auto"/>
            <w:vAlign w:val="center"/>
          </w:tcPr>
          <w:p w:rsidR="0065117E" w:rsidRPr="003D756F" w:rsidP="00222AE5" w14:paraId="13D0A83E" w14:textId="4130B891">
            <w:pPr>
              <w:keepNext/>
              <w:autoSpaceDE w:val="0"/>
              <w:autoSpaceDN w:val="0"/>
              <w:adjustRightInd w:val="0"/>
              <w:jc w:val="center"/>
              <w:rPr>
                <w:rFonts w:ascii="Times New Roman" w:hAnsi="Times New Roman"/>
                <w:sz w:val="24"/>
              </w:rPr>
            </w:pPr>
            <w:r w:rsidRPr="003D756F">
              <w:rPr>
                <w:rFonts w:ascii="Times New Roman" w:eastAsia="Arial" w:hAnsi="Times New Roman" w:cs="Times New Roman"/>
                <w:sz w:val="24"/>
                <w:szCs w:val="24"/>
              </w:rPr>
              <w:t>36,721</w:t>
            </w:r>
          </w:p>
        </w:tc>
        <w:tc>
          <w:tcPr>
            <w:tcW w:w="1080" w:type="dxa"/>
            <w:shd w:val="clear" w:color="auto" w:fill="auto"/>
            <w:vAlign w:val="center"/>
          </w:tcPr>
          <w:p w:rsidR="0065117E" w:rsidRPr="003D756F" w:rsidP="00381DC8" w14:paraId="46D30A1F" w14:textId="052569F9">
            <w:pPr>
              <w:keepNext/>
              <w:kinsoku w:val="0"/>
              <w:overflowPunct w:val="0"/>
              <w:autoSpaceDE w:val="0"/>
              <w:autoSpaceDN w:val="0"/>
              <w:adjustRightInd w:val="0"/>
              <w:jc w:val="center"/>
              <w:rPr>
                <w:rFonts w:ascii="Times New Roman" w:hAnsi="Times New Roman"/>
                <w:sz w:val="24"/>
              </w:rPr>
            </w:pPr>
            <w:r w:rsidRPr="003D756F">
              <w:rPr>
                <w:rFonts w:ascii="Times New Roman" w:hAnsi="Times New Roman" w:cs="Times New Roman"/>
                <w:sz w:val="20"/>
                <w:szCs w:val="20"/>
              </w:rPr>
              <w:t>156.66</w:t>
            </w:r>
          </w:p>
        </w:tc>
        <w:tc>
          <w:tcPr>
            <w:tcW w:w="1530" w:type="dxa"/>
            <w:shd w:val="clear" w:color="auto" w:fill="auto"/>
            <w:vAlign w:val="center"/>
          </w:tcPr>
          <w:p w:rsidR="0065117E" w:rsidRPr="003D756F" w:rsidP="00222AE5" w14:paraId="29381890" w14:textId="075F1A07">
            <w:pPr>
              <w:keepNext/>
              <w:autoSpaceDE w:val="0"/>
              <w:autoSpaceDN w:val="0"/>
              <w:adjustRightInd w:val="0"/>
              <w:jc w:val="center"/>
              <w:rPr>
                <w:rFonts w:ascii="Times New Roman" w:hAnsi="Times New Roman"/>
                <w:sz w:val="24"/>
              </w:rPr>
            </w:pPr>
            <w:r w:rsidRPr="00381DC8">
              <w:rPr>
                <w:rFonts w:ascii="Times New Roman" w:hAnsi="Times New Roman"/>
                <w:sz w:val="24"/>
              </w:rPr>
              <w:t>5,</w:t>
            </w:r>
            <w:r w:rsidRPr="003D756F">
              <w:rPr>
                <w:rFonts w:ascii="Times New Roman" w:eastAsia="Arial" w:hAnsi="Times New Roman" w:cs="Times New Roman"/>
                <w:sz w:val="24"/>
                <w:szCs w:val="24"/>
              </w:rPr>
              <w:t>75</w:t>
            </w:r>
            <w:r w:rsidRPr="003D756F" w:rsidR="00FF7B9B">
              <w:rPr>
                <w:rFonts w:ascii="Times New Roman" w:eastAsia="Arial" w:hAnsi="Times New Roman" w:cs="Times New Roman"/>
                <w:sz w:val="24"/>
                <w:szCs w:val="24"/>
              </w:rPr>
              <w:t>2</w:t>
            </w:r>
            <w:r w:rsidRPr="003D756F">
              <w:rPr>
                <w:rFonts w:ascii="Times New Roman" w:eastAsia="Arial" w:hAnsi="Times New Roman" w:cs="Times New Roman"/>
                <w:sz w:val="24"/>
                <w:szCs w:val="24"/>
              </w:rPr>
              <w:t>,</w:t>
            </w:r>
            <w:r w:rsidRPr="003D756F" w:rsidR="00FF7B9B">
              <w:rPr>
                <w:rFonts w:ascii="Times New Roman" w:eastAsia="Arial" w:hAnsi="Times New Roman" w:cs="Times New Roman"/>
                <w:sz w:val="24"/>
                <w:szCs w:val="24"/>
              </w:rPr>
              <w:t>712</w:t>
            </w:r>
          </w:p>
        </w:tc>
        <w:tc>
          <w:tcPr>
            <w:tcW w:w="1486" w:type="dxa"/>
            <w:shd w:val="clear" w:color="auto" w:fill="auto"/>
            <w:vAlign w:val="center"/>
          </w:tcPr>
          <w:p w:rsidR="0065117E" w:rsidRPr="003D756F" w:rsidP="00222AE5" w14:paraId="681302DC" w14:textId="6676243B">
            <w:pPr>
              <w:keepNext/>
              <w:autoSpaceDE w:val="0"/>
              <w:autoSpaceDN w:val="0"/>
              <w:adjustRightInd w:val="0"/>
              <w:jc w:val="center"/>
              <w:rPr>
                <w:rFonts w:ascii="Times New Roman" w:hAnsi="Times New Roman"/>
                <w:sz w:val="24"/>
              </w:rPr>
            </w:pPr>
            <w:r w:rsidRPr="003D756F">
              <w:rPr>
                <w:rFonts w:ascii="Times New Roman" w:hAnsi="Times New Roman"/>
                <w:sz w:val="24"/>
              </w:rPr>
              <w:t>94,153</w:t>
            </w:r>
          </w:p>
        </w:tc>
      </w:tr>
    </w:tbl>
    <w:p w:rsidR="00326784" w:rsidRPr="0017697D" w:rsidP="00222AE5" w14:paraId="78653B98" w14:textId="78A89F26">
      <w:pPr>
        <w:keepNext/>
        <w:spacing w:before="240" w:after="240" w:line="240" w:lineRule="auto"/>
        <w:rPr>
          <w:rFonts w:ascii="Times New Roman" w:hAnsi="Times New Roman" w:cs="Times New Roman"/>
          <w:bCs/>
          <w:sz w:val="24"/>
          <w:szCs w:val="24"/>
        </w:rPr>
      </w:pPr>
      <w:r w:rsidRPr="0017697D">
        <w:rPr>
          <w:rFonts w:ascii="Times New Roman" w:hAnsi="Times New Roman" w:cs="Times New Roman"/>
          <w:bCs/>
          <w:sz w:val="24"/>
          <w:szCs w:val="24"/>
          <w:u w:val="single"/>
        </w:rPr>
        <w:t>Recordkeeping Requirements</w:t>
      </w:r>
      <w:r w:rsidRPr="0017697D" w:rsidR="004D0495">
        <w:rPr>
          <w:rFonts w:ascii="Times New Roman" w:hAnsi="Times New Roman" w:cs="Times New Roman"/>
          <w:bCs/>
          <w:sz w:val="24"/>
          <w:szCs w:val="24"/>
          <w:u w:val="single"/>
        </w:rPr>
        <w:t xml:space="preserve"> </w:t>
      </w:r>
      <w:r w:rsidRPr="0017697D" w:rsidR="004C200C">
        <w:rPr>
          <w:rFonts w:ascii="Times New Roman" w:hAnsi="Times New Roman" w:cs="Times New Roman"/>
          <w:bCs/>
          <w:sz w:val="24"/>
          <w:szCs w:val="24"/>
          <w:u w:val="single"/>
        </w:rPr>
        <w:t>(</w:t>
      </w:r>
      <w:r w:rsidRPr="0017697D" w:rsidR="00C62BB2">
        <w:rPr>
          <w:rFonts w:ascii="Times New Roman" w:hAnsi="Times New Roman" w:cs="Times New Roman"/>
          <w:bCs/>
          <w:sz w:val="24"/>
          <w:szCs w:val="24"/>
          <w:u w:val="single"/>
        </w:rPr>
        <w:t>Revised</w:t>
      </w:r>
      <w:r w:rsidRPr="0017697D" w:rsidR="004C200C">
        <w:rPr>
          <w:rFonts w:ascii="Times New Roman" w:hAnsi="Times New Roman" w:cs="Times New Roman"/>
          <w:bCs/>
          <w:sz w:val="24"/>
          <w:szCs w:val="24"/>
          <w:u w:val="single"/>
        </w:rPr>
        <w:t>)</w:t>
      </w:r>
      <w:r w:rsidRPr="0017697D" w:rsidR="004D0495">
        <w:rPr>
          <w:rStyle w:val="CommentReference"/>
          <w:rFonts w:ascii="Times New Roman" w:hAnsi="Times New Roman" w:cs="Times New Roman"/>
          <w:sz w:val="24"/>
          <w:szCs w:val="24"/>
        </w:rPr>
        <w:t xml:space="preserve"> </w:t>
      </w:r>
    </w:p>
    <w:p w:rsidR="0037187F" w:rsidRPr="0017697D" w:rsidP="00D50718" w14:paraId="0918E2DD" w14:textId="5EAC24E3">
      <w:pPr>
        <w:spacing w:after="240" w:line="240" w:lineRule="auto"/>
        <w:rPr>
          <w:rFonts w:ascii="Times New Roman" w:hAnsi="Times New Roman" w:cs="Times New Roman"/>
          <w:sz w:val="24"/>
          <w:szCs w:val="24"/>
        </w:rPr>
      </w:pPr>
      <w:r w:rsidRPr="0017697D">
        <w:rPr>
          <w:rFonts w:ascii="Times New Roman" w:hAnsi="Times New Roman" w:cs="Times New Roman"/>
          <w:sz w:val="24"/>
          <w:szCs w:val="24"/>
        </w:rPr>
        <w:t xml:space="preserve">CMS estimates that each MA organization and Part D sponsor will incur annual administrative costs (per </w:t>
      </w:r>
      <w:r w:rsidRPr="0017697D" w:rsidR="008A4AD3">
        <w:rPr>
          <w:rFonts w:ascii="Times New Roman" w:hAnsi="Times New Roman" w:cs="Times New Roman"/>
          <w:sz w:val="24"/>
          <w:szCs w:val="24"/>
        </w:rPr>
        <w:t>contract</w:t>
      </w:r>
      <w:r w:rsidRPr="0017697D">
        <w:rPr>
          <w:rFonts w:ascii="Times New Roman" w:hAnsi="Times New Roman" w:cs="Times New Roman"/>
          <w:sz w:val="24"/>
          <w:szCs w:val="24"/>
        </w:rPr>
        <w:t>) related to complying with the MLR recordkeeping requirements.</w:t>
      </w:r>
    </w:p>
    <w:p w:rsidR="0037187F" w:rsidRPr="00205098" w:rsidP="00205098" w14:paraId="6877D22D" w14:textId="710664F9">
      <w:pPr>
        <w:pStyle w:val="CommentText"/>
        <w:rPr>
          <w:rFonts w:ascii="Times New Roman" w:hAnsi="Times New Roman" w:cs="Times New Roman"/>
          <w:sz w:val="24"/>
          <w:szCs w:val="24"/>
        </w:rPr>
      </w:pPr>
      <w:r w:rsidRPr="0017697D">
        <w:rPr>
          <w:rFonts w:ascii="Times New Roman" w:hAnsi="Times New Roman" w:cs="Times New Roman"/>
          <w:sz w:val="24"/>
          <w:szCs w:val="24"/>
        </w:rPr>
        <w:t>Each</w:t>
      </w:r>
      <w:r w:rsidRPr="0017697D" w:rsidR="00081D4B">
        <w:rPr>
          <w:rFonts w:ascii="Times New Roman" w:hAnsi="Times New Roman" w:cs="Times New Roman"/>
          <w:sz w:val="24"/>
          <w:szCs w:val="24"/>
        </w:rPr>
        <w:t xml:space="preserve"> MA organization and</w:t>
      </w:r>
      <w:r w:rsidRPr="0017697D">
        <w:rPr>
          <w:rFonts w:ascii="Times New Roman" w:hAnsi="Times New Roman" w:cs="Times New Roman"/>
          <w:sz w:val="24"/>
          <w:szCs w:val="24"/>
        </w:rPr>
        <w:t xml:space="preserve"> </w:t>
      </w:r>
      <w:r w:rsidRPr="0017697D" w:rsidR="00081D4B">
        <w:rPr>
          <w:rFonts w:ascii="Times New Roman" w:hAnsi="Times New Roman" w:cs="Times New Roman"/>
          <w:sz w:val="24"/>
          <w:szCs w:val="24"/>
        </w:rPr>
        <w:t xml:space="preserve">Part D </w:t>
      </w:r>
      <w:r w:rsidRPr="0017697D">
        <w:rPr>
          <w:rFonts w:ascii="Times New Roman" w:hAnsi="Times New Roman" w:cs="Times New Roman"/>
          <w:sz w:val="24"/>
          <w:szCs w:val="24"/>
        </w:rPr>
        <w:t xml:space="preserve">sponsor </w:t>
      </w:r>
      <w:r w:rsidRPr="0017697D">
        <w:rPr>
          <w:rFonts w:ascii="Times New Roman" w:hAnsi="Times New Roman" w:cs="Times New Roman"/>
          <w:sz w:val="24"/>
          <w:szCs w:val="24"/>
        </w:rPr>
        <w:t>is obligated to maintain all documents, records</w:t>
      </w:r>
      <w:r w:rsidRPr="0017697D" w:rsidR="009348AB">
        <w:rPr>
          <w:rFonts w:ascii="Times New Roman" w:hAnsi="Times New Roman" w:cs="Times New Roman"/>
          <w:sz w:val="24"/>
          <w:szCs w:val="24"/>
        </w:rPr>
        <w:t>,</w:t>
      </w:r>
      <w:r w:rsidRPr="0017697D">
        <w:rPr>
          <w:rFonts w:ascii="Times New Roman" w:hAnsi="Times New Roman" w:cs="Times New Roman"/>
          <w:sz w:val="24"/>
          <w:szCs w:val="24"/>
        </w:rPr>
        <w:t xml:space="preserve"> and other evidence that support the </w:t>
      </w:r>
      <w:r w:rsidRPr="0017697D" w:rsidR="009348AB">
        <w:rPr>
          <w:rFonts w:ascii="Times New Roman" w:hAnsi="Times New Roman" w:cs="Times New Roman"/>
          <w:sz w:val="24"/>
          <w:szCs w:val="24"/>
        </w:rPr>
        <w:t xml:space="preserve">MLR </w:t>
      </w:r>
      <w:r w:rsidRPr="0017697D">
        <w:rPr>
          <w:rFonts w:ascii="Times New Roman" w:hAnsi="Times New Roman" w:cs="Times New Roman"/>
          <w:sz w:val="24"/>
          <w:szCs w:val="24"/>
        </w:rPr>
        <w:t xml:space="preserve">data </w:t>
      </w:r>
      <w:r w:rsidRPr="0017697D" w:rsidR="009348AB">
        <w:rPr>
          <w:rFonts w:ascii="Times New Roman" w:hAnsi="Times New Roman" w:cs="Times New Roman"/>
          <w:sz w:val="24"/>
          <w:szCs w:val="24"/>
        </w:rPr>
        <w:t xml:space="preserve">that it </w:t>
      </w:r>
      <w:r w:rsidRPr="0017697D">
        <w:rPr>
          <w:rFonts w:ascii="Times New Roman" w:hAnsi="Times New Roman" w:cs="Times New Roman"/>
          <w:sz w:val="24"/>
          <w:szCs w:val="24"/>
        </w:rPr>
        <w:t>submit</w:t>
      </w:r>
      <w:r w:rsidRPr="0017697D" w:rsidR="009348AB">
        <w:rPr>
          <w:rFonts w:ascii="Times New Roman" w:hAnsi="Times New Roman" w:cs="Times New Roman"/>
          <w:sz w:val="24"/>
          <w:szCs w:val="24"/>
        </w:rPr>
        <w:t>s</w:t>
      </w:r>
      <w:r w:rsidRPr="0017697D">
        <w:rPr>
          <w:rFonts w:ascii="Times New Roman" w:hAnsi="Times New Roman" w:cs="Times New Roman"/>
          <w:sz w:val="24"/>
          <w:szCs w:val="24"/>
        </w:rPr>
        <w:t xml:space="preserve"> </w:t>
      </w:r>
      <w:r w:rsidRPr="0017697D">
        <w:rPr>
          <w:rFonts w:ascii="Times New Roman" w:hAnsi="Times New Roman" w:cs="Times New Roman"/>
          <w:sz w:val="24"/>
          <w:szCs w:val="24"/>
        </w:rPr>
        <w:t xml:space="preserve">to the Secretary. </w:t>
      </w:r>
      <w:r w:rsidRPr="0017697D">
        <w:rPr>
          <w:rFonts w:ascii="Times New Roman" w:hAnsi="Times New Roman" w:cs="Times New Roman"/>
          <w:sz w:val="24"/>
          <w:szCs w:val="24"/>
        </w:rPr>
        <w:t xml:space="preserve">Each </w:t>
      </w:r>
      <w:r w:rsidRPr="0017697D" w:rsidR="00081D4B">
        <w:rPr>
          <w:rFonts w:ascii="Times New Roman" w:hAnsi="Times New Roman" w:cs="Times New Roman"/>
          <w:sz w:val="24"/>
          <w:szCs w:val="24"/>
        </w:rPr>
        <w:t xml:space="preserve">MA organization and Part D </w:t>
      </w:r>
      <w:r w:rsidRPr="0017697D">
        <w:rPr>
          <w:rFonts w:ascii="Times New Roman" w:hAnsi="Times New Roman" w:cs="Times New Roman"/>
          <w:sz w:val="24"/>
          <w:szCs w:val="24"/>
        </w:rPr>
        <w:t xml:space="preserve">sponsor </w:t>
      </w:r>
      <w:r w:rsidRPr="0017697D">
        <w:rPr>
          <w:rFonts w:ascii="Times New Roman" w:hAnsi="Times New Roman" w:cs="Times New Roman"/>
          <w:sz w:val="24"/>
          <w:szCs w:val="24"/>
        </w:rPr>
        <w:t xml:space="preserve">must maintain the supporting documentation for </w:t>
      </w:r>
      <w:r w:rsidRPr="0017697D">
        <w:rPr>
          <w:rFonts w:ascii="Times New Roman" w:hAnsi="Times New Roman" w:cs="Times New Roman"/>
          <w:sz w:val="24"/>
          <w:szCs w:val="24"/>
        </w:rPr>
        <w:t>ten</w:t>
      </w:r>
      <w:r w:rsidRPr="0017697D">
        <w:rPr>
          <w:rFonts w:ascii="Times New Roman" w:hAnsi="Times New Roman" w:cs="Times New Roman"/>
          <w:sz w:val="24"/>
          <w:szCs w:val="24"/>
        </w:rPr>
        <w:t xml:space="preserve"> years</w:t>
      </w:r>
      <w:r w:rsidRPr="0017697D">
        <w:rPr>
          <w:rFonts w:ascii="Times New Roman" w:hAnsi="Times New Roman" w:cs="Times New Roman"/>
          <w:sz w:val="24"/>
          <w:szCs w:val="24"/>
        </w:rPr>
        <w:t xml:space="preserve"> from the date such </w:t>
      </w:r>
      <w:r w:rsidRPr="0017697D" w:rsidR="00E5202A">
        <w:rPr>
          <w:rFonts w:ascii="Times New Roman" w:hAnsi="Times New Roman" w:cs="Times New Roman"/>
          <w:sz w:val="24"/>
          <w:szCs w:val="24"/>
        </w:rPr>
        <w:t xml:space="preserve">data </w:t>
      </w:r>
      <w:r w:rsidRPr="0017697D">
        <w:rPr>
          <w:rFonts w:ascii="Times New Roman" w:hAnsi="Times New Roman" w:cs="Times New Roman"/>
          <w:sz w:val="24"/>
          <w:szCs w:val="24"/>
        </w:rPr>
        <w:t xml:space="preserve">were reported to CMS with respect to a given </w:t>
      </w:r>
      <w:r w:rsidRPr="0017697D" w:rsidR="00E5202A">
        <w:rPr>
          <w:rFonts w:ascii="Times New Roman" w:hAnsi="Times New Roman" w:cs="Times New Roman"/>
          <w:sz w:val="24"/>
          <w:szCs w:val="24"/>
        </w:rPr>
        <w:t xml:space="preserve">contract </w:t>
      </w:r>
      <w:r w:rsidRPr="0017697D">
        <w:rPr>
          <w:rFonts w:ascii="Times New Roman" w:hAnsi="Times New Roman" w:cs="Times New Roman"/>
          <w:sz w:val="24"/>
          <w:szCs w:val="24"/>
        </w:rPr>
        <w:t>year</w:t>
      </w:r>
      <w:r w:rsidRPr="0017697D" w:rsidR="005C396E">
        <w:rPr>
          <w:rFonts w:ascii="Times New Roman" w:hAnsi="Times New Roman" w:cs="Times New Roman"/>
          <w:sz w:val="24"/>
          <w:szCs w:val="24"/>
        </w:rPr>
        <w:t xml:space="preserve"> (see </w:t>
      </w:r>
      <w:r w:rsidRPr="0017697D" w:rsidR="00E5202A">
        <w:rPr>
          <w:rFonts w:ascii="Times New Roman" w:hAnsi="Times New Roman" w:cs="Times New Roman"/>
          <w:sz w:val="24"/>
          <w:szCs w:val="24"/>
        </w:rPr>
        <w:t>§</w:t>
      </w:r>
      <w:r w:rsidRPr="0017697D" w:rsidR="008F5764">
        <w:rPr>
          <w:rFonts w:ascii="Times New Roman" w:hAnsi="Times New Roman" w:cs="Times New Roman"/>
          <w:sz w:val="24"/>
          <w:szCs w:val="24"/>
        </w:rPr>
        <w:t>§</w:t>
      </w:r>
      <w:r w:rsidRPr="0017697D" w:rsidR="00DA7B88">
        <w:rPr>
          <w:rFonts w:ascii="Times New Roman" w:hAnsi="Times New Roman" w:cs="Times New Roman"/>
          <w:sz w:val="24"/>
          <w:szCs w:val="24"/>
        </w:rPr>
        <w:t xml:space="preserve"> </w:t>
      </w:r>
      <w:r w:rsidRPr="0017697D" w:rsidR="008F5764">
        <w:rPr>
          <w:rFonts w:ascii="Times New Roman" w:hAnsi="Times New Roman" w:cs="Times New Roman"/>
          <w:sz w:val="24"/>
          <w:szCs w:val="24"/>
        </w:rPr>
        <w:t xml:space="preserve">422.2480(c) and </w:t>
      </w:r>
      <w:r w:rsidRPr="0017697D" w:rsidR="00E5202A">
        <w:rPr>
          <w:rFonts w:ascii="Times New Roman" w:hAnsi="Times New Roman" w:cs="Times New Roman"/>
          <w:sz w:val="24"/>
          <w:szCs w:val="24"/>
        </w:rPr>
        <w:t>42</w:t>
      </w:r>
      <w:r w:rsidRPr="0017697D" w:rsidR="00DC4409">
        <w:rPr>
          <w:rFonts w:ascii="Times New Roman" w:hAnsi="Times New Roman" w:cs="Times New Roman"/>
          <w:sz w:val="24"/>
          <w:szCs w:val="24"/>
        </w:rPr>
        <w:t>3</w:t>
      </w:r>
      <w:r w:rsidRPr="0017697D" w:rsidR="00E5202A">
        <w:rPr>
          <w:rFonts w:ascii="Times New Roman" w:hAnsi="Times New Roman" w:cs="Times New Roman"/>
          <w:sz w:val="24"/>
          <w:szCs w:val="24"/>
        </w:rPr>
        <w:t>.2480(c)</w:t>
      </w:r>
      <w:r w:rsidRPr="0017697D" w:rsidR="005C396E">
        <w:rPr>
          <w:rFonts w:ascii="Times New Roman" w:hAnsi="Times New Roman" w:cs="Times New Roman"/>
          <w:sz w:val="24"/>
          <w:szCs w:val="24"/>
        </w:rPr>
        <w:t>, respectively)</w:t>
      </w:r>
      <w:r w:rsidRPr="0017697D" w:rsidR="00E5202A">
        <w:rPr>
          <w:rFonts w:ascii="Times New Roman" w:hAnsi="Times New Roman" w:cs="Times New Roman"/>
          <w:sz w:val="24"/>
          <w:szCs w:val="24"/>
        </w:rPr>
        <w:t>.</w:t>
      </w:r>
    </w:p>
    <w:p w:rsidR="00384E77" w:rsidRPr="004B62EB" w:rsidP="00D50718" w14:paraId="04F130D4" w14:textId="6F1A8BF7">
      <w:pPr>
        <w:autoSpaceDE w:val="0"/>
        <w:autoSpaceDN w:val="0"/>
        <w:adjustRightInd w:val="0"/>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MLR record retention costs are assumed to be relatively low, since MA organizations and Part D sponsors already retain similar data for general MA and Prescription Drug </w:t>
      </w:r>
      <w:r w:rsidRPr="004B62EB" w:rsidR="00E5202A">
        <w:rPr>
          <w:rFonts w:ascii="Times New Roman" w:hAnsi="Times New Roman" w:cs="Times New Roman"/>
          <w:sz w:val="24"/>
          <w:szCs w:val="24"/>
        </w:rPr>
        <w:t xml:space="preserve">Plan program </w:t>
      </w:r>
      <w:r w:rsidRPr="004B62EB">
        <w:rPr>
          <w:rFonts w:ascii="Times New Roman" w:hAnsi="Times New Roman" w:cs="Times New Roman"/>
          <w:sz w:val="24"/>
          <w:szCs w:val="24"/>
        </w:rPr>
        <w:t>audits and per the established requirements in §</w:t>
      </w:r>
      <w:r w:rsidRPr="004B62EB" w:rsidR="00E5202A">
        <w:rPr>
          <w:rFonts w:ascii="Times New Roman" w:hAnsi="Times New Roman" w:cs="Times New Roman"/>
          <w:sz w:val="24"/>
          <w:szCs w:val="24"/>
        </w:rPr>
        <w:t>§</w:t>
      </w:r>
      <w:r w:rsidRPr="004B62EB" w:rsidR="00DA7B88">
        <w:rPr>
          <w:rFonts w:ascii="Times New Roman" w:hAnsi="Times New Roman" w:cs="Times New Roman"/>
          <w:sz w:val="24"/>
          <w:szCs w:val="24"/>
        </w:rPr>
        <w:t xml:space="preserve"> </w:t>
      </w:r>
      <w:r w:rsidRPr="004B62EB">
        <w:rPr>
          <w:rFonts w:ascii="Times New Roman" w:hAnsi="Times New Roman" w:cs="Times New Roman"/>
          <w:sz w:val="24"/>
          <w:szCs w:val="24"/>
        </w:rPr>
        <w:t xml:space="preserve">422.504(f)(2) and 423.505(f)(2). </w:t>
      </w:r>
    </w:p>
    <w:p w:rsidR="004C252C" w:rsidP="00D50718" w14:paraId="335E6C8F" w14:textId="33AC0256">
      <w:p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We </w:t>
      </w:r>
      <w:r w:rsidRPr="004B62EB" w:rsidR="0037187F">
        <w:rPr>
          <w:rFonts w:ascii="Times New Roman" w:hAnsi="Times New Roman" w:cs="Times New Roman"/>
          <w:sz w:val="24"/>
          <w:szCs w:val="24"/>
        </w:rPr>
        <w:t xml:space="preserve">estimate that </w:t>
      </w:r>
      <w:r>
        <w:rPr>
          <w:rFonts w:ascii="Times New Roman" w:hAnsi="Times New Roman" w:cs="Times New Roman"/>
          <w:sz w:val="24"/>
          <w:szCs w:val="24"/>
        </w:rPr>
        <w:t xml:space="preserve">it takes </w:t>
      </w:r>
      <w:r>
        <w:rPr>
          <w:rFonts w:ascii="Times New Roman" w:hAnsi="Times New Roman"/>
          <w:sz w:val="24"/>
        </w:rPr>
        <w:t>2.7 minutes (</w:t>
      </w:r>
      <w:r w:rsidRPr="00425BA5">
        <w:rPr>
          <w:rFonts w:ascii="Times New Roman" w:hAnsi="Times New Roman"/>
          <w:sz w:val="24"/>
        </w:rPr>
        <w:t>0.045</w:t>
      </w:r>
      <w:r>
        <w:rPr>
          <w:rFonts w:ascii="Times New Roman" w:hAnsi="Times New Roman"/>
          <w:sz w:val="24"/>
        </w:rPr>
        <w:t xml:space="preserve"> hr) </w:t>
      </w:r>
      <w:r w:rsidRPr="0074406C">
        <w:rPr>
          <w:rFonts w:ascii="Times New Roman" w:hAnsi="Times New Roman" w:cs="Times New Roman"/>
          <w:sz w:val="24"/>
          <w:szCs w:val="24"/>
        </w:rPr>
        <w:t xml:space="preserve">for a computer and information systems manager to </w:t>
      </w:r>
      <w:r>
        <w:rPr>
          <w:rFonts w:ascii="Times New Roman" w:hAnsi="Times New Roman" w:cs="Times New Roman"/>
          <w:sz w:val="24"/>
          <w:szCs w:val="24"/>
        </w:rPr>
        <w:t xml:space="preserve">maintain such records. In aggregate, we estimate an annual burden of </w:t>
      </w:r>
      <w:r w:rsidR="00275121">
        <w:rPr>
          <w:rFonts w:ascii="Times New Roman" w:hAnsi="Times New Roman" w:cs="Times New Roman"/>
          <w:sz w:val="24"/>
          <w:szCs w:val="24"/>
        </w:rPr>
        <w:t>27 hours (</w:t>
      </w:r>
      <w:r w:rsidRPr="00425BA5" w:rsidR="00275121">
        <w:rPr>
          <w:rFonts w:ascii="Times New Roman" w:hAnsi="Times New Roman"/>
          <w:sz w:val="24"/>
        </w:rPr>
        <w:t>0.045</w:t>
      </w:r>
      <w:r w:rsidR="00275121">
        <w:rPr>
          <w:rFonts w:ascii="Times New Roman" w:hAnsi="Times New Roman"/>
          <w:sz w:val="24"/>
        </w:rPr>
        <w:t xml:space="preserve"> hr x 601 contracts) at a cost of $4,230 (27 hr x $</w:t>
      </w:r>
      <w:r w:rsidRPr="00275121" w:rsidR="00275121">
        <w:rPr>
          <w:rFonts w:ascii="Times New Roman" w:hAnsi="Times New Roman"/>
          <w:sz w:val="24"/>
        </w:rPr>
        <w:t>156.66</w:t>
      </w:r>
      <w:r w:rsidR="00275121">
        <w:rPr>
          <w:rFonts w:ascii="Times New Roman" w:hAnsi="Times New Roman"/>
          <w:sz w:val="24"/>
        </w:rPr>
        <w:t>).</w:t>
      </w:r>
    </w:p>
    <w:p w:rsidR="0087642C" w:rsidP="00381DC8" w14:paraId="133B10BF" w14:textId="375DE465">
      <w:pPr>
        <w:keepNext/>
        <w:autoSpaceDE w:val="0"/>
        <w:autoSpaceDN w:val="0"/>
        <w:adjustRightInd w:val="0"/>
        <w:spacing w:after="0" w:line="240" w:lineRule="auto"/>
        <w:jc w:val="center"/>
        <w:rPr>
          <w:rFonts w:ascii="Times New Roman" w:hAnsi="Times New Roman" w:cs="Times New Roman"/>
          <w:sz w:val="24"/>
          <w:szCs w:val="24"/>
        </w:rPr>
      </w:pPr>
      <w:r w:rsidRPr="00381DC8">
        <w:rPr>
          <w:rFonts w:ascii="Times New Roman" w:hAnsi="Times New Roman"/>
          <w:sz w:val="24"/>
        </w:rPr>
        <w:t>TABLE 3</w:t>
      </w:r>
      <w:r w:rsidR="00295A75">
        <w:rPr>
          <w:rFonts w:ascii="Times New Roman" w:hAnsi="Times New Roman" w:cs="Times New Roman"/>
          <w:sz w:val="24"/>
          <w:szCs w:val="24"/>
        </w:rPr>
        <w:t xml:space="preserve">: </w:t>
      </w:r>
      <w:r w:rsidR="00617352">
        <w:rPr>
          <w:rFonts w:ascii="Times New Roman" w:hAnsi="Times New Roman" w:cs="Times New Roman"/>
          <w:sz w:val="24"/>
          <w:szCs w:val="24"/>
        </w:rPr>
        <w:t>Summary of Annual Burden and Maintenance of Records</w:t>
      </w:r>
    </w:p>
    <w:tbl>
      <w:tblPr>
        <w:tblStyle w:val="TableGrid"/>
        <w:tblW w:w="9576" w:type="dxa"/>
        <w:jc w:val="center"/>
        <w:tblLayout w:type="fixed"/>
        <w:tblLook w:val="04A0"/>
      </w:tblPr>
      <w:tblGrid>
        <w:gridCol w:w="1705"/>
        <w:gridCol w:w="990"/>
        <w:gridCol w:w="1260"/>
        <w:gridCol w:w="1530"/>
        <w:gridCol w:w="1170"/>
        <w:gridCol w:w="1530"/>
        <w:gridCol w:w="1391"/>
      </w:tblGrid>
      <w:tr w14:paraId="5F7BE15F" w14:textId="77777777" w:rsidTr="00254605">
        <w:tblPrEx>
          <w:tblW w:w="9576" w:type="dxa"/>
          <w:jc w:val="center"/>
          <w:tblLayout w:type="fixed"/>
          <w:tblLook w:val="04A0"/>
        </w:tblPrEx>
        <w:trPr>
          <w:cantSplit/>
          <w:tblHeader/>
          <w:jc w:val="center"/>
        </w:trPr>
        <w:tc>
          <w:tcPr>
            <w:tcW w:w="1705" w:type="dxa"/>
            <w:vMerge w:val="restart"/>
            <w:shd w:val="clear" w:color="auto" w:fill="auto"/>
          </w:tcPr>
          <w:p w:rsidR="00E41022" w:rsidRPr="00425BA5" w:rsidP="00222AE5" w14:paraId="226433F1" w14:textId="69E86F82">
            <w:pPr>
              <w:keepNext/>
              <w:autoSpaceDE w:val="0"/>
              <w:autoSpaceDN w:val="0"/>
              <w:adjustRightInd w:val="0"/>
              <w:rPr>
                <w:rFonts w:ascii="Times New Roman" w:hAnsi="Times New Roman"/>
                <w:sz w:val="24"/>
              </w:rPr>
            </w:pPr>
            <w:r w:rsidRPr="00425BA5">
              <w:rPr>
                <w:rFonts w:ascii="Times New Roman" w:hAnsi="Times New Roman"/>
                <w:sz w:val="24"/>
              </w:rPr>
              <w:t>Requirement</w:t>
            </w:r>
          </w:p>
        </w:tc>
        <w:tc>
          <w:tcPr>
            <w:tcW w:w="990" w:type="dxa"/>
          </w:tcPr>
          <w:p w:rsidR="00E41022" w:rsidRPr="00425BA5" w:rsidP="00222AE5" w14:paraId="79296F8D" w14:textId="530351B6">
            <w:pPr>
              <w:keepNext/>
              <w:autoSpaceDE w:val="0"/>
              <w:autoSpaceDN w:val="0"/>
              <w:adjustRightInd w:val="0"/>
              <w:jc w:val="center"/>
              <w:rPr>
                <w:rFonts w:ascii="Times New Roman" w:hAnsi="Times New Roman"/>
                <w:sz w:val="24"/>
              </w:rPr>
            </w:pPr>
            <w:r w:rsidRPr="00425BA5">
              <w:rPr>
                <w:rFonts w:ascii="Times New Roman" w:hAnsi="Times New Roman"/>
                <w:sz w:val="24"/>
              </w:rPr>
              <w:t>(a)</w:t>
            </w:r>
          </w:p>
        </w:tc>
        <w:tc>
          <w:tcPr>
            <w:tcW w:w="1260" w:type="dxa"/>
          </w:tcPr>
          <w:p w:rsidR="00E41022" w:rsidRPr="00425BA5" w:rsidP="00222AE5" w14:paraId="45A96D9B" w14:textId="3A185861">
            <w:pPr>
              <w:keepNext/>
              <w:autoSpaceDE w:val="0"/>
              <w:autoSpaceDN w:val="0"/>
              <w:adjustRightInd w:val="0"/>
              <w:jc w:val="center"/>
              <w:rPr>
                <w:rFonts w:ascii="Times New Roman" w:hAnsi="Times New Roman"/>
                <w:sz w:val="24"/>
              </w:rPr>
            </w:pPr>
            <w:r w:rsidRPr="00425BA5">
              <w:rPr>
                <w:rFonts w:ascii="Times New Roman" w:hAnsi="Times New Roman"/>
                <w:sz w:val="24"/>
              </w:rPr>
              <w:t>(b)</w:t>
            </w:r>
          </w:p>
        </w:tc>
        <w:tc>
          <w:tcPr>
            <w:tcW w:w="1530" w:type="dxa"/>
          </w:tcPr>
          <w:p w:rsidR="00E41022" w:rsidRPr="00425BA5" w:rsidP="00222AE5" w14:paraId="0FDEB70B" w14:textId="64E82D22">
            <w:pPr>
              <w:keepNext/>
              <w:autoSpaceDE w:val="0"/>
              <w:autoSpaceDN w:val="0"/>
              <w:adjustRightInd w:val="0"/>
              <w:jc w:val="center"/>
              <w:rPr>
                <w:rFonts w:ascii="Times New Roman" w:hAnsi="Times New Roman"/>
                <w:sz w:val="24"/>
              </w:rPr>
            </w:pPr>
            <w:r w:rsidRPr="00425BA5">
              <w:rPr>
                <w:rFonts w:ascii="Times New Roman" w:hAnsi="Times New Roman"/>
                <w:sz w:val="24"/>
              </w:rPr>
              <w:t>(c) = (a) x (b)</w:t>
            </w:r>
          </w:p>
        </w:tc>
        <w:tc>
          <w:tcPr>
            <w:tcW w:w="1170" w:type="dxa"/>
          </w:tcPr>
          <w:p w:rsidR="00E41022" w:rsidRPr="00425BA5" w:rsidP="00222AE5" w14:paraId="6E20CB67" w14:textId="6B16CDF5">
            <w:pPr>
              <w:keepNext/>
              <w:autoSpaceDE w:val="0"/>
              <w:autoSpaceDN w:val="0"/>
              <w:adjustRightInd w:val="0"/>
              <w:jc w:val="center"/>
              <w:rPr>
                <w:rFonts w:ascii="Times New Roman" w:hAnsi="Times New Roman"/>
                <w:sz w:val="24"/>
              </w:rPr>
            </w:pPr>
            <w:r w:rsidRPr="00425BA5">
              <w:rPr>
                <w:rFonts w:ascii="Times New Roman" w:hAnsi="Times New Roman"/>
                <w:sz w:val="24"/>
              </w:rPr>
              <w:t>(d)</w:t>
            </w:r>
          </w:p>
        </w:tc>
        <w:tc>
          <w:tcPr>
            <w:tcW w:w="1530" w:type="dxa"/>
          </w:tcPr>
          <w:p w:rsidR="00E41022" w:rsidRPr="00425BA5" w:rsidP="00222AE5" w14:paraId="7B282746" w14:textId="24A86426">
            <w:pPr>
              <w:keepNext/>
              <w:autoSpaceDE w:val="0"/>
              <w:autoSpaceDN w:val="0"/>
              <w:adjustRightInd w:val="0"/>
              <w:jc w:val="center"/>
              <w:rPr>
                <w:rFonts w:ascii="Times New Roman" w:hAnsi="Times New Roman"/>
                <w:sz w:val="24"/>
              </w:rPr>
            </w:pPr>
            <w:r w:rsidRPr="00425BA5">
              <w:rPr>
                <w:rFonts w:ascii="Times New Roman" w:hAnsi="Times New Roman"/>
                <w:sz w:val="24"/>
              </w:rPr>
              <w:t>(e) = (c) x (d)</w:t>
            </w:r>
          </w:p>
        </w:tc>
        <w:tc>
          <w:tcPr>
            <w:tcW w:w="1391" w:type="dxa"/>
          </w:tcPr>
          <w:p w:rsidR="00E41022" w:rsidRPr="00425BA5" w:rsidP="00222AE5" w14:paraId="4E77A82F" w14:textId="32E20A0D">
            <w:pPr>
              <w:keepNext/>
              <w:autoSpaceDE w:val="0"/>
              <w:autoSpaceDN w:val="0"/>
              <w:adjustRightInd w:val="0"/>
              <w:jc w:val="center"/>
              <w:rPr>
                <w:rFonts w:ascii="Times New Roman" w:hAnsi="Times New Roman"/>
                <w:sz w:val="24"/>
              </w:rPr>
            </w:pPr>
            <w:r w:rsidRPr="00425BA5">
              <w:rPr>
                <w:rFonts w:ascii="Times New Roman" w:hAnsi="Times New Roman"/>
                <w:sz w:val="24"/>
              </w:rPr>
              <w:t>(f) = (e) / (a)</w:t>
            </w:r>
          </w:p>
        </w:tc>
      </w:tr>
      <w:tr w14:paraId="1657F6BA" w14:textId="77777777" w:rsidTr="00254605">
        <w:tblPrEx>
          <w:tblW w:w="9576" w:type="dxa"/>
          <w:jc w:val="center"/>
          <w:tblLayout w:type="fixed"/>
          <w:tblLook w:val="04A0"/>
        </w:tblPrEx>
        <w:trPr>
          <w:cantSplit/>
          <w:tblHeader/>
          <w:jc w:val="center"/>
        </w:trPr>
        <w:tc>
          <w:tcPr>
            <w:tcW w:w="1705" w:type="dxa"/>
            <w:vMerge/>
            <w:shd w:val="clear" w:color="auto" w:fill="auto"/>
          </w:tcPr>
          <w:p w:rsidR="00E41022" w:rsidRPr="00425BA5" w:rsidP="00222AE5" w14:paraId="2E81F299" w14:textId="77777777">
            <w:pPr>
              <w:keepNext/>
              <w:autoSpaceDE w:val="0"/>
              <w:autoSpaceDN w:val="0"/>
              <w:adjustRightInd w:val="0"/>
              <w:rPr>
                <w:rFonts w:ascii="Times New Roman" w:hAnsi="Times New Roman"/>
                <w:sz w:val="24"/>
              </w:rPr>
            </w:pPr>
          </w:p>
        </w:tc>
        <w:tc>
          <w:tcPr>
            <w:tcW w:w="990" w:type="dxa"/>
            <w:vAlign w:val="center"/>
          </w:tcPr>
          <w:p w:rsidR="00E41022" w:rsidRPr="00425BA5" w:rsidP="00222AE5" w14:paraId="4A449F70" w14:textId="127F9815">
            <w:pPr>
              <w:keepNext/>
              <w:autoSpaceDE w:val="0"/>
              <w:autoSpaceDN w:val="0"/>
              <w:adjustRightInd w:val="0"/>
              <w:jc w:val="center"/>
              <w:rPr>
                <w:rFonts w:ascii="Times New Roman" w:hAnsi="Times New Roman"/>
                <w:sz w:val="24"/>
              </w:rPr>
            </w:pPr>
            <w:r w:rsidRPr="00425BA5">
              <w:rPr>
                <w:rFonts w:ascii="Times New Roman" w:hAnsi="Times New Roman"/>
                <w:sz w:val="24"/>
              </w:rPr>
              <w:t>Number of Contracts</w:t>
            </w:r>
          </w:p>
        </w:tc>
        <w:tc>
          <w:tcPr>
            <w:tcW w:w="1260" w:type="dxa"/>
            <w:vAlign w:val="center"/>
          </w:tcPr>
          <w:p w:rsidR="00E41022" w:rsidP="00222AE5" w14:paraId="232EACA4" w14:textId="7A23633C">
            <w:pPr>
              <w:keepNext/>
              <w:autoSpaceDE w:val="0"/>
              <w:autoSpaceDN w:val="0"/>
              <w:adjustRightInd w:val="0"/>
              <w:jc w:val="center"/>
              <w:rPr>
                <w:rFonts w:ascii="Times New Roman" w:hAnsi="Times New Roman"/>
                <w:sz w:val="24"/>
              </w:rPr>
            </w:pPr>
            <w:r>
              <w:rPr>
                <w:rFonts w:ascii="Times New Roman" w:hAnsi="Times New Roman"/>
                <w:sz w:val="24"/>
              </w:rPr>
              <w:t xml:space="preserve">Time </w:t>
            </w:r>
            <w:r w:rsidRPr="00425BA5">
              <w:rPr>
                <w:rFonts w:ascii="Times New Roman" w:hAnsi="Times New Roman"/>
                <w:sz w:val="24"/>
              </w:rPr>
              <w:t>per Contract</w:t>
            </w:r>
          </w:p>
          <w:p w:rsidR="00117117" w:rsidRPr="00425BA5" w:rsidP="00222AE5" w14:paraId="45A56CF2" w14:textId="317EE606">
            <w:pPr>
              <w:keepNext/>
              <w:autoSpaceDE w:val="0"/>
              <w:autoSpaceDN w:val="0"/>
              <w:adjustRightInd w:val="0"/>
              <w:jc w:val="center"/>
              <w:rPr>
                <w:rFonts w:ascii="Times New Roman" w:hAnsi="Times New Roman"/>
                <w:sz w:val="24"/>
              </w:rPr>
            </w:pPr>
            <w:r>
              <w:rPr>
                <w:rFonts w:ascii="Times New Roman" w:hAnsi="Times New Roman"/>
                <w:sz w:val="24"/>
              </w:rPr>
              <w:t>(hours)</w:t>
            </w:r>
          </w:p>
        </w:tc>
        <w:tc>
          <w:tcPr>
            <w:tcW w:w="1530" w:type="dxa"/>
            <w:vAlign w:val="center"/>
          </w:tcPr>
          <w:p w:rsidR="00117117" w:rsidP="00222AE5" w14:paraId="10FB8BE2" w14:textId="19196D43">
            <w:pPr>
              <w:keepNext/>
              <w:autoSpaceDE w:val="0"/>
              <w:autoSpaceDN w:val="0"/>
              <w:adjustRightInd w:val="0"/>
              <w:jc w:val="center"/>
              <w:rPr>
                <w:rFonts w:ascii="Times New Roman" w:hAnsi="Times New Roman"/>
                <w:sz w:val="24"/>
              </w:rPr>
            </w:pPr>
            <w:r w:rsidRPr="00425BA5">
              <w:rPr>
                <w:rFonts w:ascii="Times New Roman" w:hAnsi="Times New Roman"/>
                <w:sz w:val="24"/>
              </w:rPr>
              <w:t xml:space="preserve">Total </w:t>
            </w:r>
            <w:r>
              <w:rPr>
                <w:rFonts w:ascii="Times New Roman" w:hAnsi="Times New Roman"/>
                <w:sz w:val="24"/>
              </w:rPr>
              <w:t>Time</w:t>
            </w:r>
          </w:p>
          <w:p w:rsidR="00E41022" w:rsidRPr="00425BA5" w:rsidP="00222AE5" w14:paraId="765150E9" w14:textId="6A884E41">
            <w:pPr>
              <w:keepNext/>
              <w:autoSpaceDE w:val="0"/>
              <w:autoSpaceDN w:val="0"/>
              <w:adjustRightInd w:val="0"/>
              <w:jc w:val="center"/>
              <w:rPr>
                <w:rFonts w:ascii="Times New Roman" w:hAnsi="Times New Roman"/>
                <w:sz w:val="24"/>
              </w:rPr>
            </w:pPr>
            <w:r>
              <w:rPr>
                <w:rFonts w:ascii="Times New Roman" w:hAnsi="Times New Roman"/>
                <w:sz w:val="24"/>
              </w:rPr>
              <w:t>(h</w:t>
            </w:r>
            <w:r w:rsidRPr="00425BA5">
              <w:rPr>
                <w:rFonts w:ascii="Times New Roman" w:hAnsi="Times New Roman"/>
                <w:sz w:val="24"/>
              </w:rPr>
              <w:t>ours</w:t>
            </w:r>
            <w:r>
              <w:rPr>
                <w:rFonts w:ascii="Times New Roman" w:hAnsi="Times New Roman"/>
                <w:sz w:val="24"/>
              </w:rPr>
              <w:t>)</w:t>
            </w:r>
          </w:p>
        </w:tc>
        <w:tc>
          <w:tcPr>
            <w:tcW w:w="1170" w:type="dxa"/>
            <w:vAlign w:val="center"/>
          </w:tcPr>
          <w:p w:rsidR="00E41022" w:rsidRPr="00425BA5" w:rsidP="00222AE5" w14:paraId="2899E20C" w14:textId="7CB4A4E6">
            <w:pPr>
              <w:keepNext/>
              <w:autoSpaceDE w:val="0"/>
              <w:autoSpaceDN w:val="0"/>
              <w:adjustRightInd w:val="0"/>
              <w:jc w:val="center"/>
              <w:rPr>
                <w:rFonts w:ascii="Times New Roman" w:hAnsi="Times New Roman"/>
                <w:sz w:val="24"/>
              </w:rPr>
            </w:pPr>
            <w:r w:rsidRPr="00425BA5">
              <w:rPr>
                <w:rFonts w:ascii="Times New Roman" w:hAnsi="Times New Roman"/>
                <w:sz w:val="24"/>
              </w:rPr>
              <w:t>Labor Cost ($/hr)</w:t>
            </w:r>
          </w:p>
        </w:tc>
        <w:tc>
          <w:tcPr>
            <w:tcW w:w="1530" w:type="dxa"/>
            <w:vAlign w:val="center"/>
          </w:tcPr>
          <w:p w:rsidR="00E41022" w:rsidRPr="00425BA5" w:rsidP="00222AE5" w14:paraId="3281B350" w14:textId="7F8172E9">
            <w:pPr>
              <w:keepNext/>
              <w:autoSpaceDE w:val="0"/>
              <w:autoSpaceDN w:val="0"/>
              <w:adjustRightInd w:val="0"/>
              <w:jc w:val="center"/>
              <w:rPr>
                <w:rFonts w:ascii="Times New Roman" w:hAnsi="Times New Roman"/>
                <w:sz w:val="24"/>
              </w:rPr>
            </w:pPr>
            <w:r w:rsidRPr="00425BA5">
              <w:rPr>
                <w:rFonts w:ascii="Times New Roman" w:hAnsi="Times New Roman"/>
                <w:sz w:val="24"/>
              </w:rPr>
              <w:t>Total Cost ($)</w:t>
            </w:r>
          </w:p>
        </w:tc>
        <w:tc>
          <w:tcPr>
            <w:tcW w:w="1391" w:type="dxa"/>
            <w:vAlign w:val="center"/>
          </w:tcPr>
          <w:p w:rsidR="00E41022" w:rsidRPr="00425BA5" w:rsidP="00222AE5" w14:paraId="34C8CC72" w14:textId="538E210B">
            <w:pPr>
              <w:keepNext/>
              <w:autoSpaceDE w:val="0"/>
              <w:autoSpaceDN w:val="0"/>
              <w:adjustRightInd w:val="0"/>
              <w:jc w:val="center"/>
              <w:rPr>
                <w:rFonts w:ascii="Times New Roman" w:hAnsi="Times New Roman"/>
                <w:sz w:val="24"/>
              </w:rPr>
            </w:pPr>
            <w:r w:rsidRPr="00425BA5">
              <w:rPr>
                <w:rFonts w:ascii="Times New Roman" w:hAnsi="Times New Roman"/>
                <w:sz w:val="24"/>
              </w:rPr>
              <w:t>Average Cost per Contract ($)</w:t>
            </w:r>
          </w:p>
        </w:tc>
      </w:tr>
      <w:tr w14:paraId="7A13BBB2" w14:textId="77777777" w:rsidTr="00254605">
        <w:tblPrEx>
          <w:tblW w:w="9576" w:type="dxa"/>
          <w:jc w:val="center"/>
          <w:tblLayout w:type="fixed"/>
          <w:tblLook w:val="04A0"/>
        </w:tblPrEx>
        <w:trPr>
          <w:trHeight w:val="449"/>
          <w:jc w:val="center"/>
        </w:trPr>
        <w:tc>
          <w:tcPr>
            <w:tcW w:w="1705" w:type="dxa"/>
            <w:vAlign w:val="center"/>
          </w:tcPr>
          <w:p w:rsidR="0037187F" w:rsidRPr="00425BA5" w:rsidP="00222AE5" w14:paraId="47A0F1B8" w14:textId="0E969198">
            <w:pPr>
              <w:keepNext/>
              <w:autoSpaceDE w:val="0"/>
              <w:autoSpaceDN w:val="0"/>
              <w:adjustRightInd w:val="0"/>
              <w:jc w:val="center"/>
              <w:rPr>
                <w:rFonts w:ascii="Times New Roman" w:hAnsi="Times New Roman"/>
                <w:sz w:val="24"/>
              </w:rPr>
            </w:pPr>
            <w:r w:rsidRPr="00425BA5">
              <w:rPr>
                <w:rFonts w:ascii="Times New Roman" w:hAnsi="Times New Roman"/>
                <w:sz w:val="24"/>
              </w:rPr>
              <w:t>Recordkeeping</w:t>
            </w:r>
          </w:p>
        </w:tc>
        <w:tc>
          <w:tcPr>
            <w:tcW w:w="990" w:type="dxa"/>
            <w:vAlign w:val="center"/>
          </w:tcPr>
          <w:p w:rsidR="0037187F" w:rsidRPr="00425BA5" w:rsidP="00222AE5" w14:paraId="046609DF" w14:textId="77EE78C0">
            <w:pPr>
              <w:keepNext/>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601</w:t>
            </w:r>
          </w:p>
        </w:tc>
        <w:tc>
          <w:tcPr>
            <w:tcW w:w="1260" w:type="dxa"/>
            <w:vAlign w:val="center"/>
          </w:tcPr>
          <w:p w:rsidR="0037187F" w:rsidRPr="00425BA5" w:rsidP="00222AE5" w14:paraId="5995644F" w14:textId="77777777">
            <w:pPr>
              <w:keepNext/>
              <w:autoSpaceDE w:val="0"/>
              <w:autoSpaceDN w:val="0"/>
              <w:adjustRightInd w:val="0"/>
              <w:jc w:val="center"/>
              <w:rPr>
                <w:rFonts w:ascii="Times New Roman" w:hAnsi="Times New Roman"/>
                <w:sz w:val="24"/>
              </w:rPr>
            </w:pPr>
            <w:r w:rsidRPr="00425BA5">
              <w:rPr>
                <w:rFonts w:ascii="Times New Roman" w:hAnsi="Times New Roman"/>
                <w:sz w:val="24"/>
              </w:rPr>
              <w:t>0.045</w:t>
            </w:r>
          </w:p>
        </w:tc>
        <w:tc>
          <w:tcPr>
            <w:tcW w:w="1530" w:type="dxa"/>
            <w:vAlign w:val="center"/>
          </w:tcPr>
          <w:p w:rsidR="0037187F" w:rsidRPr="00425BA5" w:rsidP="00222AE5" w14:paraId="533622A9" w14:textId="415C2B97">
            <w:pPr>
              <w:keepNext/>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27</w:t>
            </w:r>
          </w:p>
        </w:tc>
        <w:tc>
          <w:tcPr>
            <w:tcW w:w="1170" w:type="dxa"/>
            <w:vAlign w:val="center"/>
          </w:tcPr>
          <w:p w:rsidR="0037187F" w:rsidRPr="005B185E" w:rsidP="00381DC8" w14:paraId="5EDC7FD0" w14:textId="0801229D">
            <w:pPr>
              <w:keepNext/>
              <w:kinsoku w:val="0"/>
              <w:overflowPunct w:val="0"/>
              <w:autoSpaceDE w:val="0"/>
              <w:autoSpaceDN w:val="0"/>
              <w:adjustRightInd w:val="0"/>
              <w:jc w:val="center"/>
              <w:rPr>
                <w:rFonts w:ascii="Times New Roman" w:hAnsi="Times New Roman"/>
                <w:sz w:val="24"/>
              </w:rPr>
            </w:pPr>
            <w:r w:rsidRPr="005B185E">
              <w:rPr>
                <w:rFonts w:ascii="Times New Roman" w:hAnsi="Times New Roman" w:cs="Times New Roman"/>
                <w:sz w:val="20"/>
                <w:szCs w:val="20"/>
              </w:rPr>
              <w:t>156.66</w:t>
            </w:r>
          </w:p>
        </w:tc>
        <w:tc>
          <w:tcPr>
            <w:tcW w:w="1530" w:type="dxa"/>
            <w:vAlign w:val="center"/>
          </w:tcPr>
          <w:p w:rsidR="0037187F" w:rsidRPr="00425BA5" w:rsidP="00222AE5" w14:paraId="4C204746" w14:textId="2E99A3F3">
            <w:pPr>
              <w:keepNext/>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4,2</w:t>
            </w:r>
            <w:r w:rsidR="006A0DEF">
              <w:rPr>
                <w:rFonts w:ascii="Times New Roman" w:hAnsi="Times New Roman" w:cs="Times New Roman"/>
                <w:sz w:val="24"/>
                <w:szCs w:val="24"/>
              </w:rPr>
              <w:t>30</w:t>
            </w:r>
          </w:p>
        </w:tc>
        <w:tc>
          <w:tcPr>
            <w:tcW w:w="1391" w:type="dxa"/>
            <w:vAlign w:val="center"/>
          </w:tcPr>
          <w:p w:rsidR="0037187F" w:rsidRPr="00425BA5" w:rsidP="00222AE5" w14:paraId="0D5B13D0" w14:textId="57335C9F">
            <w:pPr>
              <w:keepNext/>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7.0</w:t>
            </w:r>
            <w:r w:rsidR="006A0DEF">
              <w:rPr>
                <w:rFonts w:ascii="Times New Roman" w:hAnsi="Times New Roman" w:cs="Times New Roman"/>
                <w:sz w:val="24"/>
                <w:szCs w:val="24"/>
              </w:rPr>
              <w:t>4</w:t>
            </w:r>
          </w:p>
        </w:tc>
      </w:tr>
    </w:tbl>
    <w:p w:rsidR="00063A93" w:rsidP="00A55B66" w14:paraId="62149126" w14:textId="3A929020">
      <w:pPr>
        <w:pStyle w:val="Heading4"/>
        <w:spacing w:after="0" w:line="240" w:lineRule="auto"/>
      </w:pPr>
    </w:p>
    <w:p w:rsidR="00315E48" w:rsidP="00315E48" w14:paraId="23AFF2B2" w14:textId="61E7DECB">
      <w:r w:rsidRPr="008B26A7">
        <w:rPr>
          <w:rFonts w:ascii="Times New Roman" w:hAnsi="Times New Roman" w:cs="Times New Roman"/>
          <w:iCs/>
          <w:sz w:val="24"/>
          <w:szCs w:val="24"/>
        </w:rPr>
        <w:t>Summary of Annual Requirements/Burden Estimates</w:t>
      </w:r>
    </w:p>
    <w:p w:rsidR="00617352" w:rsidP="000452B6" w14:paraId="74C0626B" w14:textId="70E55339">
      <w:pPr>
        <w:keepNext/>
        <w:kinsoku w:val="0"/>
        <w:overflowPunct w:val="0"/>
        <w:autoSpaceDE w:val="0"/>
        <w:autoSpaceDN w:val="0"/>
        <w:adjustRightInd w:val="0"/>
        <w:spacing w:after="0" w:line="240" w:lineRule="auto"/>
        <w:jc w:val="center"/>
        <w:rPr>
          <w:rFonts w:ascii="Times New Roman" w:hAnsi="Times New Roman" w:cs="Times New Roman"/>
          <w:iCs/>
          <w:sz w:val="24"/>
          <w:szCs w:val="24"/>
        </w:rPr>
      </w:pPr>
      <w:r w:rsidRPr="000452B6">
        <w:rPr>
          <w:rFonts w:ascii="Times New Roman" w:hAnsi="Times New Roman" w:cs="Times New Roman"/>
          <w:iCs/>
          <w:sz w:val="24"/>
          <w:szCs w:val="24"/>
        </w:rPr>
        <w:t>TABLE 4</w:t>
      </w:r>
      <w:r w:rsidRPr="008B26A7" w:rsidR="008B26A7">
        <w:rPr>
          <w:rFonts w:ascii="Times New Roman" w:hAnsi="Times New Roman" w:cs="Times New Roman"/>
          <w:iCs/>
          <w:sz w:val="24"/>
          <w:szCs w:val="24"/>
        </w:rPr>
        <w:t>: Annual Requirements/Burden Estimates</w:t>
      </w:r>
    </w:p>
    <w:tbl>
      <w:tblPr>
        <w:tblStyle w:val="TableGrid"/>
        <w:tblW w:w="10661" w:type="dxa"/>
        <w:jc w:val="center"/>
        <w:shd w:val="pct20" w:color="auto" w:fill="auto"/>
        <w:tblLayout w:type="fixed"/>
        <w:tblLook w:val="04A0"/>
      </w:tblPr>
      <w:tblGrid>
        <w:gridCol w:w="1705"/>
        <w:gridCol w:w="1170"/>
        <w:gridCol w:w="1170"/>
        <w:gridCol w:w="1260"/>
        <w:gridCol w:w="1260"/>
        <w:gridCol w:w="1260"/>
        <w:gridCol w:w="1530"/>
        <w:gridCol w:w="1306"/>
      </w:tblGrid>
      <w:tr w14:paraId="0475A821" w14:textId="77777777" w:rsidTr="00A42478">
        <w:tblPrEx>
          <w:tblW w:w="10661" w:type="dxa"/>
          <w:jc w:val="center"/>
          <w:shd w:val="pct20" w:color="auto" w:fill="auto"/>
          <w:tblLayout w:type="fixed"/>
          <w:tblLook w:val="04A0"/>
        </w:tblPrEx>
        <w:trPr>
          <w:cantSplit/>
          <w:tblHeader/>
          <w:jc w:val="center"/>
        </w:trPr>
        <w:tc>
          <w:tcPr>
            <w:tcW w:w="1705" w:type="dxa"/>
            <w:shd w:val="clear" w:color="auto" w:fill="auto"/>
          </w:tcPr>
          <w:p w:rsidR="00F30756" w:rsidRPr="00425BA5" w:rsidP="00222AE5" w14:paraId="7D97BC58" w14:textId="2597D86A">
            <w:pPr>
              <w:keepNext/>
              <w:autoSpaceDE w:val="0"/>
              <w:autoSpaceDN w:val="0"/>
              <w:adjustRightInd w:val="0"/>
              <w:rPr>
                <w:rFonts w:ascii="Times New Roman" w:hAnsi="Times New Roman"/>
                <w:sz w:val="24"/>
              </w:rPr>
            </w:pPr>
            <w:r>
              <w:rPr>
                <w:rFonts w:ascii="Times New Roman" w:hAnsi="Times New Roman"/>
                <w:sz w:val="24"/>
              </w:rPr>
              <w:t>Requirement</w:t>
            </w:r>
          </w:p>
        </w:tc>
        <w:tc>
          <w:tcPr>
            <w:tcW w:w="1170" w:type="dxa"/>
          </w:tcPr>
          <w:p w:rsidR="00F30756" w:rsidRPr="00425BA5" w:rsidP="00222AE5" w14:paraId="37C98F09" w14:textId="6FAA01F1">
            <w:pPr>
              <w:keepNext/>
              <w:autoSpaceDE w:val="0"/>
              <w:autoSpaceDN w:val="0"/>
              <w:adjustRightInd w:val="0"/>
              <w:jc w:val="center"/>
              <w:rPr>
                <w:rFonts w:ascii="Times New Roman" w:hAnsi="Times New Roman"/>
                <w:sz w:val="24"/>
              </w:rPr>
            </w:pPr>
            <w:r>
              <w:rPr>
                <w:rFonts w:ascii="Times New Roman" w:hAnsi="Times New Roman"/>
                <w:sz w:val="24"/>
              </w:rPr>
              <w:t>Number of Respondents</w:t>
            </w:r>
          </w:p>
        </w:tc>
        <w:tc>
          <w:tcPr>
            <w:tcW w:w="1170" w:type="dxa"/>
            <w:shd w:val="clear" w:color="auto" w:fill="auto"/>
            <w:vAlign w:val="center"/>
          </w:tcPr>
          <w:p w:rsidR="00F30756" w:rsidRPr="00425BA5" w:rsidP="00222AE5" w14:paraId="41217A86" w14:textId="223D6455">
            <w:pPr>
              <w:keepNext/>
              <w:autoSpaceDE w:val="0"/>
              <w:autoSpaceDN w:val="0"/>
              <w:adjustRightInd w:val="0"/>
              <w:jc w:val="center"/>
              <w:rPr>
                <w:rFonts w:ascii="Times New Roman" w:hAnsi="Times New Roman"/>
                <w:sz w:val="24"/>
              </w:rPr>
            </w:pPr>
            <w:r w:rsidRPr="00425BA5">
              <w:rPr>
                <w:rFonts w:ascii="Times New Roman" w:hAnsi="Times New Roman"/>
                <w:sz w:val="24"/>
              </w:rPr>
              <w:t xml:space="preserve">Number of </w:t>
            </w:r>
            <w:r>
              <w:rPr>
                <w:rFonts w:ascii="Times New Roman" w:hAnsi="Times New Roman"/>
                <w:sz w:val="24"/>
              </w:rPr>
              <w:t>Responses</w:t>
            </w:r>
          </w:p>
        </w:tc>
        <w:tc>
          <w:tcPr>
            <w:tcW w:w="1260" w:type="dxa"/>
            <w:shd w:val="clear" w:color="auto" w:fill="auto"/>
            <w:vAlign w:val="center"/>
          </w:tcPr>
          <w:p w:rsidR="00F30756" w:rsidRPr="007354CA" w:rsidP="00222AE5" w14:paraId="6C82EEDB" w14:textId="584FE73E">
            <w:pPr>
              <w:keepNext/>
              <w:autoSpaceDE w:val="0"/>
              <w:autoSpaceDN w:val="0"/>
              <w:adjustRightInd w:val="0"/>
              <w:jc w:val="center"/>
              <w:rPr>
                <w:rFonts w:ascii="Times New Roman" w:hAnsi="Times New Roman"/>
                <w:sz w:val="24"/>
              </w:rPr>
            </w:pPr>
            <w:r w:rsidRPr="007354CA">
              <w:rPr>
                <w:rFonts w:ascii="Times New Roman" w:hAnsi="Times New Roman"/>
                <w:sz w:val="24"/>
              </w:rPr>
              <w:t xml:space="preserve">Average </w:t>
            </w:r>
            <w:r w:rsidRPr="007354CA" w:rsidR="007354CA">
              <w:rPr>
                <w:rFonts w:ascii="Times New Roman" w:hAnsi="Times New Roman"/>
                <w:sz w:val="24"/>
              </w:rPr>
              <w:t>Time</w:t>
            </w:r>
            <w:r w:rsidRPr="007354CA">
              <w:rPr>
                <w:rFonts w:ascii="Times New Roman" w:hAnsi="Times New Roman"/>
                <w:sz w:val="24"/>
              </w:rPr>
              <w:t xml:space="preserve"> per </w:t>
            </w:r>
            <w:r w:rsidRPr="007354CA" w:rsidR="007354CA">
              <w:rPr>
                <w:rFonts w:ascii="Times New Roman" w:hAnsi="Times New Roman"/>
                <w:sz w:val="24"/>
              </w:rPr>
              <w:t>Response</w:t>
            </w:r>
          </w:p>
          <w:p w:rsidR="007354CA" w:rsidRPr="007354CA" w:rsidP="00222AE5" w14:paraId="3C663894" w14:textId="7BD19093">
            <w:pPr>
              <w:keepNext/>
              <w:autoSpaceDE w:val="0"/>
              <w:autoSpaceDN w:val="0"/>
              <w:adjustRightInd w:val="0"/>
              <w:jc w:val="center"/>
              <w:rPr>
                <w:rFonts w:ascii="Times New Roman" w:hAnsi="Times New Roman"/>
                <w:sz w:val="24"/>
              </w:rPr>
            </w:pPr>
            <w:r w:rsidRPr="007354CA">
              <w:rPr>
                <w:rFonts w:ascii="Times New Roman" w:hAnsi="Times New Roman"/>
                <w:sz w:val="24"/>
              </w:rPr>
              <w:t>(hours)</w:t>
            </w:r>
          </w:p>
        </w:tc>
        <w:tc>
          <w:tcPr>
            <w:tcW w:w="1260" w:type="dxa"/>
            <w:shd w:val="clear" w:color="auto" w:fill="auto"/>
            <w:vAlign w:val="center"/>
          </w:tcPr>
          <w:p w:rsidR="00F30756" w:rsidP="00222AE5" w14:paraId="6A238C2A" w14:textId="69B6A997">
            <w:pPr>
              <w:keepNext/>
              <w:autoSpaceDE w:val="0"/>
              <w:autoSpaceDN w:val="0"/>
              <w:adjustRightInd w:val="0"/>
              <w:jc w:val="center"/>
              <w:rPr>
                <w:rFonts w:ascii="Times New Roman" w:hAnsi="Times New Roman"/>
                <w:sz w:val="24"/>
              </w:rPr>
            </w:pPr>
            <w:r w:rsidRPr="00425BA5">
              <w:rPr>
                <w:rFonts w:ascii="Times New Roman" w:hAnsi="Times New Roman"/>
                <w:sz w:val="24"/>
              </w:rPr>
              <w:t xml:space="preserve">Total </w:t>
            </w:r>
            <w:r w:rsidR="007354CA">
              <w:rPr>
                <w:rFonts w:ascii="Times New Roman" w:hAnsi="Times New Roman"/>
                <w:sz w:val="24"/>
              </w:rPr>
              <w:t>Time</w:t>
            </w:r>
          </w:p>
          <w:p w:rsidR="007354CA" w:rsidRPr="00425BA5" w:rsidP="00222AE5" w14:paraId="38954DB3" w14:textId="447040AC">
            <w:pPr>
              <w:keepNext/>
              <w:autoSpaceDE w:val="0"/>
              <w:autoSpaceDN w:val="0"/>
              <w:adjustRightInd w:val="0"/>
              <w:jc w:val="center"/>
              <w:rPr>
                <w:rFonts w:ascii="Times New Roman" w:hAnsi="Times New Roman"/>
                <w:sz w:val="24"/>
              </w:rPr>
            </w:pPr>
            <w:r>
              <w:rPr>
                <w:rFonts w:ascii="Times New Roman" w:hAnsi="Times New Roman"/>
                <w:sz w:val="24"/>
              </w:rPr>
              <w:t>(hours)</w:t>
            </w:r>
          </w:p>
        </w:tc>
        <w:tc>
          <w:tcPr>
            <w:tcW w:w="1260" w:type="dxa"/>
            <w:shd w:val="clear" w:color="auto" w:fill="auto"/>
            <w:vAlign w:val="center"/>
          </w:tcPr>
          <w:p w:rsidR="00F30756" w:rsidRPr="007354CA" w:rsidP="00222AE5" w14:paraId="52D28DE3" w14:textId="2E3A46F8">
            <w:pPr>
              <w:keepNext/>
              <w:autoSpaceDE w:val="0"/>
              <w:autoSpaceDN w:val="0"/>
              <w:adjustRightInd w:val="0"/>
              <w:jc w:val="center"/>
              <w:rPr>
                <w:rFonts w:ascii="Times New Roman" w:hAnsi="Times New Roman"/>
                <w:sz w:val="24"/>
              </w:rPr>
            </w:pPr>
            <w:r w:rsidRPr="007354CA">
              <w:rPr>
                <w:rFonts w:ascii="Times New Roman" w:hAnsi="Times New Roman"/>
                <w:sz w:val="24"/>
              </w:rPr>
              <w:t>Labor Cost ($/hr)</w:t>
            </w:r>
          </w:p>
        </w:tc>
        <w:tc>
          <w:tcPr>
            <w:tcW w:w="1530" w:type="dxa"/>
            <w:shd w:val="clear" w:color="auto" w:fill="auto"/>
            <w:vAlign w:val="center"/>
          </w:tcPr>
          <w:p w:rsidR="00F30756" w:rsidRPr="00425BA5" w:rsidP="00222AE5" w14:paraId="729A30B4" w14:textId="77777777">
            <w:pPr>
              <w:keepNext/>
              <w:autoSpaceDE w:val="0"/>
              <w:autoSpaceDN w:val="0"/>
              <w:adjustRightInd w:val="0"/>
              <w:jc w:val="center"/>
              <w:rPr>
                <w:rFonts w:ascii="Times New Roman" w:hAnsi="Times New Roman"/>
                <w:sz w:val="24"/>
              </w:rPr>
            </w:pPr>
            <w:r w:rsidRPr="00425BA5">
              <w:rPr>
                <w:rFonts w:ascii="Times New Roman" w:hAnsi="Times New Roman"/>
                <w:sz w:val="24"/>
              </w:rPr>
              <w:t>Estimated Total Cost ($)</w:t>
            </w:r>
          </w:p>
        </w:tc>
        <w:tc>
          <w:tcPr>
            <w:tcW w:w="1306" w:type="dxa"/>
            <w:shd w:val="clear" w:color="auto" w:fill="auto"/>
            <w:vAlign w:val="center"/>
          </w:tcPr>
          <w:p w:rsidR="00F30756" w:rsidRPr="00425BA5" w:rsidP="00222AE5" w14:paraId="204B512B" w14:textId="77777777">
            <w:pPr>
              <w:keepNext/>
              <w:autoSpaceDE w:val="0"/>
              <w:autoSpaceDN w:val="0"/>
              <w:adjustRightInd w:val="0"/>
              <w:jc w:val="center"/>
              <w:rPr>
                <w:rFonts w:ascii="Times New Roman" w:hAnsi="Times New Roman"/>
                <w:sz w:val="24"/>
              </w:rPr>
            </w:pPr>
            <w:r w:rsidRPr="00425BA5">
              <w:rPr>
                <w:rFonts w:ascii="Times New Roman" w:hAnsi="Times New Roman"/>
                <w:sz w:val="24"/>
              </w:rPr>
              <w:t>Estimated Average Cost per Contract ($)</w:t>
            </w:r>
          </w:p>
        </w:tc>
      </w:tr>
      <w:tr w14:paraId="3BA1A6B6" w14:textId="77777777" w:rsidTr="00A42478">
        <w:tblPrEx>
          <w:tblW w:w="10661" w:type="dxa"/>
          <w:jc w:val="center"/>
          <w:shd w:val="pct20" w:color="auto" w:fill="auto"/>
          <w:tblLayout w:type="fixed"/>
          <w:tblLook w:val="04A0"/>
        </w:tblPrEx>
        <w:trPr>
          <w:trHeight w:val="240"/>
          <w:jc w:val="center"/>
        </w:trPr>
        <w:tc>
          <w:tcPr>
            <w:tcW w:w="1705" w:type="dxa"/>
            <w:shd w:val="clear" w:color="auto" w:fill="auto"/>
            <w:vAlign w:val="center"/>
          </w:tcPr>
          <w:p w:rsidR="004C4557" w:rsidRPr="00425BA5" w:rsidP="004C4557" w14:paraId="30BFB4BC" w14:textId="0AE1D5C7">
            <w:pPr>
              <w:keepNext/>
              <w:autoSpaceDE w:val="0"/>
              <w:autoSpaceDN w:val="0"/>
              <w:adjustRightInd w:val="0"/>
              <w:jc w:val="center"/>
              <w:rPr>
                <w:rFonts w:ascii="Times New Roman" w:hAnsi="Times New Roman"/>
                <w:sz w:val="24"/>
              </w:rPr>
            </w:pPr>
            <w:r w:rsidRPr="00425BA5">
              <w:rPr>
                <w:rFonts w:ascii="Times New Roman" w:hAnsi="Times New Roman"/>
                <w:sz w:val="24"/>
              </w:rPr>
              <w:t>Annual Data Submission</w:t>
            </w:r>
          </w:p>
        </w:tc>
        <w:tc>
          <w:tcPr>
            <w:tcW w:w="1170" w:type="dxa"/>
          </w:tcPr>
          <w:p w:rsidR="004C4557" w:rsidRPr="004B62EB" w:rsidP="004C4557" w14:paraId="571E77AA" w14:textId="2D17C90D">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601</w:t>
            </w:r>
          </w:p>
        </w:tc>
        <w:tc>
          <w:tcPr>
            <w:tcW w:w="1170" w:type="dxa"/>
            <w:shd w:val="clear" w:color="auto" w:fill="auto"/>
            <w:vAlign w:val="center"/>
          </w:tcPr>
          <w:p w:rsidR="004C4557" w:rsidRPr="00425BA5" w:rsidP="004C4557" w14:paraId="4585535C" w14:textId="6C7707B5">
            <w:pPr>
              <w:keepNext/>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601</w:t>
            </w:r>
            <w:r>
              <w:rPr>
                <w:rFonts w:ascii="Times New Roman" w:hAnsi="Times New Roman" w:cs="Times New Roman"/>
                <w:sz w:val="24"/>
                <w:szCs w:val="24"/>
              </w:rPr>
              <w:t xml:space="preserve"> (c</w:t>
            </w:r>
            <w:r w:rsidRPr="00425BA5">
              <w:rPr>
                <w:rFonts w:ascii="Times New Roman" w:hAnsi="Times New Roman"/>
                <w:sz w:val="24"/>
              </w:rPr>
              <w:t>ontracts</w:t>
            </w:r>
            <w:r>
              <w:rPr>
                <w:rFonts w:ascii="Times New Roman" w:hAnsi="Times New Roman"/>
                <w:sz w:val="24"/>
              </w:rPr>
              <w:t>)</w:t>
            </w:r>
          </w:p>
        </w:tc>
        <w:tc>
          <w:tcPr>
            <w:tcW w:w="1260" w:type="dxa"/>
            <w:shd w:val="clear" w:color="auto" w:fill="auto"/>
            <w:vAlign w:val="center"/>
          </w:tcPr>
          <w:p w:rsidR="004C4557" w:rsidRPr="007354CA" w:rsidP="004C4557" w14:paraId="26DBB9B4" w14:textId="3BB47861">
            <w:pPr>
              <w:keepNext/>
              <w:autoSpaceDE w:val="0"/>
              <w:autoSpaceDN w:val="0"/>
              <w:adjustRightInd w:val="0"/>
              <w:jc w:val="center"/>
              <w:rPr>
                <w:rFonts w:ascii="Times New Roman" w:hAnsi="Times New Roman"/>
                <w:sz w:val="24"/>
              </w:rPr>
            </w:pPr>
            <w:r w:rsidRPr="007354CA">
              <w:rPr>
                <w:rFonts w:ascii="Times New Roman" w:hAnsi="Times New Roman" w:cs="Times New Roman"/>
                <w:sz w:val="24"/>
                <w:szCs w:val="24"/>
              </w:rPr>
              <w:t>61.1</w:t>
            </w:r>
          </w:p>
        </w:tc>
        <w:tc>
          <w:tcPr>
            <w:tcW w:w="1260" w:type="dxa"/>
            <w:shd w:val="clear" w:color="auto" w:fill="auto"/>
            <w:vAlign w:val="center"/>
          </w:tcPr>
          <w:p w:rsidR="004C4557" w:rsidRPr="00425BA5" w:rsidP="004C4557" w14:paraId="566FFA97" w14:textId="1F9504B6">
            <w:pPr>
              <w:keepNext/>
              <w:autoSpaceDE w:val="0"/>
              <w:autoSpaceDN w:val="0"/>
              <w:adjustRightInd w:val="0"/>
              <w:jc w:val="center"/>
              <w:rPr>
                <w:rFonts w:ascii="Times New Roman" w:hAnsi="Times New Roman"/>
                <w:sz w:val="24"/>
              </w:rPr>
            </w:pPr>
            <w:r w:rsidRPr="004B62EB">
              <w:rPr>
                <w:rFonts w:ascii="Times New Roman" w:eastAsia="Arial" w:hAnsi="Times New Roman" w:cs="Times New Roman"/>
                <w:sz w:val="24"/>
                <w:szCs w:val="24"/>
              </w:rPr>
              <w:t>36,721</w:t>
            </w:r>
          </w:p>
        </w:tc>
        <w:tc>
          <w:tcPr>
            <w:tcW w:w="1260" w:type="dxa"/>
            <w:shd w:val="clear" w:color="auto" w:fill="auto"/>
            <w:vAlign w:val="center"/>
          </w:tcPr>
          <w:p w:rsidR="004C4557" w:rsidRPr="007354CA" w:rsidP="00A42478" w14:paraId="20ED68A5" w14:textId="32E28173">
            <w:pPr>
              <w:keepNext/>
              <w:kinsoku w:val="0"/>
              <w:overflowPunct w:val="0"/>
              <w:autoSpaceDE w:val="0"/>
              <w:autoSpaceDN w:val="0"/>
              <w:adjustRightInd w:val="0"/>
              <w:jc w:val="center"/>
              <w:rPr>
                <w:rFonts w:ascii="Times New Roman" w:hAnsi="Times New Roman"/>
                <w:sz w:val="24"/>
              </w:rPr>
            </w:pPr>
            <w:r w:rsidRPr="007354CA">
              <w:rPr>
                <w:rFonts w:ascii="Times New Roman" w:hAnsi="Times New Roman" w:cs="Times New Roman"/>
                <w:sz w:val="20"/>
                <w:szCs w:val="20"/>
              </w:rPr>
              <w:t>156.66</w:t>
            </w:r>
          </w:p>
        </w:tc>
        <w:tc>
          <w:tcPr>
            <w:tcW w:w="1530" w:type="dxa"/>
            <w:shd w:val="clear" w:color="auto" w:fill="auto"/>
            <w:vAlign w:val="center"/>
          </w:tcPr>
          <w:p w:rsidR="004C4557" w:rsidRPr="00425BA5" w:rsidP="004C4557" w14:paraId="4ED44A19" w14:textId="368CEF9F">
            <w:pPr>
              <w:keepNext/>
              <w:autoSpaceDE w:val="0"/>
              <w:autoSpaceDN w:val="0"/>
              <w:adjustRightInd w:val="0"/>
              <w:jc w:val="center"/>
              <w:rPr>
                <w:rFonts w:ascii="Times New Roman" w:hAnsi="Times New Roman"/>
                <w:sz w:val="24"/>
              </w:rPr>
            </w:pPr>
            <w:r w:rsidRPr="003D756F">
              <w:rPr>
                <w:rFonts w:ascii="Times New Roman" w:eastAsia="Arial" w:hAnsi="Times New Roman" w:cs="Times New Roman"/>
                <w:sz w:val="24"/>
                <w:szCs w:val="24"/>
              </w:rPr>
              <w:t>5,752,712</w:t>
            </w:r>
          </w:p>
        </w:tc>
        <w:tc>
          <w:tcPr>
            <w:tcW w:w="1306" w:type="dxa"/>
            <w:shd w:val="clear" w:color="auto" w:fill="auto"/>
            <w:vAlign w:val="center"/>
          </w:tcPr>
          <w:p w:rsidR="004C4557" w:rsidRPr="00425BA5" w:rsidP="004C4557" w14:paraId="412B77D9" w14:textId="57D16E3E">
            <w:pPr>
              <w:keepNext/>
              <w:autoSpaceDE w:val="0"/>
              <w:autoSpaceDN w:val="0"/>
              <w:adjustRightInd w:val="0"/>
              <w:jc w:val="center"/>
              <w:rPr>
                <w:rFonts w:ascii="Times New Roman" w:hAnsi="Times New Roman"/>
                <w:sz w:val="24"/>
              </w:rPr>
            </w:pPr>
            <w:r w:rsidRPr="003D756F">
              <w:rPr>
                <w:rFonts w:ascii="Times New Roman" w:hAnsi="Times New Roman"/>
                <w:sz w:val="24"/>
              </w:rPr>
              <w:t>94,153</w:t>
            </w:r>
          </w:p>
        </w:tc>
      </w:tr>
      <w:tr w14:paraId="758EF34E" w14:textId="77777777" w:rsidTr="00A42478">
        <w:tblPrEx>
          <w:tblW w:w="10661" w:type="dxa"/>
          <w:jc w:val="center"/>
          <w:shd w:val="pct20" w:color="auto" w:fill="auto"/>
          <w:tblLayout w:type="fixed"/>
          <w:tblLook w:val="04A0"/>
        </w:tblPrEx>
        <w:trPr>
          <w:trHeight w:val="485"/>
          <w:jc w:val="center"/>
        </w:trPr>
        <w:tc>
          <w:tcPr>
            <w:tcW w:w="1705" w:type="dxa"/>
            <w:shd w:val="clear" w:color="auto" w:fill="auto"/>
            <w:vAlign w:val="center"/>
          </w:tcPr>
          <w:p w:rsidR="004C4557" w:rsidRPr="00425BA5" w:rsidP="004C4557" w14:paraId="5A64DB13" w14:textId="75636028">
            <w:pPr>
              <w:keepNext/>
              <w:autoSpaceDE w:val="0"/>
              <w:autoSpaceDN w:val="0"/>
              <w:adjustRightInd w:val="0"/>
              <w:jc w:val="center"/>
              <w:rPr>
                <w:rFonts w:ascii="Times New Roman" w:hAnsi="Times New Roman"/>
                <w:sz w:val="24"/>
              </w:rPr>
            </w:pPr>
            <w:r w:rsidRPr="00425BA5">
              <w:rPr>
                <w:rFonts w:ascii="Times New Roman" w:hAnsi="Times New Roman"/>
                <w:sz w:val="24"/>
              </w:rPr>
              <w:t>Recordkeeping Requirements</w:t>
            </w:r>
          </w:p>
        </w:tc>
        <w:tc>
          <w:tcPr>
            <w:tcW w:w="1170" w:type="dxa"/>
          </w:tcPr>
          <w:p w:rsidR="004C4557" w:rsidRPr="004B62EB" w:rsidP="004C4557" w14:paraId="5522C106" w14:textId="75AF0C6F">
            <w:pPr>
              <w:keepNext/>
              <w:autoSpaceDE w:val="0"/>
              <w:autoSpaceDN w:val="0"/>
              <w:adjustRightInd w:val="0"/>
              <w:jc w:val="center"/>
              <w:rPr>
                <w:rFonts w:ascii="Times New Roman" w:hAnsi="Times New Roman" w:cs="Times New Roman"/>
                <w:sz w:val="24"/>
                <w:szCs w:val="24"/>
              </w:rPr>
            </w:pPr>
            <w:r>
              <w:rPr>
                <w:rFonts w:ascii="Times New Roman" w:hAnsi="Times New Roman" w:cs="Times New Roman"/>
                <w:sz w:val="24"/>
                <w:szCs w:val="24"/>
              </w:rPr>
              <w:t>601</w:t>
            </w:r>
          </w:p>
        </w:tc>
        <w:tc>
          <w:tcPr>
            <w:tcW w:w="1170" w:type="dxa"/>
            <w:shd w:val="clear" w:color="auto" w:fill="auto"/>
            <w:vAlign w:val="center"/>
          </w:tcPr>
          <w:p w:rsidR="004C4557" w:rsidRPr="00425BA5" w:rsidP="004C4557" w14:paraId="6A35609C" w14:textId="2D48B4D2">
            <w:pPr>
              <w:keepNext/>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601</w:t>
            </w:r>
            <w:r>
              <w:rPr>
                <w:rFonts w:ascii="Times New Roman" w:hAnsi="Times New Roman" w:cs="Times New Roman"/>
                <w:sz w:val="24"/>
                <w:szCs w:val="24"/>
              </w:rPr>
              <w:t xml:space="preserve"> (c</w:t>
            </w:r>
            <w:r w:rsidRPr="00425BA5">
              <w:rPr>
                <w:rFonts w:ascii="Times New Roman" w:hAnsi="Times New Roman"/>
                <w:sz w:val="24"/>
              </w:rPr>
              <w:t>ontracts</w:t>
            </w:r>
            <w:r>
              <w:rPr>
                <w:rFonts w:ascii="Times New Roman" w:hAnsi="Times New Roman"/>
                <w:sz w:val="24"/>
              </w:rPr>
              <w:t>)</w:t>
            </w:r>
          </w:p>
        </w:tc>
        <w:tc>
          <w:tcPr>
            <w:tcW w:w="1260" w:type="dxa"/>
            <w:shd w:val="clear" w:color="auto" w:fill="auto"/>
            <w:vAlign w:val="center"/>
          </w:tcPr>
          <w:p w:rsidR="004C4557" w:rsidRPr="007354CA" w:rsidP="004C4557" w14:paraId="1CC8326A" w14:textId="0254D3C5">
            <w:pPr>
              <w:keepNext/>
              <w:autoSpaceDE w:val="0"/>
              <w:autoSpaceDN w:val="0"/>
              <w:adjustRightInd w:val="0"/>
              <w:jc w:val="center"/>
              <w:rPr>
                <w:rFonts w:ascii="Times New Roman" w:hAnsi="Times New Roman"/>
                <w:sz w:val="24"/>
              </w:rPr>
            </w:pPr>
            <w:r w:rsidRPr="007354CA">
              <w:rPr>
                <w:rFonts w:ascii="Times New Roman" w:hAnsi="Times New Roman"/>
                <w:sz w:val="24"/>
              </w:rPr>
              <w:t>0.045</w:t>
            </w:r>
          </w:p>
        </w:tc>
        <w:tc>
          <w:tcPr>
            <w:tcW w:w="1260" w:type="dxa"/>
            <w:shd w:val="clear" w:color="auto" w:fill="auto"/>
            <w:vAlign w:val="center"/>
          </w:tcPr>
          <w:p w:rsidR="004C4557" w:rsidRPr="00425BA5" w:rsidP="004C4557" w14:paraId="4742DC02" w14:textId="187F254E">
            <w:pPr>
              <w:keepNext/>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27</w:t>
            </w:r>
          </w:p>
        </w:tc>
        <w:tc>
          <w:tcPr>
            <w:tcW w:w="1260" w:type="dxa"/>
            <w:shd w:val="clear" w:color="auto" w:fill="auto"/>
            <w:vAlign w:val="center"/>
          </w:tcPr>
          <w:p w:rsidR="004C4557" w:rsidRPr="007354CA" w:rsidP="00A42478" w14:paraId="6AFF07D9" w14:textId="60C6E093">
            <w:pPr>
              <w:keepNext/>
              <w:kinsoku w:val="0"/>
              <w:overflowPunct w:val="0"/>
              <w:autoSpaceDE w:val="0"/>
              <w:autoSpaceDN w:val="0"/>
              <w:adjustRightInd w:val="0"/>
              <w:jc w:val="center"/>
              <w:rPr>
                <w:rFonts w:ascii="Times New Roman" w:hAnsi="Times New Roman"/>
                <w:sz w:val="24"/>
              </w:rPr>
            </w:pPr>
            <w:r w:rsidRPr="007354CA">
              <w:rPr>
                <w:rFonts w:ascii="Times New Roman" w:hAnsi="Times New Roman" w:cs="Times New Roman"/>
                <w:sz w:val="20"/>
                <w:szCs w:val="20"/>
              </w:rPr>
              <w:t>156.66</w:t>
            </w:r>
          </w:p>
        </w:tc>
        <w:tc>
          <w:tcPr>
            <w:tcW w:w="1530" w:type="dxa"/>
            <w:shd w:val="clear" w:color="auto" w:fill="auto"/>
            <w:vAlign w:val="center"/>
          </w:tcPr>
          <w:p w:rsidR="004C4557" w:rsidRPr="00425BA5" w:rsidP="004C4557" w14:paraId="54DD08D7" w14:textId="48A24CEE">
            <w:pPr>
              <w:keepNext/>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4,2</w:t>
            </w:r>
            <w:r>
              <w:rPr>
                <w:rFonts w:ascii="Times New Roman" w:hAnsi="Times New Roman" w:cs="Times New Roman"/>
                <w:sz w:val="24"/>
                <w:szCs w:val="24"/>
              </w:rPr>
              <w:t>30</w:t>
            </w:r>
          </w:p>
        </w:tc>
        <w:tc>
          <w:tcPr>
            <w:tcW w:w="1306" w:type="dxa"/>
            <w:shd w:val="clear" w:color="auto" w:fill="auto"/>
            <w:vAlign w:val="center"/>
          </w:tcPr>
          <w:p w:rsidR="004C4557" w:rsidRPr="00425BA5" w:rsidP="004C4557" w14:paraId="3EA9076F" w14:textId="156E2506">
            <w:pPr>
              <w:keepNext/>
              <w:autoSpaceDE w:val="0"/>
              <w:autoSpaceDN w:val="0"/>
              <w:adjustRightInd w:val="0"/>
              <w:jc w:val="center"/>
              <w:rPr>
                <w:rFonts w:ascii="Times New Roman" w:hAnsi="Times New Roman"/>
                <w:sz w:val="24"/>
              </w:rPr>
            </w:pPr>
            <w:r w:rsidRPr="004B62EB">
              <w:rPr>
                <w:rFonts w:ascii="Times New Roman" w:hAnsi="Times New Roman" w:cs="Times New Roman"/>
                <w:sz w:val="24"/>
                <w:szCs w:val="24"/>
              </w:rPr>
              <w:t>7.0</w:t>
            </w:r>
            <w:r>
              <w:rPr>
                <w:rFonts w:ascii="Times New Roman" w:hAnsi="Times New Roman" w:cs="Times New Roman"/>
                <w:sz w:val="24"/>
                <w:szCs w:val="24"/>
              </w:rPr>
              <w:t>4</w:t>
            </w:r>
          </w:p>
        </w:tc>
      </w:tr>
      <w:tr w14:paraId="402C666F" w14:textId="77777777" w:rsidTr="00F30756">
        <w:tblPrEx>
          <w:tblW w:w="10661" w:type="dxa"/>
          <w:jc w:val="center"/>
          <w:shd w:val="pct20" w:color="auto" w:fill="auto"/>
          <w:tblLayout w:type="fixed"/>
          <w:tblLook w:val="04A0"/>
        </w:tblPrEx>
        <w:trPr>
          <w:trHeight w:val="485"/>
          <w:jc w:val="center"/>
        </w:trPr>
        <w:tc>
          <w:tcPr>
            <w:tcW w:w="1705" w:type="dxa"/>
            <w:shd w:val="clear" w:color="auto" w:fill="F2F2F2" w:themeFill="background1" w:themeFillShade="F2"/>
            <w:vAlign w:val="center"/>
          </w:tcPr>
          <w:p w:rsidR="004C4557" w:rsidRPr="009A1227" w:rsidP="004C4557" w14:paraId="618E9591" w14:textId="67D85003">
            <w:pPr>
              <w:keepNext/>
              <w:autoSpaceDE w:val="0"/>
              <w:autoSpaceDN w:val="0"/>
              <w:adjustRightInd w:val="0"/>
              <w:jc w:val="center"/>
              <w:rPr>
                <w:rFonts w:ascii="Times New Roman" w:hAnsi="Times New Roman"/>
                <w:sz w:val="24"/>
              </w:rPr>
            </w:pPr>
            <w:r w:rsidRPr="009A1227">
              <w:rPr>
                <w:rFonts w:ascii="Times New Roman" w:hAnsi="Times New Roman"/>
                <w:sz w:val="24"/>
              </w:rPr>
              <w:t>TOTAL</w:t>
            </w:r>
          </w:p>
        </w:tc>
        <w:tc>
          <w:tcPr>
            <w:tcW w:w="1170" w:type="dxa"/>
            <w:shd w:val="clear" w:color="auto" w:fill="F2F2F2" w:themeFill="background1" w:themeFillShade="F2"/>
          </w:tcPr>
          <w:p w:rsidR="004C4557" w:rsidRPr="009A1227" w:rsidP="009A1227" w14:paraId="77F70A22" w14:textId="0FA89B69">
            <w:pPr>
              <w:keepNext/>
              <w:autoSpaceDE w:val="0"/>
              <w:autoSpaceDN w:val="0"/>
              <w:adjustRightInd w:val="0"/>
              <w:spacing w:before="120"/>
              <w:jc w:val="center"/>
              <w:rPr>
                <w:rFonts w:ascii="Times New Roman" w:hAnsi="Times New Roman" w:cs="Times New Roman"/>
                <w:sz w:val="24"/>
                <w:szCs w:val="24"/>
              </w:rPr>
            </w:pPr>
            <w:r w:rsidRPr="009A1227">
              <w:rPr>
                <w:rFonts w:ascii="Times New Roman" w:hAnsi="Times New Roman" w:cs="Times New Roman"/>
                <w:sz w:val="24"/>
                <w:szCs w:val="24"/>
              </w:rPr>
              <w:t>601</w:t>
            </w:r>
          </w:p>
        </w:tc>
        <w:tc>
          <w:tcPr>
            <w:tcW w:w="1170" w:type="dxa"/>
            <w:shd w:val="clear" w:color="auto" w:fill="F2F2F2" w:themeFill="background1" w:themeFillShade="F2"/>
            <w:vAlign w:val="center"/>
          </w:tcPr>
          <w:p w:rsidR="004C4557" w:rsidRPr="009A1227" w:rsidP="004C4557" w14:paraId="360CC720" w14:textId="50D5B28B">
            <w:pPr>
              <w:keepNext/>
              <w:autoSpaceDE w:val="0"/>
              <w:autoSpaceDN w:val="0"/>
              <w:adjustRightInd w:val="0"/>
              <w:jc w:val="center"/>
              <w:rPr>
                <w:rFonts w:ascii="Times New Roman" w:hAnsi="Times New Roman"/>
                <w:sz w:val="24"/>
              </w:rPr>
            </w:pPr>
            <w:r w:rsidRPr="009A1227">
              <w:rPr>
                <w:rFonts w:ascii="Times New Roman" w:hAnsi="Times New Roman"/>
                <w:sz w:val="24"/>
              </w:rPr>
              <w:t>601</w:t>
            </w:r>
          </w:p>
        </w:tc>
        <w:tc>
          <w:tcPr>
            <w:tcW w:w="1260" w:type="dxa"/>
            <w:shd w:val="clear" w:color="auto" w:fill="F2F2F2" w:themeFill="background1" w:themeFillShade="F2"/>
            <w:vAlign w:val="center"/>
          </w:tcPr>
          <w:p w:rsidR="004C4557" w:rsidRPr="009A1227" w:rsidP="004C4557" w14:paraId="233FDC3C" w14:textId="08BBEFFB">
            <w:pPr>
              <w:keepNext/>
              <w:autoSpaceDE w:val="0"/>
              <w:autoSpaceDN w:val="0"/>
              <w:adjustRightInd w:val="0"/>
              <w:jc w:val="center"/>
              <w:rPr>
                <w:rFonts w:ascii="Times New Roman" w:hAnsi="Times New Roman"/>
                <w:sz w:val="24"/>
              </w:rPr>
            </w:pPr>
            <w:r w:rsidRPr="009A1227">
              <w:rPr>
                <w:rFonts w:ascii="Times New Roman" w:hAnsi="Times New Roman" w:cs="Times New Roman"/>
                <w:sz w:val="24"/>
                <w:szCs w:val="24"/>
              </w:rPr>
              <w:t>61.145</w:t>
            </w:r>
          </w:p>
        </w:tc>
        <w:tc>
          <w:tcPr>
            <w:tcW w:w="1260" w:type="dxa"/>
            <w:shd w:val="clear" w:color="auto" w:fill="F2F2F2" w:themeFill="background1" w:themeFillShade="F2"/>
            <w:vAlign w:val="center"/>
          </w:tcPr>
          <w:p w:rsidR="004C4557" w:rsidRPr="009A1227" w:rsidP="004C4557" w14:paraId="63F0B9D2" w14:textId="3D8F137F">
            <w:pPr>
              <w:keepNext/>
              <w:autoSpaceDE w:val="0"/>
              <w:autoSpaceDN w:val="0"/>
              <w:adjustRightInd w:val="0"/>
              <w:jc w:val="center"/>
              <w:rPr>
                <w:rFonts w:ascii="Times New Roman" w:hAnsi="Times New Roman"/>
                <w:sz w:val="24"/>
              </w:rPr>
            </w:pPr>
            <w:r w:rsidRPr="009A1227">
              <w:rPr>
                <w:rFonts w:ascii="Times New Roman" w:eastAsia="Arial" w:hAnsi="Times New Roman" w:cs="Times New Roman"/>
                <w:sz w:val="24"/>
                <w:szCs w:val="24"/>
              </w:rPr>
              <w:t>36,748</w:t>
            </w:r>
          </w:p>
        </w:tc>
        <w:tc>
          <w:tcPr>
            <w:tcW w:w="1260" w:type="dxa"/>
            <w:shd w:val="clear" w:color="auto" w:fill="F2F2F2" w:themeFill="background1" w:themeFillShade="F2"/>
            <w:vAlign w:val="center"/>
          </w:tcPr>
          <w:p w:rsidR="004C4557" w:rsidRPr="009A1227" w:rsidP="00A42478" w14:paraId="251586D5" w14:textId="34EBD172">
            <w:pPr>
              <w:keepNext/>
              <w:kinsoku w:val="0"/>
              <w:overflowPunct w:val="0"/>
              <w:autoSpaceDE w:val="0"/>
              <w:autoSpaceDN w:val="0"/>
              <w:adjustRightInd w:val="0"/>
              <w:jc w:val="center"/>
              <w:rPr>
                <w:rFonts w:ascii="Times New Roman" w:hAnsi="Times New Roman"/>
                <w:sz w:val="24"/>
              </w:rPr>
            </w:pPr>
            <w:r w:rsidRPr="009A1227">
              <w:rPr>
                <w:rFonts w:ascii="Times New Roman" w:hAnsi="Times New Roman" w:cs="Times New Roman"/>
                <w:sz w:val="20"/>
                <w:szCs w:val="20"/>
              </w:rPr>
              <w:t>156.66</w:t>
            </w:r>
          </w:p>
        </w:tc>
        <w:tc>
          <w:tcPr>
            <w:tcW w:w="1530" w:type="dxa"/>
            <w:shd w:val="clear" w:color="auto" w:fill="F2F2F2" w:themeFill="background1" w:themeFillShade="F2"/>
            <w:vAlign w:val="center"/>
          </w:tcPr>
          <w:p w:rsidR="004C4557" w:rsidRPr="009A1227" w:rsidP="004C4557" w14:paraId="45E24F2D" w14:textId="6688DF65">
            <w:pPr>
              <w:keepNext/>
              <w:autoSpaceDE w:val="0"/>
              <w:autoSpaceDN w:val="0"/>
              <w:adjustRightInd w:val="0"/>
              <w:jc w:val="center"/>
              <w:rPr>
                <w:rFonts w:ascii="Times New Roman" w:hAnsi="Times New Roman"/>
                <w:sz w:val="24"/>
              </w:rPr>
            </w:pPr>
            <w:r w:rsidRPr="009A1227">
              <w:rPr>
                <w:rFonts w:ascii="Times New Roman" w:eastAsia="Arial" w:hAnsi="Times New Roman" w:cs="Times New Roman"/>
                <w:sz w:val="24"/>
                <w:szCs w:val="24"/>
              </w:rPr>
              <w:t>5,756,942</w:t>
            </w:r>
          </w:p>
        </w:tc>
        <w:tc>
          <w:tcPr>
            <w:tcW w:w="1306" w:type="dxa"/>
            <w:shd w:val="clear" w:color="auto" w:fill="F2F2F2" w:themeFill="background1" w:themeFillShade="F2"/>
            <w:vAlign w:val="center"/>
          </w:tcPr>
          <w:p w:rsidR="004C4557" w:rsidRPr="009A1227" w:rsidP="004C4557" w14:paraId="16045B39" w14:textId="2BEF0993">
            <w:pPr>
              <w:keepNext/>
              <w:autoSpaceDE w:val="0"/>
              <w:autoSpaceDN w:val="0"/>
              <w:adjustRightInd w:val="0"/>
              <w:jc w:val="center"/>
              <w:rPr>
                <w:rFonts w:ascii="Times New Roman" w:hAnsi="Times New Roman"/>
                <w:sz w:val="24"/>
              </w:rPr>
            </w:pPr>
            <w:r w:rsidRPr="009A1227">
              <w:rPr>
                <w:rFonts w:ascii="Times New Roman" w:hAnsi="Times New Roman"/>
                <w:sz w:val="24"/>
              </w:rPr>
              <w:t>94,160</w:t>
            </w:r>
          </w:p>
        </w:tc>
      </w:tr>
    </w:tbl>
    <w:p w:rsidR="00430DFF" w:rsidRPr="004B62EB" w:rsidP="00D50718" w14:paraId="4A1157D0" w14:textId="77777777">
      <w:pPr>
        <w:kinsoku w:val="0"/>
        <w:overflowPunct w:val="0"/>
        <w:autoSpaceDE w:val="0"/>
        <w:autoSpaceDN w:val="0"/>
        <w:adjustRightInd w:val="0"/>
        <w:spacing w:before="240" w:after="240" w:line="240" w:lineRule="auto"/>
        <w:rPr>
          <w:rFonts w:ascii="Times New Roman" w:hAnsi="Times New Roman" w:cs="Times New Roman"/>
          <w:sz w:val="24"/>
          <w:szCs w:val="24"/>
        </w:rPr>
      </w:pPr>
      <w:r w:rsidRPr="004B62EB">
        <w:rPr>
          <w:rFonts w:ascii="Times New Roman" w:hAnsi="Times New Roman" w:cs="Times New Roman"/>
          <w:i/>
          <w:iCs/>
          <w:sz w:val="24"/>
          <w:szCs w:val="24"/>
        </w:rPr>
        <w:t>Collection of Information Instruments and Instruction/Guidance Documents</w:t>
      </w:r>
    </w:p>
    <w:p w:rsidR="00C76BA5" w:rsidRPr="004B62EB" w:rsidP="00D50718" w14:paraId="6D5764C7" w14:textId="0C4F04C0">
      <w:pPr>
        <w:pStyle w:val="ListParagraph"/>
        <w:numPr>
          <w:ilvl w:val="0"/>
          <w:numId w:val="5"/>
        </w:numPr>
        <w:spacing w:after="240" w:line="240" w:lineRule="auto"/>
        <w:ind w:left="0" w:firstLine="0"/>
        <w:contextualSpacing w:val="0"/>
        <w:rPr>
          <w:rFonts w:ascii="Times New Roman" w:hAnsi="Times New Roman" w:cs="Times New Roman"/>
          <w:sz w:val="24"/>
          <w:szCs w:val="24"/>
        </w:rPr>
      </w:pPr>
      <w:r w:rsidRPr="004B62EB">
        <w:rPr>
          <w:rFonts w:ascii="Times New Roman" w:hAnsi="Times New Roman" w:cs="Times New Roman"/>
          <w:sz w:val="24"/>
          <w:szCs w:val="24"/>
        </w:rPr>
        <w:t xml:space="preserve">Attachment B: </w:t>
      </w:r>
      <w:r w:rsidRPr="004B62EB">
        <w:rPr>
          <w:rFonts w:ascii="Times New Roman" w:hAnsi="Times New Roman" w:cs="Times New Roman"/>
          <w:sz w:val="24"/>
          <w:szCs w:val="24"/>
        </w:rPr>
        <w:t>MLR</w:t>
      </w:r>
      <w:r w:rsidRPr="004B62EB" w:rsidR="001A3A63">
        <w:rPr>
          <w:rFonts w:ascii="Times New Roman" w:hAnsi="Times New Roman" w:cs="Times New Roman"/>
          <w:sz w:val="24"/>
          <w:szCs w:val="24"/>
        </w:rPr>
        <w:t xml:space="preserve"> </w:t>
      </w:r>
      <w:r w:rsidRPr="004B62EB" w:rsidR="00C57C7F">
        <w:rPr>
          <w:rFonts w:ascii="Times New Roman" w:hAnsi="Times New Roman" w:cs="Times New Roman"/>
          <w:sz w:val="24"/>
          <w:szCs w:val="24"/>
        </w:rPr>
        <w:t>Report</w:t>
      </w:r>
      <w:r w:rsidR="00727342">
        <w:rPr>
          <w:rFonts w:ascii="Times New Roman" w:hAnsi="Times New Roman" w:cs="Times New Roman"/>
          <w:sz w:val="24"/>
          <w:szCs w:val="24"/>
        </w:rPr>
        <w:t xml:space="preserve"> </w:t>
      </w:r>
      <w:r w:rsidR="00016F9F">
        <w:rPr>
          <w:rFonts w:ascii="Times New Roman" w:hAnsi="Times New Roman" w:cs="Times New Roman"/>
          <w:sz w:val="24"/>
          <w:szCs w:val="24"/>
        </w:rPr>
        <w:t>Workbook</w:t>
      </w:r>
      <w:r w:rsidRPr="004B62EB" w:rsidR="003A42B0">
        <w:rPr>
          <w:rFonts w:ascii="Times New Roman" w:hAnsi="Times New Roman" w:cs="Times New Roman"/>
          <w:sz w:val="24"/>
          <w:szCs w:val="24"/>
        </w:rPr>
        <w:t xml:space="preserve"> </w:t>
      </w:r>
      <w:r w:rsidRPr="004B62EB" w:rsidR="0068466E">
        <w:rPr>
          <w:rFonts w:ascii="Times New Roman" w:hAnsi="Times New Roman" w:cs="Times New Roman"/>
          <w:sz w:val="24"/>
          <w:szCs w:val="24"/>
        </w:rPr>
        <w:t>(</w:t>
      </w:r>
      <w:r w:rsidRPr="004B62EB" w:rsidR="00C57C7F">
        <w:rPr>
          <w:rFonts w:ascii="Times New Roman" w:hAnsi="Times New Roman" w:cs="Times New Roman"/>
          <w:sz w:val="24"/>
          <w:szCs w:val="24"/>
        </w:rPr>
        <w:t>Revised</w:t>
      </w:r>
      <w:r w:rsidRPr="004B62EB" w:rsidR="0068466E">
        <w:rPr>
          <w:rFonts w:ascii="Times New Roman" w:hAnsi="Times New Roman" w:cs="Times New Roman"/>
          <w:sz w:val="24"/>
          <w:szCs w:val="24"/>
        </w:rPr>
        <w:t>)</w:t>
      </w:r>
      <w:r w:rsidR="00092620">
        <w:rPr>
          <w:rFonts w:ascii="Times New Roman" w:hAnsi="Times New Roman" w:cs="Times New Roman"/>
          <w:sz w:val="24"/>
          <w:szCs w:val="24"/>
        </w:rPr>
        <w:t xml:space="preserve">: The MLR Report Workbook </w:t>
      </w:r>
      <w:r w:rsidR="00B946DE">
        <w:rPr>
          <w:rFonts w:ascii="Times New Roman" w:hAnsi="Times New Roman" w:cs="Times New Roman"/>
          <w:sz w:val="24"/>
          <w:szCs w:val="24"/>
        </w:rPr>
        <w:t>categorizes the</w:t>
      </w:r>
      <w:r w:rsidR="00E20282">
        <w:rPr>
          <w:rFonts w:ascii="Times New Roman" w:hAnsi="Times New Roman" w:cs="Times New Roman"/>
          <w:sz w:val="24"/>
          <w:szCs w:val="24"/>
        </w:rPr>
        <w:t xml:space="preserve"> </w:t>
      </w:r>
      <w:r w:rsidRPr="00B946DE" w:rsidR="00B946DE">
        <w:rPr>
          <w:rFonts w:ascii="Times New Roman" w:hAnsi="Times New Roman" w:cs="Times New Roman"/>
          <w:sz w:val="24"/>
          <w:szCs w:val="24"/>
        </w:rPr>
        <w:t>data elements</w:t>
      </w:r>
      <w:r w:rsidR="00B946DE">
        <w:rPr>
          <w:rFonts w:ascii="Times New Roman" w:hAnsi="Times New Roman" w:cs="Times New Roman"/>
          <w:sz w:val="24"/>
          <w:szCs w:val="24"/>
        </w:rPr>
        <w:t xml:space="preserve"> </w:t>
      </w:r>
      <w:r w:rsidR="00D26A49">
        <w:rPr>
          <w:rFonts w:ascii="Times New Roman" w:hAnsi="Times New Roman" w:cs="Times New Roman"/>
          <w:sz w:val="24"/>
          <w:szCs w:val="24"/>
        </w:rPr>
        <w:t xml:space="preserve">of the MLR that </w:t>
      </w:r>
      <w:r w:rsidR="00B946DE">
        <w:rPr>
          <w:rFonts w:ascii="Times New Roman" w:hAnsi="Times New Roman" w:cs="Times New Roman"/>
          <w:sz w:val="24"/>
          <w:szCs w:val="24"/>
        </w:rPr>
        <w:t xml:space="preserve">an MA organization or Part D plan must report to CMS. </w:t>
      </w:r>
      <w:r w:rsidR="00D26A49">
        <w:rPr>
          <w:rFonts w:ascii="Times New Roman" w:hAnsi="Times New Roman" w:cs="Times New Roman"/>
          <w:sz w:val="24"/>
          <w:szCs w:val="24"/>
        </w:rPr>
        <w:t>Beginning in CY 2023, t</w:t>
      </w:r>
      <w:r w:rsidR="00B946DE">
        <w:rPr>
          <w:rFonts w:ascii="Times New Roman" w:hAnsi="Times New Roman" w:cs="Times New Roman"/>
          <w:sz w:val="24"/>
          <w:szCs w:val="24"/>
        </w:rPr>
        <w:t>he MLR Report Workbook</w:t>
      </w:r>
      <w:r w:rsidR="00781697">
        <w:rPr>
          <w:rFonts w:ascii="Times New Roman" w:hAnsi="Times New Roman" w:cs="Times New Roman"/>
          <w:sz w:val="24"/>
          <w:szCs w:val="24"/>
        </w:rPr>
        <w:t xml:space="preserve"> will</w:t>
      </w:r>
      <w:r w:rsidR="00B946DE">
        <w:rPr>
          <w:rFonts w:ascii="Times New Roman" w:hAnsi="Times New Roman" w:cs="Times New Roman"/>
          <w:sz w:val="24"/>
          <w:szCs w:val="24"/>
        </w:rPr>
        <w:t xml:space="preserve"> </w:t>
      </w:r>
      <w:r w:rsidR="007211E1">
        <w:rPr>
          <w:rFonts w:ascii="Times New Roman" w:hAnsi="Times New Roman" w:cs="Times New Roman"/>
          <w:sz w:val="24"/>
          <w:szCs w:val="24"/>
        </w:rPr>
        <w:t>be used, which revises the current</w:t>
      </w:r>
      <w:r w:rsidR="00D26A49">
        <w:rPr>
          <w:rFonts w:ascii="Times New Roman" w:hAnsi="Times New Roman" w:cs="Times New Roman"/>
          <w:sz w:val="24"/>
          <w:szCs w:val="24"/>
        </w:rPr>
        <w:t xml:space="preserve"> MLR </w:t>
      </w:r>
      <w:r w:rsidR="00781697">
        <w:rPr>
          <w:rFonts w:ascii="Times New Roman" w:hAnsi="Times New Roman" w:cs="Times New Roman"/>
          <w:sz w:val="24"/>
          <w:szCs w:val="24"/>
        </w:rPr>
        <w:t>data form.</w:t>
      </w:r>
      <w:r w:rsidR="00D26A49">
        <w:rPr>
          <w:rFonts w:ascii="Times New Roman" w:hAnsi="Times New Roman" w:cs="Times New Roman"/>
          <w:sz w:val="24"/>
          <w:szCs w:val="24"/>
        </w:rPr>
        <w:t xml:space="preserve"> </w:t>
      </w:r>
    </w:p>
    <w:p w:rsidR="0057795C" w:rsidRPr="004B62EB" w:rsidP="00D50718" w14:paraId="58A18123" w14:textId="2084746E">
      <w:pPr>
        <w:pStyle w:val="BodyText"/>
        <w:spacing w:line="240" w:lineRule="auto"/>
        <w:jc w:val="left"/>
      </w:pPr>
      <w:r w:rsidRPr="004B62EB">
        <w:t xml:space="preserve">The process for </w:t>
      </w:r>
      <w:r w:rsidRPr="004B62EB" w:rsidR="00691124">
        <w:t xml:space="preserve">submitting </w:t>
      </w:r>
      <w:r w:rsidRPr="004B62EB">
        <w:t>MLR</w:t>
      </w:r>
      <w:r w:rsidRPr="004B62EB" w:rsidR="00452505">
        <w:t xml:space="preserve"> </w:t>
      </w:r>
      <w:r w:rsidRPr="004B62EB" w:rsidR="00691124">
        <w:t xml:space="preserve">data </w:t>
      </w:r>
      <w:r w:rsidRPr="004B62EB">
        <w:t xml:space="preserve">is entirely automated (electronically) through CMS’s (HPMS. No paper/hardcopy submissions are required.  </w:t>
      </w:r>
    </w:p>
    <w:p w:rsidR="00195F7F" w:rsidRPr="004B62EB" w:rsidP="00D50718" w14:paraId="7F22277E" w14:textId="1EF6CF66">
      <w:pPr>
        <w:spacing w:after="240" w:line="240" w:lineRule="auto"/>
        <w:rPr>
          <w:rFonts w:ascii="Times New Roman" w:hAnsi="Times New Roman" w:cs="Times New Roman"/>
          <w:sz w:val="24"/>
          <w:szCs w:val="24"/>
        </w:rPr>
      </w:pPr>
      <w:r w:rsidRPr="00195F7F">
        <w:rPr>
          <w:rFonts w:ascii="Times New Roman" w:hAnsi="Times New Roman" w:cs="Times New Roman"/>
          <w:sz w:val="24"/>
          <w:szCs w:val="24"/>
        </w:rPr>
        <w:t xml:space="preserve">The MLR Report </w:t>
      </w:r>
      <w:r w:rsidR="00AA5386">
        <w:rPr>
          <w:rFonts w:ascii="Times New Roman" w:hAnsi="Times New Roman" w:cs="Times New Roman"/>
          <w:sz w:val="24"/>
          <w:szCs w:val="24"/>
        </w:rPr>
        <w:t>W</w:t>
      </w:r>
      <w:r w:rsidRPr="00195F7F">
        <w:rPr>
          <w:rFonts w:ascii="Times New Roman" w:hAnsi="Times New Roman" w:cs="Times New Roman"/>
          <w:sz w:val="24"/>
          <w:szCs w:val="24"/>
        </w:rPr>
        <w:t xml:space="preserve">orkbook, which was used to collect detailed </w:t>
      </w:r>
      <w:r w:rsidR="00A853D6">
        <w:rPr>
          <w:rFonts w:ascii="Times New Roman" w:hAnsi="Times New Roman" w:cs="Times New Roman"/>
          <w:sz w:val="24"/>
          <w:szCs w:val="24"/>
        </w:rPr>
        <w:t xml:space="preserve">MLR </w:t>
      </w:r>
      <w:r w:rsidRPr="00195F7F">
        <w:rPr>
          <w:rFonts w:ascii="Times New Roman" w:hAnsi="Times New Roman" w:cs="Times New Roman"/>
          <w:sz w:val="24"/>
          <w:szCs w:val="24"/>
        </w:rPr>
        <w:t xml:space="preserve">reporting elements that were in effect for CYs 2014 through 2017, will be used to collect reporting data for CY 2023 and </w:t>
      </w:r>
      <w:r w:rsidR="007E002A">
        <w:rPr>
          <w:rFonts w:ascii="Times New Roman" w:hAnsi="Times New Roman" w:cs="Times New Roman"/>
          <w:sz w:val="24"/>
          <w:szCs w:val="24"/>
        </w:rPr>
        <w:t>subsequent</w:t>
      </w:r>
      <w:r w:rsidRPr="00195F7F">
        <w:rPr>
          <w:rFonts w:ascii="Times New Roman" w:hAnsi="Times New Roman" w:cs="Times New Roman"/>
          <w:sz w:val="24"/>
          <w:szCs w:val="24"/>
        </w:rPr>
        <w:t xml:space="preserve"> years. The </w:t>
      </w:r>
      <w:r w:rsidRPr="003969D7">
        <w:rPr>
          <w:rFonts w:ascii="Times New Roman" w:hAnsi="Times New Roman" w:cs="Times New Roman"/>
          <w:sz w:val="24"/>
          <w:szCs w:val="24"/>
        </w:rPr>
        <w:t>May 2022 final rule</w:t>
      </w:r>
      <w:r w:rsidRPr="00195F7F">
        <w:rPr>
          <w:rFonts w:ascii="Times New Roman" w:hAnsi="Times New Roman" w:cs="Times New Roman"/>
          <w:sz w:val="24"/>
          <w:szCs w:val="24"/>
        </w:rPr>
        <w:t xml:space="preserve"> expanded the MLR reporting requirements beyond what was required under the detailed MLR reporting requirements that were in effect for CYs 2014 through 2017, to include expenditures related to supplemental benefits. Due to the additional reporting requirements, the MLR Report </w:t>
      </w:r>
      <w:r w:rsidR="00AA5386">
        <w:rPr>
          <w:rFonts w:ascii="Times New Roman" w:hAnsi="Times New Roman" w:cs="Times New Roman"/>
          <w:sz w:val="24"/>
          <w:szCs w:val="24"/>
        </w:rPr>
        <w:t>W</w:t>
      </w:r>
      <w:r w:rsidRPr="00195F7F">
        <w:rPr>
          <w:rFonts w:ascii="Times New Roman" w:hAnsi="Times New Roman" w:cs="Times New Roman"/>
          <w:sz w:val="24"/>
          <w:szCs w:val="24"/>
        </w:rPr>
        <w:t xml:space="preserve">orkbook has been updated to include </w:t>
      </w:r>
      <w:r w:rsidRPr="00195F7F">
        <w:rPr>
          <w:rFonts w:ascii="Times New Roman" w:hAnsi="Times New Roman" w:cs="Times New Roman"/>
          <w:sz w:val="24"/>
          <w:szCs w:val="24"/>
        </w:rPr>
        <w:t>expenditures related to supplemental benefits.</w:t>
      </w:r>
      <w:r w:rsidR="007211E1">
        <w:rPr>
          <w:rFonts w:ascii="Times New Roman" w:hAnsi="Times New Roman" w:cs="Times New Roman"/>
          <w:sz w:val="24"/>
          <w:szCs w:val="24"/>
        </w:rPr>
        <w:t xml:space="preserve">  </w:t>
      </w:r>
      <w:r w:rsidRPr="00195F7F">
        <w:rPr>
          <w:rFonts w:ascii="Times New Roman" w:hAnsi="Times New Roman" w:cs="Times New Roman"/>
          <w:sz w:val="24"/>
          <w:szCs w:val="24"/>
        </w:rPr>
        <w:t>The submission process for the MLR Report Workbook will be automated through HPMS.</w:t>
      </w:r>
    </w:p>
    <w:p w:rsidR="00E54D18" w:rsidRPr="00E20282" w:rsidP="00FA4E32" w14:paraId="32DB3D44" w14:textId="69AE0A7D">
      <w:pPr>
        <w:pStyle w:val="ListParagraph"/>
        <w:numPr>
          <w:ilvl w:val="0"/>
          <w:numId w:val="4"/>
        </w:numPr>
        <w:ind w:left="0" w:firstLine="0"/>
        <w:rPr>
          <w:rFonts w:ascii="Times New Roman" w:hAnsi="Times New Roman" w:cs="Times New Roman"/>
          <w:sz w:val="24"/>
          <w:szCs w:val="24"/>
        </w:rPr>
      </w:pPr>
      <w:r w:rsidRPr="004B62EB">
        <w:rPr>
          <w:rFonts w:ascii="Times New Roman" w:hAnsi="Times New Roman" w:cs="Times New Roman"/>
          <w:sz w:val="24"/>
          <w:szCs w:val="24"/>
        </w:rPr>
        <w:t xml:space="preserve">Attachment C: </w:t>
      </w:r>
      <w:r w:rsidRPr="004B62EB" w:rsidR="00C76BA5">
        <w:rPr>
          <w:rFonts w:ascii="Times New Roman" w:hAnsi="Times New Roman" w:cs="Times New Roman"/>
          <w:sz w:val="24"/>
          <w:szCs w:val="24"/>
        </w:rPr>
        <w:t xml:space="preserve">MLR </w:t>
      </w:r>
      <w:r w:rsidRPr="004B62EB" w:rsidR="00C57C7F">
        <w:rPr>
          <w:rFonts w:ascii="Times New Roman" w:hAnsi="Times New Roman" w:cs="Times New Roman"/>
          <w:sz w:val="24"/>
          <w:szCs w:val="24"/>
        </w:rPr>
        <w:t>Report Filing</w:t>
      </w:r>
      <w:r w:rsidRPr="004B62EB" w:rsidR="001A3A63">
        <w:rPr>
          <w:rFonts w:ascii="Times New Roman" w:hAnsi="Times New Roman" w:cs="Times New Roman"/>
          <w:sz w:val="24"/>
          <w:szCs w:val="24"/>
        </w:rPr>
        <w:t xml:space="preserve"> </w:t>
      </w:r>
      <w:r w:rsidRPr="004B62EB" w:rsidR="00C76BA5">
        <w:rPr>
          <w:rFonts w:ascii="Times New Roman" w:hAnsi="Times New Roman" w:cs="Times New Roman"/>
          <w:sz w:val="24"/>
          <w:szCs w:val="24"/>
        </w:rPr>
        <w:t xml:space="preserve">Instructions </w:t>
      </w:r>
      <w:r w:rsidRPr="004B62EB" w:rsidR="00215838">
        <w:rPr>
          <w:rFonts w:ascii="Times New Roman" w:hAnsi="Times New Roman" w:cs="Times New Roman"/>
          <w:sz w:val="24"/>
          <w:szCs w:val="24"/>
        </w:rPr>
        <w:t>(CY 20</w:t>
      </w:r>
      <w:r w:rsidRPr="004B62EB" w:rsidR="00C57C7F">
        <w:rPr>
          <w:rFonts w:ascii="Times New Roman" w:hAnsi="Times New Roman" w:cs="Times New Roman"/>
          <w:sz w:val="24"/>
          <w:szCs w:val="24"/>
        </w:rPr>
        <w:t>23</w:t>
      </w:r>
      <w:r w:rsidRPr="004B62EB" w:rsidR="00215838">
        <w:rPr>
          <w:rFonts w:ascii="Times New Roman" w:hAnsi="Times New Roman" w:cs="Times New Roman"/>
          <w:sz w:val="24"/>
          <w:szCs w:val="24"/>
        </w:rPr>
        <w:t xml:space="preserve">) </w:t>
      </w:r>
      <w:r w:rsidRPr="004B62EB" w:rsidR="003A42B0">
        <w:rPr>
          <w:rFonts w:ascii="Times New Roman" w:hAnsi="Times New Roman" w:cs="Times New Roman"/>
          <w:sz w:val="24"/>
          <w:szCs w:val="24"/>
        </w:rPr>
        <w:t>(</w:t>
      </w:r>
      <w:r w:rsidRPr="004B62EB" w:rsidR="00867E23">
        <w:rPr>
          <w:rFonts w:ascii="Times New Roman" w:hAnsi="Times New Roman" w:cs="Times New Roman"/>
          <w:sz w:val="24"/>
          <w:szCs w:val="24"/>
        </w:rPr>
        <w:t>Revised</w:t>
      </w:r>
      <w:r w:rsidRPr="004B62EB" w:rsidR="003A42B0">
        <w:rPr>
          <w:rFonts w:ascii="Times New Roman" w:hAnsi="Times New Roman" w:cs="Times New Roman"/>
          <w:sz w:val="24"/>
          <w:szCs w:val="24"/>
        </w:rPr>
        <w:t>)</w:t>
      </w:r>
      <w:r w:rsidRPr="004B62EB" w:rsidR="003A42B0">
        <w:rPr>
          <w:rFonts w:ascii="Times New Roman" w:hAnsi="Times New Roman" w:cs="Times New Roman"/>
          <w:sz w:val="24"/>
          <w:szCs w:val="24"/>
        </w:rPr>
        <w:t xml:space="preserve"> </w:t>
      </w:r>
      <w:r w:rsidR="00E9282A">
        <w:rPr>
          <w:rFonts w:ascii="Times New Roman" w:hAnsi="Times New Roman" w:cs="Times New Roman"/>
          <w:sz w:val="24"/>
          <w:szCs w:val="24"/>
        </w:rPr>
        <w:t>The MLR Report Filing Instructions provide a more detailed</w:t>
      </w:r>
      <w:r w:rsidRPr="00E20282" w:rsidR="00E20282">
        <w:rPr>
          <w:rFonts w:ascii="Times New Roman" w:hAnsi="Times New Roman" w:cs="Times New Roman"/>
          <w:sz w:val="24"/>
          <w:szCs w:val="24"/>
        </w:rPr>
        <w:t xml:space="preserve"> </w:t>
      </w:r>
      <w:r w:rsidR="00E20282">
        <w:rPr>
          <w:rFonts w:ascii="Times New Roman" w:hAnsi="Times New Roman" w:cs="Times New Roman"/>
          <w:sz w:val="24"/>
          <w:szCs w:val="24"/>
        </w:rPr>
        <w:t>guide</w:t>
      </w:r>
      <w:r w:rsidR="00B946DE">
        <w:rPr>
          <w:rFonts w:ascii="Times New Roman" w:hAnsi="Times New Roman" w:cs="Times New Roman"/>
          <w:sz w:val="24"/>
          <w:szCs w:val="24"/>
        </w:rPr>
        <w:t xml:space="preserve"> </w:t>
      </w:r>
      <w:r w:rsidR="00E20282">
        <w:rPr>
          <w:rFonts w:ascii="Times New Roman" w:hAnsi="Times New Roman" w:cs="Times New Roman"/>
          <w:sz w:val="24"/>
          <w:szCs w:val="24"/>
        </w:rPr>
        <w:t xml:space="preserve">to assist MA organization and Part D sponsors in submitting their MLR </w:t>
      </w:r>
      <w:r w:rsidR="00B946DE">
        <w:rPr>
          <w:rFonts w:ascii="Times New Roman" w:hAnsi="Times New Roman" w:cs="Times New Roman"/>
          <w:sz w:val="24"/>
          <w:szCs w:val="24"/>
        </w:rPr>
        <w:t>Report Workbook to CMS. This includes a more detailed description of the data elements, updated regulations relevant to reporting MLR data, and reporting considerations</w:t>
      </w:r>
      <w:r w:rsidR="00781697">
        <w:rPr>
          <w:rFonts w:ascii="Times New Roman" w:hAnsi="Times New Roman" w:cs="Times New Roman"/>
          <w:sz w:val="24"/>
          <w:szCs w:val="24"/>
        </w:rPr>
        <w:t xml:space="preserve"> dependent on the plan type</w:t>
      </w:r>
      <w:r w:rsidR="00B946DE">
        <w:rPr>
          <w:rFonts w:ascii="Times New Roman" w:hAnsi="Times New Roman" w:cs="Times New Roman"/>
          <w:sz w:val="24"/>
          <w:szCs w:val="24"/>
        </w:rPr>
        <w:t xml:space="preserve">.   </w:t>
      </w:r>
    </w:p>
    <w:p w:rsidR="00497610" w:rsidRPr="00C71C7D" w:rsidP="00C71C7D" w14:paraId="595A7117" w14:textId="7D7F3898">
      <w:pPr>
        <w:autoSpaceDE w:val="0"/>
        <w:autoSpaceDN w:val="0"/>
        <w:adjustRightInd w:val="0"/>
        <w:spacing w:after="24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For CY 2023 MLR reporting, an expansion upon existing requirements has been</w:t>
      </w:r>
      <w:r w:rsidR="005C09B2">
        <w:rPr>
          <w:rFonts w:ascii="Times New Roman" w:hAnsi="Times New Roman" w:cs="Times New Roman"/>
          <w:color w:val="000000"/>
          <w:sz w:val="24"/>
          <w:szCs w:val="24"/>
        </w:rPr>
        <w:t xml:space="preserve"> re</w:t>
      </w:r>
      <w:r>
        <w:rPr>
          <w:rFonts w:ascii="Times New Roman" w:hAnsi="Times New Roman" w:cs="Times New Roman"/>
          <w:color w:val="000000"/>
          <w:sz w:val="24"/>
          <w:szCs w:val="24"/>
        </w:rPr>
        <w:t xml:space="preserve">instated. </w:t>
      </w:r>
      <w:r w:rsidRPr="00537534" w:rsidR="00537534">
        <w:rPr>
          <w:rFonts w:ascii="Times New Roman" w:hAnsi="Times New Roman" w:cs="Times New Roman"/>
          <w:color w:val="000000"/>
          <w:sz w:val="24"/>
          <w:szCs w:val="24"/>
        </w:rPr>
        <w:t xml:space="preserve">The expansion of MLR reporting requirements includes </w:t>
      </w:r>
      <w:r w:rsidR="00115E26">
        <w:rPr>
          <w:rFonts w:ascii="Times New Roman" w:hAnsi="Times New Roman" w:cs="Times New Roman"/>
          <w:color w:val="000000"/>
          <w:sz w:val="24"/>
          <w:szCs w:val="24"/>
        </w:rPr>
        <w:t xml:space="preserve">plans reporting to CMS on their </w:t>
      </w:r>
      <w:r w:rsidRPr="00537534" w:rsidR="00537534">
        <w:rPr>
          <w:rFonts w:ascii="Times New Roman" w:hAnsi="Times New Roman" w:cs="Times New Roman"/>
          <w:color w:val="000000"/>
          <w:sz w:val="24"/>
          <w:szCs w:val="24"/>
        </w:rPr>
        <w:t>expenditures related to the following categories of supplemental benefits: Dental; Vision; Hearing; Transportation; Fitness Benefit; Worldwide Coverage/Visitor Travel; Over the Counter (OTC) Items; Remote Access Technologies; Meals; Routine Foot Care; Out-of-network Services</w:t>
      </w:r>
      <w:r w:rsidR="00B84454">
        <w:rPr>
          <w:rFonts w:ascii="Times New Roman" w:hAnsi="Times New Roman" w:cs="Times New Roman"/>
          <w:color w:val="000000"/>
          <w:sz w:val="24"/>
          <w:szCs w:val="24"/>
        </w:rPr>
        <w:t xml:space="preserve"> (informational only)</w:t>
      </w:r>
      <w:r w:rsidRPr="00537534" w:rsidR="00537534">
        <w:rPr>
          <w:rFonts w:ascii="Times New Roman" w:hAnsi="Times New Roman" w:cs="Times New Roman"/>
          <w:color w:val="000000"/>
          <w:sz w:val="24"/>
          <w:szCs w:val="24"/>
        </w:rPr>
        <w:t xml:space="preserve">;Acupuncture Treatments; Chiropractic Care; Personal Emergency Response System (PRS); Health Education; Smoking and Tobacco Cessation Counseling; All Other Primarily Health Related Supplemental Benefits; Non-Primarily Health Related Items and Services that are Special Supplemental Benefits for the Chronically Ill (SSBCI) (as defined in § 422.102(f)); </w:t>
      </w:r>
      <w:r w:rsidR="00D75385">
        <w:rPr>
          <w:rFonts w:ascii="Times New Roman" w:hAnsi="Times New Roman" w:cs="Times New Roman"/>
          <w:color w:val="000000"/>
          <w:sz w:val="24"/>
          <w:szCs w:val="24"/>
        </w:rPr>
        <w:t xml:space="preserve">and </w:t>
      </w:r>
      <w:bookmarkStart w:id="6" w:name="_Hlk125464397"/>
      <w:r w:rsidRPr="00D75385" w:rsidR="00D75385">
        <w:rPr>
          <w:rFonts w:ascii="Times New Roman" w:hAnsi="Times New Roman" w:cs="Times New Roman"/>
          <w:color w:val="000000"/>
          <w:sz w:val="24"/>
          <w:szCs w:val="24"/>
        </w:rPr>
        <w:t>Non-Primarily Health Related Items - Other</w:t>
      </w:r>
      <w:bookmarkEnd w:id="6"/>
      <w:r w:rsidR="00537534">
        <w:rPr>
          <w:rFonts w:ascii="Times New Roman" w:hAnsi="Times New Roman" w:cs="Times New Roman"/>
          <w:color w:val="000000"/>
          <w:sz w:val="24"/>
          <w:szCs w:val="24"/>
        </w:rPr>
        <w:t>.</w:t>
      </w:r>
    </w:p>
    <w:p w:rsidR="00A55B66" w:rsidRPr="00EB227D" w:rsidP="00C71C7D" w14:paraId="20394AD7" w14:textId="1D7ADA0C">
      <w:pPr>
        <w:pStyle w:val="Heading4"/>
      </w:pPr>
      <w:r w:rsidRPr="00EB227D">
        <w:rPr>
          <w:b w:val="0"/>
          <w:u w:val="single"/>
        </w:rPr>
        <w:t>13. Capital Costs</w:t>
      </w:r>
    </w:p>
    <w:p w:rsidR="00A55B66" w:rsidRPr="00EB227D" w:rsidP="00C71C7D" w14:paraId="76CDBDF3" w14:textId="0D0BBEE0">
      <w:pPr>
        <w:rPr>
          <w:b/>
        </w:rPr>
      </w:pPr>
      <w:r w:rsidRPr="00EB227D">
        <w:rPr>
          <w:rFonts w:ascii="Times New Roman" w:hAnsi="Times New Roman" w:cs="Times New Roman"/>
          <w:sz w:val="24"/>
          <w:szCs w:val="24"/>
        </w:rPr>
        <w:t>Not applicable. This collection does not impose any capital costs.</w:t>
      </w:r>
    </w:p>
    <w:p w:rsidR="00A55B66" w:rsidRPr="004B62EB" w:rsidP="00D50718" w14:paraId="7F2C3B16" w14:textId="16A659EA">
      <w:pPr>
        <w:pStyle w:val="Heading4"/>
        <w:spacing w:after="240" w:line="240" w:lineRule="auto"/>
        <w:rPr>
          <w:b w:val="0"/>
          <w:bCs w:val="0"/>
        </w:rPr>
      </w:pPr>
      <w:r w:rsidRPr="00EB227D">
        <w:rPr>
          <w:b w:val="0"/>
          <w:u w:val="single"/>
        </w:rPr>
        <w:t>14. Annualized Cost to Federal Government</w:t>
      </w:r>
    </w:p>
    <w:p w:rsidR="002B760D" w:rsidRPr="004B62EB" w:rsidP="00254605" w14:paraId="7942D051" w14:textId="1779C212">
      <w:pPr>
        <w:widowControl w:val="0"/>
        <w:tabs>
          <w:tab w:val="left" w:pos="-3060"/>
          <w:tab w:val="left" w:pos="0"/>
          <w:tab w:val="left" w:pos="432"/>
          <w:tab w:val="left" w:pos="720"/>
        </w:tabs>
        <w:suppressAutoHyphens/>
        <w:autoSpaceDE w:val="0"/>
        <w:autoSpaceDN w:val="0"/>
        <w:adjustRightInd w:val="0"/>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The initial burden to the Federal government for the collection of the </w:t>
      </w:r>
      <w:r w:rsidRPr="004B62EB" w:rsidR="00320152">
        <w:rPr>
          <w:rFonts w:ascii="Times New Roman" w:hAnsi="Times New Roman" w:cs="Times New Roman"/>
          <w:sz w:val="24"/>
          <w:szCs w:val="24"/>
        </w:rPr>
        <w:t xml:space="preserve">MA and Part D </w:t>
      </w:r>
      <w:r w:rsidRPr="004B62EB">
        <w:rPr>
          <w:rFonts w:ascii="Times New Roman" w:hAnsi="Times New Roman" w:cs="Times New Roman"/>
          <w:sz w:val="24"/>
          <w:szCs w:val="24"/>
        </w:rPr>
        <w:t xml:space="preserve">MLR </w:t>
      </w:r>
      <w:r w:rsidRPr="004B62EB" w:rsidR="00320152">
        <w:rPr>
          <w:rFonts w:ascii="Times New Roman" w:hAnsi="Times New Roman" w:cs="Times New Roman"/>
          <w:sz w:val="24"/>
          <w:szCs w:val="24"/>
        </w:rPr>
        <w:t xml:space="preserve">data </w:t>
      </w:r>
      <w:r w:rsidRPr="004B62EB">
        <w:rPr>
          <w:rFonts w:ascii="Times New Roman" w:hAnsi="Times New Roman" w:cs="Times New Roman"/>
          <w:sz w:val="24"/>
          <w:szCs w:val="24"/>
        </w:rPr>
        <w:t xml:space="preserve">was borne through the initial development cycle, as a one-time cost. The </w:t>
      </w:r>
      <w:r w:rsidRPr="004B62EB" w:rsidR="00320152">
        <w:rPr>
          <w:rFonts w:ascii="Times New Roman" w:hAnsi="Times New Roman" w:cs="Times New Roman"/>
          <w:sz w:val="24"/>
          <w:szCs w:val="24"/>
        </w:rPr>
        <w:t xml:space="preserve">MA and Part D </w:t>
      </w:r>
      <w:r w:rsidRPr="004B62EB">
        <w:rPr>
          <w:rFonts w:ascii="Times New Roman" w:hAnsi="Times New Roman" w:cs="Times New Roman"/>
          <w:sz w:val="24"/>
          <w:szCs w:val="24"/>
        </w:rPr>
        <w:t xml:space="preserve">MLR </w:t>
      </w:r>
      <w:r w:rsidRPr="004B62EB" w:rsidR="00320152">
        <w:rPr>
          <w:rFonts w:ascii="Times New Roman" w:hAnsi="Times New Roman" w:cs="Times New Roman"/>
          <w:sz w:val="24"/>
          <w:szCs w:val="24"/>
        </w:rPr>
        <w:t xml:space="preserve">data collection </w:t>
      </w:r>
      <w:r w:rsidRPr="004B62EB">
        <w:rPr>
          <w:rFonts w:ascii="Times New Roman" w:hAnsi="Times New Roman" w:cs="Times New Roman"/>
          <w:sz w:val="24"/>
          <w:szCs w:val="24"/>
        </w:rPr>
        <w:t xml:space="preserve">is now in maintenance mode with regard to development and enhancements. The maintenance cost and the cost for enhancements are estimated in the table below. </w:t>
      </w:r>
      <w:r w:rsidRPr="004B62EB" w:rsidR="00C40929">
        <w:rPr>
          <w:rFonts w:ascii="Times New Roman" w:hAnsi="Times New Roman" w:cs="Times New Roman"/>
          <w:sz w:val="24"/>
          <w:szCs w:val="24"/>
        </w:rPr>
        <w:t xml:space="preserve">We previously estimated that we would pay federal contractors $200,000 each year for maintenance and enhancements. We have subsequently found it necessary to </w:t>
      </w:r>
      <w:r w:rsidRPr="004B62EB">
        <w:rPr>
          <w:rFonts w:ascii="Times New Roman" w:hAnsi="Times New Roman" w:cs="Times New Roman"/>
          <w:sz w:val="24"/>
          <w:szCs w:val="24"/>
        </w:rPr>
        <w:t>pay</w:t>
      </w:r>
      <w:r w:rsidRPr="004B62EB" w:rsidR="00C40929">
        <w:rPr>
          <w:rFonts w:ascii="Times New Roman" w:hAnsi="Times New Roman" w:cs="Times New Roman"/>
          <w:sz w:val="24"/>
          <w:szCs w:val="24"/>
        </w:rPr>
        <w:t xml:space="preserve"> $300,000</w:t>
      </w:r>
      <w:r w:rsidRPr="004B62EB">
        <w:rPr>
          <w:rFonts w:ascii="Times New Roman" w:hAnsi="Times New Roman" w:cs="Times New Roman"/>
          <w:sz w:val="24"/>
          <w:szCs w:val="24"/>
        </w:rPr>
        <w:t xml:space="preserve"> for these services, and we have revised our estimate accordingly. </w:t>
      </w:r>
    </w:p>
    <w:p w:rsidR="00512FA9" w:rsidP="00D50718" w14:paraId="1F243F71" w14:textId="4F64C03E">
      <w:pPr>
        <w:widowControl w:val="0"/>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r w:rsidRPr="004B62EB">
        <w:rPr>
          <w:rFonts w:ascii="Times New Roman" w:hAnsi="Times New Roman" w:cs="Times New Roman"/>
          <w:sz w:val="24"/>
          <w:szCs w:val="24"/>
        </w:rPr>
        <w:t>The CMS employees’ hourly wage schedule can be obtained</w:t>
      </w:r>
      <w:r w:rsidRPr="004B62EB" w:rsidR="00DA7B88">
        <w:rPr>
          <w:rFonts w:ascii="Times New Roman" w:hAnsi="Times New Roman" w:cs="Times New Roman"/>
          <w:sz w:val="24"/>
          <w:szCs w:val="24"/>
        </w:rPr>
        <w:t xml:space="preserve"> at</w:t>
      </w:r>
      <w:r w:rsidRPr="004B62EB">
        <w:rPr>
          <w:rFonts w:ascii="Times New Roman" w:hAnsi="Times New Roman" w:cs="Times New Roman"/>
          <w:sz w:val="24"/>
          <w:szCs w:val="24"/>
        </w:rPr>
        <w:t xml:space="preserve"> </w:t>
      </w:r>
      <w:hyperlink r:id="rId11" w:history="1">
        <w:r w:rsidRPr="004B62EB" w:rsidR="002C4F4F">
          <w:rPr>
            <w:rStyle w:val="Hyperlink"/>
            <w:rFonts w:ascii="Times New Roman" w:hAnsi="Times New Roman" w:cs="Times New Roman"/>
            <w:sz w:val="24"/>
            <w:szCs w:val="24"/>
          </w:rPr>
          <w:t>https://www.opm.gov/policy-data-oversight/pay-leave/salaries-wages/salary-tables/pdf/2022/DCB_h.pdf</w:t>
        </w:r>
      </w:hyperlink>
      <w:r w:rsidRPr="004B62EB" w:rsidR="00F01324">
        <w:rPr>
          <w:rFonts w:ascii="Times New Roman" w:hAnsi="Times New Roman" w:cs="Times New Roman"/>
          <w:sz w:val="24"/>
          <w:szCs w:val="24"/>
        </w:rPr>
        <w:t xml:space="preserve"> </w:t>
      </w:r>
      <w:r w:rsidRPr="004B62EB">
        <w:rPr>
          <w:rFonts w:ascii="Times New Roman" w:hAnsi="Times New Roman" w:cs="Times New Roman"/>
          <w:sz w:val="24"/>
          <w:szCs w:val="24"/>
        </w:rPr>
        <w:t>under the Washington</w:t>
      </w:r>
      <w:r w:rsidRPr="004B62EB">
        <w:rPr>
          <w:rFonts w:ascii="Times New Roman" w:hAnsi="Times New Roman" w:cs="Times New Roman"/>
          <w:sz w:val="24"/>
          <w:szCs w:val="24"/>
        </w:rPr>
        <w:t>-</w:t>
      </w:r>
      <w:r w:rsidRPr="004B62EB">
        <w:rPr>
          <w:rFonts w:ascii="Times New Roman" w:hAnsi="Times New Roman" w:cs="Times New Roman"/>
          <w:sz w:val="24"/>
          <w:szCs w:val="24"/>
        </w:rPr>
        <w:t>Baltimore-Northern Virginia locality</w:t>
      </w:r>
      <w:r w:rsidRPr="004B62EB">
        <w:rPr>
          <w:rFonts w:ascii="Times New Roman" w:hAnsi="Times New Roman" w:cs="Times New Roman"/>
          <w:sz w:val="24"/>
          <w:szCs w:val="24"/>
        </w:rPr>
        <w:t>.</w:t>
      </w:r>
      <w:r w:rsidRPr="004B62EB" w:rsidR="00C40929">
        <w:rPr>
          <w:rFonts w:ascii="Times New Roman" w:hAnsi="Times New Roman" w:cs="Times New Roman"/>
          <w:sz w:val="24"/>
          <w:szCs w:val="24"/>
        </w:rPr>
        <w:t xml:space="preserve"> </w:t>
      </w:r>
    </w:p>
    <w:p w:rsidR="0057373C" w:rsidP="00D50718" w14:paraId="7BC014F0" w14:textId="77777777">
      <w:pPr>
        <w:widowControl w:val="0"/>
        <w:tabs>
          <w:tab w:val="left" w:pos="-3060"/>
          <w:tab w:val="left" w:pos="0"/>
          <w:tab w:val="left" w:pos="432"/>
          <w:tab w:val="left" w:pos="720"/>
        </w:tabs>
        <w:suppressAutoHyphens/>
        <w:autoSpaceDE w:val="0"/>
        <w:autoSpaceDN w:val="0"/>
        <w:adjustRightInd w:val="0"/>
        <w:spacing w:after="0" w:line="240" w:lineRule="auto"/>
        <w:rPr>
          <w:rFonts w:ascii="Times New Roman" w:hAnsi="Times New Roman" w:cs="Times New Roman"/>
          <w:sz w:val="24"/>
          <w:szCs w:val="24"/>
        </w:rPr>
      </w:pPr>
    </w:p>
    <w:p w:rsidR="00E148A9" w:rsidRPr="004E6760" w:rsidP="004E6760" w14:paraId="1AABE45F" w14:textId="735B4B05">
      <w:pPr>
        <w:pStyle w:val="Heading4"/>
        <w:spacing w:after="0" w:line="240" w:lineRule="auto"/>
        <w:jc w:val="center"/>
        <w:rPr>
          <w:b w:val="0"/>
          <w:bCs w:val="0"/>
        </w:rPr>
      </w:pPr>
      <w:r w:rsidRPr="004E6760">
        <w:rPr>
          <w:b w:val="0"/>
        </w:rPr>
        <w:t>TABLE 5</w:t>
      </w:r>
      <w:r w:rsidRPr="004E6760" w:rsidR="007C5144">
        <w:rPr>
          <w:b w:val="0"/>
        </w:rPr>
        <w:t xml:space="preserve">: </w:t>
      </w:r>
      <w:r w:rsidRPr="004E6760">
        <w:rPr>
          <w:b w:val="0"/>
        </w:rPr>
        <w:t>Annualized Cost to Federal Government</w:t>
      </w:r>
    </w:p>
    <w:tbl>
      <w:tblPr>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950"/>
        <w:gridCol w:w="1890"/>
      </w:tblGrid>
      <w:tr w14:paraId="46F1AB17" w14:textId="77777777" w:rsidTr="00120988">
        <w:tblPrEx>
          <w:tblW w:w="0" w:type="auto"/>
          <w:tblInd w:w="1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cantSplit/>
        </w:trPr>
        <w:tc>
          <w:tcPr>
            <w:tcW w:w="4950" w:type="dxa"/>
            <w:vAlign w:val="bottom"/>
          </w:tcPr>
          <w:p w:rsidR="00C1539A" w:rsidRPr="004E2380" w:rsidP="00C71C7D" w14:paraId="6779E2F8" w14:textId="77777777">
            <w:pPr>
              <w:keepNext/>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E2380">
              <w:rPr>
                <w:rFonts w:ascii="Times New Roman" w:hAnsi="Times New Roman"/>
                <w:sz w:val="24"/>
              </w:rPr>
              <w:t>Annual Maintenance and Enhancements</w:t>
            </w:r>
          </w:p>
        </w:tc>
        <w:tc>
          <w:tcPr>
            <w:tcW w:w="1890" w:type="dxa"/>
            <w:vAlign w:val="bottom"/>
          </w:tcPr>
          <w:p w:rsidR="00C1539A" w:rsidRPr="004E2380" w:rsidP="00C71C7D" w14:paraId="4A05433F" w14:textId="14AB166F">
            <w:pPr>
              <w:keepNext/>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rPr>
            </w:pPr>
            <w:r w:rsidRPr="004E2380">
              <w:rPr>
                <w:rFonts w:ascii="Times New Roman" w:hAnsi="Times New Roman"/>
                <w:sz w:val="24"/>
              </w:rPr>
              <w:t>$</w:t>
            </w:r>
            <w:r w:rsidRPr="004E2380" w:rsidR="00C40929">
              <w:rPr>
                <w:rFonts w:ascii="Times New Roman" w:eastAsia="Times New Roman" w:hAnsi="Times New Roman" w:cs="Times New Roman"/>
                <w:sz w:val="24"/>
                <w:szCs w:val="24"/>
              </w:rPr>
              <w:t>3</w:t>
            </w:r>
            <w:r w:rsidRPr="004E2380" w:rsidR="001A3A63">
              <w:rPr>
                <w:rFonts w:ascii="Times New Roman" w:eastAsia="Times New Roman" w:hAnsi="Times New Roman" w:cs="Times New Roman"/>
                <w:sz w:val="24"/>
                <w:szCs w:val="24"/>
              </w:rPr>
              <w:t>0</w:t>
            </w:r>
            <w:r w:rsidRPr="004E2380">
              <w:rPr>
                <w:rFonts w:ascii="Times New Roman" w:eastAsia="Times New Roman" w:hAnsi="Times New Roman" w:cs="Times New Roman"/>
                <w:sz w:val="24"/>
                <w:szCs w:val="24"/>
              </w:rPr>
              <w:t>0</w:t>
            </w:r>
            <w:r w:rsidRPr="004E2380">
              <w:rPr>
                <w:rFonts w:ascii="Times New Roman" w:hAnsi="Times New Roman"/>
                <w:sz w:val="24"/>
              </w:rPr>
              <w:t>,000</w:t>
            </w:r>
          </w:p>
        </w:tc>
      </w:tr>
      <w:tr w14:paraId="1FCFDD95" w14:textId="77777777" w:rsidTr="00120988">
        <w:tblPrEx>
          <w:tblW w:w="0" w:type="auto"/>
          <w:tblInd w:w="1098" w:type="dxa"/>
          <w:tblLook w:val="01E0"/>
        </w:tblPrEx>
        <w:trPr>
          <w:cantSplit/>
        </w:trPr>
        <w:tc>
          <w:tcPr>
            <w:tcW w:w="4950" w:type="dxa"/>
            <w:vAlign w:val="bottom"/>
          </w:tcPr>
          <w:p w:rsidR="00C1539A" w:rsidRPr="004E2380" w:rsidP="00C71C7D" w14:paraId="403D7E14" w14:textId="77777777">
            <w:pPr>
              <w:keepNext/>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E2380">
              <w:rPr>
                <w:rFonts w:ascii="Times New Roman" w:hAnsi="Times New Roman"/>
                <w:sz w:val="24"/>
              </w:rPr>
              <w:t xml:space="preserve">Annual </w:t>
            </w:r>
            <w:r w:rsidRPr="004E2380">
              <w:rPr>
                <w:rFonts w:ascii="Times New Roman" w:hAnsi="Times New Roman"/>
                <w:sz w:val="24"/>
              </w:rPr>
              <w:t>Defining Requirements</w:t>
            </w:r>
          </w:p>
        </w:tc>
        <w:tc>
          <w:tcPr>
            <w:tcW w:w="1890" w:type="dxa"/>
            <w:vAlign w:val="bottom"/>
          </w:tcPr>
          <w:p w:rsidR="00C1539A" w:rsidRPr="00A42478" w:rsidP="00C71C7D" w14:paraId="121A8E40" w14:textId="77777777">
            <w:pPr>
              <w:keepNext/>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rPr>
            </w:pPr>
          </w:p>
        </w:tc>
      </w:tr>
      <w:tr w14:paraId="4396C6B8" w14:textId="77777777" w:rsidTr="00120988">
        <w:tblPrEx>
          <w:tblW w:w="0" w:type="auto"/>
          <w:tblInd w:w="1098" w:type="dxa"/>
          <w:tblLook w:val="01E0"/>
        </w:tblPrEx>
        <w:trPr>
          <w:cantSplit/>
        </w:trPr>
        <w:tc>
          <w:tcPr>
            <w:tcW w:w="4950" w:type="dxa"/>
            <w:vAlign w:val="bottom"/>
          </w:tcPr>
          <w:p w:rsidR="00C1539A" w:rsidRPr="004E2380" w:rsidP="00C71C7D" w14:paraId="047456AE" w14:textId="0D36C300">
            <w:pPr>
              <w:keepNext/>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E2380">
              <w:rPr>
                <w:rFonts w:ascii="Times New Roman" w:hAnsi="Times New Roman"/>
                <w:sz w:val="24"/>
              </w:rPr>
              <w:t>1</w:t>
            </w:r>
            <w:r w:rsidRPr="004E2380">
              <w:rPr>
                <w:rFonts w:ascii="Times New Roman" w:hAnsi="Times New Roman"/>
                <w:sz w:val="24"/>
              </w:rPr>
              <w:t xml:space="preserve"> GS-15</w:t>
            </w:r>
            <w:r w:rsidRPr="004E2380" w:rsidR="00AB005B">
              <w:rPr>
                <w:rFonts w:ascii="Times New Roman" w:hAnsi="Times New Roman"/>
                <w:sz w:val="24"/>
              </w:rPr>
              <w:t xml:space="preserve"> (step 10)</w:t>
            </w:r>
            <w:r w:rsidRPr="004E2380">
              <w:rPr>
                <w:rFonts w:ascii="Times New Roman" w:hAnsi="Times New Roman"/>
                <w:sz w:val="24"/>
              </w:rPr>
              <w:t xml:space="preserve">: </w:t>
            </w:r>
            <w:r w:rsidRPr="004E2380">
              <w:rPr>
                <w:rFonts w:ascii="Times New Roman" w:hAnsi="Times New Roman"/>
                <w:sz w:val="24"/>
              </w:rPr>
              <w:t>1</w:t>
            </w:r>
            <w:r w:rsidRPr="004E2380">
              <w:rPr>
                <w:rFonts w:ascii="Times New Roman" w:hAnsi="Times New Roman"/>
                <w:sz w:val="24"/>
              </w:rPr>
              <w:t xml:space="preserve"> x $</w:t>
            </w:r>
            <w:r w:rsidRPr="004E2380" w:rsidR="009B0368">
              <w:rPr>
                <w:rFonts w:ascii="Times New Roman" w:hAnsi="Times New Roman"/>
                <w:sz w:val="24"/>
              </w:rPr>
              <w:t>84</w:t>
            </w:r>
            <w:r w:rsidRPr="004E2380" w:rsidR="009B0368">
              <w:rPr>
                <w:rFonts w:ascii="Times New Roman" w:eastAsia="Times New Roman" w:hAnsi="Times New Roman" w:cs="Times New Roman"/>
                <w:sz w:val="24"/>
                <w:szCs w:val="24"/>
              </w:rPr>
              <w:t>.48</w:t>
            </w:r>
            <w:r w:rsidRPr="004E2380" w:rsidR="009B0368">
              <w:rPr>
                <w:rFonts w:ascii="Times New Roman" w:hAnsi="Times New Roman"/>
                <w:sz w:val="24"/>
              </w:rPr>
              <w:t xml:space="preserve"> </w:t>
            </w:r>
            <w:r w:rsidRPr="004E2380">
              <w:rPr>
                <w:rFonts w:ascii="Times New Roman" w:hAnsi="Times New Roman"/>
                <w:sz w:val="24"/>
              </w:rPr>
              <w:t xml:space="preserve">x </w:t>
            </w:r>
            <w:r w:rsidRPr="004E2380" w:rsidR="00271E65">
              <w:rPr>
                <w:rFonts w:ascii="Times New Roman" w:hAnsi="Times New Roman"/>
                <w:sz w:val="24"/>
              </w:rPr>
              <w:t>2</w:t>
            </w:r>
            <w:r w:rsidRPr="004E2380">
              <w:rPr>
                <w:rFonts w:ascii="Times New Roman" w:hAnsi="Times New Roman"/>
                <w:sz w:val="24"/>
              </w:rPr>
              <w:t>0 hours</w:t>
            </w:r>
          </w:p>
        </w:tc>
        <w:tc>
          <w:tcPr>
            <w:tcW w:w="1890" w:type="dxa"/>
            <w:vAlign w:val="bottom"/>
          </w:tcPr>
          <w:p w:rsidR="00C1539A" w:rsidRPr="00A42478" w:rsidP="00C71C7D" w14:paraId="7E2DF180" w14:textId="02885381">
            <w:pPr>
              <w:keepNext/>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rPr>
            </w:pPr>
            <w:r w:rsidRPr="004E2380">
              <w:rPr>
                <w:rFonts w:ascii="Times New Roman" w:hAnsi="Times New Roman"/>
                <w:sz w:val="24"/>
              </w:rPr>
              <w:t>$</w:t>
            </w:r>
            <w:r w:rsidRPr="004E2380" w:rsidR="002C4F4F">
              <w:rPr>
                <w:rFonts w:ascii="Times New Roman" w:hAnsi="Times New Roman"/>
                <w:sz w:val="24"/>
              </w:rPr>
              <w:t>1,</w:t>
            </w:r>
            <w:r w:rsidRPr="004E2380" w:rsidR="002C4F4F">
              <w:rPr>
                <w:rFonts w:ascii="Times New Roman" w:eastAsia="Times New Roman" w:hAnsi="Times New Roman" w:cs="Times New Roman"/>
                <w:sz w:val="24"/>
                <w:szCs w:val="24"/>
              </w:rPr>
              <w:t>689</w:t>
            </w:r>
          </w:p>
        </w:tc>
      </w:tr>
      <w:tr w14:paraId="517E67B4" w14:textId="77777777" w:rsidTr="00120988">
        <w:tblPrEx>
          <w:tblW w:w="0" w:type="auto"/>
          <w:tblInd w:w="1098" w:type="dxa"/>
          <w:tblLook w:val="01E0"/>
        </w:tblPrEx>
        <w:trPr>
          <w:cantSplit/>
        </w:trPr>
        <w:tc>
          <w:tcPr>
            <w:tcW w:w="4950" w:type="dxa"/>
            <w:vAlign w:val="bottom"/>
          </w:tcPr>
          <w:p w:rsidR="00C1539A" w:rsidRPr="004E2380" w:rsidP="00C71C7D" w14:paraId="0A524734" w14:textId="1CB456F3">
            <w:pPr>
              <w:keepNext/>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E2380">
              <w:rPr>
                <w:rFonts w:ascii="Times New Roman" w:hAnsi="Times New Roman"/>
                <w:sz w:val="24"/>
              </w:rPr>
              <w:t>2</w:t>
            </w:r>
            <w:r w:rsidRPr="004E2380">
              <w:rPr>
                <w:rFonts w:ascii="Times New Roman" w:hAnsi="Times New Roman"/>
                <w:sz w:val="24"/>
              </w:rPr>
              <w:t xml:space="preserve"> GS-14</w:t>
            </w:r>
            <w:r w:rsidRPr="004E2380" w:rsidR="00AB005B">
              <w:rPr>
                <w:rFonts w:ascii="Times New Roman" w:hAnsi="Times New Roman"/>
                <w:sz w:val="24"/>
              </w:rPr>
              <w:t xml:space="preserve"> (step 10)</w:t>
            </w:r>
            <w:r w:rsidRPr="004E2380">
              <w:rPr>
                <w:rFonts w:ascii="Times New Roman" w:hAnsi="Times New Roman"/>
                <w:sz w:val="24"/>
              </w:rPr>
              <w:t xml:space="preserve">: </w:t>
            </w:r>
            <w:r w:rsidRPr="004E2380">
              <w:rPr>
                <w:rFonts w:ascii="Times New Roman" w:hAnsi="Times New Roman"/>
                <w:sz w:val="24"/>
              </w:rPr>
              <w:t>2</w:t>
            </w:r>
            <w:r w:rsidRPr="004E2380">
              <w:rPr>
                <w:rFonts w:ascii="Times New Roman" w:hAnsi="Times New Roman"/>
                <w:sz w:val="24"/>
              </w:rPr>
              <w:t xml:space="preserve"> x $</w:t>
            </w:r>
            <w:r w:rsidRPr="004E2380" w:rsidR="009B0368">
              <w:rPr>
                <w:rFonts w:ascii="Times New Roman" w:eastAsia="Times New Roman" w:hAnsi="Times New Roman" w:cs="Times New Roman"/>
                <w:sz w:val="24"/>
                <w:szCs w:val="24"/>
              </w:rPr>
              <w:t>78.63</w:t>
            </w:r>
            <w:r w:rsidRPr="004E2380">
              <w:rPr>
                <w:rFonts w:ascii="Times New Roman" w:hAnsi="Times New Roman"/>
                <w:sz w:val="24"/>
              </w:rPr>
              <w:t xml:space="preserve"> x </w:t>
            </w:r>
            <w:r w:rsidRPr="004E2380" w:rsidR="00573FFF">
              <w:rPr>
                <w:rFonts w:ascii="Times New Roman" w:hAnsi="Times New Roman"/>
                <w:sz w:val="24"/>
              </w:rPr>
              <w:t>8</w:t>
            </w:r>
            <w:r w:rsidRPr="004E2380">
              <w:rPr>
                <w:rFonts w:ascii="Times New Roman" w:hAnsi="Times New Roman"/>
                <w:sz w:val="24"/>
              </w:rPr>
              <w:t>0 hours</w:t>
            </w:r>
          </w:p>
        </w:tc>
        <w:tc>
          <w:tcPr>
            <w:tcW w:w="1890" w:type="dxa"/>
            <w:vAlign w:val="bottom"/>
          </w:tcPr>
          <w:p w:rsidR="00C1539A" w:rsidRPr="00A42478" w:rsidP="00C71C7D" w14:paraId="11825EE0" w14:textId="42F831A9">
            <w:pPr>
              <w:keepNext/>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rPr>
            </w:pPr>
            <w:r w:rsidRPr="004E2380">
              <w:rPr>
                <w:rFonts w:ascii="Times New Roman" w:hAnsi="Times New Roman"/>
                <w:sz w:val="24"/>
              </w:rPr>
              <w:t>$</w:t>
            </w:r>
            <w:r w:rsidRPr="004E2380" w:rsidR="002C4F4F">
              <w:rPr>
                <w:rFonts w:ascii="Times New Roman" w:hAnsi="Times New Roman"/>
                <w:sz w:val="24"/>
              </w:rPr>
              <w:t>12,</w:t>
            </w:r>
            <w:r w:rsidRPr="004E2380" w:rsidR="002C4F4F">
              <w:rPr>
                <w:rFonts w:ascii="Times New Roman" w:eastAsia="Times New Roman" w:hAnsi="Times New Roman" w:cs="Times New Roman"/>
                <w:sz w:val="24"/>
                <w:szCs w:val="24"/>
              </w:rPr>
              <w:t>580</w:t>
            </w:r>
          </w:p>
        </w:tc>
      </w:tr>
      <w:tr w14:paraId="7048796A" w14:textId="77777777" w:rsidTr="00120988">
        <w:tblPrEx>
          <w:tblW w:w="0" w:type="auto"/>
          <w:tblInd w:w="1098" w:type="dxa"/>
          <w:tblLook w:val="01E0"/>
        </w:tblPrEx>
        <w:trPr>
          <w:cantSplit/>
        </w:trPr>
        <w:tc>
          <w:tcPr>
            <w:tcW w:w="4950" w:type="dxa"/>
            <w:vAlign w:val="bottom"/>
          </w:tcPr>
          <w:p w:rsidR="00DC67C5" w:rsidRPr="004E2380" w:rsidP="00C71C7D" w14:paraId="795D444C" w14:textId="21FC77E5">
            <w:pPr>
              <w:keepNext/>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E2380">
              <w:rPr>
                <w:rFonts w:ascii="Times New Roman" w:hAnsi="Times New Roman"/>
                <w:sz w:val="24"/>
              </w:rPr>
              <w:t>2 GS-13</w:t>
            </w:r>
            <w:r w:rsidRPr="004E2380" w:rsidR="00AB005B">
              <w:rPr>
                <w:rFonts w:ascii="Times New Roman" w:hAnsi="Times New Roman"/>
                <w:sz w:val="24"/>
              </w:rPr>
              <w:t xml:space="preserve"> (step 10)</w:t>
            </w:r>
            <w:r w:rsidRPr="004E2380">
              <w:rPr>
                <w:rFonts w:ascii="Times New Roman" w:hAnsi="Times New Roman"/>
                <w:sz w:val="24"/>
              </w:rPr>
              <w:t>: 2 x $</w:t>
            </w:r>
            <w:r w:rsidRPr="004E2380" w:rsidR="009B0368">
              <w:rPr>
                <w:rFonts w:ascii="Times New Roman" w:eastAsia="Times New Roman" w:hAnsi="Times New Roman" w:cs="Times New Roman"/>
                <w:sz w:val="24"/>
                <w:szCs w:val="24"/>
              </w:rPr>
              <w:t>66.54</w:t>
            </w:r>
            <w:r w:rsidRPr="004E2380">
              <w:rPr>
                <w:rFonts w:ascii="Times New Roman" w:hAnsi="Times New Roman"/>
                <w:sz w:val="24"/>
              </w:rPr>
              <w:t xml:space="preserve"> x 40 hours</w:t>
            </w:r>
          </w:p>
        </w:tc>
        <w:tc>
          <w:tcPr>
            <w:tcW w:w="1890" w:type="dxa"/>
            <w:vAlign w:val="bottom"/>
          </w:tcPr>
          <w:p w:rsidR="00DC67C5" w:rsidRPr="00A42478" w:rsidP="00C71C7D" w14:paraId="0A1204A2" w14:textId="46960A45">
            <w:pPr>
              <w:keepNext/>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rPr>
            </w:pPr>
            <w:r w:rsidRPr="004E2380">
              <w:rPr>
                <w:rFonts w:ascii="Times New Roman" w:hAnsi="Times New Roman"/>
                <w:sz w:val="24"/>
              </w:rPr>
              <w:t>$</w:t>
            </w:r>
            <w:r w:rsidRPr="004E2380" w:rsidR="002C4F4F">
              <w:rPr>
                <w:rFonts w:ascii="Times New Roman" w:hAnsi="Times New Roman"/>
                <w:sz w:val="24"/>
              </w:rPr>
              <w:t>5,</w:t>
            </w:r>
            <w:r w:rsidRPr="004E2380" w:rsidR="002C4F4F">
              <w:rPr>
                <w:rFonts w:ascii="Times New Roman" w:eastAsia="Times New Roman" w:hAnsi="Times New Roman" w:cs="Times New Roman"/>
                <w:sz w:val="24"/>
                <w:szCs w:val="24"/>
              </w:rPr>
              <w:t>323</w:t>
            </w:r>
          </w:p>
        </w:tc>
      </w:tr>
      <w:tr w14:paraId="652920FD" w14:textId="77777777" w:rsidTr="00120988">
        <w:tblPrEx>
          <w:tblW w:w="0" w:type="auto"/>
          <w:tblInd w:w="1098" w:type="dxa"/>
          <w:tblLook w:val="01E0"/>
        </w:tblPrEx>
        <w:trPr>
          <w:cantSplit/>
        </w:trPr>
        <w:tc>
          <w:tcPr>
            <w:tcW w:w="4950" w:type="dxa"/>
            <w:vAlign w:val="bottom"/>
          </w:tcPr>
          <w:p w:rsidR="00C1539A" w:rsidRPr="004E2380" w:rsidP="00C71C7D" w14:paraId="2766CB0D" w14:textId="77777777">
            <w:pPr>
              <w:keepNext/>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i/>
                <w:sz w:val="24"/>
              </w:rPr>
            </w:pPr>
            <w:r w:rsidRPr="004E2380">
              <w:rPr>
                <w:rFonts w:ascii="Times New Roman" w:hAnsi="Times New Roman"/>
                <w:i/>
                <w:sz w:val="24"/>
              </w:rPr>
              <w:t>Subtotal</w:t>
            </w:r>
          </w:p>
        </w:tc>
        <w:tc>
          <w:tcPr>
            <w:tcW w:w="1890" w:type="dxa"/>
            <w:vAlign w:val="bottom"/>
          </w:tcPr>
          <w:p w:rsidR="00C1539A" w:rsidRPr="004E2380" w:rsidP="00C71C7D" w14:paraId="2D8868CC" w14:textId="0514DCCD">
            <w:pPr>
              <w:keepNext/>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i/>
                <w:sz w:val="24"/>
              </w:rPr>
            </w:pPr>
            <w:r w:rsidRPr="004E2380">
              <w:rPr>
                <w:rFonts w:ascii="Times New Roman" w:hAnsi="Times New Roman"/>
                <w:i/>
                <w:sz w:val="24"/>
              </w:rPr>
              <w:t>$</w:t>
            </w:r>
            <w:r w:rsidRPr="004E2380" w:rsidR="00C40929">
              <w:rPr>
                <w:rFonts w:ascii="Times New Roman" w:eastAsia="Times New Roman" w:hAnsi="Times New Roman" w:cs="Times New Roman"/>
                <w:i/>
                <w:sz w:val="24"/>
                <w:szCs w:val="24"/>
              </w:rPr>
              <w:t>19,593</w:t>
            </w:r>
          </w:p>
        </w:tc>
      </w:tr>
      <w:tr w14:paraId="736ED40B" w14:textId="77777777" w:rsidTr="00936989">
        <w:tblPrEx>
          <w:tblW w:w="0" w:type="auto"/>
          <w:tblInd w:w="1098" w:type="dxa"/>
          <w:tblLook w:val="01E0"/>
        </w:tblPrEx>
        <w:trPr>
          <w:cantSplit/>
        </w:trPr>
        <w:tc>
          <w:tcPr>
            <w:tcW w:w="4950" w:type="dxa"/>
            <w:shd w:val="clear" w:color="auto" w:fill="F2F2F2" w:themeFill="background1" w:themeFillShade="F2"/>
            <w:vAlign w:val="bottom"/>
          </w:tcPr>
          <w:p w:rsidR="00C1539A" w:rsidRPr="004E2380" w:rsidP="00C71C7D" w14:paraId="75E383AA" w14:textId="77777777">
            <w:pPr>
              <w:keepNext/>
              <w:widowControl w:val="0"/>
              <w:tabs>
                <w:tab w:val="left" w:pos="-3060"/>
                <w:tab w:val="left" w:pos="0"/>
                <w:tab w:val="left" w:pos="432"/>
                <w:tab w:val="left" w:pos="720"/>
              </w:tabs>
              <w:suppressAutoHyphens/>
              <w:autoSpaceDE w:val="0"/>
              <w:autoSpaceDN w:val="0"/>
              <w:adjustRightInd w:val="0"/>
              <w:spacing w:after="0" w:line="240" w:lineRule="auto"/>
              <w:jc w:val="both"/>
              <w:rPr>
                <w:rFonts w:ascii="Times New Roman" w:hAnsi="Times New Roman"/>
                <w:sz w:val="24"/>
              </w:rPr>
            </w:pPr>
            <w:r w:rsidRPr="004E2380">
              <w:rPr>
                <w:rFonts w:ascii="Times New Roman" w:hAnsi="Times New Roman"/>
                <w:sz w:val="24"/>
              </w:rPr>
              <w:t xml:space="preserve">Total </w:t>
            </w:r>
            <w:r w:rsidRPr="004E2380" w:rsidR="00225A8B">
              <w:rPr>
                <w:rFonts w:ascii="Times New Roman" w:hAnsi="Times New Roman"/>
                <w:sz w:val="24"/>
              </w:rPr>
              <w:t>A</w:t>
            </w:r>
            <w:r w:rsidRPr="004E2380" w:rsidR="00304785">
              <w:rPr>
                <w:rFonts w:ascii="Times New Roman" w:hAnsi="Times New Roman"/>
                <w:sz w:val="24"/>
              </w:rPr>
              <w:t>nnual</w:t>
            </w:r>
            <w:r w:rsidRPr="004E2380" w:rsidR="00225A8B">
              <w:rPr>
                <w:rFonts w:ascii="Times New Roman" w:hAnsi="Times New Roman"/>
                <w:sz w:val="24"/>
              </w:rPr>
              <w:t xml:space="preserve"> </w:t>
            </w:r>
            <w:r w:rsidRPr="004E2380">
              <w:rPr>
                <w:rFonts w:ascii="Times New Roman" w:hAnsi="Times New Roman"/>
                <w:sz w:val="24"/>
              </w:rPr>
              <w:t>Cost to the Government</w:t>
            </w:r>
          </w:p>
        </w:tc>
        <w:tc>
          <w:tcPr>
            <w:tcW w:w="1890" w:type="dxa"/>
            <w:shd w:val="clear" w:color="auto" w:fill="F2F2F2" w:themeFill="background1" w:themeFillShade="F2"/>
            <w:vAlign w:val="bottom"/>
          </w:tcPr>
          <w:p w:rsidR="00C1539A" w:rsidRPr="00425BA5" w:rsidP="00C71C7D" w14:paraId="343F1754" w14:textId="0C674EE3">
            <w:pPr>
              <w:keepNext/>
              <w:widowControl w:val="0"/>
              <w:tabs>
                <w:tab w:val="left" w:pos="-3060"/>
                <w:tab w:val="left" w:pos="0"/>
                <w:tab w:val="left" w:pos="432"/>
                <w:tab w:val="left" w:pos="720"/>
              </w:tabs>
              <w:suppressAutoHyphens/>
              <w:autoSpaceDE w:val="0"/>
              <w:autoSpaceDN w:val="0"/>
              <w:adjustRightInd w:val="0"/>
              <w:spacing w:after="0" w:line="240" w:lineRule="auto"/>
              <w:jc w:val="right"/>
              <w:rPr>
                <w:rFonts w:ascii="Times New Roman" w:hAnsi="Times New Roman"/>
                <w:sz w:val="24"/>
              </w:rPr>
            </w:pPr>
            <w:r w:rsidRPr="004E2380">
              <w:rPr>
                <w:rFonts w:ascii="Times New Roman" w:hAnsi="Times New Roman"/>
                <w:sz w:val="24"/>
              </w:rPr>
              <w:t>$</w:t>
            </w:r>
            <w:r w:rsidRPr="004E2380" w:rsidR="002B760D">
              <w:rPr>
                <w:rFonts w:ascii="Times New Roman" w:eastAsia="Times New Roman" w:hAnsi="Times New Roman" w:cs="Times New Roman"/>
                <w:sz w:val="24"/>
                <w:szCs w:val="24"/>
              </w:rPr>
              <w:t>337,49</w:t>
            </w:r>
          </w:p>
        </w:tc>
      </w:tr>
    </w:tbl>
    <w:p w:rsidR="00A55B66" w:rsidRPr="00425BA5" w:rsidP="00D50718" w14:paraId="04D163B8" w14:textId="4CFF3CB4">
      <w:pPr>
        <w:spacing w:before="240" w:after="240" w:line="240" w:lineRule="auto"/>
        <w:rPr>
          <w:rFonts w:ascii="Times New Roman" w:hAnsi="Times New Roman"/>
          <w:sz w:val="24"/>
        </w:rPr>
      </w:pPr>
      <w:r w:rsidRPr="004B62EB">
        <w:rPr>
          <w:rFonts w:ascii="Times New Roman" w:hAnsi="Times New Roman" w:cs="Times New Roman"/>
          <w:sz w:val="24"/>
          <w:szCs w:val="24"/>
        </w:rPr>
        <w:t>Additional costs to the government to prepare these files for release are already accounted for in current estimates (existing staff assignments and contracts), and therefore the cost impact is zero.</w:t>
      </w:r>
    </w:p>
    <w:p w:rsidR="00A55B66" w:rsidRPr="004B62EB" w:rsidP="00D50718" w14:paraId="2E5467B2" w14:textId="76C89EC7">
      <w:pPr>
        <w:pStyle w:val="Heading4"/>
        <w:spacing w:after="240" w:line="240" w:lineRule="auto"/>
      </w:pPr>
      <w:r w:rsidRPr="00FE2E3A">
        <w:rPr>
          <w:b w:val="0"/>
          <w:u w:val="single"/>
        </w:rPr>
        <w:t xml:space="preserve">15. Program Changes </w:t>
      </w:r>
      <w:r w:rsidRPr="00FE2E3A" w:rsidR="00C03F74">
        <w:rPr>
          <w:b w:val="0"/>
          <w:u w:val="single"/>
        </w:rPr>
        <w:t xml:space="preserve">and Burden </w:t>
      </w:r>
      <w:r w:rsidRPr="00FE2E3A">
        <w:rPr>
          <w:b w:val="0"/>
          <w:u w:val="single"/>
        </w:rPr>
        <w:t>Adjustments</w:t>
      </w:r>
    </w:p>
    <w:p w:rsidR="00CF5770" w:rsidRPr="007C5144" w:rsidP="00DC36DA" w14:paraId="025DC243" w14:textId="4F0D65E0">
      <w:pPr>
        <w:spacing w:after="240" w:line="240" w:lineRule="auto"/>
        <w:rPr>
          <w:rFonts w:ascii="Times New Roman" w:hAnsi="Times New Roman" w:cs="Times New Roman"/>
          <w:sz w:val="24"/>
          <w:szCs w:val="24"/>
        </w:rPr>
      </w:pPr>
      <w:r w:rsidRPr="007C5144">
        <w:rPr>
          <w:rFonts w:ascii="Times New Roman" w:hAnsi="Times New Roman" w:cs="Times New Roman"/>
          <w:sz w:val="24"/>
          <w:szCs w:val="24"/>
        </w:rPr>
        <w:t>W</w:t>
      </w:r>
      <w:r w:rsidRPr="007C5144" w:rsidR="002B760D">
        <w:rPr>
          <w:rFonts w:ascii="Times New Roman" w:hAnsi="Times New Roman" w:cs="Times New Roman"/>
          <w:sz w:val="24"/>
          <w:szCs w:val="24"/>
        </w:rPr>
        <w:t xml:space="preserve">e anticipate that the annual data submission burden </w:t>
      </w:r>
      <w:r w:rsidRPr="007C5144" w:rsidR="00623FFF">
        <w:rPr>
          <w:rFonts w:ascii="Times New Roman" w:hAnsi="Times New Roman" w:cs="Times New Roman"/>
          <w:sz w:val="24"/>
          <w:szCs w:val="24"/>
        </w:rPr>
        <w:t>will</w:t>
      </w:r>
      <w:r w:rsidRPr="007C5144" w:rsidR="0083101D">
        <w:rPr>
          <w:rFonts w:ascii="Times New Roman" w:hAnsi="Times New Roman" w:cs="Times New Roman"/>
          <w:sz w:val="24"/>
          <w:szCs w:val="24"/>
        </w:rPr>
        <w:t xml:space="preserve"> increase </w:t>
      </w:r>
      <w:r w:rsidRPr="007C5144" w:rsidR="00623FFF">
        <w:rPr>
          <w:rFonts w:ascii="Times New Roman" w:hAnsi="Times New Roman" w:cs="Times New Roman"/>
          <w:sz w:val="24"/>
          <w:szCs w:val="24"/>
        </w:rPr>
        <w:t>due to the finalized amendments in the May 2022 final rul</w:t>
      </w:r>
      <w:r w:rsidRPr="007C5144" w:rsidR="00BC1393">
        <w:rPr>
          <w:rFonts w:ascii="Times New Roman" w:hAnsi="Times New Roman" w:cs="Times New Roman"/>
          <w:sz w:val="24"/>
          <w:szCs w:val="24"/>
        </w:rPr>
        <w:t>e</w:t>
      </w:r>
      <w:r w:rsidRPr="007C5144" w:rsidR="00623FFF">
        <w:rPr>
          <w:rFonts w:ascii="Times New Roman" w:hAnsi="Times New Roman" w:cs="Times New Roman"/>
          <w:sz w:val="24"/>
          <w:szCs w:val="24"/>
        </w:rPr>
        <w:t xml:space="preserve"> </w:t>
      </w:r>
      <w:r w:rsidRPr="007C5144" w:rsidR="002B760D">
        <w:rPr>
          <w:rFonts w:ascii="Times New Roman" w:hAnsi="Times New Roman" w:cs="Times New Roman"/>
          <w:sz w:val="24"/>
          <w:szCs w:val="24"/>
        </w:rPr>
        <w:t>to reinstate the detailed MLR reporting requirements that were in effect for CYs 2014 through 2017 and to require reporting of additional information that MA organizations and Part D sponsors were not required to submit when the detailed MLR reporting requirements were previously in effect.</w:t>
      </w:r>
      <w:r w:rsidRPr="007C5144" w:rsidR="0083101D">
        <w:rPr>
          <w:rFonts w:ascii="Times New Roman" w:hAnsi="Times New Roman" w:cs="Times New Roman"/>
          <w:sz w:val="24"/>
          <w:szCs w:val="24"/>
        </w:rPr>
        <w:t xml:space="preserve"> </w:t>
      </w:r>
    </w:p>
    <w:p w:rsidR="006C50BA" w:rsidRPr="007C5144" w:rsidP="006C50BA" w14:paraId="7A78ADFC" w14:textId="6162D74A">
      <w:pPr>
        <w:spacing w:after="240" w:line="240" w:lineRule="auto"/>
        <w:rPr>
          <w:rFonts w:ascii="Times New Roman" w:hAnsi="Times New Roman" w:cs="Times New Roman"/>
          <w:sz w:val="24"/>
          <w:szCs w:val="24"/>
        </w:rPr>
      </w:pPr>
      <w:r w:rsidRPr="007C5144">
        <w:rPr>
          <w:rFonts w:ascii="Times New Roman" w:hAnsi="Times New Roman" w:cs="Times New Roman"/>
          <w:color w:val="000000"/>
          <w:sz w:val="24"/>
          <w:szCs w:val="24"/>
        </w:rPr>
        <w:t>As a starting point, we assume that reinstating the detailed MLR reporting requirements that were in effect for C</w:t>
      </w:r>
      <w:r w:rsidRPr="007C5144" w:rsidR="00BD6796">
        <w:rPr>
          <w:rFonts w:ascii="Times New Roman" w:hAnsi="Times New Roman" w:cs="Times New Roman"/>
          <w:color w:val="000000"/>
          <w:sz w:val="24"/>
          <w:szCs w:val="24"/>
        </w:rPr>
        <w:t>Y</w:t>
      </w:r>
      <w:r w:rsidRPr="007C5144">
        <w:rPr>
          <w:rFonts w:ascii="Times New Roman" w:hAnsi="Times New Roman" w:cs="Times New Roman"/>
          <w:color w:val="000000"/>
          <w:sz w:val="24"/>
          <w:szCs w:val="24"/>
        </w:rPr>
        <w:t xml:space="preserve">s 2014 through 2017 </w:t>
      </w:r>
      <w:r w:rsidRPr="007C5144" w:rsidR="00623FFF">
        <w:rPr>
          <w:rFonts w:ascii="Times New Roman" w:hAnsi="Times New Roman" w:cs="Times New Roman"/>
          <w:color w:val="000000"/>
          <w:sz w:val="24"/>
          <w:szCs w:val="24"/>
        </w:rPr>
        <w:t>will</w:t>
      </w:r>
      <w:r w:rsidRPr="007C5144">
        <w:rPr>
          <w:rFonts w:ascii="Times New Roman" w:hAnsi="Times New Roman" w:cs="Times New Roman"/>
          <w:color w:val="000000"/>
          <w:sz w:val="24"/>
          <w:szCs w:val="24"/>
        </w:rPr>
        <w:t xml:space="preserve"> cause the MLR reporting burden to increase by the same amount that the burden decreased when we adopted the current, scaled-back reporting requirements </w:t>
      </w:r>
      <w:r w:rsidRPr="007C5144">
        <w:rPr>
          <w:rFonts w:ascii="Times New Roman" w:hAnsi="Times New Roman" w:cs="Times New Roman"/>
          <w:sz w:val="24"/>
          <w:szCs w:val="24"/>
        </w:rPr>
        <w:t>in the final rule titled “Medicare Program; Contract Year 2019 Policy and Technical Changes to the Medicare Advantage, Medicare Cost Plan, Medicare Fee-for-Service, the Medicare Prescription Drug Benefit Programs, and the PACE Program” (83 FR 16701) (hereinafter referred to as the April 2018 final rule)</w:t>
      </w:r>
      <w:r w:rsidRPr="007C5144">
        <w:rPr>
          <w:rFonts w:ascii="Times New Roman" w:hAnsi="Times New Roman" w:cs="Times New Roman"/>
          <w:color w:val="000000"/>
          <w:sz w:val="24"/>
          <w:szCs w:val="24"/>
        </w:rPr>
        <w:t xml:space="preserve">. </w:t>
      </w:r>
      <w:r w:rsidRPr="007C5144" w:rsidR="00CF5770">
        <w:rPr>
          <w:rFonts w:ascii="Times New Roman" w:hAnsi="Times New Roman" w:cs="Times New Roman"/>
          <w:color w:val="000000"/>
          <w:sz w:val="24"/>
          <w:szCs w:val="24"/>
        </w:rPr>
        <w:t>In the information collection request that had previously (that is, prior to publication of the April 2018 final rule) been approved by OMB under</w:t>
      </w:r>
      <w:r w:rsidRPr="007C5144" w:rsidR="00CF5770">
        <w:rPr>
          <w:rFonts w:ascii="Times New Roman" w:hAnsi="Times New Roman"/>
          <w:color w:val="000000"/>
          <w:sz w:val="24"/>
        </w:rPr>
        <w:t xml:space="preserve"> 0938-</w:t>
      </w:r>
      <w:r w:rsidRPr="007C5144" w:rsidR="00CF5770">
        <w:rPr>
          <w:rFonts w:ascii="Times New Roman" w:hAnsi="Times New Roman" w:cs="Times New Roman"/>
          <w:color w:val="000000"/>
          <w:sz w:val="24"/>
          <w:szCs w:val="24"/>
        </w:rPr>
        <w:t>1232 (CMS-10476), we estimated that, on average, MA organizations and Part D sponsors would spend 47 hours per contract on administrative work related to Medicare MLR reporting, including: collecting data, populating the MLR reporting forms, conducting internal review, submitting the reports to the Secretary, and conducting internal audits.</w:t>
      </w:r>
      <w:r w:rsidRPr="007C5144">
        <w:rPr>
          <w:rFonts w:ascii="Times New Roman" w:hAnsi="Times New Roman" w:cs="Times New Roman"/>
          <w:color w:val="000000"/>
          <w:sz w:val="24"/>
          <w:szCs w:val="24"/>
        </w:rPr>
        <w:t xml:space="preserve"> </w:t>
      </w:r>
      <w:r w:rsidRPr="007C5144">
        <w:rPr>
          <w:rFonts w:ascii="Times New Roman" w:hAnsi="Times New Roman" w:cs="Times New Roman"/>
          <w:sz w:val="24"/>
          <w:szCs w:val="24"/>
        </w:rPr>
        <w:t>The April 2018 final rule estimated that, by eliminating the requirement to submit detailed MLR data, the per-contract burden associated with the above tasks would be reduced from 11.5 hours to 0.5 hours</w:t>
      </w:r>
      <w:r w:rsidRPr="007C5144" w:rsidR="00DC36DA">
        <w:rPr>
          <w:rFonts w:ascii="Times New Roman" w:hAnsi="Times New Roman" w:cs="Times New Roman"/>
          <w:sz w:val="24"/>
          <w:szCs w:val="24"/>
        </w:rPr>
        <w:t>,</w:t>
      </w:r>
      <w:r>
        <w:rPr>
          <w:rStyle w:val="FootnoteReference"/>
          <w:rFonts w:ascii="Times New Roman" w:hAnsi="Times New Roman" w:cs="Times New Roman"/>
          <w:sz w:val="24"/>
          <w:szCs w:val="24"/>
        </w:rPr>
        <w:footnoteReference w:id="3"/>
      </w:r>
      <w:r w:rsidRPr="007C5144" w:rsidR="00DC36DA">
        <w:rPr>
          <w:rFonts w:ascii="Times New Roman" w:hAnsi="Times New Roman" w:cs="Times New Roman"/>
          <w:sz w:val="24"/>
          <w:szCs w:val="24"/>
        </w:rPr>
        <w:t xml:space="preserve"> causing the </w:t>
      </w:r>
      <w:r w:rsidRPr="007C5144" w:rsidR="00521439">
        <w:rPr>
          <w:rFonts w:ascii="Times New Roman" w:hAnsi="Times New Roman" w:cs="Times New Roman"/>
          <w:sz w:val="24"/>
          <w:szCs w:val="24"/>
        </w:rPr>
        <w:t xml:space="preserve">total </w:t>
      </w:r>
      <w:r w:rsidRPr="007C5144" w:rsidR="00DC36DA">
        <w:rPr>
          <w:rFonts w:ascii="Times New Roman" w:hAnsi="Times New Roman" w:cs="Times New Roman"/>
          <w:sz w:val="24"/>
          <w:szCs w:val="24"/>
        </w:rPr>
        <w:t xml:space="preserve">per contract burden </w:t>
      </w:r>
      <w:r w:rsidRPr="007C5144" w:rsidR="00521439">
        <w:rPr>
          <w:rFonts w:ascii="Times New Roman" w:hAnsi="Times New Roman" w:cs="Times New Roman"/>
          <w:sz w:val="24"/>
          <w:szCs w:val="24"/>
        </w:rPr>
        <w:t xml:space="preserve">associated with MLR reporting </w:t>
      </w:r>
      <w:r w:rsidRPr="007C5144" w:rsidR="00DC36DA">
        <w:rPr>
          <w:rFonts w:ascii="Times New Roman" w:hAnsi="Times New Roman" w:cs="Times New Roman"/>
          <w:sz w:val="24"/>
          <w:szCs w:val="24"/>
        </w:rPr>
        <w:t>to decrease from 47 hours to 36 hours.</w:t>
      </w:r>
    </w:p>
    <w:p w:rsidR="00534E82" w:rsidRPr="007C5144" w:rsidP="004B62EB" w14:paraId="4CD3C467" w14:textId="72F0156F">
      <w:pPr>
        <w:spacing w:after="240" w:line="240" w:lineRule="auto"/>
        <w:rPr>
          <w:rFonts w:ascii="Times New Roman" w:hAnsi="Times New Roman" w:cs="Times New Roman"/>
          <w:sz w:val="24"/>
          <w:szCs w:val="24"/>
        </w:rPr>
      </w:pPr>
      <w:r w:rsidRPr="007C5144">
        <w:rPr>
          <w:rFonts w:ascii="Times New Roman" w:hAnsi="Times New Roman" w:cs="Times New Roman"/>
          <w:sz w:val="24"/>
          <w:szCs w:val="24"/>
        </w:rPr>
        <w:t xml:space="preserve">As explained in the </w:t>
      </w:r>
      <w:r w:rsidRPr="007C5144" w:rsidR="00BC1393">
        <w:rPr>
          <w:rFonts w:ascii="Times New Roman" w:hAnsi="Times New Roman" w:cs="Times New Roman"/>
          <w:sz w:val="24"/>
          <w:szCs w:val="24"/>
        </w:rPr>
        <w:t>May</w:t>
      </w:r>
      <w:r w:rsidRPr="007C5144">
        <w:rPr>
          <w:rFonts w:ascii="Times New Roman" w:hAnsi="Times New Roman" w:cs="Times New Roman"/>
          <w:sz w:val="24"/>
          <w:szCs w:val="24"/>
        </w:rPr>
        <w:t xml:space="preserve"> 2022 </w:t>
      </w:r>
      <w:r w:rsidRPr="007C5144" w:rsidR="00BC1393">
        <w:rPr>
          <w:rFonts w:ascii="Times New Roman" w:hAnsi="Times New Roman" w:cs="Times New Roman"/>
          <w:sz w:val="24"/>
          <w:szCs w:val="24"/>
        </w:rPr>
        <w:t>final</w:t>
      </w:r>
      <w:r w:rsidRPr="007C5144">
        <w:rPr>
          <w:rFonts w:ascii="Times New Roman" w:hAnsi="Times New Roman" w:cs="Times New Roman"/>
          <w:sz w:val="24"/>
          <w:szCs w:val="24"/>
        </w:rPr>
        <w:t xml:space="preserve"> rule, we now recognize that not all MA organizations and Part D sponsors were required to correct or provide explanations for suspected errors or omissions in their MLR submissions when the detailed MLR reporting requirements were in effect, which was one of the burdens that CMS factored in to its estimate that the per contract burden of completing the detailed MLR reporting form used for C</w:t>
      </w:r>
      <w:r w:rsidRPr="007C5144" w:rsidR="00BD6796">
        <w:rPr>
          <w:rFonts w:ascii="Times New Roman" w:hAnsi="Times New Roman" w:cs="Times New Roman"/>
          <w:sz w:val="24"/>
          <w:szCs w:val="24"/>
        </w:rPr>
        <w:t>Y</w:t>
      </w:r>
      <w:r w:rsidRPr="007C5144">
        <w:rPr>
          <w:rFonts w:ascii="Times New Roman" w:hAnsi="Times New Roman" w:cs="Times New Roman"/>
          <w:sz w:val="24"/>
          <w:szCs w:val="24"/>
        </w:rPr>
        <w:t>s 2014 through 2017 had been 11.5 hours. After adjusting our estimate to reflect the percentage of contracts that actually had to correct or provide explanations for their MLR submissions for C</w:t>
      </w:r>
      <w:r w:rsidRPr="007C5144" w:rsidR="00BD6796">
        <w:rPr>
          <w:rFonts w:ascii="Times New Roman" w:hAnsi="Times New Roman" w:cs="Times New Roman"/>
          <w:sz w:val="24"/>
          <w:szCs w:val="24"/>
        </w:rPr>
        <w:t>Y</w:t>
      </w:r>
      <w:r w:rsidRPr="007C5144">
        <w:rPr>
          <w:rFonts w:ascii="Times New Roman" w:hAnsi="Times New Roman" w:cs="Times New Roman"/>
          <w:sz w:val="24"/>
          <w:szCs w:val="24"/>
        </w:rPr>
        <w:t xml:space="preserve">s 2014 through 2017, </w:t>
      </w:r>
      <w:r w:rsidRPr="007C5144">
        <w:rPr>
          <w:rFonts w:ascii="Times New Roman" w:hAnsi="Times New Roman" w:cs="Times New Roman"/>
          <w:sz w:val="24"/>
          <w:szCs w:val="24"/>
        </w:rPr>
        <w:t xml:space="preserve">we now estimate that the </w:t>
      </w:r>
      <w:r w:rsidRPr="007C5144" w:rsidR="00F229C0">
        <w:rPr>
          <w:rFonts w:ascii="Times New Roman" w:hAnsi="Times New Roman" w:cs="Times New Roman"/>
          <w:sz w:val="24"/>
          <w:szCs w:val="24"/>
        </w:rPr>
        <w:t xml:space="preserve">per-contract burden associated with completing the detailed MLR report was </w:t>
      </w:r>
      <w:r w:rsidRPr="007C5144">
        <w:rPr>
          <w:rFonts w:ascii="Times New Roman" w:hAnsi="Times New Roman" w:cs="Times New Roman"/>
          <w:sz w:val="24"/>
          <w:szCs w:val="24"/>
        </w:rPr>
        <w:t xml:space="preserve">10.75 hours. This is relevant because it means that the additional burden associated with the changes in the </w:t>
      </w:r>
      <w:r w:rsidRPr="007C5144" w:rsidR="00BC1393">
        <w:rPr>
          <w:rFonts w:ascii="Times New Roman" w:hAnsi="Times New Roman" w:cs="Times New Roman"/>
          <w:sz w:val="24"/>
          <w:szCs w:val="24"/>
        </w:rPr>
        <w:t>May</w:t>
      </w:r>
      <w:r w:rsidRPr="007C5144">
        <w:rPr>
          <w:rFonts w:ascii="Times New Roman" w:hAnsi="Times New Roman" w:cs="Times New Roman"/>
          <w:sz w:val="24"/>
          <w:szCs w:val="24"/>
        </w:rPr>
        <w:t xml:space="preserve"> 2022 </w:t>
      </w:r>
      <w:r w:rsidRPr="007C5144" w:rsidR="00BC1393">
        <w:rPr>
          <w:rFonts w:ascii="Times New Roman" w:hAnsi="Times New Roman" w:cs="Times New Roman"/>
          <w:sz w:val="24"/>
          <w:szCs w:val="24"/>
        </w:rPr>
        <w:t>final</w:t>
      </w:r>
      <w:r w:rsidRPr="007C5144">
        <w:rPr>
          <w:rFonts w:ascii="Times New Roman" w:hAnsi="Times New Roman" w:cs="Times New Roman"/>
          <w:sz w:val="24"/>
          <w:szCs w:val="24"/>
        </w:rPr>
        <w:t xml:space="preserve"> rule should reflect that the current MLR reporting burden is 36.75 hours</w:t>
      </w:r>
      <w:r>
        <w:rPr>
          <w:rStyle w:val="FootnoteReference"/>
          <w:rFonts w:ascii="Times New Roman" w:hAnsi="Times New Roman" w:cs="Times New Roman"/>
          <w:sz w:val="24"/>
          <w:szCs w:val="24"/>
        </w:rPr>
        <w:footnoteReference w:id="4"/>
      </w:r>
      <w:r w:rsidRPr="007C5144">
        <w:rPr>
          <w:rFonts w:ascii="Times New Roman" w:hAnsi="Times New Roman" w:cs="Times New Roman"/>
          <w:sz w:val="24"/>
          <w:szCs w:val="24"/>
        </w:rPr>
        <w:t xml:space="preserve"> (47 hours (total administrative burden) minus 10.75 hours (burden associated with detailed MLR reporting form) plus 0.5 hours (burden associated with current, non-detailed MLR Data Form)), as opposed to 36 hours (47 hours (total administrative burden) minus 11.5 hours (April 2018 final rule’s estimate of the burden associated with completing the detailed MLR reporting form) plus 0.5 hours (burden associated with current, non-detailed MLR Data Form)).</w:t>
      </w:r>
      <w:r w:rsidRPr="007C5144" w:rsidR="00DC36DA">
        <w:rPr>
          <w:rFonts w:ascii="Times New Roman" w:hAnsi="Times New Roman" w:cs="Times New Roman"/>
          <w:sz w:val="24"/>
          <w:szCs w:val="24"/>
        </w:rPr>
        <w:t xml:space="preserve"> </w:t>
      </w:r>
      <w:r w:rsidRPr="007C5144" w:rsidR="00AC60F6">
        <w:rPr>
          <w:rFonts w:ascii="Times New Roman" w:hAnsi="Times New Roman" w:cs="Times New Roman"/>
          <w:sz w:val="24"/>
          <w:szCs w:val="24"/>
        </w:rPr>
        <w:t>We note that this refinement to our prior 11.5-hour time estimate does not affect our estimate that MA organizations and Part D sponsors spent 47 hours per contract on administrative work under the MLR reporting requirements in effect for C</w:t>
      </w:r>
      <w:r w:rsidRPr="007C5144" w:rsidR="00BD6796">
        <w:rPr>
          <w:rFonts w:ascii="Times New Roman" w:hAnsi="Times New Roman" w:cs="Times New Roman"/>
          <w:sz w:val="24"/>
          <w:szCs w:val="24"/>
        </w:rPr>
        <w:t>Y</w:t>
      </w:r>
      <w:r w:rsidRPr="007C5144" w:rsidR="00AC60F6">
        <w:rPr>
          <w:rFonts w:ascii="Times New Roman" w:hAnsi="Times New Roman" w:cs="Times New Roman"/>
          <w:sz w:val="24"/>
          <w:szCs w:val="24"/>
        </w:rPr>
        <w:t xml:space="preserve">s 2014 through 2017 (Row (1) in Table 5). Instead, it causes the estimated time to complete the detailed MLR reporting form to decrease from 11.5 hours to 10.75 hours, with the remaining administrative tasks </w:t>
      </w:r>
      <w:r w:rsidRPr="007C5144" w:rsidR="00521439">
        <w:rPr>
          <w:rFonts w:ascii="Times New Roman" w:hAnsi="Times New Roman" w:cs="Times New Roman"/>
          <w:sz w:val="24"/>
          <w:szCs w:val="24"/>
        </w:rPr>
        <w:t xml:space="preserve">associated with MLR reporting </w:t>
      </w:r>
      <w:r w:rsidRPr="007C5144" w:rsidR="00AC60F6">
        <w:rPr>
          <w:rFonts w:ascii="Times New Roman" w:hAnsi="Times New Roman" w:cs="Times New Roman"/>
          <w:sz w:val="24"/>
          <w:szCs w:val="24"/>
        </w:rPr>
        <w:t xml:space="preserve">now estimated as taking the other 36.25 hours (47 hours – 10.75 hours). </w:t>
      </w:r>
      <w:r w:rsidRPr="007C5144" w:rsidR="00100FC3">
        <w:rPr>
          <w:rFonts w:ascii="Times New Roman" w:hAnsi="Times New Roman" w:cs="Times New Roman"/>
          <w:sz w:val="24"/>
          <w:szCs w:val="24"/>
        </w:rPr>
        <w:t>Because</w:t>
      </w:r>
      <w:r w:rsidRPr="007C5144">
        <w:rPr>
          <w:rFonts w:ascii="Times New Roman" w:hAnsi="Times New Roman" w:cs="Times New Roman"/>
          <w:sz w:val="24"/>
          <w:szCs w:val="24"/>
        </w:rPr>
        <w:t xml:space="preserve"> the proposed changes to the MLR reporting requirements </w:t>
      </w:r>
      <w:r w:rsidRPr="007C5144" w:rsidR="00100FC3">
        <w:rPr>
          <w:rFonts w:ascii="Times New Roman" w:hAnsi="Times New Roman" w:cs="Times New Roman"/>
          <w:sz w:val="24"/>
          <w:szCs w:val="24"/>
        </w:rPr>
        <w:t>were</w:t>
      </w:r>
      <w:r w:rsidRPr="007C5144">
        <w:rPr>
          <w:rFonts w:ascii="Times New Roman" w:hAnsi="Times New Roman" w:cs="Times New Roman"/>
          <w:sz w:val="24"/>
          <w:szCs w:val="24"/>
        </w:rPr>
        <w:t xml:space="preserve"> finalized, CMS expects to resume development of the MLR reporting software, and to update the data collection fields and built-in formulas so that the MLR reporting software calculates the MLR consistent with all amendments to the MLR regulations that CMS has finalized since CY 2017. In making these updates, CMS </w:t>
      </w:r>
      <w:r w:rsidRPr="007C5144" w:rsidR="00100FC3">
        <w:rPr>
          <w:rFonts w:ascii="Times New Roman" w:hAnsi="Times New Roman" w:cs="Times New Roman"/>
          <w:sz w:val="24"/>
          <w:szCs w:val="24"/>
        </w:rPr>
        <w:t>will</w:t>
      </w:r>
      <w:r w:rsidRPr="007C5144">
        <w:rPr>
          <w:rFonts w:ascii="Times New Roman" w:hAnsi="Times New Roman" w:cs="Times New Roman"/>
          <w:sz w:val="24"/>
          <w:szCs w:val="24"/>
        </w:rPr>
        <w:t xml:space="preserve"> revise the programming of the MLR reporting software so that it automatically calculates and applies the appropriate deductible factor for MA MSA contracts, as determined under § 422.2440.  Because MA organizations </w:t>
      </w:r>
      <w:r w:rsidRPr="007C5144" w:rsidR="00100FC3">
        <w:rPr>
          <w:rFonts w:ascii="Times New Roman" w:hAnsi="Times New Roman" w:cs="Times New Roman"/>
          <w:sz w:val="24"/>
          <w:szCs w:val="24"/>
        </w:rPr>
        <w:t>will</w:t>
      </w:r>
      <w:r w:rsidRPr="007C5144">
        <w:rPr>
          <w:rFonts w:ascii="Times New Roman" w:hAnsi="Times New Roman" w:cs="Times New Roman"/>
          <w:sz w:val="24"/>
          <w:szCs w:val="24"/>
        </w:rPr>
        <w:t xml:space="preserve"> no longer be responsible for calculating the deductible factor, the burden associated with performing that calculation would be eliminated. For information collection</w:t>
      </w:r>
      <w:r w:rsidRPr="007C5144" w:rsidR="00366B1E">
        <w:rPr>
          <w:rFonts w:ascii="Times New Roman" w:hAnsi="Times New Roman" w:cs="Times New Roman"/>
          <w:sz w:val="24"/>
          <w:szCs w:val="24"/>
        </w:rPr>
        <w:t xml:space="preserve"> that was in place leading up to the implementation of the May 2022 final rule</w:t>
      </w:r>
      <w:r w:rsidRPr="007C5144">
        <w:rPr>
          <w:rFonts w:ascii="Times New Roman" w:hAnsi="Times New Roman" w:cs="Times New Roman"/>
          <w:sz w:val="24"/>
          <w:szCs w:val="24"/>
        </w:rPr>
        <w:t xml:space="preserve">, which was based on estimates included in the February 2020 final rule, we anticipated that 8 MA organizations that would offer MA MSA contracts in 2021 and in each year through 2030, and that it would take an actuary approximately 5 minutes (1/12 hour) to calculate the deductible factor for each MSA contract. In aggregate, we estimated an annual burden of 0.67 hours (5 min/60 * 8 MA organizations). The per-contract burden for MA and Part D contracts was estimated to be 0.00114 hours (0.67 hr / 587 contracts). However, as of January 2022, there are only 4 MSA contracts, and as noted above, we now estimate that 601 contracts are subject to the MLR reporting requirements. In light of these facts, we now estimate an aggregate annual burden of 0.33 hours (5 min/60 * 4 MA organizations) and a per-contract burden of 0.00055 hours (0.33 hr / 601 contracts).  Because this burden </w:t>
      </w:r>
      <w:r w:rsidRPr="007C5144" w:rsidR="00366B1E">
        <w:rPr>
          <w:rFonts w:ascii="Times New Roman" w:hAnsi="Times New Roman" w:cs="Times New Roman"/>
          <w:sz w:val="24"/>
          <w:szCs w:val="24"/>
        </w:rPr>
        <w:t>will</w:t>
      </w:r>
      <w:r w:rsidRPr="007C5144">
        <w:rPr>
          <w:rFonts w:ascii="Times New Roman" w:hAnsi="Times New Roman" w:cs="Times New Roman"/>
          <w:sz w:val="24"/>
          <w:szCs w:val="24"/>
        </w:rPr>
        <w:t xml:space="preserve"> be eliminated under our </w:t>
      </w:r>
      <w:r w:rsidRPr="007C5144" w:rsidR="00366B1E">
        <w:rPr>
          <w:rFonts w:ascii="Times New Roman" w:hAnsi="Times New Roman" w:cs="Times New Roman"/>
          <w:sz w:val="24"/>
          <w:szCs w:val="24"/>
        </w:rPr>
        <w:t>May 2022 final rule amendments</w:t>
      </w:r>
      <w:r w:rsidRPr="007C5144">
        <w:rPr>
          <w:rFonts w:ascii="Times New Roman" w:hAnsi="Times New Roman" w:cs="Times New Roman"/>
          <w:sz w:val="24"/>
          <w:szCs w:val="24"/>
        </w:rPr>
        <w:t>, we exclude this burden from the summary table below.</w:t>
      </w:r>
    </w:p>
    <w:p w:rsidR="00AD2B77" w:rsidRPr="007C5144" w:rsidP="0083101D" w14:paraId="01DBA0E8" w14:textId="01D03C5E">
      <w:pPr>
        <w:spacing w:after="240" w:line="240" w:lineRule="auto"/>
        <w:rPr>
          <w:rFonts w:ascii="Times New Roman" w:hAnsi="Times New Roman" w:cs="Times New Roman"/>
          <w:sz w:val="24"/>
          <w:szCs w:val="24"/>
        </w:rPr>
      </w:pPr>
      <w:r w:rsidRPr="007C5144">
        <w:rPr>
          <w:rFonts w:ascii="Times New Roman" w:hAnsi="Times New Roman" w:cs="Times New Roman"/>
          <w:sz w:val="24"/>
          <w:szCs w:val="24"/>
        </w:rPr>
        <w:t xml:space="preserve">As noted above, in addition to </w:t>
      </w:r>
      <w:r w:rsidRPr="007C5144" w:rsidR="00164FE9">
        <w:rPr>
          <w:rFonts w:ascii="Times New Roman" w:hAnsi="Times New Roman" w:cs="Times New Roman"/>
          <w:sz w:val="24"/>
          <w:szCs w:val="24"/>
        </w:rPr>
        <w:t xml:space="preserve">the </w:t>
      </w:r>
      <w:r w:rsidRPr="007C5144">
        <w:rPr>
          <w:rFonts w:ascii="Times New Roman" w:hAnsi="Times New Roman" w:cs="Times New Roman"/>
          <w:sz w:val="24"/>
          <w:szCs w:val="24"/>
        </w:rPr>
        <w:t>reinstate</w:t>
      </w:r>
      <w:r w:rsidRPr="007C5144" w:rsidR="00164FE9">
        <w:rPr>
          <w:rFonts w:ascii="Times New Roman" w:hAnsi="Times New Roman" w:cs="Times New Roman"/>
          <w:sz w:val="24"/>
          <w:szCs w:val="24"/>
        </w:rPr>
        <w:t>ment</w:t>
      </w:r>
      <w:r w:rsidRPr="007C5144" w:rsidR="00A60B28">
        <w:rPr>
          <w:rFonts w:ascii="Times New Roman" w:hAnsi="Times New Roman" w:cs="Times New Roman"/>
          <w:sz w:val="24"/>
          <w:szCs w:val="24"/>
        </w:rPr>
        <w:t xml:space="preserve"> of</w:t>
      </w:r>
      <w:r w:rsidRPr="007C5144">
        <w:rPr>
          <w:rFonts w:ascii="Times New Roman" w:hAnsi="Times New Roman" w:cs="Times New Roman"/>
          <w:sz w:val="24"/>
          <w:szCs w:val="24"/>
        </w:rPr>
        <w:t xml:space="preserve"> </w:t>
      </w:r>
      <w:r w:rsidRPr="007C5144" w:rsidR="00534E82">
        <w:rPr>
          <w:rFonts w:ascii="Times New Roman" w:hAnsi="Times New Roman" w:cs="Times New Roman"/>
          <w:sz w:val="24"/>
          <w:szCs w:val="24"/>
        </w:rPr>
        <w:t xml:space="preserve">the detailed MLR reporting requirements in effect for 2014 through 2017, </w:t>
      </w:r>
      <w:r w:rsidRPr="007C5144">
        <w:rPr>
          <w:rFonts w:ascii="Times New Roman" w:hAnsi="Times New Roman" w:cs="Times New Roman"/>
          <w:sz w:val="24"/>
          <w:szCs w:val="24"/>
        </w:rPr>
        <w:t>CMS is</w:t>
      </w:r>
      <w:r w:rsidRPr="007C5144" w:rsidR="00895074">
        <w:rPr>
          <w:rFonts w:ascii="Times New Roman" w:hAnsi="Times New Roman" w:cs="Times New Roman"/>
          <w:sz w:val="24"/>
          <w:szCs w:val="24"/>
        </w:rPr>
        <w:t xml:space="preserve"> </w:t>
      </w:r>
      <w:r w:rsidRPr="007C5144" w:rsidR="0083101D">
        <w:rPr>
          <w:rFonts w:ascii="Times New Roman" w:hAnsi="Times New Roman" w:cs="Times New Roman"/>
          <w:sz w:val="24"/>
          <w:szCs w:val="24"/>
        </w:rPr>
        <w:t>requir</w:t>
      </w:r>
      <w:r w:rsidRPr="007C5144" w:rsidR="00164FE9">
        <w:rPr>
          <w:rFonts w:ascii="Times New Roman" w:hAnsi="Times New Roman" w:cs="Times New Roman"/>
          <w:sz w:val="24"/>
          <w:szCs w:val="24"/>
        </w:rPr>
        <w:t>ing</w:t>
      </w:r>
      <w:r w:rsidRPr="007C5144" w:rsidR="0083101D">
        <w:rPr>
          <w:rFonts w:ascii="Times New Roman" w:hAnsi="Times New Roman" w:cs="Times New Roman"/>
          <w:sz w:val="24"/>
          <w:szCs w:val="24"/>
        </w:rPr>
        <w:t xml:space="preserve"> that MA organizations provide more detailed information on the portion of the incurred claims component of the MLR numerator that represents expenditures for </w:t>
      </w:r>
      <w:r w:rsidRPr="007C5144">
        <w:rPr>
          <w:rFonts w:ascii="Times New Roman" w:hAnsi="Times New Roman" w:cs="Times New Roman"/>
          <w:sz w:val="24"/>
          <w:szCs w:val="24"/>
        </w:rPr>
        <w:t xml:space="preserve">MA </w:t>
      </w:r>
      <w:r w:rsidRPr="007C5144" w:rsidR="0083101D">
        <w:rPr>
          <w:rFonts w:ascii="Times New Roman" w:hAnsi="Times New Roman" w:cs="Times New Roman"/>
          <w:sz w:val="24"/>
          <w:szCs w:val="24"/>
        </w:rPr>
        <w:t>supplemental benefits.</w:t>
      </w:r>
      <w:r w:rsidRPr="007C5144" w:rsidR="003B14C0">
        <w:t xml:space="preserve"> </w:t>
      </w:r>
      <w:r w:rsidR="00350A59">
        <w:rPr>
          <w:rFonts w:ascii="Times New Roman" w:hAnsi="Times New Roman" w:cs="Times New Roman"/>
          <w:sz w:val="24"/>
          <w:szCs w:val="24"/>
        </w:rPr>
        <w:t>Please see</w:t>
      </w:r>
      <w:r w:rsidRPr="007C5144" w:rsidR="003B14C0">
        <w:rPr>
          <w:rFonts w:ascii="Times New Roman" w:hAnsi="Times New Roman" w:cs="Times New Roman"/>
          <w:sz w:val="24"/>
          <w:szCs w:val="24"/>
        </w:rPr>
        <w:t xml:space="preserve"> the proposed rule at 87 FR 1907 through 1908</w:t>
      </w:r>
      <w:r w:rsidR="00350A59">
        <w:rPr>
          <w:rFonts w:ascii="Times New Roman" w:hAnsi="Times New Roman" w:cs="Times New Roman"/>
          <w:sz w:val="24"/>
          <w:szCs w:val="24"/>
        </w:rPr>
        <w:t xml:space="preserve"> for a discussion of </w:t>
      </w:r>
      <w:r w:rsidRPr="007C5144" w:rsidR="003B14C0">
        <w:rPr>
          <w:rFonts w:ascii="Times New Roman" w:hAnsi="Times New Roman" w:cs="Times New Roman"/>
          <w:sz w:val="24"/>
          <w:szCs w:val="24"/>
        </w:rPr>
        <w:t xml:space="preserve">the factors that we took into consideration in compiling the list of supplemental benefit types and categories in the proposed rule. First, data elements and categories should enable a thorough reporting of data elements in categories that support MLR calculation, reduce errors in reporting, and increase our ability to verify data reporting accuracy. </w:t>
      </w:r>
      <w:r w:rsidRPr="007C5144" w:rsidR="003B14C0">
        <w:rPr>
          <w:rFonts w:ascii="Times New Roman" w:hAnsi="Times New Roman" w:cs="Times New Roman"/>
          <w:sz w:val="24"/>
          <w:szCs w:val="24"/>
        </w:rPr>
        <w:t>Second, data elements and categories for supplemental benefits should be selected to provide transparency into how MA program payments are allocated and may focus on specific benefits, such as the non-primarily health related supplemental benefits offered to the SSBCI population, for the purposes of providing CMS with information on the impact of a specific benefit change. Third, we will take into consideration the percentage of MA plans that offer each type of supplemental benefit in the most recent year for which data on plan benefit packages is available (that is, looking at CY 2022 for developing the CY 2023 Reporting Tool), so that the lines we add to the MLR Reporting Tool are more likely to allow for comparison of MA organizations’ expenditures on types of supplemental benefits that are widely offered. Fourth, in establishing the scope of data fields and categories for supplemental benefits, we acknowledge the trade-offs between the additional information gained from changing requirements and the additional burden placed on MA organizations and Part D sponsors brought about by changing requirements. We will take the balance between the increased value of additional information and the increased reporting burden into account in developing requirements.</w:t>
      </w:r>
      <w:r w:rsidRPr="007C5144" w:rsidR="0083101D">
        <w:rPr>
          <w:rFonts w:ascii="Times New Roman" w:hAnsi="Times New Roman" w:cs="Times New Roman"/>
          <w:sz w:val="24"/>
          <w:szCs w:val="24"/>
        </w:rPr>
        <w:t xml:space="preserve"> </w:t>
      </w:r>
    </w:p>
    <w:p w:rsidR="000A5845" w:rsidP="0083101D" w14:paraId="3E098215" w14:textId="2CA88597">
      <w:pPr>
        <w:spacing w:after="240" w:line="240" w:lineRule="auto"/>
        <w:rPr>
          <w:rFonts w:ascii="Times New Roman" w:hAnsi="Times New Roman" w:cs="Times New Roman"/>
          <w:sz w:val="24"/>
          <w:szCs w:val="24"/>
        </w:rPr>
      </w:pPr>
      <w:r w:rsidRPr="007C5144">
        <w:rPr>
          <w:rFonts w:ascii="Times New Roman" w:hAnsi="Times New Roman" w:cs="Times New Roman"/>
          <w:sz w:val="24"/>
          <w:szCs w:val="24"/>
        </w:rPr>
        <w:t xml:space="preserve">The </w:t>
      </w:r>
      <w:r w:rsidRPr="007C5144" w:rsidR="00871DF2">
        <w:rPr>
          <w:rFonts w:ascii="Times New Roman" w:hAnsi="Times New Roman" w:cs="Times New Roman"/>
          <w:sz w:val="24"/>
          <w:szCs w:val="24"/>
        </w:rPr>
        <w:t xml:space="preserve">May 2022 </w:t>
      </w:r>
      <w:r w:rsidRPr="007C5144">
        <w:rPr>
          <w:rFonts w:ascii="Times New Roman" w:hAnsi="Times New Roman" w:cs="Times New Roman"/>
          <w:sz w:val="24"/>
          <w:szCs w:val="24"/>
        </w:rPr>
        <w:t>final rule also stated that</w:t>
      </w:r>
      <w:r w:rsidRPr="007C5144">
        <w:t xml:space="preserve"> </w:t>
      </w:r>
      <w:r w:rsidRPr="007C5144">
        <w:rPr>
          <w:rFonts w:ascii="Times New Roman" w:hAnsi="Times New Roman" w:cs="Times New Roman"/>
          <w:sz w:val="24"/>
          <w:szCs w:val="24"/>
        </w:rPr>
        <w:t>CMS</w:t>
      </w:r>
      <w:r w:rsidRPr="007C5144" w:rsidR="000D25DD">
        <w:rPr>
          <w:rFonts w:ascii="Times New Roman" w:hAnsi="Times New Roman" w:cs="Times New Roman"/>
          <w:sz w:val="24"/>
          <w:szCs w:val="24"/>
        </w:rPr>
        <w:t xml:space="preserve"> is</w:t>
      </w:r>
      <w:r w:rsidRPr="007C5144">
        <w:rPr>
          <w:rFonts w:ascii="Times New Roman" w:hAnsi="Times New Roman" w:cs="Times New Roman"/>
          <w:sz w:val="24"/>
          <w:szCs w:val="24"/>
        </w:rPr>
        <w:t xml:space="preserve"> to retain flexibility to modify the scope of data fields and the specific list of supplemental benefit categories required to be reported on the MLR Report</w:t>
      </w:r>
      <w:r w:rsidR="00A131B8">
        <w:rPr>
          <w:rFonts w:ascii="Times New Roman" w:hAnsi="Times New Roman" w:cs="Times New Roman"/>
          <w:sz w:val="24"/>
          <w:szCs w:val="24"/>
        </w:rPr>
        <w:t xml:space="preserve"> Workbook</w:t>
      </w:r>
      <w:r w:rsidRPr="007C5144">
        <w:rPr>
          <w:rFonts w:ascii="Times New Roman" w:hAnsi="Times New Roman" w:cs="Times New Roman"/>
          <w:sz w:val="24"/>
          <w:szCs w:val="24"/>
        </w:rPr>
        <w:t xml:space="preserve">. Maintaining this flexibility will allow CMS to collect data that is sufficiently detailed to enable us to understand benefit expenditures and verify and increase accountability for the accuracy of MLR calculation. The intent is not to create a more detailed but static MLR report; </w:t>
      </w:r>
      <w:r w:rsidRPr="007C5144" w:rsidR="00426710">
        <w:rPr>
          <w:rFonts w:ascii="Times New Roman" w:hAnsi="Times New Roman" w:cs="Times New Roman"/>
          <w:sz w:val="24"/>
          <w:szCs w:val="24"/>
        </w:rPr>
        <w:t xml:space="preserve">but </w:t>
      </w:r>
      <w:r w:rsidRPr="007C5144">
        <w:rPr>
          <w:rFonts w:ascii="Times New Roman" w:hAnsi="Times New Roman" w:cs="Times New Roman"/>
          <w:sz w:val="24"/>
          <w:szCs w:val="24"/>
        </w:rPr>
        <w:t>rather</w:t>
      </w:r>
      <w:r w:rsidRPr="007C5144" w:rsidR="00426710">
        <w:rPr>
          <w:rFonts w:ascii="Times New Roman" w:hAnsi="Times New Roman" w:cs="Times New Roman"/>
          <w:sz w:val="24"/>
          <w:szCs w:val="24"/>
        </w:rPr>
        <w:t xml:space="preserve">, </w:t>
      </w:r>
      <w:r w:rsidRPr="007C5144">
        <w:rPr>
          <w:rFonts w:ascii="Times New Roman" w:hAnsi="Times New Roman" w:cs="Times New Roman"/>
          <w:sz w:val="24"/>
          <w:szCs w:val="24"/>
        </w:rPr>
        <w:t>to enable reporting requirements that support the program needs, such as supporting MLR calculation, verifying data reporting accuracy, gaining insight into supplemental benefit policies, and providing transparency into program expenditure allocation</w:t>
      </w:r>
    </w:p>
    <w:p w:rsidR="0083101D" w:rsidRPr="007C5144" w:rsidP="0083101D" w14:paraId="7983C5CD" w14:textId="0D3619FC">
      <w:p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446993">
        <w:rPr>
          <w:rFonts w:ascii="Times New Roman" w:hAnsi="Times New Roman" w:cs="Times New Roman"/>
          <w:sz w:val="24"/>
          <w:szCs w:val="24"/>
        </w:rPr>
        <w:t>more detailed</w:t>
      </w:r>
      <w:r>
        <w:rPr>
          <w:rFonts w:ascii="Times New Roman" w:hAnsi="Times New Roman" w:cs="Times New Roman"/>
          <w:sz w:val="24"/>
          <w:szCs w:val="24"/>
        </w:rPr>
        <w:t xml:space="preserve"> reporting requirements resulted in updates to both MLR Report Workbook</w:t>
      </w:r>
      <w:r w:rsidRPr="00446993" w:rsidR="00446993">
        <w:rPr>
          <w:rFonts w:ascii="Times New Roman" w:hAnsi="Times New Roman" w:cs="Times New Roman"/>
          <w:sz w:val="24"/>
          <w:szCs w:val="24"/>
        </w:rPr>
        <w:t xml:space="preserve"> </w:t>
      </w:r>
      <w:r w:rsidR="00446993">
        <w:rPr>
          <w:rFonts w:ascii="Times New Roman" w:hAnsi="Times New Roman" w:cs="Times New Roman"/>
          <w:sz w:val="24"/>
          <w:szCs w:val="24"/>
        </w:rPr>
        <w:t>and the MLR Reporting Instructions</w:t>
      </w:r>
      <w:r>
        <w:rPr>
          <w:rFonts w:ascii="Times New Roman" w:hAnsi="Times New Roman" w:cs="Times New Roman"/>
          <w:sz w:val="24"/>
          <w:szCs w:val="24"/>
        </w:rPr>
        <w:t xml:space="preserve">. </w:t>
      </w:r>
      <w:r w:rsidRPr="007C5144">
        <w:rPr>
          <w:rFonts w:ascii="Times New Roman" w:hAnsi="Times New Roman" w:cs="Times New Roman"/>
          <w:sz w:val="24"/>
          <w:szCs w:val="24"/>
        </w:rPr>
        <w:t xml:space="preserve">To collect this information, we </w:t>
      </w:r>
      <w:r w:rsidRPr="007C5144" w:rsidR="00D16322">
        <w:rPr>
          <w:rFonts w:ascii="Times New Roman" w:hAnsi="Times New Roman" w:cs="Times New Roman"/>
          <w:sz w:val="24"/>
          <w:szCs w:val="24"/>
        </w:rPr>
        <w:t>have</w:t>
      </w:r>
      <w:r w:rsidRPr="007C5144">
        <w:rPr>
          <w:rFonts w:ascii="Times New Roman" w:hAnsi="Times New Roman" w:cs="Times New Roman"/>
          <w:sz w:val="24"/>
          <w:szCs w:val="24"/>
        </w:rPr>
        <w:t xml:space="preserve"> add</w:t>
      </w:r>
      <w:r w:rsidRPr="007C5144" w:rsidR="00D16322">
        <w:rPr>
          <w:rFonts w:ascii="Times New Roman" w:hAnsi="Times New Roman" w:cs="Times New Roman"/>
          <w:sz w:val="24"/>
          <w:szCs w:val="24"/>
        </w:rPr>
        <w:t>ed</w:t>
      </w:r>
      <w:r w:rsidRPr="007C5144">
        <w:rPr>
          <w:rFonts w:ascii="Times New Roman" w:hAnsi="Times New Roman" w:cs="Times New Roman"/>
          <w:sz w:val="24"/>
          <w:szCs w:val="24"/>
        </w:rPr>
        <w:t xml:space="preserve"> 18 additional fields to the MLR Report </w:t>
      </w:r>
      <w:r w:rsidR="003347F5">
        <w:rPr>
          <w:rFonts w:ascii="Times New Roman" w:hAnsi="Times New Roman" w:cs="Times New Roman"/>
          <w:sz w:val="24"/>
          <w:szCs w:val="24"/>
        </w:rPr>
        <w:t>Workbook</w:t>
      </w:r>
      <w:r w:rsidR="002316E5">
        <w:rPr>
          <w:rFonts w:ascii="Times New Roman" w:hAnsi="Times New Roman" w:cs="Times New Roman"/>
          <w:sz w:val="24"/>
          <w:szCs w:val="24"/>
        </w:rPr>
        <w:t xml:space="preserve">, </w:t>
      </w:r>
      <w:r w:rsidRPr="00195F7F" w:rsidR="002316E5">
        <w:rPr>
          <w:rFonts w:ascii="Times New Roman" w:hAnsi="Times New Roman" w:cs="Times New Roman"/>
          <w:sz w:val="24"/>
          <w:szCs w:val="24"/>
        </w:rPr>
        <w:t xml:space="preserve">which was used to collect detailed </w:t>
      </w:r>
      <w:r w:rsidR="002316E5">
        <w:rPr>
          <w:rFonts w:ascii="Times New Roman" w:hAnsi="Times New Roman" w:cs="Times New Roman"/>
          <w:sz w:val="24"/>
          <w:szCs w:val="24"/>
        </w:rPr>
        <w:t xml:space="preserve">MLR </w:t>
      </w:r>
      <w:r w:rsidRPr="00195F7F" w:rsidR="002316E5">
        <w:rPr>
          <w:rFonts w:ascii="Times New Roman" w:hAnsi="Times New Roman" w:cs="Times New Roman"/>
          <w:sz w:val="24"/>
          <w:szCs w:val="24"/>
        </w:rPr>
        <w:t>reporting elements that were in effect for CYs 2014 through 2017</w:t>
      </w:r>
      <w:r w:rsidR="002316E5">
        <w:rPr>
          <w:rFonts w:ascii="Times New Roman" w:hAnsi="Times New Roman" w:cs="Times New Roman"/>
          <w:sz w:val="24"/>
          <w:szCs w:val="24"/>
        </w:rPr>
        <w:t>.</w:t>
      </w:r>
      <w:r w:rsidRPr="002316E5" w:rsidR="002316E5">
        <w:rPr>
          <w:rFonts w:ascii="Times New Roman" w:hAnsi="Times New Roman" w:cs="Times New Roman"/>
          <w:sz w:val="24"/>
          <w:szCs w:val="24"/>
        </w:rPr>
        <w:t xml:space="preserve"> </w:t>
      </w:r>
      <w:r w:rsidRPr="00195F7F" w:rsidR="002316E5">
        <w:rPr>
          <w:rFonts w:ascii="Times New Roman" w:hAnsi="Times New Roman" w:cs="Times New Roman"/>
          <w:sz w:val="24"/>
          <w:szCs w:val="24"/>
        </w:rPr>
        <w:t xml:space="preserve">The </w:t>
      </w:r>
      <w:r w:rsidRPr="003969D7" w:rsidR="002316E5">
        <w:rPr>
          <w:rFonts w:ascii="Times New Roman" w:hAnsi="Times New Roman" w:cs="Times New Roman"/>
          <w:sz w:val="24"/>
          <w:szCs w:val="24"/>
        </w:rPr>
        <w:t>May 2022 final rule</w:t>
      </w:r>
      <w:r w:rsidRPr="00195F7F" w:rsidR="002316E5">
        <w:rPr>
          <w:rFonts w:ascii="Times New Roman" w:hAnsi="Times New Roman" w:cs="Times New Roman"/>
          <w:sz w:val="24"/>
          <w:szCs w:val="24"/>
        </w:rPr>
        <w:t xml:space="preserve"> expanded the MLR reporting requirements beyond what was required under the detailed MLR reporting requirements that were in effect for CYs 2014 through 2017, to include expenditures related to supplemental benefits. Due to the additional reporting requirements, the MLR Report </w:t>
      </w:r>
      <w:r w:rsidR="002316E5">
        <w:rPr>
          <w:rFonts w:ascii="Times New Roman" w:hAnsi="Times New Roman" w:cs="Times New Roman"/>
          <w:sz w:val="24"/>
          <w:szCs w:val="24"/>
        </w:rPr>
        <w:t>W</w:t>
      </w:r>
      <w:r w:rsidRPr="00195F7F" w:rsidR="002316E5">
        <w:rPr>
          <w:rFonts w:ascii="Times New Roman" w:hAnsi="Times New Roman" w:cs="Times New Roman"/>
          <w:sz w:val="24"/>
          <w:szCs w:val="24"/>
        </w:rPr>
        <w:t xml:space="preserve">orkbook has been updated to include expenditures related to supplemental </w:t>
      </w:r>
      <w:r w:rsidRPr="00195F7F" w:rsidR="00D55AF7">
        <w:rPr>
          <w:rFonts w:ascii="Times New Roman" w:hAnsi="Times New Roman" w:cs="Times New Roman"/>
          <w:sz w:val="24"/>
          <w:szCs w:val="24"/>
        </w:rPr>
        <w:t>benefits.</w:t>
      </w:r>
      <w:r w:rsidR="002316E5">
        <w:rPr>
          <w:rFonts w:ascii="Times New Roman" w:hAnsi="Times New Roman" w:cs="Times New Roman"/>
          <w:sz w:val="24"/>
          <w:szCs w:val="24"/>
        </w:rPr>
        <w:t xml:space="preserve"> </w:t>
      </w:r>
      <w:r w:rsidRPr="00195F7F" w:rsidR="002316E5">
        <w:rPr>
          <w:rFonts w:ascii="Times New Roman" w:hAnsi="Times New Roman" w:cs="Times New Roman"/>
          <w:sz w:val="24"/>
          <w:szCs w:val="24"/>
        </w:rPr>
        <w:t xml:space="preserve">The MLR Report </w:t>
      </w:r>
      <w:r w:rsidR="002316E5">
        <w:rPr>
          <w:rFonts w:ascii="Times New Roman" w:hAnsi="Times New Roman" w:cs="Times New Roman"/>
          <w:sz w:val="24"/>
          <w:szCs w:val="24"/>
        </w:rPr>
        <w:t>W</w:t>
      </w:r>
      <w:r w:rsidRPr="00195F7F" w:rsidR="002316E5">
        <w:rPr>
          <w:rFonts w:ascii="Times New Roman" w:hAnsi="Times New Roman" w:cs="Times New Roman"/>
          <w:sz w:val="24"/>
          <w:szCs w:val="24"/>
        </w:rPr>
        <w:t xml:space="preserve">orkbook will </w:t>
      </w:r>
      <w:r w:rsidR="007211E1">
        <w:rPr>
          <w:rFonts w:ascii="Times New Roman" w:hAnsi="Times New Roman" w:cs="Times New Roman"/>
          <w:sz w:val="24"/>
          <w:szCs w:val="24"/>
        </w:rPr>
        <w:t>be used beginning with CY 2023 reporting, which revises</w:t>
      </w:r>
      <w:r w:rsidRPr="00195F7F" w:rsidR="002316E5">
        <w:rPr>
          <w:rFonts w:ascii="Times New Roman" w:hAnsi="Times New Roman" w:cs="Times New Roman"/>
          <w:sz w:val="24"/>
          <w:szCs w:val="24"/>
        </w:rPr>
        <w:t xml:space="preserve"> the MLR data form </w:t>
      </w:r>
      <w:r w:rsidR="007211E1">
        <w:rPr>
          <w:rFonts w:ascii="Times New Roman" w:hAnsi="Times New Roman" w:cs="Times New Roman"/>
          <w:sz w:val="24"/>
          <w:szCs w:val="24"/>
        </w:rPr>
        <w:t>that</w:t>
      </w:r>
      <w:r w:rsidR="002316E5">
        <w:rPr>
          <w:rFonts w:ascii="Times New Roman" w:hAnsi="Times New Roman" w:cs="Times New Roman"/>
          <w:sz w:val="24"/>
          <w:szCs w:val="24"/>
        </w:rPr>
        <w:t xml:space="preserve"> was</w:t>
      </w:r>
      <w:r w:rsidRPr="00195F7F" w:rsidR="002316E5">
        <w:rPr>
          <w:rFonts w:ascii="Times New Roman" w:hAnsi="Times New Roman" w:cs="Times New Roman"/>
          <w:sz w:val="24"/>
          <w:szCs w:val="24"/>
        </w:rPr>
        <w:t xml:space="preserve"> used for CY 2018 through 2022 reporting. </w:t>
      </w:r>
      <w:r w:rsidRPr="007C5144">
        <w:rPr>
          <w:rFonts w:ascii="Times New Roman" w:hAnsi="Times New Roman" w:cs="Times New Roman"/>
          <w:sz w:val="24"/>
          <w:szCs w:val="24"/>
        </w:rPr>
        <w:t xml:space="preserve"> We also add</w:t>
      </w:r>
      <w:r w:rsidRPr="007C5144" w:rsidR="00AA5386">
        <w:rPr>
          <w:rFonts w:ascii="Times New Roman" w:hAnsi="Times New Roman" w:cs="Times New Roman"/>
          <w:sz w:val="24"/>
          <w:szCs w:val="24"/>
        </w:rPr>
        <w:t>ed</w:t>
      </w:r>
      <w:r w:rsidRPr="007C5144">
        <w:rPr>
          <w:rFonts w:ascii="Times New Roman" w:hAnsi="Times New Roman" w:cs="Times New Roman"/>
          <w:sz w:val="24"/>
          <w:szCs w:val="24"/>
        </w:rPr>
        <w:t xml:space="preserve"> narrative fields in which users </w:t>
      </w:r>
      <w:r w:rsidRPr="007C5144" w:rsidR="00AA5386">
        <w:rPr>
          <w:rFonts w:ascii="Times New Roman" w:hAnsi="Times New Roman" w:cs="Times New Roman"/>
          <w:sz w:val="24"/>
          <w:szCs w:val="24"/>
        </w:rPr>
        <w:t xml:space="preserve">will </w:t>
      </w:r>
      <w:r w:rsidRPr="007C5144">
        <w:rPr>
          <w:rFonts w:ascii="Times New Roman" w:hAnsi="Times New Roman" w:cs="Times New Roman"/>
          <w:sz w:val="24"/>
          <w:szCs w:val="24"/>
        </w:rPr>
        <w:t xml:space="preserve">describe the methodologies used to allocate supplemental benefit expenditures. </w:t>
      </w:r>
      <w:r w:rsidR="00446993">
        <w:rPr>
          <w:rFonts w:ascii="Times New Roman" w:hAnsi="Times New Roman" w:cs="Times New Roman"/>
          <w:sz w:val="24"/>
          <w:szCs w:val="24"/>
        </w:rPr>
        <w:t xml:space="preserve">The MLR Reporting Instructions also reflect these changes. </w:t>
      </w:r>
      <w:r w:rsidR="003347F5">
        <w:rPr>
          <w:rFonts w:ascii="Times New Roman" w:hAnsi="Times New Roman" w:cs="Times New Roman"/>
          <w:sz w:val="24"/>
          <w:szCs w:val="24"/>
        </w:rPr>
        <w:t>Earlier versions of the MLR Report Workbook</w:t>
      </w:r>
      <w:r w:rsidR="00446993">
        <w:rPr>
          <w:rFonts w:ascii="Times New Roman" w:hAnsi="Times New Roman" w:cs="Times New Roman"/>
          <w:sz w:val="24"/>
          <w:szCs w:val="24"/>
        </w:rPr>
        <w:t xml:space="preserve"> and MLR Reporting Instructions</w:t>
      </w:r>
      <w:r w:rsidR="003347F5">
        <w:rPr>
          <w:rFonts w:ascii="Times New Roman" w:hAnsi="Times New Roman" w:cs="Times New Roman"/>
          <w:sz w:val="24"/>
          <w:szCs w:val="24"/>
        </w:rPr>
        <w:t xml:space="preserve"> did not include categories of supplemental benefits or narrative fields to describe their expenditures. </w:t>
      </w:r>
      <w:r w:rsidRPr="007C5144">
        <w:rPr>
          <w:rFonts w:ascii="Times New Roman" w:hAnsi="Times New Roman" w:cs="Times New Roman"/>
          <w:sz w:val="24"/>
          <w:szCs w:val="24"/>
        </w:rPr>
        <w:t xml:space="preserve">In total, we estimate that the addition of these fields, as well as </w:t>
      </w:r>
      <w:r w:rsidRPr="007C5144" w:rsidR="00AC60F6">
        <w:rPr>
          <w:rFonts w:ascii="Times New Roman" w:hAnsi="Times New Roman" w:cs="Times New Roman"/>
          <w:sz w:val="24"/>
          <w:szCs w:val="24"/>
        </w:rPr>
        <w:t xml:space="preserve">the addition of </w:t>
      </w:r>
      <w:r w:rsidRPr="007C5144">
        <w:rPr>
          <w:rFonts w:ascii="Times New Roman" w:hAnsi="Times New Roman" w:cs="Times New Roman"/>
          <w:sz w:val="24"/>
          <w:szCs w:val="24"/>
        </w:rPr>
        <w:t xml:space="preserve">an information-only field in which MA organizations and Part D sponsors enter the low-income cost sharing subsidy amount that they deducted when calculating the amount of prescription drug costs to include in the MLR report, would increase the number of fields that would require user input and validation by approximately one-third, or 33.3 percent. We believe this increase </w:t>
      </w:r>
      <w:r w:rsidRPr="007C5144" w:rsidR="00BC1393">
        <w:rPr>
          <w:rFonts w:ascii="Times New Roman" w:hAnsi="Times New Roman" w:cs="Times New Roman"/>
          <w:sz w:val="24"/>
          <w:szCs w:val="24"/>
        </w:rPr>
        <w:t>will</w:t>
      </w:r>
      <w:r w:rsidRPr="007C5144">
        <w:rPr>
          <w:rFonts w:ascii="Times New Roman" w:hAnsi="Times New Roman" w:cs="Times New Roman"/>
          <w:sz w:val="24"/>
          <w:szCs w:val="24"/>
        </w:rPr>
        <w:t xml:space="preserve"> cause a proportional increase in the amount of time needed both to complete and submit the MLR Report to CMS, and to perform the data collection activities that make up the remaining portion of the 47 hours per contract that we previously estimated MA organizations and Part D sponsors would spend on administrative work related to the MLR reporting requirements. However, because the new supplemental benefits fields do not </w:t>
      </w:r>
      <w:r w:rsidRPr="007C5144">
        <w:rPr>
          <w:rFonts w:ascii="Times New Roman" w:hAnsi="Times New Roman" w:cs="Times New Roman"/>
          <w:sz w:val="24"/>
          <w:szCs w:val="24"/>
        </w:rPr>
        <w:t xml:space="preserve">affect the MLR reporting burden for sponsors of standalone Part D contracts, we calculate the MLR reporting burden separately for MA contracts and standalone Part D contracts. Thus, we estimate the burden to stand-alone Part D contracts would only increase 5 percent. </w:t>
      </w:r>
    </w:p>
    <w:p w:rsidR="001A5654" w:rsidRPr="007C5144" w:rsidP="0083101D" w14:paraId="16FD5F8A" w14:textId="48ABA458">
      <w:pPr>
        <w:spacing w:after="240" w:line="240" w:lineRule="auto"/>
        <w:rPr>
          <w:rFonts w:ascii="Times New Roman" w:hAnsi="Times New Roman" w:cs="Times New Roman"/>
          <w:sz w:val="24"/>
          <w:szCs w:val="24"/>
        </w:rPr>
      </w:pPr>
      <w:r w:rsidRPr="007C5144">
        <w:rPr>
          <w:rFonts w:ascii="Times New Roman" w:hAnsi="Times New Roman" w:cs="Times New Roman"/>
          <w:sz w:val="24"/>
          <w:szCs w:val="24"/>
        </w:rPr>
        <w:t xml:space="preserve">To aggregate this increase </w:t>
      </w:r>
      <w:r w:rsidRPr="007C5144" w:rsidR="00534E82">
        <w:rPr>
          <w:rFonts w:ascii="Times New Roman" w:hAnsi="Times New Roman" w:cs="Times New Roman"/>
          <w:sz w:val="24"/>
          <w:szCs w:val="24"/>
        </w:rPr>
        <w:t xml:space="preserve">in burden </w:t>
      </w:r>
      <w:r w:rsidRPr="007C5144">
        <w:rPr>
          <w:rFonts w:ascii="Times New Roman" w:hAnsi="Times New Roman" w:cs="Times New Roman"/>
          <w:sz w:val="24"/>
          <w:szCs w:val="24"/>
        </w:rPr>
        <w:t>on a per-contract level, we take a weighted average of the 33 percent increase and the 5 percent increase. The weights correspond to the percentage of contracts that represent MA contracts (about 89 percent) and standalone Part D contracts (about 11 percent). This aggregate net increase per contract is 29.92 percent (89% x 33% + 11% x 5%). The computations are presented</w:t>
      </w:r>
      <w:r w:rsidRPr="007C5144">
        <w:rPr>
          <w:rFonts w:ascii="Times New Roman" w:hAnsi="Times New Roman" w:cs="Times New Roman"/>
          <w:sz w:val="24"/>
          <w:szCs w:val="24"/>
        </w:rPr>
        <w:t xml:space="preserve"> in the table below</w:t>
      </w:r>
      <w:r w:rsidRPr="007C5144">
        <w:rPr>
          <w:rFonts w:ascii="Times New Roman" w:hAnsi="Times New Roman" w:cs="Times New Roman"/>
          <w:sz w:val="24"/>
          <w:szCs w:val="24"/>
        </w:rPr>
        <w:t xml:space="preserve">. </w:t>
      </w:r>
      <w:r w:rsidRPr="007C5144">
        <w:rPr>
          <w:rFonts w:ascii="Times New Roman" w:hAnsi="Times New Roman" w:cs="Times New Roman"/>
          <w:sz w:val="24"/>
          <w:szCs w:val="24"/>
        </w:rPr>
        <w:t>I</w:t>
      </w:r>
      <w:r w:rsidRPr="007C5144">
        <w:rPr>
          <w:rFonts w:ascii="Times New Roman" w:hAnsi="Times New Roman" w:cs="Times New Roman"/>
          <w:sz w:val="24"/>
          <w:szCs w:val="24"/>
        </w:rPr>
        <w:t xml:space="preserve">t is simpler to use one aggregate figure (29.92 percent) for all contracts rather than estimate each contract type separately and then adding them together.  </w:t>
      </w:r>
    </w:p>
    <w:p w:rsidR="00DE50C4" w:rsidP="00A42478" w14:paraId="7BCCAD3D" w14:textId="1416AC89">
      <w:pPr>
        <w:keepNext/>
        <w:spacing w:after="0" w:line="240" w:lineRule="auto"/>
        <w:jc w:val="center"/>
        <w:rPr>
          <w:rFonts w:ascii="Times New Roman" w:hAnsi="Times New Roman" w:cs="Times New Roman"/>
          <w:color w:val="000000"/>
          <w:sz w:val="24"/>
          <w:szCs w:val="24"/>
        </w:rPr>
      </w:pPr>
      <w:r w:rsidRPr="00A42478">
        <w:rPr>
          <w:rFonts w:ascii="Times New Roman" w:hAnsi="Times New Roman"/>
          <w:sz w:val="24"/>
        </w:rPr>
        <w:t>TABLE 6</w:t>
      </w:r>
      <w:r w:rsidR="007C5144">
        <w:rPr>
          <w:rFonts w:ascii="Times New Roman" w:hAnsi="Times New Roman" w:cs="Times New Roman"/>
          <w:sz w:val="24"/>
          <w:szCs w:val="24"/>
        </w:rPr>
        <w:t xml:space="preserve">: </w:t>
      </w:r>
      <w:r w:rsidRPr="007C5144" w:rsidR="00647182">
        <w:rPr>
          <w:rFonts w:ascii="Times New Roman" w:hAnsi="Times New Roman" w:cs="Times New Roman"/>
          <w:color w:val="000000"/>
          <w:sz w:val="24"/>
          <w:szCs w:val="24"/>
        </w:rPr>
        <w:t xml:space="preserve">Aggregate </w:t>
      </w:r>
      <w:r w:rsidR="00DE57DE">
        <w:rPr>
          <w:rFonts w:ascii="Times New Roman" w:hAnsi="Times New Roman" w:cs="Times New Roman"/>
          <w:color w:val="000000"/>
          <w:sz w:val="24"/>
          <w:szCs w:val="24"/>
        </w:rPr>
        <w:t>B</w:t>
      </w:r>
      <w:r w:rsidRPr="007C5144" w:rsidR="00647182">
        <w:rPr>
          <w:rFonts w:ascii="Times New Roman" w:hAnsi="Times New Roman" w:cs="Times New Roman"/>
          <w:color w:val="000000"/>
          <w:sz w:val="24"/>
          <w:szCs w:val="24"/>
        </w:rPr>
        <w:t xml:space="preserve">urden </w:t>
      </w:r>
      <w:r w:rsidR="00DE57DE">
        <w:rPr>
          <w:rFonts w:ascii="Times New Roman" w:hAnsi="Times New Roman" w:cs="Times New Roman"/>
          <w:color w:val="000000"/>
          <w:sz w:val="24"/>
          <w:szCs w:val="24"/>
        </w:rPr>
        <w:t>I</w:t>
      </w:r>
      <w:r w:rsidRPr="007C5144" w:rsidR="00647182">
        <w:rPr>
          <w:rFonts w:ascii="Times New Roman" w:hAnsi="Times New Roman" w:cs="Times New Roman"/>
          <w:color w:val="000000"/>
          <w:sz w:val="24"/>
          <w:szCs w:val="24"/>
        </w:rPr>
        <w:t xml:space="preserve">ncrease </w:t>
      </w:r>
      <w:r w:rsidR="00DE57DE">
        <w:rPr>
          <w:rFonts w:ascii="Times New Roman" w:hAnsi="Times New Roman" w:cs="Times New Roman"/>
          <w:color w:val="000000"/>
          <w:sz w:val="24"/>
          <w:szCs w:val="24"/>
        </w:rPr>
        <w:t>P</w:t>
      </w:r>
      <w:r w:rsidRPr="007C5144" w:rsidR="00647182">
        <w:rPr>
          <w:rFonts w:ascii="Times New Roman" w:hAnsi="Times New Roman" w:cs="Times New Roman"/>
          <w:color w:val="000000"/>
          <w:sz w:val="24"/>
          <w:szCs w:val="24"/>
        </w:rPr>
        <w:t xml:space="preserve">er </w:t>
      </w:r>
      <w:r w:rsidR="00DE57DE">
        <w:rPr>
          <w:rFonts w:ascii="Times New Roman" w:hAnsi="Times New Roman" w:cs="Times New Roman"/>
          <w:color w:val="000000"/>
          <w:sz w:val="24"/>
          <w:szCs w:val="24"/>
        </w:rPr>
        <w:t>C</w:t>
      </w:r>
      <w:r w:rsidRPr="007C5144" w:rsidR="00647182">
        <w:rPr>
          <w:rFonts w:ascii="Times New Roman" w:hAnsi="Times New Roman" w:cs="Times New Roman"/>
          <w:color w:val="000000"/>
          <w:sz w:val="24"/>
          <w:szCs w:val="24"/>
        </w:rPr>
        <w:t>ontract</w:t>
      </w:r>
    </w:p>
    <w:tbl>
      <w:tblPr>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75"/>
        <w:gridCol w:w="1340"/>
        <w:gridCol w:w="1350"/>
        <w:gridCol w:w="2610"/>
      </w:tblGrid>
      <w:tr w14:paraId="47807F35" w14:textId="77777777" w:rsidTr="00425BA5">
        <w:tblPrEx>
          <w:tblW w:w="10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0"/>
          <w:jc w:val="center"/>
        </w:trPr>
        <w:tc>
          <w:tcPr>
            <w:tcW w:w="4775" w:type="dxa"/>
            <w:noWrap/>
            <w:vAlign w:val="bottom"/>
            <w:hideMark/>
          </w:tcPr>
          <w:p w:rsidR="00425BA5" w:rsidRPr="007C5144" w:rsidP="00C71C7D" w14:paraId="7AD3A3E9" w14:textId="77777777">
            <w:pPr>
              <w:keepNext/>
              <w:spacing w:after="0" w:line="240" w:lineRule="auto"/>
              <w:jc w:val="center"/>
              <w:rPr>
                <w:rFonts w:ascii="Times New Roman" w:hAnsi="Times New Roman"/>
                <w:b/>
                <w:color w:val="000000"/>
                <w:sz w:val="24"/>
              </w:rPr>
            </w:pPr>
            <w:r w:rsidRPr="007C5144">
              <w:rPr>
                <w:rFonts w:ascii="Times New Roman" w:hAnsi="Times New Roman"/>
                <w:b/>
                <w:color w:val="000000"/>
                <w:sz w:val="24"/>
              </w:rPr>
              <w:t>Contract</w:t>
            </w:r>
            <w:r w:rsidRPr="007C5144">
              <w:rPr>
                <w:rFonts w:ascii="Times New Roman" w:hAnsi="Times New Roman" w:cs="Times New Roman"/>
                <w:b/>
                <w:color w:val="000000"/>
                <w:sz w:val="24"/>
                <w:szCs w:val="24"/>
              </w:rPr>
              <w:t xml:space="preserve"> Type</w:t>
            </w:r>
          </w:p>
        </w:tc>
        <w:tc>
          <w:tcPr>
            <w:tcW w:w="1340" w:type="dxa"/>
            <w:noWrap/>
            <w:vAlign w:val="bottom"/>
            <w:hideMark/>
          </w:tcPr>
          <w:p w:rsidR="00425BA5" w:rsidRPr="007C5144" w:rsidP="00C71C7D" w14:paraId="24441928" w14:textId="77777777">
            <w:pPr>
              <w:keepNext/>
              <w:spacing w:after="0" w:line="240" w:lineRule="auto"/>
              <w:jc w:val="center"/>
              <w:rPr>
                <w:rFonts w:ascii="Times New Roman" w:hAnsi="Times New Roman"/>
                <w:b/>
                <w:color w:val="000000"/>
                <w:sz w:val="24"/>
              </w:rPr>
            </w:pPr>
            <w:r w:rsidRPr="007C5144">
              <w:rPr>
                <w:rFonts w:ascii="Times New Roman" w:hAnsi="Times New Roman" w:cs="Times New Roman"/>
                <w:b/>
                <w:color w:val="000000"/>
                <w:sz w:val="24"/>
                <w:szCs w:val="24"/>
              </w:rPr>
              <w:t>Percent of contracts</w:t>
            </w:r>
          </w:p>
        </w:tc>
        <w:tc>
          <w:tcPr>
            <w:tcW w:w="1350" w:type="dxa"/>
            <w:noWrap/>
            <w:vAlign w:val="bottom"/>
            <w:hideMark/>
          </w:tcPr>
          <w:p w:rsidR="00425BA5" w:rsidRPr="007C5144" w:rsidP="00C71C7D" w14:paraId="6385E294" w14:textId="77777777">
            <w:pPr>
              <w:keepNext/>
              <w:spacing w:after="0" w:line="240" w:lineRule="auto"/>
              <w:jc w:val="center"/>
              <w:rPr>
                <w:rFonts w:ascii="Times New Roman" w:hAnsi="Times New Roman"/>
                <w:b/>
                <w:color w:val="000000"/>
                <w:sz w:val="24"/>
              </w:rPr>
            </w:pPr>
            <w:r w:rsidRPr="007C5144">
              <w:rPr>
                <w:rFonts w:ascii="Times New Roman" w:hAnsi="Times New Roman" w:cs="Times New Roman"/>
                <w:b/>
                <w:color w:val="000000"/>
                <w:sz w:val="24"/>
                <w:szCs w:val="24"/>
              </w:rPr>
              <w:t>Increase for new fields</w:t>
            </w:r>
          </w:p>
        </w:tc>
        <w:tc>
          <w:tcPr>
            <w:tcW w:w="2610" w:type="dxa"/>
            <w:noWrap/>
            <w:vAlign w:val="bottom"/>
            <w:hideMark/>
          </w:tcPr>
          <w:p w:rsidR="00425BA5" w:rsidRPr="007C5144" w:rsidP="00C71C7D" w14:paraId="225239CF" w14:textId="77777777">
            <w:pPr>
              <w:keepNext/>
              <w:spacing w:after="0" w:line="240" w:lineRule="auto"/>
              <w:jc w:val="center"/>
              <w:rPr>
                <w:rFonts w:ascii="Times New Roman" w:hAnsi="Times New Roman"/>
                <w:b/>
                <w:color w:val="000000"/>
                <w:sz w:val="24"/>
              </w:rPr>
            </w:pPr>
            <w:r w:rsidRPr="007C5144">
              <w:rPr>
                <w:rFonts w:ascii="Times New Roman" w:hAnsi="Times New Roman" w:cs="Times New Roman"/>
                <w:b/>
                <w:color w:val="000000"/>
                <w:sz w:val="24"/>
                <w:szCs w:val="24"/>
              </w:rPr>
              <w:t>Product of Increase and Percent (weight) of contract type</w:t>
            </w:r>
          </w:p>
        </w:tc>
      </w:tr>
      <w:tr w14:paraId="299E35C1" w14:textId="77777777" w:rsidTr="00425BA5">
        <w:tblPrEx>
          <w:tblW w:w="10075" w:type="dxa"/>
          <w:jc w:val="center"/>
          <w:tblLayout w:type="fixed"/>
          <w:tblLook w:val="04A0"/>
        </w:tblPrEx>
        <w:trPr>
          <w:trHeight w:val="290"/>
          <w:jc w:val="center"/>
        </w:trPr>
        <w:tc>
          <w:tcPr>
            <w:tcW w:w="4775" w:type="dxa"/>
            <w:noWrap/>
            <w:vAlign w:val="bottom"/>
            <w:hideMark/>
          </w:tcPr>
          <w:p w:rsidR="00425BA5" w:rsidRPr="007C5144" w:rsidP="00C71C7D" w14:paraId="12B47637" w14:textId="77777777">
            <w:pPr>
              <w:keepNext/>
              <w:spacing w:after="0" w:line="240" w:lineRule="auto"/>
              <w:rPr>
                <w:rFonts w:ascii="Times New Roman" w:hAnsi="Times New Roman"/>
                <w:color w:val="000000"/>
                <w:sz w:val="24"/>
              </w:rPr>
            </w:pPr>
            <w:r w:rsidRPr="007C5144">
              <w:rPr>
                <w:rFonts w:ascii="Times New Roman" w:hAnsi="Times New Roman" w:cs="Times New Roman"/>
                <w:color w:val="000000"/>
                <w:sz w:val="24"/>
                <w:szCs w:val="24"/>
              </w:rPr>
              <w:t>Stand-alone prescription drug contracts</w:t>
            </w:r>
          </w:p>
        </w:tc>
        <w:tc>
          <w:tcPr>
            <w:tcW w:w="1340" w:type="dxa"/>
            <w:noWrap/>
            <w:vAlign w:val="bottom"/>
            <w:hideMark/>
          </w:tcPr>
          <w:p w:rsidR="00425BA5" w:rsidRPr="007C5144" w:rsidP="00C71C7D" w14:paraId="3027D141" w14:textId="77777777">
            <w:pPr>
              <w:keepNext/>
              <w:spacing w:after="0" w:line="240" w:lineRule="auto"/>
              <w:jc w:val="center"/>
              <w:rPr>
                <w:rFonts w:ascii="Times New Roman" w:hAnsi="Times New Roman"/>
                <w:color w:val="000000"/>
                <w:sz w:val="24"/>
              </w:rPr>
            </w:pPr>
            <w:r w:rsidRPr="007C5144">
              <w:rPr>
                <w:rFonts w:ascii="Times New Roman" w:hAnsi="Times New Roman" w:cs="Times New Roman"/>
                <w:color w:val="000000"/>
                <w:sz w:val="24"/>
                <w:szCs w:val="24"/>
              </w:rPr>
              <w:t>11%</w:t>
            </w:r>
          </w:p>
        </w:tc>
        <w:tc>
          <w:tcPr>
            <w:tcW w:w="1350" w:type="dxa"/>
            <w:noWrap/>
            <w:vAlign w:val="bottom"/>
            <w:hideMark/>
          </w:tcPr>
          <w:p w:rsidR="00425BA5" w:rsidRPr="007C5144" w:rsidP="00C71C7D" w14:paraId="02938A13" w14:textId="77777777">
            <w:pPr>
              <w:keepNext/>
              <w:spacing w:after="0" w:line="240" w:lineRule="auto"/>
              <w:jc w:val="center"/>
              <w:rPr>
                <w:rFonts w:ascii="Times New Roman" w:hAnsi="Times New Roman"/>
                <w:color w:val="000000"/>
                <w:sz w:val="24"/>
              </w:rPr>
            </w:pPr>
            <w:r w:rsidRPr="007C5144">
              <w:rPr>
                <w:rFonts w:ascii="Times New Roman" w:hAnsi="Times New Roman" w:cs="Times New Roman"/>
                <w:color w:val="000000"/>
                <w:sz w:val="24"/>
                <w:szCs w:val="24"/>
              </w:rPr>
              <w:t>5%</w:t>
            </w:r>
          </w:p>
        </w:tc>
        <w:tc>
          <w:tcPr>
            <w:tcW w:w="2610" w:type="dxa"/>
            <w:noWrap/>
            <w:vAlign w:val="bottom"/>
            <w:hideMark/>
          </w:tcPr>
          <w:p w:rsidR="00425BA5" w:rsidRPr="007C5144" w:rsidP="00C71C7D" w14:paraId="7124BE1C" w14:textId="77777777">
            <w:pPr>
              <w:keepNext/>
              <w:spacing w:after="0" w:line="240" w:lineRule="auto"/>
              <w:jc w:val="center"/>
              <w:rPr>
                <w:rFonts w:ascii="Times New Roman" w:hAnsi="Times New Roman"/>
                <w:color w:val="000000"/>
                <w:sz w:val="24"/>
              </w:rPr>
            </w:pPr>
            <w:r w:rsidRPr="007C5144">
              <w:rPr>
                <w:rFonts w:ascii="Times New Roman" w:hAnsi="Times New Roman"/>
                <w:color w:val="000000"/>
                <w:sz w:val="24"/>
              </w:rPr>
              <w:t>0.</w:t>
            </w:r>
            <w:r w:rsidRPr="007C5144">
              <w:rPr>
                <w:rFonts w:ascii="Times New Roman" w:hAnsi="Times New Roman" w:cs="Times New Roman"/>
                <w:color w:val="000000"/>
                <w:sz w:val="24"/>
                <w:szCs w:val="24"/>
              </w:rPr>
              <w:t>55%</w:t>
            </w:r>
          </w:p>
        </w:tc>
      </w:tr>
      <w:tr w14:paraId="7BACFC69" w14:textId="77777777" w:rsidTr="00425BA5">
        <w:tblPrEx>
          <w:tblW w:w="10075" w:type="dxa"/>
          <w:jc w:val="center"/>
          <w:tblLayout w:type="fixed"/>
          <w:tblLook w:val="04A0"/>
        </w:tblPrEx>
        <w:trPr>
          <w:trHeight w:val="460"/>
          <w:jc w:val="center"/>
        </w:trPr>
        <w:tc>
          <w:tcPr>
            <w:tcW w:w="4775" w:type="dxa"/>
            <w:noWrap/>
            <w:vAlign w:val="bottom"/>
            <w:hideMark/>
          </w:tcPr>
          <w:p w:rsidR="00AC60F6" w:rsidRPr="007C5144" w:rsidP="00C71C7D" w14:paraId="4B687114" w14:textId="77777777">
            <w:pPr>
              <w:keepNext/>
              <w:spacing w:after="0" w:line="240" w:lineRule="auto"/>
              <w:rPr>
                <w:rFonts w:ascii="Times New Roman" w:hAnsi="Times New Roman" w:cs="Times New Roman"/>
                <w:color w:val="000000"/>
                <w:sz w:val="24"/>
                <w:szCs w:val="24"/>
              </w:rPr>
            </w:pPr>
            <w:r w:rsidRPr="007C5144">
              <w:rPr>
                <w:rFonts w:ascii="Times New Roman" w:hAnsi="Times New Roman" w:cs="Times New Roman"/>
                <w:color w:val="000000"/>
                <w:sz w:val="24"/>
                <w:szCs w:val="24"/>
              </w:rPr>
              <w:t>MA (including MA-PD and MSA) contracts</w:t>
            </w:r>
          </w:p>
        </w:tc>
        <w:tc>
          <w:tcPr>
            <w:tcW w:w="1340" w:type="dxa"/>
            <w:noWrap/>
            <w:vAlign w:val="bottom"/>
            <w:hideMark/>
          </w:tcPr>
          <w:p w:rsidR="00AC60F6" w:rsidRPr="007C5144" w:rsidP="00C71C7D" w14:paraId="00C6E150" w14:textId="77777777">
            <w:pPr>
              <w:keepNext/>
              <w:spacing w:after="0" w:line="240" w:lineRule="auto"/>
              <w:jc w:val="center"/>
              <w:rPr>
                <w:rFonts w:ascii="Times New Roman" w:hAnsi="Times New Roman" w:cs="Times New Roman"/>
                <w:color w:val="000000"/>
                <w:sz w:val="24"/>
                <w:szCs w:val="24"/>
              </w:rPr>
            </w:pPr>
            <w:r w:rsidRPr="007C5144">
              <w:rPr>
                <w:rFonts w:ascii="Times New Roman" w:hAnsi="Times New Roman" w:cs="Times New Roman"/>
                <w:color w:val="000000"/>
                <w:sz w:val="24"/>
                <w:szCs w:val="24"/>
              </w:rPr>
              <w:t>89%</w:t>
            </w:r>
          </w:p>
        </w:tc>
        <w:tc>
          <w:tcPr>
            <w:tcW w:w="1350" w:type="dxa"/>
            <w:noWrap/>
            <w:vAlign w:val="bottom"/>
            <w:hideMark/>
          </w:tcPr>
          <w:p w:rsidR="00AC60F6" w:rsidRPr="007C5144" w:rsidP="00C71C7D" w14:paraId="68BE73C1" w14:textId="77777777">
            <w:pPr>
              <w:keepNext/>
              <w:spacing w:after="0" w:line="240" w:lineRule="auto"/>
              <w:jc w:val="center"/>
              <w:rPr>
                <w:rFonts w:ascii="Times New Roman" w:hAnsi="Times New Roman" w:cs="Times New Roman"/>
                <w:color w:val="000000"/>
                <w:sz w:val="24"/>
                <w:szCs w:val="24"/>
              </w:rPr>
            </w:pPr>
            <w:r w:rsidRPr="007C5144">
              <w:rPr>
                <w:rFonts w:ascii="Times New Roman" w:hAnsi="Times New Roman" w:cs="Times New Roman"/>
                <w:color w:val="000000"/>
                <w:sz w:val="24"/>
                <w:szCs w:val="24"/>
              </w:rPr>
              <w:t>33%</w:t>
            </w:r>
          </w:p>
        </w:tc>
        <w:tc>
          <w:tcPr>
            <w:tcW w:w="2610" w:type="dxa"/>
            <w:noWrap/>
            <w:vAlign w:val="bottom"/>
            <w:hideMark/>
          </w:tcPr>
          <w:p w:rsidR="00AC60F6" w:rsidRPr="007C5144" w:rsidP="00C71C7D" w14:paraId="6D6BAE12" w14:textId="77777777">
            <w:pPr>
              <w:keepNext/>
              <w:spacing w:after="0" w:line="240" w:lineRule="auto"/>
              <w:jc w:val="center"/>
              <w:rPr>
                <w:rFonts w:ascii="Times New Roman" w:hAnsi="Times New Roman" w:cs="Times New Roman"/>
                <w:color w:val="000000"/>
                <w:sz w:val="24"/>
                <w:szCs w:val="24"/>
              </w:rPr>
            </w:pPr>
            <w:r w:rsidRPr="007C5144">
              <w:rPr>
                <w:rFonts w:ascii="Times New Roman" w:hAnsi="Times New Roman" w:cs="Times New Roman"/>
                <w:color w:val="000000"/>
                <w:sz w:val="24"/>
                <w:szCs w:val="24"/>
              </w:rPr>
              <w:t>29.37%</w:t>
            </w:r>
          </w:p>
        </w:tc>
      </w:tr>
      <w:tr w14:paraId="724825E7" w14:textId="77777777" w:rsidTr="00425BA5">
        <w:tblPrEx>
          <w:tblW w:w="10075" w:type="dxa"/>
          <w:jc w:val="center"/>
          <w:tblLayout w:type="fixed"/>
          <w:tblLook w:val="04A0"/>
        </w:tblPrEx>
        <w:trPr>
          <w:trHeight w:val="350"/>
          <w:jc w:val="center"/>
        </w:trPr>
        <w:tc>
          <w:tcPr>
            <w:tcW w:w="4775" w:type="dxa"/>
            <w:noWrap/>
            <w:vAlign w:val="bottom"/>
            <w:hideMark/>
          </w:tcPr>
          <w:p w:rsidR="00AC60F6" w:rsidRPr="007C5144" w:rsidP="00C71C7D" w14:paraId="365C3F22" w14:textId="77777777">
            <w:pPr>
              <w:keepNext/>
              <w:spacing w:after="0" w:line="240" w:lineRule="auto"/>
              <w:rPr>
                <w:rFonts w:ascii="Times New Roman" w:hAnsi="Times New Roman" w:cs="Times New Roman"/>
                <w:color w:val="000000"/>
                <w:sz w:val="24"/>
                <w:szCs w:val="24"/>
              </w:rPr>
            </w:pPr>
            <w:r w:rsidRPr="007C5144">
              <w:rPr>
                <w:rFonts w:ascii="Times New Roman" w:hAnsi="Times New Roman" w:cs="Times New Roman"/>
                <w:color w:val="000000"/>
                <w:sz w:val="24"/>
                <w:szCs w:val="24"/>
              </w:rPr>
              <w:t>Aggregate burden increase per contract</w:t>
            </w:r>
          </w:p>
        </w:tc>
        <w:tc>
          <w:tcPr>
            <w:tcW w:w="1340" w:type="dxa"/>
            <w:noWrap/>
            <w:hideMark/>
          </w:tcPr>
          <w:p w:rsidR="00AC60F6" w:rsidRPr="007C5144" w:rsidP="00C71C7D" w14:paraId="0BEEBFEA" w14:textId="4DC250A6">
            <w:pPr>
              <w:keepNext/>
              <w:spacing w:after="0" w:line="240" w:lineRule="auto"/>
              <w:jc w:val="center"/>
              <w:rPr>
                <w:rFonts w:ascii="Times New Roman" w:hAnsi="Times New Roman" w:cs="Times New Roman"/>
                <w:color w:val="000000"/>
                <w:sz w:val="24"/>
                <w:szCs w:val="24"/>
              </w:rPr>
            </w:pPr>
          </w:p>
        </w:tc>
        <w:tc>
          <w:tcPr>
            <w:tcW w:w="1350" w:type="dxa"/>
            <w:noWrap/>
            <w:hideMark/>
          </w:tcPr>
          <w:p w:rsidR="00AC60F6" w:rsidRPr="007C5144" w:rsidP="00C71C7D" w14:paraId="61452F33" w14:textId="329CCCB1">
            <w:pPr>
              <w:keepNext/>
              <w:spacing w:after="0" w:line="240" w:lineRule="auto"/>
              <w:jc w:val="center"/>
              <w:rPr>
                <w:rFonts w:ascii="Times New Roman" w:hAnsi="Times New Roman" w:cs="Times New Roman"/>
                <w:color w:val="000000"/>
                <w:sz w:val="24"/>
                <w:szCs w:val="24"/>
              </w:rPr>
            </w:pPr>
          </w:p>
        </w:tc>
        <w:tc>
          <w:tcPr>
            <w:tcW w:w="2610" w:type="dxa"/>
            <w:noWrap/>
            <w:vAlign w:val="bottom"/>
            <w:hideMark/>
          </w:tcPr>
          <w:p w:rsidR="00AC60F6" w:rsidRPr="007C5144" w:rsidP="00C71C7D" w14:paraId="3630A466" w14:textId="77777777">
            <w:pPr>
              <w:keepNext/>
              <w:spacing w:after="0" w:line="240" w:lineRule="auto"/>
              <w:jc w:val="center"/>
              <w:rPr>
                <w:rFonts w:ascii="Times New Roman" w:hAnsi="Times New Roman" w:cs="Times New Roman"/>
                <w:color w:val="000000"/>
                <w:sz w:val="24"/>
                <w:szCs w:val="24"/>
              </w:rPr>
            </w:pPr>
            <w:r w:rsidRPr="007C5144">
              <w:rPr>
                <w:rFonts w:ascii="Times New Roman" w:hAnsi="Times New Roman" w:cs="Times New Roman"/>
                <w:color w:val="000000"/>
                <w:sz w:val="24"/>
                <w:szCs w:val="24"/>
              </w:rPr>
              <w:t>29.92%</w:t>
            </w:r>
          </w:p>
        </w:tc>
      </w:tr>
    </w:tbl>
    <w:p w:rsidR="004B62EB" w:rsidRPr="007C5144" w:rsidP="00254605" w14:paraId="3CA77C67" w14:textId="0E8F3FD8">
      <w:pPr>
        <w:spacing w:before="240" w:after="240" w:line="240" w:lineRule="auto"/>
        <w:rPr>
          <w:rFonts w:ascii="Times New Roman" w:hAnsi="Times New Roman" w:cs="Times New Roman"/>
          <w:sz w:val="24"/>
          <w:szCs w:val="24"/>
        </w:rPr>
      </w:pPr>
      <w:r w:rsidRPr="007C5144">
        <w:rPr>
          <w:rFonts w:ascii="Times New Roman" w:hAnsi="Times New Roman" w:cs="Times New Roman"/>
          <w:sz w:val="24"/>
          <w:szCs w:val="24"/>
        </w:rPr>
        <w:t>Accordingly, we estimate that the per contract burden associated with completing the detailed MLR reporting form would increase to 61.1 hours, or by 29.92% over the estimated per-contract burden of 47 hours (i.e., the estimated burden of completing the detailed MLR reporting form without taking into account the proposed additional fields).</w:t>
      </w:r>
    </w:p>
    <w:p w:rsidR="002B760D" w:rsidRPr="007C5144" w:rsidP="0083101D" w14:paraId="5B3351FC" w14:textId="093E78A8">
      <w:pPr>
        <w:spacing w:after="240" w:line="240" w:lineRule="auto"/>
        <w:rPr>
          <w:rFonts w:ascii="Times New Roman" w:hAnsi="Times New Roman" w:cs="Times New Roman"/>
          <w:sz w:val="24"/>
          <w:szCs w:val="24"/>
        </w:rPr>
      </w:pPr>
      <w:r w:rsidRPr="007C5144">
        <w:rPr>
          <w:rFonts w:ascii="Times New Roman" w:hAnsi="Times New Roman" w:cs="Times New Roman"/>
          <w:sz w:val="24"/>
          <w:szCs w:val="24"/>
        </w:rPr>
        <w:t>We estimate that MA organizations and Part D sponsors will incur minimal one-time start-up costs associated with developing processes for capturing the necessary data, as they should already have been allocating their expenses by line of business and contract in order to comply with our current regulations regarding the calculation of the MLR, and they should already have been tracking their supplemental benefit expenditures for purposes of bid development. We estimate that MA organizations and Part D sponsors will incur ongoing annual costs relating to data collection, populating the MLR reporting form, conducting an internal review, submitting the MLR reports to the Secretary, and conducting internal audits.</w:t>
      </w:r>
    </w:p>
    <w:p w:rsidR="00993D11" w:rsidRPr="007C5144" w:rsidP="00A42478" w14:paraId="2C029B84" w14:textId="30409589">
      <w:pPr>
        <w:keepNext/>
        <w:spacing w:before="240" w:after="240"/>
        <w:rPr>
          <w:rFonts w:ascii="Times New Roman" w:hAnsi="Times New Roman" w:cs="Times New Roman"/>
          <w:i/>
          <w:sz w:val="24"/>
          <w:szCs w:val="24"/>
        </w:rPr>
      </w:pPr>
      <w:r w:rsidRPr="007C5144">
        <w:rPr>
          <w:rFonts w:ascii="Times New Roman" w:hAnsi="Times New Roman" w:cs="Times New Roman"/>
          <w:i/>
          <w:sz w:val="24"/>
          <w:szCs w:val="24"/>
        </w:rPr>
        <w:t>Changes to Adjusted Hourly Wages</w:t>
      </w:r>
    </w:p>
    <w:p w:rsidR="00263901" w:rsidRPr="007C5144" w:rsidP="00C71C7D" w14:paraId="1C54D0A7" w14:textId="1E7C8E73">
      <w:pPr>
        <w:keepNext/>
        <w:spacing w:before="240" w:after="240"/>
        <w:rPr>
          <w:rFonts w:ascii="Times New Roman" w:hAnsi="Times New Roman" w:cs="Times New Roman"/>
          <w:sz w:val="24"/>
          <w:szCs w:val="24"/>
        </w:rPr>
      </w:pPr>
      <w:r w:rsidRPr="007C5144">
        <w:rPr>
          <w:rFonts w:ascii="Times New Roman" w:hAnsi="Times New Roman" w:cs="Times New Roman"/>
          <w:sz w:val="24"/>
          <w:szCs w:val="24"/>
        </w:rPr>
        <w:t>We are adjusting our Computer and Information Systems Manager adjusted wage based on more recent BLS wage figures.</w:t>
      </w:r>
    </w:p>
    <w:p w:rsidR="002F3CE7" w:rsidRPr="00FA4E32" w:rsidP="008E4550" w14:paraId="4ED01A32" w14:textId="0E25C7FA">
      <w:pPr>
        <w:keepNext/>
        <w:spacing w:before="240" w:after="0" w:line="240" w:lineRule="auto"/>
        <w:jc w:val="center"/>
        <w:rPr>
          <w:rFonts w:ascii="Times New Roman" w:hAnsi="Times New Roman" w:cs="Times New Roman"/>
          <w:sz w:val="24"/>
          <w:szCs w:val="24"/>
        </w:rPr>
      </w:pPr>
      <w:r w:rsidRPr="007C5144">
        <w:rPr>
          <w:rFonts w:ascii="Times New Roman" w:hAnsi="Times New Roman" w:cs="Times New Roman"/>
          <w:sz w:val="24"/>
          <w:szCs w:val="24"/>
        </w:rPr>
        <w:t>TABLE 7</w:t>
      </w:r>
      <w:r w:rsidR="007C5144">
        <w:rPr>
          <w:rFonts w:ascii="Times New Roman" w:hAnsi="Times New Roman" w:cs="Times New Roman"/>
          <w:sz w:val="24"/>
          <w:szCs w:val="24"/>
        </w:rPr>
        <w:t xml:space="preserve">: </w:t>
      </w:r>
      <w:r w:rsidRPr="00FA4E32">
        <w:rPr>
          <w:rFonts w:ascii="Times New Roman" w:hAnsi="Times New Roman" w:cs="Times New Roman"/>
          <w:sz w:val="24"/>
          <w:szCs w:val="24"/>
        </w:rPr>
        <w:t>Changes to Adjusted Hourly Wages</w:t>
      </w:r>
    </w:p>
    <w:tbl>
      <w:tblPr>
        <w:tblStyle w:val="TableGrid"/>
        <w:tblW w:w="8185" w:type="dxa"/>
        <w:jc w:val="center"/>
        <w:tblLayout w:type="fixed"/>
        <w:tblLook w:val="04A0"/>
      </w:tblPr>
      <w:tblGrid>
        <w:gridCol w:w="1885"/>
        <w:gridCol w:w="1895"/>
        <w:gridCol w:w="1705"/>
        <w:gridCol w:w="1260"/>
        <w:gridCol w:w="1440"/>
      </w:tblGrid>
      <w:tr w14:paraId="0F44D38C" w14:textId="77777777" w:rsidTr="00254605">
        <w:tblPrEx>
          <w:tblW w:w="8185" w:type="dxa"/>
          <w:jc w:val="center"/>
          <w:tblLayout w:type="fixed"/>
          <w:tblLook w:val="04A0"/>
        </w:tblPrEx>
        <w:trPr>
          <w:trHeight w:val="485"/>
          <w:jc w:val="center"/>
        </w:trPr>
        <w:tc>
          <w:tcPr>
            <w:tcW w:w="1885" w:type="dxa"/>
            <w:vAlign w:val="center"/>
          </w:tcPr>
          <w:p w:rsidR="00993D11" w:rsidRPr="007C5144" w:rsidP="00C71C7D" w14:paraId="0650FF47" w14:textId="3629DAEF">
            <w:pPr>
              <w:keepNext/>
              <w:autoSpaceDE w:val="0"/>
              <w:autoSpaceDN w:val="0"/>
              <w:adjustRightInd w:val="0"/>
              <w:jc w:val="center"/>
              <w:rPr>
                <w:rFonts w:ascii="Times New Roman" w:hAnsi="Times New Roman"/>
                <w:sz w:val="24"/>
              </w:rPr>
            </w:pPr>
            <w:r w:rsidRPr="007C5144">
              <w:rPr>
                <w:rFonts w:ascii="Times New Roman" w:hAnsi="Times New Roman"/>
                <w:sz w:val="24"/>
              </w:rPr>
              <w:t>Occupational Title</w:t>
            </w:r>
          </w:p>
        </w:tc>
        <w:tc>
          <w:tcPr>
            <w:tcW w:w="1895" w:type="dxa"/>
            <w:vAlign w:val="center"/>
          </w:tcPr>
          <w:p w:rsidR="00993D11" w:rsidRPr="007C5144" w:rsidP="00C71C7D" w14:paraId="6C5DEA75" w14:textId="22961747">
            <w:pPr>
              <w:keepNext/>
              <w:autoSpaceDE w:val="0"/>
              <w:autoSpaceDN w:val="0"/>
              <w:adjustRightInd w:val="0"/>
              <w:jc w:val="center"/>
              <w:rPr>
                <w:rFonts w:ascii="Times New Roman" w:hAnsi="Times New Roman"/>
                <w:sz w:val="24"/>
              </w:rPr>
            </w:pPr>
            <w:r w:rsidRPr="007C5144">
              <w:rPr>
                <w:rFonts w:ascii="Times New Roman" w:hAnsi="Times New Roman"/>
                <w:sz w:val="24"/>
              </w:rPr>
              <w:t>Occupation Code</w:t>
            </w:r>
          </w:p>
        </w:tc>
        <w:tc>
          <w:tcPr>
            <w:tcW w:w="1705" w:type="dxa"/>
            <w:vAlign w:val="center"/>
          </w:tcPr>
          <w:p w:rsidR="009929E4" w:rsidRPr="007C5144" w:rsidP="00691DE5" w14:paraId="69F87606" w14:textId="7F7AC788">
            <w:pPr>
              <w:keepNext/>
              <w:autoSpaceDE w:val="0"/>
              <w:autoSpaceDN w:val="0"/>
              <w:adjustRightInd w:val="0"/>
              <w:jc w:val="center"/>
              <w:rPr>
                <w:rFonts w:ascii="Times New Roman" w:hAnsi="Times New Roman"/>
                <w:sz w:val="24"/>
              </w:rPr>
            </w:pPr>
            <w:r w:rsidRPr="007C5144">
              <w:rPr>
                <w:rFonts w:ascii="Times New Roman" w:hAnsi="Times New Roman"/>
                <w:sz w:val="24"/>
              </w:rPr>
              <w:t>Currently Approved</w:t>
            </w:r>
            <w:r w:rsidRPr="007C5144" w:rsidR="00D17E6B">
              <w:rPr>
                <w:rFonts w:ascii="Times New Roman" w:hAnsi="Times New Roman"/>
                <w:sz w:val="24"/>
              </w:rPr>
              <w:t>*</w:t>
            </w:r>
            <w:r w:rsidRPr="007C5144">
              <w:rPr>
                <w:rFonts w:ascii="Times New Roman" w:hAnsi="Times New Roman"/>
                <w:sz w:val="24"/>
              </w:rPr>
              <w:t xml:space="preserve"> ($/hr)</w:t>
            </w:r>
          </w:p>
        </w:tc>
        <w:tc>
          <w:tcPr>
            <w:tcW w:w="1260" w:type="dxa"/>
            <w:vAlign w:val="center"/>
          </w:tcPr>
          <w:p w:rsidR="009929E4" w:rsidRPr="007C5144" w:rsidP="00691DE5" w14:paraId="7BD4B731" w14:textId="1FC0C4B4">
            <w:pPr>
              <w:keepNext/>
              <w:autoSpaceDE w:val="0"/>
              <w:autoSpaceDN w:val="0"/>
              <w:adjustRightInd w:val="0"/>
              <w:jc w:val="center"/>
              <w:rPr>
                <w:rFonts w:ascii="Times New Roman" w:hAnsi="Times New Roman"/>
                <w:sz w:val="24"/>
              </w:rPr>
            </w:pPr>
            <w:r w:rsidRPr="007C5144">
              <w:rPr>
                <w:rFonts w:ascii="Times New Roman" w:hAnsi="Times New Roman" w:cs="Times New Roman"/>
                <w:sz w:val="24"/>
                <w:szCs w:val="24"/>
              </w:rPr>
              <w:t>CMS-4192-F</w:t>
            </w:r>
            <w:r w:rsidRPr="007C5144" w:rsidR="00D17E6B">
              <w:rPr>
                <w:rFonts w:ascii="Times New Roman" w:hAnsi="Times New Roman" w:cs="Times New Roman"/>
                <w:sz w:val="24"/>
                <w:szCs w:val="24"/>
              </w:rPr>
              <w:t>**</w:t>
            </w:r>
            <w:r w:rsidRPr="007C5144" w:rsidR="00263901">
              <w:rPr>
                <w:rFonts w:ascii="Times New Roman" w:hAnsi="Times New Roman"/>
                <w:sz w:val="24"/>
              </w:rPr>
              <w:t xml:space="preserve"> </w:t>
            </w:r>
            <w:r w:rsidRPr="007C5144" w:rsidR="00993D11">
              <w:rPr>
                <w:rFonts w:ascii="Times New Roman" w:hAnsi="Times New Roman"/>
                <w:sz w:val="24"/>
              </w:rPr>
              <w:t>($/hr)</w:t>
            </w:r>
          </w:p>
        </w:tc>
        <w:tc>
          <w:tcPr>
            <w:tcW w:w="1440" w:type="dxa"/>
            <w:vAlign w:val="center"/>
          </w:tcPr>
          <w:p w:rsidR="00993D11" w:rsidRPr="007C5144" w:rsidP="00C71C7D" w14:paraId="43944B36" w14:textId="31489CE2">
            <w:pPr>
              <w:keepNext/>
              <w:autoSpaceDE w:val="0"/>
              <w:autoSpaceDN w:val="0"/>
              <w:adjustRightInd w:val="0"/>
              <w:jc w:val="center"/>
              <w:rPr>
                <w:rFonts w:ascii="Times New Roman" w:hAnsi="Times New Roman"/>
                <w:sz w:val="24"/>
              </w:rPr>
            </w:pPr>
            <w:r w:rsidRPr="007C5144">
              <w:rPr>
                <w:rFonts w:ascii="Times New Roman" w:hAnsi="Times New Roman"/>
                <w:sz w:val="24"/>
              </w:rPr>
              <w:t>Difference ($/hr)</w:t>
            </w:r>
          </w:p>
        </w:tc>
      </w:tr>
      <w:tr w14:paraId="61C41CDF" w14:textId="77777777" w:rsidTr="00254605">
        <w:tblPrEx>
          <w:tblW w:w="8185" w:type="dxa"/>
          <w:jc w:val="center"/>
          <w:tblLayout w:type="fixed"/>
          <w:tblLook w:val="04A0"/>
        </w:tblPrEx>
        <w:trPr>
          <w:trHeight w:val="485"/>
          <w:jc w:val="center"/>
        </w:trPr>
        <w:tc>
          <w:tcPr>
            <w:tcW w:w="1885" w:type="dxa"/>
            <w:vAlign w:val="center"/>
          </w:tcPr>
          <w:p w:rsidR="00993D11" w:rsidRPr="007C5144" w:rsidP="00C71C7D" w14:paraId="5E745C9A" w14:textId="5D8A38AB">
            <w:pPr>
              <w:keepNext/>
              <w:autoSpaceDE w:val="0"/>
              <w:autoSpaceDN w:val="0"/>
              <w:adjustRightInd w:val="0"/>
              <w:jc w:val="center"/>
              <w:rPr>
                <w:rFonts w:ascii="Times New Roman" w:hAnsi="Times New Roman"/>
                <w:sz w:val="24"/>
              </w:rPr>
            </w:pPr>
            <w:r w:rsidRPr="007C5144">
              <w:rPr>
                <w:rFonts w:ascii="Times New Roman" w:hAnsi="Times New Roman"/>
                <w:sz w:val="24"/>
              </w:rPr>
              <w:t>Computer and Information Systems Manager</w:t>
            </w:r>
          </w:p>
        </w:tc>
        <w:tc>
          <w:tcPr>
            <w:tcW w:w="1895" w:type="dxa"/>
            <w:vAlign w:val="center"/>
          </w:tcPr>
          <w:p w:rsidR="00993D11" w:rsidRPr="007C5144" w:rsidP="00C71C7D" w14:paraId="3111695F" w14:textId="07BF2682">
            <w:pPr>
              <w:keepNext/>
              <w:autoSpaceDE w:val="0"/>
              <w:autoSpaceDN w:val="0"/>
              <w:adjustRightInd w:val="0"/>
              <w:jc w:val="center"/>
              <w:rPr>
                <w:rFonts w:ascii="Times New Roman" w:hAnsi="Times New Roman"/>
                <w:sz w:val="24"/>
              </w:rPr>
            </w:pPr>
            <w:r w:rsidRPr="007C5144">
              <w:rPr>
                <w:rFonts w:ascii="Times New Roman" w:hAnsi="Times New Roman"/>
                <w:sz w:val="24"/>
              </w:rPr>
              <w:t>11-3021</w:t>
            </w:r>
          </w:p>
        </w:tc>
        <w:tc>
          <w:tcPr>
            <w:tcW w:w="1705" w:type="dxa"/>
            <w:vAlign w:val="center"/>
          </w:tcPr>
          <w:p w:rsidR="00993D11" w:rsidRPr="007C5144" w:rsidP="00C71C7D" w14:paraId="04042ACC" w14:textId="32F90175">
            <w:pPr>
              <w:keepNext/>
              <w:autoSpaceDE w:val="0"/>
              <w:autoSpaceDN w:val="0"/>
              <w:adjustRightInd w:val="0"/>
              <w:jc w:val="center"/>
              <w:rPr>
                <w:rFonts w:ascii="Times New Roman" w:hAnsi="Times New Roman"/>
                <w:sz w:val="24"/>
              </w:rPr>
            </w:pPr>
            <w:r w:rsidRPr="007C5144">
              <w:rPr>
                <w:rFonts w:ascii="Times New Roman" w:hAnsi="Times New Roman"/>
                <w:sz w:val="24"/>
              </w:rPr>
              <w:t>150.38</w:t>
            </w:r>
          </w:p>
        </w:tc>
        <w:tc>
          <w:tcPr>
            <w:tcW w:w="1260" w:type="dxa"/>
            <w:vAlign w:val="center"/>
          </w:tcPr>
          <w:p w:rsidR="00993D11" w:rsidRPr="007C5144" w:rsidP="00C71C7D" w14:paraId="2EEA79F3" w14:textId="4146EA75">
            <w:pPr>
              <w:keepNext/>
              <w:autoSpaceDE w:val="0"/>
              <w:autoSpaceDN w:val="0"/>
              <w:adjustRightInd w:val="0"/>
              <w:jc w:val="center"/>
              <w:rPr>
                <w:rFonts w:ascii="Times New Roman" w:hAnsi="Times New Roman"/>
                <w:sz w:val="24"/>
              </w:rPr>
            </w:pPr>
            <w:r w:rsidRPr="007C5144">
              <w:rPr>
                <w:rFonts w:ascii="Times New Roman" w:hAnsi="Times New Roman"/>
                <w:sz w:val="24"/>
              </w:rPr>
              <w:t>156.66</w:t>
            </w:r>
          </w:p>
        </w:tc>
        <w:tc>
          <w:tcPr>
            <w:tcW w:w="1440" w:type="dxa"/>
            <w:vAlign w:val="center"/>
          </w:tcPr>
          <w:p w:rsidR="00993D11" w:rsidRPr="007C5144" w:rsidP="00C71C7D" w14:paraId="02ED778D" w14:textId="589D65C4">
            <w:pPr>
              <w:keepNext/>
              <w:autoSpaceDE w:val="0"/>
              <w:autoSpaceDN w:val="0"/>
              <w:adjustRightInd w:val="0"/>
              <w:jc w:val="center"/>
              <w:rPr>
                <w:rFonts w:ascii="Times New Roman" w:hAnsi="Times New Roman"/>
                <w:sz w:val="24"/>
              </w:rPr>
            </w:pPr>
            <w:r w:rsidRPr="007C5144">
              <w:rPr>
                <w:rFonts w:ascii="Times New Roman" w:hAnsi="Times New Roman"/>
                <w:sz w:val="24"/>
              </w:rPr>
              <w:t>+</w:t>
            </w:r>
            <w:r w:rsidRPr="007C5144" w:rsidR="00F529FA">
              <w:rPr>
                <w:rFonts w:ascii="Times New Roman" w:hAnsi="Times New Roman"/>
                <w:sz w:val="24"/>
              </w:rPr>
              <w:t>6</w:t>
            </w:r>
            <w:r w:rsidRPr="007C5144" w:rsidR="009B0368">
              <w:rPr>
                <w:rFonts w:ascii="Times New Roman" w:eastAsia="Arial" w:hAnsi="Times New Roman" w:cs="Times New Roman"/>
                <w:sz w:val="24"/>
                <w:szCs w:val="24"/>
              </w:rPr>
              <w:t>.</w:t>
            </w:r>
            <w:r w:rsidRPr="007C5144" w:rsidR="00F529FA">
              <w:rPr>
                <w:rFonts w:ascii="Times New Roman" w:eastAsia="Arial" w:hAnsi="Times New Roman" w:cs="Times New Roman"/>
                <w:sz w:val="24"/>
                <w:szCs w:val="24"/>
              </w:rPr>
              <w:t>28</w:t>
            </w:r>
          </w:p>
        </w:tc>
      </w:tr>
    </w:tbl>
    <w:p w:rsidR="00691DE5" w:rsidRPr="007C5144" w:rsidP="00691DE5" w14:paraId="206FF54C" w14:textId="13963035">
      <w:pPr>
        <w:keepNext/>
        <w:spacing w:after="0" w:line="240" w:lineRule="auto"/>
        <w:ind w:firstLine="720"/>
        <w:rPr>
          <w:rFonts w:ascii="Times New Roman" w:hAnsi="Times New Roman" w:cs="Times New Roman"/>
          <w:sz w:val="20"/>
          <w:szCs w:val="20"/>
        </w:rPr>
      </w:pPr>
      <w:r w:rsidRPr="007C5144">
        <w:rPr>
          <w:rFonts w:ascii="Times New Roman" w:hAnsi="Times New Roman" w:cs="Times New Roman"/>
          <w:sz w:val="20"/>
          <w:szCs w:val="20"/>
        </w:rPr>
        <w:t>*BLS May 2019.</w:t>
      </w:r>
    </w:p>
    <w:p w:rsidR="00691DE5" w:rsidRPr="007C5144" w:rsidP="00691DE5" w14:paraId="2B84F3D1" w14:textId="41229E8E">
      <w:pPr>
        <w:keepNext/>
        <w:spacing w:after="0" w:line="240" w:lineRule="auto"/>
        <w:ind w:firstLine="720"/>
        <w:rPr>
          <w:rFonts w:ascii="Times New Roman" w:hAnsi="Times New Roman" w:cs="Times New Roman"/>
          <w:sz w:val="20"/>
          <w:szCs w:val="20"/>
        </w:rPr>
      </w:pPr>
      <w:r w:rsidRPr="007C5144">
        <w:rPr>
          <w:rFonts w:ascii="Times New Roman" w:hAnsi="Times New Roman" w:cs="Times New Roman"/>
          <w:sz w:val="20"/>
          <w:szCs w:val="20"/>
        </w:rPr>
        <w:t>**BLS May 202</w:t>
      </w:r>
      <w:r w:rsidR="002463C5">
        <w:rPr>
          <w:rFonts w:ascii="Times New Roman" w:hAnsi="Times New Roman" w:cs="Times New Roman"/>
          <w:sz w:val="20"/>
          <w:szCs w:val="20"/>
        </w:rPr>
        <w:t>0</w:t>
      </w:r>
      <w:r w:rsidRPr="007C5144">
        <w:rPr>
          <w:rFonts w:ascii="Times New Roman" w:hAnsi="Times New Roman" w:cs="Times New Roman"/>
          <w:sz w:val="20"/>
          <w:szCs w:val="20"/>
        </w:rPr>
        <w:t>.</w:t>
      </w:r>
    </w:p>
    <w:p w:rsidR="00617DF0" w:rsidRPr="00A42478" w:rsidP="00A42478" w14:paraId="33590A08" w14:textId="6418ACAC">
      <w:pPr>
        <w:keepNext/>
        <w:spacing w:before="240" w:after="240"/>
        <w:rPr>
          <w:rFonts w:ascii="Times New Roman" w:hAnsi="Times New Roman"/>
          <w:sz w:val="24"/>
          <w:u w:val="single"/>
        </w:rPr>
      </w:pPr>
      <w:r w:rsidRPr="007C5144">
        <w:rPr>
          <w:rFonts w:ascii="Times New Roman" w:hAnsi="Times New Roman" w:cs="Times New Roman"/>
          <w:i/>
          <w:sz w:val="24"/>
          <w:szCs w:val="24"/>
        </w:rPr>
        <w:t>Burden Reconciliation</w:t>
      </w:r>
    </w:p>
    <w:p w:rsidR="002F3CE7" w:rsidP="00617DF0" w14:paraId="3F9A3CE4" w14:textId="3775A874">
      <w:pPr>
        <w:keepNext/>
        <w:spacing w:before="240" w:after="0" w:line="240" w:lineRule="auto"/>
        <w:jc w:val="center"/>
        <w:rPr>
          <w:rFonts w:ascii="Times New Roman" w:hAnsi="Times New Roman" w:cs="Times New Roman"/>
          <w:sz w:val="24"/>
          <w:szCs w:val="24"/>
        </w:rPr>
      </w:pPr>
      <w:r w:rsidRPr="007226BE">
        <w:rPr>
          <w:rFonts w:ascii="Times New Roman" w:hAnsi="Times New Roman" w:cs="Times New Roman"/>
          <w:sz w:val="24"/>
          <w:szCs w:val="24"/>
        </w:rPr>
        <w:t>TABLE 8</w:t>
      </w:r>
      <w:r w:rsidRPr="007226BE" w:rsidR="007C5144">
        <w:rPr>
          <w:rFonts w:ascii="Times New Roman" w:hAnsi="Times New Roman" w:cs="Times New Roman"/>
          <w:sz w:val="24"/>
          <w:szCs w:val="24"/>
        </w:rPr>
        <w:t xml:space="preserve">: </w:t>
      </w:r>
      <w:r w:rsidRPr="007226BE">
        <w:rPr>
          <w:rFonts w:ascii="Times New Roman" w:hAnsi="Times New Roman" w:cs="Times New Roman"/>
          <w:sz w:val="24"/>
          <w:szCs w:val="24"/>
        </w:rPr>
        <w:t>Burden Reconciliation based on New Statue and Program Adjustment</w:t>
      </w:r>
    </w:p>
    <w:tbl>
      <w:tblPr>
        <w:tblW w:w="10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tblPr>
      <w:tblGrid>
        <w:gridCol w:w="1620"/>
        <w:gridCol w:w="1672"/>
        <w:gridCol w:w="1478"/>
        <w:gridCol w:w="1980"/>
        <w:gridCol w:w="2070"/>
        <w:gridCol w:w="1530"/>
      </w:tblGrid>
      <w:tr w14:paraId="3E67572D" w14:textId="77777777" w:rsidTr="00254605">
        <w:tblPrEx>
          <w:tblW w:w="1035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tblPrEx>
        <w:trPr>
          <w:trHeight w:val="20"/>
          <w:jc w:val="center"/>
        </w:trPr>
        <w:tc>
          <w:tcPr>
            <w:tcW w:w="1620" w:type="dxa"/>
            <w:shd w:val="clear" w:color="auto" w:fill="FFFFFF" w:themeFill="background1"/>
            <w:vAlign w:val="center"/>
          </w:tcPr>
          <w:p w:rsidR="00512FA9" w:rsidRPr="007C5144" w:rsidP="00C71C7D" w14:paraId="76207CEE" w14:textId="77777777">
            <w:pPr>
              <w:keepNext/>
              <w:spacing w:after="0" w:line="240" w:lineRule="auto"/>
              <w:jc w:val="center"/>
              <w:rPr>
                <w:rFonts w:ascii="Times New Roman" w:hAnsi="Times New Roman"/>
                <w:sz w:val="24"/>
              </w:rPr>
            </w:pPr>
            <w:r w:rsidRPr="007C5144">
              <w:rPr>
                <w:rFonts w:ascii="Times New Roman" w:hAnsi="Times New Roman"/>
                <w:sz w:val="24"/>
              </w:rPr>
              <w:t>Burden Type</w:t>
            </w:r>
          </w:p>
        </w:tc>
        <w:tc>
          <w:tcPr>
            <w:tcW w:w="1672" w:type="dxa"/>
            <w:shd w:val="clear" w:color="auto" w:fill="FFFFFF" w:themeFill="background1"/>
            <w:vAlign w:val="center"/>
          </w:tcPr>
          <w:p w:rsidR="00512FA9" w:rsidRPr="007C5144" w:rsidP="00C71C7D" w14:paraId="71770806" w14:textId="50A3CD8E">
            <w:pPr>
              <w:keepNext/>
              <w:spacing w:after="0" w:line="240" w:lineRule="auto"/>
              <w:jc w:val="center"/>
              <w:rPr>
                <w:rFonts w:ascii="Times New Roman" w:hAnsi="Times New Roman"/>
                <w:sz w:val="24"/>
              </w:rPr>
            </w:pPr>
            <w:r w:rsidRPr="007C5144">
              <w:rPr>
                <w:rFonts w:ascii="Times New Roman" w:hAnsi="Times New Roman"/>
                <w:sz w:val="24"/>
              </w:rPr>
              <w:t>Total Requeste</w:t>
            </w:r>
            <w:r w:rsidRPr="007C5144" w:rsidR="00692170">
              <w:rPr>
                <w:rFonts w:ascii="Times New Roman" w:hAnsi="Times New Roman"/>
                <w:sz w:val="24"/>
              </w:rPr>
              <w:t>d</w:t>
            </w:r>
          </w:p>
        </w:tc>
        <w:tc>
          <w:tcPr>
            <w:tcW w:w="1478" w:type="dxa"/>
            <w:shd w:val="clear" w:color="auto" w:fill="FFFFFF" w:themeFill="background1"/>
            <w:vAlign w:val="center"/>
          </w:tcPr>
          <w:p w:rsidR="00512FA9" w:rsidRPr="007C5144" w:rsidP="00C71C7D" w14:paraId="6BE9171B" w14:textId="1DFD1406">
            <w:pPr>
              <w:keepNext/>
              <w:spacing w:after="0" w:line="240" w:lineRule="auto"/>
              <w:jc w:val="center"/>
              <w:rPr>
                <w:rFonts w:ascii="Times New Roman" w:hAnsi="Times New Roman"/>
                <w:sz w:val="24"/>
              </w:rPr>
            </w:pPr>
            <w:r w:rsidRPr="007C5144">
              <w:rPr>
                <w:rFonts w:ascii="Times New Roman" w:hAnsi="Times New Roman"/>
                <w:sz w:val="24"/>
              </w:rPr>
              <w:t>Change Due to New Statute</w:t>
            </w:r>
          </w:p>
        </w:tc>
        <w:tc>
          <w:tcPr>
            <w:tcW w:w="1980" w:type="dxa"/>
            <w:shd w:val="clear" w:color="auto" w:fill="FFFFFF" w:themeFill="background1"/>
            <w:vAlign w:val="center"/>
          </w:tcPr>
          <w:p w:rsidR="00512FA9" w:rsidRPr="007C5144" w:rsidP="00C71C7D" w14:paraId="68285A6C" w14:textId="2BC8C6B6">
            <w:pPr>
              <w:keepNext/>
              <w:spacing w:after="0" w:line="240" w:lineRule="auto"/>
              <w:jc w:val="center"/>
              <w:rPr>
                <w:rFonts w:ascii="Times New Roman" w:hAnsi="Times New Roman"/>
                <w:sz w:val="24"/>
              </w:rPr>
            </w:pPr>
            <w:r w:rsidRPr="007C5144">
              <w:rPr>
                <w:rFonts w:ascii="Times New Roman" w:hAnsi="Times New Roman"/>
                <w:sz w:val="24"/>
              </w:rPr>
              <w:t>Chan</w:t>
            </w:r>
            <w:r w:rsidRPr="007C5144" w:rsidR="00692170">
              <w:rPr>
                <w:rFonts w:ascii="Times New Roman" w:hAnsi="Times New Roman"/>
                <w:sz w:val="24"/>
              </w:rPr>
              <w:t>ge Due to Program Discretion</w:t>
            </w:r>
          </w:p>
        </w:tc>
        <w:tc>
          <w:tcPr>
            <w:tcW w:w="2070" w:type="dxa"/>
            <w:shd w:val="clear" w:color="auto" w:fill="FFFFFF" w:themeFill="background1"/>
            <w:vAlign w:val="center"/>
          </w:tcPr>
          <w:p w:rsidR="00512FA9" w:rsidRPr="007C5144" w:rsidP="00C71C7D" w14:paraId="6F21C590" w14:textId="110C7E9A">
            <w:pPr>
              <w:keepNext/>
              <w:spacing w:after="0" w:line="240" w:lineRule="auto"/>
              <w:jc w:val="center"/>
              <w:rPr>
                <w:rFonts w:ascii="Times New Roman" w:hAnsi="Times New Roman"/>
                <w:sz w:val="24"/>
              </w:rPr>
            </w:pPr>
            <w:r w:rsidRPr="007C5144">
              <w:rPr>
                <w:rFonts w:ascii="Times New Roman" w:hAnsi="Times New Roman"/>
                <w:sz w:val="24"/>
              </w:rPr>
              <w:t>Change Due to Program Adjustment</w:t>
            </w:r>
          </w:p>
        </w:tc>
        <w:tc>
          <w:tcPr>
            <w:tcW w:w="1530" w:type="dxa"/>
            <w:shd w:val="clear" w:color="auto" w:fill="FFFFFF" w:themeFill="background1"/>
            <w:vAlign w:val="center"/>
          </w:tcPr>
          <w:p w:rsidR="00512FA9" w:rsidRPr="007C5144" w:rsidP="00C71C7D" w14:paraId="3F1C5EA3" w14:textId="19F232FD">
            <w:pPr>
              <w:keepNext/>
              <w:spacing w:after="0" w:line="240" w:lineRule="auto"/>
              <w:jc w:val="center"/>
              <w:rPr>
                <w:rFonts w:ascii="Times New Roman" w:hAnsi="Times New Roman"/>
                <w:sz w:val="24"/>
              </w:rPr>
            </w:pPr>
            <w:r w:rsidRPr="007C5144">
              <w:rPr>
                <w:rFonts w:ascii="Times New Roman" w:hAnsi="Times New Roman"/>
                <w:sz w:val="24"/>
              </w:rPr>
              <w:t>Total Currently Approved</w:t>
            </w:r>
          </w:p>
        </w:tc>
      </w:tr>
      <w:tr w14:paraId="0A323403" w14:textId="77777777" w:rsidTr="00254605">
        <w:tblPrEx>
          <w:tblW w:w="10350" w:type="dxa"/>
          <w:jc w:val="center"/>
          <w:shd w:val="clear" w:color="auto" w:fill="FFFFFF" w:themeFill="background1"/>
          <w:tblLayout w:type="fixed"/>
          <w:tblCellMar>
            <w:left w:w="0" w:type="dxa"/>
            <w:right w:w="0" w:type="dxa"/>
          </w:tblCellMar>
          <w:tblLook w:val="0000"/>
        </w:tblPrEx>
        <w:trPr>
          <w:trHeight w:val="20"/>
          <w:jc w:val="center"/>
        </w:trPr>
        <w:tc>
          <w:tcPr>
            <w:tcW w:w="1620" w:type="dxa"/>
            <w:shd w:val="clear" w:color="auto" w:fill="FFFFFF" w:themeFill="background1"/>
            <w:vAlign w:val="center"/>
          </w:tcPr>
          <w:p w:rsidR="008404D4" w:rsidRPr="007C5144" w:rsidP="008404D4" w14:paraId="1D882986" w14:textId="77777777">
            <w:pPr>
              <w:keepNext/>
              <w:spacing w:after="0" w:line="240" w:lineRule="auto"/>
              <w:jc w:val="center"/>
              <w:rPr>
                <w:rFonts w:ascii="Times New Roman" w:hAnsi="Times New Roman"/>
                <w:sz w:val="24"/>
              </w:rPr>
            </w:pPr>
            <w:r w:rsidRPr="007C5144">
              <w:rPr>
                <w:rFonts w:ascii="Times New Roman" w:hAnsi="Times New Roman"/>
                <w:sz w:val="24"/>
              </w:rPr>
              <w:t>Total Responses</w:t>
            </w:r>
          </w:p>
        </w:tc>
        <w:tc>
          <w:tcPr>
            <w:tcW w:w="1672" w:type="dxa"/>
            <w:shd w:val="clear" w:color="auto" w:fill="FFFFFF" w:themeFill="background1"/>
            <w:vAlign w:val="center"/>
          </w:tcPr>
          <w:p w:rsidR="008404D4" w:rsidRPr="007C5144" w:rsidP="008404D4" w14:paraId="0BADBACC" w14:textId="3D6213C2">
            <w:pPr>
              <w:keepNext/>
              <w:spacing w:after="0" w:line="240" w:lineRule="auto"/>
              <w:jc w:val="center"/>
              <w:rPr>
                <w:rFonts w:ascii="Times New Roman" w:hAnsi="Times New Roman"/>
                <w:sz w:val="24"/>
              </w:rPr>
            </w:pPr>
            <w:r w:rsidRPr="007C5144">
              <w:rPr>
                <w:rFonts w:ascii="Times New Roman" w:hAnsi="Times New Roman" w:cs="Times New Roman"/>
                <w:sz w:val="24"/>
                <w:szCs w:val="24"/>
              </w:rPr>
              <w:t>601</w:t>
            </w:r>
          </w:p>
        </w:tc>
        <w:tc>
          <w:tcPr>
            <w:tcW w:w="1478" w:type="dxa"/>
            <w:shd w:val="clear" w:color="auto" w:fill="FFFFFF" w:themeFill="background1"/>
            <w:vAlign w:val="center"/>
          </w:tcPr>
          <w:p w:rsidR="008404D4" w:rsidRPr="007C5144" w:rsidP="008404D4" w14:paraId="22E3D1AB" w14:textId="4F150327">
            <w:pPr>
              <w:keepNext/>
              <w:spacing w:after="0" w:line="240" w:lineRule="auto"/>
              <w:jc w:val="center"/>
              <w:rPr>
                <w:rFonts w:ascii="Times New Roman" w:hAnsi="Times New Roman"/>
                <w:sz w:val="24"/>
              </w:rPr>
            </w:pPr>
            <w:r w:rsidRPr="007C5144">
              <w:rPr>
                <w:rFonts w:ascii="Times New Roman" w:hAnsi="Times New Roman"/>
                <w:sz w:val="24"/>
              </w:rPr>
              <w:t>0</w:t>
            </w:r>
          </w:p>
        </w:tc>
        <w:tc>
          <w:tcPr>
            <w:tcW w:w="1980" w:type="dxa"/>
            <w:shd w:val="clear" w:color="auto" w:fill="FFFFFF" w:themeFill="background1"/>
            <w:vAlign w:val="center"/>
          </w:tcPr>
          <w:p w:rsidR="008404D4" w:rsidRPr="007C5144" w:rsidP="008404D4" w14:paraId="18EF5162" w14:textId="750239EB">
            <w:pPr>
              <w:keepNext/>
              <w:spacing w:after="0" w:line="240" w:lineRule="auto"/>
              <w:jc w:val="center"/>
              <w:rPr>
                <w:rFonts w:ascii="Times New Roman" w:hAnsi="Times New Roman"/>
                <w:sz w:val="24"/>
              </w:rPr>
            </w:pPr>
            <w:r>
              <w:rPr>
                <w:rFonts w:ascii="Times New Roman" w:hAnsi="Times New Roman"/>
                <w:sz w:val="24"/>
              </w:rPr>
              <w:t>0</w:t>
            </w:r>
          </w:p>
        </w:tc>
        <w:tc>
          <w:tcPr>
            <w:tcW w:w="2070" w:type="dxa"/>
            <w:shd w:val="clear" w:color="auto" w:fill="FFFFFF" w:themeFill="background1"/>
            <w:vAlign w:val="center"/>
          </w:tcPr>
          <w:p w:rsidR="008404D4" w:rsidRPr="007C5144" w:rsidP="008404D4" w14:paraId="3011E249" w14:textId="2B8DED35">
            <w:pPr>
              <w:keepNext/>
              <w:spacing w:after="0" w:line="240" w:lineRule="auto"/>
              <w:jc w:val="center"/>
              <w:rPr>
                <w:rFonts w:ascii="Times New Roman" w:hAnsi="Times New Roman"/>
                <w:sz w:val="24"/>
              </w:rPr>
            </w:pPr>
            <w:r w:rsidRPr="007C5144">
              <w:rPr>
                <w:rFonts w:ascii="Times New Roman" w:hAnsi="Times New Roman" w:cs="Times New Roman"/>
                <w:sz w:val="24"/>
                <w:szCs w:val="24"/>
              </w:rPr>
              <w:t>+14</w:t>
            </w:r>
          </w:p>
        </w:tc>
        <w:tc>
          <w:tcPr>
            <w:tcW w:w="1530" w:type="dxa"/>
            <w:shd w:val="clear" w:color="auto" w:fill="FFFFFF" w:themeFill="background1"/>
            <w:vAlign w:val="center"/>
          </w:tcPr>
          <w:p w:rsidR="008404D4" w:rsidRPr="007C5144" w:rsidP="008404D4" w14:paraId="3922E183" w14:textId="1A8FFA7C">
            <w:pPr>
              <w:keepNext/>
              <w:spacing w:after="0" w:line="240" w:lineRule="auto"/>
              <w:jc w:val="center"/>
              <w:rPr>
                <w:rFonts w:ascii="Times New Roman" w:hAnsi="Times New Roman"/>
                <w:sz w:val="24"/>
              </w:rPr>
            </w:pPr>
            <w:r w:rsidRPr="007C5144">
              <w:rPr>
                <w:rFonts w:ascii="Times New Roman" w:hAnsi="Times New Roman"/>
                <w:sz w:val="24"/>
              </w:rPr>
              <w:t>587</w:t>
            </w:r>
          </w:p>
        </w:tc>
      </w:tr>
      <w:tr w14:paraId="5D932B57" w14:textId="77777777" w:rsidTr="00254605">
        <w:tblPrEx>
          <w:tblW w:w="10350" w:type="dxa"/>
          <w:jc w:val="center"/>
          <w:shd w:val="clear" w:color="auto" w:fill="FFFFFF" w:themeFill="background1"/>
          <w:tblLayout w:type="fixed"/>
          <w:tblCellMar>
            <w:left w:w="0" w:type="dxa"/>
            <w:right w:w="0" w:type="dxa"/>
          </w:tblCellMar>
          <w:tblLook w:val="0000"/>
        </w:tblPrEx>
        <w:trPr>
          <w:trHeight w:val="20"/>
          <w:jc w:val="center"/>
        </w:trPr>
        <w:tc>
          <w:tcPr>
            <w:tcW w:w="1620" w:type="dxa"/>
            <w:shd w:val="clear" w:color="auto" w:fill="FFFFFF" w:themeFill="background1"/>
            <w:vAlign w:val="center"/>
          </w:tcPr>
          <w:p w:rsidR="008404D4" w:rsidRPr="007C5144" w:rsidP="008404D4" w14:paraId="2B9A0598" w14:textId="471E40EA">
            <w:pPr>
              <w:keepNext/>
              <w:spacing w:after="0" w:line="240" w:lineRule="auto"/>
              <w:jc w:val="center"/>
              <w:rPr>
                <w:rFonts w:ascii="Times New Roman" w:hAnsi="Times New Roman"/>
                <w:sz w:val="24"/>
              </w:rPr>
            </w:pPr>
            <w:r w:rsidRPr="007C5144">
              <w:rPr>
                <w:rFonts w:ascii="Times New Roman" w:hAnsi="Times New Roman"/>
                <w:sz w:val="24"/>
              </w:rPr>
              <w:t>Total Time (hr)</w:t>
            </w:r>
          </w:p>
        </w:tc>
        <w:tc>
          <w:tcPr>
            <w:tcW w:w="1672" w:type="dxa"/>
            <w:shd w:val="clear" w:color="auto" w:fill="FFFFFF" w:themeFill="background1"/>
            <w:vAlign w:val="center"/>
          </w:tcPr>
          <w:p w:rsidR="008404D4" w:rsidRPr="007C5144" w:rsidP="008404D4" w14:paraId="4ED56A7D" w14:textId="682971B2">
            <w:pPr>
              <w:keepNext/>
              <w:spacing w:after="0" w:line="240" w:lineRule="auto"/>
              <w:jc w:val="center"/>
              <w:rPr>
                <w:rFonts w:ascii="Times New Roman" w:hAnsi="Times New Roman"/>
                <w:sz w:val="24"/>
              </w:rPr>
            </w:pPr>
            <w:r w:rsidRPr="007C5144">
              <w:rPr>
                <w:rFonts w:ascii="Times New Roman" w:eastAsia="Arial" w:hAnsi="Times New Roman" w:cs="Times New Roman"/>
                <w:sz w:val="24"/>
                <w:szCs w:val="24"/>
              </w:rPr>
              <w:t>36,748</w:t>
            </w:r>
          </w:p>
        </w:tc>
        <w:tc>
          <w:tcPr>
            <w:tcW w:w="1478" w:type="dxa"/>
            <w:shd w:val="clear" w:color="auto" w:fill="FFFFFF" w:themeFill="background1"/>
            <w:vAlign w:val="center"/>
          </w:tcPr>
          <w:p w:rsidR="008404D4" w:rsidRPr="007C5144" w:rsidP="008404D4" w14:paraId="6C63282E" w14:textId="19B11F74">
            <w:pPr>
              <w:keepNext/>
              <w:spacing w:after="0" w:line="240" w:lineRule="auto"/>
              <w:jc w:val="center"/>
              <w:rPr>
                <w:rFonts w:ascii="Times New Roman" w:hAnsi="Times New Roman"/>
                <w:sz w:val="24"/>
              </w:rPr>
            </w:pPr>
            <w:r w:rsidRPr="007C5144">
              <w:rPr>
                <w:rFonts w:ascii="Times New Roman" w:hAnsi="Times New Roman"/>
                <w:sz w:val="24"/>
              </w:rPr>
              <w:t>0</w:t>
            </w:r>
          </w:p>
        </w:tc>
        <w:tc>
          <w:tcPr>
            <w:tcW w:w="1980" w:type="dxa"/>
            <w:shd w:val="clear" w:color="auto" w:fill="FFFFFF" w:themeFill="background1"/>
            <w:vAlign w:val="center"/>
          </w:tcPr>
          <w:p w:rsidR="008404D4" w:rsidRPr="007C5144" w:rsidP="008404D4" w14:paraId="330966B2" w14:textId="07A5D154">
            <w:pPr>
              <w:keepNext/>
              <w:spacing w:after="0" w:line="240" w:lineRule="auto"/>
              <w:jc w:val="center"/>
              <w:rPr>
                <w:rFonts w:ascii="Times New Roman" w:hAnsi="Times New Roman"/>
                <w:sz w:val="24"/>
              </w:rPr>
            </w:pPr>
            <w:r>
              <w:rPr>
                <w:rFonts w:ascii="Times New Roman" w:hAnsi="Times New Roman"/>
                <w:sz w:val="24"/>
              </w:rPr>
              <w:t>+</w:t>
            </w:r>
            <w:r w:rsidRPr="007C5144">
              <w:rPr>
                <w:rFonts w:ascii="Times New Roman" w:hAnsi="Times New Roman" w:cs="Times New Roman"/>
                <w:sz w:val="24"/>
                <w:szCs w:val="24"/>
              </w:rPr>
              <w:t>15,</w:t>
            </w:r>
            <w:r w:rsidR="00F236C0">
              <w:rPr>
                <w:rFonts w:ascii="Times New Roman" w:hAnsi="Times New Roman" w:cs="Times New Roman"/>
                <w:sz w:val="24"/>
                <w:szCs w:val="24"/>
              </w:rPr>
              <w:t>084</w:t>
            </w:r>
            <w:bookmarkStart w:id="7" w:name="_GoBack"/>
            <w:bookmarkEnd w:id="7"/>
          </w:p>
        </w:tc>
        <w:tc>
          <w:tcPr>
            <w:tcW w:w="2070" w:type="dxa"/>
            <w:shd w:val="clear" w:color="auto" w:fill="FFFFFF" w:themeFill="background1"/>
            <w:vAlign w:val="center"/>
          </w:tcPr>
          <w:p w:rsidR="008404D4" w:rsidRPr="007C5144" w:rsidP="008404D4" w14:paraId="0AB5896B" w14:textId="2F59E343">
            <w:pPr>
              <w:keepNext/>
              <w:spacing w:after="0" w:line="240" w:lineRule="auto"/>
              <w:jc w:val="center"/>
              <w:rPr>
                <w:rFonts w:ascii="Times New Roman" w:hAnsi="Times New Roman"/>
                <w:sz w:val="24"/>
              </w:rPr>
            </w:pPr>
            <w:r>
              <w:rPr>
                <w:rFonts w:ascii="Times New Roman" w:hAnsi="Times New Roman"/>
                <w:sz w:val="24"/>
              </w:rPr>
              <w:t>+505</w:t>
            </w:r>
          </w:p>
        </w:tc>
        <w:tc>
          <w:tcPr>
            <w:tcW w:w="1530" w:type="dxa"/>
            <w:shd w:val="clear" w:color="auto" w:fill="FFFFFF" w:themeFill="background1"/>
            <w:vAlign w:val="center"/>
          </w:tcPr>
          <w:p w:rsidR="008404D4" w:rsidRPr="007C5144" w:rsidP="008404D4" w14:paraId="71657DAC" w14:textId="56083318">
            <w:pPr>
              <w:keepNext/>
              <w:spacing w:after="0" w:line="240" w:lineRule="auto"/>
              <w:jc w:val="center"/>
              <w:rPr>
                <w:rFonts w:ascii="Times New Roman" w:hAnsi="Times New Roman"/>
                <w:sz w:val="24"/>
              </w:rPr>
            </w:pPr>
            <w:r w:rsidRPr="007C5144">
              <w:rPr>
                <w:rFonts w:ascii="Times New Roman" w:hAnsi="Times New Roman"/>
                <w:sz w:val="24"/>
              </w:rPr>
              <w:t>21,</w:t>
            </w:r>
            <w:r w:rsidRPr="007C5144">
              <w:rPr>
                <w:rFonts w:ascii="Times New Roman" w:eastAsia="Arial" w:hAnsi="Times New Roman" w:cs="Times New Roman"/>
                <w:sz w:val="24"/>
                <w:szCs w:val="24"/>
              </w:rPr>
              <w:t>159</w:t>
            </w:r>
          </w:p>
        </w:tc>
      </w:tr>
      <w:tr w14:paraId="13F1A1E1" w14:textId="77777777" w:rsidTr="00254605">
        <w:tblPrEx>
          <w:tblW w:w="10350" w:type="dxa"/>
          <w:jc w:val="center"/>
          <w:shd w:val="clear" w:color="auto" w:fill="FFFFFF" w:themeFill="background1"/>
          <w:tblLayout w:type="fixed"/>
          <w:tblCellMar>
            <w:left w:w="0" w:type="dxa"/>
            <w:right w:w="0" w:type="dxa"/>
          </w:tblCellMar>
          <w:tblLook w:val="0000"/>
        </w:tblPrEx>
        <w:trPr>
          <w:trHeight w:val="20"/>
          <w:jc w:val="center"/>
        </w:trPr>
        <w:tc>
          <w:tcPr>
            <w:tcW w:w="1620" w:type="dxa"/>
            <w:shd w:val="clear" w:color="auto" w:fill="FFFFFF" w:themeFill="background1"/>
            <w:vAlign w:val="center"/>
          </w:tcPr>
          <w:p w:rsidR="008404D4" w:rsidRPr="007C5144" w:rsidP="008404D4" w14:paraId="43020D43" w14:textId="6EA41DE7">
            <w:pPr>
              <w:keepNext/>
              <w:spacing w:after="0" w:line="240" w:lineRule="auto"/>
              <w:jc w:val="center"/>
              <w:rPr>
                <w:rFonts w:ascii="Times New Roman" w:hAnsi="Times New Roman"/>
                <w:sz w:val="24"/>
              </w:rPr>
            </w:pPr>
            <w:r w:rsidRPr="007C5144">
              <w:rPr>
                <w:rFonts w:ascii="Times New Roman" w:hAnsi="Times New Roman"/>
                <w:sz w:val="24"/>
              </w:rPr>
              <w:t>Time Per Response (hr)</w:t>
            </w:r>
          </w:p>
        </w:tc>
        <w:tc>
          <w:tcPr>
            <w:tcW w:w="1672" w:type="dxa"/>
            <w:shd w:val="clear" w:color="auto" w:fill="FFFFFF" w:themeFill="background1"/>
            <w:vAlign w:val="center"/>
          </w:tcPr>
          <w:p w:rsidR="008404D4" w:rsidRPr="007C5144" w:rsidP="008404D4" w14:paraId="40C3A9B1" w14:textId="139CF31E">
            <w:pPr>
              <w:keepNext/>
              <w:spacing w:after="0" w:line="240" w:lineRule="auto"/>
              <w:jc w:val="center"/>
              <w:rPr>
                <w:rFonts w:ascii="Times New Roman" w:hAnsi="Times New Roman"/>
                <w:sz w:val="24"/>
              </w:rPr>
            </w:pPr>
            <w:r w:rsidRPr="007C5144">
              <w:rPr>
                <w:rFonts w:ascii="Times New Roman" w:hAnsi="Times New Roman" w:cs="Times New Roman"/>
                <w:sz w:val="24"/>
                <w:szCs w:val="24"/>
              </w:rPr>
              <w:t>61.145</w:t>
            </w:r>
          </w:p>
        </w:tc>
        <w:tc>
          <w:tcPr>
            <w:tcW w:w="1478" w:type="dxa"/>
            <w:shd w:val="clear" w:color="auto" w:fill="FFFFFF" w:themeFill="background1"/>
            <w:vAlign w:val="center"/>
          </w:tcPr>
          <w:p w:rsidR="008404D4" w:rsidRPr="007C5144" w:rsidP="008404D4" w14:paraId="2D51C9C9" w14:textId="583701BC">
            <w:pPr>
              <w:keepNext/>
              <w:spacing w:after="0" w:line="240" w:lineRule="auto"/>
              <w:jc w:val="center"/>
              <w:rPr>
                <w:rFonts w:ascii="Times New Roman" w:hAnsi="Times New Roman"/>
                <w:sz w:val="24"/>
              </w:rPr>
            </w:pPr>
            <w:r w:rsidRPr="007C5144">
              <w:rPr>
                <w:rFonts w:ascii="Times New Roman" w:hAnsi="Times New Roman"/>
                <w:sz w:val="24"/>
              </w:rPr>
              <w:t>0</w:t>
            </w:r>
          </w:p>
        </w:tc>
        <w:tc>
          <w:tcPr>
            <w:tcW w:w="1980" w:type="dxa"/>
            <w:shd w:val="clear" w:color="auto" w:fill="FFFFFF" w:themeFill="background1"/>
            <w:vAlign w:val="center"/>
          </w:tcPr>
          <w:p w:rsidR="008404D4" w:rsidRPr="007C5144" w:rsidP="008404D4" w14:paraId="35B6FFBC" w14:textId="7D9B1595">
            <w:pPr>
              <w:keepNext/>
              <w:spacing w:after="0" w:line="240" w:lineRule="auto"/>
              <w:jc w:val="center"/>
              <w:rPr>
                <w:rFonts w:ascii="Times New Roman" w:hAnsi="Times New Roman"/>
                <w:sz w:val="24"/>
              </w:rPr>
            </w:pPr>
            <w:r w:rsidRPr="007C5144">
              <w:rPr>
                <w:rFonts w:ascii="Times New Roman" w:hAnsi="Times New Roman" w:cs="Times New Roman"/>
                <w:sz w:val="24"/>
                <w:szCs w:val="24"/>
              </w:rPr>
              <w:t>+25.09886</w:t>
            </w:r>
          </w:p>
        </w:tc>
        <w:tc>
          <w:tcPr>
            <w:tcW w:w="2070" w:type="dxa"/>
            <w:shd w:val="clear" w:color="auto" w:fill="FFFFFF" w:themeFill="background1"/>
            <w:vAlign w:val="center"/>
          </w:tcPr>
          <w:p w:rsidR="008404D4" w:rsidRPr="007C5144" w:rsidP="008404D4" w14:paraId="0CB67635" w14:textId="1A6CA096">
            <w:pPr>
              <w:keepNext/>
              <w:spacing w:after="0" w:line="240" w:lineRule="auto"/>
              <w:jc w:val="center"/>
              <w:rPr>
                <w:rFonts w:ascii="Times New Roman" w:hAnsi="Times New Roman"/>
                <w:sz w:val="24"/>
              </w:rPr>
            </w:pPr>
            <w:r>
              <w:rPr>
                <w:rFonts w:ascii="Times New Roman" w:hAnsi="Times New Roman"/>
                <w:sz w:val="24"/>
              </w:rPr>
              <w:t>0</w:t>
            </w:r>
          </w:p>
        </w:tc>
        <w:tc>
          <w:tcPr>
            <w:tcW w:w="1530" w:type="dxa"/>
            <w:shd w:val="clear" w:color="auto" w:fill="FFFFFF" w:themeFill="background1"/>
            <w:vAlign w:val="center"/>
          </w:tcPr>
          <w:p w:rsidR="008404D4" w:rsidRPr="007C5144" w:rsidP="008404D4" w14:paraId="487D8F5C" w14:textId="115C7E8F">
            <w:pPr>
              <w:keepNext/>
              <w:spacing w:after="0" w:line="240" w:lineRule="auto"/>
              <w:jc w:val="center"/>
              <w:rPr>
                <w:rFonts w:ascii="Times New Roman" w:hAnsi="Times New Roman"/>
                <w:sz w:val="24"/>
              </w:rPr>
            </w:pPr>
            <w:r w:rsidRPr="007C5144">
              <w:rPr>
                <w:rFonts w:ascii="Times New Roman" w:hAnsi="Times New Roman"/>
                <w:sz w:val="24"/>
              </w:rPr>
              <w:t>36.</w:t>
            </w:r>
            <w:r w:rsidRPr="007C5144">
              <w:rPr>
                <w:rFonts w:ascii="Times New Roman" w:hAnsi="Times New Roman" w:cs="Times New Roman"/>
                <w:sz w:val="24"/>
                <w:szCs w:val="24"/>
              </w:rPr>
              <w:t>04614</w:t>
            </w:r>
          </w:p>
        </w:tc>
      </w:tr>
    </w:tbl>
    <w:p w:rsidR="009A21CD" w:rsidRPr="007C5144" w:rsidP="00425BA5" w14:paraId="232538C9" w14:textId="77777777">
      <w:pPr>
        <w:autoSpaceDE w:val="0"/>
        <w:autoSpaceDN w:val="0"/>
        <w:adjustRightInd w:val="0"/>
        <w:spacing w:after="0" w:line="240" w:lineRule="auto"/>
        <w:rPr>
          <w:rFonts w:ascii="Times New Roman" w:hAnsi="Times New Roman" w:cs="Times New Roman"/>
          <w:b/>
          <w:color w:val="000000"/>
          <w:sz w:val="24"/>
          <w:szCs w:val="24"/>
        </w:rPr>
      </w:pPr>
    </w:p>
    <w:p w:rsidR="002F3CE7" w:rsidP="00617DF0" w14:paraId="4B8F8A91" w14:textId="17ADDA5F">
      <w:pPr>
        <w:keepNext/>
        <w:spacing w:after="0" w:line="240" w:lineRule="auto"/>
        <w:jc w:val="center"/>
        <w:rPr>
          <w:rFonts w:ascii="Times New Roman" w:hAnsi="Times New Roman" w:cs="Times New Roman"/>
          <w:sz w:val="24"/>
          <w:szCs w:val="24"/>
        </w:rPr>
      </w:pPr>
      <w:r w:rsidRPr="007C5144">
        <w:rPr>
          <w:rFonts w:ascii="Times New Roman" w:hAnsi="Times New Roman" w:cs="Times New Roman"/>
          <w:sz w:val="24"/>
          <w:szCs w:val="24"/>
        </w:rPr>
        <w:t>TABLE 9</w:t>
      </w:r>
      <w:r w:rsidR="007C5144">
        <w:rPr>
          <w:rFonts w:ascii="Times New Roman" w:hAnsi="Times New Roman" w:cs="Times New Roman"/>
          <w:sz w:val="24"/>
          <w:szCs w:val="24"/>
        </w:rPr>
        <w:t xml:space="preserve">: </w:t>
      </w:r>
      <w:r>
        <w:rPr>
          <w:rFonts w:ascii="Times New Roman" w:hAnsi="Times New Roman" w:cs="Times New Roman"/>
          <w:sz w:val="24"/>
          <w:szCs w:val="24"/>
        </w:rPr>
        <w:t xml:space="preserve">Total </w:t>
      </w:r>
      <w:r w:rsidR="00DE57DE">
        <w:rPr>
          <w:rFonts w:ascii="Times New Roman" w:hAnsi="Times New Roman" w:cs="Times New Roman"/>
          <w:sz w:val="24"/>
          <w:szCs w:val="24"/>
        </w:rPr>
        <w:t xml:space="preserve">Annual Cost of </w:t>
      </w:r>
      <w:r>
        <w:rPr>
          <w:rFonts w:ascii="Times New Roman" w:hAnsi="Times New Roman" w:cs="Times New Roman"/>
          <w:sz w:val="24"/>
          <w:szCs w:val="24"/>
        </w:rPr>
        <w:t>Burden Reconciliation</w:t>
      </w:r>
    </w:p>
    <w:tbl>
      <w:tblPr>
        <w:tblW w:w="101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tblPr>
      <w:tblGrid>
        <w:gridCol w:w="1800"/>
        <w:gridCol w:w="1360"/>
        <w:gridCol w:w="1136"/>
        <w:gridCol w:w="1204"/>
        <w:gridCol w:w="1080"/>
        <w:gridCol w:w="1260"/>
        <w:gridCol w:w="990"/>
        <w:gridCol w:w="1352"/>
      </w:tblGrid>
      <w:tr w14:paraId="1DFB5767" w14:textId="77777777" w:rsidTr="00254605">
        <w:tblPrEx>
          <w:tblW w:w="10182"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shd w:val="clear" w:color="auto" w:fill="FFFFFF" w:themeFill="background1"/>
          <w:tblLayout w:type="fixed"/>
          <w:tblCellMar>
            <w:left w:w="0" w:type="dxa"/>
            <w:right w:w="0" w:type="dxa"/>
          </w:tblCellMar>
          <w:tblLook w:val="0000"/>
        </w:tblPrEx>
        <w:trPr>
          <w:trHeight w:val="844"/>
          <w:jc w:val="center"/>
        </w:trPr>
        <w:tc>
          <w:tcPr>
            <w:tcW w:w="1800" w:type="dxa"/>
            <w:shd w:val="clear" w:color="auto" w:fill="FFFFFF" w:themeFill="background1"/>
            <w:vAlign w:val="center"/>
          </w:tcPr>
          <w:p w:rsidR="00993D11" w:rsidRPr="007C5144" w:rsidP="00E41022" w14:paraId="1C18FA3F" w14:textId="77777777">
            <w:pPr>
              <w:spacing w:after="0" w:line="240" w:lineRule="auto"/>
              <w:jc w:val="center"/>
              <w:rPr>
                <w:rFonts w:ascii="Times New Roman" w:hAnsi="Times New Roman"/>
                <w:sz w:val="24"/>
              </w:rPr>
            </w:pPr>
            <w:r w:rsidRPr="007C5144">
              <w:rPr>
                <w:rFonts w:ascii="Times New Roman" w:hAnsi="Times New Roman"/>
                <w:sz w:val="24"/>
              </w:rPr>
              <w:t>Burden Type</w:t>
            </w:r>
          </w:p>
        </w:tc>
        <w:tc>
          <w:tcPr>
            <w:tcW w:w="1360" w:type="dxa"/>
            <w:shd w:val="clear" w:color="auto" w:fill="FFFFFF" w:themeFill="background1"/>
            <w:vAlign w:val="center"/>
          </w:tcPr>
          <w:p w:rsidR="00993D11" w:rsidRPr="007C5144" w:rsidP="00D50718" w14:paraId="05450BDF" w14:textId="507A9782">
            <w:pPr>
              <w:spacing w:after="0" w:line="240" w:lineRule="auto"/>
              <w:jc w:val="center"/>
              <w:rPr>
                <w:rFonts w:ascii="Times New Roman" w:hAnsi="Times New Roman"/>
                <w:sz w:val="24"/>
              </w:rPr>
            </w:pPr>
            <w:r w:rsidRPr="007C5144">
              <w:rPr>
                <w:rFonts w:ascii="Times New Roman" w:hAnsi="Times New Roman"/>
                <w:sz w:val="24"/>
              </w:rPr>
              <w:t>Total Annual Respondents</w:t>
            </w:r>
          </w:p>
        </w:tc>
        <w:tc>
          <w:tcPr>
            <w:tcW w:w="1136" w:type="dxa"/>
            <w:shd w:val="clear" w:color="auto" w:fill="FFFFFF" w:themeFill="background1"/>
            <w:vAlign w:val="center"/>
          </w:tcPr>
          <w:p w:rsidR="00993D11" w:rsidRPr="007C5144" w:rsidP="00D50718" w14:paraId="44E51A57" w14:textId="7AF62CA3">
            <w:pPr>
              <w:spacing w:after="0" w:line="240" w:lineRule="auto"/>
              <w:jc w:val="center"/>
              <w:rPr>
                <w:rFonts w:ascii="Times New Roman" w:hAnsi="Times New Roman"/>
                <w:sz w:val="24"/>
              </w:rPr>
            </w:pPr>
            <w:r w:rsidRPr="007C5144">
              <w:rPr>
                <w:rFonts w:ascii="Times New Roman" w:hAnsi="Times New Roman"/>
                <w:sz w:val="24"/>
              </w:rPr>
              <w:t>Response Frequency (per year)</w:t>
            </w:r>
          </w:p>
        </w:tc>
        <w:tc>
          <w:tcPr>
            <w:tcW w:w="1204" w:type="dxa"/>
            <w:shd w:val="clear" w:color="auto" w:fill="FFFFFF" w:themeFill="background1"/>
            <w:vAlign w:val="center"/>
          </w:tcPr>
          <w:p w:rsidR="00993D11" w:rsidRPr="007C5144" w:rsidP="00D50718" w14:paraId="24305B84" w14:textId="21C8E574">
            <w:pPr>
              <w:spacing w:after="0" w:line="240" w:lineRule="auto"/>
              <w:jc w:val="center"/>
              <w:rPr>
                <w:rFonts w:ascii="Times New Roman" w:hAnsi="Times New Roman"/>
                <w:sz w:val="24"/>
              </w:rPr>
            </w:pPr>
            <w:r w:rsidRPr="007C5144">
              <w:rPr>
                <w:rFonts w:ascii="Times New Roman" w:hAnsi="Times New Roman"/>
                <w:sz w:val="24"/>
              </w:rPr>
              <w:t>Total Annual Responses</w:t>
            </w:r>
          </w:p>
        </w:tc>
        <w:tc>
          <w:tcPr>
            <w:tcW w:w="1080" w:type="dxa"/>
            <w:shd w:val="clear" w:color="auto" w:fill="FFFFFF" w:themeFill="background1"/>
            <w:vAlign w:val="center"/>
          </w:tcPr>
          <w:p w:rsidR="00993D11" w:rsidRPr="007C5144" w:rsidP="00D50718" w14:paraId="6E339D9C" w14:textId="19F2BAF1">
            <w:pPr>
              <w:spacing w:after="0" w:line="240" w:lineRule="auto"/>
              <w:jc w:val="center"/>
              <w:rPr>
                <w:rFonts w:ascii="Times New Roman" w:hAnsi="Times New Roman"/>
                <w:sz w:val="24"/>
              </w:rPr>
            </w:pPr>
            <w:r w:rsidRPr="007C5144">
              <w:rPr>
                <w:rFonts w:ascii="Times New Roman" w:hAnsi="Times New Roman"/>
                <w:sz w:val="24"/>
              </w:rPr>
              <w:t>Time Per Response (hr)</w:t>
            </w:r>
          </w:p>
        </w:tc>
        <w:tc>
          <w:tcPr>
            <w:tcW w:w="1260" w:type="dxa"/>
            <w:shd w:val="clear" w:color="auto" w:fill="FFFFFF" w:themeFill="background1"/>
            <w:vAlign w:val="center"/>
          </w:tcPr>
          <w:p w:rsidR="00993D11" w:rsidRPr="007C5144" w:rsidP="00D50718" w14:paraId="4155C4A9" w14:textId="6CFC55EE">
            <w:pPr>
              <w:spacing w:after="0" w:line="240" w:lineRule="auto"/>
              <w:jc w:val="center"/>
              <w:rPr>
                <w:rFonts w:ascii="Times New Roman" w:hAnsi="Times New Roman"/>
                <w:sz w:val="24"/>
              </w:rPr>
            </w:pPr>
            <w:r w:rsidRPr="007C5144">
              <w:rPr>
                <w:rFonts w:ascii="Times New Roman" w:hAnsi="Times New Roman"/>
                <w:sz w:val="24"/>
              </w:rPr>
              <w:t>Total Annual Time (hr)</w:t>
            </w:r>
          </w:p>
        </w:tc>
        <w:tc>
          <w:tcPr>
            <w:tcW w:w="990" w:type="dxa"/>
            <w:shd w:val="clear" w:color="auto" w:fill="FFFFFF" w:themeFill="background1"/>
            <w:vAlign w:val="center"/>
          </w:tcPr>
          <w:p w:rsidR="00993D11" w:rsidRPr="007C5144" w:rsidP="00425BA5" w14:paraId="0DBAE3EF" w14:textId="68CB886F">
            <w:pPr>
              <w:pStyle w:val="Default"/>
              <w:jc w:val="center"/>
            </w:pPr>
            <w:r w:rsidRPr="007C5144">
              <w:t>Labor Cost ($/hr)</w:t>
            </w:r>
          </w:p>
        </w:tc>
        <w:tc>
          <w:tcPr>
            <w:tcW w:w="1352" w:type="dxa"/>
            <w:shd w:val="clear" w:color="auto" w:fill="FFFFFF" w:themeFill="background1"/>
            <w:vAlign w:val="center"/>
          </w:tcPr>
          <w:p w:rsidR="00993D11" w:rsidRPr="007C5144" w:rsidP="00D50718" w14:paraId="2C248AF1" w14:textId="391CD3FB">
            <w:pPr>
              <w:spacing w:after="0" w:line="240" w:lineRule="auto"/>
              <w:jc w:val="center"/>
              <w:rPr>
                <w:rFonts w:ascii="Times New Roman" w:hAnsi="Times New Roman"/>
                <w:sz w:val="24"/>
              </w:rPr>
            </w:pPr>
            <w:r w:rsidRPr="007C5144">
              <w:rPr>
                <w:rFonts w:ascii="Times New Roman" w:hAnsi="Times New Roman"/>
                <w:sz w:val="24"/>
              </w:rPr>
              <w:t>Total Annual Cost ($)</w:t>
            </w:r>
          </w:p>
        </w:tc>
      </w:tr>
      <w:tr w14:paraId="4CA00FF0" w14:textId="77777777" w:rsidTr="00254605">
        <w:tblPrEx>
          <w:tblW w:w="10182" w:type="dxa"/>
          <w:jc w:val="center"/>
          <w:shd w:val="clear" w:color="auto" w:fill="FFFFFF" w:themeFill="background1"/>
          <w:tblLayout w:type="fixed"/>
          <w:tblCellMar>
            <w:left w:w="0" w:type="dxa"/>
            <w:right w:w="0" w:type="dxa"/>
          </w:tblCellMar>
          <w:tblLook w:val="0000"/>
        </w:tblPrEx>
        <w:trPr>
          <w:trHeight w:val="20"/>
          <w:jc w:val="center"/>
        </w:trPr>
        <w:tc>
          <w:tcPr>
            <w:tcW w:w="1800" w:type="dxa"/>
            <w:shd w:val="clear" w:color="auto" w:fill="FFFFFF" w:themeFill="background1"/>
            <w:vAlign w:val="center"/>
          </w:tcPr>
          <w:p w:rsidR="00993D11" w:rsidRPr="007C5144" w:rsidP="00D50718" w14:paraId="4E54D366" w14:textId="7677446E">
            <w:pPr>
              <w:spacing w:after="0" w:line="240" w:lineRule="auto"/>
              <w:jc w:val="center"/>
              <w:rPr>
                <w:rFonts w:ascii="Times New Roman" w:hAnsi="Times New Roman"/>
                <w:sz w:val="24"/>
              </w:rPr>
            </w:pPr>
            <w:r w:rsidRPr="007C5144">
              <w:rPr>
                <w:rFonts w:ascii="Times New Roman" w:hAnsi="Times New Roman"/>
                <w:sz w:val="24"/>
              </w:rPr>
              <w:t>Currently Approved Burden</w:t>
            </w:r>
          </w:p>
        </w:tc>
        <w:tc>
          <w:tcPr>
            <w:tcW w:w="1360" w:type="dxa"/>
            <w:shd w:val="clear" w:color="auto" w:fill="FFFFFF" w:themeFill="background1"/>
            <w:vAlign w:val="center"/>
          </w:tcPr>
          <w:p w:rsidR="00993D11" w:rsidRPr="007C5144" w:rsidP="00D50718" w14:paraId="273EC6C0" w14:textId="77777777">
            <w:pPr>
              <w:spacing w:after="0" w:line="240" w:lineRule="auto"/>
              <w:jc w:val="center"/>
              <w:rPr>
                <w:rFonts w:ascii="Times New Roman" w:hAnsi="Times New Roman"/>
                <w:sz w:val="24"/>
              </w:rPr>
            </w:pPr>
            <w:r w:rsidRPr="007C5144">
              <w:rPr>
                <w:rFonts w:ascii="Times New Roman" w:hAnsi="Times New Roman"/>
                <w:sz w:val="24"/>
              </w:rPr>
              <w:t>587</w:t>
            </w:r>
          </w:p>
        </w:tc>
        <w:tc>
          <w:tcPr>
            <w:tcW w:w="1136" w:type="dxa"/>
            <w:shd w:val="clear" w:color="auto" w:fill="FFFFFF" w:themeFill="background1"/>
            <w:vAlign w:val="center"/>
          </w:tcPr>
          <w:p w:rsidR="00993D11" w:rsidRPr="007C5144" w:rsidP="00D50718" w14:paraId="2E5B6D4C" w14:textId="493EE129">
            <w:pPr>
              <w:spacing w:after="0" w:line="240" w:lineRule="auto"/>
              <w:jc w:val="center"/>
              <w:rPr>
                <w:rFonts w:ascii="Times New Roman" w:hAnsi="Times New Roman"/>
                <w:sz w:val="24"/>
              </w:rPr>
            </w:pPr>
            <w:r w:rsidRPr="007C5144">
              <w:rPr>
                <w:rFonts w:ascii="Times New Roman" w:hAnsi="Times New Roman"/>
                <w:sz w:val="24"/>
              </w:rPr>
              <w:t>Annually</w:t>
            </w:r>
          </w:p>
        </w:tc>
        <w:tc>
          <w:tcPr>
            <w:tcW w:w="1204" w:type="dxa"/>
            <w:shd w:val="clear" w:color="auto" w:fill="FFFFFF" w:themeFill="background1"/>
            <w:vAlign w:val="center"/>
          </w:tcPr>
          <w:p w:rsidR="00993D11" w:rsidRPr="007C5144" w:rsidP="00D50718" w14:paraId="047CC345" w14:textId="75E17A05">
            <w:pPr>
              <w:spacing w:after="0" w:line="240" w:lineRule="auto"/>
              <w:jc w:val="center"/>
              <w:rPr>
                <w:rFonts w:ascii="Times New Roman" w:hAnsi="Times New Roman"/>
                <w:sz w:val="24"/>
              </w:rPr>
            </w:pPr>
            <w:r w:rsidRPr="007C5144">
              <w:rPr>
                <w:rFonts w:ascii="Times New Roman" w:hAnsi="Times New Roman"/>
                <w:sz w:val="24"/>
              </w:rPr>
              <w:t>587</w:t>
            </w:r>
          </w:p>
        </w:tc>
        <w:tc>
          <w:tcPr>
            <w:tcW w:w="1080" w:type="dxa"/>
            <w:shd w:val="clear" w:color="auto" w:fill="FFFFFF" w:themeFill="background1"/>
            <w:vAlign w:val="center"/>
          </w:tcPr>
          <w:p w:rsidR="00993D11" w:rsidRPr="007C5144" w:rsidP="00D50718" w14:paraId="415BEC8F" w14:textId="633E09ED">
            <w:pPr>
              <w:spacing w:after="0" w:line="240" w:lineRule="auto"/>
              <w:jc w:val="center"/>
              <w:rPr>
                <w:rFonts w:ascii="Times New Roman" w:hAnsi="Times New Roman"/>
                <w:sz w:val="24"/>
              </w:rPr>
            </w:pPr>
            <w:r w:rsidRPr="007C5144">
              <w:rPr>
                <w:rFonts w:ascii="Times New Roman" w:hAnsi="Times New Roman"/>
                <w:sz w:val="24"/>
              </w:rPr>
              <w:t>36.</w:t>
            </w:r>
            <w:r w:rsidRPr="007C5144">
              <w:rPr>
                <w:rFonts w:ascii="Times New Roman" w:hAnsi="Times New Roman" w:cs="Times New Roman"/>
                <w:sz w:val="24"/>
                <w:szCs w:val="24"/>
              </w:rPr>
              <w:t>04614</w:t>
            </w:r>
          </w:p>
        </w:tc>
        <w:tc>
          <w:tcPr>
            <w:tcW w:w="1260" w:type="dxa"/>
            <w:shd w:val="clear" w:color="auto" w:fill="FFFFFF" w:themeFill="background1"/>
            <w:vAlign w:val="center"/>
          </w:tcPr>
          <w:p w:rsidR="00993D11" w:rsidRPr="007C5144" w:rsidP="00D50718" w14:paraId="7AA1E401" w14:textId="6778FE1E">
            <w:pPr>
              <w:spacing w:after="0" w:line="240" w:lineRule="auto"/>
              <w:jc w:val="center"/>
              <w:rPr>
                <w:rFonts w:ascii="Times New Roman" w:hAnsi="Times New Roman"/>
                <w:sz w:val="24"/>
              </w:rPr>
            </w:pPr>
            <w:r w:rsidRPr="007C5144">
              <w:rPr>
                <w:rFonts w:ascii="Times New Roman" w:hAnsi="Times New Roman"/>
                <w:sz w:val="24"/>
              </w:rPr>
              <w:t>21,</w:t>
            </w:r>
            <w:r w:rsidRPr="007C5144">
              <w:rPr>
                <w:rFonts w:ascii="Times New Roman" w:eastAsia="Arial" w:hAnsi="Times New Roman" w:cs="Times New Roman"/>
                <w:sz w:val="24"/>
                <w:szCs w:val="24"/>
              </w:rPr>
              <w:t>159</w:t>
            </w:r>
          </w:p>
        </w:tc>
        <w:tc>
          <w:tcPr>
            <w:tcW w:w="990" w:type="dxa"/>
            <w:shd w:val="clear" w:color="auto" w:fill="FFFFFF" w:themeFill="background1"/>
            <w:vAlign w:val="center"/>
          </w:tcPr>
          <w:p w:rsidR="00993D11" w:rsidRPr="007C5144" w:rsidP="00D50718" w14:paraId="4C41FA8D" w14:textId="5148515E">
            <w:pPr>
              <w:spacing w:after="0" w:line="240" w:lineRule="auto"/>
              <w:jc w:val="center"/>
              <w:rPr>
                <w:rFonts w:ascii="Times New Roman" w:hAnsi="Times New Roman"/>
                <w:sz w:val="24"/>
              </w:rPr>
            </w:pPr>
            <w:r w:rsidRPr="007C5144">
              <w:rPr>
                <w:rFonts w:ascii="Times New Roman" w:hAnsi="Times New Roman"/>
                <w:sz w:val="24"/>
              </w:rPr>
              <w:t>varies</w:t>
            </w:r>
          </w:p>
        </w:tc>
        <w:tc>
          <w:tcPr>
            <w:tcW w:w="1352" w:type="dxa"/>
            <w:shd w:val="clear" w:color="auto" w:fill="FFFFFF" w:themeFill="background1"/>
            <w:vAlign w:val="center"/>
          </w:tcPr>
          <w:p w:rsidR="00993D11" w:rsidRPr="007C5144" w:rsidP="00D50718" w14:paraId="55EEA7DB" w14:textId="5E66756A">
            <w:pPr>
              <w:spacing w:after="0" w:line="240" w:lineRule="auto"/>
              <w:jc w:val="center"/>
              <w:rPr>
                <w:rFonts w:ascii="Times New Roman" w:hAnsi="Times New Roman"/>
                <w:sz w:val="24"/>
              </w:rPr>
            </w:pPr>
            <w:r w:rsidRPr="007C5144">
              <w:rPr>
                <w:rFonts w:ascii="Times New Roman" w:eastAsia="Arial" w:hAnsi="Times New Roman" w:cs="Times New Roman"/>
                <w:sz w:val="24"/>
                <w:szCs w:val="24"/>
              </w:rPr>
              <w:t>3,181,881</w:t>
            </w:r>
          </w:p>
        </w:tc>
      </w:tr>
      <w:tr w14:paraId="0CC7DFBC" w14:textId="77777777" w:rsidTr="00254605">
        <w:tblPrEx>
          <w:tblW w:w="10182" w:type="dxa"/>
          <w:jc w:val="center"/>
          <w:shd w:val="clear" w:color="auto" w:fill="FFFFFF" w:themeFill="background1"/>
          <w:tblLayout w:type="fixed"/>
          <w:tblCellMar>
            <w:left w:w="0" w:type="dxa"/>
            <w:right w:w="0" w:type="dxa"/>
          </w:tblCellMar>
          <w:tblLook w:val="0000"/>
        </w:tblPrEx>
        <w:trPr>
          <w:trHeight w:val="304"/>
          <w:jc w:val="center"/>
        </w:trPr>
        <w:tc>
          <w:tcPr>
            <w:tcW w:w="1800" w:type="dxa"/>
            <w:shd w:val="clear" w:color="auto" w:fill="FFFFFF" w:themeFill="background1"/>
            <w:vAlign w:val="center"/>
          </w:tcPr>
          <w:p w:rsidR="00993D11" w:rsidRPr="007C5144" w:rsidP="00D50718" w14:paraId="3390491F" w14:textId="1A9E4D1F">
            <w:pPr>
              <w:spacing w:after="0" w:line="240" w:lineRule="auto"/>
              <w:jc w:val="center"/>
              <w:rPr>
                <w:rFonts w:ascii="Times New Roman" w:hAnsi="Times New Roman"/>
                <w:sz w:val="24"/>
              </w:rPr>
            </w:pPr>
            <w:r w:rsidRPr="007C5144">
              <w:rPr>
                <w:rFonts w:ascii="Times New Roman" w:hAnsi="Times New Roman"/>
                <w:sz w:val="24"/>
              </w:rPr>
              <w:t>Proposed Burden</w:t>
            </w:r>
          </w:p>
        </w:tc>
        <w:tc>
          <w:tcPr>
            <w:tcW w:w="1360" w:type="dxa"/>
            <w:shd w:val="clear" w:color="auto" w:fill="FFFFFF" w:themeFill="background1"/>
            <w:vAlign w:val="center"/>
          </w:tcPr>
          <w:p w:rsidR="00993D11" w:rsidRPr="007C5144" w:rsidP="00D50718" w14:paraId="4152096C" w14:textId="1BB33D6D">
            <w:pPr>
              <w:spacing w:after="0" w:line="240" w:lineRule="auto"/>
              <w:jc w:val="center"/>
              <w:rPr>
                <w:rFonts w:ascii="Times New Roman" w:hAnsi="Times New Roman"/>
                <w:sz w:val="24"/>
              </w:rPr>
            </w:pPr>
            <w:r w:rsidRPr="007C5144">
              <w:rPr>
                <w:rFonts w:ascii="Times New Roman" w:hAnsi="Times New Roman" w:cs="Times New Roman"/>
                <w:sz w:val="24"/>
                <w:szCs w:val="24"/>
              </w:rPr>
              <w:t>601</w:t>
            </w:r>
          </w:p>
        </w:tc>
        <w:tc>
          <w:tcPr>
            <w:tcW w:w="1136" w:type="dxa"/>
            <w:shd w:val="clear" w:color="auto" w:fill="FFFFFF" w:themeFill="background1"/>
            <w:vAlign w:val="center"/>
          </w:tcPr>
          <w:p w:rsidR="00993D11" w:rsidRPr="007C5144" w:rsidP="00D50718" w14:paraId="034041F0" w14:textId="1C848B68">
            <w:pPr>
              <w:spacing w:after="0" w:line="240" w:lineRule="auto"/>
              <w:jc w:val="center"/>
              <w:rPr>
                <w:rFonts w:ascii="Times New Roman" w:hAnsi="Times New Roman"/>
                <w:sz w:val="24"/>
              </w:rPr>
            </w:pPr>
            <w:r w:rsidRPr="007C5144">
              <w:rPr>
                <w:rFonts w:ascii="Times New Roman" w:hAnsi="Times New Roman"/>
                <w:sz w:val="24"/>
              </w:rPr>
              <w:t>Annually</w:t>
            </w:r>
          </w:p>
        </w:tc>
        <w:tc>
          <w:tcPr>
            <w:tcW w:w="1204" w:type="dxa"/>
            <w:shd w:val="clear" w:color="auto" w:fill="FFFFFF" w:themeFill="background1"/>
            <w:vAlign w:val="center"/>
          </w:tcPr>
          <w:p w:rsidR="00993D11" w:rsidRPr="007C5144" w:rsidP="00D50718" w14:paraId="532E5586" w14:textId="464830E0">
            <w:pPr>
              <w:spacing w:after="0" w:line="240" w:lineRule="auto"/>
              <w:jc w:val="center"/>
              <w:rPr>
                <w:rFonts w:ascii="Times New Roman" w:hAnsi="Times New Roman"/>
                <w:sz w:val="24"/>
              </w:rPr>
            </w:pPr>
            <w:r w:rsidRPr="007C5144">
              <w:rPr>
                <w:rFonts w:ascii="Times New Roman" w:hAnsi="Times New Roman" w:cs="Times New Roman"/>
                <w:sz w:val="24"/>
                <w:szCs w:val="24"/>
              </w:rPr>
              <w:t>601</w:t>
            </w:r>
          </w:p>
        </w:tc>
        <w:tc>
          <w:tcPr>
            <w:tcW w:w="1080" w:type="dxa"/>
            <w:shd w:val="clear" w:color="auto" w:fill="FFFFFF" w:themeFill="background1"/>
            <w:vAlign w:val="center"/>
          </w:tcPr>
          <w:p w:rsidR="00993D11" w:rsidRPr="007C5144" w:rsidP="00D50718" w14:paraId="3393DE82" w14:textId="5A87D6A4">
            <w:pPr>
              <w:spacing w:after="0" w:line="240" w:lineRule="auto"/>
              <w:jc w:val="center"/>
              <w:rPr>
                <w:rFonts w:ascii="Times New Roman" w:hAnsi="Times New Roman"/>
                <w:sz w:val="24"/>
              </w:rPr>
            </w:pPr>
            <w:r w:rsidRPr="007C5144">
              <w:rPr>
                <w:rFonts w:ascii="Times New Roman" w:hAnsi="Times New Roman" w:cs="Times New Roman"/>
                <w:sz w:val="24"/>
                <w:szCs w:val="24"/>
              </w:rPr>
              <w:t>61.1</w:t>
            </w:r>
            <w:r w:rsidRPr="007C5144" w:rsidR="00C53D43">
              <w:rPr>
                <w:rFonts w:ascii="Times New Roman" w:hAnsi="Times New Roman" w:cs="Times New Roman"/>
                <w:sz w:val="24"/>
                <w:szCs w:val="24"/>
              </w:rPr>
              <w:t>45</w:t>
            </w:r>
          </w:p>
        </w:tc>
        <w:tc>
          <w:tcPr>
            <w:tcW w:w="1260" w:type="dxa"/>
            <w:shd w:val="clear" w:color="auto" w:fill="FFFFFF" w:themeFill="background1"/>
            <w:vAlign w:val="center"/>
          </w:tcPr>
          <w:p w:rsidR="00993D11" w:rsidRPr="007C5144" w:rsidP="00D50718" w14:paraId="4A56FCF1" w14:textId="27B9BA8A">
            <w:pPr>
              <w:spacing w:after="0" w:line="240" w:lineRule="auto"/>
              <w:jc w:val="center"/>
              <w:rPr>
                <w:rFonts w:ascii="Times New Roman" w:hAnsi="Times New Roman"/>
                <w:sz w:val="24"/>
              </w:rPr>
            </w:pPr>
            <w:r w:rsidRPr="007C5144">
              <w:rPr>
                <w:rFonts w:ascii="Times New Roman" w:eastAsia="Arial" w:hAnsi="Times New Roman" w:cs="Times New Roman"/>
                <w:sz w:val="24"/>
                <w:szCs w:val="24"/>
              </w:rPr>
              <w:t>36,748</w:t>
            </w:r>
          </w:p>
        </w:tc>
        <w:tc>
          <w:tcPr>
            <w:tcW w:w="990" w:type="dxa"/>
            <w:shd w:val="clear" w:color="auto" w:fill="FFFFFF" w:themeFill="background1"/>
            <w:vAlign w:val="center"/>
          </w:tcPr>
          <w:p w:rsidR="00993D11" w:rsidRPr="007C5144" w:rsidP="00D50718" w14:paraId="1E30C32B" w14:textId="1B35FA5B">
            <w:pPr>
              <w:spacing w:after="0" w:line="240" w:lineRule="auto"/>
              <w:jc w:val="center"/>
              <w:rPr>
                <w:rFonts w:ascii="Times New Roman" w:hAnsi="Times New Roman"/>
                <w:sz w:val="24"/>
              </w:rPr>
            </w:pPr>
            <w:r w:rsidRPr="007C5144">
              <w:rPr>
                <w:rFonts w:ascii="Times New Roman" w:hAnsi="Times New Roman"/>
                <w:sz w:val="24"/>
              </w:rPr>
              <w:t>156.66</w:t>
            </w:r>
          </w:p>
        </w:tc>
        <w:tc>
          <w:tcPr>
            <w:tcW w:w="1352" w:type="dxa"/>
            <w:shd w:val="clear" w:color="auto" w:fill="FFFFFF" w:themeFill="background1"/>
            <w:vAlign w:val="center"/>
          </w:tcPr>
          <w:p w:rsidR="00993D11" w:rsidRPr="007C5144" w:rsidP="006C54E8" w14:paraId="083990C5" w14:textId="00D22DB5">
            <w:pPr>
              <w:spacing w:after="0" w:line="240" w:lineRule="auto"/>
              <w:jc w:val="center"/>
              <w:rPr>
                <w:rFonts w:ascii="Times New Roman" w:hAnsi="Times New Roman"/>
                <w:sz w:val="24"/>
              </w:rPr>
            </w:pPr>
            <w:r w:rsidRPr="007C5144">
              <w:rPr>
                <w:rFonts w:ascii="Times New Roman" w:eastAsia="Arial" w:hAnsi="Times New Roman" w:cs="Times New Roman"/>
                <w:sz w:val="24"/>
                <w:szCs w:val="24"/>
              </w:rPr>
              <w:t>5,756,942</w:t>
            </w:r>
          </w:p>
        </w:tc>
      </w:tr>
      <w:tr w14:paraId="411108B2" w14:textId="77777777" w:rsidTr="00254605">
        <w:tblPrEx>
          <w:tblW w:w="10182" w:type="dxa"/>
          <w:jc w:val="center"/>
          <w:shd w:val="clear" w:color="auto" w:fill="FFFFFF" w:themeFill="background1"/>
          <w:tblLayout w:type="fixed"/>
          <w:tblCellMar>
            <w:left w:w="0" w:type="dxa"/>
            <w:right w:w="0" w:type="dxa"/>
          </w:tblCellMar>
          <w:tblLook w:val="0000"/>
        </w:tblPrEx>
        <w:trPr>
          <w:trHeight w:val="322"/>
          <w:jc w:val="center"/>
        </w:trPr>
        <w:tc>
          <w:tcPr>
            <w:tcW w:w="1800" w:type="dxa"/>
            <w:shd w:val="clear" w:color="auto" w:fill="FFFFFF" w:themeFill="background1"/>
            <w:vAlign w:val="center"/>
          </w:tcPr>
          <w:p w:rsidR="00993D11" w:rsidRPr="007C5144" w:rsidP="00D50718" w14:paraId="6ADED62F" w14:textId="6DBA935E">
            <w:pPr>
              <w:spacing w:after="0" w:line="240" w:lineRule="auto"/>
              <w:jc w:val="center"/>
              <w:rPr>
                <w:rFonts w:ascii="Times New Roman" w:hAnsi="Times New Roman"/>
                <w:sz w:val="24"/>
              </w:rPr>
            </w:pPr>
            <w:r w:rsidRPr="007C5144">
              <w:rPr>
                <w:rFonts w:ascii="Times New Roman" w:hAnsi="Times New Roman"/>
                <w:sz w:val="24"/>
              </w:rPr>
              <w:t>Adjustment</w:t>
            </w:r>
          </w:p>
        </w:tc>
        <w:tc>
          <w:tcPr>
            <w:tcW w:w="1360" w:type="dxa"/>
            <w:shd w:val="clear" w:color="auto" w:fill="FFFFFF" w:themeFill="background1"/>
            <w:vAlign w:val="center"/>
          </w:tcPr>
          <w:p w:rsidR="00993D11" w:rsidRPr="007C5144" w:rsidP="00D50718" w14:paraId="01CBAD55" w14:textId="487E1617">
            <w:pPr>
              <w:spacing w:after="0" w:line="240" w:lineRule="auto"/>
              <w:jc w:val="center"/>
              <w:rPr>
                <w:rFonts w:ascii="Times New Roman" w:hAnsi="Times New Roman"/>
                <w:sz w:val="24"/>
              </w:rPr>
            </w:pPr>
            <w:r w:rsidRPr="007C5144">
              <w:rPr>
                <w:rFonts w:ascii="Times New Roman" w:eastAsia="Arial" w:hAnsi="Times New Roman" w:cs="Times New Roman"/>
                <w:sz w:val="24"/>
                <w:szCs w:val="24"/>
              </w:rPr>
              <w:t>+14</w:t>
            </w:r>
          </w:p>
        </w:tc>
        <w:tc>
          <w:tcPr>
            <w:tcW w:w="1136" w:type="dxa"/>
            <w:shd w:val="clear" w:color="auto" w:fill="FFFFFF" w:themeFill="background1"/>
            <w:vAlign w:val="center"/>
          </w:tcPr>
          <w:p w:rsidR="00993D11" w:rsidRPr="007C5144" w:rsidP="00D50718" w14:paraId="7DC54ADA" w14:textId="67C20812">
            <w:pPr>
              <w:spacing w:after="0" w:line="240" w:lineRule="auto"/>
              <w:jc w:val="center"/>
              <w:rPr>
                <w:rFonts w:ascii="Times New Roman" w:hAnsi="Times New Roman"/>
                <w:sz w:val="24"/>
              </w:rPr>
            </w:pPr>
            <w:r w:rsidRPr="007C5144">
              <w:rPr>
                <w:rFonts w:ascii="Times New Roman" w:hAnsi="Times New Roman"/>
                <w:sz w:val="24"/>
              </w:rPr>
              <w:t>No change</w:t>
            </w:r>
          </w:p>
        </w:tc>
        <w:tc>
          <w:tcPr>
            <w:tcW w:w="1204" w:type="dxa"/>
            <w:shd w:val="clear" w:color="auto" w:fill="FFFFFF" w:themeFill="background1"/>
            <w:vAlign w:val="center"/>
          </w:tcPr>
          <w:p w:rsidR="00993D11" w:rsidRPr="007C5144" w:rsidP="00D50718" w14:paraId="14D57726" w14:textId="282259A2">
            <w:pPr>
              <w:spacing w:after="0" w:line="240" w:lineRule="auto"/>
              <w:jc w:val="center"/>
              <w:rPr>
                <w:rFonts w:ascii="Times New Roman" w:hAnsi="Times New Roman"/>
                <w:sz w:val="24"/>
              </w:rPr>
            </w:pPr>
            <w:r w:rsidRPr="007C5144">
              <w:rPr>
                <w:rFonts w:ascii="Times New Roman" w:hAnsi="Times New Roman" w:cs="Times New Roman"/>
                <w:sz w:val="24"/>
                <w:szCs w:val="24"/>
              </w:rPr>
              <w:t>+14</w:t>
            </w:r>
          </w:p>
        </w:tc>
        <w:tc>
          <w:tcPr>
            <w:tcW w:w="1080" w:type="dxa"/>
            <w:shd w:val="clear" w:color="auto" w:fill="FFFFFF" w:themeFill="background1"/>
            <w:vAlign w:val="center"/>
          </w:tcPr>
          <w:p w:rsidR="00993D11" w:rsidRPr="007C5144" w:rsidP="00D50718" w14:paraId="5C48B136" w14:textId="48D55732">
            <w:pPr>
              <w:spacing w:after="0" w:line="240" w:lineRule="auto"/>
              <w:jc w:val="center"/>
              <w:rPr>
                <w:rFonts w:ascii="Times New Roman" w:hAnsi="Times New Roman"/>
                <w:sz w:val="24"/>
              </w:rPr>
            </w:pPr>
            <w:r w:rsidRPr="007C5144">
              <w:rPr>
                <w:rFonts w:ascii="Times New Roman" w:hAnsi="Times New Roman"/>
                <w:sz w:val="24"/>
              </w:rPr>
              <w:t>+</w:t>
            </w:r>
            <w:r w:rsidRPr="007C5144" w:rsidR="0030582B">
              <w:rPr>
                <w:rFonts w:ascii="Times New Roman" w:hAnsi="Times New Roman" w:cs="Times New Roman"/>
                <w:sz w:val="24"/>
                <w:szCs w:val="24"/>
              </w:rPr>
              <w:t>25.0</w:t>
            </w:r>
            <w:r w:rsidRPr="007C5144" w:rsidR="00C53D43">
              <w:rPr>
                <w:rFonts w:ascii="Times New Roman" w:hAnsi="Times New Roman" w:cs="Times New Roman"/>
                <w:sz w:val="24"/>
                <w:szCs w:val="24"/>
              </w:rPr>
              <w:t>98</w:t>
            </w:r>
            <w:r w:rsidRPr="007C5144" w:rsidR="0030582B">
              <w:rPr>
                <w:rFonts w:ascii="Times New Roman" w:hAnsi="Times New Roman" w:cs="Times New Roman"/>
                <w:sz w:val="24"/>
                <w:szCs w:val="24"/>
              </w:rPr>
              <w:t>86</w:t>
            </w:r>
          </w:p>
        </w:tc>
        <w:tc>
          <w:tcPr>
            <w:tcW w:w="1260" w:type="dxa"/>
            <w:shd w:val="clear" w:color="auto" w:fill="FFFFFF" w:themeFill="background1"/>
            <w:vAlign w:val="center"/>
          </w:tcPr>
          <w:p w:rsidR="00993D11" w:rsidRPr="007C5144" w:rsidP="00D50718" w14:paraId="5DE6E278" w14:textId="1A303885">
            <w:pPr>
              <w:spacing w:after="0" w:line="240" w:lineRule="auto"/>
              <w:jc w:val="center"/>
              <w:rPr>
                <w:rFonts w:ascii="Times New Roman" w:hAnsi="Times New Roman"/>
                <w:sz w:val="24"/>
              </w:rPr>
            </w:pPr>
            <w:r w:rsidRPr="007C5144">
              <w:rPr>
                <w:rFonts w:ascii="Times New Roman" w:hAnsi="Times New Roman"/>
                <w:sz w:val="24"/>
              </w:rPr>
              <w:t>+</w:t>
            </w:r>
            <w:r w:rsidRPr="007C5144" w:rsidR="00CA23CB">
              <w:rPr>
                <w:rFonts w:ascii="Times New Roman" w:hAnsi="Times New Roman" w:cs="Times New Roman"/>
                <w:sz w:val="24"/>
                <w:szCs w:val="24"/>
              </w:rPr>
              <w:t>15,5</w:t>
            </w:r>
            <w:r w:rsidRPr="007C5144" w:rsidR="00E563F0">
              <w:rPr>
                <w:rFonts w:ascii="Times New Roman" w:hAnsi="Times New Roman" w:cs="Times New Roman"/>
                <w:sz w:val="24"/>
                <w:szCs w:val="24"/>
              </w:rPr>
              <w:t>89</w:t>
            </w:r>
          </w:p>
        </w:tc>
        <w:tc>
          <w:tcPr>
            <w:tcW w:w="990" w:type="dxa"/>
            <w:shd w:val="clear" w:color="auto" w:fill="FFFFFF" w:themeFill="background1"/>
            <w:vAlign w:val="center"/>
          </w:tcPr>
          <w:p w:rsidR="00993D11" w:rsidRPr="007C5144" w:rsidP="00D50718" w14:paraId="795301CB" w14:textId="0F6E485A">
            <w:pPr>
              <w:spacing w:after="0" w:line="240" w:lineRule="auto"/>
              <w:jc w:val="center"/>
              <w:rPr>
                <w:rFonts w:ascii="Times New Roman" w:hAnsi="Times New Roman"/>
                <w:sz w:val="24"/>
              </w:rPr>
            </w:pPr>
            <w:r w:rsidRPr="007C5144">
              <w:rPr>
                <w:rFonts w:ascii="Times New Roman" w:hAnsi="Times New Roman" w:cs="Times New Roman"/>
                <w:sz w:val="24"/>
                <w:szCs w:val="24"/>
              </w:rPr>
              <w:t>N/A</w:t>
            </w:r>
          </w:p>
        </w:tc>
        <w:tc>
          <w:tcPr>
            <w:tcW w:w="1352" w:type="dxa"/>
            <w:shd w:val="clear" w:color="auto" w:fill="FFFFFF" w:themeFill="background1"/>
            <w:vAlign w:val="center"/>
          </w:tcPr>
          <w:p w:rsidR="00993D11" w:rsidRPr="00425BA5" w:rsidP="006C54E8" w14:paraId="212F6A40" w14:textId="46F50FE6">
            <w:pPr>
              <w:spacing w:after="0" w:line="240" w:lineRule="auto"/>
              <w:jc w:val="center"/>
              <w:rPr>
                <w:rFonts w:ascii="Times New Roman" w:hAnsi="Times New Roman"/>
                <w:sz w:val="24"/>
              </w:rPr>
            </w:pPr>
            <w:r w:rsidRPr="007C5144">
              <w:rPr>
                <w:rFonts w:ascii="Times New Roman" w:hAnsi="Times New Roman"/>
                <w:sz w:val="24"/>
              </w:rPr>
              <w:t>+</w:t>
            </w:r>
            <w:r w:rsidRPr="007C5144" w:rsidR="00CA23CB">
              <w:rPr>
                <w:rFonts w:ascii="Times New Roman" w:hAnsi="Times New Roman" w:cs="Times New Roman"/>
                <w:sz w:val="24"/>
                <w:szCs w:val="24"/>
              </w:rPr>
              <w:t>2,5</w:t>
            </w:r>
            <w:r w:rsidRPr="007C5144" w:rsidR="00347DB2">
              <w:rPr>
                <w:rFonts w:ascii="Times New Roman" w:hAnsi="Times New Roman" w:cs="Times New Roman"/>
                <w:sz w:val="24"/>
                <w:szCs w:val="24"/>
              </w:rPr>
              <w:t>75</w:t>
            </w:r>
            <w:r w:rsidRPr="007C5144" w:rsidR="00CA23CB">
              <w:rPr>
                <w:rFonts w:ascii="Times New Roman" w:hAnsi="Times New Roman" w:cs="Times New Roman"/>
                <w:sz w:val="24"/>
                <w:szCs w:val="24"/>
              </w:rPr>
              <w:t>,</w:t>
            </w:r>
            <w:r w:rsidRPr="007C5144" w:rsidR="00966145">
              <w:rPr>
                <w:rFonts w:ascii="Times New Roman" w:hAnsi="Times New Roman" w:cs="Times New Roman"/>
                <w:sz w:val="24"/>
                <w:szCs w:val="24"/>
              </w:rPr>
              <w:t>061</w:t>
            </w:r>
          </w:p>
        </w:tc>
      </w:tr>
    </w:tbl>
    <w:p w:rsidR="009E7B95" w:rsidRPr="004B62EB" w:rsidP="00D50718" w14:paraId="5808FCE3" w14:textId="77777777">
      <w:pPr>
        <w:pStyle w:val="Heading4"/>
        <w:spacing w:before="240" w:after="240" w:line="240" w:lineRule="auto"/>
        <w:rPr>
          <w:b w:val="0"/>
          <w:u w:val="single"/>
        </w:rPr>
      </w:pPr>
      <w:r w:rsidRPr="00387EC3">
        <w:rPr>
          <w:b w:val="0"/>
          <w:u w:val="single"/>
        </w:rPr>
        <w:t>16. Plans for Tabulation and Publication and Project Time Schedule</w:t>
      </w:r>
    </w:p>
    <w:p w:rsidR="00BB1FFF" w:rsidRPr="004B62EB" w:rsidP="00D50718" w14:paraId="10305A26" w14:textId="7C7E711A">
      <w:pPr>
        <w:spacing w:after="240" w:line="240" w:lineRule="auto"/>
        <w:rPr>
          <w:rFonts w:ascii="Times New Roman" w:hAnsi="Times New Roman" w:cs="Times New Roman"/>
          <w:sz w:val="24"/>
          <w:szCs w:val="24"/>
        </w:rPr>
      </w:pPr>
      <w:r w:rsidRPr="004B62EB">
        <w:rPr>
          <w:rFonts w:ascii="Times New Roman" w:hAnsi="Times New Roman" w:cs="Times New Roman"/>
          <w:sz w:val="24"/>
          <w:szCs w:val="24"/>
        </w:rPr>
        <w:t xml:space="preserve">CMS reserves the right to publish plan sponsors’ annual </w:t>
      </w:r>
      <w:r w:rsidRPr="004B62EB" w:rsidR="00452505">
        <w:rPr>
          <w:rFonts w:ascii="Times New Roman" w:hAnsi="Times New Roman" w:cs="Times New Roman"/>
          <w:sz w:val="24"/>
          <w:szCs w:val="24"/>
        </w:rPr>
        <w:t>submissions of MLR data</w:t>
      </w:r>
      <w:r w:rsidRPr="004B62EB" w:rsidR="00C049EB">
        <w:rPr>
          <w:rFonts w:ascii="Times New Roman" w:hAnsi="Times New Roman" w:cs="Times New Roman"/>
          <w:sz w:val="24"/>
          <w:szCs w:val="24"/>
        </w:rPr>
        <w:t xml:space="preserve"> for purposes of </w:t>
      </w:r>
      <w:r w:rsidRPr="004B62EB">
        <w:rPr>
          <w:rFonts w:ascii="Times New Roman" w:hAnsi="Times New Roman" w:cs="Times New Roman"/>
          <w:sz w:val="24"/>
          <w:szCs w:val="24"/>
        </w:rPr>
        <w:t>to achiev</w:t>
      </w:r>
      <w:r w:rsidRPr="004B62EB" w:rsidR="00C049EB">
        <w:rPr>
          <w:rFonts w:ascii="Times New Roman" w:hAnsi="Times New Roman" w:cs="Times New Roman"/>
          <w:sz w:val="24"/>
          <w:szCs w:val="24"/>
        </w:rPr>
        <w:t>ing</w:t>
      </w:r>
      <w:r w:rsidRPr="004B62EB">
        <w:rPr>
          <w:rFonts w:ascii="Times New Roman" w:hAnsi="Times New Roman" w:cs="Times New Roman"/>
          <w:sz w:val="24"/>
          <w:szCs w:val="24"/>
        </w:rPr>
        <w:t xml:space="preserve"> greater market transparency and improv</w:t>
      </w:r>
      <w:r w:rsidRPr="004B62EB" w:rsidR="00C049EB">
        <w:rPr>
          <w:rFonts w:ascii="Times New Roman" w:hAnsi="Times New Roman" w:cs="Times New Roman"/>
          <w:sz w:val="24"/>
          <w:szCs w:val="24"/>
        </w:rPr>
        <w:t>ing beneficiaries’</w:t>
      </w:r>
      <w:r w:rsidRPr="004B62EB">
        <w:rPr>
          <w:rFonts w:ascii="Times New Roman" w:hAnsi="Times New Roman" w:cs="Times New Roman"/>
          <w:sz w:val="24"/>
          <w:szCs w:val="24"/>
        </w:rPr>
        <w:t xml:space="preserve"> ability to make informed </w:t>
      </w:r>
      <w:r w:rsidRPr="004B62EB" w:rsidR="00C049EB">
        <w:rPr>
          <w:rFonts w:ascii="Times New Roman" w:hAnsi="Times New Roman" w:cs="Times New Roman"/>
          <w:sz w:val="24"/>
          <w:szCs w:val="24"/>
        </w:rPr>
        <w:t xml:space="preserve">health </w:t>
      </w:r>
      <w:r w:rsidRPr="004B62EB">
        <w:rPr>
          <w:rFonts w:ascii="Times New Roman" w:hAnsi="Times New Roman" w:cs="Times New Roman"/>
          <w:sz w:val="24"/>
          <w:szCs w:val="24"/>
        </w:rPr>
        <w:t xml:space="preserve">insurance choices. </w:t>
      </w:r>
      <w:r w:rsidR="0088134C">
        <w:rPr>
          <w:rFonts w:ascii="Times New Roman" w:hAnsi="Times New Roman" w:cs="Times New Roman"/>
          <w:sz w:val="24"/>
          <w:szCs w:val="24"/>
        </w:rPr>
        <w:t>W</w:t>
      </w:r>
      <w:r w:rsidRPr="004B62EB" w:rsidR="0088134C">
        <w:rPr>
          <w:rFonts w:ascii="Times New Roman" w:hAnsi="Times New Roman" w:cs="Times New Roman"/>
          <w:sz w:val="24"/>
          <w:szCs w:val="24"/>
        </w:rPr>
        <w:t>ith specified exceptions to release</w:t>
      </w:r>
      <w:r w:rsidR="0088134C">
        <w:rPr>
          <w:rFonts w:ascii="Times New Roman" w:hAnsi="Times New Roman" w:cs="Times New Roman"/>
          <w:sz w:val="24"/>
          <w:szCs w:val="24"/>
        </w:rPr>
        <w:t>, d</w:t>
      </w:r>
      <w:r w:rsidRPr="004B62EB" w:rsidR="007B77F3">
        <w:rPr>
          <w:rFonts w:ascii="Times New Roman" w:hAnsi="Times New Roman" w:cs="Times New Roman"/>
          <w:sz w:val="24"/>
          <w:szCs w:val="24"/>
        </w:rPr>
        <w:t xml:space="preserve">ata in plan sponsors’ annual </w:t>
      </w:r>
      <w:r w:rsidRPr="004B62EB" w:rsidR="00452505">
        <w:rPr>
          <w:rFonts w:ascii="Times New Roman" w:hAnsi="Times New Roman" w:cs="Times New Roman"/>
          <w:sz w:val="24"/>
          <w:szCs w:val="24"/>
        </w:rPr>
        <w:t xml:space="preserve">data submissions </w:t>
      </w:r>
      <w:r w:rsidRPr="004B62EB" w:rsidR="002248CF">
        <w:rPr>
          <w:rFonts w:ascii="Times New Roman" w:hAnsi="Times New Roman" w:cs="Times New Roman"/>
          <w:sz w:val="24"/>
          <w:szCs w:val="24"/>
        </w:rPr>
        <w:t xml:space="preserve">will </w:t>
      </w:r>
      <w:r w:rsidRPr="004B62EB" w:rsidR="007B77F3">
        <w:rPr>
          <w:rFonts w:ascii="Times New Roman" w:hAnsi="Times New Roman" w:cs="Times New Roman"/>
          <w:sz w:val="24"/>
          <w:szCs w:val="24"/>
        </w:rPr>
        <w:t>be published pursuant to the authority at §</w:t>
      </w:r>
      <w:r w:rsidRPr="004B62EB" w:rsidR="00C049EB">
        <w:rPr>
          <w:rFonts w:ascii="Times New Roman" w:hAnsi="Times New Roman" w:cs="Times New Roman"/>
          <w:sz w:val="24"/>
          <w:szCs w:val="24"/>
        </w:rPr>
        <w:t>§</w:t>
      </w:r>
      <w:r w:rsidRPr="004B62EB" w:rsidR="00DA7B88">
        <w:rPr>
          <w:rFonts w:ascii="Times New Roman" w:hAnsi="Times New Roman" w:cs="Times New Roman"/>
          <w:sz w:val="24"/>
          <w:szCs w:val="24"/>
        </w:rPr>
        <w:t xml:space="preserve"> </w:t>
      </w:r>
      <w:r w:rsidRPr="004B62EB" w:rsidR="007B77F3">
        <w:rPr>
          <w:rFonts w:ascii="Times New Roman" w:hAnsi="Times New Roman" w:cs="Times New Roman"/>
          <w:sz w:val="24"/>
          <w:szCs w:val="24"/>
        </w:rPr>
        <w:t xml:space="preserve">422.2490 and </w:t>
      </w:r>
      <w:r w:rsidRPr="004B62EB" w:rsidR="002248CF">
        <w:rPr>
          <w:rFonts w:ascii="Times New Roman" w:hAnsi="Times New Roman" w:cs="Times New Roman"/>
          <w:sz w:val="24"/>
          <w:szCs w:val="24"/>
        </w:rPr>
        <w:t>423.2490</w:t>
      </w:r>
      <w:r w:rsidRPr="004B62EB" w:rsidR="007B77F3">
        <w:rPr>
          <w:rFonts w:ascii="Times New Roman" w:hAnsi="Times New Roman" w:cs="Times New Roman"/>
          <w:sz w:val="24"/>
          <w:szCs w:val="24"/>
        </w:rPr>
        <w:t>.</w:t>
      </w:r>
    </w:p>
    <w:p w:rsidR="009E7B95" w:rsidRPr="00387EC3" w:rsidP="00D50718" w14:paraId="3AFD1F8D" w14:textId="77777777">
      <w:pPr>
        <w:pStyle w:val="Heading4"/>
        <w:spacing w:after="240" w:line="240" w:lineRule="auto"/>
        <w:rPr>
          <w:b w:val="0"/>
          <w:u w:val="single"/>
        </w:rPr>
      </w:pPr>
      <w:r w:rsidRPr="00387EC3">
        <w:rPr>
          <w:b w:val="0"/>
          <w:u w:val="single"/>
        </w:rPr>
        <w:t>17. Display of OMB Expiration Date</w:t>
      </w:r>
    </w:p>
    <w:p w:rsidR="00351005" w:rsidRPr="00387EC3" w:rsidP="00D50718" w14:paraId="610E04DD" w14:textId="01148CBD">
      <w:pPr>
        <w:pStyle w:val="BodyText"/>
        <w:spacing w:line="240" w:lineRule="auto"/>
        <w:jc w:val="left"/>
      </w:pPr>
      <w:r w:rsidRPr="00387EC3">
        <w:t>CMS has no objections to displaying the expiration date.</w:t>
      </w:r>
    </w:p>
    <w:p w:rsidR="00F41E7C" w:rsidRPr="004B62EB" w:rsidP="00D50718" w14:paraId="71DD8A2B" w14:textId="77777777">
      <w:pPr>
        <w:spacing w:after="240" w:line="240" w:lineRule="auto"/>
        <w:rPr>
          <w:rFonts w:ascii="Times New Roman" w:eastAsia="Times New Roman" w:hAnsi="Times New Roman" w:cs="Times New Roman"/>
          <w:sz w:val="24"/>
          <w:szCs w:val="24"/>
          <w:u w:val="single"/>
        </w:rPr>
      </w:pPr>
      <w:r w:rsidRPr="00387EC3">
        <w:rPr>
          <w:rFonts w:ascii="Times New Roman" w:eastAsia="Times New Roman" w:hAnsi="Times New Roman" w:cs="Times New Roman"/>
          <w:position w:val="-1"/>
          <w:sz w:val="24"/>
          <w:szCs w:val="24"/>
          <w:u w:val="single"/>
        </w:rPr>
        <w:t xml:space="preserve">18. </w:t>
      </w:r>
      <w:r w:rsidRPr="00387EC3">
        <w:rPr>
          <w:rFonts w:ascii="Times New Roman" w:eastAsia="Times New Roman" w:hAnsi="Times New Roman" w:cs="Times New Roman"/>
          <w:position w:val="-1"/>
          <w:sz w:val="24"/>
          <w:szCs w:val="24"/>
          <w:u w:val="single" w:color="000000"/>
        </w:rPr>
        <w:t>Certification State</w:t>
      </w:r>
      <w:r w:rsidRPr="00387EC3">
        <w:rPr>
          <w:rFonts w:ascii="Times New Roman" w:eastAsia="Times New Roman" w:hAnsi="Times New Roman" w:cs="Times New Roman"/>
          <w:spacing w:val="-2"/>
          <w:position w:val="-1"/>
          <w:sz w:val="24"/>
          <w:szCs w:val="24"/>
          <w:u w:val="single" w:color="000000"/>
        </w:rPr>
        <w:t>m</w:t>
      </w:r>
      <w:r w:rsidRPr="00387EC3">
        <w:rPr>
          <w:rFonts w:ascii="Times New Roman" w:eastAsia="Times New Roman" w:hAnsi="Times New Roman" w:cs="Times New Roman"/>
          <w:position w:val="-1"/>
          <w:sz w:val="24"/>
          <w:szCs w:val="24"/>
          <w:u w:val="single" w:color="000000"/>
        </w:rPr>
        <w:t>ent</w:t>
      </w:r>
    </w:p>
    <w:p w:rsidR="007B77F3" w:rsidRPr="004B62EB" w:rsidP="00D50718" w14:paraId="54E5D967" w14:textId="0C67CC8F">
      <w:pPr>
        <w:spacing w:after="240" w:line="240" w:lineRule="auto"/>
        <w:rPr>
          <w:rFonts w:ascii="Times New Roman" w:eastAsia="Times New Roman" w:hAnsi="Times New Roman" w:cs="Times New Roman"/>
          <w:sz w:val="24"/>
          <w:szCs w:val="24"/>
        </w:rPr>
      </w:pPr>
      <w:r w:rsidRPr="004B62EB">
        <w:rPr>
          <w:rFonts w:ascii="Times New Roman" w:eastAsia="Times New Roman" w:hAnsi="Times New Roman" w:cs="Times New Roman"/>
          <w:sz w:val="24"/>
          <w:szCs w:val="24"/>
        </w:rPr>
        <w:t>There</w:t>
      </w:r>
      <w:r w:rsidRPr="004B62EB">
        <w:rPr>
          <w:rFonts w:ascii="Times New Roman" w:eastAsia="Times New Roman" w:hAnsi="Times New Roman" w:cs="Times New Roman"/>
          <w:spacing w:val="-5"/>
          <w:sz w:val="24"/>
          <w:szCs w:val="24"/>
        </w:rPr>
        <w:t xml:space="preserve"> </w:t>
      </w:r>
      <w:r w:rsidRPr="004B62EB">
        <w:rPr>
          <w:rFonts w:ascii="Times New Roman" w:eastAsia="Times New Roman" w:hAnsi="Times New Roman" w:cs="Times New Roman"/>
          <w:sz w:val="24"/>
          <w:szCs w:val="24"/>
        </w:rPr>
        <w:t>are</w:t>
      </w:r>
      <w:r w:rsidRPr="004B62EB">
        <w:rPr>
          <w:rFonts w:ascii="Times New Roman" w:eastAsia="Times New Roman" w:hAnsi="Times New Roman" w:cs="Times New Roman"/>
          <w:spacing w:val="-3"/>
          <w:sz w:val="24"/>
          <w:szCs w:val="24"/>
        </w:rPr>
        <w:t xml:space="preserve"> </w:t>
      </w:r>
      <w:r w:rsidRPr="004B62EB">
        <w:rPr>
          <w:rFonts w:ascii="Times New Roman" w:eastAsia="Times New Roman" w:hAnsi="Times New Roman" w:cs="Times New Roman"/>
          <w:sz w:val="24"/>
          <w:szCs w:val="24"/>
        </w:rPr>
        <w:t>no</w:t>
      </w:r>
      <w:r w:rsidRPr="004B62EB">
        <w:rPr>
          <w:rFonts w:ascii="Times New Roman" w:eastAsia="Times New Roman" w:hAnsi="Times New Roman" w:cs="Times New Roman"/>
          <w:spacing w:val="-2"/>
          <w:sz w:val="24"/>
          <w:szCs w:val="24"/>
        </w:rPr>
        <w:t xml:space="preserve"> </w:t>
      </w:r>
      <w:r w:rsidRPr="004B62EB">
        <w:rPr>
          <w:rFonts w:ascii="Times New Roman" w:eastAsia="Times New Roman" w:hAnsi="Times New Roman" w:cs="Times New Roman"/>
          <w:sz w:val="24"/>
          <w:szCs w:val="24"/>
        </w:rPr>
        <w:t>exceptions</w:t>
      </w:r>
      <w:r w:rsidRPr="004B62EB">
        <w:rPr>
          <w:rFonts w:ascii="Times New Roman" w:eastAsia="Times New Roman" w:hAnsi="Times New Roman" w:cs="Times New Roman"/>
          <w:spacing w:val="-9"/>
          <w:sz w:val="24"/>
          <w:szCs w:val="24"/>
        </w:rPr>
        <w:t xml:space="preserve"> </w:t>
      </w:r>
      <w:r w:rsidRPr="004B62EB">
        <w:rPr>
          <w:rFonts w:ascii="Times New Roman" w:eastAsia="Times New Roman" w:hAnsi="Times New Roman" w:cs="Times New Roman"/>
          <w:sz w:val="24"/>
          <w:szCs w:val="24"/>
        </w:rPr>
        <w:t>to</w:t>
      </w:r>
      <w:r w:rsidRPr="004B62EB">
        <w:rPr>
          <w:rFonts w:ascii="Times New Roman" w:eastAsia="Times New Roman" w:hAnsi="Times New Roman" w:cs="Times New Roman"/>
          <w:spacing w:val="-2"/>
          <w:sz w:val="24"/>
          <w:szCs w:val="24"/>
        </w:rPr>
        <w:t xml:space="preserve"> </w:t>
      </w:r>
      <w:r w:rsidRPr="004B62EB">
        <w:rPr>
          <w:rFonts w:ascii="Times New Roman" w:eastAsia="Times New Roman" w:hAnsi="Times New Roman" w:cs="Times New Roman"/>
          <w:sz w:val="24"/>
          <w:szCs w:val="24"/>
        </w:rPr>
        <w:t>the</w:t>
      </w:r>
      <w:r w:rsidRPr="004B62EB">
        <w:rPr>
          <w:rFonts w:ascii="Times New Roman" w:eastAsia="Times New Roman" w:hAnsi="Times New Roman" w:cs="Times New Roman"/>
          <w:spacing w:val="-3"/>
          <w:sz w:val="24"/>
          <w:szCs w:val="24"/>
        </w:rPr>
        <w:t xml:space="preserve"> </w:t>
      </w:r>
      <w:r w:rsidRPr="004B62EB">
        <w:rPr>
          <w:rFonts w:ascii="Times New Roman" w:eastAsia="Times New Roman" w:hAnsi="Times New Roman" w:cs="Times New Roman"/>
          <w:sz w:val="24"/>
          <w:szCs w:val="24"/>
        </w:rPr>
        <w:t>certification</w:t>
      </w:r>
      <w:r w:rsidRPr="004B62EB">
        <w:rPr>
          <w:rFonts w:ascii="Times New Roman" w:eastAsia="Times New Roman" w:hAnsi="Times New Roman" w:cs="Times New Roman"/>
          <w:spacing w:val="-11"/>
          <w:sz w:val="24"/>
          <w:szCs w:val="24"/>
        </w:rPr>
        <w:t xml:space="preserve"> </w:t>
      </w:r>
      <w:r w:rsidRPr="004B62EB">
        <w:rPr>
          <w:rFonts w:ascii="Times New Roman" w:eastAsia="Times New Roman" w:hAnsi="Times New Roman" w:cs="Times New Roman"/>
          <w:sz w:val="24"/>
          <w:szCs w:val="24"/>
        </w:rPr>
        <w:t>state</w:t>
      </w:r>
      <w:r w:rsidRPr="004B62EB">
        <w:rPr>
          <w:rFonts w:ascii="Times New Roman" w:eastAsia="Times New Roman" w:hAnsi="Times New Roman" w:cs="Times New Roman"/>
          <w:spacing w:val="-2"/>
          <w:sz w:val="24"/>
          <w:szCs w:val="24"/>
        </w:rPr>
        <w:t>m</w:t>
      </w:r>
      <w:r w:rsidRPr="004B62EB">
        <w:rPr>
          <w:rFonts w:ascii="Times New Roman" w:eastAsia="Times New Roman" w:hAnsi="Times New Roman" w:cs="Times New Roman"/>
          <w:sz w:val="24"/>
          <w:szCs w:val="24"/>
        </w:rPr>
        <w:t>ent</w:t>
      </w:r>
      <w:r w:rsidRPr="004B62EB">
        <w:rPr>
          <w:rFonts w:ascii="Times New Roman" w:eastAsia="Times New Roman" w:hAnsi="Times New Roman" w:cs="Times New Roman"/>
          <w:spacing w:val="-8"/>
          <w:sz w:val="24"/>
          <w:szCs w:val="24"/>
        </w:rPr>
        <w:t xml:space="preserve"> </w:t>
      </w:r>
      <w:r w:rsidRPr="004B62EB">
        <w:rPr>
          <w:rFonts w:ascii="Times New Roman" w:eastAsia="Times New Roman" w:hAnsi="Times New Roman" w:cs="Times New Roman"/>
          <w:sz w:val="24"/>
          <w:szCs w:val="24"/>
        </w:rPr>
        <w:t>identified</w:t>
      </w:r>
      <w:r w:rsidRPr="004B62EB">
        <w:rPr>
          <w:rFonts w:ascii="Times New Roman" w:eastAsia="Times New Roman" w:hAnsi="Times New Roman" w:cs="Times New Roman"/>
          <w:spacing w:val="-8"/>
          <w:sz w:val="24"/>
          <w:szCs w:val="24"/>
        </w:rPr>
        <w:t xml:space="preserve"> </w:t>
      </w:r>
      <w:r w:rsidRPr="004B62EB">
        <w:rPr>
          <w:rFonts w:ascii="Times New Roman" w:eastAsia="Times New Roman" w:hAnsi="Times New Roman" w:cs="Times New Roman"/>
          <w:sz w:val="24"/>
          <w:szCs w:val="24"/>
        </w:rPr>
        <w:t>in</w:t>
      </w:r>
      <w:r w:rsidRPr="004B62EB">
        <w:rPr>
          <w:rFonts w:ascii="Times New Roman" w:eastAsia="Times New Roman" w:hAnsi="Times New Roman" w:cs="Times New Roman"/>
          <w:spacing w:val="-2"/>
          <w:sz w:val="24"/>
          <w:szCs w:val="24"/>
        </w:rPr>
        <w:t xml:space="preserve"> </w:t>
      </w:r>
      <w:r w:rsidRPr="004B62EB">
        <w:rPr>
          <w:rFonts w:ascii="Times New Roman" w:eastAsia="Times New Roman" w:hAnsi="Times New Roman" w:cs="Times New Roman"/>
          <w:sz w:val="24"/>
          <w:szCs w:val="24"/>
        </w:rPr>
        <w:t>Item</w:t>
      </w:r>
      <w:r w:rsidRPr="004B62EB">
        <w:rPr>
          <w:rFonts w:ascii="Times New Roman" w:eastAsia="Times New Roman" w:hAnsi="Times New Roman" w:cs="Times New Roman"/>
          <w:spacing w:val="-5"/>
          <w:sz w:val="24"/>
          <w:szCs w:val="24"/>
        </w:rPr>
        <w:t xml:space="preserve"> </w:t>
      </w:r>
      <w:r w:rsidRPr="004B62EB">
        <w:rPr>
          <w:rFonts w:ascii="Times New Roman" w:eastAsia="Times New Roman" w:hAnsi="Times New Roman" w:cs="Times New Roman"/>
          <w:sz w:val="24"/>
          <w:szCs w:val="24"/>
        </w:rPr>
        <w:t>19,</w:t>
      </w:r>
      <w:r w:rsidRPr="004B62EB">
        <w:rPr>
          <w:rFonts w:ascii="Times New Roman" w:eastAsia="Times New Roman" w:hAnsi="Times New Roman" w:cs="Times New Roman"/>
          <w:spacing w:val="-3"/>
          <w:sz w:val="24"/>
          <w:szCs w:val="24"/>
        </w:rPr>
        <w:t xml:space="preserve"> </w:t>
      </w:r>
      <w:r w:rsidRPr="004B62EB">
        <w:rPr>
          <w:rFonts w:ascii="Times New Roman" w:eastAsia="Times New Roman" w:hAnsi="Times New Roman" w:cs="Times New Roman"/>
          <w:sz w:val="24"/>
          <w:szCs w:val="24"/>
        </w:rPr>
        <w:t>“Certification</w:t>
      </w:r>
      <w:r w:rsidRPr="004B62EB">
        <w:rPr>
          <w:rFonts w:ascii="Times New Roman" w:eastAsia="Times New Roman" w:hAnsi="Times New Roman" w:cs="Times New Roman"/>
          <w:spacing w:val="-12"/>
          <w:sz w:val="24"/>
          <w:szCs w:val="24"/>
        </w:rPr>
        <w:t xml:space="preserve"> </w:t>
      </w:r>
      <w:r w:rsidRPr="004B62EB">
        <w:rPr>
          <w:rFonts w:ascii="Times New Roman" w:eastAsia="Times New Roman" w:hAnsi="Times New Roman" w:cs="Times New Roman"/>
          <w:sz w:val="24"/>
          <w:szCs w:val="24"/>
        </w:rPr>
        <w:t>for</w:t>
      </w:r>
      <w:r w:rsidRPr="004B62EB" w:rsidR="00491AB8">
        <w:rPr>
          <w:rFonts w:ascii="Times New Roman" w:eastAsia="Times New Roman" w:hAnsi="Times New Roman" w:cs="Times New Roman"/>
          <w:sz w:val="24"/>
          <w:szCs w:val="24"/>
        </w:rPr>
        <w:t xml:space="preserve"> </w:t>
      </w:r>
      <w:r w:rsidRPr="004B62EB">
        <w:rPr>
          <w:rFonts w:ascii="Times New Roman" w:eastAsia="Times New Roman" w:hAnsi="Times New Roman" w:cs="Times New Roman"/>
          <w:sz w:val="24"/>
          <w:szCs w:val="24"/>
        </w:rPr>
        <w:t>Paperwork</w:t>
      </w:r>
      <w:r w:rsidRPr="004B62EB">
        <w:rPr>
          <w:rFonts w:ascii="Times New Roman" w:eastAsia="Times New Roman" w:hAnsi="Times New Roman" w:cs="Times New Roman"/>
          <w:spacing w:val="-10"/>
          <w:sz w:val="24"/>
          <w:szCs w:val="24"/>
        </w:rPr>
        <w:t xml:space="preserve"> </w:t>
      </w:r>
      <w:r w:rsidRPr="004B62EB">
        <w:rPr>
          <w:rFonts w:ascii="Times New Roman" w:eastAsia="Times New Roman" w:hAnsi="Times New Roman" w:cs="Times New Roman"/>
          <w:sz w:val="24"/>
          <w:szCs w:val="24"/>
        </w:rPr>
        <w:t>Reduction</w:t>
      </w:r>
      <w:r w:rsidRPr="004B62EB">
        <w:rPr>
          <w:rFonts w:ascii="Times New Roman" w:eastAsia="Times New Roman" w:hAnsi="Times New Roman" w:cs="Times New Roman"/>
          <w:spacing w:val="-9"/>
          <w:sz w:val="24"/>
          <w:szCs w:val="24"/>
        </w:rPr>
        <w:t xml:space="preserve"> </w:t>
      </w:r>
      <w:r w:rsidRPr="004B62EB">
        <w:rPr>
          <w:rFonts w:ascii="Times New Roman" w:eastAsia="Times New Roman" w:hAnsi="Times New Roman" w:cs="Times New Roman"/>
          <w:sz w:val="24"/>
          <w:szCs w:val="24"/>
        </w:rPr>
        <w:t>Act</w:t>
      </w:r>
      <w:r w:rsidRPr="004B62EB">
        <w:rPr>
          <w:rFonts w:ascii="Times New Roman" w:eastAsia="Times New Roman" w:hAnsi="Times New Roman" w:cs="Times New Roman"/>
          <w:spacing w:val="-3"/>
          <w:sz w:val="24"/>
          <w:szCs w:val="24"/>
        </w:rPr>
        <w:t xml:space="preserve"> </w:t>
      </w:r>
      <w:r w:rsidRPr="004B62EB">
        <w:rPr>
          <w:rFonts w:ascii="Times New Roman" w:eastAsia="Times New Roman" w:hAnsi="Times New Roman" w:cs="Times New Roman"/>
          <w:sz w:val="24"/>
          <w:szCs w:val="24"/>
        </w:rPr>
        <w:t>Sub</w:t>
      </w:r>
      <w:r w:rsidRPr="004B62EB">
        <w:rPr>
          <w:rFonts w:ascii="Times New Roman" w:eastAsia="Times New Roman" w:hAnsi="Times New Roman" w:cs="Times New Roman"/>
          <w:spacing w:val="-2"/>
          <w:sz w:val="24"/>
          <w:szCs w:val="24"/>
        </w:rPr>
        <w:t>m</w:t>
      </w:r>
      <w:r w:rsidRPr="004B62EB">
        <w:rPr>
          <w:rFonts w:ascii="Times New Roman" w:eastAsia="Times New Roman" w:hAnsi="Times New Roman" w:cs="Times New Roman"/>
          <w:sz w:val="24"/>
          <w:szCs w:val="24"/>
        </w:rPr>
        <w:t>issions,</w:t>
      </w:r>
      <w:r w:rsidRPr="004B62EB" w:rsidR="00491AB8">
        <w:rPr>
          <w:rFonts w:ascii="Times New Roman" w:eastAsia="Times New Roman" w:hAnsi="Times New Roman" w:cs="Times New Roman"/>
          <w:sz w:val="24"/>
          <w:szCs w:val="24"/>
        </w:rPr>
        <w:t>”</w:t>
      </w:r>
      <w:r w:rsidRPr="004B62EB">
        <w:rPr>
          <w:rFonts w:ascii="Times New Roman" w:eastAsia="Times New Roman" w:hAnsi="Times New Roman" w:cs="Times New Roman"/>
          <w:spacing w:val="-1"/>
          <w:sz w:val="24"/>
          <w:szCs w:val="24"/>
        </w:rPr>
        <w:t xml:space="preserve"> </w:t>
      </w:r>
      <w:r w:rsidRPr="004B62EB">
        <w:rPr>
          <w:rFonts w:ascii="Times New Roman" w:eastAsia="Times New Roman" w:hAnsi="Times New Roman" w:cs="Times New Roman"/>
          <w:sz w:val="24"/>
          <w:szCs w:val="24"/>
        </w:rPr>
        <w:t>of</w:t>
      </w:r>
      <w:r w:rsidRPr="004B62EB">
        <w:rPr>
          <w:rFonts w:ascii="Times New Roman" w:eastAsia="Times New Roman" w:hAnsi="Times New Roman" w:cs="Times New Roman"/>
          <w:spacing w:val="-2"/>
          <w:sz w:val="24"/>
          <w:szCs w:val="24"/>
        </w:rPr>
        <w:t xml:space="preserve"> </w:t>
      </w:r>
      <w:r w:rsidRPr="004B62EB">
        <w:rPr>
          <w:rFonts w:ascii="Times New Roman" w:eastAsia="Times New Roman" w:hAnsi="Times New Roman" w:cs="Times New Roman"/>
          <w:sz w:val="24"/>
          <w:szCs w:val="24"/>
        </w:rPr>
        <w:t>OMB</w:t>
      </w:r>
      <w:r w:rsidRPr="004B62EB">
        <w:rPr>
          <w:rFonts w:ascii="Times New Roman" w:eastAsia="Times New Roman" w:hAnsi="Times New Roman" w:cs="Times New Roman"/>
          <w:spacing w:val="-5"/>
          <w:sz w:val="24"/>
          <w:szCs w:val="24"/>
        </w:rPr>
        <w:t xml:space="preserve"> </w:t>
      </w:r>
      <w:r w:rsidRPr="004B62EB">
        <w:rPr>
          <w:rFonts w:ascii="Times New Roman" w:eastAsia="Times New Roman" w:hAnsi="Times New Roman" w:cs="Times New Roman"/>
          <w:sz w:val="24"/>
          <w:szCs w:val="24"/>
        </w:rPr>
        <w:t>Form</w:t>
      </w:r>
      <w:r w:rsidRPr="004B62EB">
        <w:rPr>
          <w:rFonts w:ascii="Times New Roman" w:eastAsia="Times New Roman" w:hAnsi="Times New Roman" w:cs="Times New Roman"/>
          <w:spacing w:val="-6"/>
          <w:sz w:val="24"/>
          <w:szCs w:val="24"/>
        </w:rPr>
        <w:t xml:space="preserve"> </w:t>
      </w:r>
      <w:r w:rsidRPr="004B62EB">
        <w:rPr>
          <w:rFonts w:ascii="Times New Roman" w:eastAsia="Times New Roman" w:hAnsi="Times New Roman" w:cs="Times New Roman"/>
          <w:sz w:val="24"/>
          <w:szCs w:val="24"/>
        </w:rPr>
        <w:t>83-I.</w:t>
      </w:r>
    </w:p>
    <w:p w:rsidR="00351005" w:rsidRPr="004B62EB" w:rsidP="00D50718" w14:paraId="6BFBAC50" w14:textId="051F4FA3">
      <w:pPr>
        <w:tabs>
          <w:tab w:val="left" w:pos="8140"/>
        </w:tabs>
        <w:spacing w:after="240" w:line="240" w:lineRule="auto"/>
        <w:rPr>
          <w:rFonts w:ascii="Times New Roman" w:eastAsia="Times New Roman" w:hAnsi="Times New Roman" w:cs="Times New Roman"/>
          <w:sz w:val="24"/>
          <w:szCs w:val="24"/>
        </w:rPr>
      </w:pPr>
      <w:r w:rsidRPr="004B62EB">
        <w:rPr>
          <w:rFonts w:ascii="Times New Roman" w:eastAsia="Times New Roman" w:hAnsi="Times New Roman" w:cs="Times New Roman"/>
          <w:b/>
          <w:bCs/>
          <w:position w:val="-1"/>
          <w:sz w:val="24"/>
          <w:szCs w:val="24"/>
          <w:u w:color="000000"/>
        </w:rPr>
        <w:t>B.</w:t>
      </w:r>
      <w:r w:rsidRPr="004B62EB">
        <w:rPr>
          <w:rFonts w:ascii="Times New Roman" w:eastAsia="Times New Roman" w:hAnsi="Times New Roman" w:cs="Times New Roman"/>
          <w:b/>
          <w:bCs/>
          <w:spacing w:val="20"/>
          <w:position w:val="-1"/>
          <w:sz w:val="24"/>
          <w:szCs w:val="24"/>
        </w:rPr>
        <w:t xml:space="preserve"> </w:t>
      </w:r>
      <w:r w:rsidRPr="004B62EB">
        <w:rPr>
          <w:rFonts w:ascii="Times New Roman" w:eastAsia="Times New Roman" w:hAnsi="Times New Roman" w:cs="Times New Roman"/>
          <w:b/>
          <w:bCs/>
          <w:position w:val="-1"/>
          <w:sz w:val="24"/>
          <w:szCs w:val="24"/>
          <w:u w:color="000000"/>
        </w:rPr>
        <w:t>Collections of Information Employing Statistical Methods</w:t>
      </w:r>
    </w:p>
    <w:p w:rsidR="005F0DCA" w:rsidRPr="004B62EB" w:rsidP="00BD18DB" w14:paraId="34C3059B" w14:textId="0F98000A">
      <w:pPr>
        <w:spacing w:after="0" w:line="240" w:lineRule="auto"/>
        <w:rPr>
          <w:rFonts w:ascii="Times New Roman" w:eastAsia="Times New Roman" w:hAnsi="Times New Roman" w:cs="Times New Roman"/>
          <w:sz w:val="24"/>
          <w:szCs w:val="24"/>
        </w:rPr>
      </w:pPr>
      <w:r w:rsidRPr="004B62EB">
        <w:rPr>
          <w:rFonts w:ascii="Times New Roman" w:eastAsia="Times New Roman" w:hAnsi="Times New Roman" w:cs="Times New Roman"/>
          <w:sz w:val="24"/>
          <w:szCs w:val="24"/>
        </w:rPr>
        <w:t>Not</w:t>
      </w:r>
      <w:r w:rsidRPr="004B62EB">
        <w:rPr>
          <w:rFonts w:ascii="Times New Roman" w:eastAsia="Times New Roman" w:hAnsi="Times New Roman" w:cs="Times New Roman"/>
          <w:spacing w:val="-3"/>
          <w:sz w:val="24"/>
          <w:szCs w:val="24"/>
        </w:rPr>
        <w:t xml:space="preserve"> </w:t>
      </w:r>
      <w:r w:rsidRPr="004B62EB">
        <w:rPr>
          <w:rFonts w:ascii="Times New Roman" w:eastAsia="Times New Roman" w:hAnsi="Times New Roman" w:cs="Times New Roman"/>
          <w:sz w:val="24"/>
          <w:szCs w:val="24"/>
        </w:rPr>
        <w:t>applicable.</w:t>
      </w:r>
      <w:r w:rsidRPr="004B62EB">
        <w:rPr>
          <w:rFonts w:ascii="Times New Roman" w:eastAsia="Times New Roman" w:hAnsi="Times New Roman" w:cs="Times New Roman"/>
          <w:spacing w:val="46"/>
          <w:sz w:val="24"/>
          <w:szCs w:val="24"/>
        </w:rPr>
        <w:t xml:space="preserve"> </w:t>
      </w:r>
      <w:r w:rsidRPr="004B62EB">
        <w:rPr>
          <w:rFonts w:ascii="Times New Roman" w:eastAsia="Times New Roman" w:hAnsi="Times New Roman" w:cs="Times New Roman"/>
          <w:sz w:val="24"/>
          <w:szCs w:val="24"/>
        </w:rPr>
        <w:t>The</w:t>
      </w:r>
      <w:r w:rsidRPr="004B62EB">
        <w:rPr>
          <w:rFonts w:ascii="Times New Roman" w:eastAsia="Times New Roman" w:hAnsi="Times New Roman" w:cs="Times New Roman"/>
          <w:spacing w:val="-3"/>
          <w:sz w:val="24"/>
          <w:szCs w:val="24"/>
        </w:rPr>
        <w:t xml:space="preserve"> </w:t>
      </w:r>
      <w:r w:rsidRPr="004B62EB">
        <w:rPr>
          <w:rFonts w:ascii="Times New Roman" w:eastAsia="Times New Roman" w:hAnsi="Times New Roman" w:cs="Times New Roman"/>
          <w:sz w:val="24"/>
          <w:szCs w:val="24"/>
        </w:rPr>
        <w:t>infor</w:t>
      </w:r>
      <w:r w:rsidRPr="004B62EB">
        <w:rPr>
          <w:rFonts w:ascii="Times New Roman" w:eastAsia="Times New Roman" w:hAnsi="Times New Roman" w:cs="Times New Roman"/>
          <w:spacing w:val="-2"/>
          <w:sz w:val="24"/>
          <w:szCs w:val="24"/>
        </w:rPr>
        <w:t>m</w:t>
      </w:r>
      <w:r w:rsidRPr="004B62EB">
        <w:rPr>
          <w:rFonts w:ascii="Times New Roman" w:eastAsia="Times New Roman" w:hAnsi="Times New Roman" w:cs="Times New Roman"/>
          <w:sz w:val="24"/>
          <w:szCs w:val="24"/>
        </w:rPr>
        <w:t>ation</w:t>
      </w:r>
      <w:r w:rsidRPr="004B62EB">
        <w:rPr>
          <w:rFonts w:ascii="Times New Roman" w:eastAsia="Times New Roman" w:hAnsi="Times New Roman" w:cs="Times New Roman"/>
          <w:spacing w:val="-10"/>
          <w:sz w:val="24"/>
          <w:szCs w:val="24"/>
        </w:rPr>
        <w:t xml:space="preserve"> </w:t>
      </w:r>
      <w:r w:rsidRPr="004B62EB">
        <w:rPr>
          <w:rFonts w:ascii="Times New Roman" w:eastAsia="Times New Roman" w:hAnsi="Times New Roman" w:cs="Times New Roman"/>
          <w:sz w:val="24"/>
          <w:szCs w:val="24"/>
        </w:rPr>
        <w:t>collection</w:t>
      </w:r>
      <w:r w:rsidRPr="004B62EB">
        <w:rPr>
          <w:rFonts w:ascii="Times New Roman" w:eastAsia="Times New Roman" w:hAnsi="Times New Roman" w:cs="Times New Roman"/>
          <w:spacing w:val="-9"/>
          <w:sz w:val="24"/>
          <w:szCs w:val="24"/>
        </w:rPr>
        <w:t xml:space="preserve"> </w:t>
      </w:r>
      <w:r w:rsidRPr="004B62EB">
        <w:rPr>
          <w:rFonts w:ascii="Times New Roman" w:eastAsia="Times New Roman" w:hAnsi="Times New Roman" w:cs="Times New Roman"/>
          <w:sz w:val="24"/>
          <w:szCs w:val="24"/>
        </w:rPr>
        <w:t>does</w:t>
      </w:r>
      <w:r w:rsidRPr="004B62EB">
        <w:rPr>
          <w:rFonts w:ascii="Times New Roman" w:eastAsia="Times New Roman" w:hAnsi="Times New Roman" w:cs="Times New Roman"/>
          <w:spacing w:val="-4"/>
          <w:sz w:val="24"/>
          <w:szCs w:val="24"/>
        </w:rPr>
        <w:t xml:space="preserve"> </w:t>
      </w:r>
      <w:r w:rsidRPr="004B62EB">
        <w:rPr>
          <w:rFonts w:ascii="Times New Roman" w:eastAsia="Times New Roman" w:hAnsi="Times New Roman" w:cs="Times New Roman"/>
          <w:sz w:val="24"/>
          <w:szCs w:val="24"/>
        </w:rPr>
        <w:t>not</w:t>
      </w:r>
      <w:r w:rsidRPr="004B62EB">
        <w:rPr>
          <w:rFonts w:ascii="Times New Roman" w:eastAsia="Times New Roman" w:hAnsi="Times New Roman" w:cs="Times New Roman"/>
          <w:spacing w:val="-3"/>
          <w:sz w:val="24"/>
          <w:szCs w:val="24"/>
        </w:rPr>
        <w:t xml:space="preserve"> </w:t>
      </w:r>
      <w:r w:rsidRPr="004B62EB">
        <w:rPr>
          <w:rFonts w:ascii="Times New Roman" w:eastAsia="Times New Roman" w:hAnsi="Times New Roman" w:cs="Times New Roman"/>
          <w:sz w:val="24"/>
          <w:szCs w:val="24"/>
        </w:rPr>
        <w:t>e</w:t>
      </w:r>
      <w:r w:rsidRPr="004B62EB">
        <w:rPr>
          <w:rFonts w:ascii="Times New Roman" w:eastAsia="Times New Roman" w:hAnsi="Times New Roman" w:cs="Times New Roman"/>
          <w:spacing w:val="-2"/>
          <w:sz w:val="24"/>
          <w:szCs w:val="24"/>
        </w:rPr>
        <w:t>m</w:t>
      </w:r>
      <w:r w:rsidRPr="004B62EB">
        <w:rPr>
          <w:rFonts w:ascii="Times New Roman" w:eastAsia="Times New Roman" w:hAnsi="Times New Roman" w:cs="Times New Roman"/>
          <w:sz w:val="24"/>
          <w:szCs w:val="24"/>
        </w:rPr>
        <w:t>ploy</w:t>
      </w:r>
      <w:r w:rsidRPr="004B62EB">
        <w:rPr>
          <w:rFonts w:ascii="Times New Roman" w:eastAsia="Times New Roman" w:hAnsi="Times New Roman" w:cs="Times New Roman"/>
          <w:spacing w:val="-5"/>
          <w:sz w:val="24"/>
          <w:szCs w:val="24"/>
        </w:rPr>
        <w:t xml:space="preserve"> </w:t>
      </w:r>
      <w:r w:rsidRPr="004B62EB">
        <w:rPr>
          <w:rFonts w:ascii="Times New Roman" w:eastAsia="Times New Roman" w:hAnsi="Times New Roman" w:cs="Times New Roman"/>
          <w:sz w:val="24"/>
          <w:szCs w:val="24"/>
        </w:rPr>
        <w:t>statistical</w:t>
      </w:r>
      <w:r w:rsidRPr="004B62EB">
        <w:rPr>
          <w:rFonts w:ascii="Times New Roman" w:eastAsia="Times New Roman" w:hAnsi="Times New Roman" w:cs="Times New Roman"/>
          <w:spacing w:val="-8"/>
          <w:sz w:val="24"/>
          <w:szCs w:val="24"/>
        </w:rPr>
        <w:t xml:space="preserve"> </w:t>
      </w:r>
      <w:r w:rsidRPr="004B62EB">
        <w:rPr>
          <w:rFonts w:ascii="Times New Roman" w:eastAsia="Times New Roman" w:hAnsi="Times New Roman" w:cs="Times New Roman"/>
          <w:spacing w:val="-2"/>
          <w:sz w:val="24"/>
          <w:szCs w:val="24"/>
        </w:rPr>
        <w:t>m</w:t>
      </w:r>
      <w:r w:rsidRPr="004B62EB">
        <w:rPr>
          <w:rFonts w:ascii="Times New Roman" w:eastAsia="Times New Roman" w:hAnsi="Times New Roman" w:cs="Times New Roman"/>
          <w:sz w:val="24"/>
          <w:szCs w:val="24"/>
        </w:rPr>
        <w:t>ethods.</w:t>
      </w:r>
    </w:p>
    <w:sectPr>
      <w:footerReference w:type="default" r:id="rId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sdt>
    <w:sdtPr>
      <w:id w:val="-1346250723"/>
      <w:docPartObj>
        <w:docPartGallery w:val="Page Numbers (Bottom of Page)"/>
        <w:docPartUnique/>
      </w:docPartObj>
    </w:sdtPr>
    <w:sdtContent>
      <w:sdt>
        <w:sdtPr>
          <w:id w:val="-1769616900"/>
          <w:docPartObj>
            <w:docPartGallery w:val="Page Numbers (Top of Page)"/>
            <w:docPartUnique/>
          </w:docPartObj>
        </w:sdtPr>
        <w:sdtContent>
          <w:p w:rsidR="000B15C9" w14:paraId="5DD6FB73" w14:textId="0E908090">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10</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10</w:t>
            </w:r>
            <w:r>
              <w:rPr>
                <w:b/>
                <w:bCs/>
                <w:sz w:val="24"/>
                <w:szCs w:val="24"/>
              </w:rPr>
              <w:fldChar w:fldCharType="end"/>
            </w:r>
          </w:p>
        </w:sdtContent>
      </w:sdt>
    </w:sdtContent>
  </w:sdt>
  <w:p w:rsidR="000B15C9" w14:paraId="1B79404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37AFF" w:rsidP="00806C15" w14:paraId="56440D4B" w14:textId="77777777">
      <w:pPr>
        <w:spacing w:after="0" w:line="240" w:lineRule="auto"/>
      </w:pPr>
      <w:r>
        <w:separator/>
      </w:r>
    </w:p>
  </w:footnote>
  <w:footnote w:type="continuationSeparator" w:id="1">
    <w:p w:rsidR="00F37AFF" w:rsidP="00806C15" w14:paraId="36973BBF" w14:textId="77777777">
      <w:pPr>
        <w:spacing w:after="0" w:line="240" w:lineRule="auto"/>
      </w:pPr>
      <w:r>
        <w:continuationSeparator/>
      </w:r>
    </w:p>
  </w:footnote>
  <w:footnote w:type="continuationNotice" w:id="2">
    <w:p w:rsidR="00F37AFF" w14:paraId="26AB6A4D" w14:textId="77777777">
      <w:pPr>
        <w:spacing w:after="0" w:line="240" w:lineRule="auto"/>
      </w:pPr>
    </w:p>
  </w:footnote>
  <w:footnote w:id="3">
    <w:p w:rsidR="00871FEE" w14:paraId="0B28A768" w14:textId="77777777"/>
  </w:footnote>
  <w:footnote w:id="4">
    <w:p w:rsidR="00871FEE" w14:paraId="31AAEAD1"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FFFFFF82"/>
    <w:multiLevelType w:val="singleLevel"/>
    <w:tmpl w:val="E4E6F7CE"/>
    <w:lvl w:ilvl="0">
      <w:start w:val="1"/>
      <w:numFmt w:val="bullet"/>
      <w:lvlText w:val=""/>
      <w:lvlJc w:val="left"/>
      <w:pPr>
        <w:tabs>
          <w:tab w:val="num" w:pos="1080"/>
        </w:tabs>
        <w:ind w:left="1080" w:hanging="360"/>
      </w:pPr>
      <w:rPr>
        <w:rFonts w:ascii="Symbol" w:hAnsi="Symbol" w:hint="default"/>
      </w:rPr>
    </w:lvl>
  </w:abstractNum>
  <w:abstractNum w:abstractNumId="1">
    <w:nsid w:val="FFFFFF83"/>
    <w:multiLevelType w:val="singleLevel"/>
    <w:tmpl w:val="0E6828EC"/>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6784C508"/>
    <w:lvl w:ilvl="0">
      <w:start w:val="1"/>
      <w:numFmt w:val="bullet"/>
      <w:lvlText w:val=""/>
      <w:lvlJc w:val="left"/>
      <w:pPr>
        <w:tabs>
          <w:tab w:val="num" w:pos="360"/>
        </w:tabs>
        <w:ind w:left="360" w:hanging="360"/>
      </w:pPr>
      <w:rPr>
        <w:rFonts w:ascii="Symbol" w:hAnsi="Symbol" w:hint="default"/>
      </w:rPr>
    </w:lvl>
  </w:abstractNum>
  <w:abstractNum w:abstractNumId="3">
    <w:nsid w:val="1C872055"/>
    <w:multiLevelType w:val="hybridMultilevel"/>
    <w:tmpl w:val="47946EE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4">
    <w:nsid w:val="22FA1B95"/>
    <w:multiLevelType w:val="hybridMultilevel"/>
    <w:tmpl w:val="BF8004A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5">
    <w:nsid w:val="28E175C8"/>
    <w:multiLevelType w:val="hybridMultilevel"/>
    <w:tmpl w:val="B94AB99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4FA0799"/>
    <w:multiLevelType w:val="hybridMultilevel"/>
    <w:tmpl w:val="BC4066E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3A046593"/>
    <w:multiLevelType w:val="hybridMultilevel"/>
    <w:tmpl w:val="B6209614"/>
    <w:lvl w:ilvl="0">
      <w:start w:val="1"/>
      <w:numFmt w:val="bullet"/>
      <w:lvlText w:val=""/>
      <w:lvlJc w:val="left"/>
      <w:pPr>
        <w:ind w:left="864" w:hanging="360"/>
      </w:pPr>
      <w:rPr>
        <w:rFonts w:ascii="Symbol" w:hAnsi="Symbol" w:hint="default"/>
      </w:rPr>
    </w:lvl>
    <w:lvl w:ilvl="1" w:tentative="1">
      <w:start w:val="1"/>
      <w:numFmt w:val="bullet"/>
      <w:lvlText w:val="o"/>
      <w:lvlJc w:val="left"/>
      <w:pPr>
        <w:ind w:left="1584" w:hanging="360"/>
      </w:pPr>
      <w:rPr>
        <w:rFonts w:ascii="Courier New" w:hAnsi="Courier New" w:cs="Courier New" w:hint="default"/>
      </w:rPr>
    </w:lvl>
    <w:lvl w:ilvl="2" w:tentative="1">
      <w:start w:val="1"/>
      <w:numFmt w:val="bullet"/>
      <w:lvlText w:val=""/>
      <w:lvlJc w:val="left"/>
      <w:pPr>
        <w:ind w:left="2304" w:hanging="360"/>
      </w:pPr>
      <w:rPr>
        <w:rFonts w:ascii="Wingdings" w:hAnsi="Wingdings" w:hint="default"/>
      </w:rPr>
    </w:lvl>
    <w:lvl w:ilvl="3" w:tentative="1">
      <w:start w:val="1"/>
      <w:numFmt w:val="bullet"/>
      <w:lvlText w:val=""/>
      <w:lvlJc w:val="left"/>
      <w:pPr>
        <w:ind w:left="3024" w:hanging="360"/>
      </w:pPr>
      <w:rPr>
        <w:rFonts w:ascii="Symbol" w:hAnsi="Symbol" w:hint="default"/>
      </w:rPr>
    </w:lvl>
    <w:lvl w:ilvl="4" w:tentative="1">
      <w:start w:val="1"/>
      <w:numFmt w:val="bullet"/>
      <w:lvlText w:val="o"/>
      <w:lvlJc w:val="left"/>
      <w:pPr>
        <w:ind w:left="3744" w:hanging="360"/>
      </w:pPr>
      <w:rPr>
        <w:rFonts w:ascii="Courier New" w:hAnsi="Courier New" w:cs="Courier New" w:hint="default"/>
      </w:rPr>
    </w:lvl>
    <w:lvl w:ilvl="5" w:tentative="1">
      <w:start w:val="1"/>
      <w:numFmt w:val="bullet"/>
      <w:lvlText w:val=""/>
      <w:lvlJc w:val="left"/>
      <w:pPr>
        <w:ind w:left="4464" w:hanging="360"/>
      </w:pPr>
      <w:rPr>
        <w:rFonts w:ascii="Wingdings" w:hAnsi="Wingdings" w:hint="default"/>
      </w:rPr>
    </w:lvl>
    <w:lvl w:ilvl="6" w:tentative="1">
      <w:start w:val="1"/>
      <w:numFmt w:val="bullet"/>
      <w:lvlText w:val=""/>
      <w:lvlJc w:val="left"/>
      <w:pPr>
        <w:ind w:left="5184" w:hanging="360"/>
      </w:pPr>
      <w:rPr>
        <w:rFonts w:ascii="Symbol" w:hAnsi="Symbol" w:hint="default"/>
      </w:rPr>
    </w:lvl>
    <w:lvl w:ilvl="7" w:tentative="1">
      <w:start w:val="1"/>
      <w:numFmt w:val="bullet"/>
      <w:lvlText w:val="o"/>
      <w:lvlJc w:val="left"/>
      <w:pPr>
        <w:ind w:left="5904" w:hanging="360"/>
      </w:pPr>
      <w:rPr>
        <w:rFonts w:ascii="Courier New" w:hAnsi="Courier New" w:cs="Courier New" w:hint="default"/>
      </w:rPr>
    </w:lvl>
    <w:lvl w:ilvl="8" w:tentative="1">
      <w:start w:val="1"/>
      <w:numFmt w:val="bullet"/>
      <w:lvlText w:val=""/>
      <w:lvlJc w:val="left"/>
      <w:pPr>
        <w:ind w:left="6624" w:hanging="360"/>
      </w:pPr>
      <w:rPr>
        <w:rFonts w:ascii="Wingdings" w:hAnsi="Wingdings" w:hint="default"/>
      </w:rPr>
    </w:lvl>
  </w:abstractNum>
  <w:abstractNum w:abstractNumId="8">
    <w:nsid w:val="476705FB"/>
    <w:multiLevelType w:val="hybridMultilevel"/>
    <w:tmpl w:val="CFF8DD52"/>
    <w:lvl w:ilvl="0">
      <w:start w:val="1"/>
      <w:numFmt w:val="bullet"/>
      <w:lvlText w:val=""/>
      <w:lvlJc w:val="left"/>
      <w:pPr>
        <w:ind w:left="1800" w:hanging="360"/>
      </w:pPr>
      <w:rPr>
        <w:rFonts w:ascii="Symbol" w:hAnsi="Symbol" w:hint="default"/>
      </w:rPr>
    </w:lvl>
    <w:lvl w:ilvl="1">
      <w:start w:val="0"/>
      <w:numFmt w:val="bullet"/>
      <w:lvlText w:val="•"/>
      <w:lvlJc w:val="left"/>
      <w:pPr>
        <w:ind w:left="2985" w:hanging="825"/>
      </w:pPr>
      <w:rPr>
        <w:rFonts w:ascii="Arial" w:hAnsi="Arial" w:eastAsiaTheme="minorHAnsi" w:cs="Arial"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9">
    <w:nsid w:val="630F7B26"/>
    <w:multiLevelType w:val="hybridMultilevel"/>
    <w:tmpl w:val="D3389B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788D1D5B"/>
    <w:multiLevelType w:val="hybridMultilevel"/>
    <w:tmpl w:val="AD0ADD3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1">
    <w:nsid w:val="7ACD5C68"/>
    <w:multiLevelType w:val="hybridMultilevel"/>
    <w:tmpl w:val="903E3E6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11"/>
  </w:num>
  <w:num w:numId="6">
    <w:abstractNumId w:val="7"/>
  </w:num>
  <w:num w:numId="7">
    <w:abstractNumId w:val="4"/>
  </w:num>
  <w:num w:numId="8">
    <w:abstractNumId w:val="10"/>
  </w:num>
  <w:num w:numId="9">
    <w:abstractNumId w:val="3"/>
  </w:num>
  <w:num w:numId="10">
    <w:abstractNumId w:val="6"/>
  </w:num>
  <w:num w:numId="11">
    <w:abstractNumId w:val="9"/>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view w:val="normal"/>
  <w:zoom w:percent="180"/>
  <w:proofState w:spelling="clean" w:grammar="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stylePaneSortMethod w:val="name"/>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04B2"/>
    <w:rsid w:val="00000E2B"/>
    <w:rsid w:val="00002771"/>
    <w:rsid w:val="00003A70"/>
    <w:rsid w:val="00003BF3"/>
    <w:rsid w:val="0000534F"/>
    <w:rsid w:val="00006C92"/>
    <w:rsid w:val="00006F14"/>
    <w:rsid w:val="00006FAD"/>
    <w:rsid w:val="000101B2"/>
    <w:rsid w:val="00010B03"/>
    <w:rsid w:val="00011D2A"/>
    <w:rsid w:val="000126DF"/>
    <w:rsid w:val="0001300F"/>
    <w:rsid w:val="000146E0"/>
    <w:rsid w:val="0001528B"/>
    <w:rsid w:val="0001689D"/>
    <w:rsid w:val="00016C38"/>
    <w:rsid w:val="00016F9F"/>
    <w:rsid w:val="00017039"/>
    <w:rsid w:val="0001764A"/>
    <w:rsid w:val="00020DDE"/>
    <w:rsid w:val="00021E35"/>
    <w:rsid w:val="000234C3"/>
    <w:rsid w:val="000241D9"/>
    <w:rsid w:val="00026B51"/>
    <w:rsid w:val="00033E9A"/>
    <w:rsid w:val="00037BB3"/>
    <w:rsid w:val="000407E3"/>
    <w:rsid w:val="00041D90"/>
    <w:rsid w:val="000452B6"/>
    <w:rsid w:val="00051D57"/>
    <w:rsid w:val="000535F3"/>
    <w:rsid w:val="000552E4"/>
    <w:rsid w:val="00057148"/>
    <w:rsid w:val="000607BC"/>
    <w:rsid w:val="0006080D"/>
    <w:rsid w:val="0006088F"/>
    <w:rsid w:val="00060CEB"/>
    <w:rsid w:val="000625ED"/>
    <w:rsid w:val="00062779"/>
    <w:rsid w:val="00062B3C"/>
    <w:rsid w:val="00063A93"/>
    <w:rsid w:val="00063AC8"/>
    <w:rsid w:val="00064E98"/>
    <w:rsid w:val="000710E4"/>
    <w:rsid w:val="00071CAA"/>
    <w:rsid w:val="00073E99"/>
    <w:rsid w:val="00075DFF"/>
    <w:rsid w:val="00081D4B"/>
    <w:rsid w:val="00081EB3"/>
    <w:rsid w:val="00082B7C"/>
    <w:rsid w:val="000857F5"/>
    <w:rsid w:val="00085EE0"/>
    <w:rsid w:val="000908A1"/>
    <w:rsid w:val="00092620"/>
    <w:rsid w:val="00092ACC"/>
    <w:rsid w:val="00094825"/>
    <w:rsid w:val="00097436"/>
    <w:rsid w:val="000A5845"/>
    <w:rsid w:val="000B15C9"/>
    <w:rsid w:val="000B189F"/>
    <w:rsid w:val="000B1930"/>
    <w:rsid w:val="000B1963"/>
    <w:rsid w:val="000B425D"/>
    <w:rsid w:val="000B6553"/>
    <w:rsid w:val="000C0A4B"/>
    <w:rsid w:val="000C50E6"/>
    <w:rsid w:val="000C7707"/>
    <w:rsid w:val="000C7AA7"/>
    <w:rsid w:val="000D1CCE"/>
    <w:rsid w:val="000D25DD"/>
    <w:rsid w:val="000D2692"/>
    <w:rsid w:val="000D38D1"/>
    <w:rsid w:val="000D57CD"/>
    <w:rsid w:val="000D5CCC"/>
    <w:rsid w:val="000D707A"/>
    <w:rsid w:val="000E5311"/>
    <w:rsid w:val="000E75DD"/>
    <w:rsid w:val="000F17FC"/>
    <w:rsid w:val="000F2579"/>
    <w:rsid w:val="000F2ABD"/>
    <w:rsid w:val="000F36A2"/>
    <w:rsid w:val="00100552"/>
    <w:rsid w:val="00100FC3"/>
    <w:rsid w:val="00101D4F"/>
    <w:rsid w:val="0010526A"/>
    <w:rsid w:val="00106354"/>
    <w:rsid w:val="00106E52"/>
    <w:rsid w:val="00111D8F"/>
    <w:rsid w:val="00115546"/>
    <w:rsid w:val="00115E26"/>
    <w:rsid w:val="00117117"/>
    <w:rsid w:val="00120988"/>
    <w:rsid w:val="00122343"/>
    <w:rsid w:val="00124CF7"/>
    <w:rsid w:val="00126DDD"/>
    <w:rsid w:val="001303B2"/>
    <w:rsid w:val="00130E93"/>
    <w:rsid w:val="00131016"/>
    <w:rsid w:val="001314AA"/>
    <w:rsid w:val="00131507"/>
    <w:rsid w:val="0013527D"/>
    <w:rsid w:val="0013615C"/>
    <w:rsid w:val="00136EE1"/>
    <w:rsid w:val="001444F5"/>
    <w:rsid w:val="00145F7F"/>
    <w:rsid w:val="001505E3"/>
    <w:rsid w:val="00151B49"/>
    <w:rsid w:val="00161B5B"/>
    <w:rsid w:val="00161D26"/>
    <w:rsid w:val="00163E3B"/>
    <w:rsid w:val="001647CA"/>
    <w:rsid w:val="00164FE9"/>
    <w:rsid w:val="00167C3E"/>
    <w:rsid w:val="00170FAB"/>
    <w:rsid w:val="00171D48"/>
    <w:rsid w:val="00172BBA"/>
    <w:rsid w:val="00175727"/>
    <w:rsid w:val="001764FA"/>
    <w:rsid w:val="0017697D"/>
    <w:rsid w:val="0018092D"/>
    <w:rsid w:val="00182A7F"/>
    <w:rsid w:val="00184092"/>
    <w:rsid w:val="001851F3"/>
    <w:rsid w:val="00185818"/>
    <w:rsid w:val="0018705B"/>
    <w:rsid w:val="00190061"/>
    <w:rsid w:val="00190836"/>
    <w:rsid w:val="001911E1"/>
    <w:rsid w:val="00191298"/>
    <w:rsid w:val="00192529"/>
    <w:rsid w:val="00195F7F"/>
    <w:rsid w:val="0019776C"/>
    <w:rsid w:val="00197A6F"/>
    <w:rsid w:val="001A169E"/>
    <w:rsid w:val="001A35E9"/>
    <w:rsid w:val="001A3A63"/>
    <w:rsid w:val="001A5654"/>
    <w:rsid w:val="001B2BB0"/>
    <w:rsid w:val="001B36C6"/>
    <w:rsid w:val="001B3880"/>
    <w:rsid w:val="001B6BF5"/>
    <w:rsid w:val="001C3EFD"/>
    <w:rsid w:val="001C53D8"/>
    <w:rsid w:val="001C5B8F"/>
    <w:rsid w:val="001C6D86"/>
    <w:rsid w:val="001C7D88"/>
    <w:rsid w:val="001D246F"/>
    <w:rsid w:val="001D2B92"/>
    <w:rsid w:val="001E04C6"/>
    <w:rsid w:val="001E58B0"/>
    <w:rsid w:val="001E5ADA"/>
    <w:rsid w:val="001E6F8F"/>
    <w:rsid w:val="001E7D1F"/>
    <w:rsid w:val="001F1DBE"/>
    <w:rsid w:val="001F25BA"/>
    <w:rsid w:val="001F2BF4"/>
    <w:rsid w:val="001F3B36"/>
    <w:rsid w:val="001F70E8"/>
    <w:rsid w:val="002044A5"/>
    <w:rsid w:val="00205098"/>
    <w:rsid w:val="002056CB"/>
    <w:rsid w:val="00210B42"/>
    <w:rsid w:val="00210F6C"/>
    <w:rsid w:val="00212AE8"/>
    <w:rsid w:val="00212F53"/>
    <w:rsid w:val="00213082"/>
    <w:rsid w:val="00213A9B"/>
    <w:rsid w:val="00214A79"/>
    <w:rsid w:val="00215838"/>
    <w:rsid w:val="00215CE4"/>
    <w:rsid w:val="0021644A"/>
    <w:rsid w:val="002174BE"/>
    <w:rsid w:val="00222AE5"/>
    <w:rsid w:val="00223610"/>
    <w:rsid w:val="002248CF"/>
    <w:rsid w:val="00225A8B"/>
    <w:rsid w:val="00226DB2"/>
    <w:rsid w:val="00226EA4"/>
    <w:rsid w:val="002316E5"/>
    <w:rsid w:val="00231E55"/>
    <w:rsid w:val="002323CC"/>
    <w:rsid w:val="00233401"/>
    <w:rsid w:val="00234DAB"/>
    <w:rsid w:val="002352CC"/>
    <w:rsid w:val="00235427"/>
    <w:rsid w:val="00235702"/>
    <w:rsid w:val="00243256"/>
    <w:rsid w:val="00244102"/>
    <w:rsid w:val="0024504D"/>
    <w:rsid w:val="002463C5"/>
    <w:rsid w:val="00247F1F"/>
    <w:rsid w:val="0025121F"/>
    <w:rsid w:val="00251F9B"/>
    <w:rsid w:val="00252BBA"/>
    <w:rsid w:val="0025314E"/>
    <w:rsid w:val="002542E4"/>
    <w:rsid w:val="00254605"/>
    <w:rsid w:val="002557D3"/>
    <w:rsid w:val="00260235"/>
    <w:rsid w:val="002621ED"/>
    <w:rsid w:val="00262883"/>
    <w:rsid w:val="00263901"/>
    <w:rsid w:val="00263DEE"/>
    <w:rsid w:val="002640F3"/>
    <w:rsid w:val="0026510B"/>
    <w:rsid w:val="002653AD"/>
    <w:rsid w:val="0026542E"/>
    <w:rsid w:val="0026571F"/>
    <w:rsid w:val="002659B2"/>
    <w:rsid w:val="0026622D"/>
    <w:rsid w:val="002672E5"/>
    <w:rsid w:val="00271E65"/>
    <w:rsid w:val="00273DF3"/>
    <w:rsid w:val="00275121"/>
    <w:rsid w:val="002805AF"/>
    <w:rsid w:val="00281EBA"/>
    <w:rsid w:val="00282964"/>
    <w:rsid w:val="00282B39"/>
    <w:rsid w:val="00291F4F"/>
    <w:rsid w:val="002934B4"/>
    <w:rsid w:val="00295A75"/>
    <w:rsid w:val="002A065C"/>
    <w:rsid w:val="002A0DCE"/>
    <w:rsid w:val="002A120B"/>
    <w:rsid w:val="002A209C"/>
    <w:rsid w:val="002A2572"/>
    <w:rsid w:val="002A616E"/>
    <w:rsid w:val="002B04E5"/>
    <w:rsid w:val="002B0671"/>
    <w:rsid w:val="002B1294"/>
    <w:rsid w:val="002B2689"/>
    <w:rsid w:val="002B3B50"/>
    <w:rsid w:val="002B6053"/>
    <w:rsid w:val="002B63BA"/>
    <w:rsid w:val="002B760D"/>
    <w:rsid w:val="002C46CB"/>
    <w:rsid w:val="002C4F4F"/>
    <w:rsid w:val="002C616D"/>
    <w:rsid w:val="002D0ACE"/>
    <w:rsid w:val="002D2CBC"/>
    <w:rsid w:val="002D3A50"/>
    <w:rsid w:val="002D3BF5"/>
    <w:rsid w:val="002D4549"/>
    <w:rsid w:val="002D508C"/>
    <w:rsid w:val="002D5BD3"/>
    <w:rsid w:val="002D5F2F"/>
    <w:rsid w:val="002E3E9C"/>
    <w:rsid w:val="002E7442"/>
    <w:rsid w:val="002F0B87"/>
    <w:rsid w:val="002F0C8D"/>
    <w:rsid w:val="002F0FD1"/>
    <w:rsid w:val="002F2015"/>
    <w:rsid w:val="002F3CE7"/>
    <w:rsid w:val="002F45E9"/>
    <w:rsid w:val="003015A4"/>
    <w:rsid w:val="00303176"/>
    <w:rsid w:val="003032E7"/>
    <w:rsid w:val="00304785"/>
    <w:rsid w:val="00305153"/>
    <w:rsid w:val="0030582B"/>
    <w:rsid w:val="003121B4"/>
    <w:rsid w:val="003129D3"/>
    <w:rsid w:val="00315E48"/>
    <w:rsid w:val="00316DC4"/>
    <w:rsid w:val="00320152"/>
    <w:rsid w:val="0032108B"/>
    <w:rsid w:val="00321307"/>
    <w:rsid w:val="003221BD"/>
    <w:rsid w:val="00323677"/>
    <w:rsid w:val="00326784"/>
    <w:rsid w:val="00326F25"/>
    <w:rsid w:val="003274D1"/>
    <w:rsid w:val="00330CBF"/>
    <w:rsid w:val="00332701"/>
    <w:rsid w:val="00333D48"/>
    <w:rsid w:val="00334124"/>
    <w:rsid w:val="003343B1"/>
    <w:rsid w:val="003347F5"/>
    <w:rsid w:val="00334E08"/>
    <w:rsid w:val="003415EB"/>
    <w:rsid w:val="00343250"/>
    <w:rsid w:val="00344ADF"/>
    <w:rsid w:val="00345D5C"/>
    <w:rsid w:val="00347347"/>
    <w:rsid w:val="00347DB2"/>
    <w:rsid w:val="00350A59"/>
    <w:rsid w:val="00350FBB"/>
    <w:rsid w:val="00351005"/>
    <w:rsid w:val="00351C76"/>
    <w:rsid w:val="003523F1"/>
    <w:rsid w:val="00354366"/>
    <w:rsid w:val="00354DDB"/>
    <w:rsid w:val="00357CC0"/>
    <w:rsid w:val="00360E0C"/>
    <w:rsid w:val="00365876"/>
    <w:rsid w:val="00365A40"/>
    <w:rsid w:val="00366B1E"/>
    <w:rsid w:val="0037187F"/>
    <w:rsid w:val="0037591C"/>
    <w:rsid w:val="0037664A"/>
    <w:rsid w:val="0038007C"/>
    <w:rsid w:val="00381B2B"/>
    <w:rsid w:val="00381DC8"/>
    <w:rsid w:val="00382DEE"/>
    <w:rsid w:val="003843DB"/>
    <w:rsid w:val="00384E77"/>
    <w:rsid w:val="00387EC3"/>
    <w:rsid w:val="00392EF8"/>
    <w:rsid w:val="00394704"/>
    <w:rsid w:val="00394EEE"/>
    <w:rsid w:val="003969D7"/>
    <w:rsid w:val="003971F0"/>
    <w:rsid w:val="003A00BC"/>
    <w:rsid w:val="003A37AE"/>
    <w:rsid w:val="003A42B0"/>
    <w:rsid w:val="003A4728"/>
    <w:rsid w:val="003A506B"/>
    <w:rsid w:val="003A5225"/>
    <w:rsid w:val="003A7682"/>
    <w:rsid w:val="003B0CB6"/>
    <w:rsid w:val="003B14C0"/>
    <w:rsid w:val="003B1B60"/>
    <w:rsid w:val="003B1F72"/>
    <w:rsid w:val="003B4606"/>
    <w:rsid w:val="003B51B5"/>
    <w:rsid w:val="003B530C"/>
    <w:rsid w:val="003B578C"/>
    <w:rsid w:val="003B75A7"/>
    <w:rsid w:val="003C1E2F"/>
    <w:rsid w:val="003C28F1"/>
    <w:rsid w:val="003C4C4A"/>
    <w:rsid w:val="003C5055"/>
    <w:rsid w:val="003C75B9"/>
    <w:rsid w:val="003D51E5"/>
    <w:rsid w:val="003D5FAC"/>
    <w:rsid w:val="003D7439"/>
    <w:rsid w:val="003D756F"/>
    <w:rsid w:val="003E3485"/>
    <w:rsid w:val="003E3D03"/>
    <w:rsid w:val="003E3D6D"/>
    <w:rsid w:val="003F1A4C"/>
    <w:rsid w:val="00401A02"/>
    <w:rsid w:val="00401B21"/>
    <w:rsid w:val="004033D2"/>
    <w:rsid w:val="004070A5"/>
    <w:rsid w:val="00407536"/>
    <w:rsid w:val="00407BA7"/>
    <w:rsid w:val="00416761"/>
    <w:rsid w:val="0041761A"/>
    <w:rsid w:val="004178BB"/>
    <w:rsid w:val="00423106"/>
    <w:rsid w:val="00423F24"/>
    <w:rsid w:val="00425BA5"/>
    <w:rsid w:val="00425BCD"/>
    <w:rsid w:val="00426710"/>
    <w:rsid w:val="00426D4B"/>
    <w:rsid w:val="00430DFF"/>
    <w:rsid w:val="00434FD4"/>
    <w:rsid w:val="00444164"/>
    <w:rsid w:val="00445127"/>
    <w:rsid w:val="004458FC"/>
    <w:rsid w:val="00446993"/>
    <w:rsid w:val="00450250"/>
    <w:rsid w:val="00451CAB"/>
    <w:rsid w:val="00452505"/>
    <w:rsid w:val="00452D7C"/>
    <w:rsid w:val="0045584F"/>
    <w:rsid w:val="00455DE9"/>
    <w:rsid w:val="00457BA8"/>
    <w:rsid w:val="00465E0A"/>
    <w:rsid w:val="0047016B"/>
    <w:rsid w:val="00470622"/>
    <w:rsid w:val="0047114F"/>
    <w:rsid w:val="00473B2F"/>
    <w:rsid w:val="00481711"/>
    <w:rsid w:val="00481962"/>
    <w:rsid w:val="004824AC"/>
    <w:rsid w:val="0049186D"/>
    <w:rsid w:val="00491A4F"/>
    <w:rsid w:val="00491AB8"/>
    <w:rsid w:val="00492B76"/>
    <w:rsid w:val="00495493"/>
    <w:rsid w:val="00495722"/>
    <w:rsid w:val="00497610"/>
    <w:rsid w:val="004A3FEA"/>
    <w:rsid w:val="004A4D0F"/>
    <w:rsid w:val="004A60CB"/>
    <w:rsid w:val="004A747F"/>
    <w:rsid w:val="004B62EB"/>
    <w:rsid w:val="004C1EA7"/>
    <w:rsid w:val="004C200C"/>
    <w:rsid w:val="004C223F"/>
    <w:rsid w:val="004C252C"/>
    <w:rsid w:val="004C3F6E"/>
    <w:rsid w:val="004C4557"/>
    <w:rsid w:val="004D0495"/>
    <w:rsid w:val="004D07D4"/>
    <w:rsid w:val="004D547E"/>
    <w:rsid w:val="004D5F44"/>
    <w:rsid w:val="004E01F1"/>
    <w:rsid w:val="004E1066"/>
    <w:rsid w:val="004E2119"/>
    <w:rsid w:val="004E2380"/>
    <w:rsid w:val="004E570A"/>
    <w:rsid w:val="004E5D2E"/>
    <w:rsid w:val="004E6760"/>
    <w:rsid w:val="004F08A9"/>
    <w:rsid w:val="004F429D"/>
    <w:rsid w:val="004F4C25"/>
    <w:rsid w:val="004F6F9D"/>
    <w:rsid w:val="00500EBB"/>
    <w:rsid w:val="00501D31"/>
    <w:rsid w:val="00507649"/>
    <w:rsid w:val="00512FA9"/>
    <w:rsid w:val="005156D4"/>
    <w:rsid w:val="005157E0"/>
    <w:rsid w:val="00517683"/>
    <w:rsid w:val="00520CF4"/>
    <w:rsid w:val="00521439"/>
    <w:rsid w:val="005247AE"/>
    <w:rsid w:val="00527CA4"/>
    <w:rsid w:val="00534E82"/>
    <w:rsid w:val="0053505F"/>
    <w:rsid w:val="00537534"/>
    <w:rsid w:val="0054506B"/>
    <w:rsid w:val="00551D9E"/>
    <w:rsid w:val="005553C1"/>
    <w:rsid w:val="005615C9"/>
    <w:rsid w:val="00563807"/>
    <w:rsid w:val="00564BF4"/>
    <w:rsid w:val="005667A2"/>
    <w:rsid w:val="00566CD3"/>
    <w:rsid w:val="0056712A"/>
    <w:rsid w:val="005673CE"/>
    <w:rsid w:val="00567524"/>
    <w:rsid w:val="00567781"/>
    <w:rsid w:val="00567C6A"/>
    <w:rsid w:val="00570B5E"/>
    <w:rsid w:val="0057373C"/>
    <w:rsid w:val="00573FFF"/>
    <w:rsid w:val="0057682F"/>
    <w:rsid w:val="0057795C"/>
    <w:rsid w:val="00581E91"/>
    <w:rsid w:val="00585C33"/>
    <w:rsid w:val="00586D7E"/>
    <w:rsid w:val="0059043F"/>
    <w:rsid w:val="00592547"/>
    <w:rsid w:val="005953E1"/>
    <w:rsid w:val="005973A5"/>
    <w:rsid w:val="005A06A1"/>
    <w:rsid w:val="005A41B3"/>
    <w:rsid w:val="005A4435"/>
    <w:rsid w:val="005B185E"/>
    <w:rsid w:val="005B3DB7"/>
    <w:rsid w:val="005B47AB"/>
    <w:rsid w:val="005B4F38"/>
    <w:rsid w:val="005C09B2"/>
    <w:rsid w:val="005C2605"/>
    <w:rsid w:val="005C26C4"/>
    <w:rsid w:val="005C27BE"/>
    <w:rsid w:val="005C28F4"/>
    <w:rsid w:val="005C30D3"/>
    <w:rsid w:val="005C3781"/>
    <w:rsid w:val="005C396E"/>
    <w:rsid w:val="005C45E5"/>
    <w:rsid w:val="005C4CEC"/>
    <w:rsid w:val="005C6269"/>
    <w:rsid w:val="005E0CB5"/>
    <w:rsid w:val="005E1104"/>
    <w:rsid w:val="005E326A"/>
    <w:rsid w:val="005E7A8E"/>
    <w:rsid w:val="005F0DCA"/>
    <w:rsid w:val="005F218D"/>
    <w:rsid w:val="005F2839"/>
    <w:rsid w:val="0060245F"/>
    <w:rsid w:val="00602921"/>
    <w:rsid w:val="00604550"/>
    <w:rsid w:val="006048BB"/>
    <w:rsid w:val="006055CF"/>
    <w:rsid w:val="00605D15"/>
    <w:rsid w:val="00607440"/>
    <w:rsid w:val="00607C78"/>
    <w:rsid w:val="00611D12"/>
    <w:rsid w:val="0061557D"/>
    <w:rsid w:val="00617352"/>
    <w:rsid w:val="00617518"/>
    <w:rsid w:val="00617531"/>
    <w:rsid w:val="00617DF0"/>
    <w:rsid w:val="006224E8"/>
    <w:rsid w:val="006238E7"/>
    <w:rsid w:val="00623FFF"/>
    <w:rsid w:val="00632671"/>
    <w:rsid w:val="00634097"/>
    <w:rsid w:val="0063476C"/>
    <w:rsid w:val="00634EE6"/>
    <w:rsid w:val="00637245"/>
    <w:rsid w:val="006404B3"/>
    <w:rsid w:val="00640CA2"/>
    <w:rsid w:val="0064235D"/>
    <w:rsid w:val="00642A1E"/>
    <w:rsid w:val="0064485C"/>
    <w:rsid w:val="00647182"/>
    <w:rsid w:val="006475DA"/>
    <w:rsid w:val="0065117E"/>
    <w:rsid w:val="00654F94"/>
    <w:rsid w:val="00656122"/>
    <w:rsid w:val="00657321"/>
    <w:rsid w:val="00661D86"/>
    <w:rsid w:val="00664D08"/>
    <w:rsid w:val="00665C51"/>
    <w:rsid w:val="00671463"/>
    <w:rsid w:val="006715B0"/>
    <w:rsid w:val="0067266B"/>
    <w:rsid w:val="00673235"/>
    <w:rsid w:val="0067398C"/>
    <w:rsid w:val="00675D19"/>
    <w:rsid w:val="00677F85"/>
    <w:rsid w:val="00680331"/>
    <w:rsid w:val="00683D36"/>
    <w:rsid w:val="0068466E"/>
    <w:rsid w:val="00685A73"/>
    <w:rsid w:val="00691124"/>
    <w:rsid w:val="0069167D"/>
    <w:rsid w:val="00691DE5"/>
    <w:rsid w:val="00692170"/>
    <w:rsid w:val="0069264E"/>
    <w:rsid w:val="006928CA"/>
    <w:rsid w:val="006950AE"/>
    <w:rsid w:val="00695439"/>
    <w:rsid w:val="00696111"/>
    <w:rsid w:val="00697484"/>
    <w:rsid w:val="006A0DEF"/>
    <w:rsid w:val="006A4FFA"/>
    <w:rsid w:val="006A6DF4"/>
    <w:rsid w:val="006A7345"/>
    <w:rsid w:val="006A7D40"/>
    <w:rsid w:val="006B142B"/>
    <w:rsid w:val="006B70F2"/>
    <w:rsid w:val="006B7248"/>
    <w:rsid w:val="006B7732"/>
    <w:rsid w:val="006C4C5A"/>
    <w:rsid w:val="006C50BA"/>
    <w:rsid w:val="006C54E8"/>
    <w:rsid w:val="006C59AA"/>
    <w:rsid w:val="006C5AD8"/>
    <w:rsid w:val="006C7038"/>
    <w:rsid w:val="006C73C3"/>
    <w:rsid w:val="006D1F32"/>
    <w:rsid w:val="006D27A1"/>
    <w:rsid w:val="006D470A"/>
    <w:rsid w:val="006D6E8E"/>
    <w:rsid w:val="006E3185"/>
    <w:rsid w:val="006E55FF"/>
    <w:rsid w:val="006F00C8"/>
    <w:rsid w:val="006F3F06"/>
    <w:rsid w:val="006F546B"/>
    <w:rsid w:val="006F6592"/>
    <w:rsid w:val="006F7D8F"/>
    <w:rsid w:val="006F7FD7"/>
    <w:rsid w:val="00700482"/>
    <w:rsid w:val="00704677"/>
    <w:rsid w:val="007069CD"/>
    <w:rsid w:val="00706A10"/>
    <w:rsid w:val="00706FB7"/>
    <w:rsid w:val="007074EC"/>
    <w:rsid w:val="007101D7"/>
    <w:rsid w:val="00712BAB"/>
    <w:rsid w:val="00712E77"/>
    <w:rsid w:val="00713EDB"/>
    <w:rsid w:val="00715554"/>
    <w:rsid w:val="00720AB4"/>
    <w:rsid w:val="00720BD5"/>
    <w:rsid w:val="00720CD0"/>
    <w:rsid w:val="007211E1"/>
    <w:rsid w:val="007226BE"/>
    <w:rsid w:val="0072494D"/>
    <w:rsid w:val="00725FB6"/>
    <w:rsid w:val="00727342"/>
    <w:rsid w:val="00730085"/>
    <w:rsid w:val="007354CA"/>
    <w:rsid w:val="00735BB1"/>
    <w:rsid w:val="0074259D"/>
    <w:rsid w:val="00742753"/>
    <w:rsid w:val="0074406C"/>
    <w:rsid w:val="00746847"/>
    <w:rsid w:val="00750039"/>
    <w:rsid w:val="007502D7"/>
    <w:rsid w:val="007506E0"/>
    <w:rsid w:val="00750767"/>
    <w:rsid w:val="00751571"/>
    <w:rsid w:val="007518CA"/>
    <w:rsid w:val="007533D3"/>
    <w:rsid w:val="00753D61"/>
    <w:rsid w:val="00755DD6"/>
    <w:rsid w:val="0075612E"/>
    <w:rsid w:val="00756E6C"/>
    <w:rsid w:val="007578DC"/>
    <w:rsid w:val="007579DA"/>
    <w:rsid w:val="00765AF7"/>
    <w:rsid w:val="00766DAA"/>
    <w:rsid w:val="007704B2"/>
    <w:rsid w:val="00770CAB"/>
    <w:rsid w:val="00770D42"/>
    <w:rsid w:val="00771B5F"/>
    <w:rsid w:val="007722FB"/>
    <w:rsid w:val="007727AE"/>
    <w:rsid w:val="00774B56"/>
    <w:rsid w:val="0077595C"/>
    <w:rsid w:val="00776E00"/>
    <w:rsid w:val="00781697"/>
    <w:rsid w:val="0078271E"/>
    <w:rsid w:val="00784762"/>
    <w:rsid w:val="00786208"/>
    <w:rsid w:val="00790D4F"/>
    <w:rsid w:val="00791012"/>
    <w:rsid w:val="00795C2C"/>
    <w:rsid w:val="007961FB"/>
    <w:rsid w:val="007963CC"/>
    <w:rsid w:val="00796B8A"/>
    <w:rsid w:val="0079718D"/>
    <w:rsid w:val="007A3561"/>
    <w:rsid w:val="007A74F1"/>
    <w:rsid w:val="007A7A1F"/>
    <w:rsid w:val="007B3494"/>
    <w:rsid w:val="007B485B"/>
    <w:rsid w:val="007B75A8"/>
    <w:rsid w:val="007B77F3"/>
    <w:rsid w:val="007B7BFB"/>
    <w:rsid w:val="007C048B"/>
    <w:rsid w:val="007C4762"/>
    <w:rsid w:val="007C5144"/>
    <w:rsid w:val="007D4CA9"/>
    <w:rsid w:val="007E002A"/>
    <w:rsid w:val="007E665B"/>
    <w:rsid w:val="007E6F64"/>
    <w:rsid w:val="007F2979"/>
    <w:rsid w:val="007F3061"/>
    <w:rsid w:val="007F3C72"/>
    <w:rsid w:val="007F5DED"/>
    <w:rsid w:val="007F70AB"/>
    <w:rsid w:val="0080199E"/>
    <w:rsid w:val="00801F93"/>
    <w:rsid w:val="008050D8"/>
    <w:rsid w:val="00806C15"/>
    <w:rsid w:val="008114D8"/>
    <w:rsid w:val="00811948"/>
    <w:rsid w:val="008129B6"/>
    <w:rsid w:val="00821962"/>
    <w:rsid w:val="00822D78"/>
    <w:rsid w:val="00823BBD"/>
    <w:rsid w:val="00825D55"/>
    <w:rsid w:val="00830449"/>
    <w:rsid w:val="00830E86"/>
    <w:rsid w:val="0083101D"/>
    <w:rsid w:val="008327D4"/>
    <w:rsid w:val="00832C3F"/>
    <w:rsid w:val="00834656"/>
    <w:rsid w:val="0084027E"/>
    <w:rsid w:val="008404D4"/>
    <w:rsid w:val="00841660"/>
    <w:rsid w:val="008432C5"/>
    <w:rsid w:val="00845D66"/>
    <w:rsid w:val="00846A5A"/>
    <w:rsid w:val="0086464C"/>
    <w:rsid w:val="00864B3A"/>
    <w:rsid w:val="00864E3F"/>
    <w:rsid w:val="00866419"/>
    <w:rsid w:val="00866E8F"/>
    <w:rsid w:val="00866F1A"/>
    <w:rsid w:val="00867E23"/>
    <w:rsid w:val="00871DF2"/>
    <w:rsid w:val="00871FEE"/>
    <w:rsid w:val="0087642C"/>
    <w:rsid w:val="00877663"/>
    <w:rsid w:val="0088134C"/>
    <w:rsid w:val="0088233E"/>
    <w:rsid w:val="00891400"/>
    <w:rsid w:val="00891CCF"/>
    <w:rsid w:val="00892325"/>
    <w:rsid w:val="0089254A"/>
    <w:rsid w:val="00892EB2"/>
    <w:rsid w:val="00895074"/>
    <w:rsid w:val="0089544C"/>
    <w:rsid w:val="008962F4"/>
    <w:rsid w:val="00896BBF"/>
    <w:rsid w:val="008A14CC"/>
    <w:rsid w:val="008A1FE8"/>
    <w:rsid w:val="008A2B10"/>
    <w:rsid w:val="008A406F"/>
    <w:rsid w:val="008A4AD3"/>
    <w:rsid w:val="008B2601"/>
    <w:rsid w:val="008B26A7"/>
    <w:rsid w:val="008B5071"/>
    <w:rsid w:val="008B5079"/>
    <w:rsid w:val="008C2407"/>
    <w:rsid w:val="008C27EF"/>
    <w:rsid w:val="008C4B74"/>
    <w:rsid w:val="008C56E8"/>
    <w:rsid w:val="008C69A4"/>
    <w:rsid w:val="008C71D6"/>
    <w:rsid w:val="008D0D1C"/>
    <w:rsid w:val="008D10E2"/>
    <w:rsid w:val="008D2438"/>
    <w:rsid w:val="008E0725"/>
    <w:rsid w:val="008E24F8"/>
    <w:rsid w:val="008E26FE"/>
    <w:rsid w:val="008E2E14"/>
    <w:rsid w:val="008E4550"/>
    <w:rsid w:val="008E52E0"/>
    <w:rsid w:val="008E55C2"/>
    <w:rsid w:val="008E6DE7"/>
    <w:rsid w:val="008F5764"/>
    <w:rsid w:val="008F6B50"/>
    <w:rsid w:val="008F728D"/>
    <w:rsid w:val="008F7D6D"/>
    <w:rsid w:val="008F7EBE"/>
    <w:rsid w:val="00902C50"/>
    <w:rsid w:val="00903905"/>
    <w:rsid w:val="00905584"/>
    <w:rsid w:val="00906D37"/>
    <w:rsid w:val="009079E6"/>
    <w:rsid w:val="00911711"/>
    <w:rsid w:val="00921E49"/>
    <w:rsid w:val="00922ACF"/>
    <w:rsid w:val="00923FCC"/>
    <w:rsid w:val="00931037"/>
    <w:rsid w:val="0093209C"/>
    <w:rsid w:val="009322B4"/>
    <w:rsid w:val="009348AB"/>
    <w:rsid w:val="00936989"/>
    <w:rsid w:val="009371E8"/>
    <w:rsid w:val="00940DB3"/>
    <w:rsid w:val="009426D1"/>
    <w:rsid w:val="009440E9"/>
    <w:rsid w:val="00945C30"/>
    <w:rsid w:val="0094789B"/>
    <w:rsid w:val="00951802"/>
    <w:rsid w:val="009542A2"/>
    <w:rsid w:val="009544B8"/>
    <w:rsid w:val="00957CEB"/>
    <w:rsid w:val="00961B7B"/>
    <w:rsid w:val="00964867"/>
    <w:rsid w:val="00965301"/>
    <w:rsid w:val="00966145"/>
    <w:rsid w:val="00966CFF"/>
    <w:rsid w:val="00967084"/>
    <w:rsid w:val="009710FC"/>
    <w:rsid w:val="00971973"/>
    <w:rsid w:val="009759C7"/>
    <w:rsid w:val="00980298"/>
    <w:rsid w:val="009823CD"/>
    <w:rsid w:val="00982760"/>
    <w:rsid w:val="00984071"/>
    <w:rsid w:val="00986AFB"/>
    <w:rsid w:val="009927BB"/>
    <w:rsid w:val="009929E4"/>
    <w:rsid w:val="00992C6B"/>
    <w:rsid w:val="0099382D"/>
    <w:rsid w:val="00993D11"/>
    <w:rsid w:val="009940DD"/>
    <w:rsid w:val="009966D7"/>
    <w:rsid w:val="009973CD"/>
    <w:rsid w:val="00997C8A"/>
    <w:rsid w:val="00997DD8"/>
    <w:rsid w:val="009A0519"/>
    <w:rsid w:val="009A1227"/>
    <w:rsid w:val="009A21CD"/>
    <w:rsid w:val="009A4453"/>
    <w:rsid w:val="009A6CDD"/>
    <w:rsid w:val="009B0368"/>
    <w:rsid w:val="009B0E6C"/>
    <w:rsid w:val="009B1704"/>
    <w:rsid w:val="009B3FDA"/>
    <w:rsid w:val="009C1787"/>
    <w:rsid w:val="009C37F0"/>
    <w:rsid w:val="009C3876"/>
    <w:rsid w:val="009C5A65"/>
    <w:rsid w:val="009C7C97"/>
    <w:rsid w:val="009C7D74"/>
    <w:rsid w:val="009D21A9"/>
    <w:rsid w:val="009D7979"/>
    <w:rsid w:val="009E4620"/>
    <w:rsid w:val="009E6285"/>
    <w:rsid w:val="009E66EC"/>
    <w:rsid w:val="009E7B95"/>
    <w:rsid w:val="009E7C73"/>
    <w:rsid w:val="009F16BA"/>
    <w:rsid w:val="009F2117"/>
    <w:rsid w:val="009F529B"/>
    <w:rsid w:val="009F5B6C"/>
    <w:rsid w:val="00A02920"/>
    <w:rsid w:val="00A072AB"/>
    <w:rsid w:val="00A131B8"/>
    <w:rsid w:val="00A15AE3"/>
    <w:rsid w:val="00A16FEE"/>
    <w:rsid w:val="00A20195"/>
    <w:rsid w:val="00A26C75"/>
    <w:rsid w:val="00A3363B"/>
    <w:rsid w:val="00A34633"/>
    <w:rsid w:val="00A3499A"/>
    <w:rsid w:val="00A3585A"/>
    <w:rsid w:val="00A36E8F"/>
    <w:rsid w:val="00A40155"/>
    <w:rsid w:val="00A42478"/>
    <w:rsid w:val="00A44B73"/>
    <w:rsid w:val="00A44C80"/>
    <w:rsid w:val="00A44DA1"/>
    <w:rsid w:val="00A46D48"/>
    <w:rsid w:val="00A52DB9"/>
    <w:rsid w:val="00A54D4E"/>
    <w:rsid w:val="00A55B66"/>
    <w:rsid w:val="00A55B97"/>
    <w:rsid w:val="00A6002D"/>
    <w:rsid w:val="00A60B28"/>
    <w:rsid w:val="00A621B1"/>
    <w:rsid w:val="00A62D7B"/>
    <w:rsid w:val="00A67BE8"/>
    <w:rsid w:val="00A72840"/>
    <w:rsid w:val="00A72FD3"/>
    <w:rsid w:val="00A75691"/>
    <w:rsid w:val="00A803FC"/>
    <w:rsid w:val="00A822A9"/>
    <w:rsid w:val="00A84AC1"/>
    <w:rsid w:val="00A852ED"/>
    <w:rsid w:val="00A853D6"/>
    <w:rsid w:val="00A86AB1"/>
    <w:rsid w:val="00A903C9"/>
    <w:rsid w:val="00A92A40"/>
    <w:rsid w:val="00A94493"/>
    <w:rsid w:val="00A9676F"/>
    <w:rsid w:val="00AA027E"/>
    <w:rsid w:val="00AA1530"/>
    <w:rsid w:val="00AA191D"/>
    <w:rsid w:val="00AA31DF"/>
    <w:rsid w:val="00AA3658"/>
    <w:rsid w:val="00AA5386"/>
    <w:rsid w:val="00AA63AC"/>
    <w:rsid w:val="00AA653A"/>
    <w:rsid w:val="00AA6AED"/>
    <w:rsid w:val="00AB005B"/>
    <w:rsid w:val="00AB00DB"/>
    <w:rsid w:val="00AB1492"/>
    <w:rsid w:val="00AB3DC6"/>
    <w:rsid w:val="00AB6197"/>
    <w:rsid w:val="00AB76C0"/>
    <w:rsid w:val="00AB79C9"/>
    <w:rsid w:val="00AC073E"/>
    <w:rsid w:val="00AC5120"/>
    <w:rsid w:val="00AC60F6"/>
    <w:rsid w:val="00AC76D6"/>
    <w:rsid w:val="00AD09EF"/>
    <w:rsid w:val="00AD0E94"/>
    <w:rsid w:val="00AD103B"/>
    <w:rsid w:val="00AD1A34"/>
    <w:rsid w:val="00AD24EE"/>
    <w:rsid w:val="00AD2B77"/>
    <w:rsid w:val="00AD6045"/>
    <w:rsid w:val="00AD7094"/>
    <w:rsid w:val="00AD7F5C"/>
    <w:rsid w:val="00AE0FFA"/>
    <w:rsid w:val="00AE52B9"/>
    <w:rsid w:val="00AE7814"/>
    <w:rsid w:val="00AF2794"/>
    <w:rsid w:val="00AF4719"/>
    <w:rsid w:val="00AF7AB8"/>
    <w:rsid w:val="00B005D7"/>
    <w:rsid w:val="00B01FA4"/>
    <w:rsid w:val="00B0371B"/>
    <w:rsid w:val="00B03FBD"/>
    <w:rsid w:val="00B05189"/>
    <w:rsid w:val="00B05598"/>
    <w:rsid w:val="00B10A5E"/>
    <w:rsid w:val="00B10B28"/>
    <w:rsid w:val="00B1228A"/>
    <w:rsid w:val="00B136C0"/>
    <w:rsid w:val="00B143CF"/>
    <w:rsid w:val="00B14F7C"/>
    <w:rsid w:val="00B15430"/>
    <w:rsid w:val="00B15DEC"/>
    <w:rsid w:val="00B21540"/>
    <w:rsid w:val="00B21ED9"/>
    <w:rsid w:val="00B21F24"/>
    <w:rsid w:val="00B2359F"/>
    <w:rsid w:val="00B273D3"/>
    <w:rsid w:val="00B311C9"/>
    <w:rsid w:val="00B33556"/>
    <w:rsid w:val="00B3515B"/>
    <w:rsid w:val="00B35204"/>
    <w:rsid w:val="00B419D5"/>
    <w:rsid w:val="00B4338F"/>
    <w:rsid w:val="00B43C1B"/>
    <w:rsid w:val="00B446E3"/>
    <w:rsid w:val="00B46834"/>
    <w:rsid w:val="00B47284"/>
    <w:rsid w:val="00B52358"/>
    <w:rsid w:val="00B542BC"/>
    <w:rsid w:val="00B54595"/>
    <w:rsid w:val="00B60BE3"/>
    <w:rsid w:val="00B61396"/>
    <w:rsid w:val="00B66231"/>
    <w:rsid w:val="00B66F2E"/>
    <w:rsid w:val="00B755CD"/>
    <w:rsid w:val="00B77B34"/>
    <w:rsid w:val="00B77EA5"/>
    <w:rsid w:val="00B80667"/>
    <w:rsid w:val="00B809BF"/>
    <w:rsid w:val="00B8162D"/>
    <w:rsid w:val="00B82384"/>
    <w:rsid w:val="00B84454"/>
    <w:rsid w:val="00B85DB7"/>
    <w:rsid w:val="00B87386"/>
    <w:rsid w:val="00B91280"/>
    <w:rsid w:val="00B91565"/>
    <w:rsid w:val="00B946DC"/>
    <w:rsid w:val="00B946DE"/>
    <w:rsid w:val="00B96047"/>
    <w:rsid w:val="00B96C79"/>
    <w:rsid w:val="00B96DF4"/>
    <w:rsid w:val="00B97AB3"/>
    <w:rsid w:val="00BA2076"/>
    <w:rsid w:val="00BA49A0"/>
    <w:rsid w:val="00BA616C"/>
    <w:rsid w:val="00BA74D9"/>
    <w:rsid w:val="00BB1FFF"/>
    <w:rsid w:val="00BB2771"/>
    <w:rsid w:val="00BB7339"/>
    <w:rsid w:val="00BB7844"/>
    <w:rsid w:val="00BB7B8E"/>
    <w:rsid w:val="00BC1378"/>
    <w:rsid w:val="00BC1393"/>
    <w:rsid w:val="00BC2721"/>
    <w:rsid w:val="00BC3C73"/>
    <w:rsid w:val="00BC46C9"/>
    <w:rsid w:val="00BC576F"/>
    <w:rsid w:val="00BC6ABE"/>
    <w:rsid w:val="00BD18DB"/>
    <w:rsid w:val="00BD389F"/>
    <w:rsid w:val="00BD6796"/>
    <w:rsid w:val="00BD7D63"/>
    <w:rsid w:val="00BE2903"/>
    <w:rsid w:val="00BE30DE"/>
    <w:rsid w:val="00BE50B4"/>
    <w:rsid w:val="00BE5A5C"/>
    <w:rsid w:val="00BE7992"/>
    <w:rsid w:val="00BF0A82"/>
    <w:rsid w:val="00BF46F0"/>
    <w:rsid w:val="00C00DD8"/>
    <w:rsid w:val="00C01576"/>
    <w:rsid w:val="00C0307C"/>
    <w:rsid w:val="00C03C17"/>
    <w:rsid w:val="00C03F74"/>
    <w:rsid w:val="00C049EB"/>
    <w:rsid w:val="00C04F19"/>
    <w:rsid w:val="00C05B13"/>
    <w:rsid w:val="00C07734"/>
    <w:rsid w:val="00C12BFD"/>
    <w:rsid w:val="00C1539A"/>
    <w:rsid w:val="00C20B9C"/>
    <w:rsid w:val="00C23B3C"/>
    <w:rsid w:val="00C24CAA"/>
    <w:rsid w:val="00C35237"/>
    <w:rsid w:val="00C3655A"/>
    <w:rsid w:val="00C40929"/>
    <w:rsid w:val="00C45086"/>
    <w:rsid w:val="00C51C6C"/>
    <w:rsid w:val="00C51FA0"/>
    <w:rsid w:val="00C53D43"/>
    <w:rsid w:val="00C5460D"/>
    <w:rsid w:val="00C55712"/>
    <w:rsid w:val="00C56F8D"/>
    <w:rsid w:val="00C57C7F"/>
    <w:rsid w:val="00C62BB2"/>
    <w:rsid w:val="00C6547C"/>
    <w:rsid w:val="00C71C7D"/>
    <w:rsid w:val="00C71F43"/>
    <w:rsid w:val="00C72239"/>
    <w:rsid w:val="00C72BAF"/>
    <w:rsid w:val="00C7493E"/>
    <w:rsid w:val="00C7589D"/>
    <w:rsid w:val="00C75DC6"/>
    <w:rsid w:val="00C76BA5"/>
    <w:rsid w:val="00C868E1"/>
    <w:rsid w:val="00C939A4"/>
    <w:rsid w:val="00C9679C"/>
    <w:rsid w:val="00CA1DF0"/>
    <w:rsid w:val="00CA23CB"/>
    <w:rsid w:val="00CA2AFA"/>
    <w:rsid w:val="00CB2764"/>
    <w:rsid w:val="00CB47CA"/>
    <w:rsid w:val="00CB5074"/>
    <w:rsid w:val="00CB5189"/>
    <w:rsid w:val="00CB59FA"/>
    <w:rsid w:val="00CB72E0"/>
    <w:rsid w:val="00CC2EC8"/>
    <w:rsid w:val="00CC3DC6"/>
    <w:rsid w:val="00CC3FBF"/>
    <w:rsid w:val="00CC4B4E"/>
    <w:rsid w:val="00CC60DD"/>
    <w:rsid w:val="00CC6735"/>
    <w:rsid w:val="00CD2DE2"/>
    <w:rsid w:val="00CD3DCA"/>
    <w:rsid w:val="00CD4F86"/>
    <w:rsid w:val="00CD79C6"/>
    <w:rsid w:val="00CE055B"/>
    <w:rsid w:val="00CE1394"/>
    <w:rsid w:val="00CE3241"/>
    <w:rsid w:val="00CE47DC"/>
    <w:rsid w:val="00CF1048"/>
    <w:rsid w:val="00CF207B"/>
    <w:rsid w:val="00CF293B"/>
    <w:rsid w:val="00CF54DB"/>
    <w:rsid w:val="00CF5770"/>
    <w:rsid w:val="00D00058"/>
    <w:rsid w:val="00D017E8"/>
    <w:rsid w:val="00D03E72"/>
    <w:rsid w:val="00D04BAE"/>
    <w:rsid w:val="00D0538A"/>
    <w:rsid w:val="00D06C85"/>
    <w:rsid w:val="00D07130"/>
    <w:rsid w:val="00D1224D"/>
    <w:rsid w:val="00D13418"/>
    <w:rsid w:val="00D1406A"/>
    <w:rsid w:val="00D14BBC"/>
    <w:rsid w:val="00D16322"/>
    <w:rsid w:val="00D16954"/>
    <w:rsid w:val="00D17E6B"/>
    <w:rsid w:val="00D2153A"/>
    <w:rsid w:val="00D23A67"/>
    <w:rsid w:val="00D242A8"/>
    <w:rsid w:val="00D26A49"/>
    <w:rsid w:val="00D31629"/>
    <w:rsid w:val="00D31927"/>
    <w:rsid w:val="00D319A1"/>
    <w:rsid w:val="00D32497"/>
    <w:rsid w:val="00D33606"/>
    <w:rsid w:val="00D34D49"/>
    <w:rsid w:val="00D353BE"/>
    <w:rsid w:val="00D36764"/>
    <w:rsid w:val="00D43CE6"/>
    <w:rsid w:val="00D444C7"/>
    <w:rsid w:val="00D45B4F"/>
    <w:rsid w:val="00D45B7E"/>
    <w:rsid w:val="00D460A4"/>
    <w:rsid w:val="00D46700"/>
    <w:rsid w:val="00D47A38"/>
    <w:rsid w:val="00D50718"/>
    <w:rsid w:val="00D51091"/>
    <w:rsid w:val="00D53209"/>
    <w:rsid w:val="00D53485"/>
    <w:rsid w:val="00D53B0C"/>
    <w:rsid w:val="00D54982"/>
    <w:rsid w:val="00D55AF7"/>
    <w:rsid w:val="00D55C7C"/>
    <w:rsid w:val="00D6068B"/>
    <w:rsid w:val="00D6375E"/>
    <w:rsid w:val="00D64738"/>
    <w:rsid w:val="00D67020"/>
    <w:rsid w:val="00D73479"/>
    <w:rsid w:val="00D7537F"/>
    <w:rsid w:val="00D75385"/>
    <w:rsid w:val="00D7789A"/>
    <w:rsid w:val="00D80805"/>
    <w:rsid w:val="00D81370"/>
    <w:rsid w:val="00D8431A"/>
    <w:rsid w:val="00D86A47"/>
    <w:rsid w:val="00D87131"/>
    <w:rsid w:val="00D900A7"/>
    <w:rsid w:val="00D91701"/>
    <w:rsid w:val="00D955E3"/>
    <w:rsid w:val="00DA1E68"/>
    <w:rsid w:val="00DA2428"/>
    <w:rsid w:val="00DA25C3"/>
    <w:rsid w:val="00DA6C0D"/>
    <w:rsid w:val="00DA70C5"/>
    <w:rsid w:val="00DA7B88"/>
    <w:rsid w:val="00DB624F"/>
    <w:rsid w:val="00DB7507"/>
    <w:rsid w:val="00DB7542"/>
    <w:rsid w:val="00DC36DA"/>
    <w:rsid w:val="00DC4409"/>
    <w:rsid w:val="00DC629E"/>
    <w:rsid w:val="00DC67C5"/>
    <w:rsid w:val="00DD10BE"/>
    <w:rsid w:val="00DD196E"/>
    <w:rsid w:val="00DD226A"/>
    <w:rsid w:val="00DD5CD9"/>
    <w:rsid w:val="00DE1738"/>
    <w:rsid w:val="00DE2925"/>
    <w:rsid w:val="00DE292C"/>
    <w:rsid w:val="00DE399E"/>
    <w:rsid w:val="00DE50C4"/>
    <w:rsid w:val="00DE57DE"/>
    <w:rsid w:val="00DF01F7"/>
    <w:rsid w:val="00DF1377"/>
    <w:rsid w:val="00DF2975"/>
    <w:rsid w:val="00DF73E2"/>
    <w:rsid w:val="00E02750"/>
    <w:rsid w:val="00E03918"/>
    <w:rsid w:val="00E05C46"/>
    <w:rsid w:val="00E11912"/>
    <w:rsid w:val="00E11EB9"/>
    <w:rsid w:val="00E1200A"/>
    <w:rsid w:val="00E1239C"/>
    <w:rsid w:val="00E135B6"/>
    <w:rsid w:val="00E148A9"/>
    <w:rsid w:val="00E14CFB"/>
    <w:rsid w:val="00E15EE0"/>
    <w:rsid w:val="00E16F26"/>
    <w:rsid w:val="00E16F38"/>
    <w:rsid w:val="00E17337"/>
    <w:rsid w:val="00E17E5F"/>
    <w:rsid w:val="00E17FED"/>
    <w:rsid w:val="00E20282"/>
    <w:rsid w:val="00E22A35"/>
    <w:rsid w:val="00E25DB2"/>
    <w:rsid w:val="00E30059"/>
    <w:rsid w:val="00E310E0"/>
    <w:rsid w:val="00E32886"/>
    <w:rsid w:val="00E370E7"/>
    <w:rsid w:val="00E37582"/>
    <w:rsid w:val="00E41022"/>
    <w:rsid w:val="00E4105F"/>
    <w:rsid w:val="00E41D56"/>
    <w:rsid w:val="00E50458"/>
    <w:rsid w:val="00E50E09"/>
    <w:rsid w:val="00E5202A"/>
    <w:rsid w:val="00E52D61"/>
    <w:rsid w:val="00E54D18"/>
    <w:rsid w:val="00E563F0"/>
    <w:rsid w:val="00E61AC1"/>
    <w:rsid w:val="00E62A6B"/>
    <w:rsid w:val="00E62ABF"/>
    <w:rsid w:val="00E63FE7"/>
    <w:rsid w:val="00E64FF5"/>
    <w:rsid w:val="00E65511"/>
    <w:rsid w:val="00E733BF"/>
    <w:rsid w:val="00E73DE6"/>
    <w:rsid w:val="00E74B1A"/>
    <w:rsid w:val="00E7629E"/>
    <w:rsid w:val="00E7692F"/>
    <w:rsid w:val="00E80C81"/>
    <w:rsid w:val="00E80FFB"/>
    <w:rsid w:val="00E81A0B"/>
    <w:rsid w:val="00E81C95"/>
    <w:rsid w:val="00E81DCD"/>
    <w:rsid w:val="00E83D68"/>
    <w:rsid w:val="00E84246"/>
    <w:rsid w:val="00E90229"/>
    <w:rsid w:val="00E9282A"/>
    <w:rsid w:val="00E92E43"/>
    <w:rsid w:val="00E947E8"/>
    <w:rsid w:val="00EA0BC4"/>
    <w:rsid w:val="00EA176E"/>
    <w:rsid w:val="00EA2E7C"/>
    <w:rsid w:val="00EA47CC"/>
    <w:rsid w:val="00EA4B9B"/>
    <w:rsid w:val="00EA716E"/>
    <w:rsid w:val="00EA775B"/>
    <w:rsid w:val="00EB121E"/>
    <w:rsid w:val="00EB227D"/>
    <w:rsid w:val="00EC0AFA"/>
    <w:rsid w:val="00EC42D1"/>
    <w:rsid w:val="00EC54F5"/>
    <w:rsid w:val="00EC5AF5"/>
    <w:rsid w:val="00EC5F97"/>
    <w:rsid w:val="00ED2C8B"/>
    <w:rsid w:val="00ED333E"/>
    <w:rsid w:val="00ED3412"/>
    <w:rsid w:val="00ED7418"/>
    <w:rsid w:val="00EE040B"/>
    <w:rsid w:val="00EE2991"/>
    <w:rsid w:val="00EE3A8E"/>
    <w:rsid w:val="00EE3DEE"/>
    <w:rsid w:val="00EE502A"/>
    <w:rsid w:val="00EE5EE0"/>
    <w:rsid w:val="00EE68DA"/>
    <w:rsid w:val="00EE73EC"/>
    <w:rsid w:val="00EF1DC6"/>
    <w:rsid w:val="00EF291A"/>
    <w:rsid w:val="00F012F7"/>
    <w:rsid w:val="00F01324"/>
    <w:rsid w:val="00F02CD3"/>
    <w:rsid w:val="00F03399"/>
    <w:rsid w:val="00F12429"/>
    <w:rsid w:val="00F129F5"/>
    <w:rsid w:val="00F12BDE"/>
    <w:rsid w:val="00F13731"/>
    <w:rsid w:val="00F1469D"/>
    <w:rsid w:val="00F1571E"/>
    <w:rsid w:val="00F17259"/>
    <w:rsid w:val="00F20FB0"/>
    <w:rsid w:val="00F2145A"/>
    <w:rsid w:val="00F229C0"/>
    <w:rsid w:val="00F22F37"/>
    <w:rsid w:val="00F2338D"/>
    <w:rsid w:val="00F236C0"/>
    <w:rsid w:val="00F24EAD"/>
    <w:rsid w:val="00F25095"/>
    <w:rsid w:val="00F30756"/>
    <w:rsid w:val="00F3094A"/>
    <w:rsid w:val="00F326C2"/>
    <w:rsid w:val="00F372EC"/>
    <w:rsid w:val="00F37AFF"/>
    <w:rsid w:val="00F41E7C"/>
    <w:rsid w:val="00F45458"/>
    <w:rsid w:val="00F4598F"/>
    <w:rsid w:val="00F47517"/>
    <w:rsid w:val="00F529FA"/>
    <w:rsid w:val="00F52BCA"/>
    <w:rsid w:val="00F53CC0"/>
    <w:rsid w:val="00F5510F"/>
    <w:rsid w:val="00F554BF"/>
    <w:rsid w:val="00F55DD2"/>
    <w:rsid w:val="00F60213"/>
    <w:rsid w:val="00F61D3A"/>
    <w:rsid w:val="00F66653"/>
    <w:rsid w:val="00F67E29"/>
    <w:rsid w:val="00F67ED5"/>
    <w:rsid w:val="00F704A9"/>
    <w:rsid w:val="00F7395E"/>
    <w:rsid w:val="00F752F3"/>
    <w:rsid w:val="00F856BE"/>
    <w:rsid w:val="00F93CB6"/>
    <w:rsid w:val="00F940A0"/>
    <w:rsid w:val="00F96920"/>
    <w:rsid w:val="00F97CD3"/>
    <w:rsid w:val="00FA0E1D"/>
    <w:rsid w:val="00FA0F76"/>
    <w:rsid w:val="00FA3727"/>
    <w:rsid w:val="00FA4E32"/>
    <w:rsid w:val="00FB2214"/>
    <w:rsid w:val="00FB2C79"/>
    <w:rsid w:val="00FB345D"/>
    <w:rsid w:val="00FB60A0"/>
    <w:rsid w:val="00FB7268"/>
    <w:rsid w:val="00FC0111"/>
    <w:rsid w:val="00FC01D9"/>
    <w:rsid w:val="00FC0586"/>
    <w:rsid w:val="00FC2380"/>
    <w:rsid w:val="00FC3E3B"/>
    <w:rsid w:val="00FC5293"/>
    <w:rsid w:val="00FC54C7"/>
    <w:rsid w:val="00FD1184"/>
    <w:rsid w:val="00FD654F"/>
    <w:rsid w:val="00FE2E3A"/>
    <w:rsid w:val="00FE3E68"/>
    <w:rsid w:val="00FE412D"/>
    <w:rsid w:val="00FE57B9"/>
    <w:rsid w:val="00FE6C0A"/>
    <w:rsid w:val="00FE6DE8"/>
    <w:rsid w:val="00FF4152"/>
    <w:rsid w:val="00FF508C"/>
    <w:rsid w:val="00FF7B9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F162B84"/>
  <w15:docId w15:val="{23F68064-013D-4208-969B-02564938A3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259D"/>
  </w:style>
  <w:style w:type="paragraph" w:styleId="Heading2">
    <w:name w:val="heading 2"/>
    <w:basedOn w:val="Normal"/>
    <w:next w:val="Normal"/>
    <w:link w:val="Heading2Char"/>
    <w:uiPriority w:val="9"/>
    <w:unhideWhenUsed/>
    <w:qFormat/>
    <w:rsid w:val="0074259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74259D"/>
    <w:pPr>
      <w:outlineLvl w:val="2"/>
    </w:pPr>
    <w:rPr>
      <w:rFonts w:ascii="Times New Roman" w:hAnsi="Times New Roman" w:cs="Times New Roman"/>
      <w:b/>
      <w:bCs/>
      <w:sz w:val="24"/>
      <w:szCs w:val="24"/>
    </w:rPr>
  </w:style>
  <w:style w:type="paragraph" w:styleId="Heading4">
    <w:name w:val="heading 4"/>
    <w:basedOn w:val="Normal"/>
    <w:next w:val="Normal"/>
    <w:link w:val="Heading4Char"/>
    <w:uiPriority w:val="9"/>
    <w:unhideWhenUsed/>
    <w:qFormat/>
    <w:rsid w:val="0074259D"/>
    <w:pPr>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7B95"/>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rsid w:val="00965301"/>
    <w:pPr>
      <w:tabs>
        <w:tab w:val="left" w:pos="-3060"/>
        <w:tab w:val="left" w:pos="0"/>
        <w:tab w:val="left" w:pos="432"/>
        <w:tab w:val="left" w:pos="720"/>
      </w:tabs>
      <w:suppressAutoHyphens/>
      <w:autoSpaceDE w:val="0"/>
      <w:autoSpaceDN w:val="0"/>
      <w:adjustRightInd w:val="0"/>
      <w:spacing w:after="240" w:line="240" w:lineRule="atLeast"/>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965301"/>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65301"/>
    <w:rPr>
      <w:color w:val="0000FF"/>
      <w:u w:val="single"/>
    </w:rPr>
  </w:style>
  <w:style w:type="character" w:styleId="FollowedHyperlink">
    <w:name w:val="FollowedHyperlink"/>
    <w:basedOn w:val="DefaultParagraphFont"/>
    <w:uiPriority w:val="99"/>
    <w:semiHidden/>
    <w:unhideWhenUsed/>
    <w:rsid w:val="00965301"/>
    <w:rPr>
      <w:color w:val="800080" w:themeColor="followedHyperlink"/>
      <w:u w:val="single"/>
    </w:rPr>
  </w:style>
  <w:style w:type="table" w:styleId="TableGrid">
    <w:name w:val="Table Grid"/>
    <w:basedOn w:val="TableNormal"/>
    <w:uiPriority w:val="39"/>
    <w:rsid w:val="00282B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74259D"/>
    <w:rPr>
      <w:rFonts w:ascii="Times New Roman" w:hAnsi="Times New Roman" w:cs="Times New Roman"/>
      <w:b/>
      <w:bCs/>
      <w:sz w:val="24"/>
      <w:szCs w:val="24"/>
    </w:rPr>
  </w:style>
  <w:style w:type="character" w:customStyle="1" w:styleId="Heading4Char">
    <w:name w:val="Heading 4 Char"/>
    <w:basedOn w:val="DefaultParagraphFont"/>
    <w:link w:val="Heading4"/>
    <w:uiPriority w:val="9"/>
    <w:rsid w:val="0074259D"/>
    <w:rPr>
      <w:rFonts w:ascii="Times New Roman" w:hAnsi="Times New Roman" w:cs="Times New Roman"/>
      <w:b/>
      <w:bCs/>
      <w:sz w:val="24"/>
      <w:szCs w:val="24"/>
    </w:rPr>
  </w:style>
  <w:style w:type="character" w:customStyle="1" w:styleId="Heading2Char">
    <w:name w:val="Heading 2 Char"/>
    <w:basedOn w:val="DefaultParagraphFont"/>
    <w:link w:val="Heading2"/>
    <w:uiPriority w:val="9"/>
    <w:rsid w:val="0074259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5615C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15C9"/>
    <w:rPr>
      <w:rFonts w:ascii="Tahoma" w:hAnsi="Tahoma" w:cs="Tahoma"/>
      <w:sz w:val="16"/>
      <w:szCs w:val="16"/>
    </w:rPr>
  </w:style>
  <w:style w:type="character" w:styleId="CommentReference">
    <w:name w:val="annotation reference"/>
    <w:basedOn w:val="DefaultParagraphFont"/>
    <w:uiPriority w:val="99"/>
    <w:unhideWhenUsed/>
    <w:rsid w:val="00AC5120"/>
    <w:rPr>
      <w:sz w:val="16"/>
      <w:szCs w:val="16"/>
    </w:rPr>
  </w:style>
  <w:style w:type="paragraph" w:styleId="CommentText">
    <w:name w:val="annotation text"/>
    <w:aliases w:val="Times New Roman,t"/>
    <w:basedOn w:val="Normal"/>
    <w:link w:val="CommentTextChar"/>
    <w:uiPriority w:val="99"/>
    <w:unhideWhenUsed/>
    <w:qFormat/>
    <w:rsid w:val="00AC5120"/>
    <w:pPr>
      <w:spacing w:line="240" w:lineRule="auto"/>
    </w:pPr>
    <w:rPr>
      <w:sz w:val="20"/>
      <w:szCs w:val="20"/>
    </w:rPr>
  </w:style>
  <w:style w:type="character" w:customStyle="1" w:styleId="CommentTextChar">
    <w:name w:val="Comment Text Char"/>
    <w:aliases w:val="Times New Roman Char,t Char"/>
    <w:basedOn w:val="DefaultParagraphFont"/>
    <w:link w:val="CommentText"/>
    <w:uiPriority w:val="99"/>
    <w:rsid w:val="00AC5120"/>
    <w:rPr>
      <w:sz w:val="20"/>
      <w:szCs w:val="20"/>
    </w:rPr>
  </w:style>
  <w:style w:type="paragraph" w:styleId="CommentSubject">
    <w:name w:val="annotation subject"/>
    <w:basedOn w:val="CommentText"/>
    <w:next w:val="CommentText"/>
    <w:link w:val="CommentSubjectChar"/>
    <w:uiPriority w:val="99"/>
    <w:semiHidden/>
    <w:unhideWhenUsed/>
    <w:rsid w:val="00AC5120"/>
    <w:rPr>
      <w:b/>
      <w:bCs/>
    </w:rPr>
  </w:style>
  <w:style w:type="character" w:customStyle="1" w:styleId="CommentSubjectChar">
    <w:name w:val="Comment Subject Char"/>
    <w:basedOn w:val="CommentTextChar"/>
    <w:link w:val="CommentSubject"/>
    <w:uiPriority w:val="99"/>
    <w:semiHidden/>
    <w:rsid w:val="00AC5120"/>
    <w:rPr>
      <w:b/>
      <w:bCs/>
      <w:sz w:val="20"/>
      <w:szCs w:val="20"/>
    </w:rPr>
  </w:style>
  <w:style w:type="paragraph" w:styleId="Header">
    <w:name w:val="header"/>
    <w:basedOn w:val="Normal"/>
    <w:link w:val="HeaderChar"/>
    <w:uiPriority w:val="99"/>
    <w:unhideWhenUsed/>
    <w:rsid w:val="00806C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06C15"/>
  </w:style>
  <w:style w:type="paragraph" w:styleId="Footer">
    <w:name w:val="footer"/>
    <w:basedOn w:val="Normal"/>
    <w:link w:val="FooterChar"/>
    <w:uiPriority w:val="99"/>
    <w:unhideWhenUsed/>
    <w:rsid w:val="00806C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06C15"/>
  </w:style>
  <w:style w:type="paragraph" w:customStyle="1" w:styleId="Body2">
    <w:name w:val="Body2"/>
    <w:basedOn w:val="Normal"/>
    <w:qFormat/>
    <w:rsid w:val="007F2979"/>
    <w:pPr>
      <w:spacing w:after="0" w:line="240" w:lineRule="auto"/>
    </w:pPr>
    <w:rPr>
      <w:rFonts w:ascii="Times New Roman" w:eastAsia="Times New Roman" w:hAnsi="Times New Roman" w:cs="Times New Roman"/>
      <w:sz w:val="24"/>
      <w:szCs w:val="24"/>
    </w:rPr>
  </w:style>
  <w:style w:type="paragraph" w:styleId="Revision">
    <w:name w:val="Revision"/>
    <w:hidden/>
    <w:uiPriority w:val="99"/>
    <w:semiHidden/>
    <w:rsid w:val="00980298"/>
    <w:pPr>
      <w:spacing w:after="0" w:line="240" w:lineRule="auto"/>
    </w:pPr>
  </w:style>
  <w:style w:type="paragraph" w:styleId="ListParagraph">
    <w:name w:val="List Paragraph"/>
    <w:aliases w:val="3,Bullet 1,Bullet Points,Bulleted List Level 1,Colorful List - Accent 11,Dot pt,F5 List Paragraph,Indicator Text,Issue Action POC,List Paragraph Char Char Char,List Paragraph1,List Paragraph2,MAIN CONTENT,Numbered Para 1,POCG Table Text"/>
    <w:basedOn w:val="Normal"/>
    <w:link w:val="ListParagraphChar"/>
    <w:uiPriority w:val="34"/>
    <w:qFormat/>
    <w:rsid w:val="0057795C"/>
    <w:pPr>
      <w:ind w:left="720"/>
      <w:contextualSpacing/>
    </w:pPr>
  </w:style>
  <w:style w:type="character" w:customStyle="1" w:styleId="redline1">
    <w:name w:val="redline1"/>
    <w:rsid w:val="00BE7992"/>
    <w:rPr>
      <w:b w:val="0"/>
      <w:bCs w:val="0"/>
      <w:i/>
      <w:iCs/>
      <w:color w:val="FF0000"/>
      <w:shd w:val="clear" w:color="auto" w:fill="auto"/>
    </w:rPr>
  </w:style>
  <w:style w:type="character" w:customStyle="1" w:styleId="ListParagraphChar">
    <w:name w:val="List Paragraph Char"/>
    <w:aliases w:val="3 Char,Bullet 1 Char,Bulleted List Level 1 Char,Colorful List - Accent 11 Char,Dot pt Char,F5 List Paragraph Char,Indicator Text Char,Issue Action POC Char,List Paragraph Char Char Char Char,List Paragraph1 Char,POCG Table Text Char"/>
    <w:basedOn w:val="DefaultParagraphFont"/>
    <w:link w:val="ListParagraph"/>
    <w:uiPriority w:val="34"/>
    <w:qFormat/>
    <w:rsid w:val="002B04E5"/>
  </w:style>
  <w:style w:type="paragraph" w:styleId="NormalWeb">
    <w:name w:val="Normal (Web)"/>
    <w:basedOn w:val="Normal"/>
    <w:uiPriority w:val="99"/>
    <w:unhideWhenUsed/>
    <w:rsid w:val="002B04E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512FA9"/>
    <w:pPr>
      <w:autoSpaceDE w:val="0"/>
      <w:autoSpaceDN w:val="0"/>
      <w:adjustRightInd w:val="0"/>
      <w:spacing w:after="0" w:line="240" w:lineRule="auto"/>
    </w:pPr>
    <w:rPr>
      <w:rFonts w:ascii="Arial" w:hAnsi="Arial" w:cs="Arial"/>
      <w:sz w:val="24"/>
      <w:szCs w:val="24"/>
    </w:rPr>
  </w:style>
  <w:style w:type="character" w:styleId="UnresolvedMention">
    <w:name w:val="Unresolved Mention"/>
    <w:basedOn w:val="DefaultParagraphFont"/>
    <w:uiPriority w:val="99"/>
    <w:semiHidden/>
    <w:unhideWhenUsed/>
    <w:rsid w:val="002C4F4F"/>
    <w:rPr>
      <w:color w:val="605E5C"/>
      <w:shd w:val="clear" w:color="auto" w:fill="E1DFDD"/>
    </w:rPr>
  </w:style>
  <w:style w:type="paragraph" w:styleId="FootnoteText">
    <w:name w:val="footnote text"/>
    <w:basedOn w:val="Normal"/>
    <w:link w:val="FootnoteTextChar"/>
    <w:uiPriority w:val="99"/>
    <w:semiHidden/>
    <w:unhideWhenUsed/>
    <w:rsid w:val="00770D4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70D42"/>
    <w:rPr>
      <w:sz w:val="20"/>
      <w:szCs w:val="20"/>
    </w:rPr>
  </w:style>
  <w:style w:type="character" w:styleId="FootnoteReference">
    <w:name w:val="footnote reference"/>
    <w:basedOn w:val="DefaultParagraphFont"/>
    <w:uiPriority w:val="99"/>
    <w:semiHidden/>
    <w:unhideWhenUsed/>
    <w:rsid w:val="00770D42"/>
    <w:rPr>
      <w:vertAlign w:val="superscript"/>
    </w:rPr>
  </w:style>
  <w:style w:type="paragraph" w:styleId="BodyTextIndent">
    <w:name w:val="Body Text Indent"/>
    <w:basedOn w:val="Normal"/>
    <w:link w:val="BodyTextIndentChar"/>
    <w:uiPriority w:val="99"/>
    <w:semiHidden/>
    <w:unhideWhenUsed/>
    <w:rsid w:val="0021644A"/>
    <w:pPr>
      <w:spacing w:after="120"/>
      <w:ind w:left="360"/>
    </w:pPr>
  </w:style>
  <w:style w:type="character" w:customStyle="1" w:styleId="BodyTextIndentChar">
    <w:name w:val="Body Text Indent Char"/>
    <w:basedOn w:val="DefaultParagraphFont"/>
    <w:link w:val="BodyTextIndent"/>
    <w:uiPriority w:val="99"/>
    <w:semiHidden/>
    <w:rsid w:val="0021644A"/>
  </w:style>
  <w:style w:type="paragraph" w:styleId="EndnoteText">
    <w:name w:val="endnote text"/>
    <w:basedOn w:val="Normal"/>
    <w:link w:val="EndnoteTextChar"/>
    <w:uiPriority w:val="99"/>
    <w:semiHidden/>
    <w:unhideWhenUsed/>
    <w:rsid w:val="003B530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B530C"/>
    <w:rPr>
      <w:sz w:val="20"/>
      <w:szCs w:val="20"/>
    </w:rPr>
  </w:style>
  <w:style w:type="character" w:styleId="EndnoteReference">
    <w:name w:val="endnote reference"/>
    <w:basedOn w:val="DefaultParagraphFont"/>
    <w:uiPriority w:val="99"/>
    <w:semiHidden/>
    <w:unhideWhenUsed/>
    <w:rsid w:val="003B530C"/>
    <w:rPr>
      <w:vertAlign w:val="superscript"/>
    </w:rPr>
  </w:style>
  <w:style w:type="character" w:styleId="Strong">
    <w:name w:val="Strong"/>
    <w:basedOn w:val="DefaultParagraphFont"/>
    <w:uiPriority w:val="22"/>
    <w:qFormat/>
    <w:rsid w:val="00D3360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www.bls.gov/oes/current/oes_nat.htm" TargetMode="External" /><Relationship Id="rId11" Type="http://schemas.openxmlformats.org/officeDocument/2006/relationships/hyperlink" Target="https://www.opm.gov/policy-data-oversight/pay-leave/salaries-wages/salary-tables/pdf/2022/DCB_h.pdf" TargetMode="External" /><Relationship Id="rId12" Type="http://schemas.openxmlformats.org/officeDocument/2006/relationships/footer" Target="footer1.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cms.gov/medicare/medicare-advantage/plan-payment/medicallossratio"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1D0172DD836F445BB84EF63FA12790B" ma:contentTypeVersion="5" ma:contentTypeDescription="Create a new document." ma:contentTypeScope="" ma:versionID="9d87971a042bc2e84f6c520ba7331287">
  <xsd:schema xmlns:xsd="http://www.w3.org/2001/XMLSchema" xmlns:xs="http://www.w3.org/2001/XMLSchema" xmlns:p="http://schemas.microsoft.com/office/2006/metadata/properties" xmlns:ns2="d8761396-434c-46b5-9e27-dd153435f1e0" targetNamespace="http://schemas.microsoft.com/office/2006/metadata/properties" ma:root="true" ma:fieldsID="5f080c6e809288ead867a0531615a9b4" ns2:_="">
    <xsd:import namespace="d8761396-434c-46b5-9e27-dd153435f1e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761396-434c-46b5-9e27-dd153435f1e0"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689A5D-0A04-4D10-BEC3-8A5B86B71ECE}">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8761396-434c-46b5-9e27-dd153435f1e0"/>
    <ds:schemaRef ds:uri="http://www.w3.org/XML/1998/namespace"/>
    <ds:schemaRef ds:uri="http://purl.org/dc/dcmitype/"/>
  </ds:schemaRefs>
</ds:datastoreItem>
</file>

<file path=customXml/itemProps2.xml><?xml version="1.0" encoding="utf-8"?>
<ds:datastoreItem xmlns:ds="http://schemas.openxmlformats.org/officeDocument/2006/customXml" ds:itemID="{36450F03-4287-4936-8214-C7DE2E78F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761396-434c-46b5-9e27-dd153435f1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3FDE9C-BB79-4879-AAFC-59287841044D}">
  <ds:schemaRefs>
    <ds:schemaRef ds:uri="http://schemas.microsoft.com/sharepoint/v3/contenttype/forms"/>
  </ds:schemaRefs>
</ds:datastoreItem>
</file>

<file path=customXml/itemProps4.xml><?xml version="1.0" encoding="utf-8"?>
<ds:datastoreItem xmlns:ds="http://schemas.openxmlformats.org/officeDocument/2006/customXml" ds:itemID="{71C47305-AC9E-4E7A-8BCC-06F674F33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TotalTime>
  <Pages>15</Pages>
  <Words>5946</Words>
  <Characters>33893</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Medical Loss Ratio (MLR) Report for Medicare Advantage (MA) Plans and Prescription Drug Plans (PDP)</vt:lpstr>
    </vt:vector>
  </TitlesOfParts>
  <Company>CMS</Company>
  <LinksUpToDate>false</LinksUpToDate>
  <CharactersWithSpaces>39760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Medical Loss Ratio (MLR) Report for Medicare Advantage (MA) Plans and Prescription Drug Plans (PDP)</dc:title>
  <dc:creator>HHS/CMS</dc:creator>
  <cp:lastModifiedBy>Mitch Bryman</cp:lastModifiedBy>
  <cp:revision>22</cp:revision>
  <cp:lastPrinted>2020-03-05T15:53:00Z</cp:lastPrinted>
  <dcterms:created xsi:type="dcterms:W3CDTF">2023-05-24T12:58:00Z</dcterms:created>
  <dcterms:modified xsi:type="dcterms:W3CDTF">2023-05-24T14:07:00Z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0x01010001D0172DD836F445BB84EF63FA12790B</vt:lpwstr>
  </property>
  <property fmtid="{D5CDD505-2E9C-101B-9397-08002B2CF9AE}" pid="3" name="_NewReviewCycle">
    <vt:lpwstr/>
  </property>
</Properties>
</file>