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6823" w:rsidR="00BC0BF9" w:rsidP="00BC0BF9" w:rsidRDefault="00BC0BF9" w14:paraId="47F568E7" w14:textId="46F4C7BA">
      <w:pPr>
        <w:jc w:val="center"/>
        <w:rPr>
          <w:b/>
        </w:rPr>
      </w:pPr>
      <w:r w:rsidRPr="00BF6823">
        <w:rPr>
          <w:b/>
        </w:rPr>
        <w:t>Generic Clearance</w:t>
      </w:r>
    </w:p>
    <w:p w:rsidRPr="00BF6823" w:rsidR="00BC0BF9" w:rsidP="00BC0BF9" w:rsidRDefault="00BC0BF9" w14:paraId="2CC64E85" w14:textId="77777777">
      <w:pPr>
        <w:pStyle w:val="Body"/>
        <w:jc w:val="center"/>
      </w:pPr>
    </w:p>
    <w:p w:rsidRPr="00BF6823" w:rsidR="00BC0BF9" w:rsidP="00BC0BF9" w:rsidRDefault="00BC0BF9" w14:paraId="4EBF0DAC" w14:textId="77777777">
      <w:pPr>
        <w:jc w:val="center"/>
        <w:rPr>
          <w:b/>
        </w:rPr>
      </w:pPr>
      <w:r w:rsidRPr="00BF6823">
        <w:rPr>
          <w:b/>
        </w:rPr>
        <w:t>“Assessments to Inform Program Refinement for HIV, other STD, and Pregnancy Prevention among Middle and High-School Aged Youth”</w:t>
      </w:r>
    </w:p>
    <w:p w:rsidRPr="00BF6823" w:rsidR="00BC0BF9" w:rsidP="00BC0BF9" w:rsidRDefault="00BC0BF9" w14:paraId="127C52A8" w14:textId="77777777"/>
    <w:p w:rsidRPr="00BF6823" w:rsidR="00BC0BF9" w:rsidP="00BC0BF9" w:rsidRDefault="00BC0BF9" w14:paraId="467BC256" w14:textId="1209868D">
      <w:pPr>
        <w:jc w:val="center"/>
        <w:rPr>
          <w:bCs/>
          <w:iCs/>
        </w:rPr>
      </w:pPr>
      <w:r w:rsidRPr="00BF6823">
        <w:rPr>
          <w:bCs/>
          <w:iCs/>
        </w:rPr>
        <w:t>OMB #0920-</w:t>
      </w:r>
      <w:r w:rsidR="009326AD">
        <w:rPr>
          <w:bCs/>
          <w:iCs/>
        </w:rPr>
        <w:t>1235</w:t>
      </w:r>
    </w:p>
    <w:p w:rsidRPr="00BF6823" w:rsidR="00BC0BF9" w:rsidP="00BC0BF9" w:rsidRDefault="00BC0BF9" w14:paraId="14DB25C7" w14:textId="574DD810">
      <w:pPr>
        <w:jc w:val="center"/>
        <w:rPr>
          <w:bCs/>
          <w:iCs/>
        </w:rPr>
      </w:pPr>
      <w:r w:rsidRPr="00BF6823">
        <w:rPr>
          <w:bCs/>
          <w:iCs/>
        </w:rPr>
        <w:t xml:space="preserve">Expiration: </w:t>
      </w:r>
      <w:r w:rsidRPr="002755C6" w:rsidR="002755C6">
        <w:rPr>
          <w:bCs/>
          <w:iCs/>
        </w:rPr>
        <w:t>05/31/2022</w:t>
      </w:r>
    </w:p>
    <w:p w:rsidRPr="00BF6823" w:rsidR="00BC0BF9" w:rsidP="00BC0BF9" w:rsidRDefault="00BC0BF9" w14:paraId="3644F02D" w14:textId="77777777">
      <w:pPr>
        <w:jc w:val="center"/>
        <w:rPr>
          <w:bCs/>
          <w:iCs/>
        </w:rPr>
      </w:pPr>
    </w:p>
    <w:p w:rsidRPr="00BF6823" w:rsidR="00BC0BF9" w:rsidP="00BC0BF9" w:rsidRDefault="00BC0BF9" w14:paraId="0DBEC09F" w14:textId="77777777">
      <w:pPr>
        <w:jc w:val="center"/>
        <w:rPr>
          <w:bCs/>
          <w:iCs/>
        </w:rPr>
      </w:pPr>
      <w:r w:rsidRPr="00BF6823">
        <w:rPr>
          <w:bCs/>
          <w:iCs/>
        </w:rPr>
        <w:t>Supporting Statement Part A</w:t>
      </w:r>
    </w:p>
    <w:p w:rsidRPr="00BF6823" w:rsidR="00BC0BF9" w:rsidP="00BC0BF9" w:rsidRDefault="00BC0BF9" w14:paraId="69F0582B" w14:textId="77777777">
      <w:pPr>
        <w:jc w:val="center"/>
        <w:rPr>
          <w:bCs/>
          <w:iCs/>
        </w:rPr>
      </w:pPr>
    </w:p>
    <w:p w:rsidRPr="00BF6823" w:rsidR="00BC0BF9" w:rsidP="00BC0BF9" w:rsidRDefault="00BC0BF9" w14:paraId="4473639B" w14:textId="77777777"/>
    <w:p w:rsidRPr="00BF6823" w:rsidR="00BC0BF9" w:rsidP="00BC0BF9" w:rsidRDefault="00BC0BF9" w14:paraId="19C10010" w14:textId="77777777"/>
    <w:p w:rsidRPr="00BF6823" w:rsidR="00BC0BF9" w:rsidP="00BC0BF9" w:rsidRDefault="00BC0BF9" w14:paraId="1C2C159F" w14:textId="77777777"/>
    <w:p w:rsidRPr="00BF6823" w:rsidR="00BC0BF9" w:rsidP="00BC0BF9" w:rsidRDefault="00486ED3" w14:paraId="624623E4" w14:textId="3DDC7CC6">
      <w:pPr>
        <w:jc w:val="center"/>
      </w:pPr>
      <w:r>
        <w:t>November 17</w:t>
      </w:r>
      <w:r w:rsidR="00BC0BF9">
        <w:t>, 2021</w:t>
      </w:r>
    </w:p>
    <w:p w:rsidRPr="00BF6823" w:rsidR="00BC0BF9" w:rsidP="00BC0BF9" w:rsidRDefault="00BC0BF9" w14:paraId="37DBC555" w14:textId="77777777"/>
    <w:p w:rsidRPr="00BF6823" w:rsidR="00BC0BF9" w:rsidP="00BC0BF9" w:rsidRDefault="00BC0BF9" w14:paraId="052E301D" w14:textId="77777777"/>
    <w:p w:rsidRPr="00BF6823" w:rsidR="00BC0BF9" w:rsidP="00BC0BF9" w:rsidRDefault="00BC0BF9" w14:paraId="57F88108" w14:textId="77777777"/>
    <w:p w:rsidRPr="00BF6823" w:rsidR="00BC0BF9" w:rsidP="00BC0BF9" w:rsidRDefault="00BC0BF9" w14:paraId="737AE818" w14:textId="77777777">
      <w:pPr>
        <w:jc w:val="center"/>
      </w:pPr>
      <w:r w:rsidRPr="00BF6823">
        <w:t>Supported by:</w:t>
      </w:r>
    </w:p>
    <w:p w:rsidRPr="00BF6823" w:rsidR="00BC0BF9" w:rsidP="00BC0BF9" w:rsidRDefault="00BC0BF9" w14:paraId="4D26D8E7" w14:textId="77777777">
      <w:pPr>
        <w:jc w:val="center"/>
      </w:pPr>
    </w:p>
    <w:p w:rsidRPr="00BF6823" w:rsidR="00BC0BF9" w:rsidP="00BC0BF9" w:rsidRDefault="00BC0BF9" w14:paraId="665BFD3E" w14:textId="77777777">
      <w:pPr>
        <w:jc w:val="center"/>
      </w:pPr>
      <w:r w:rsidRPr="00BF6823">
        <w:t>Division of Adolescent and School Health</w:t>
      </w:r>
    </w:p>
    <w:p w:rsidRPr="00BF6823" w:rsidR="00BC0BF9" w:rsidP="00BC0BF9" w:rsidRDefault="00BC0BF9" w14:paraId="720F1FDE" w14:textId="77777777">
      <w:pPr>
        <w:jc w:val="center"/>
      </w:pPr>
      <w:r w:rsidRPr="00BF6823">
        <w:t>Centers for Disease Control and Prevention</w:t>
      </w:r>
    </w:p>
    <w:p w:rsidRPr="00BF6823" w:rsidR="00BC0BF9" w:rsidP="00BC0BF9" w:rsidRDefault="00BC0BF9" w14:paraId="49467A83" w14:textId="77777777">
      <w:pPr>
        <w:jc w:val="center"/>
      </w:pPr>
    </w:p>
    <w:p w:rsidRPr="00BF6823" w:rsidR="00BC0BF9" w:rsidP="00BC0BF9" w:rsidRDefault="00BC0BF9" w14:paraId="2FD6DEF7"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F6823">
        <w:t>Catherine Rasberry, PhD</w:t>
      </w:r>
    </w:p>
    <w:p w:rsidRPr="00BF6823" w:rsidR="00BC0BF9" w:rsidP="00BC0BF9" w:rsidRDefault="00BC0BF9" w14:paraId="6134685E"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F6823">
        <w:t>CDC/OID/NCHHSTP, Health Scientist</w:t>
      </w:r>
    </w:p>
    <w:p w:rsidRPr="00BF6823" w:rsidR="00BC0BF9" w:rsidP="00BC0BF9" w:rsidRDefault="00BC0BF9" w14:paraId="3294D8A8"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F6823">
        <w:t>(404) 718-8170</w:t>
      </w:r>
    </w:p>
    <w:p w:rsidRPr="00BF6823" w:rsidR="00BC0BF9" w:rsidP="00BC0BF9" w:rsidRDefault="000818D6" w14:paraId="13487E33"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hyperlink w:history="1" r:id="rId7">
        <w:r w:rsidRPr="00BF6823" w:rsidR="00BC0BF9">
          <w:rPr>
            <w:rStyle w:val="Hyperlink"/>
          </w:rPr>
          <w:t>Crasberry@cdc.gov</w:t>
        </w:r>
      </w:hyperlink>
    </w:p>
    <w:p w:rsidRPr="00BF6823" w:rsidR="00BC0BF9" w:rsidP="00BC0BF9" w:rsidRDefault="00BC0BF9" w14:paraId="5F1E23D9"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Pr="00BF6823" w:rsidR="00BC0BF9" w:rsidP="00BC0BF9" w:rsidRDefault="00BC0BF9" w14:paraId="225213F3"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Pr="00BF6823" w:rsidR="00BC0BF9" w:rsidP="00BC0BF9" w:rsidRDefault="00BC0BF9" w14:paraId="41D41C22"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Pr="00BF6823" w:rsidR="00BC0BF9" w:rsidP="00BC0BF9" w:rsidRDefault="00BC0BF9" w14:paraId="01480971" w14:textId="77777777">
      <w:r w:rsidRPr="00BF6823">
        <w:br w:type="page"/>
      </w:r>
      <w:bookmarkStart w:name="_Toc227033740" w:id="0"/>
    </w:p>
    <w:bookmarkStart w:name="_Toc352670576" w:displacedByCustomXml="next" w:id="1"/>
    <w:sdt>
      <w:sdtPr>
        <w:rPr>
          <w:bCs/>
        </w:rPr>
        <w:id w:val="1550837655"/>
        <w:docPartObj>
          <w:docPartGallery w:val="Table of Contents"/>
          <w:docPartUnique/>
        </w:docPartObj>
      </w:sdtPr>
      <w:sdtEndPr>
        <w:rPr>
          <w:bCs w:val="0"/>
        </w:rPr>
      </w:sdtEndPr>
      <w:sdtContent>
        <w:p w:rsidRPr="00BF6823" w:rsidR="00BC0BF9" w:rsidP="00BC0BF9" w:rsidRDefault="00BC0BF9" w14:paraId="439ED34C" w14:textId="77777777">
          <w:pPr>
            <w:jc w:val="center"/>
          </w:pPr>
          <w:r w:rsidRPr="00BF6823">
            <w:rPr>
              <w:bCs/>
            </w:rPr>
            <w:t xml:space="preserve">Table of </w:t>
          </w:r>
          <w:r w:rsidRPr="00BF6823">
            <w:t>Contents</w:t>
          </w:r>
        </w:p>
        <w:p w:rsidRPr="00BF6823" w:rsidR="00BC0BF9" w:rsidP="00BC0BF9" w:rsidRDefault="00BC0BF9" w14:paraId="3F1CDAA2" w14:textId="77777777">
          <w:pPr>
            <w:jc w:val="center"/>
            <w:rPr>
              <w:rFonts w:eastAsiaTheme="majorEastAsia"/>
              <w:bCs/>
              <w:color w:val="2F5496" w:themeColor="accent1" w:themeShade="BF"/>
            </w:rPr>
          </w:pPr>
        </w:p>
        <w:p w:rsidRPr="00361261" w:rsidR="00BC0BF9" w:rsidP="00BC0BF9" w:rsidRDefault="00BC0BF9" w14:paraId="50FC5DDB" w14:textId="77777777">
          <w:pPr>
            <w:pStyle w:val="TOC1"/>
            <w:rPr>
              <w:rFonts w:asciiTheme="minorHAnsi" w:hAnsiTheme="minorHAnsi" w:eastAsiaTheme="minorEastAsia" w:cstheme="minorBidi"/>
              <w:b w:val="0"/>
              <w:sz w:val="22"/>
              <w:szCs w:val="22"/>
            </w:rPr>
          </w:pPr>
          <w:r w:rsidRPr="00BF6823">
            <w:rPr>
              <w:rFonts w:eastAsiaTheme="majorEastAsia"/>
              <w:bCs/>
              <w:color w:val="2F5496" w:themeColor="accent1" w:themeShade="BF"/>
            </w:rPr>
            <w:fldChar w:fldCharType="begin"/>
          </w:r>
          <w:r w:rsidRPr="00BF6823">
            <w:instrText xml:space="preserve"> TOC \o "1-3" \h \z \u </w:instrText>
          </w:r>
          <w:r w:rsidRPr="00BF6823">
            <w:rPr>
              <w:rFonts w:eastAsiaTheme="majorEastAsia"/>
              <w:bCs/>
              <w:color w:val="2F5496" w:themeColor="accent1" w:themeShade="BF"/>
            </w:rPr>
            <w:fldChar w:fldCharType="separate"/>
          </w:r>
          <w:hyperlink w:history="1" w:anchor="_Toc458693472">
            <w:r w:rsidRPr="00361261">
              <w:rPr>
                <w:rStyle w:val="Hyperlink"/>
                <w:b w:val="0"/>
              </w:rPr>
              <w:t>A1. Circumstances Making the Collection of Information Necessary</w:t>
            </w:r>
            <w:r w:rsidRPr="00361261">
              <w:rPr>
                <w:b w:val="0"/>
                <w:webHidden/>
              </w:rPr>
              <w:tab/>
            </w:r>
            <w:r w:rsidRPr="00361261">
              <w:rPr>
                <w:b w:val="0"/>
                <w:webHidden/>
              </w:rPr>
              <w:fldChar w:fldCharType="begin"/>
            </w:r>
            <w:r w:rsidRPr="00361261">
              <w:rPr>
                <w:b w:val="0"/>
                <w:webHidden/>
              </w:rPr>
              <w:instrText xml:space="preserve"> PAGEREF _Toc458693472 \h </w:instrText>
            </w:r>
            <w:r w:rsidRPr="00361261">
              <w:rPr>
                <w:b w:val="0"/>
                <w:webHidden/>
              </w:rPr>
            </w:r>
            <w:r w:rsidRPr="00361261">
              <w:rPr>
                <w:b w:val="0"/>
                <w:webHidden/>
              </w:rPr>
              <w:fldChar w:fldCharType="separate"/>
            </w:r>
            <w:r w:rsidRPr="00361261">
              <w:rPr>
                <w:b w:val="0"/>
                <w:webHidden/>
              </w:rPr>
              <w:t>5</w:t>
            </w:r>
            <w:r w:rsidRPr="00361261">
              <w:rPr>
                <w:b w:val="0"/>
                <w:webHidden/>
              </w:rPr>
              <w:fldChar w:fldCharType="end"/>
            </w:r>
          </w:hyperlink>
        </w:p>
        <w:p w:rsidRPr="00361261" w:rsidR="00BC0BF9" w:rsidP="00BC0BF9" w:rsidRDefault="000818D6" w14:paraId="7CA96EB3" w14:textId="77777777">
          <w:pPr>
            <w:pStyle w:val="TOC1"/>
            <w:rPr>
              <w:rFonts w:asciiTheme="minorHAnsi" w:hAnsiTheme="minorHAnsi" w:eastAsiaTheme="minorEastAsia" w:cstheme="minorBidi"/>
              <w:b w:val="0"/>
              <w:sz w:val="22"/>
              <w:szCs w:val="22"/>
            </w:rPr>
          </w:pPr>
          <w:hyperlink w:history="1" w:anchor="_Toc458693473">
            <w:r w:rsidRPr="00361261" w:rsidR="00BC0BF9">
              <w:rPr>
                <w:rStyle w:val="Hyperlink"/>
                <w:b w:val="0"/>
              </w:rPr>
              <w:t>A.2 Purpose and Use of Information Collection</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_Toc458693473 \h </w:instrText>
            </w:r>
            <w:r w:rsidRPr="00361261" w:rsidR="00BC0BF9">
              <w:rPr>
                <w:b w:val="0"/>
                <w:webHidden/>
              </w:rPr>
            </w:r>
            <w:r w:rsidRPr="00361261" w:rsidR="00BC0BF9">
              <w:rPr>
                <w:b w:val="0"/>
                <w:webHidden/>
              </w:rPr>
              <w:fldChar w:fldCharType="separate"/>
            </w:r>
            <w:r w:rsidRPr="00361261" w:rsidR="00BC0BF9">
              <w:rPr>
                <w:b w:val="0"/>
                <w:webHidden/>
              </w:rPr>
              <w:t>6</w:t>
            </w:r>
            <w:r w:rsidRPr="00361261" w:rsidR="00BC0BF9">
              <w:rPr>
                <w:b w:val="0"/>
                <w:webHidden/>
              </w:rPr>
              <w:fldChar w:fldCharType="end"/>
            </w:r>
          </w:hyperlink>
        </w:p>
        <w:p w:rsidRPr="00361261" w:rsidR="00BC0BF9" w:rsidP="00BC0BF9" w:rsidRDefault="000818D6" w14:paraId="0B08C88F" w14:textId="77777777">
          <w:pPr>
            <w:pStyle w:val="TOC1"/>
            <w:rPr>
              <w:rFonts w:asciiTheme="minorHAnsi" w:hAnsiTheme="minorHAnsi" w:eastAsiaTheme="minorEastAsia" w:cstheme="minorBidi"/>
              <w:b w:val="0"/>
              <w:sz w:val="22"/>
              <w:szCs w:val="22"/>
            </w:rPr>
          </w:pPr>
          <w:hyperlink w:history="1" w:anchor="_Toc458693474">
            <w:r w:rsidRPr="00361261" w:rsidR="00BC0BF9">
              <w:rPr>
                <w:rStyle w:val="Hyperlink"/>
                <w:b w:val="0"/>
              </w:rPr>
              <w:t>A.3 Use of Improved Information Technology and Burden Reduction</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_Toc458693474 \h </w:instrText>
            </w:r>
            <w:r w:rsidRPr="00361261" w:rsidR="00BC0BF9">
              <w:rPr>
                <w:b w:val="0"/>
                <w:webHidden/>
              </w:rPr>
            </w:r>
            <w:r w:rsidRPr="00361261" w:rsidR="00BC0BF9">
              <w:rPr>
                <w:b w:val="0"/>
                <w:webHidden/>
              </w:rPr>
              <w:fldChar w:fldCharType="separate"/>
            </w:r>
            <w:r w:rsidRPr="00361261" w:rsidR="00BC0BF9">
              <w:rPr>
                <w:b w:val="0"/>
                <w:webHidden/>
              </w:rPr>
              <w:t>9</w:t>
            </w:r>
            <w:r w:rsidRPr="00361261" w:rsidR="00BC0BF9">
              <w:rPr>
                <w:b w:val="0"/>
                <w:webHidden/>
              </w:rPr>
              <w:fldChar w:fldCharType="end"/>
            </w:r>
          </w:hyperlink>
        </w:p>
        <w:p w:rsidRPr="00361261" w:rsidR="00BC0BF9" w:rsidP="00BC0BF9" w:rsidRDefault="000818D6" w14:paraId="6B02CF6B" w14:textId="77777777">
          <w:pPr>
            <w:pStyle w:val="TOC1"/>
            <w:rPr>
              <w:rFonts w:asciiTheme="minorHAnsi" w:hAnsiTheme="minorHAnsi" w:eastAsiaTheme="minorEastAsia" w:cstheme="minorBidi"/>
              <w:b w:val="0"/>
              <w:sz w:val="22"/>
              <w:szCs w:val="22"/>
            </w:rPr>
          </w:pPr>
          <w:hyperlink w:history="1" w:anchor="_Toc458693475">
            <w:r w:rsidRPr="00361261" w:rsidR="00BC0BF9">
              <w:rPr>
                <w:rStyle w:val="Hyperlink"/>
                <w:b w:val="0"/>
              </w:rPr>
              <w:t>A.4 Efforts to Identify Duplication and Use of Similar Information</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_Toc458693475 \h </w:instrText>
            </w:r>
            <w:r w:rsidRPr="00361261" w:rsidR="00BC0BF9">
              <w:rPr>
                <w:b w:val="0"/>
                <w:webHidden/>
              </w:rPr>
            </w:r>
            <w:r w:rsidRPr="00361261" w:rsidR="00BC0BF9">
              <w:rPr>
                <w:b w:val="0"/>
                <w:webHidden/>
              </w:rPr>
              <w:fldChar w:fldCharType="separate"/>
            </w:r>
            <w:r w:rsidRPr="00361261" w:rsidR="00BC0BF9">
              <w:rPr>
                <w:b w:val="0"/>
                <w:webHidden/>
              </w:rPr>
              <w:t>9</w:t>
            </w:r>
            <w:r w:rsidRPr="00361261" w:rsidR="00BC0BF9">
              <w:rPr>
                <w:b w:val="0"/>
                <w:webHidden/>
              </w:rPr>
              <w:fldChar w:fldCharType="end"/>
            </w:r>
          </w:hyperlink>
        </w:p>
        <w:p w:rsidRPr="00361261" w:rsidR="00BC0BF9" w:rsidP="00BC0BF9" w:rsidRDefault="000818D6" w14:paraId="65DC21EC" w14:textId="77777777">
          <w:pPr>
            <w:pStyle w:val="TOC1"/>
            <w:rPr>
              <w:rFonts w:asciiTheme="minorHAnsi" w:hAnsiTheme="minorHAnsi" w:eastAsiaTheme="minorEastAsia" w:cstheme="minorBidi"/>
              <w:b w:val="0"/>
              <w:sz w:val="22"/>
              <w:szCs w:val="22"/>
            </w:rPr>
          </w:pPr>
          <w:hyperlink w:history="1" w:anchor="_Toc458693476">
            <w:r w:rsidRPr="00361261" w:rsidR="00BC0BF9">
              <w:rPr>
                <w:rStyle w:val="Hyperlink"/>
                <w:b w:val="0"/>
              </w:rPr>
              <w:t>A.5 Impact of Small Businesses or Other Small Entities</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_Toc458693476 \h </w:instrText>
            </w:r>
            <w:r w:rsidRPr="00361261" w:rsidR="00BC0BF9">
              <w:rPr>
                <w:b w:val="0"/>
                <w:webHidden/>
              </w:rPr>
            </w:r>
            <w:r w:rsidRPr="00361261" w:rsidR="00BC0BF9">
              <w:rPr>
                <w:b w:val="0"/>
                <w:webHidden/>
              </w:rPr>
              <w:fldChar w:fldCharType="separate"/>
            </w:r>
            <w:r w:rsidRPr="00361261" w:rsidR="00BC0BF9">
              <w:rPr>
                <w:b w:val="0"/>
                <w:webHidden/>
              </w:rPr>
              <w:t>10</w:t>
            </w:r>
            <w:r w:rsidRPr="00361261" w:rsidR="00BC0BF9">
              <w:rPr>
                <w:b w:val="0"/>
                <w:webHidden/>
              </w:rPr>
              <w:fldChar w:fldCharType="end"/>
            </w:r>
          </w:hyperlink>
        </w:p>
        <w:p w:rsidRPr="00361261" w:rsidR="00BC0BF9" w:rsidP="00BC0BF9" w:rsidRDefault="000818D6" w14:paraId="490E43DC" w14:textId="77777777">
          <w:pPr>
            <w:pStyle w:val="TOC1"/>
            <w:rPr>
              <w:rFonts w:asciiTheme="minorHAnsi" w:hAnsiTheme="minorHAnsi" w:eastAsiaTheme="minorEastAsia" w:cstheme="minorBidi"/>
              <w:b w:val="0"/>
              <w:sz w:val="22"/>
              <w:szCs w:val="22"/>
            </w:rPr>
          </w:pPr>
          <w:hyperlink w:history="1" w:anchor="_Toc458693477">
            <w:r w:rsidRPr="00361261" w:rsidR="00BC0BF9">
              <w:rPr>
                <w:rStyle w:val="Hyperlink"/>
                <w:b w:val="0"/>
              </w:rPr>
              <w:t>A.6 Consequences of Collecting the Information Less Frequently</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_Toc458693477 \h </w:instrText>
            </w:r>
            <w:r w:rsidRPr="00361261" w:rsidR="00BC0BF9">
              <w:rPr>
                <w:b w:val="0"/>
                <w:webHidden/>
              </w:rPr>
            </w:r>
            <w:r w:rsidRPr="00361261" w:rsidR="00BC0BF9">
              <w:rPr>
                <w:b w:val="0"/>
                <w:webHidden/>
              </w:rPr>
              <w:fldChar w:fldCharType="separate"/>
            </w:r>
            <w:r w:rsidRPr="00361261" w:rsidR="00BC0BF9">
              <w:rPr>
                <w:b w:val="0"/>
                <w:webHidden/>
              </w:rPr>
              <w:t>10</w:t>
            </w:r>
            <w:r w:rsidRPr="00361261" w:rsidR="00BC0BF9">
              <w:rPr>
                <w:b w:val="0"/>
                <w:webHidden/>
              </w:rPr>
              <w:fldChar w:fldCharType="end"/>
            </w:r>
          </w:hyperlink>
        </w:p>
        <w:p w:rsidRPr="00361261" w:rsidR="00BC0BF9" w:rsidP="00BC0BF9" w:rsidRDefault="000818D6" w14:paraId="434E22B1" w14:textId="77777777">
          <w:pPr>
            <w:pStyle w:val="TOC1"/>
            <w:rPr>
              <w:rFonts w:asciiTheme="minorHAnsi" w:hAnsiTheme="minorHAnsi" w:eastAsiaTheme="minorEastAsia" w:cstheme="minorBidi"/>
              <w:b w:val="0"/>
              <w:sz w:val="22"/>
              <w:szCs w:val="22"/>
            </w:rPr>
          </w:pPr>
          <w:hyperlink w:history="1" w:anchor="_Toc458693478">
            <w:r w:rsidRPr="00361261" w:rsidR="00BC0BF9">
              <w:rPr>
                <w:rStyle w:val="Hyperlink"/>
                <w:b w:val="0"/>
              </w:rPr>
              <w:t>A.7 Special Circumstances Relating to the Guidelines of 5 CFR 1320.5</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_Toc458693478 \h </w:instrText>
            </w:r>
            <w:r w:rsidRPr="00361261" w:rsidR="00BC0BF9">
              <w:rPr>
                <w:b w:val="0"/>
                <w:webHidden/>
              </w:rPr>
            </w:r>
            <w:r w:rsidRPr="00361261" w:rsidR="00BC0BF9">
              <w:rPr>
                <w:b w:val="0"/>
                <w:webHidden/>
              </w:rPr>
              <w:fldChar w:fldCharType="separate"/>
            </w:r>
            <w:r w:rsidRPr="00361261" w:rsidR="00BC0BF9">
              <w:rPr>
                <w:b w:val="0"/>
                <w:webHidden/>
              </w:rPr>
              <w:t>10</w:t>
            </w:r>
            <w:r w:rsidRPr="00361261" w:rsidR="00BC0BF9">
              <w:rPr>
                <w:b w:val="0"/>
                <w:webHidden/>
              </w:rPr>
              <w:fldChar w:fldCharType="end"/>
            </w:r>
          </w:hyperlink>
        </w:p>
        <w:p w:rsidRPr="00361261" w:rsidR="00BC0BF9" w:rsidP="00BC0BF9" w:rsidRDefault="000818D6" w14:paraId="2795BCFD" w14:textId="77777777">
          <w:pPr>
            <w:pStyle w:val="TOC1"/>
            <w:rPr>
              <w:rFonts w:asciiTheme="minorHAnsi" w:hAnsiTheme="minorHAnsi" w:eastAsiaTheme="minorEastAsia" w:cstheme="minorBidi"/>
              <w:b w:val="0"/>
              <w:sz w:val="22"/>
              <w:szCs w:val="22"/>
            </w:rPr>
          </w:pPr>
          <w:hyperlink w:history="1" w:anchor="_Toc458693479">
            <w:r w:rsidRPr="00361261" w:rsidR="00BC0BF9">
              <w:rPr>
                <w:rStyle w:val="Hyperlink"/>
                <w:b w:val="0"/>
              </w:rPr>
              <w:t>A.</w:t>
            </w:r>
            <w:r w:rsidRPr="00361261" w:rsidR="00BC0BF9">
              <w:rPr>
                <w:rFonts w:asciiTheme="minorHAnsi" w:hAnsiTheme="minorHAnsi" w:eastAsiaTheme="minorEastAsia" w:cstheme="minorBidi"/>
                <w:b w:val="0"/>
                <w:sz w:val="22"/>
                <w:szCs w:val="22"/>
              </w:rPr>
              <w:tab/>
            </w:r>
            <w:r w:rsidRPr="00361261" w:rsidR="00BC0BF9">
              <w:rPr>
                <w:rStyle w:val="Hyperlink"/>
                <w:b w:val="0"/>
              </w:rPr>
              <w:t>8 Comments in Response to the Federal Register Notice and Efforts to Consult Outside the Agency</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_Toc458693479 \h </w:instrText>
            </w:r>
            <w:r w:rsidRPr="00361261" w:rsidR="00BC0BF9">
              <w:rPr>
                <w:b w:val="0"/>
                <w:webHidden/>
              </w:rPr>
            </w:r>
            <w:r w:rsidRPr="00361261" w:rsidR="00BC0BF9">
              <w:rPr>
                <w:b w:val="0"/>
                <w:webHidden/>
              </w:rPr>
              <w:fldChar w:fldCharType="separate"/>
            </w:r>
            <w:r w:rsidRPr="00361261" w:rsidR="00BC0BF9">
              <w:rPr>
                <w:b w:val="0"/>
                <w:webHidden/>
              </w:rPr>
              <w:t>11</w:t>
            </w:r>
            <w:r w:rsidRPr="00361261" w:rsidR="00BC0BF9">
              <w:rPr>
                <w:b w:val="0"/>
                <w:webHidden/>
              </w:rPr>
              <w:fldChar w:fldCharType="end"/>
            </w:r>
          </w:hyperlink>
        </w:p>
        <w:p w:rsidRPr="00361261" w:rsidR="00BC0BF9" w:rsidP="00BC0BF9" w:rsidRDefault="000818D6" w14:paraId="368003D6" w14:textId="77777777">
          <w:pPr>
            <w:pStyle w:val="TOC1"/>
            <w:rPr>
              <w:rFonts w:asciiTheme="minorHAnsi" w:hAnsiTheme="minorHAnsi" w:eastAsiaTheme="minorEastAsia" w:cstheme="minorBidi"/>
              <w:b w:val="0"/>
              <w:sz w:val="22"/>
              <w:szCs w:val="22"/>
            </w:rPr>
          </w:pPr>
          <w:hyperlink w:history="1" w:anchor="_Toc458693480">
            <w:r w:rsidRPr="00361261" w:rsidR="00BC0BF9">
              <w:rPr>
                <w:rStyle w:val="Hyperlink"/>
                <w:b w:val="0"/>
              </w:rPr>
              <w:t>A.9 Explanation of Any Payment or Gift to Respondents</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_Toc458693480 \h </w:instrText>
            </w:r>
            <w:r w:rsidRPr="00361261" w:rsidR="00BC0BF9">
              <w:rPr>
                <w:b w:val="0"/>
                <w:webHidden/>
              </w:rPr>
            </w:r>
            <w:r w:rsidRPr="00361261" w:rsidR="00BC0BF9">
              <w:rPr>
                <w:b w:val="0"/>
                <w:webHidden/>
              </w:rPr>
              <w:fldChar w:fldCharType="separate"/>
            </w:r>
            <w:r w:rsidRPr="00361261" w:rsidR="00BC0BF9">
              <w:rPr>
                <w:b w:val="0"/>
                <w:webHidden/>
              </w:rPr>
              <w:t>11</w:t>
            </w:r>
            <w:r w:rsidRPr="00361261" w:rsidR="00BC0BF9">
              <w:rPr>
                <w:b w:val="0"/>
                <w:webHidden/>
              </w:rPr>
              <w:fldChar w:fldCharType="end"/>
            </w:r>
          </w:hyperlink>
        </w:p>
        <w:p w:rsidRPr="00361261" w:rsidR="00BC0BF9" w:rsidP="00BC0BF9" w:rsidRDefault="000818D6" w14:paraId="681FFEFC" w14:textId="77777777">
          <w:pPr>
            <w:pStyle w:val="TOC1"/>
            <w:rPr>
              <w:rFonts w:asciiTheme="minorHAnsi" w:hAnsiTheme="minorHAnsi" w:eastAsiaTheme="minorEastAsia" w:cstheme="minorBidi"/>
              <w:b w:val="0"/>
              <w:sz w:val="22"/>
              <w:szCs w:val="22"/>
            </w:rPr>
          </w:pPr>
          <w:hyperlink w:history="1" w:anchor="_Toc458693481">
            <w:r w:rsidRPr="00361261" w:rsidR="00BC0BF9">
              <w:rPr>
                <w:rStyle w:val="Hyperlink"/>
                <w:b w:val="0"/>
              </w:rPr>
              <w:t>A.10 Protection of the Privacy and Confidentiality of Provided by Respondents</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_Toc458693481 \h </w:instrText>
            </w:r>
            <w:r w:rsidRPr="00361261" w:rsidR="00BC0BF9">
              <w:rPr>
                <w:b w:val="0"/>
                <w:webHidden/>
              </w:rPr>
            </w:r>
            <w:r w:rsidRPr="00361261" w:rsidR="00BC0BF9">
              <w:rPr>
                <w:b w:val="0"/>
                <w:webHidden/>
              </w:rPr>
              <w:fldChar w:fldCharType="separate"/>
            </w:r>
            <w:r w:rsidRPr="00361261" w:rsidR="00BC0BF9">
              <w:rPr>
                <w:b w:val="0"/>
                <w:webHidden/>
              </w:rPr>
              <w:t>12</w:t>
            </w:r>
            <w:r w:rsidRPr="00361261" w:rsidR="00BC0BF9">
              <w:rPr>
                <w:b w:val="0"/>
                <w:webHidden/>
              </w:rPr>
              <w:fldChar w:fldCharType="end"/>
            </w:r>
          </w:hyperlink>
        </w:p>
        <w:p w:rsidRPr="00361261" w:rsidR="00BC0BF9" w:rsidP="00BC0BF9" w:rsidRDefault="000818D6" w14:paraId="2E85E603" w14:textId="77777777">
          <w:pPr>
            <w:pStyle w:val="TOC1"/>
            <w:rPr>
              <w:rFonts w:asciiTheme="minorHAnsi" w:hAnsiTheme="minorHAnsi" w:eastAsiaTheme="minorEastAsia" w:cstheme="minorBidi"/>
              <w:b w:val="0"/>
              <w:sz w:val="22"/>
              <w:szCs w:val="22"/>
            </w:rPr>
          </w:pPr>
          <w:hyperlink w:history="1" w:anchor="_Toc458693482">
            <w:r w:rsidRPr="00361261" w:rsidR="00BC0BF9">
              <w:rPr>
                <w:rStyle w:val="Hyperlink"/>
                <w:b w:val="0"/>
              </w:rPr>
              <w:t>A.11 Institutional Review Board (IRB) and Justification for Sensitive Questions</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_Toc458693482 \h </w:instrText>
            </w:r>
            <w:r w:rsidRPr="00361261" w:rsidR="00BC0BF9">
              <w:rPr>
                <w:b w:val="0"/>
                <w:webHidden/>
              </w:rPr>
            </w:r>
            <w:r w:rsidRPr="00361261" w:rsidR="00BC0BF9">
              <w:rPr>
                <w:b w:val="0"/>
                <w:webHidden/>
              </w:rPr>
              <w:fldChar w:fldCharType="separate"/>
            </w:r>
            <w:r w:rsidRPr="00361261" w:rsidR="00BC0BF9">
              <w:rPr>
                <w:b w:val="0"/>
                <w:webHidden/>
              </w:rPr>
              <w:t>13</w:t>
            </w:r>
            <w:r w:rsidRPr="00361261" w:rsidR="00BC0BF9">
              <w:rPr>
                <w:b w:val="0"/>
                <w:webHidden/>
              </w:rPr>
              <w:fldChar w:fldCharType="end"/>
            </w:r>
          </w:hyperlink>
        </w:p>
        <w:p w:rsidRPr="00361261" w:rsidR="00BC0BF9" w:rsidP="00BC0BF9" w:rsidRDefault="000818D6" w14:paraId="61D5BA1C" w14:textId="77777777">
          <w:pPr>
            <w:pStyle w:val="TOC1"/>
            <w:rPr>
              <w:rFonts w:asciiTheme="minorHAnsi" w:hAnsiTheme="minorHAnsi" w:eastAsiaTheme="minorEastAsia" w:cstheme="minorBidi"/>
              <w:b w:val="0"/>
              <w:sz w:val="22"/>
              <w:szCs w:val="22"/>
            </w:rPr>
          </w:pPr>
          <w:hyperlink w:history="1" w:anchor="_Toc458693483">
            <w:r w:rsidRPr="00361261" w:rsidR="00BC0BF9">
              <w:rPr>
                <w:rStyle w:val="Hyperlink"/>
                <w:b w:val="0"/>
              </w:rPr>
              <w:t>A.12 Estimates of Annualized Burden Hours and Costs</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_Toc458693483 \h </w:instrText>
            </w:r>
            <w:r w:rsidRPr="00361261" w:rsidR="00BC0BF9">
              <w:rPr>
                <w:b w:val="0"/>
                <w:webHidden/>
              </w:rPr>
            </w:r>
            <w:r w:rsidRPr="00361261" w:rsidR="00BC0BF9">
              <w:rPr>
                <w:b w:val="0"/>
                <w:webHidden/>
              </w:rPr>
              <w:fldChar w:fldCharType="separate"/>
            </w:r>
            <w:r w:rsidRPr="00361261" w:rsidR="00BC0BF9">
              <w:rPr>
                <w:b w:val="0"/>
                <w:webHidden/>
              </w:rPr>
              <w:t>14</w:t>
            </w:r>
            <w:r w:rsidRPr="00361261" w:rsidR="00BC0BF9">
              <w:rPr>
                <w:b w:val="0"/>
                <w:webHidden/>
              </w:rPr>
              <w:fldChar w:fldCharType="end"/>
            </w:r>
          </w:hyperlink>
        </w:p>
        <w:p w:rsidRPr="00361261" w:rsidR="00BC0BF9" w:rsidP="00BC0BF9" w:rsidRDefault="000818D6" w14:paraId="5F51A6C7" w14:textId="77777777">
          <w:pPr>
            <w:pStyle w:val="TOC1"/>
            <w:rPr>
              <w:rFonts w:asciiTheme="minorHAnsi" w:hAnsiTheme="minorHAnsi" w:eastAsiaTheme="minorEastAsia" w:cstheme="minorBidi"/>
              <w:b w:val="0"/>
              <w:sz w:val="22"/>
              <w:szCs w:val="22"/>
            </w:rPr>
          </w:pPr>
          <w:hyperlink w:history="1" w:anchor="_Toc458693484">
            <w:r w:rsidRPr="00361261" w:rsidR="00BC0BF9">
              <w:rPr>
                <w:rStyle w:val="Hyperlink"/>
                <w:b w:val="0"/>
              </w:rPr>
              <w:t>A.13 Estimates of Other Annual Cost Burden to Respondents or Record Keepers</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_Toc458693484 \h </w:instrText>
            </w:r>
            <w:r w:rsidRPr="00361261" w:rsidR="00BC0BF9">
              <w:rPr>
                <w:b w:val="0"/>
                <w:webHidden/>
              </w:rPr>
            </w:r>
            <w:r w:rsidRPr="00361261" w:rsidR="00BC0BF9">
              <w:rPr>
                <w:b w:val="0"/>
                <w:webHidden/>
              </w:rPr>
              <w:fldChar w:fldCharType="separate"/>
            </w:r>
            <w:r w:rsidRPr="00361261" w:rsidR="00BC0BF9">
              <w:rPr>
                <w:b w:val="0"/>
                <w:webHidden/>
              </w:rPr>
              <w:t>17</w:t>
            </w:r>
            <w:r w:rsidRPr="00361261" w:rsidR="00BC0BF9">
              <w:rPr>
                <w:b w:val="0"/>
                <w:webHidden/>
              </w:rPr>
              <w:fldChar w:fldCharType="end"/>
            </w:r>
          </w:hyperlink>
        </w:p>
        <w:p w:rsidRPr="00361261" w:rsidR="00BC0BF9" w:rsidP="00BC0BF9" w:rsidRDefault="000818D6" w14:paraId="5A77FBA1" w14:textId="77777777">
          <w:pPr>
            <w:pStyle w:val="TOC1"/>
            <w:rPr>
              <w:rFonts w:asciiTheme="minorHAnsi" w:hAnsiTheme="minorHAnsi" w:eastAsiaTheme="minorEastAsia" w:cstheme="minorBidi"/>
              <w:b w:val="0"/>
              <w:sz w:val="22"/>
              <w:szCs w:val="22"/>
            </w:rPr>
          </w:pPr>
          <w:hyperlink w:history="1" w:anchor="_Toc458693485">
            <w:r w:rsidRPr="00361261" w:rsidR="00BC0BF9">
              <w:rPr>
                <w:rStyle w:val="Hyperlink"/>
                <w:b w:val="0"/>
              </w:rPr>
              <w:t>A.</w:t>
            </w:r>
            <w:r w:rsidRPr="00361261" w:rsidR="00BC0BF9">
              <w:rPr>
                <w:rFonts w:asciiTheme="minorHAnsi" w:hAnsiTheme="minorHAnsi" w:eastAsiaTheme="minorEastAsia" w:cstheme="minorBidi"/>
                <w:b w:val="0"/>
                <w:sz w:val="22"/>
                <w:szCs w:val="22"/>
              </w:rPr>
              <w:tab/>
            </w:r>
            <w:r w:rsidRPr="00361261" w:rsidR="00BC0BF9">
              <w:rPr>
                <w:rStyle w:val="Hyperlink"/>
                <w:b w:val="0"/>
              </w:rPr>
              <w:t>14 Annualized Cost to Federal Government</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_Toc458693485 \h </w:instrText>
            </w:r>
            <w:r w:rsidRPr="00361261" w:rsidR="00BC0BF9">
              <w:rPr>
                <w:b w:val="0"/>
                <w:webHidden/>
              </w:rPr>
            </w:r>
            <w:r w:rsidRPr="00361261" w:rsidR="00BC0BF9">
              <w:rPr>
                <w:b w:val="0"/>
                <w:webHidden/>
              </w:rPr>
              <w:fldChar w:fldCharType="separate"/>
            </w:r>
            <w:r w:rsidRPr="00361261" w:rsidR="00BC0BF9">
              <w:rPr>
                <w:b w:val="0"/>
                <w:webHidden/>
              </w:rPr>
              <w:t>17</w:t>
            </w:r>
            <w:r w:rsidRPr="00361261" w:rsidR="00BC0BF9">
              <w:rPr>
                <w:b w:val="0"/>
                <w:webHidden/>
              </w:rPr>
              <w:fldChar w:fldCharType="end"/>
            </w:r>
          </w:hyperlink>
        </w:p>
        <w:p w:rsidRPr="00361261" w:rsidR="00BC0BF9" w:rsidP="00BC0BF9" w:rsidRDefault="000818D6" w14:paraId="47FD3970" w14:textId="77777777">
          <w:pPr>
            <w:pStyle w:val="TOC1"/>
            <w:rPr>
              <w:rFonts w:asciiTheme="minorHAnsi" w:hAnsiTheme="minorHAnsi" w:eastAsiaTheme="minorEastAsia" w:cstheme="minorBidi"/>
              <w:b w:val="0"/>
              <w:sz w:val="22"/>
              <w:szCs w:val="22"/>
            </w:rPr>
          </w:pPr>
          <w:hyperlink w:history="1" w:anchor="_Toc458693486">
            <w:r w:rsidRPr="00361261" w:rsidR="00BC0BF9">
              <w:rPr>
                <w:rStyle w:val="Hyperlink"/>
                <w:b w:val="0"/>
              </w:rPr>
              <w:t>A.15 Explanation for Program Changes or Adjustments</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_Toc458693486 \h </w:instrText>
            </w:r>
            <w:r w:rsidRPr="00361261" w:rsidR="00BC0BF9">
              <w:rPr>
                <w:b w:val="0"/>
                <w:webHidden/>
              </w:rPr>
            </w:r>
            <w:r w:rsidRPr="00361261" w:rsidR="00BC0BF9">
              <w:rPr>
                <w:b w:val="0"/>
                <w:webHidden/>
              </w:rPr>
              <w:fldChar w:fldCharType="separate"/>
            </w:r>
            <w:r w:rsidRPr="00361261" w:rsidR="00BC0BF9">
              <w:rPr>
                <w:b w:val="0"/>
                <w:webHidden/>
              </w:rPr>
              <w:t>18</w:t>
            </w:r>
            <w:r w:rsidRPr="00361261" w:rsidR="00BC0BF9">
              <w:rPr>
                <w:b w:val="0"/>
                <w:webHidden/>
              </w:rPr>
              <w:fldChar w:fldCharType="end"/>
            </w:r>
          </w:hyperlink>
        </w:p>
        <w:p w:rsidRPr="00361261" w:rsidR="00BC0BF9" w:rsidP="00BC0BF9" w:rsidRDefault="000818D6" w14:paraId="58915162" w14:textId="77777777">
          <w:pPr>
            <w:pStyle w:val="TOC1"/>
            <w:rPr>
              <w:rFonts w:asciiTheme="minorHAnsi" w:hAnsiTheme="minorHAnsi" w:eastAsiaTheme="minorEastAsia" w:cstheme="minorBidi"/>
              <w:b w:val="0"/>
              <w:sz w:val="22"/>
              <w:szCs w:val="22"/>
            </w:rPr>
          </w:pPr>
          <w:hyperlink w:history="1" w:anchor="_Toc458693487">
            <w:r w:rsidRPr="00361261" w:rsidR="00BC0BF9">
              <w:rPr>
                <w:rStyle w:val="Hyperlink"/>
                <w:b w:val="0"/>
              </w:rPr>
              <w:t>A.16 Plans for Tabulation and Publication and Project Time Schedule</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_Toc458693487 \h </w:instrText>
            </w:r>
            <w:r w:rsidRPr="00361261" w:rsidR="00BC0BF9">
              <w:rPr>
                <w:b w:val="0"/>
                <w:webHidden/>
              </w:rPr>
            </w:r>
            <w:r w:rsidRPr="00361261" w:rsidR="00BC0BF9">
              <w:rPr>
                <w:b w:val="0"/>
                <w:webHidden/>
              </w:rPr>
              <w:fldChar w:fldCharType="separate"/>
            </w:r>
            <w:r w:rsidRPr="00361261" w:rsidR="00BC0BF9">
              <w:rPr>
                <w:b w:val="0"/>
                <w:webHidden/>
              </w:rPr>
              <w:t>18</w:t>
            </w:r>
            <w:r w:rsidRPr="00361261" w:rsidR="00BC0BF9">
              <w:rPr>
                <w:b w:val="0"/>
                <w:webHidden/>
              </w:rPr>
              <w:fldChar w:fldCharType="end"/>
            </w:r>
          </w:hyperlink>
        </w:p>
        <w:p w:rsidRPr="00361261" w:rsidR="00BC0BF9" w:rsidP="00BC0BF9" w:rsidRDefault="000818D6" w14:paraId="59EBF251" w14:textId="77777777">
          <w:pPr>
            <w:pStyle w:val="TOC1"/>
            <w:rPr>
              <w:rFonts w:asciiTheme="minorHAnsi" w:hAnsiTheme="minorHAnsi" w:eastAsiaTheme="minorEastAsia" w:cstheme="minorBidi"/>
              <w:b w:val="0"/>
              <w:sz w:val="22"/>
              <w:szCs w:val="22"/>
            </w:rPr>
          </w:pPr>
          <w:hyperlink w:history="1" w:anchor="_Toc458693488">
            <w:r w:rsidRPr="00361261" w:rsidR="00BC0BF9">
              <w:rPr>
                <w:rStyle w:val="Hyperlink"/>
                <w:b w:val="0"/>
              </w:rPr>
              <w:t>A.17 Reason(s) Display of OMB Expiration Date is Inappropriate</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_Toc458693488 \h </w:instrText>
            </w:r>
            <w:r w:rsidRPr="00361261" w:rsidR="00BC0BF9">
              <w:rPr>
                <w:b w:val="0"/>
                <w:webHidden/>
              </w:rPr>
            </w:r>
            <w:r w:rsidRPr="00361261" w:rsidR="00BC0BF9">
              <w:rPr>
                <w:b w:val="0"/>
                <w:webHidden/>
              </w:rPr>
              <w:fldChar w:fldCharType="separate"/>
            </w:r>
            <w:r w:rsidRPr="00361261" w:rsidR="00BC0BF9">
              <w:rPr>
                <w:b w:val="0"/>
                <w:webHidden/>
              </w:rPr>
              <w:t>19</w:t>
            </w:r>
            <w:r w:rsidRPr="00361261" w:rsidR="00BC0BF9">
              <w:rPr>
                <w:b w:val="0"/>
                <w:webHidden/>
              </w:rPr>
              <w:fldChar w:fldCharType="end"/>
            </w:r>
          </w:hyperlink>
        </w:p>
        <w:p w:rsidRPr="00BF6823" w:rsidR="00BC0BF9" w:rsidP="00BC0BF9" w:rsidRDefault="000818D6" w14:paraId="4BBC05D6" w14:textId="77777777">
          <w:pPr>
            <w:pStyle w:val="TOC1"/>
            <w:rPr>
              <w:rFonts w:asciiTheme="minorHAnsi" w:hAnsiTheme="minorHAnsi" w:eastAsiaTheme="minorEastAsia" w:cstheme="minorBidi"/>
              <w:sz w:val="22"/>
              <w:szCs w:val="22"/>
            </w:rPr>
          </w:pPr>
          <w:hyperlink w:history="1" w:anchor="_Toc458693489">
            <w:r w:rsidRPr="00361261" w:rsidR="00BC0BF9">
              <w:rPr>
                <w:rStyle w:val="Hyperlink"/>
                <w:b w:val="0"/>
              </w:rPr>
              <w:t>A.</w:t>
            </w:r>
            <w:r w:rsidRPr="00361261" w:rsidR="00BC0BF9">
              <w:rPr>
                <w:rFonts w:asciiTheme="minorHAnsi" w:hAnsiTheme="minorHAnsi" w:eastAsiaTheme="minorEastAsia" w:cstheme="minorBidi"/>
                <w:b w:val="0"/>
                <w:sz w:val="22"/>
                <w:szCs w:val="22"/>
              </w:rPr>
              <w:tab/>
            </w:r>
            <w:r w:rsidRPr="00361261" w:rsidR="00BC0BF9">
              <w:rPr>
                <w:rStyle w:val="Hyperlink"/>
                <w:b w:val="0"/>
              </w:rPr>
              <w:t>18 Exceptions to Certification for Paperwork Reduction Act Submissions</w:t>
            </w:r>
            <w:r w:rsidRPr="00361261" w:rsidR="00BC0BF9">
              <w:rPr>
                <w:b w:val="0"/>
                <w:webHidden/>
              </w:rPr>
              <w:tab/>
            </w:r>
            <w:r w:rsidRPr="00361261" w:rsidR="00BC0BF9">
              <w:rPr>
                <w:b w:val="0"/>
                <w:webHidden/>
              </w:rPr>
              <w:fldChar w:fldCharType="begin"/>
            </w:r>
            <w:r w:rsidRPr="00361261" w:rsidR="00BC0BF9">
              <w:rPr>
                <w:b w:val="0"/>
                <w:webHidden/>
              </w:rPr>
              <w:instrText xml:space="preserve"> PAGEREF _Toc458693489 \h </w:instrText>
            </w:r>
            <w:r w:rsidRPr="00361261" w:rsidR="00BC0BF9">
              <w:rPr>
                <w:b w:val="0"/>
                <w:webHidden/>
              </w:rPr>
            </w:r>
            <w:r w:rsidRPr="00361261" w:rsidR="00BC0BF9">
              <w:rPr>
                <w:b w:val="0"/>
                <w:webHidden/>
              </w:rPr>
              <w:fldChar w:fldCharType="separate"/>
            </w:r>
            <w:r w:rsidRPr="00361261" w:rsidR="00BC0BF9">
              <w:rPr>
                <w:b w:val="0"/>
                <w:webHidden/>
              </w:rPr>
              <w:t>19</w:t>
            </w:r>
            <w:r w:rsidRPr="00361261" w:rsidR="00BC0BF9">
              <w:rPr>
                <w:b w:val="0"/>
                <w:webHidden/>
              </w:rPr>
              <w:fldChar w:fldCharType="end"/>
            </w:r>
          </w:hyperlink>
        </w:p>
        <w:p w:rsidRPr="00BF6823" w:rsidR="00BC0BF9" w:rsidP="00BC0BF9" w:rsidRDefault="00BC0BF9" w14:paraId="0738B89D" w14:textId="77777777">
          <w:r w:rsidRPr="00BF6823">
            <w:fldChar w:fldCharType="end"/>
          </w:r>
        </w:p>
      </w:sdtContent>
    </w:sdt>
    <w:p w:rsidRPr="00BF6823" w:rsidR="00BC0BF9" w:rsidP="00BC0BF9" w:rsidRDefault="00BC0BF9" w14:paraId="260F18A8" w14:textId="77777777">
      <w:pPr>
        <w:jc w:val="center"/>
        <w:rPr>
          <w:b/>
        </w:rPr>
      </w:pPr>
      <w:r w:rsidRPr="00BF6823">
        <w:rPr>
          <w:b/>
        </w:rPr>
        <w:t>List of Attachments</w:t>
      </w:r>
    </w:p>
    <w:tbl>
      <w:tblPr>
        <w:tblW w:w="9630" w:type="dxa"/>
        <w:tblInd w:w="198" w:type="dxa"/>
        <w:tblLook w:val="0000" w:firstRow="0" w:lastRow="0" w:firstColumn="0" w:lastColumn="0" w:noHBand="0" w:noVBand="0"/>
      </w:tblPr>
      <w:tblGrid>
        <w:gridCol w:w="1512"/>
        <w:gridCol w:w="8118"/>
      </w:tblGrid>
      <w:tr w:rsidRPr="00BF6823" w:rsidR="00BC0BF9" w:rsidTr="00A7739B" w14:paraId="4F59A0C9" w14:textId="77777777">
        <w:trPr>
          <w:trHeight w:val="255"/>
        </w:trPr>
        <w:tc>
          <w:tcPr>
            <w:tcW w:w="1512" w:type="dxa"/>
            <w:tcBorders>
              <w:top w:val="nil"/>
              <w:left w:val="nil"/>
              <w:bottom w:val="nil"/>
              <w:right w:val="nil"/>
            </w:tcBorders>
            <w:noWrap/>
            <w:vAlign w:val="bottom"/>
          </w:tcPr>
          <w:p w:rsidRPr="00BF6823" w:rsidR="00BC0BF9" w:rsidP="00A7739B" w:rsidRDefault="00BC0BF9" w14:paraId="2C31B2A9" w14:textId="77777777">
            <w:pPr>
              <w:spacing w:before="120"/>
              <w:jc w:val="center"/>
              <w:rPr>
                <w:rFonts w:eastAsia="SimSun"/>
                <w:bCs/>
                <w:lang w:eastAsia="zh-CN"/>
              </w:rPr>
            </w:pPr>
            <w:r w:rsidRPr="00BF6823">
              <w:rPr>
                <w:rFonts w:eastAsia="SimSun"/>
                <w:bCs/>
                <w:lang w:eastAsia="zh-CN"/>
              </w:rPr>
              <w:t xml:space="preserve">Attachment </w:t>
            </w:r>
          </w:p>
        </w:tc>
        <w:tc>
          <w:tcPr>
            <w:tcW w:w="8118" w:type="dxa"/>
            <w:tcBorders>
              <w:top w:val="nil"/>
              <w:left w:val="nil"/>
              <w:bottom w:val="nil"/>
              <w:right w:val="nil"/>
            </w:tcBorders>
            <w:noWrap/>
            <w:vAlign w:val="bottom"/>
          </w:tcPr>
          <w:p w:rsidRPr="00BF6823" w:rsidR="00BC0BF9" w:rsidP="00A7739B" w:rsidRDefault="00BC0BF9" w14:paraId="099FB7C4" w14:textId="77777777">
            <w:pPr>
              <w:spacing w:before="120"/>
              <w:rPr>
                <w:rFonts w:eastAsia="SimSun"/>
                <w:bCs/>
                <w:lang w:eastAsia="zh-CN"/>
              </w:rPr>
            </w:pPr>
            <w:r w:rsidRPr="00BF6823">
              <w:rPr>
                <w:rFonts w:eastAsia="SimSun"/>
                <w:bCs/>
                <w:lang w:eastAsia="zh-CN"/>
              </w:rPr>
              <w:t>Document Description</w:t>
            </w:r>
          </w:p>
        </w:tc>
      </w:tr>
      <w:tr w:rsidRPr="00BF6823" w:rsidR="00BC0BF9" w:rsidTr="00A7739B" w14:paraId="110AD3B5"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3C7A1CE8" w14:textId="77777777">
            <w:pPr>
              <w:spacing w:before="120"/>
              <w:jc w:val="center"/>
              <w:rPr>
                <w:rFonts w:eastAsia="SimSun"/>
                <w:lang w:eastAsia="zh-CN"/>
              </w:rPr>
            </w:pPr>
            <w:r w:rsidRPr="00BF6823">
              <w:rPr>
                <w:rFonts w:eastAsia="SimSun"/>
                <w:lang w:eastAsia="zh-CN"/>
              </w:rPr>
              <w:t>1</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33B3BA9C" w14:textId="77777777">
            <w:pPr>
              <w:spacing w:before="120"/>
            </w:pPr>
            <w:r w:rsidRPr="00BF6823">
              <w:rPr>
                <w:rFonts w:eastAsia="SimSun"/>
                <w:lang w:eastAsia="zh-CN"/>
              </w:rPr>
              <w:t>Public Health Service Act</w:t>
            </w:r>
            <w:r w:rsidRPr="00BF6823">
              <w:t xml:space="preserve"> Legislation</w:t>
            </w:r>
          </w:p>
        </w:tc>
      </w:tr>
      <w:tr w:rsidRPr="00BF6823" w:rsidR="00BC0BF9" w:rsidTr="00A7739B" w14:paraId="0BC0A5A1"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676882D8" w14:textId="77777777">
            <w:pPr>
              <w:spacing w:before="120"/>
              <w:jc w:val="center"/>
              <w:rPr>
                <w:rFonts w:eastAsia="SimSun"/>
                <w:lang w:eastAsia="zh-CN"/>
              </w:rPr>
            </w:pPr>
            <w:r w:rsidRPr="00BF6823">
              <w:rPr>
                <w:rFonts w:eastAsia="SimSun"/>
                <w:lang w:eastAsia="zh-CN"/>
              </w:rPr>
              <w:t>2</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2F708C3C" w14:textId="77777777">
            <w:pPr>
              <w:spacing w:before="120"/>
            </w:pPr>
            <w:r w:rsidRPr="00BF6823">
              <w:t>60 Day FRN</w:t>
            </w:r>
          </w:p>
        </w:tc>
      </w:tr>
      <w:tr w:rsidRPr="00BF6823" w:rsidR="00BC0BF9" w:rsidTr="00A7739B" w14:paraId="67E28004"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789EBE11" w14:textId="77777777">
            <w:pPr>
              <w:spacing w:before="120"/>
              <w:jc w:val="center"/>
              <w:rPr>
                <w:rFonts w:eastAsia="SimSun"/>
                <w:lang w:eastAsia="zh-CN"/>
              </w:rPr>
            </w:pPr>
            <w:r>
              <w:rPr>
                <w:rFonts w:eastAsia="SimSun"/>
                <w:lang w:eastAsia="zh-CN"/>
              </w:rPr>
              <w:t>2a</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7CEE954C" w14:textId="77777777">
            <w:pPr>
              <w:spacing w:before="120"/>
            </w:pPr>
            <w:r>
              <w:t>Public Comments</w:t>
            </w:r>
          </w:p>
        </w:tc>
      </w:tr>
      <w:tr w:rsidRPr="00BF6823" w:rsidR="00BC0BF9" w:rsidTr="00A7739B" w14:paraId="27FEB0BA"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7755F995" w14:textId="77777777">
            <w:pPr>
              <w:spacing w:before="120"/>
              <w:jc w:val="center"/>
              <w:rPr>
                <w:rFonts w:eastAsia="SimSun"/>
                <w:lang w:eastAsia="zh-CN"/>
              </w:rPr>
            </w:pPr>
            <w:r w:rsidRPr="00BF6823">
              <w:rPr>
                <w:rFonts w:eastAsia="SimSun"/>
                <w:lang w:eastAsia="zh-CN"/>
              </w:rPr>
              <w:t>3</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3854CB0E" w14:textId="77777777">
            <w:pPr>
              <w:spacing w:before="120"/>
            </w:pPr>
            <w:r w:rsidRPr="00BF6823">
              <w:t>Sample Instrument: Youth Questionnaire</w:t>
            </w:r>
          </w:p>
        </w:tc>
      </w:tr>
      <w:tr w:rsidRPr="00BF6823" w:rsidR="00BC0BF9" w:rsidTr="00A7739B" w14:paraId="26B9DA10"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Del="004823F3" w:rsidP="00A7739B" w:rsidRDefault="00BC0BF9" w14:paraId="70CEA4D6" w14:textId="77777777">
            <w:pPr>
              <w:spacing w:before="120"/>
              <w:jc w:val="center"/>
              <w:rPr>
                <w:rFonts w:eastAsia="SimSun"/>
                <w:lang w:eastAsia="zh-CN"/>
              </w:rPr>
            </w:pPr>
            <w:r w:rsidRPr="00BF6823">
              <w:rPr>
                <w:rFonts w:eastAsia="SimSun"/>
                <w:lang w:eastAsia="zh-CN"/>
              </w:rPr>
              <w:t>4</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42969AB5" w14:textId="77777777">
            <w:pPr>
              <w:spacing w:before="120"/>
            </w:pPr>
            <w:r w:rsidRPr="00BF6823">
              <w:t>Sample Instrument: Youth Pre/Post Questionnaire</w:t>
            </w:r>
          </w:p>
        </w:tc>
      </w:tr>
      <w:tr w:rsidRPr="00BF6823" w:rsidR="00BC0BF9" w:rsidTr="00A7739B" w14:paraId="22644620"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42EF5627" w14:textId="77777777">
            <w:pPr>
              <w:spacing w:before="120"/>
              <w:jc w:val="center"/>
              <w:rPr>
                <w:rFonts w:eastAsia="SimSun"/>
                <w:lang w:eastAsia="zh-CN"/>
              </w:rPr>
            </w:pPr>
            <w:r w:rsidRPr="00BF6823">
              <w:rPr>
                <w:rFonts w:eastAsia="SimSun"/>
                <w:lang w:eastAsia="zh-CN"/>
              </w:rPr>
              <w:t>5</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72C8F4CD" w14:textId="77777777">
            <w:pPr>
              <w:spacing w:before="120"/>
            </w:pPr>
            <w:r w:rsidRPr="00BF6823">
              <w:t>Sample Instrument: Youth Focus Group Guide</w:t>
            </w:r>
          </w:p>
        </w:tc>
      </w:tr>
      <w:tr w:rsidRPr="00BF6823" w:rsidR="00BC0BF9" w:rsidTr="00A7739B" w14:paraId="64F3B9E0"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7BE2F198" w14:textId="77777777">
            <w:pPr>
              <w:spacing w:before="120"/>
              <w:jc w:val="center"/>
              <w:rPr>
                <w:rFonts w:eastAsia="SimSun"/>
                <w:lang w:eastAsia="zh-CN"/>
              </w:rPr>
            </w:pPr>
            <w:r w:rsidRPr="00BF6823">
              <w:rPr>
                <w:rFonts w:eastAsia="SimSun"/>
                <w:lang w:eastAsia="zh-CN"/>
              </w:rPr>
              <w:t>6</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4C5B485B" w14:textId="77777777">
            <w:pPr>
              <w:spacing w:before="120"/>
            </w:pPr>
            <w:r w:rsidRPr="00BF6823">
              <w:t>Sample Instrument: Parent/Caregiver Survey</w:t>
            </w:r>
          </w:p>
        </w:tc>
      </w:tr>
      <w:tr w:rsidRPr="00BF6823" w:rsidR="00BC0BF9" w:rsidTr="00A7739B" w14:paraId="74CCDCF0"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752EB903" w14:textId="77777777">
            <w:pPr>
              <w:spacing w:before="120"/>
              <w:jc w:val="center"/>
              <w:rPr>
                <w:rFonts w:eastAsia="SimSun"/>
                <w:lang w:eastAsia="zh-CN"/>
              </w:rPr>
            </w:pPr>
            <w:r w:rsidRPr="00BF6823">
              <w:rPr>
                <w:rFonts w:eastAsia="SimSun"/>
                <w:lang w:eastAsia="zh-CN"/>
              </w:rPr>
              <w:t>7</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1C7CA4D9" w14:textId="77777777">
            <w:pPr>
              <w:spacing w:before="120"/>
            </w:pPr>
            <w:r w:rsidRPr="00BF6823">
              <w:t>Sample Instrument: Parent/Caregiver Interview/Focus Group Guide</w:t>
            </w:r>
          </w:p>
        </w:tc>
      </w:tr>
      <w:tr w:rsidRPr="00BF6823" w:rsidR="00BC0BF9" w:rsidTr="00A7739B" w14:paraId="13157E3C"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7244E7A8" w14:textId="77777777">
            <w:pPr>
              <w:spacing w:before="120"/>
              <w:jc w:val="center"/>
              <w:rPr>
                <w:rFonts w:eastAsia="SimSun"/>
                <w:lang w:eastAsia="zh-CN"/>
              </w:rPr>
            </w:pPr>
            <w:r w:rsidRPr="00BF6823">
              <w:rPr>
                <w:rFonts w:eastAsia="SimSun"/>
                <w:lang w:eastAsia="zh-CN"/>
              </w:rPr>
              <w:t>8</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58781DA1" w14:textId="77777777">
            <w:pPr>
              <w:spacing w:before="120"/>
            </w:pPr>
            <w:r w:rsidRPr="00BF6823">
              <w:t>Example Student Survey Items</w:t>
            </w:r>
          </w:p>
        </w:tc>
      </w:tr>
      <w:tr w:rsidRPr="00BF6823" w:rsidR="00BC0BF9" w:rsidTr="00A7739B" w14:paraId="52291E74"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3A9887FB" w14:textId="77777777">
            <w:pPr>
              <w:spacing w:before="120"/>
              <w:jc w:val="center"/>
              <w:rPr>
                <w:rFonts w:eastAsia="SimSun"/>
                <w:lang w:eastAsia="zh-CN"/>
              </w:rPr>
            </w:pPr>
            <w:r w:rsidRPr="00BF6823">
              <w:rPr>
                <w:rFonts w:eastAsia="SimSun"/>
                <w:lang w:eastAsia="zh-CN"/>
              </w:rPr>
              <w:lastRenderedPageBreak/>
              <w:t>9</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08A58D44" w14:textId="77777777">
            <w:pPr>
              <w:spacing w:before="120"/>
            </w:pPr>
            <w:r w:rsidRPr="00BF6823">
              <w:t>Example Passive Parental Consent Form</w:t>
            </w:r>
          </w:p>
        </w:tc>
      </w:tr>
      <w:tr w:rsidRPr="00BF6823" w:rsidR="00BC0BF9" w:rsidTr="00A7739B" w14:paraId="7CC210F1"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0E821D30" w14:textId="77777777">
            <w:pPr>
              <w:spacing w:before="120"/>
              <w:jc w:val="center"/>
              <w:rPr>
                <w:rFonts w:eastAsia="SimSun"/>
                <w:lang w:eastAsia="zh-CN"/>
              </w:rPr>
            </w:pPr>
            <w:r w:rsidRPr="00BF6823">
              <w:rPr>
                <w:rFonts w:eastAsia="SimSun"/>
                <w:lang w:eastAsia="zh-CN"/>
              </w:rPr>
              <w:t>10</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30A67422" w14:textId="77777777">
            <w:pPr>
              <w:spacing w:before="120"/>
            </w:pPr>
            <w:r w:rsidRPr="00BF6823">
              <w:t>Example Active Parental Consent Form</w:t>
            </w:r>
          </w:p>
        </w:tc>
      </w:tr>
      <w:tr w:rsidRPr="00BF6823" w:rsidR="00BC0BF9" w:rsidTr="00A7739B" w14:paraId="16D3045E"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3C10F087" w14:textId="77777777">
            <w:pPr>
              <w:spacing w:before="120"/>
              <w:jc w:val="center"/>
              <w:rPr>
                <w:rFonts w:eastAsia="SimSun"/>
                <w:lang w:eastAsia="zh-CN"/>
              </w:rPr>
            </w:pPr>
            <w:r w:rsidRPr="00BF6823">
              <w:rPr>
                <w:rFonts w:eastAsia="SimSun"/>
                <w:lang w:eastAsia="zh-CN"/>
              </w:rPr>
              <w:t>11</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70E831FF" w14:textId="77777777">
            <w:pPr>
              <w:spacing w:before="120"/>
            </w:pPr>
            <w:r w:rsidRPr="00BF6823">
              <w:t>Example Youth Verbal Assent Language</w:t>
            </w:r>
          </w:p>
        </w:tc>
      </w:tr>
      <w:tr w:rsidRPr="00BF6823" w:rsidR="00BC0BF9" w:rsidTr="00A7739B" w14:paraId="55244C00"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385B4006" w14:textId="77777777">
            <w:pPr>
              <w:spacing w:before="120"/>
              <w:jc w:val="center"/>
              <w:rPr>
                <w:rFonts w:eastAsia="SimSun"/>
                <w:lang w:eastAsia="zh-CN"/>
              </w:rPr>
            </w:pPr>
            <w:r w:rsidRPr="00BF6823">
              <w:rPr>
                <w:rFonts w:eastAsia="SimSun"/>
                <w:lang w:eastAsia="zh-CN"/>
              </w:rPr>
              <w:t>12</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BC0BF9" w:rsidP="00A7739B" w:rsidRDefault="00BC0BF9" w14:paraId="1FB3F0A9" w14:textId="77777777">
            <w:pPr>
              <w:spacing w:before="120"/>
            </w:pPr>
            <w:r w:rsidRPr="00BF6823">
              <w:t>Example Adult Consent Form</w:t>
            </w:r>
          </w:p>
        </w:tc>
      </w:tr>
      <w:tr w:rsidRPr="00BF6823" w:rsidR="003147BB" w:rsidTr="00A7739B" w14:paraId="179D4FCE" w14:textId="77777777">
        <w:trPr>
          <w:trHeight w:val="255"/>
        </w:trPr>
        <w:tc>
          <w:tcPr>
            <w:tcW w:w="1512" w:type="dxa"/>
            <w:tcBorders>
              <w:top w:val="single" w:color="auto" w:sz="4" w:space="0"/>
              <w:left w:val="single" w:color="auto" w:sz="4" w:space="0"/>
              <w:bottom w:val="single" w:color="auto" w:sz="4" w:space="0"/>
              <w:right w:val="single" w:color="auto" w:sz="4" w:space="0"/>
            </w:tcBorders>
            <w:noWrap/>
            <w:vAlign w:val="bottom"/>
          </w:tcPr>
          <w:p w:rsidRPr="00BF6823" w:rsidR="003147BB" w:rsidP="00A7739B" w:rsidRDefault="003147BB" w14:paraId="6444BE70" w14:textId="142D0C6F">
            <w:pPr>
              <w:spacing w:before="120"/>
              <w:jc w:val="center"/>
              <w:rPr>
                <w:rFonts w:eastAsia="SimSun"/>
                <w:lang w:eastAsia="zh-CN"/>
              </w:rPr>
            </w:pPr>
            <w:bookmarkStart w:name="_Toc352670664" w:id="2"/>
            <w:r>
              <w:rPr>
                <w:rFonts w:eastAsia="SimSun"/>
                <w:lang w:eastAsia="zh-CN"/>
              </w:rPr>
              <w:t>13</w:t>
            </w:r>
          </w:p>
        </w:tc>
        <w:tc>
          <w:tcPr>
            <w:tcW w:w="8118" w:type="dxa"/>
            <w:tcBorders>
              <w:top w:val="single" w:color="auto" w:sz="4" w:space="0"/>
              <w:left w:val="single" w:color="auto" w:sz="4" w:space="0"/>
              <w:bottom w:val="single" w:color="auto" w:sz="4" w:space="0"/>
              <w:right w:val="single" w:color="auto" w:sz="4" w:space="0"/>
            </w:tcBorders>
            <w:noWrap/>
            <w:vAlign w:val="bottom"/>
          </w:tcPr>
          <w:p w:rsidRPr="00BF6823" w:rsidR="003147BB" w:rsidP="00A7739B" w:rsidRDefault="003147BB" w14:paraId="3C4AAB60" w14:textId="6D3D8D36">
            <w:pPr>
              <w:spacing w:before="120"/>
            </w:pPr>
            <w:r>
              <w:t>List of Individuals Consulted</w:t>
            </w:r>
          </w:p>
        </w:tc>
      </w:tr>
    </w:tbl>
    <w:p w:rsidRPr="00BF6823" w:rsidR="00BC0BF9" w:rsidP="00BC0BF9" w:rsidRDefault="00BC0BF9" w14:paraId="6C847636" w14:textId="77777777">
      <w:pPr>
        <w:rPr>
          <w:b/>
        </w:rPr>
      </w:pPr>
    </w:p>
    <w:p w:rsidRPr="00BF6823" w:rsidR="00BC0BF9" w:rsidP="00BC0BF9" w:rsidRDefault="00BC0BF9" w14:paraId="30B7EA22" w14:textId="77777777">
      <w:pPr>
        <w:widowControl/>
        <w:autoSpaceDE/>
        <w:autoSpaceDN/>
        <w:adjustRightInd/>
        <w:rPr>
          <w:b/>
        </w:rPr>
      </w:pPr>
      <w:r w:rsidRPr="00BF6823">
        <w:rPr>
          <w:b/>
        </w:rPr>
        <w:br w:type="page"/>
      </w:r>
    </w:p>
    <w:p w:rsidRPr="00BF6823" w:rsidR="00BC0BF9" w:rsidP="00BC0BF9" w:rsidRDefault="00BC0BF9" w14:paraId="1A9DDF37" w14:textId="77777777">
      <w:r w:rsidRPr="00BF6823">
        <w:rPr>
          <w:noProof/>
        </w:rPr>
        <w:lastRenderedPageBreak/>
        <mc:AlternateContent>
          <mc:Choice Requires="wps">
            <w:drawing>
              <wp:anchor distT="0" distB="0" distL="114300" distR="114300" simplePos="0" relativeHeight="251659264" behindDoc="0" locked="0" layoutInCell="1" allowOverlap="1" wp14:editId="60754C6A" wp14:anchorId="222AD68B">
                <wp:simplePos x="0" y="0"/>
                <wp:positionH relativeFrom="margin">
                  <wp:align>right</wp:align>
                </wp:positionH>
                <wp:positionV relativeFrom="paragraph">
                  <wp:posOffset>83127</wp:posOffset>
                </wp:positionV>
                <wp:extent cx="5924550" cy="5534891"/>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534891"/>
                        </a:xfrm>
                        <a:prstGeom prst="rect">
                          <a:avLst/>
                        </a:prstGeom>
                        <a:solidFill>
                          <a:srgbClr val="FFFFFF"/>
                        </a:solidFill>
                        <a:ln w="9525">
                          <a:solidFill>
                            <a:srgbClr val="000000"/>
                          </a:solidFill>
                          <a:miter lim="800000"/>
                          <a:headEnd/>
                          <a:tailEnd/>
                        </a:ln>
                      </wps:spPr>
                      <wps:txbx>
                        <w:txbxContent>
                          <w:p w:rsidR="00BC0BF9" w:rsidP="00BC0BF9" w:rsidRDefault="00BC0BF9" w14:paraId="03DF2E02" w14:textId="77777777">
                            <w:pPr>
                              <w:widowControl/>
                              <w:autoSpaceDE/>
                              <w:autoSpaceDN/>
                              <w:adjustRightInd/>
                              <w:spacing w:after="200"/>
                              <w:rPr>
                                <w:rFonts w:cs="Courier New"/>
                              </w:rPr>
                            </w:pPr>
                            <w:r w:rsidRPr="0084368A">
                              <w:rPr>
                                <w:b/>
                              </w:rPr>
                              <w:t>Goal:</w:t>
                            </w:r>
                            <w:r w:rsidRPr="0084368A">
                              <w:t xml:space="preserve"> To</w:t>
                            </w:r>
                            <w:r w:rsidRPr="00845146">
                              <w:rPr>
                                <w:rFonts w:cs="Courier New"/>
                              </w:rPr>
                              <w:t xml:space="preserve"> </w:t>
                            </w:r>
                            <w:r>
                              <w:rPr>
                                <w:rFonts w:cs="Courier New"/>
                              </w:rPr>
                              <w:t xml:space="preserve">conduct qualitative and quantitative data collection </w:t>
                            </w:r>
                            <w:r>
                              <w:t>from adolescents (ages 11-19) and their parents/caregivers for the purpose of needs assessment and program refinement for programs and services designed to prevent HIV, other sexually transmitted diseases (STDs), and pregnancy among</w:t>
                            </w:r>
                            <w:r w:rsidRPr="0084368A">
                              <w:t xml:space="preserve"> middle and high school aged adolescents</w:t>
                            </w:r>
                            <w:r>
                              <w:rPr>
                                <w:rFonts w:cs="Courier New"/>
                              </w:rPr>
                              <w:t>.</w:t>
                            </w:r>
                          </w:p>
                          <w:p w:rsidRPr="007F7F52" w:rsidR="00BC0BF9" w:rsidP="00BC0BF9" w:rsidRDefault="00BC0BF9" w14:paraId="23F4B574" w14:textId="77777777">
                            <w:pPr>
                              <w:spacing w:before="120"/>
                            </w:pPr>
                            <w:r w:rsidRPr="00893786">
                              <w:rPr>
                                <w:b/>
                              </w:rPr>
                              <w:t xml:space="preserve">Intended use of resulting data: </w:t>
                            </w:r>
                            <w:r w:rsidRPr="0084368A">
                              <w:t xml:space="preserve"> </w:t>
                            </w:r>
                            <w:r>
                              <w:t>The data will be used to improve program and service practices and to adapt existing programs to reduce sexual risk behaviors and adverse health outcomes among adolescents. The program and/or services to be refined with information from the collection will be clearly identified in any ICRs under this generic clearance, and data elements will be cross-walked to the aspects of the program that the project team is seeking to improve.</w:t>
                            </w:r>
                          </w:p>
                          <w:p w:rsidRPr="0084368A" w:rsidR="00BC0BF9" w:rsidP="00BC0BF9" w:rsidRDefault="00BC0BF9" w14:paraId="7DE1FBDA" w14:textId="77777777"/>
                          <w:p w:rsidR="00BC0BF9" w:rsidP="00BC0BF9" w:rsidRDefault="00BC0BF9" w14:paraId="6187DCCB" w14:textId="77777777">
                            <w:r w:rsidRPr="00446712">
                              <w:rPr>
                                <w:b/>
                              </w:rPr>
                              <w:t xml:space="preserve">Methods: </w:t>
                            </w:r>
                            <w:r>
                              <w:t>Methods will include quantitative data collection through paper, telephone, and web-based questionnaires; and qualitative interviewing including in-depth interviews and focus groups.</w:t>
                            </w:r>
                          </w:p>
                          <w:p w:rsidR="00BC0BF9" w:rsidP="00BC0BF9" w:rsidRDefault="00BC0BF9" w14:paraId="342E48AA" w14:textId="77777777"/>
                          <w:p w:rsidR="00BC0BF9" w:rsidP="00BC0BF9" w:rsidRDefault="00BC0BF9" w14:paraId="6EA67154" w14:textId="77777777">
                            <w:r w:rsidRPr="00446712">
                              <w:rPr>
                                <w:b/>
                              </w:rPr>
                              <w:t>Subpopulation to be studied:</w:t>
                            </w:r>
                            <w:r>
                              <w:t xml:space="preserve"> Priority populations for this generic clearance ICR are:</w:t>
                            </w:r>
                          </w:p>
                          <w:p w:rsidR="00BC0BF9" w:rsidP="00BC0BF9" w:rsidRDefault="00BC0BF9" w14:paraId="02569FFA" w14:textId="77777777">
                            <w:pPr>
                              <w:pStyle w:val="ListParagraph"/>
                              <w:widowControl/>
                              <w:numPr>
                                <w:ilvl w:val="0"/>
                                <w:numId w:val="29"/>
                              </w:numPr>
                              <w:autoSpaceDE/>
                              <w:autoSpaceDN/>
                              <w:adjustRightInd/>
                              <w:spacing w:after="200"/>
                            </w:pPr>
                            <w:r>
                              <w:t>Adolescents (11-19 years old) of middle and high school age who</w:t>
                            </w:r>
                            <w:r w:rsidRPr="00A80B4A">
                              <w:t xml:space="preserve"> </w:t>
                            </w:r>
                            <w:r>
                              <w:t>are participating in, or can inform, interventions to decrease sexual risk behaviors and adverse health outcomes.</w:t>
                            </w:r>
                          </w:p>
                          <w:p w:rsidR="00BC0BF9" w:rsidP="00BC0BF9" w:rsidRDefault="00BC0BF9" w14:paraId="5043E20E" w14:textId="77777777">
                            <w:pPr>
                              <w:pStyle w:val="ListParagraph"/>
                              <w:numPr>
                                <w:ilvl w:val="0"/>
                                <w:numId w:val="28"/>
                              </w:numPr>
                            </w:pPr>
                            <w:r>
                              <w:t xml:space="preserve">Parents/caregivers of adolescents who are, or may be included in, programs and services to </w:t>
                            </w:r>
                            <w:r w:rsidRPr="0084368A">
                              <w:t>reduce</w:t>
                            </w:r>
                            <w:r>
                              <w:t xml:space="preserve"> adolescent</w:t>
                            </w:r>
                            <w:r w:rsidRPr="0084368A">
                              <w:t xml:space="preserve"> sexual risk behaviors and decrease adverse health outcomes</w:t>
                            </w:r>
                          </w:p>
                          <w:p w:rsidR="00BC0BF9" w:rsidP="00BC0BF9" w:rsidRDefault="00BC0BF9" w14:paraId="574421AE" w14:textId="77777777">
                            <w:pPr>
                              <w:pStyle w:val="ListParagraph"/>
                            </w:pPr>
                          </w:p>
                          <w:p w:rsidR="00BC0BF9" w:rsidP="00BC0BF9" w:rsidRDefault="00BC0BF9" w14:paraId="6BCD04F2" w14:textId="77777777">
                            <w:r w:rsidRPr="00446712">
                              <w:rPr>
                                <w:b/>
                              </w:rPr>
                              <w:t>Data analysis:</w:t>
                            </w:r>
                            <w:r>
                              <w:t xml:space="preserve"> Individual data collections will vary in their analytic methods and proposed analysis plans will be submitted for each individual data collection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2AD68B">
                <v:stroke joinstyle="miter"/>
                <v:path gradientshapeok="t" o:connecttype="rect"/>
              </v:shapetype>
              <v:shape id="Text Box 2" style="position:absolute;margin-left:415.3pt;margin-top:6.55pt;width:466.5pt;height:435.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">
                <v:textbox>
                  <w:txbxContent>
                    <w:p w:rsidR="00BC0BF9" w:rsidP="00BC0BF9" w:rsidRDefault="00BC0BF9" w14:paraId="03DF2E02" w14:textId="77777777">
                      <w:pPr>
                        <w:widowControl/>
                        <w:autoSpaceDE/>
                        <w:autoSpaceDN/>
                        <w:adjustRightInd/>
                        <w:spacing w:after="200"/>
                        <w:rPr>
                          <w:rFonts w:cs="Courier New"/>
                        </w:rPr>
                      </w:pPr>
                      <w:r w:rsidRPr="0084368A">
                        <w:rPr>
                          <w:b/>
                        </w:rPr>
                        <w:t>Goal:</w:t>
                      </w:r>
                      <w:r w:rsidRPr="0084368A">
                        <w:t xml:space="preserve"> To</w:t>
                      </w:r>
                      <w:r w:rsidRPr="00845146">
                        <w:rPr>
                          <w:rFonts w:cs="Courier New"/>
                        </w:rPr>
                        <w:t xml:space="preserve"> </w:t>
                      </w:r>
                      <w:r>
                        <w:rPr>
                          <w:rFonts w:cs="Courier New"/>
                        </w:rPr>
                        <w:t xml:space="preserve">conduct qualitative and quantitative data collection </w:t>
                      </w:r>
                      <w:r>
                        <w:t>from adolescents (ages 11-19) and their parents/caregivers for the purpose of needs assessment and program refinement for programs and services designed to prevent HIV, other sexually transmitted diseases (STDs), and pregnancy among</w:t>
                      </w:r>
                      <w:r w:rsidRPr="0084368A">
                        <w:t xml:space="preserve"> middle and high school aged adolescents</w:t>
                      </w:r>
                      <w:r>
                        <w:rPr>
                          <w:rFonts w:cs="Courier New"/>
                        </w:rPr>
                        <w:t>.</w:t>
                      </w:r>
                    </w:p>
                    <w:p w:rsidRPr="007F7F52" w:rsidR="00BC0BF9" w:rsidP="00BC0BF9" w:rsidRDefault="00BC0BF9" w14:paraId="23F4B574" w14:textId="77777777">
                      <w:pPr>
                        <w:spacing w:before="120"/>
                      </w:pPr>
                      <w:r w:rsidRPr="00893786">
                        <w:rPr>
                          <w:b/>
                        </w:rPr>
                        <w:t xml:space="preserve">Intended use of resulting data: </w:t>
                      </w:r>
                      <w:r w:rsidRPr="0084368A">
                        <w:t xml:space="preserve"> </w:t>
                      </w:r>
                      <w:r>
                        <w:t>The data will be used to improve program and service practices and to adapt existing programs to reduce sexual risk behaviors and adverse health outcomes among adolescents. The program and/or services to be refined with information from the collection will be clearly identified in any ICRs under this generic clearance, and data elements will be cross-walked to the aspects of the program that the project team is seeking to improve.</w:t>
                      </w:r>
                    </w:p>
                    <w:p w:rsidRPr="0084368A" w:rsidR="00BC0BF9" w:rsidP="00BC0BF9" w:rsidRDefault="00BC0BF9" w14:paraId="7DE1FBDA" w14:textId="77777777"/>
                    <w:p w:rsidR="00BC0BF9" w:rsidP="00BC0BF9" w:rsidRDefault="00BC0BF9" w14:paraId="6187DCCB" w14:textId="77777777">
                      <w:r w:rsidRPr="00446712">
                        <w:rPr>
                          <w:b/>
                        </w:rPr>
                        <w:t xml:space="preserve">Methods: </w:t>
                      </w:r>
                      <w:r>
                        <w:t>Methods will include quantitative data collection through paper, telephone, and web-based questionnaires; and qualitative interviewing including in-depth interviews and focus groups.</w:t>
                      </w:r>
                    </w:p>
                    <w:p w:rsidR="00BC0BF9" w:rsidP="00BC0BF9" w:rsidRDefault="00BC0BF9" w14:paraId="342E48AA" w14:textId="77777777"/>
                    <w:p w:rsidR="00BC0BF9" w:rsidP="00BC0BF9" w:rsidRDefault="00BC0BF9" w14:paraId="6EA67154" w14:textId="77777777">
                      <w:r w:rsidRPr="00446712">
                        <w:rPr>
                          <w:b/>
                        </w:rPr>
                        <w:t>Subpopulation to be studied:</w:t>
                      </w:r>
                      <w:r>
                        <w:t xml:space="preserve"> Priority populations for this generic clearance ICR are:</w:t>
                      </w:r>
                    </w:p>
                    <w:p w:rsidR="00BC0BF9" w:rsidP="00BC0BF9" w:rsidRDefault="00BC0BF9" w14:paraId="02569FFA" w14:textId="77777777">
                      <w:pPr>
                        <w:pStyle w:val="ListParagraph"/>
                        <w:widowControl/>
                        <w:numPr>
                          <w:ilvl w:val="0"/>
                          <w:numId w:val="29"/>
                        </w:numPr>
                        <w:autoSpaceDE/>
                        <w:autoSpaceDN/>
                        <w:adjustRightInd/>
                        <w:spacing w:after="200"/>
                      </w:pPr>
                      <w:r>
                        <w:t>Adolescents (11-19 years old) of middle and high school age who</w:t>
                      </w:r>
                      <w:r w:rsidRPr="00A80B4A">
                        <w:t xml:space="preserve"> </w:t>
                      </w:r>
                      <w:r>
                        <w:t>are participating in, or can inform, interventions to decrease sexual risk behaviors and adverse health outcomes.</w:t>
                      </w:r>
                    </w:p>
                    <w:p w:rsidR="00BC0BF9" w:rsidP="00BC0BF9" w:rsidRDefault="00BC0BF9" w14:paraId="5043E20E" w14:textId="77777777">
                      <w:pPr>
                        <w:pStyle w:val="ListParagraph"/>
                        <w:numPr>
                          <w:ilvl w:val="0"/>
                          <w:numId w:val="28"/>
                        </w:numPr>
                      </w:pPr>
                      <w:r>
                        <w:t xml:space="preserve">Parents/caregivers of adolescents who are, or may be included in, programs and services to </w:t>
                      </w:r>
                      <w:r w:rsidRPr="0084368A">
                        <w:t>reduce</w:t>
                      </w:r>
                      <w:r>
                        <w:t xml:space="preserve"> adolescent</w:t>
                      </w:r>
                      <w:r w:rsidRPr="0084368A">
                        <w:t xml:space="preserve"> sexual risk behaviors and decrease adverse health outcomes</w:t>
                      </w:r>
                    </w:p>
                    <w:p w:rsidR="00BC0BF9" w:rsidP="00BC0BF9" w:rsidRDefault="00BC0BF9" w14:paraId="574421AE" w14:textId="77777777">
                      <w:pPr>
                        <w:pStyle w:val="ListParagraph"/>
                      </w:pPr>
                    </w:p>
                    <w:p w:rsidR="00BC0BF9" w:rsidP="00BC0BF9" w:rsidRDefault="00BC0BF9" w14:paraId="6BCD04F2" w14:textId="77777777">
                      <w:r w:rsidRPr="00446712">
                        <w:rPr>
                          <w:b/>
                        </w:rPr>
                        <w:t>Data analysis:</w:t>
                      </w:r>
                      <w:r>
                        <w:t xml:space="preserve"> Individual data collections will vary in their analytic methods and proposed analysis plans will be submitted for each individual data collection activity.</w:t>
                      </w:r>
                    </w:p>
                  </w:txbxContent>
                </v:textbox>
                <w10:wrap anchorx="margin"/>
              </v:shape>
            </w:pict>
          </mc:Fallback>
        </mc:AlternateContent>
      </w:r>
    </w:p>
    <w:p w:rsidRPr="00BF6823" w:rsidR="00BC0BF9" w:rsidP="00BC0BF9" w:rsidRDefault="00BC0BF9" w14:paraId="3588F1AF" w14:textId="77777777"/>
    <w:p w:rsidRPr="00BF6823" w:rsidR="00BC0BF9" w:rsidP="00BC0BF9" w:rsidRDefault="00BC0BF9" w14:paraId="61ACA2F6" w14:textId="77777777"/>
    <w:p w:rsidRPr="00BF6823" w:rsidR="00BC0BF9" w:rsidP="00BC0BF9" w:rsidRDefault="00BC0BF9" w14:paraId="36F48FC9" w14:textId="77777777"/>
    <w:p w:rsidRPr="00BF6823" w:rsidR="00BC0BF9" w:rsidP="00BC0BF9" w:rsidRDefault="00BC0BF9" w14:paraId="5F3CD262" w14:textId="77777777"/>
    <w:p w:rsidRPr="00BF6823" w:rsidR="00BC0BF9" w:rsidP="00BC0BF9" w:rsidRDefault="00BC0BF9" w14:paraId="3B5FD491" w14:textId="77777777"/>
    <w:p w:rsidRPr="00BF6823" w:rsidR="00BC0BF9" w:rsidP="00BC0BF9" w:rsidRDefault="00BC0BF9" w14:paraId="666A85C8" w14:textId="77777777"/>
    <w:p w:rsidRPr="00BF6823" w:rsidR="00BC0BF9" w:rsidP="00BC0BF9" w:rsidRDefault="00BC0BF9" w14:paraId="1F9B31F5" w14:textId="77777777"/>
    <w:p w:rsidRPr="00BF6823" w:rsidR="00BC0BF9" w:rsidP="00BC0BF9" w:rsidRDefault="00BC0BF9" w14:paraId="1FD857DA" w14:textId="77777777">
      <w:r w:rsidRPr="00BF6823">
        <w:t xml:space="preserve">Responses for each </w:t>
      </w:r>
      <w:r w:rsidRPr="00BF6823">
        <w:rPr>
          <w:b/>
        </w:rPr>
        <w:t>should be no more than 2 or 3 sentences</w:t>
      </w:r>
      <w:r w:rsidRPr="00BF6823">
        <w:t xml:space="preserve"> to orient the reviewer to the contents of the package.  The information collection request must show a clear link between the methods, the goal, and the use of the data.</w:t>
      </w:r>
    </w:p>
    <w:p w:rsidRPr="00BF6823" w:rsidR="00BC0BF9" w:rsidP="00BC0BF9" w:rsidRDefault="00BC0BF9" w14:paraId="49AF037D" w14:textId="77777777">
      <w:pPr>
        <w:spacing w:before="120"/>
        <w:rPr>
          <w:b/>
        </w:rPr>
      </w:pPr>
    </w:p>
    <w:p w:rsidRPr="00BF6823" w:rsidR="00BC0BF9" w:rsidP="00BC0BF9" w:rsidRDefault="00BC0BF9" w14:paraId="5A259C37" w14:textId="77777777">
      <w:pPr>
        <w:spacing w:before="120"/>
        <w:rPr>
          <w:b/>
        </w:rPr>
      </w:pPr>
    </w:p>
    <w:p w:rsidRPr="00BF6823" w:rsidR="00BC0BF9" w:rsidP="00BC0BF9" w:rsidRDefault="00BC0BF9" w14:paraId="6FE6C098" w14:textId="77777777">
      <w:pPr>
        <w:spacing w:before="120"/>
        <w:rPr>
          <w:b/>
        </w:rPr>
      </w:pPr>
    </w:p>
    <w:p w:rsidRPr="00BF6823" w:rsidR="00BC0BF9" w:rsidP="00BC0BF9" w:rsidRDefault="00BC0BF9" w14:paraId="02778687" w14:textId="77777777">
      <w:pPr>
        <w:spacing w:before="120"/>
      </w:pPr>
    </w:p>
    <w:p w:rsidRPr="00BF6823" w:rsidR="00BC0BF9" w:rsidP="00BC0BF9" w:rsidRDefault="00BC0BF9" w14:paraId="3E708D89" w14:textId="77777777">
      <w:pPr>
        <w:spacing w:before="120"/>
      </w:pPr>
    </w:p>
    <w:p w:rsidRPr="00BF6823" w:rsidR="00BC0BF9" w:rsidP="00BC0BF9" w:rsidRDefault="00BC0BF9" w14:paraId="7EF285DA" w14:textId="77777777">
      <w:pPr>
        <w:spacing w:before="120"/>
      </w:pPr>
    </w:p>
    <w:p w:rsidRPr="00BF6823" w:rsidR="00BC0BF9" w:rsidP="00BC0BF9" w:rsidRDefault="00BC0BF9" w14:paraId="3905FF2C" w14:textId="77777777">
      <w:pPr>
        <w:spacing w:before="120"/>
      </w:pPr>
    </w:p>
    <w:p w:rsidRPr="00BF6823" w:rsidR="00BC0BF9" w:rsidP="00BC0BF9" w:rsidRDefault="00BC0BF9" w14:paraId="361B01F1" w14:textId="77777777">
      <w:pPr>
        <w:spacing w:before="120"/>
      </w:pPr>
    </w:p>
    <w:p w:rsidRPr="00BF6823" w:rsidR="00BC0BF9" w:rsidP="00BC0BF9" w:rsidRDefault="00BC0BF9" w14:paraId="452654EA" w14:textId="77777777">
      <w:pPr>
        <w:spacing w:before="120"/>
      </w:pPr>
    </w:p>
    <w:p w:rsidRPr="00BF6823" w:rsidR="00BC0BF9" w:rsidP="00BC0BF9" w:rsidRDefault="00BC0BF9" w14:paraId="6A947118" w14:textId="77777777">
      <w:pPr>
        <w:spacing w:before="120"/>
      </w:pPr>
    </w:p>
    <w:p w:rsidRPr="00BF6823" w:rsidR="00BC0BF9" w:rsidP="00BC0BF9" w:rsidRDefault="00BC0BF9" w14:paraId="5BC3889F" w14:textId="77777777">
      <w:pPr>
        <w:spacing w:before="120"/>
      </w:pPr>
    </w:p>
    <w:p w:rsidRPr="00BF6823" w:rsidR="00BC0BF9" w:rsidP="00BC0BF9" w:rsidRDefault="00BC0BF9" w14:paraId="775D32F8" w14:textId="77777777">
      <w:pPr>
        <w:spacing w:before="120"/>
      </w:pPr>
    </w:p>
    <w:p w:rsidRPr="00BF6823" w:rsidR="00BC0BF9" w:rsidP="00BC0BF9" w:rsidRDefault="00BC0BF9" w14:paraId="4D7953EC" w14:textId="77777777">
      <w:pPr>
        <w:spacing w:before="120"/>
      </w:pPr>
    </w:p>
    <w:p w:rsidRPr="00BF6823" w:rsidR="00BC0BF9" w:rsidP="00BC0BF9" w:rsidRDefault="00BC0BF9" w14:paraId="42955A14" w14:textId="77777777">
      <w:pPr>
        <w:spacing w:before="120"/>
      </w:pPr>
    </w:p>
    <w:p w:rsidRPr="00BF6823" w:rsidR="00BC0BF9" w:rsidP="00BC0BF9" w:rsidRDefault="00BC0BF9" w14:paraId="76AD86D5" w14:textId="77777777">
      <w:pPr>
        <w:spacing w:before="120"/>
      </w:pPr>
    </w:p>
    <w:p w:rsidRPr="00BF6823" w:rsidR="00BC0BF9" w:rsidP="00BC0BF9" w:rsidRDefault="00BC0BF9" w14:paraId="7A1A83D9" w14:textId="77777777">
      <w:pPr>
        <w:spacing w:before="120"/>
        <w:rPr>
          <w:b/>
        </w:rPr>
      </w:pPr>
    </w:p>
    <w:bookmarkEnd w:id="0"/>
    <w:bookmarkEnd w:id="2"/>
    <w:bookmarkEnd w:id="1"/>
    <w:p w:rsidRPr="00BF6823" w:rsidR="00BC0BF9" w:rsidP="00BC0BF9" w:rsidRDefault="00BC0BF9" w14:paraId="66412061" w14:textId="77777777">
      <w:pPr>
        <w:pStyle w:val="Heading1"/>
        <w:numPr>
          <w:ilvl w:val="0"/>
          <w:numId w:val="0"/>
        </w:numPr>
        <w:spacing w:before="120" w:after="0"/>
        <w:ind w:left="360"/>
        <w:rPr>
          <w:rFonts w:cs="Times New Roman"/>
          <w:szCs w:val="24"/>
        </w:rPr>
      </w:pPr>
    </w:p>
    <w:p w:rsidRPr="00BF6823" w:rsidR="00BC0BF9" w:rsidP="00BC0BF9" w:rsidRDefault="00BC0BF9" w14:paraId="6B840F83" w14:textId="77777777"/>
    <w:p w:rsidRPr="00BF6823" w:rsidR="00BC0BF9" w:rsidP="00BC0BF9" w:rsidRDefault="00BC0BF9" w14:paraId="44541278" w14:textId="77777777">
      <w:pPr>
        <w:pStyle w:val="Heading1"/>
        <w:numPr>
          <w:ilvl w:val="0"/>
          <w:numId w:val="0"/>
        </w:numPr>
        <w:spacing w:before="120" w:after="0"/>
        <w:ind w:left="360"/>
        <w:rPr>
          <w:rFonts w:cs="Times New Roman"/>
          <w:szCs w:val="24"/>
        </w:rPr>
      </w:pPr>
    </w:p>
    <w:p w:rsidRPr="00BF6823" w:rsidR="00BC0BF9" w:rsidP="00BC0BF9" w:rsidRDefault="00BC0BF9" w14:paraId="6855656D" w14:textId="77777777"/>
    <w:p w:rsidRPr="00BF6823" w:rsidR="00BC0BF9" w:rsidP="00BC0BF9" w:rsidRDefault="00BC0BF9" w14:paraId="2F20ECA7" w14:textId="77777777">
      <w:pPr>
        <w:widowControl/>
        <w:autoSpaceDE/>
        <w:autoSpaceDN/>
        <w:adjustRightInd/>
        <w:spacing w:line="240" w:lineRule="auto"/>
        <w:rPr>
          <w:b/>
        </w:rPr>
      </w:pPr>
      <w:r w:rsidRPr="00BF6823">
        <w:rPr>
          <w:b/>
        </w:rPr>
        <w:br w:type="page"/>
      </w:r>
    </w:p>
    <w:p w:rsidRPr="00BF6823" w:rsidR="00BC0BF9" w:rsidP="00BC0BF9" w:rsidRDefault="00BC0BF9" w14:paraId="1D238548" w14:textId="77777777">
      <w:pPr>
        <w:spacing w:before="120"/>
        <w:rPr>
          <w:b/>
        </w:rPr>
      </w:pPr>
      <w:r w:rsidRPr="00BF6823">
        <w:rPr>
          <w:b/>
        </w:rPr>
        <w:lastRenderedPageBreak/>
        <w:t>Section A: Justification for Information Collection</w:t>
      </w:r>
    </w:p>
    <w:p w:rsidRPr="00BF6823" w:rsidR="00BC0BF9" w:rsidP="00BC0BF9" w:rsidRDefault="00BC0BF9" w14:paraId="76BCE0FD" w14:textId="77777777">
      <w:pPr>
        <w:rPr>
          <w:b/>
        </w:rPr>
      </w:pPr>
    </w:p>
    <w:p w:rsidRPr="00BF6823" w:rsidR="00BC0BF9" w:rsidP="00BC0BF9" w:rsidRDefault="00BC0BF9" w14:paraId="47102ED7" w14:textId="77777777">
      <w:pPr>
        <w:pStyle w:val="Heading1"/>
        <w:numPr>
          <w:ilvl w:val="0"/>
          <w:numId w:val="0"/>
        </w:numPr>
        <w:spacing w:before="120" w:after="0"/>
        <w:ind w:left="360"/>
        <w:rPr>
          <w:rFonts w:cs="Times New Roman"/>
          <w:szCs w:val="24"/>
        </w:rPr>
      </w:pPr>
      <w:bookmarkStart w:name="_Toc458693472" w:id="3"/>
      <w:r w:rsidRPr="00BF6823">
        <w:rPr>
          <w:rFonts w:cs="Times New Roman"/>
          <w:szCs w:val="24"/>
        </w:rPr>
        <w:t>A1. Circumstances Making the Collection of Information Necessary</w:t>
      </w:r>
      <w:bookmarkEnd w:id="3"/>
    </w:p>
    <w:p w:rsidRPr="00BF6823" w:rsidR="00BC0BF9" w:rsidP="00BC0BF9" w:rsidRDefault="00BC0BF9" w14:paraId="52E1BB5B" w14:textId="03644532">
      <w:pPr>
        <w:spacing w:before="120"/>
        <w:ind w:firstLine="720"/>
      </w:pPr>
      <w:r w:rsidRPr="00BF6823">
        <w:t xml:space="preserve">The Centers for Disease Control and Prevention (CDC), Division of Adolescent and School Health (DASH) requests a </w:t>
      </w:r>
      <w:r w:rsidRPr="003147BB">
        <w:rPr>
          <w:highlight w:val="yellow"/>
        </w:rPr>
        <w:t xml:space="preserve">3-year </w:t>
      </w:r>
      <w:r w:rsidRPr="003147BB">
        <w:rPr>
          <w:rFonts w:eastAsia="Calibri"/>
          <w:highlight w:val="yellow"/>
        </w:rPr>
        <w:t>OMB approval</w:t>
      </w:r>
      <w:r w:rsidRPr="00C44BCC">
        <w:rPr>
          <w:rFonts w:eastAsia="Calibri"/>
        </w:rPr>
        <w:t xml:space="preserve"> for the </w:t>
      </w:r>
      <w:r w:rsidRPr="003147BB" w:rsidR="00DC7101">
        <w:rPr>
          <w:rFonts w:eastAsia="Calibri"/>
          <w:highlight w:val="yellow"/>
        </w:rPr>
        <w:t>EXTENSION</w:t>
      </w:r>
      <w:r w:rsidRPr="003147BB">
        <w:rPr>
          <w:rFonts w:eastAsia="Calibri"/>
          <w:highlight w:val="yellow"/>
        </w:rPr>
        <w:t xml:space="preserve"> of a generic information collection package</w:t>
      </w:r>
      <w:r w:rsidRPr="00C44BCC">
        <w:rPr>
          <w:rFonts w:eastAsia="Calibri"/>
        </w:rPr>
        <w:t xml:space="preserve"> (OMB #0920-1235 exp. Date 05/31/2022) </w:t>
      </w:r>
      <w:r w:rsidRPr="00C44BCC">
        <w:t>to extend a generic information collection package</w:t>
      </w:r>
      <w:r w:rsidRPr="00BF6823">
        <w:t xml:space="preserve"> entitled, “Assessments to Inform Program Refinement for HIV, other STD Prevention, and Pregnancy Prevention among Middle and High-School Aged Youth,” that supports collection of quantitative and qualitative information from adolescents (ages 11-19) and their parents/caregivers for the purpose of needs assessment and program refinement for programs and services designed to prevent HIV, other sexually transmitted diseases (STDs), and pregnancy among middle and high school aged adolescents.  </w:t>
      </w:r>
    </w:p>
    <w:p w:rsidRPr="00BF6823" w:rsidR="00BC0BF9" w:rsidP="00BC0BF9" w:rsidRDefault="00BC0BF9" w14:paraId="38DD7650" w14:textId="77777777">
      <w:pPr>
        <w:spacing w:before="120"/>
        <w:rPr>
          <w:u w:val="single"/>
        </w:rPr>
      </w:pPr>
      <w:r w:rsidRPr="00BF6823">
        <w:rPr>
          <w:u w:val="single"/>
        </w:rPr>
        <w:t>Background</w:t>
      </w:r>
    </w:p>
    <w:p w:rsidRPr="00BF6823" w:rsidR="00BC0BF9" w:rsidP="00BC0BF9" w:rsidRDefault="00BC0BF9" w14:paraId="2310B641" w14:textId="77777777">
      <w:pPr>
        <w:spacing w:before="120"/>
        <w:ind w:firstLine="720"/>
        <w:rPr>
          <w:vertAlign w:val="superscript"/>
        </w:rPr>
      </w:pPr>
      <w:r w:rsidRPr="00BF6823">
        <w:t>NCHHSTP conducts behavioral and health service assessments and research projects as part of its response to the domestic HIV/AIDS epidemic, STD prevention, TB elimination and viral hepatitis control with national, state, and local partners. Adolescents are a population with specific developmental,</w:t>
      </w:r>
      <w:r w:rsidRPr="00BF6823">
        <w:rPr>
          <w:vertAlign w:val="superscript"/>
        </w:rPr>
        <w:t>1</w:t>
      </w:r>
      <w:r w:rsidRPr="00BF6823">
        <w:t xml:space="preserve"> health and social,</w:t>
      </w:r>
      <w:r w:rsidRPr="00BF6823">
        <w:rPr>
          <w:vertAlign w:val="superscript"/>
        </w:rPr>
        <w:t>2</w:t>
      </w:r>
      <w:r w:rsidRPr="00BF6823">
        <w:t xml:space="preserve"> and resource needs.</w:t>
      </w:r>
      <w:r w:rsidRPr="00BF6823">
        <w:rPr>
          <w:vertAlign w:val="superscript"/>
        </w:rPr>
        <w:t>3</w:t>
      </w:r>
      <w:r w:rsidRPr="00BF6823">
        <w:t xml:space="preserve"> Their health risk factors and access to health care</w:t>
      </w:r>
      <w:r w:rsidRPr="00BF6823">
        <w:rPr>
          <w:vertAlign w:val="superscript"/>
        </w:rPr>
        <w:t>3</w:t>
      </w:r>
      <w:r w:rsidRPr="00BF6823">
        <w:t xml:space="preserve"> are addressed as a primary mission by the Division of Adolescent and School Health (DASH), and adolescents are a population of interest for several other NCHHSTP divisions. The assessment and research conducted by NCHHSTP is one pillar upon which recommendations and guidelines are revised and updated. Recommendations and guidelines for adolescent sexual risk reduction require that foundation of scientific evidence.</w:t>
      </w:r>
      <w:r w:rsidRPr="00BF6823">
        <w:rPr>
          <w:sz w:val="20"/>
          <w:szCs w:val="20"/>
          <w:vertAlign w:val="superscript"/>
        </w:rPr>
        <w:t>4</w:t>
      </w:r>
      <w:r w:rsidRPr="00BF6823">
        <w:t xml:space="preserve"> Assessment of programmatic practices for adolescents helps improve programs through better identification of strategies relevant to adolescents as a population as well as specific sub-groups of adolescents </w:t>
      </w:r>
      <w:r>
        <w:t xml:space="preserve">at highest risk for HIV and other STDs </w:t>
      </w:r>
      <w:r w:rsidRPr="00BF6823">
        <w:t>so that programs can be better tailored specifically for them.</w:t>
      </w:r>
      <w:r w:rsidRPr="00BF6823">
        <w:rPr>
          <w:vertAlign w:val="superscript"/>
        </w:rPr>
        <w:t>5</w:t>
      </w:r>
    </w:p>
    <w:p w:rsidRPr="00BF6823" w:rsidR="00BC0BF9" w:rsidP="00BC0BF9" w:rsidRDefault="00BC0BF9" w14:paraId="532C9143" w14:textId="675916AD">
      <w:pPr>
        <w:spacing w:before="120"/>
        <w:ind w:firstLine="720"/>
      </w:pPr>
      <w:r w:rsidRPr="00BF6823">
        <w:t>DASH has awarded funds to implement PS1</w:t>
      </w:r>
      <w:r>
        <w:t>8</w:t>
      </w:r>
      <w:r w:rsidRPr="00BF6823">
        <w:t>-1</w:t>
      </w:r>
      <w:r>
        <w:t>807</w:t>
      </w:r>
      <w:r w:rsidRPr="00BF6823">
        <w:t xml:space="preserve">: </w:t>
      </w:r>
      <w:r w:rsidRPr="00BF6823">
        <w:rPr>
          <w:i/>
        </w:rPr>
        <w:t>Promoting Adolescent Health through School-Based HIV/STD Prevention and School-Based</w:t>
      </w:r>
      <w:r w:rsidRPr="00BF6823">
        <w:t xml:space="preserve"> </w:t>
      </w:r>
      <w:r w:rsidRPr="00BF6823">
        <w:rPr>
          <w:i/>
        </w:rPr>
        <w:t>Surveillance</w:t>
      </w:r>
      <w:r w:rsidRPr="00BF6823">
        <w:t xml:space="preserve"> in order to build the capacity </w:t>
      </w:r>
      <w:r w:rsidRPr="00B53CAC">
        <w:t xml:space="preserve">of local education agencies (LEAs) and </w:t>
      </w:r>
      <w:r w:rsidRPr="00BF6823">
        <w:t xml:space="preserve">support the efforts of national, non-governmental organizations (NGOs) to help priority school districts and schools develop and implement effective and sustainable adolescent-focused program activities. Under this cooperative agreement, funded partners will be selected to participate in mixed-methods assessments to better understand program delivery and the strengths and weaknesses of key program strategies. Data collection among adolescents and their parents/caregivers who are served by programs prevent HIV and other STDs among youth is critical to understand the context, types, and promising strategies of those programs and services.  Findings from studies of such programs directly inform CDC recommendations for funded partners as well as school districts and other youth serving organizations across the county.  As promising strategies are identified, CDC can encourage uptake of these activities by its other funded partners and can </w:t>
      </w:r>
      <w:r w:rsidRPr="00BF6823">
        <w:lastRenderedPageBreak/>
        <w:t>encourage partners to move away from strategies that appear to less feasible or less acceptable to the intended audiences.  Such assessments allow for better program design and refinement.</w:t>
      </w:r>
    </w:p>
    <w:p w:rsidRPr="00BF6823" w:rsidR="00BC0BF9" w:rsidP="00BC0BF9" w:rsidRDefault="00BC0BF9" w14:paraId="6FCD9346" w14:textId="77777777">
      <w:pPr>
        <w:spacing w:before="120"/>
        <w:ind w:firstLine="720"/>
      </w:pPr>
      <w:r w:rsidRPr="00BF6823">
        <w:t>CDC is authorized to collect the data described in this request by Section 301 of the Public Health Service Act (</w:t>
      </w:r>
      <w:bookmarkStart w:name="OLE_LINK3" w:id="4"/>
      <w:bookmarkStart w:name="OLE_LINK4" w:id="5"/>
      <w:r w:rsidRPr="00BF6823">
        <w:t>42 USC 241</w:t>
      </w:r>
      <w:bookmarkEnd w:id="4"/>
      <w:bookmarkEnd w:id="5"/>
      <w:r w:rsidRPr="00BF6823">
        <w:t xml:space="preserve">).  A copy of this enabling legislation is provided in </w:t>
      </w:r>
      <w:r w:rsidRPr="00BF6823">
        <w:rPr>
          <w:b/>
        </w:rPr>
        <w:t>Attachment 1</w:t>
      </w:r>
      <w:r w:rsidRPr="00BF6823">
        <w:t xml:space="preserve">.  In addition to this legislation, there are several national initiatives and programs that this information collection would serve to support, including but not limited to: </w:t>
      </w:r>
    </w:p>
    <w:p w:rsidRPr="00BF6823" w:rsidR="00BC0BF9" w:rsidP="00BC0BF9" w:rsidRDefault="00BC0BF9" w14:paraId="3C97DFC3" w14:textId="77777777">
      <w:pPr>
        <w:pStyle w:val="ListParagraph"/>
        <w:numPr>
          <w:ilvl w:val="0"/>
          <w:numId w:val="7"/>
        </w:numPr>
        <w:spacing w:before="120"/>
        <w:rPr>
          <w:rFonts w:eastAsia="Calibri"/>
        </w:rPr>
      </w:pPr>
      <w:r w:rsidRPr="00BF6823">
        <w:rPr>
          <w:rFonts w:eastAsia="Calibri"/>
          <w:i/>
          <w:iCs/>
        </w:rPr>
        <w:t xml:space="preserve">Healthy People 2020, </w:t>
      </w:r>
      <w:r w:rsidRPr="00BF6823">
        <w:rPr>
          <w:rFonts w:eastAsia="Calibri"/>
          <w:iCs/>
        </w:rPr>
        <w:t>which provides</w:t>
      </w:r>
      <w:r w:rsidRPr="00BF6823">
        <w:rPr>
          <w:rFonts w:eastAsia="Calibri"/>
        </w:rPr>
        <w:t xml:space="preserve"> national health objectives and outlines a comprehensive plan for health promotion and disease prevention in the United States. Of the Healthy People 2020 objectives, 31 objectives align specifically with PS-1</w:t>
      </w:r>
      <w:r>
        <w:rPr>
          <w:rFonts w:eastAsia="Calibri"/>
        </w:rPr>
        <w:t>8</w:t>
      </w:r>
      <w:r w:rsidRPr="00BF6823">
        <w:rPr>
          <w:rFonts w:eastAsia="Calibri"/>
        </w:rPr>
        <w:t>-1</w:t>
      </w:r>
      <w:r>
        <w:rPr>
          <w:rFonts w:eastAsia="Calibri"/>
        </w:rPr>
        <w:t>807</w:t>
      </w:r>
      <w:r w:rsidRPr="00BF6823">
        <w:rPr>
          <w:rFonts w:eastAsia="Calibri"/>
        </w:rPr>
        <w:t xml:space="preserve"> activities related to reducing HIV infection, other STD, and pregnancy among adolescents.</w:t>
      </w:r>
      <w:r w:rsidRPr="00BF6823">
        <w:rPr>
          <w:rFonts w:eastAsia="Calibri"/>
          <w:vertAlign w:val="superscript"/>
        </w:rPr>
        <w:t>6</w:t>
      </w:r>
    </w:p>
    <w:p w:rsidRPr="00BF6823" w:rsidR="00BC0BF9" w:rsidP="00BC0BF9" w:rsidRDefault="00BC0BF9" w14:paraId="29701515" w14:textId="77777777">
      <w:pPr>
        <w:pStyle w:val="ListParagraph"/>
        <w:numPr>
          <w:ilvl w:val="0"/>
          <w:numId w:val="7"/>
        </w:numPr>
        <w:spacing w:before="120"/>
        <w:rPr>
          <w:rFonts w:eastAsia="Calibri"/>
        </w:rPr>
      </w:pPr>
      <w:r w:rsidRPr="00BF6823">
        <w:rPr>
          <w:rFonts w:eastAsia="Calibri"/>
        </w:rPr>
        <w:t>The National HIV/AIDS Strategy for the United States provides a plan of action across the U.S. for preventing the spread of HIV, increasing access and use of HIV treatment services, and the overall reduction of HIV/AIDS disparities.</w:t>
      </w:r>
      <w:r w:rsidRPr="00BF6823">
        <w:rPr>
          <w:rFonts w:eastAsia="Calibri"/>
          <w:vertAlign w:val="superscript"/>
        </w:rPr>
        <w:t>7</w:t>
      </w:r>
      <w:r w:rsidRPr="00BF6823">
        <w:rPr>
          <w:rFonts w:eastAsia="Calibri"/>
        </w:rPr>
        <w:t xml:space="preserve"> </w:t>
      </w:r>
    </w:p>
    <w:p w:rsidRPr="00BF6823" w:rsidR="00BC0BF9" w:rsidP="00BC0BF9" w:rsidRDefault="00BC0BF9" w14:paraId="4BE586EB" w14:textId="77777777">
      <w:pPr>
        <w:pStyle w:val="ListParagraph"/>
        <w:numPr>
          <w:ilvl w:val="0"/>
          <w:numId w:val="7"/>
        </w:numPr>
        <w:spacing w:before="120"/>
        <w:rPr>
          <w:rFonts w:eastAsia="Calibri"/>
        </w:rPr>
      </w:pPr>
      <w:r w:rsidRPr="00BF6823">
        <w:rPr>
          <w:rFonts w:eastAsia="Calibri"/>
        </w:rPr>
        <w:t xml:space="preserve">The NCHHSTP program imperative calls for </w:t>
      </w:r>
      <w:r w:rsidRPr="00BF6823">
        <w:rPr>
          <w:rFonts w:eastAsia="Calibri"/>
          <w:i/>
          <w:iCs/>
        </w:rPr>
        <w:t>Program Collaboration and Service Integration (</w:t>
      </w:r>
      <w:r w:rsidRPr="00BF6823">
        <w:rPr>
          <w:rFonts w:eastAsia="Calibri"/>
        </w:rPr>
        <w:t>PCSI</w:t>
      </w:r>
      <w:r w:rsidRPr="00BF6823">
        <w:rPr>
          <w:rFonts w:eastAsia="Calibri"/>
          <w:i/>
          <w:iCs/>
        </w:rPr>
        <w:t>)</w:t>
      </w:r>
      <w:r w:rsidRPr="00BF6823">
        <w:rPr>
          <w:rFonts w:eastAsia="Calibri"/>
        </w:rPr>
        <w:t xml:space="preserve"> to provide improved integration of HIV, viral hepatitis, STD, and TB prevention and treatment services at the user level.</w:t>
      </w:r>
      <w:r w:rsidRPr="00BF6823">
        <w:rPr>
          <w:rFonts w:eastAsia="Calibri"/>
          <w:vertAlign w:val="superscript"/>
        </w:rPr>
        <w:t xml:space="preserve">5 </w:t>
      </w:r>
    </w:p>
    <w:p w:rsidRPr="00BF6823" w:rsidR="00BC0BF9" w:rsidP="00BC0BF9" w:rsidRDefault="00BC0BF9" w14:paraId="3F75B95E" w14:textId="77777777">
      <w:pPr>
        <w:pStyle w:val="ListParagraph"/>
        <w:numPr>
          <w:ilvl w:val="0"/>
          <w:numId w:val="7"/>
        </w:numPr>
        <w:spacing w:before="120"/>
        <w:rPr>
          <w:rFonts w:eastAsia="Calibri"/>
        </w:rPr>
      </w:pPr>
      <w:r w:rsidRPr="00BF6823">
        <w:rPr>
          <w:rFonts w:eastAsia="Calibri"/>
          <w:i/>
          <w:iCs/>
        </w:rPr>
        <w:t>CDC Winnable Battles</w:t>
      </w:r>
      <w:r w:rsidRPr="00BF6823">
        <w:rPr>
          <w:rFonts w:eastAsia="Calibri"/>
        </w:rPr>
        <w:t>, including prevention of HIV infection and teen pregnancy prevention, have been chosen by CDC based on the magnitude of the health problems and the ability to make significant progress in improving outcomes. Many programs and services for adolescents focus on integrated approaches to reduce sexual risk behaviors that result in sexually transmitted diseases and pregnancies. These are public health priorities with large-scale impact on health with known, effective strategies to address them.</w:t>
      </w:r>
      <w:r w:rsidRPr="00BF6823">
        <w:rPr>
          <w:rFonts w:eastAsia="Calibri"/>
          <w:vertAlign w:val="superscript"/>
        </w:rPr>
        <w:t>8</w:t>
      </w:r>
    </w:p>
    <w:p w:rsidRPr="00BF6823" w:rsidR="00BC0BF9" w:rsidP="00BC0BF9" w:rsidRDefault="00BC0BF9" w14:paraId="22551661" w14:textId="77777777">
      <w:pPr>
        <w:widowControl/>
        <w:spacing w:before="120"/>
        <w:rPr>
          <w:rFonts w:eastAsia="Calibri"/>
          <w:color w:val="000000"/>
        </w:rPr>
      </w:pPr>
    </w:p>
    <w:p w:rsidRPr="00BF6823" w:rsidR="00BC0BF9" w:rsidP="00BC0BF9" w:rsidRDefault="00BC0BF9" w14:paraId="354848CD" w14:textId="77777777">
      <w:pPr>
        <w:pStyle w:val="Heading1"/>
        <w:numPr>
          <w:ilvl w:val="0"/>
          <w:numId w:val="0"/>
        </w:numPr>
        <w:spacing w:before="120" w:after="0"/>
        <w:rPr>
          <w:rFonts w:cs="Times New Roman"/>
          <w:szCs w:val="24"/>
        </w:rPr>
      </w:pPr>
      <w:bookmarkStart w:name="_Toc458693473" w:id="6"/>
      <w:r w:rsidRPr="00BF6823">
        <w:rPr>
          <w:rFonts w:cs="Times New Roman"/>
          <w:szCs w:val="24"/>
        </w:rPr>
        <w:t>A.2 Purpose and Use of Information Collection</w:t>
      </w:r>
      <w:bookmarkEnd w:id="6"/>
    </w:p>
    <w:p w:rsidR="00BC0BF9" w:rsidP="00BC0BF9" w:rsidRDefault="00BC0BF9" w14:paraId="311DB7D7" w14:textId="6592203C">
      <w:pPr>
        <w:spacing w:before="120"/>
        <w:ind w:firstLine="720"/>
      </w:pPr>
      <w:r w:rsidRPr="00BF6823">
        <w:t xml:space="preserve">Data gathered from questionnaires can be quantitatively analyzed to allow CDC, funded local education and health agencies, national non-governmental agencies, CBOs, and healthcare providers to assess needs and </w:t>
      </w:r>
      <w:r>
        <w:t xml:space="preserve">refine </w:t>
      </w:r>
      <w:r w:rsidRPr="00BF6823">
        <w:t>program activities/services to reduce adolescents’ risk of HIV and other STD transmission, including activities conducted under PS1</w:t>
      </w:r>
      <w:r>
        <w:t>8</w:t>
      </w:r>
      <w:r w:rsidRPr="00BF6823">
        <w:t>-1</w:t>
      </w:r>
      <w:r>
        <w:t>8</w:t>
      </w:r>
      <w:r w:rsidRPr="00BF6823">
        <w:t>0</w:t>
      </w:r>
      <w:r>
        <w:t>7</w:t>
      </w:r>
      <w:r w:rsidRPr="00BF6823">
        <w:t xml:space="preserve">.  These data will allow agencies and partners to improve the quality of their programs and services to prevent HIV, other STDs, and pregnancy among adolescents of middle and high school age. </w:t>
      </w:r>
    </w:p>
    <w:p w:rsidR="003147BB" w:rsidP="00BC0BF9" w:rsidRDefault="003147BB" w14:paraId="31EB82E0" w14:textId="3FC5F7BB">
      <w:pPr>
        <w:spacing w:before="120"/>
        <w:ind w:firstLine="720"/>
      </w:pPr>
      <w:r>
        <w:t xml:space="preserve">To date, a previous version of this generic package was used to conduct students focus groups with students in one of DASH’s funded local education agencies to better understand their perspectives on access to recommended adolescent preventive health services (approved August 2018).  This qualitative data allowed the local education agency to improve their processes for increasing student access to services and helped shape technical assistance and resources that CDC provided to the broader set of school districts funded through DASH’s </w:t>
      </w:r>
      <w:r>
        <w:lastRenderedPageBreak/>
        <w:t xml:space="preserve">cooperative agreement. </w:t>
      </w:r>
    </w:p>
    <w:p w:rsidRPr="00BF6823" w:rsidR="003147BB" w:rsidP="00BC0BF9" w:rsidRDefault="003147BB" w14:paraId="2DB37D28" w14:textId="30DDAADF">
      <w:pPr>
        <w:spacing w:before="120"/>
        <w:ind w:firstLine="720"/>
      </w:pPr>
      <w:r>
        <w:t>Of note, the most recent iteration of this generic package has not yet been used for data collection, but this was due to an unforeseen interruption of several assessment efforts.  DASH’s work centers primarily on schools, and the COVID-19 pandemic caused disruptions for schools in the 2019-2020 and 2020-2021 school year, which resulted in several planned assessment projects being delayed and/or cancelled. Now that most schools have returned to in-person learning, assessments are again being planned, and we anticipate a couple of ICRs being submitted under the generic package that expires in mid-2022 and more under this extension, once approved.  These projects are expected to include both questionnaire data collection from students and focus group data collection from students.</w:t>
      </w:r>
    </w:p>
    <w:p w:rsidRPr="00BF6823" w:rsidR="00BC0BF9" w:rsidP="00BC0BF9" w:rsidRDefault="00BC0BF9" w14:paraId="5C228500" w14:textId="77777777">
      <w:pPr>
        <w:spacing w:before="120"/>
        <w:ind w:firstLine="720"/>
      </w:pPr>
      <w:r w:rsidRPr="00BF6823">
        <w:t>CDC will only submit a collection for approval under this generic clearance if it meets the following conditions:</w:t>
      </w:r>
    </w:p>
    <w:p w:rsidR="00BC0BF9" w:rsidP="00BC0BF9" w:rsidRDefault="00BC0BF9" w14:paraId="33553F4C" w14:textId="77777777">
      <w:pPr>
        <w:pStyle w:val="ListParagraph"/>
        <w:numPr>
          <w:ilvl w:val="0"/>
          <w:numId w:val="30"/>
        </w:numPr>
        <w:spacing w:before="120"/>
      </w:pPr>
      <w:r w:rsidRPr="00BF6823">
        <w:t>The collection is voluntary;</w:t>
      </w:r>
    </w:p>
    <w:p w:rsidRPr="00BF6823" w:rsidR="00BC0BF9" w:rsidP="00BC0BF9" w:rsidRDefault="00BC0BF9" w14:paraId="686A0878" w14:textId="77777777">
      <w:pPr>
        <w:pStyle w:val="ListParagraph"/>
        <w:numPr>
          <w:ilvl w:val="0"/>
          <w:numId w:val="30"/>
        </w:numPr>
        <w:spacing w:before="120"/>
      </w:pPr>
      <w:r w:rsidRPr="00BF6823">
        <w:t>The collection consists of qualitative and/or quantitative data collections through electronic, telephone, or paper-based questionnaires, interviews, and/or focus groups;</w:t>
      </w:r>
    </w:p>
    <w:p w:rsidRPr="00BF6823" w:rsidR="00BC0BF9" w:rsidP="00BC0BF9" w:rsidRDefault="00BC0BF9" w14:paraId="46D3D6D5" w14:textId="77777777">
      <w:pPr>
        <w:pStyle w:val="ListParagraph"/>
        <w:numPr>
          <w:ilvl w:val="0"/>
          <w:numId w:val="30"/>
        </w:numPr>
        <w:spacing w:before="120"/>
      </w:pPr>
      <w:r w:rsidRPr="00BF6823">
        <w:t>The collection is low burden for respondents (based on considerations of total burden hours, total number of respondents, or burden hours per respondent) and are low cost for both the respondents and the Federal Government;</w:t>
      </w:r>
    </w:p>
    <w:p w:rsidRPr="00BF6823" w:rsidR="00BC0BF9" w:rsidP="00BC0BF9" w:rsidRDefault="00BC0BF9" w14:paraId="47E59128" w14:textId="77777777">
      <w:pPr>
        <w:pStyle w:val="ListParagraph"/>
        <w:numPr>
          <w:ilvl w:val="0"/>
          <w:numId w:val="30"/>
        </w:numPr>
        <w:spacing w:before="120"/>
      </w:pPr>
      <w:r w:rsidRPr="00BF6823">
        <w:t>The collection includes participants who are middle- or high-school age adolescents and/or their parents/caregivers (i.e., program beneficiaries);</w:t>
      </w:r>
    </w:p>
    <w:p w:rsidRPr="00BF6823" w:rsidR="00BC0BF9" w:rsidP="00BC0BF9" w:rsidRDefault="00BC0BF9" w14:paraId="4CFE74F6" w14:textId="77777777">
      <w:pPr>
        <w:pStyle w:val="ListParagraph"/>
        <w:numPr>
          <w:ilvl w:val="0"/>
          <w:numId w:val="30"/>
        </w:numPr>
        <w:spacing w:before="120"/>
      </w:pPr>
      <w:r w:rsidRPr="00BF6823">
        <w:t>The collection focuses on program processes, participant experiences, or proximal indicators of, or precursors to, HIV/STD or pregnancy outcomes [e.g., sexual risk or protective behaviors and related risk or protective factors (such as substance use, school environment, parental engagement)] rather than the long-term health outcomes themselves; and</w:t>
      </w:r>
    </w:p>
    <w:p w:rsidR="00BC0BF9" w:rsidP="00BC0BF9" w:rsidRDefault="00BC0BF9" w14:paraId="58D9DB81" w14:textId="77777777">
      <w:pPr>
        <w:pStyle w:val="ListParagraph"/>
        <w:numPr>
          <w:ilvl w:val="0"/>
          <w:numId w:val="30"/>
        </w:numPr>
        <w:spacing w:before="120"/>
      </w:pPr>
      <w:r w:rsidRPr="00BF6823">
        <w:t>The collection is for the purpose of needs assessment and program refinement for HIV, STD, and/or pregnancy prevention programs for middle- or high-school age adolescents.</w:t>
      </w:r>
    </w:p>
    <w:p w:rsidRPr="00BF6823" w:rsidR="00BC0BF9" w:rsidP="00BC0BF9" w:rsidRDefault="00BC0BF9" w14:paraId="38C6D169" w14:textId="77777777">
      <w:pPr>
        <w:pStyle w:val="ListParagraph"/>
        <w:numPr>
          <w:ilvl w:val="0"/>
          <w:numId w:val="30"/>
        </w:numPr>
        <w:spacing w:before="120"/>
      </w:pPr>
      <w:r>
        <w:t>The program and/or services to be informed or refined with information from the collection will be clearly identified, and data elements will be cross-walked to the aspects of the program that the project team is seeking to inform or refine.</w:t>
      </w:r>
    </w:p>
    <w:p w:rsidRPr="00BF6823" w:rsidR="00BC0BF9" w:rsidP="00BC0BF9" w:rsidRDefault="00BC0BF9" w14:paraId="3E5C720D" w14:textId="77777777">
      <w:pPr>
        <w:spacing w:before="120"/>
      </w:pPr>
      <w:r w:rsidRPr="00BF6823">
        <w:t>If these conditions are not met, CDC will submit an information collection request to OMB for approval through the normal PRA process.</w:t>
      </w:r>
    </w:p>
    <w:p w:rsidRPr="00BF6823" w:rsidR="00BC0BF9" w:rsidP="00BC0BF9" w:rsidRDefault="00BC0BF9" w14:paraId="7B902C71" w14:textId="132E63B7">
      <w:pPr>
        <w:spacing w:before="120"/>
        <w:ind w:firstLine="720"/>
      </w:pPr>
      <w:r w:rsidRPr="00BF6823">
        <w:t xml:space="preserve">Quantitative data collection will allow </w:t>
      </w:r>
      <w:r w:rsidR="003147BB">
        <w:t>DASH</w:t>
      </w:r>
      <w:r w:rsidRPr="00BF6823" w:rsidR="003147BB">
        <w:t xml:space="preserve"> </w:t>
      </w:r>
      <w:r w:rsidRPr="00BF6823">
        <w:t xml:space="preserve">to assess program and service activities to prevent HIV, other STDs, and pregnancy among adolescents, and to generate recommendations to better reach and serve them. The quantitative data collection may also inform how to best design or adapt programs or services to better meet the needs of adolescent beneficiaries.  </w:t>
      </w:r>
      <w:r w:rsidR="003147BB">
        <w:t xml:space="preserve">Specifically, data are expected to provide information on what students and their families need from programs, what they are getting from programs, and help local education agency and </w:t>
      </w:r>
      <w:r w:rsidR="003147BB">
        <w:lastRenderedPageBreak/>
        <w:t xml:space="preserve">DASH staff better understand how to tailor the strategies we support to meet these needs. </w:t>
      </w:r>
      <w:r w:rsidRPr="00BF6823">
        <w:t xml:space="preserve">Data will be provided to participating agencies and organizations and will be used to assess the processes and strategies of programs and services for adolescents over time, and in a timely fashion that allows on-going program improvements. </w:t>
      </w:r>
      <w:r w:rsidR="003147BB">
        <w:t>In addition, lessons learned from data collection conducted under this generic package are expected to help inform DASH’s decisions on the specific strategies for which we fund schools.</w:t>
      </w:r>
    </w:p>
    <w:p w:rsidR="00BC0BF9" w:rsidP="003147BB" w:rsidRDefault="00BC0BF9" w14:paraId="6505F571" w14:textId="1B400B64">
      <w:pPr>
        <w:spacing w:before="120"/>
        <w:ind w:firstLine="720"/>
      </w:pPr>
      <w:r w:rsidRPr="00BF6823">
        <w:t xml:space="preserve">Qualitative data provide valuable information about the context of adolescents’ and parents’ school, social, familial, and community environments, and adolescent and parent perceptions of programs and services. Further, such data collection can assess the feasibility and acceptability of programs and services among those who receive them. Such data can allow for refinement of programs and services for given communities and populations of adolescents. </w:t>
      </w:r>
      <w:r w:rsidR="003147BB">
        <w:t xml:space="preserve">For example, under a previous iteration of this generic package, we conducted focus groups with students at one of DASH’s funded local education agencies.  Specifically, students were asked about how they get access to necessary health services as well as what kinds of barriers or challenges they face in trying to get services.  In addition, students were asked about trusted sources of information and adults (e.g., school nurses, teachers) within the school who might be approachable for assistance in accessing services.  This data was used to help the school district identify the types of staff who would be well positioned to help facilitate connections between students and the health services they needed.  Overall, qualitative data collected under this generic package </w:t>
      </w:r>
      <w:r w:rsidRPr="00BF6823">
        <w:t xml:space="preserve">will be shared with participating agencies and organizations, and </w:t>
      </w:r>
      <w:r w:rsidR="003147BB">
        <w:t>DASH</w:t>
      </w:r>
      <w:r w:rsidRPr="00BF6823">
        <w:t xml:space="preserve"> will collaborate with them for program and service improvement. Such data also provides information about strengths and weaknesses of programmatic activities and services that consider contextual factors and individual experiences.</w:t>
      </w:r>
    </w:p>
    <w:p w:rsidRPr="00AE01CB" w:rsidR="00BC0BF9" w:rsidP="00BC0BF9" w:rsidRDefault="00BC0BF9" w14:paraId="30A5DCC6" w14:textId="77777777">
      <w:pPr>
        <w:spacing w:before="120"/>
        <w:rPr>
          <w:rFonts w:eastAsia="Calibri"/>
        </w:rPr>
      </w:pPr>
      <w:r w:rsidRPr="00AE01CB">
        <w:rPr>
          <w:rFonts w:eastAsia="Calibri"/>
        </w:rPr>
        <w:t>Qualitative data collection conducted in-person or remotely through electronic (via computers, tablets, other mobile devices, etc.), telephone, or paper means to gather information about programmatic and service activities related to sexual risk reduction or prevention of adverse health outcomes among adolescents of middle- and high-school age. Qualitative data collection may involve focus groups and/or in-depth individual or groups interviews. Questions for adolescents will be related to experiences of programs and services to reduce the risk of HIV and other STD transmission, and knowledge, attitudes, behaviors, and skills related to sexual risk and protective factors on individual, interpersonal, and community levels. Data collected from parents may reflect their perceptions about programs and services provided to adolescents; their knowledge, attitudes, and perceptions about their adolescents’ health risk and protective behaviors; and their parenting knowledge, attitudes, behaviors, and skills.</w:t>
      </w:r>
    </w:p>
    <w:p w:rsidRPr="00AE01CB" w:rsidR="00BC0BF9" w:rsidP="00BC0BF9" w:rsidRDefault="00BC0BF9" w14:paraId="661360E8" w14:textId="77777777">
      <w:pPr>
        <w:rPr>
          <w:rFonts w:eastAsiaTheme="majorEastAsia"/>
          <w:b/>
          <w:bCs/>
        </w:rPr>
      </w:pPr>
    </w:p>
    <w:p w:rsidRPr="00BF6823" w:rsidR="00BC0BF9" w:rsidP="000818D6" w:rsidRDefault="00BC0BF9" w14:paraId="1079A157" w14:textId="150CAE4A">
      <w:pPr>
        <w:ind w:firstLine="720"/>
        <w:rPr>
          <w:rFonts w:eastAsia="Calibri"/>
        </w:rPr>
      </w:pPr>
      <w:r w:rsidRPr="00BF6823">
        <w:rPr>
          <w:rFonts w:eastAsia="Calibri"/>
        </w:rPr>
        <w:t>Participants</w:t>
      </w:r>
      <w:r w:rsidRPr="00BF6823" w:rsidR="003147BB">
        <w:t xml:space="preserve"> for this data collection are considered to be the “beneficiaries” of the types of programs that are funded by CDC/DASH.  Typically, CDC/DASH programs are intended to have direct impact on proximal indicators such as sexual health-related knowledge, attitudes, perceptions, and behaviors.  Furthermore, CDC/DASH currently recommends its funded partners use parent engagement as a strategy for improving sexual health outcomes among youth, and </w:t>
      </w:r>
      <w:r w:rsidRPr="00BF6823" w:rsidR="003147BB">
        <w:lastRenderedPageBreak/>
        <w:t>therefore, it is critical to also be able to collect data from parents who may themselves be receiving programs, materials, or services intended to have a cascading reach to their children.</w:t>
      </w:r>
      <w:r w:rsidR="003147BB">
        <w:t xml:space="preserve">  Possible participants for ICRs submitted under this generic package include:</w:t>
      </w:r>
      <w:r w:rsidRPr="00BF6823">
        <w:rPr>
          <w:rFonts w:eastAsia="Calibri"/>
        </w:rPr>
        <w:t xml:space="preserve"> </w:t>
      </w:r>
    </w:p>
    <w:p w:rsidRPr="00BF6823" w:rsidR="00BC0BF9" w:rsidP="00BC0BF9" w:rsidRDefault="00BC0BF9" w14:paraId="252F4027" w14:textId="77777777">
      <w:pPr>
        <w:pStyle w:val="ListParagraph"/>
        <w:numPr>
          <w:ilvl w:val="0"/>
          <w:numId w:val="28"/>
        </w:numPr>
      </w:pPr>
      <w:r w:rsidRPr="00BF6823">
        <w:t>Adolescents (11-19 years old) of middle and high school age who are participating in, or can inform, interventions to prevent HIV, other STDs, and pregnancy; and</w:t>
      </w:r>
    </w:p>
    <w:p w:rsidRPr="00BF6823" w:rsidR="00BC0BF9" w:rsidP="00BC0BF9" w:rsidRDefault="00BC0BF9" w14:paraId="20BCDED4" w14:textId="77777777">
      <w:pPr>
        <w:pStyle w:val="ListParagraph"/>
        <w:numPr>
          <w:ilvl w:val="0"/>
          <w:numId w:val="28"/>
        </w:numPr>
      </w:pPr>
      <w:r w:rsidRPr="00BF6823">
        <w:t>Parents and/or caregivers of adolescents of middle and high school age. For the purposes of this generic package, parents/caregivers include the adult primary caregiver(s) for a child’s basic needs (e.g., food, shelter, and safety). This includes biological parents; other biological relatives such as grandparents, aunts, uncles, or siblings; and non-biological parents such as adoptive, foster, or stepparents.</w:t>
      </w:r>
    </w:p>
    <w:p w:rsidRPr="00BF6823" w:rsidR="00BC0BF9" w:rsidP="00BC0BF9" w:rsidRDefault="00BC0BF9" w14:paraId="08BD2982" w14:textId="77777777"/>
    <w:p w:rsidRPr="00BF6823" w:rsidR="00BC0BF9" w:rsidP="00BC0BF9" w:rsidRDefault="00BC0BF9" w14:paraId="5A4551BB" w14:textId="77777777">
      <w:pPr>
        <w:spacing w:before="120"/>
        <w:rPr>
          <w:rFonts w:eastAsia="Calibri"/>
        </w:rPr>
      </w:pPr>
    </w:p>
    <w:p w:rsidRPr="00BF6823" w:rsidR="00BC0BF9" w:rsidP="00BC0BF9" w:rsidRDefault="00BC0BF9" w14:paraId="1B71B942" w14:textId="77777777">
      <w:pPr>
        <w:pStyle w:val="ListParagraph"/>
        <w:widowControl/>
        <w:autoSpaceDE/>
        <w:autoSpaceDN/>
        <w:adjustRightInd/>
        <w:spacing w:before="120"/>
      </w:pPr>
    </w:p>
    <w:p w:rsidRPr="00BF6823" w:rsidR="00BC0BF9" w:rsidP="00BC0BF9" w:rsidRDefault="003147BB" w14:paraId="74DCDB6F" w14:textId="516A328E">
      <w:pPr>
        <w:spacing w:before="120"/>
        <w:ind w:firstLine="720"/>
      </w:pPr>
      <w:r>
        <w:t>For additional context, a</w:t>
      </w:r>
      <w:r w:rsidRPr="00BF6823" w:rsidR="00BC0BF9">
        <w:t>ttachments 3-7 provide sample instruments (both quantitative and quantitative) with a sample of questions reflecting the type that might be used by studies included in this request.  Attachments 3 and 5 include are sample instruments from projects with OMB approval under previous ICRs.  Attachment 8 includes a broader set of example questions pulled from studies found in the literature.</w:t>
      </w:r>
    </w:p>
    <w:p w:rsidRPr="00BF6823" w:rsidR="00BC0BF9" w:rsidP="00BC0BF9" w:rsidRDefault="00BC0BF9" w14:paraId="2578422A" w14:textId="77777777">
      <w:pPr>
        <w:spacing w:before="120"/>
      </w:pPr>
    </w:p>
    <w:p w:rsidRPr="00BF6823" w:rsidR="00BC0BF9" w:rsidP="00BC0BF9" w:rsidRDefault="00BC0BF9" w14:paraId="118EFAFC" w14:textId="77777777">
      <w:pPr>
        <w:pStyle w:val="Heading1"/>
        <w:numPr>
          <w:ilvl w:val="0"/>
          <w:numId w:val="0"/>
        </w:numPr>
        <w:spacing w:before="120" w:after="0"/>
        <w:rPr>
          <w:rFonts w:cs="Times New Roman"/>
          <w:szCs w:val="24"/>
        </w:rPr>
      </w:pPr>
      <w:bookmarkStart w:name="_Toc458693474" w:id="7"/>
      <w:r w:rsidRPr="00BF6823">
        <w:rPr>
          <w:rFonts w:cs="Times New Roman"/>
          <w:szCs w:val="24"/>
        </w:rPr>
        <w:t>A.3 Use of Improved Information Technology and Burden Reduction</w:t>
      </w:r>
      <w:bookmarkEnd w:id="7"/>
    </w:p>
    <w:p w:rsidRPr="00BF6823" w:rsidR="00BC0BF9" w:rsidP="00BC0BF9" w:rsidRDefault="00BC0BF9" w14:paraId="353F5217" w14:textId="77777777">
      <w:pPr>
        <w:pStyle w:val="Style1"/>
        <w:spacing w:before="120" w:after="0" w:line="276" w:lineRule="auto"/>
        <w:ind w:firstLine="720"/>
        <w:rPr>
          <w:color w:val="auto"/>
        </w:rPr>
      </w:pPr>
      <w:r w:rsidRPr="00BF6823">
        <w:rPr>
          <w:color w:val="auto"/>
        </w:rPr>
        <w:t>When appropriate and feasible, data collection may be conducted using the most current modes of questionnaire data collection, including CAPI/CASI, ACASI, web-based survey, mobile device-based data collection, or other modes. Such methods of data collection reduce burden on participants through use of automated question skips and filters that reduce the number of questions participants must answer. Although these technologies will be used by many of the individual projects in this data collection, the nature of many of these proposed activities may require direct interaction between participants and project staff, particularly in the case of qualitative interviewing and focus groups.  When possible and appropriate, qualitative data collection methods such as interview and focus groups may be conducted via electronic means such as phones or video messaging (i.e., Skype, FaceTime, etc.) to reduce the travel and scheduling burdens on participants.</w:t>
      </w:r>
    </w:p>
    <w:p w:rsidRPr="00BF6823" w:rsidR="00BC0BF9" w:rsidP="00BC0BF9" w:rsidRDefault="00BC0BF9" w14:paraId="593D0D34" w14:textId="77777777">
      <w:pPr>
        <w:pStyle w:val="Style1"/>
        <w:spacing w:before="120" w:after="0" w:line="276" w:lineRule="auto"/>
        <w:ind w:firstLine="720"/>
        <w:rPr>
          <w:color w:val="auto"/>
        </w:rPr>
      </w:pPr>
    </w:p>
    <w:p w:rsidRPr="00BF6823" w:rsidR="00BC0BF9" w:rsidP="00BC0BF9" w:rsidRDefault="00BC0BF9" w14:paraId="16305D5C" w14:textId="77777777">
      <w:pPr>
        <w:pStyle w:val="Heading1"/>
        <w:numPr>
          <w:ilvl w:val="0"/>
          <w:numId w:val="0"/>
        </w:numPr>
        <w:spacing w:before="120" w:after="0"/>
        <w:rPr>
          <w:rFonts w:cs="Times New Roman"/>
          <w:szCs w:val="24"/>
        </w:rPr>
      </w:pPr>
      <w:bookmarkStart w:name="_Toc458693475" w:id="8"/>
      <w:r w:rsidRPr="00BF6823">
        <w:rPr>
          <w:rFonts w:cs="Times New Roman"/>
          <w:szCs w:val="24"/>
        </w:rPr>
        <w:t>A.4 Efforts to Identify Duplication and Use of Similar Information</w:t>
      </w:r>
      <w:bookmarkEnd w:id="8"/>
    </w:p>
    <w:p w:rsidRPr="00BF6823" w:rsidR="00BC0BF9" w:rsidP="00BC0BF9" w:rsidRDefault="00BC0BF9" w14:paraId="587A4140" w14:textId="3DE67619">
      <w:pPr>
        <w:spacing w:before="120"/>
        <w:ind w:firstLine="720"/>
      </w:pPr>
      <w:r w:rsidRPr="00BF6823">
        <w:t>CDC ha</w:t>
      </w:r>
      <w:r w:rsidR="003147BB">
        <w:t>d</w:t>
      </w:r>
      <w:r w:rsidRPr="00BF6823">
        <w:t xml:space="preserve"> one generic information collection (IC) that is related to the current collection. “Formative Research and Tool Development” (OMB Control # 0920-0840, expiration </w:t>
      </w:r>
      <w:r w:rsidR="003147BB">
        <w:t>10</w:t>
      </w:r>
      <w:r w:rsidRPr="00BF6823">
        <w:t>/31/</w:t>
      </w:r>
      <w:r w:rsidRPr="00BF6823" w:rsidR="003147BB">
        <w:t>20</w:t>
      </w:r>
      <w:r w:rsidR="003147BB">
        <w:t>21</w:t>
      </w:r>
      <w:r w:rsidRPr="00BF6823">
        <w:t xml:space="preserve">) </w:t>
      </w:r>
      <w:r w:rsidR="003147BB">
        <w:t>that was</w:t>
      </w:r>
      <w:r w:rsidRPr="00BF6823">
        <w:t xml:space="preserve"> designed for measurement testing and tool development for HIV, STD, tuberculosis, and Hepatitis prevention and formative qualitative data collection. </w:t>
      </w:r>
      <w:r w:rsidR="003147BB">
        <w:t xml:space="preserve">However, this </w:t>
      </w:r>
      <w:r w:rsidR="003147BB">
        <w:lastRenderedPageBreak/>
        <w:t xml:space="preserve">has recently expired and no longer provides an option for the data collections DASH is proposing to conduct.  Furthermore, this did not completely meet the needs outlined in this proposed generic package.  Specifically, although the qualitative </w:t>
      </w:r>
      <w:r w:rsidRPr="00BF6823">
        <w:t xml:space="preserve"> data collection under this new request allows for assessment of programs that are already in place.  In addition, this new request allows for quantitative needs assessment, as well as assessment for the purposes of program refinement that is not covered under the existing generic IC.  NCHHSTP has verified through RegInfo.gov that there are no other federal generic collections that duplicate the types of studies included in this request.</w:t>
      </w:r>
    </w:p>
    <w:p w:rsidRPr="00BF6823" w:rsidR="00BC0BF9" w:rsidP="00BC0BF9" w:rsidRDefault="00BC0BF9" w14:paraId="6526223E" w14:textId="77777777">
      <w:pPr>
        <w:spacing w:before="120"/>
        <w:ind w:firstLine="720"/>
      </w:pPr>
    </w:p>
    <w:p w:rsidRPr="00BF6823" w:rsidR="00BC0BF9" w:rsidP="00BC0BF9" w:rsidRDefault="00BC0BF9" w14:paraId="02FC973E" w14:textId="77777777">
      <w:pPr>
        <w:pStyle w:val="Heading1"/>
        <w:numPr>
          <w:ilvl w:val="0"/>
          <w:numId w:val="0"/>
        </w:numPr>
        <w:spacing w:before="120" w:after="0"/>
        <w:rPr>
          <w:rFonts w:cs="Times New Roman"/>
          <w:szCs w:val="24"/>
        </w:rPr>
      </w:pPr>
      <w:bookmarkStart w:name="_Toc458693476" w:id="9"/>
      <w:r w:rsidRPr="00BF6823">
        <w:rPr>
          <w:rFonts w:cs="Times New Roman"/>
          <w:szCs w:val="24"/>
        </w:rPr>
        <w:t>A.5 Impact of Small Businesses or Other Small Entities</w:t>
      </w:r>
      <w:bookmarkEnd w:id="9"/>
    </w:p>
    <w:p w:rsidRPr="00BF6823" w:rsidR="00BC0BF9" w:rsidP="00BC0BF9" w:rsidRDefault="00BC0BF9" w14:paraId="2F42DC86" w14:textId="77777777">
      <w:pPr>
        <w:spacing w:before="120"/>
        <w:ind w:firstLine="720"/>
      </w:pPr>
      <w:bookmarkStart w:name="_Toc227033746" w:id="10"/>
      <w:bookmarkStart w:name="_Toc322357314" w:id="11"/>
      <w:r w:rsidRPr="00BF6823">
        <w:t>Some assessment activities may involve data collections in collaboration with small businesses (e.g. medical offices) or small non-profit or governmental entities. Therefore, study and instrument development activities may also be conducted with these groups. If such activities are conducted, these businesses will be approached in the same manner as the individuals we normally recruit; we will ask the organization to identify the appropriate staff members with whom to conduct the activities.</w:t>
      </w:r>
    </w:p>
    <w:p w:rsidRPr="00BF6823" w:rsidR="00BC0BF9" w:rsidP="00BC0BF9" w:rsidRDefault="00BC0BF9" w14:paraId="3312C099" w14:textId="77777777">
      <w:pPr>
        <w:pStyle w:val="Heading1"/>
        <w:numPr>
          <w:ilvl w:val="0"/>
          <w:numId w:val="0"/>
        </w:numPr>
        <w:spacing w:before="120" w:after="0"/>
        <w:rPr>
          <w:rFonts w:cs="Times New Roman"/>
          <w:szCs w:val="24"/>
        </w:rPr>
      </w:pPr>
      <w:bookmarkStart w:name="_Toc458693477" w:id="12"/>
      <w:bookmarkEnd w:id="10"/>
      <w:bookmarkEnd w:id="11"/>
      <w:r w:rsidRPr="00BF6823">
        <w:rPr>
          <w:rFonts w:cs="Times New Roman"/>
          <w:szCs w:val="24"/>
        </w:rPr>
        <w:t>A.6 Consequences of Collecting the Information Less Frequently</w:t>
      </w:r>
      <w:bookmarkEnd w:id="12"/>
    </w:p>
    <w:p w:rsidRPr="00BF6823" w:rsidR="00BC0BF9" w:rsidP="00BC0BF9" w:rsidRDefault="00BC0BF9" w14:paraId="717375BC" w14:textId="77777777">
      <w:pPr>
        <w:spacing w:before="120"/>
        <w:ind w:firstLine="720"/>
      </w:pPr>
      <w:r w:rsidRPr="00BF6823">
        <w:t xml:space="preserve">The amount of data collection would vary under the requests made under this package. Some data collection requests would involve a one-time collection of data. Other requests may involve multiple data collections. Such data collections are intended to provide timely information to inform quality improvement for programs and practices. Requests for multiple data collections may allow for assessing programs in an ongoing way to better understand whether resulting program refinements were implemented as planned.  </w:t>
      </w:r>
    </w:p>
    <w:p w:rsidRPr="00BF6823" w:rsidR="00BC0BF9" w:rsidP="00BC0BF9" w:rsidRDefault="00BC0BF9" w14:paraId="7578AA6D" w14:textId="77777777">
      <w:pPr>
        <w:spacing w:before="120"/>
        <w:ind w:firstLine="720"/>
      </w:pPr>
      <w:r w:rsidRPr="00BF6823">
        <w:t>In requests for multiple data collections, there could be a number of consequences to collecting the data less frequently.  The first data collection is essential to present an accurate picture of programs and services as provided by schools and other agencies and organizations and adolescent and knowledge, attitudes, behaviors, and skills.  Without this first data collection, we would lack a point of comparison for all future data collections; it allows documentation of where programs and participants are starting.  Furthermore, initial baseline data collection provides critical information that adult program and service providers can use to determine the most appropriate focus of their activities and allow them to determine areas of greatest need.  Final data collection allows conclusions to be drawn in terms of full program influence, attenuation of effects, need for and timing of “booster activities,” necessary program and service changes, and the feasibility, and acceptability of programs and services.  As indicated in Table A 12-1, no 12-month period will require participants to respond to the same instrument more than twice.</w:t>
      </w:r>
    </w:p>
    <w:p w:rsidRPr="00BF6823" w:rsidR="00BC0BF9" w:rsidP="00BC0BF9" w:rsidRDefault="00BC0BF9" w14:paraId="312EFEA0" w14:textId="77777777">
      <w:pPr>
        <w:spacing w:before="120"/>
        <w:ind w:firstLine="720"/>
      </w:pPr>
      <w:r w:rsidRPr="00BF6823">
        <w:t xml:space="preserve">Individual requests under this package will use the fewest number of data collections necessary to achieve project goals using sound methods and will provide information and </w:t>
      </w:r>
      <w:r w:rsidRPr="00BF6823">
        <w:lastRenderedPageBreak/>
        <w:t>justification for frequency of data collection.</w:t>
      </w:r>
    </w:p>
    <w:p w:rsidRPr="00BF6823" w:rsidR="00BC0BF9" w:rsidP="00BC0BF9" w:rsidRDefault="00BC0BF9" w14:paraId="72EB10AC" w14:textId="77777777">
      <w:pPr>
        <w:spacing w:before="120"/>
        <w:ind w:firstLine="720"/>
      </w:pPr>
    </w:p>
    <w:p w:rsidRPr="00BF6823" w:rsidR="00BC0BF9" w:rsidP="00BC0BF9" w:rsidRDefault="00BC0BF9" w14:paraId="3EEB7A70" w14:textId="77777777">
      <w:pPr>
        <w:pStyle w:val="Heading1"/>
        <w:numPr>
          <w:ilvl w:val="0"/>
          <w:numId w:val="0"/>
        </w:numPr>
        <w:spacing w:before="120" w:after="0"/>
        <w:rPr>
          <w:rFonts w:cs="Times New Roman"/>
          <w:szCs w:val="24"/>
        </w:rPr>
      </w:pPr>
      <w:bookmarkStart w:name="_Toc227033747" w:id="13"/>
      <w:bookmarkStart w:name="_Toc322357315" w:id="14"/>
      <w:bookmarkStart w:name="_Toc458693478" w:id="15"/>
      <w:r w:rsidRPr="00BF6823">
        <w:rPr>
          <w:rFonts w:cs="Times New Roman"/>
          <w:szCs w:val="24"/>
        </w:rPr>
        <w:t>A.7 Special Circumstance</w:t>
      </w:r>
      <w:bookmarkEnd w:id="13"/>
      <w:bookmarkEnd w:id="14"/>
      <w:r w:rsidRPr="00BF6823">
        <w:rPr>
          <w:rFonts w:cs="Times New Roman"/>
          <w:szCs w:val="24"/>
        </w:rPr>
        <w:t>s Relating to the Guidelines of 5 CFR 1320.5</w:t>
      </w:r>
      <w:bookmarkEnd w:id="15"/>
    </w:p>
    <w:p w:rsidRPr="00BF6823" w:rsidR="00BC0BF9" w:rsidP="00BC0BF9" w:rsidRDefault="00BC0BF9" w14:paraId="6AC50083" w14:textId="77777777">
      <w:pPr>
        <w:pStyle w:val="Body"/>
        <w:spacing w:before="120"/>
      </w:pPr>
      <w:r w:rsidRPr="00BF6823">
        <w:t xml:space="preserve">There are no special circumstances with this information collection package. This request fully complies with the regulation 5 CFR 1320.5 and will be voluntary. </w:t>
      </w:r>
    </w:p>
    <w:p w:rsidRPr="00BF6823" w:rsidR="00BC0BF9" w:rsidP="00BC0BF9" w:rsidRDefault="00BC0BF9" w14:paraId="22B19C06" w14:textId="77777777">
      <w:pPr>
        <w:pStyle w:val="Body"/>
        <w:spacing w:before="120"/>
      </w:pPr>
    </w:p>
    <w:p w:rsidRPr="00BF6823" w:rsidR="00BC0BF9" w:rsidP="00BC0BF9" w:rsidRDefault="00BC0BF9" w14:paraId="12BB6487" w14:textId="77777777">
      <w:pPr>
        <w:pStyle w:val="Heading1"/>
        <w:numPr>
          <w:ilvl w:val="0"/>
          <w:numId w:val="23"/>
        </w:numPr>
        <w:spacing w:before="120" w:after="0"/>
        <w:rPr>
          <w:rFonts w:cs="Times New Roman"/>
          <w:szCs w:val="24"/>
        </w:rPr>
      </w:pPr>
      <w:bookmarkStart w:name="_Toc458693479" w:id="16"/>
      <w:r w:rsidRPr="00BF6823">
        <w:rPr>
          <w:rFonts w:cs="Times New Roman"/>
          <w:szCs w:val="24"/>
        </w:rPr>
        <w:t>8 Comments in Response to the Federal Register Notice and Efforts to Consult Outside the Agency</w:t>
      </w:r>
      <w:bookmarkEnd w:id="16"/>
    </w:p>
    <w:p w:rsidRPr="00D91B51" w:rsidR="00BC0BF9" w:rsidP="00BC0BF9" w:rsidRDefault="00BC0BF9" w14:paraId="3A0C5A6C" w14:textId="48CFF766">
      <w:pPr>
        <w:pStyle w:val="ListParagraph"/>
        <w:numPr>
          <w:ilvl w:val="0"/>
          <w:numId w:val="24"/>
        </w:numPr>
        <w:spacing w:before="120"/>
      </w:pPr>
      <w:r w:rsidRPr="00D91B51">
        <w:t xml:space="preserve">As required by 5 CFR 1320.8(d), a 60-day Notice was published in the </w:t>
      </w:r>
      <w:r w:rsidRPr="00D91B51">
        <w:rPr>
          <w:i/>
        </w:rPr>
        <w:t>Federal Register</w:t>
      </w:r>
      <w:r w:rsidRPr="00D91B51">
        <w:t xml:space="preserve"> on </w:t>
      </w:r>
      <w:r w:rsidRPr="00D91B51" w:rsidR="002755C6">
        <w:t>August 2,</w:t>
      </w:r>
      <w:r w:rsidRPr="00D91B51">
        <w:t xml:space="preserve"> </w:t>
      </w:r>
      <w:r w:rsidRPr="00D91B51" w:rsidR="009326AD">
        <w:t>2021</w:t>
      </w:r>
      <w:r w:rsidRPr="00D91B51">
        <w:t>, volume</w:t>
      </w:r>
      <w:r w:rsidRPr="00D91B51" w:rsidR="002755C6">
        <w:t xml:space="preserve"> 86</w:t>
      </w:r>
      <w:r w:rsidRPr="00D91B51">
        <w:t>, number</w:t>
      </w:r>
      <w:r w:rsidRPr="00D91B51" w:rsidR="002755C6">
        <w:t xml:space="preserve"> 145</w:t>
      </w:r>
      <w:r w:rsidRPr="00D91B51">
        <w:t xml:space="preserve">, pages </w:t>
      </w:r>
      <w:r w:rsidRPr="00D91B51" w:rsidR="002755C6">
        <w:t>41474</w:t>
      </w:r>
      <w:r w:rsidRPr="00D91B51">
        <w:t xml:space="preserve">  (see </w:t>
      </w:r>
      <w:r w:rsidRPr="00D91B51">
        <w:rPr>
          <w:b/>
        </w:rPr>
        <w:t>Attachment 2</w:t>
      </w:r>
      <w:r w:rsidRPr="00D91B51">
        <w:t xml:space="preserve">).  </w:t>
      </w:r>
      <w:r w:rsidRPr="00D91B51" w:rsidR="00D91B51">
        <w:t>Two</w:t>
      </w:r>
      <w:r w:rsidRPr="00D91B51">
        <w:t xml:space="preserve"> public comments were received</w:t>
      </w:r>
      <w:r w:rsidRPr="00D91B51" w:rsidR="00D91B51">
        <w:t>; 1</w:t>
      </w:r>
      <w:r w:rsidRPr="00D91B51">
        <w:t xml:space="preserve"> </w:t>
      </w:r>
      <w:r w:rsidRPr="00D91B51" w:rsidR="00D91B51">
        <w:t xml:space="preserve">substantive and 1 non-substantive. A </w:t>
      </w:r>
      <w:r w:rsidRPr="00D91B51">
        <w:t>CDC response was sent</w:t>
      </w:r>
      <w:r w:rsidRPr="00D91B51" w:rsidR="00D91B51">
        <w:t xml:space="preserve"> on the substantive comment</w:t>
      </w:r>
      <w:r w:rsidRPr="00D91B51">
        <w:t xml:space="preserve"> (see </w:t>
      </w:r>
      <w:r w:rsidRPr="00D91B51">
        <w:rPr>
          <w:b/>
        </w:rPr>
        <w:t>Attachment 2a</w:t>
      </w:r>
      <w:r w:rsidRPr="00D91B51">
        <w:t>).</w:t>
      </w:r>
    </w:p>
    <w:p w:rsidRPr="00BF6823" w:rsidR="00BC0BF9" w:rsidP="00BC0BF9" w:rsidRDefault="00BC0BF9" w14:paraId="06F5B0BD" w14:textId="77777777">
      <w:pPr>
        <w:spacing w:before="120"/>
        <w:ind w:firstLine="360"/>
      </w:pPr>
      <w:r w:rsidRPr="00BF6823">
        <w:t>No other agency was consulted for the development of this request.</w:t>
      </w:r>
    </w:p>
    <w:p w:rsidRPr="00BF6823" w:rsidR="00BC0BF9" w:rsidP="00BC0BF9" w:rsidRDefault="00BC0BF9" w14:paraId="1A89EB6C" w14:textId="77777777">
      <w:pPr>
        <w:spacing w:before="120"/>
      </w:pPr>
    </w:p>
    <w:p w:rsidRPr="00BF6823" w:rsidR="00BC0BF9" w:rsidP="00BC0BF9" w:rsidRDefault="00BC0BF9" w14:paraId="381960E2" w14:textId="3614C50F">
      <w:pPr>
        <w:spacing w:before="120"/>
        <w:ind w:firstLine="360"/>
      </w:pPr>
      <w:r w:rsidRPr="00BF6823">
        <w:t>B.</w:t>
      </w:r>
      <w:r w:rsidRPr="00BF6823">
        <w:tab/>
        <w:t xml:space="preserve"> A variety of agency partners are expected to be consulted for each individual data collection request under this generic IC, including agency contractors, education and public health agency staff, school staff, community –based organization staff, and </w:t>
      </w:r>
      <w:r>
        <w:t xml:space="preserve">identified staff within the organization/business of </w:t>
      </w:r>
      <w:r w:rsidRPr="00BF6823">
        <w:t>adolescent health care providers.</w:t>
      </w:r>
      <w:r w:rsidR="003147BB">
        <w:t xml:space="preserve">  See attachment </w:t>
      </w:r>
      <w:r w:rsidR="000818D6">
        <w:t>8</w:t>
      </w:r>
      <w:r w:rsidR="003147BB">
        <w:t xml:space="preserve"> for additional information about consultants on the ICs related to this generic package.</w:t>
      </w:r>
    </w:p>
    <w:p w:rsidRPr="00BF6823" w:rsidR="00BC0BF9" w:rsidP="00BC0BF9" w:rsidRDefault="00BC0BF9" w14:paraId="40A67EFD" w14:textId="77777777">
      <w:pPr>
        <w:spacing w:before="120"/>
      </w:pPr>
    </w:p>
    <w:p w:rsidRPr="00BF6823" w:rsidR="00BC0BF9" w:rsidP="00BC0BF9" w:rsidRDefault="00BC0BF9" w14:paraId="4E62954A" w14:textId="77777777">
      <w:pPr>
        <w:pStyle w:val="Heading1"/>
        <w:numPr>
          <w:ilvl w:val="0"/>
          <w:numId w:val="0"/>
        </w:numPr>
        <w:spacing w:before="120" w:after="0"/>
        <w:rPr>
          <w:rFonts w:cs="Times New Roman"/>
          <w:szCs w:val="24"/>
        </w:rPr>
      </w:pPr>
      <w:bookmarkStart w:name="_Toc458693480" w:id="17"/>
      <w:r w:rsidRPr="00BF6823">
        <w:rPr>
          <w:rFonts w:cs="Times New Roman"/>
          <w:szCs w:val="24"/>
        </w:rPr>
        <w:t>A.9 Explanation of Any Payment or Gift to Respondents</w:t>
      </w:r>
      <w:bookmarkEnd w:id="17"/>
    </w:p>
    <w:p w:rsidRPr="00BF6823" w:rsidR="00BC0BF9" w:rsidP="00BC0BF9" w:rsidRDefault="00BC0BF9" w14:paraId="37060882" w14:textId="77777777">
      <w:pPr>
        <w:pStyle w:val="Body"/>
        <w:ind w:firstLine="720"/>
        <w:rPr>
          <w:b/>
        </w:rPr>
      </w:pPr>
      <w:r w:rsidRPr="00BF6823">
        <w:t>Tokens of appreciation for data collection participation are an important tool used in many studies. Individual data collections may request incentives for adolescents and their parents and are expected to provide specific justification for incentives and to make clear the need for incentives given use of other methods used to increase response rates. Such other methods include strategies such as repeated requests for response; use of short questionnaires when possible; personalized questionnaires and response appeals; use of stamped return envelopes for postal questionnaires; assurances of confidentiality; use of fonts, space, and white backgrounds on questionnaires; use of pictures in e-mail response appeals; and development of rapport with participants.</w:t>
      </w:r>
      <w:r w:rsidRPr="00BF6823">
        <w:rPr>
          <w:vertAlign w:val="superscript"/>
        </w:rPr>
        <w:t>9,10,11</w:t>
      </w:r>
      <w:r w:rsidRPr="00BF6823">
        <w:t xml:space="preserve"> Use of incentives for individual data collection requests would also be approved by Institutional Review Boards (IRBs) where applicable, and are not expected to exceed a value of $40</w:t>
      </w:r>
      <w:r>
        <w:t xml:space="preserve"> for adults or $30 for youth</w:t>
      </w:r>
      <w:r w:rsidRPr="00BF6823">
        <w:t>.</w:t>
      </w:r>
    </w:p>
    <w:p w:rsidRPr="008D146C" w:rsidR="00BC0BF9" w:rsidP="00BC0BF9" w:rsidRDefault="00BC0BF9" w14:paraId="7D8127C8" w14:textId="77777777">
      <w:r w:rsidRPr="00BF6823">
        <w:tab/>
        <w:t>For quantitative data collection, we suggest that incentives be considered for individual data collection requests as appropriate. Response rates have fallen for questionnaires as they have become relatively more common and potential participants reachable by multiple channels, including mail, phone, and electronic recruitment.</w:t>
      </w:r>
      <w:r w:rsidRPr="00BF6823">
        <w:rPr>
          <w:vertAlign w:val="superscript"/>
        </w:rPr>
        <w:t>10</w:t>
      </w:r>
      <w:r w:rsidRPr="00BF6823">
        <w:t xml:space="preserve"> Monetary and non-monetary incentives, and </w:t>
      </w:r>
      <w:r w:rsidRPr="00BF6823">
        <w:lastRenderedPageBreak/>
        <w:t>lottery incentives (where permitted by law) have been helpful in significantly increasing response rates for mail and electronic questionnaires.</w:t>
      </w:r>
      <w:r w:rsidRPr="00BF6823">
        <w:rPr>
          <w:vertAlign w:val="superscript"/>
        </w:rPr>
        <w:t>10</w:t>
      </w:r>
      <w:r w:rsidRPr="00BF6823">
        <w:t xml:space="preserve"> Incentives provided in advance or along with the questionnaires have been more effective in increasing response rates than lotteries or incentives provided on completion. More importantly, several studies have found that incentives have improved sample composition in terms of socio-economic status, education, and political affiliation.</w:t>
      </w:r>
      <w:r w:rsidRPr="00BF6823">
        <w:rPr>
          <w:vertAlign w:val="superscript"/>
        </w:rPr>
        <w:t>12</w:t>
      </w:r>
      <w:r w:rsidRPr="00BF6823">
        <w:t xml:space="preserve"> Furthermore, research suggests that initial incentives may decrease the need for incentives in subsequent responses, and that a limited number of repeated incentives may increase participation among those who declined to take part in prior questionnaires in longitudinal studies. Small to modest incentives are useful in increasing response rates, with the advantage that such incentives are unlikely to greatly increase research costs.</w:t>
      </w:r>
      <w:r w:rsidRPr="00BF6823">
        <w:rPr>
          <w:vertAlign w:val="superscript"/>
        </w:rPr>
        <w:t>10,11, 12</w:t>
      </w:r>
      <w:r>
        <w:t xml:space="preserve">  </w:t>
      </w:r>
    </w:p>
    <w:p w:rsidRPr="00BF6823" w:rsidR="00BC0BF9" w:rsidP="00BC0BF9" w:rsidRDefault="00BC0BF9" w14:paraId="5EE02B93" w14:textId="77777777">
      <w:pPr>
        <w:ind w:firstLine="720"/>
      </w:pPr>
      <w:r w:rsidRPr="00BF6823">
        <w:t xml:space="preserve">We also propose use of incentives for qualitative data collection, particularly as scheduling time for these focus groups and interviews would require a great commitment from adolescent and adult participants and will likely require interviews to take place outside of school and working hours. Additionally, parents often must take scarce discretionary time and travel to participate in qualitative data collection for data collection activities that are likely to take between an hour and an hour and a half. </w:t>
      </w:r>
    </w:p>
    <w:p w:rsidRPr="00D85D15" w:rsidR="00BC0BF9" w:rsidP="00BC0BF9" w:rsidRDefault="00BC0BF9" w14:paraId="58F4936C" w14:textId="77777777">
      <w:pPr>
        <w:ind w:firstLine="720"/>
      </w:pPr>
      <w:r w:rsidRPr="00BF6823">
        <w:t>Specific justification for the incentive amount and need will be clearly described in each generic sub-study request.</w:t>
      </w:r>
      <w:r w:rsidRPr="007809A4">
        <w:t xml:space="preserve"> </w:t>
      </w:r>
      <w:r>
        <w:t>For the purposes of this generic clearance, packages may include monetary incentives for adults, but would only include non-monetary incentives (e.g., healthy snacks, water bottle) for youth. Use of incentives will also be based on the circumstances of the data collection, including administration mode and/or timing (e.g., whether data collections occurred within or outside of the normal school day). Incentives for surveys will be limited as much as possible. Any ICR under this generic clearance will include a thorough, comprehensive justification for any kind of proposed incentives.</w:t>
      </w:r>
    </w:p>
    <w:p w:rsidRPr="00BF6823" w:rsidR="00BC0BF9" w:rsidP="00BC0BF9" w:rsidRDefault="00BC0BF9" w14:paraId="39C87B17" w14:textId="77777777">
      <w:pPr>
        <w:ind w:firstLine="720"/>
        <w:rPr>
          <w:vertAlign w:val="superscript"/>
        </w:rPr>
      </w:pPr>
    </w:p>
    <w:p w:rsidRPr="00BF6823" w:rsidR="00BC0BF9" w:rsidP="00BC0BF9" w:rsidRDefault="00BC0BF9" w14:paraId="5B26E790" w14:textId="77777777">
      <w:pPr>
        <w:pStyle w:val="Heading1"/>
        <w:numPr>
          <w:ilvl w:val="0"/>
          <w:numId w:val="0"/>
        </w:numPr>
        <w:spacing w:before="120" w:after="0"/>
        <w:rPr>
          <w:rFonts w:cs="Times New Roman"/>
          <w:szCs w:val="24"/>
        </w:rPr>
      </w:pPr>
      <w:bookmarkStart w:name="_Toc458693481" w:id="18"/>
      <w:r w:rsidRPr="00BF6823">
        <w:rPr>
          <w:rFonts w:cs="Times New Roman"/>
          <w:szCs w:val="24"/>
        </w:rPr>
        <w:t>A.10 Protection of the Privacy and Confidentiality of Provided by Respondents</w:t>
      </w:r>
      <w:bookmarkEnd w:id="18"/>
    </w:p>
    <w:p w:rsidRPr="00BF6823" w:rsidR="00BC0BF9" w:rsidP="00BC0BF9" w:rsidRDefault="00B0110D" w14:paraId="7E8E60B7" w14:textId="0CAAA880">
      <w:pPr>
        <w:spacing w:before="120"/>
        <w:ind w:firstLine="720"/>
      </w:pPr>
      <w:bookmarkStart w:name="_Toc227033751" w:id="19"/>
      <w:bookmarkStart w:name="_Toc322357319" w:id="20"/>
      <w:r w:rsidRPr="00B0110D">
        <w:t>The CDC/ATSDR Privacy Officer, has assessed this package for applicability of 5 U.S.C. § 552a, and determined that the Privacy Act</w:t>
      </w:r>
      <w:r>
        <w:t xml:space="preserve"> </w:t>
      </w:r>
      <w:r w:rsidRPr="00B0110D">
        <w:t>does not apply to t</w:t>
      </w:r>
      <w:r>
        <w:t>his request for OMB approval</w:t>
      </w:r>
      <w:r w:rsidR="003147BB">
        <w:t xml:space="preserve"> for the overall generic package</w:t>
      </w:r>
      <w:r>
        <w:t xml:space="preserve">.  However, </w:t>
      </w:r>
      <w:r w:rsidRPr="00BF6823" w:rsidR="00BC0BF9">
        <w:t xml:space="preserve">the </w:t>
      </w:r>
      <w:r w:rsidR="003147BB">
        <w:t xml:space="preserve">application of the </w:t>
      </w:r>
      <w:r w:rsidRPr="00BF6823" w:rsidR="00BC0BF9">
        <w:t>Privacy Act</w:t>
      </w:r>
      <w:r w:rsidR="003147BB">
        <w:t xml:space="preserve"> for each data collection submitted under this generic clearance will be determined at the time of each ICR submission.</w:t>
      </w:r>
      <w:r w:rsidRPr="00BF6823" w:rsidR="00BC0BF9">
        <w:t xml:space="preserve">.  Although none of the data collections under the approved Generic package will require identifying or potentially identifying information, in some instances, identifying information (such as name, email, or phone number) may be used for the purposes of recruiting or scheduling participants.  </w:t>
      </w:r>
      <w:r>
        <w:t xml:space="preserve">A separate Privacy Impact Assessment will be conducted for the sub-collection.  </w:t>
      </w:r>
      <w:r w:rsidRPr="00BF6823" w:rsidR="00BC0BF9">
        <w:t>In such instances</w:t>
      </w:r>
      <w:r>
        <w:t xml:space="preserve"> where PII is collected</w:t>
      </w:r>
      <w:r w:rsidRPr="00BF6823" w:rsidR="00BC0BF9">
        <w:t xml:space="preserve">, the collections will be covered under the Privacy Act System Notice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 PII will be kept separate from other collected data and will be accessible only to </w:t>
      </w:r>
      <w:r w:rsidRPr="00BF6823" w:rsidR="00BC0BF9">
        <w:lastRenderedPageBreak/>
        <w:t xml:space="preserve">data collectors or interviewers. This information will be destroyed when the participant’s contribution to the project has ended. Data will be aggregated in reports and any data shared will always be limited to the level necessary to protect the confidentiality of participants. We do not expect data collections under this generic IC to need certificates of confidentiality because no personally identifiable information will be included in the stored data.  </w:t>
      </w:r>
    </w:p>
    <w:p w:rsidRPr="00BF6823" w:rsidR="00BC0BF9" w:rsidP="00BC0BF9" w:rsidRDefault="00BC0BF9" w14:paraId="372151C7" w14:textId="77777777">
      <w:pPr>
        <w:spacing w:before="120"/>
        <w:ind w:firstLine="720"/>
      </w:pPr>
      <w:r w:rsidRPr="00BF6823">
        <w:t>Information might be collected electronically, by telephone, or on paper (depending on the individual information collection request). Electronic means include handheld devices, computer-assisted questionnaires or self-interview, computer assisted telephone interview or questionnaires, web-based surveys, or other point of service collection devices. Web-based methods for questionnaire data collection may involve the hosting of a website. Individual collection requests submitted under this generic approval will describe any web-based material involved. Telephone data collection may be used for questionnaires, in-depth interviews, or focus groups. Paper-based interview or focus group guides are a common type of instrument used for leading qualitative data collection, and paper-based questionnaires may be used for adolescents and/or parents/caregivers in settings where electronic access is not feasible or efficient.  Because this request includes a wide range of studies, specific data collection requests will include items of information to be collected and copies of data collection instruments.</w:t>
      </w:r>
    </w:p>
    <w:p w:rsidRPr="00BF6823" w:rsidR="00BC0BF9" w:rsidP="00BC0BF9" w:rsidRDefault="00BC0BF9" w14:paraId="144B1E88" w14:textId="77777777">
      <w:pPr>
        <w:spacing w:before="120"/>
        <w:ind w:firstLine="720"/>
      </w:pPr>
    </w:p>
    <w:p w:rsidRPr="00BF6823" w:rsidR="00BC0BF9" w:rsidP="00BC0BF9" w:rsidRDefault="00BC0BF9" w14:paraId="20DEF5B7" w14:textId="77777777">
      <w:pPr>
        <w:pStyle w:val="Heading1"/>
        <w:numPr>
          <w:ilvl w:val="0"/>
          <w:numId w:val="0"/>
        </w:numPr>
        <w:spacing w:before="120" w:after="0"/>
        <w:rPr>
          <w:rFonts w:cs="Times New Roman"/>
          <w:szCs w:val="24"/>
        </w:rPr>
      </w:pPr>
      <w:bookmarkStart w:name="_Toc458693482" w:id="21"/>
      <w:r w:rsidRPr="00BF6823">
        <w:rPr>
          <w:rFonts w:cs="Times New Roman"/>
          <w:szCs w:val="24"/>
        </w:rPr>
        <w:t xml:space="preserve">A.11 </w:t>
      </w:r>
      <w:bookmarkEnd w:id="19"/>
      <w:bookmarkEnd w:id="20"/>
      <w:r w:rsidRPr="00BF6823">
        <w:rPr>
          <w:rFonts w:cs="Times New Roman"/>
          <w:szCs w:val="24"/>
        </w:rPr>
        <w:t>Institutional Review Board (IRB) and Justification for Sensitive Questions</w:t>
      </w:r>
      <w:bookmarkEnd w:id="21"/>
    </w:p>
    <w:p w:rsidRPr="00BF6823" w:rsidR="00BC0BF9" w:rsidP="00BC0BF9" w:rsidRDefault="00BC0BF9" w14:paraId="24852AB3" w14:textId="77777777">
      <w:pPr>
        <w:spacing w:before="120"/>
        <w:rPr>
          <w:u w:val="single"/>
        </w:rPr>
      </w:pPr>
      <w:r w:rsidRPr="00BF6823">
        <w:rPr>
          <w:color w:val="000000" w:themeColor="text1"/>
        </w:rPr>
        <w:tab/>
      </w:r>
      <w:r w:rsidRPr="00BF6823">
        <w:rPr>
          <w:u w:val="single"/>
        </w:rPr>
        <w:t>IRB Approval</w:t>
      </w:r>
    </w:p>
    <w:p w:rsidRPr="00BF6823" w:rsidR="00BC0BF9" w:rsidP="00BC0BF9" w:rsidRDefault="00BC0BF9" w14:paraId="23C3D7DE" w14:textId="77777777">
      <w:pPr>
        <w:spacing w:before="120"/>
      </w:pPr>
      <w:r w:rsidRPr="00BF6823">
        <w:tab/>
        <w:t xml:space="preserve">Because methods and materials may differ between individual projects, appropriate human subjects review procedures will be conducted for each project as they are developed and will meet special protections requirements for populations such as minors. IRB determinations will be conducted for each project, and where applicable, IRB approval will be submitted with a copy of the approval documents. </w:t>
      </w:r>
    </w:p>
    <w:p w:rsidRPr="00BF6823" w:rsidR="00BC0BF9" w:rsidP="00BC0BF9" w:rsidRDefault="00BC0BF9" w14:paraId="2B3D1406" w14:textId="77777777">
      <w:pPr>
        <w:spacing w:before="120"/>
        <w:ind w:firstLine="720"/>
      </w:pPr>
      <w:r w:rsidRPr="00BF6823">
        <w:t>Projects under this generic IC are expected to contain no personally identifiable information (PII) in the stored data sets.  When possible, projects will avoid collecting PII completely. Anonymous questionnaires would contain no PII. Some data collections may require PII (such as name, address, email, or phone number) to assist in recruiting and scheduling participants, but such PII will be kept separate from other collected data, and will be accessible only to data collectors or interviewers. This information will be destroyed when the participant’s contribution to the project has ended. Data will be aggregated in reports and any data shared will always be limited to the level necessary to protect the confidentiality of participants.</w:t>
      </w:r>
    </w:p>
    <w:p w:rsidRPr="00BF6823" w:rsidR="00BC0BF9" w:rsidP="00BC0BF9" w:rsidRDefault="00BC0BF9" w14:paraId="613602BE" w14:textId="77777777">
      <w:pPr>
        <w:spacing w:before="120"/>
        <w:ind w:firstLine="720"/>
        <w:rPr>
          <w:color w:val="000000" w:themeColor="text1"/>
        </w:rPr>
      </w:pPr>
      <w:r w:rsidRPr="00BF6823">
        <w:rPr>
          <w:color w:val="000000"/>
        </w:rPr>
        <w:t xml:space="preserve">Individual data collection requests may include sensitive </w:t>
      </w:r>
      <w:r w:rsidRPr="00BF6823">
        <w:rPr>
          <w:i/>
          <w:color w:val="000000"/>
        </w:rPr>
        <w:t>questions</w:t>
      </w:r>
      <w:r w:rsidRPr="00BF6823">
        <w:rPr>
          <w:color w:val="000000"/>
        </w:rPr>
        <w:t xml:space="preserve"> for adolescents and their parents. For adolescents, such questions may revolve around sexual risk and protective behaviors, use of sexual health services, and other health risk behaviors related to sexual risk, such as substance use, violence, or injury. Parents may be asked sensitive questions related to their understanding of their child’s sexual behavior or about communication with their </w:t>
      </w:r>
      <w:r w:rsidRPr="00BF6823">
        <w:rPr>
          <w:color w:val="000000"/>
        </w:rPr>
        <w:lastRenderedPageBreak/>
        <w:t xml:space="preserve">adolescent child about sex. Some questions may ask adolescents about behaviors that are illegal within their jurisdictions, but answers to such questions will not be stored or connected to personally identifiable information in any way.  </w:t>
      </w:r>
      <w:r w:rsidRPr="00BF6823">
        <w:rPr>
          <w:color w:val="000000"/>
          <w:u w:val="single"/>
        </w:rPr>
        <w:t>The data, as recorded and stored, will not contain sensitive information</w:t>
      </w:r>
      <w:r w:rsidRPr="00BF6823">
        <w:rPr>
          <w:color w:val="000000"/>
        </w:rPr>
        <w:t xml:space="preserve"> because it will not be linked to any individual in an identifiable way</w:t>
      </w:r>
      <w:r w:rsidRPr="00BF6823">
        <w:rPr>
          <w:color w:val="000000" w:themeColor="text1"/>
        </w:rPr>
        <w:t>.</w:t>
      </w:r>
    </w:p>
    <w:p w:rsidRPr="00BF6823" w:rsidR="00BC0BF9" w:rsidP="00BC0BF9" w:rsidRDefault="00BC0BF9" w14:paraId="701427AF" w14:textId="77777777">
      <w:pPr>
        <w:spacing w:before="120"/>
        <w:ind w:firstLine="720"/>
        <w:rPr>
          <w:color w:val="000000"/>
        </w:rPr>
      </w:pPr>
      <w:r w:rsidRPr="00BF6823">
        <w:rPr>
          <w:color w:val="000000" w:themeColor="text1"/>
        </w:rPr>
        <w:t>All adult participants will provide informed consent following procedures outlined in the approved IRB protocol of each study.  Students will be asked to provide verbal or written assent in addition to already having received parental consent.  It is anticipated that any school-based data collections will involve either active or passive parental consent; the type of parental consent used will depend on both the nature of the data collection and the general practice and preference of the participating school districts.  It some rare instances, youth data collection may warrant a waiver of parental consent.  This is most likely in settings such as health clinics where youth are legally able to consent for themselves for sexual health-related services or when working with special populations (such as sexual minority youth), for whom, disclosure of participation in a project might introduce risk.  All consent/assent procedures will undergo IRB review and approval, and they will be described in detail in each generic sub-study request.</w:t>
      </w:r>
    </w:p>
    <w:p w:rsidRPr="00BF6823" w:rsidR="00BC0BF9" w:rsidP="00BC0BF9" w:rsidRDefault="00BC0BF9" w14:paraId="50435DA8" w14:textId="77777777">
      <w:pPr>
        <w:spacing w:before="120"/>
        <w:rPr>
          <w:color w:val="000000" w:themeColor="text1"/>
        </w:rPr>
      </w:pPr>
      <w:r w:rsidRPr="00BF6823">
        <w:rPr>
          <w:color w:val="000000" w:themeColor="text1"/>
        </w:rPr>
        <w:tab/>
        <w:t xml:space="preserve">The goal of the individual data collections under this generic information request is to reduce adverse health consequences of sexual activity by youth, including HIV and STD acquisition, and pregnancy. By the very nature of this goal, sensitive questions may need to be asked of youth and their parents. Such questions generally pose no more risk to participants than mild and temporary discomfort or embarrassment. In rare cases, more general questions may prompt youth to disclose on-going sexual or physical abuse to adults and may require legal reporting or mental health intervention. </w:t>
      </w:r>
    </w:p>
    <w:p w:rsidRPr="00BF6823" w:rsidR="00BC0BF9" w:rsidP="00BC0BF9" w:rsidRDefault="00BC0BF9" w14:paraId="436CE440" w14:textId="77777777">
      <w:pPr>
        <w:spacing w:before="120"/>
        <w:rPr>
          <w:color w:val="000000" w:themeColor="text1"/>
        </w:rPr>
      </w:pPr>
      <w:r w:rsidRPr="00BF6823">
        <w:rPr>
          <w:color w:val="000000" w:themeColor="text1"/>
        </w:rPr>
        <w:tab/>
        <w:t>Un-emancipated minors receive special human subject protections, including parental permission to participate in research projects as well as providing their own assent for participation. Further, data collection in schools, health care settings, and in households require assurances of privacy for adolescents so that their level of participation and responses are not monitored by parents, teachers, other adults with authority over them, or their peers. IRB determinations will be conducted for each individual data collection project, and appropriate processes will be followed when sensitive questions are asked, including procedures to be followed if youth disclose on-going sexual or physical abuse. Each individual data request would provide justification for the use of sensitive questions for adolescents or their parents. They would also detail the processes used to minimize any consequences of the use of sensitive questions.</w:t>
      </w:r>
    </w:p>
    <w:p w:rsidRPr="00BF6823" w:rsidR="00BC0BF9" w:rsidP="00BC0BF9" w:rsidRDefault="00BC0BF9" w14:paraId="437D4C82" w14:textId="77777777">
      <w:pPr>
        <w:pStyle w:val="Heading1"/>
        <w:numPr>
          <w:ilvl w:val="0"/>
          <w:numId w:val="0"/>
        </w:numPr>
        <w:spacing w:before="120" w:after="0"/>
        <w:rPr>
          <w:rFonts w:cs="Times New Roman"/>
          <w:szCs w:val="24"/>
        </w:rPr>
      </w:pPr>
      <w:bookmarkStart w:name="_Toc458693483" w:id="22"/>
      <w:r w:rsidRPr="00BF6823">
        <w:rPr>
          <w:rFonts w:cs="Times New Roman"/>
          <w:szCs w:val="24"/>
        </w:rPr>
        <w:t>A.12 Estimates of Annualized Burden Hours and Costs</w:t>
      </w:r>
      <w:bookmarkEnd w:id="22"/>
    </w:p>
    <w:p w:rsidRPr="00BF6823" w:rsidR="00BC0BF9" w:rsidP="00BC0BF9" w:rsidRDefault="00BC0BF9" w14:paraId="38ECE83A" w14:textId="77777777">
      <w:pPr>
        <w:spacing w:before="120"/>
        <w:ind w:firstLine="720"/>
      </w:pPr>
      <w:r w:rsidRPr="00BF6823">
        <w:rPr>
          <w:i/>
        </w:rPr>
        <w:t>Burden hours.</w:t>
      </w:r>
      <w:r w:rsidRPr="00BF6823">
        <w:t xml:space="preserve"> </w:t>
      </w:r>
      <w:r w:rsidRPr="00BF6823">
        <w:rPr>
          <w:b/>
        </w:rPr>
        <w:t xml:space="preserve">Table A-12-a </w:t>
      </w:r>
      <w:r w:rsidRPr="00BF6823">
        <w:t xml:space="preserve">provides the estimated annualized response burden for up to 15 individual data collections under this generic clearance at 57,584 hours. Average burden per response is based on pilot testing and timing of quantitative and qualitative instrument administration during previous studies. Response times include the time to read and respond to </w:t>
      </w:r>
      <w:r w:rsidRPr="00BF6823">
        <w:lastRenderedPageBreak/>
        <w:t>consent forms and to read or listen to instructions.  (</w:t>
      </w:r>
      <w:r w:rsidRPr="00BF6823">
        <w:rPr>
          <w:b/>
        </w:rPr>
        <w:t>Attachments 9-12</w:t>
      </w:r>
      <w:r w:rsidRPr="00BF6823">
        <w:t xml:space="preserve"> include sample informed consent forms and assent language.)  </w:t>
      </w:r>
    </w:p>
    <w:p w:rsidRPr="00BF6823" w:rsidR="00BC0BF9" w:rsidP="00BC0BF9" w:rsidRDefault="00BC0BF9" w14:paraId="7395BA1B" w14:textId="77777777">
      <w:pPr>
        <w:spacing w:before="120"/>
        <w:ind w:firstLine="720"/>
      </w:pPr>
      <w:r w:rsidRPr="00BF6823">
        <w:t xml:space="preserve">For a 1-time administration (in a 12-month period) of the youth questionnaire (sample instrument provided in </w:t>
      </w:r>
      <w:r w:rsidRPr="00BF6823">
        <w:rPr>
          <w:b/>
        </w:rPr>
        <w:t>Att 3</w:t>
      </w:r>
      <w:r w:rsidRPr="00BF6823">
        <w:t>), the total number of possible middle and high school age respondents is estimated at 20,000.  This burden estimate allows for data collection from multiple schools within a participating school district.  The average burden is 50/60 of an hour, based on previous administrations of this sample questionnaire; this fits within the time restrictions often encountered in school-based data collection planned to occur within one class period.  Total annualized burden for a 1-time administration of the youth questionnaire is 16,667 hours.</w:t>
      </w:r>
    </w:p>
    <w:p w:rsidRPr="00BF6823" w:rsidR="00BC0BF9" w:rsidP="00BC0BF9" w:rsidRDefault="00BC0BF9" w14:paraId="5211911F" w14:textId="77777777">
      <w:pPr>
        <w:spacing w:before="120"/>
        <w:ind w:firstLine="720"/>
      </w:pPr>
      <w:r w:rsidRPr="00BF6823">
        <w:t xml:space="preserve">For 2-time (pre-post) administration (in a 12-month period) of the youth questionnaire (sample instrument provided in </w:t>
      </w:r>
      <w:r w:rsidRPr="00BF6823">
        <w:rPr>
          <w:b/>
        </w:rPr>
        <w:t>Att 4</w:t>
      </w:r>
      <w:r w:rsidRPr="00BF6823">
        <w:t>), the total number of possible middle and high school age respondents is estimated at 10,000.  The average burden is 50/60 of an hour, based on previous administrations of this sample questionnaire; this fits within the time restrictions often encountered in school-based data collection planned to occur within one class period.  Total annualized burden for a 2-time administration of the youth questionnaire to 10,000 participants is 16,667 hours.</w:t>
      </w:r>
    </w:p>
    <w:p w:rsidRPr="00BF6823" w:rsidR="00BC0BF9" w:rsidP="00BC0BF9" w:rsidRDefault="00BC0BF9" w14:paraId="06F94116" w14:textId="77777777">
      <w:pPr>
        <w:spacing w:before="120"/>
        <w:ind w:firstLine="720"/>
      </w:pPr>
      <w:r w:rsidRPr="00BF6823">
        <w:t xml:space="preserve">For 2-time administration (in a 12-month period) of a youth interview/focus group guide (sample instrument provided in </w:t>
      </w:r>
      <w:r w:rsidRPr="00BF6823">
        <w:rPr>
          <w:b/>
        </w:rPr>
        <w:t>Att 5</w:t>
      </w:r>
      <w:r w:rsidRPr="00BF6823">
        <w:t>), the total number of possible middle and high school age respondents is estimated at 3,000.  This allows for an average of 200 participants in each of the 15 data collections.  The average burden is 1.5 hours, based on previous administrations of similar interviews and focus groups.  Total annualized burden for a 2-time administration of a youth interview/focus group guide to 3,000 participants is 9,000 hours.</w:t>
      </w:r>
    </w:p>
    <w:p w:rsidRPr="00BF6823" w:rsidR="00BC0BF9" w:rsidP="00BC0BF9" w:rsidRDefault="00BC0BF9" w14:paraId="23428EE8" w14:textId="77777777">
      <w:pPr>
        <w:spacing w:before="120"/>
        <w:ind w:firstLine="720"/>
      </w:pPr>
      <w:r w:rsidRPr="00BF6823">
        <w:t xml:space="preserve">For a 2-time administration (in a 12-month period) of the parent/caregiver questionnaire (sample instrument provided in </w:t>
      </w:r>
      <w:r w:rsidRPr="00BF6823">
        <w:rPr>
          <w:b/>
        </w:rPr>
        <w:t>Att 6</w:t>
      </w:r>
      <w:r w:rsidRPr="00BF6823">
        <w:t>), the total number of possible parent/caregiver respondents is estimated at 7,500.  The average burden is 25/60 of an hour.  Total annualized burden for a 2-time administration of the youth questionnaire to 7,500 participants is 6,250 hours.</w:t>
      </w:r>
    </w:p>
    <w:p w:rsidRPr="00BF6823" w:rsidR="00BC0BF9" w:rsidP="00BC0BF9" w:rsidRDefault="00BC0BF9" w14:paraId="4B7130AC" w14:textId="77777777">
      <w:pPr>
        <w:spacing w:before="120"/>
        <w:ind w:firstLine="720"/>
      </w:pPr>
      <w:r w:rsidRPr="00BF6823">
        <w:t xml:space="preserve">For 2-time administration (in a 12-month period) of an adult interview/focus group guide (sample instrument provided in </w:t>
      </w:r>
      <w:r w:rsidRPr="00BF6823">
        <w:rPr>
          <w:b/>
        </w:rPr>
        <w:t>Att 7</w:t>
      </w:r>
      <w:r w:rsidRPr="00BF6823">
        <w:t>), the total number of possible parent/caregiver respondents is estimated at 3,000.  This allows for an average of 200 participants in each of the 15 data collections.  The average burden is 1.5 hours, based on previous administrations of similar interviews and focus groups.  Total annualized burden for a 2-time administration of an adult interview/focus group guide to 3,000 participants is 9,000 hours.</w:t>
      </w:r>
    </w:p>
    <w:p w:rsidRPr="00BF6823" w:rsidR="00BC0BF9" w:rsidP="00BC0BF9" w:rsidRDefault="00BC0BF9" w14:paraId="506520E2" w14:textId="77777777">
      <w:pPr>
        <w:spacing w:before="120"/>
        <w:ind w:firstLine="720"/>
      </w:pPr>
    </w:p>
    <w:p w:rsidRPr="00BF6823" w:rsidR="00BC0BF9" w:rsidP="00BC0BF9" w:rsidRDefault="00BC0BF9" w14:paraId="52AB553E" w14:textId="77777777">
      <w:pPr>
        <w:spacing w:before="120"/>
        <w:rPr>
          <w:b/>
        </w:rPr>
      </w:pPr>
      <w:r w:rsidRPr="00BF6823">
        <w:rPr>
          <w:b/>
        </w:rPr>
        <w:t>Table A.12-1 Estimated Annualized Burden to Respondents</w:t>
      </w:r>
    </w:p>
    <w:tbl>
      <w:tblPr>
        <w:tblStyle w:val="TableGrid"/>
        <w:tblW w:w="0" w:type="auto"/>
        <w:tblLayout w:type="fixed"/>
        <w:tblLook w:val="04A0" w:firstRow="1" w:lastRow="0" w:firstColumn="1" w:lastColumn="0" w:noHBand="0" w:noVBand="1"/>
      </w:tblPr>
      <w:tblGrid>
        <w:gridCol w:w="1795"/>
        <w:gridCol w:w="2308"/>
        <w:gridCol w:w="1472"/>
        <w:gridCol w:w="1350"/>
        <w:gridCol w:w="1170"/>
        <w:gridCol w:w="1255"/>
      </w:tblGrid>
      <w:tr w:rsidRPr="00BF6823" w:rsidR="00BC0BF9" w:rsidTr="00A7739B" w14:paraId="056D71F3" w14:textId="77777777">
        <w:tc>
          <w:tcPr>
            <w:tcW w:w="1795" w:type="dxa"/>
          </w:tcPr>
          <w:p w:rsidRPr="00BF6823" w:rsidR="00BC0BF9" w:rsidP="00A7739B" w:rsidRDefault="00BC0BF9" w14:paraId="11F20EE2" w14:textId="77777777">
            <w:pPr>
              <w:spacing w:before="120"/>
            </w:pPr>
            <w:r w:rsidRPr="00BF6823">
              <w:t>Respondents</w:t>
            </w:r>
          </w:p>
        </w:tc>
        <w:tc>
          <w:tcPr>
            <w:tcW w:w="2308" w:type="dxa"/>
          </w:tcPr>
          <w:p w:rsidRPr="00BF6823" w:rsidR="00BC0BF9" w:rsidP="00A7739B" w:rsidRDefault="00BC0BF9" w14:paraId="0E31A209" w14:textId="77777777">
            <w:pPr>
              <w:spacing w:before="120"/>
            </w:pPr>
            <w:r w:rsidRPr="00BF6823">
              <w:t>Form name</w:t>
            </w:r>
          </w:p>
        </w:tc>
        <w:tc>
          <w:tcPr>
            <w:tcW w:w="1472" w:type="dxa"/>
          </w:tcPr>
          <w:p w:rsidRPr="00BF6823" w:rsidR="00BC0BF9" w:rsidP="00A7739B" w:rsidRDefault="00BC0BF9" w14:paraId="2121F403" w14:textId="77777777">
            <w:pPr>
              <w:spacing w:before="120"/>
            </w:pPr>
            <w:r w:rsidRPr="00BF6823">
              <w:t>Number of Respondents</w:t>
            </w:r>
          </w:p>
        </w:tc>
        <w:tc>
          <w:tcPr>
            <w:tcW w:w="1350" w:type="dxa"/>
          </w:tcPr>
          <w:p w:rsidRPr="00BF6823" w:rsidR="00BC0BF9" w:rsidP="00A7739B" w:rsidRDefault="00BC0BF9" w14:paraId="2E9AC82B" w14:textId="77777777">
            <w:pPr>
              <w:spacing w:before="120"/>
            </w:pPr>
            <w:r w:rsidRPr="00BF6823">
              <w:t xml:space="preserve">Number of Responses </w:t>
            </w:r>
            <w:r w:rsidRPr="00BF6823">
              <w:lastRenderedPageBreak/>
              <w:t>per Respondent</w:t>
            </w:r>
          </w:p>
        </w:tc>
        <w:tc>
          <w:tcPr>
            <w:tcW w:w="1170" w:type="dxa"/>
          </w:tcPr>
          <w:p w:rsidRPr="00BF6823" w:rsidR="00BC0BF9" w:rsidP="00A7739B" w:rsidRDefault="00BC0BF9" w14:paraId="02FDF27D" w14:textId="77777777">
            <w:pPr>
              <w:spacing w:before="120"/>
            </w:pPr>
            <w:r w:rsidRPr="00BF6823">
              <w:lastRenderedPageBreak/>
              <w:t xml:space="preserve">Average Burden </w:t>
            </w:r>
            <w:r w:rsidRPr="00BF6823">
              <w:lastRenderedPageBreak/>
              <w:t>per Response (in hours)</w:t>
            </w:r>
          </w:p>
        </w:tc>
        <w:tc>
          <w:tcPr>
            <w:tcW w:w="1255" w:type="dxa"/>
          </w:tcPr>
          <w:p w:rsidRPr="00BF6823" w:rsidR="00BC0BF9" w:rsidP="00A7739B" w:rsidRDefault="00BC0BF9" w14:paraId="634C6938" w14:textId="77777777">
            <w:pPr>
              <w:spacing w:before="120"/>
            </w:pPr>
            <w:r w:rsidRPr="00BF6823">
              <w:lastRenderedPageBreak/>
              <w:t xml:space="preserve">Total Burden (in </w:t>
            </w:r>
            <w:r w:rsidRPr="00BF6823">
              <w:lastRenderedPageBreak/>
              <w:t>hours)</w:t>
            </w:r>
          </w:p>
        </w:tc>
      </w:tr>
      <w:tr w:rsidRPr="00BF6823" w:rsidR="00BC0BF9" w:rsidTr="00A7739B" w14:paraId="1326028D" w14:textId="77777777">
        <w:tc>
          <w:tcPr>
            <w:tcW w:w="1795" w:type="dxa"/>
          </w:tcPr>
          <w:p w:rsidRPr="00BF6823" w:rsidR="00BC0BF9" w:rsidP="00A7739B" w:rsidRDefault="00BC0BF9" w14:paraId="52B93145" w14:textId="77777777">
            <w:pPr>
              <w:spacing w:before="120"/>
            </w:pPr>
            <w:r w:rsidRPr="00BF6823">
              <w:lastRenderedPageBreak/>
              <w:t>Middle and High School Age Adolescents</w:t>
            </w:r>
          </w:p>
        </w:tc>
        <w:tc>
          <w:tcPr>
            <w:tcW w:w="2308" w:type="dxa"/>
          </w:tcPr>
          <w:p w:rsidRPr="00BF6823" w:rsidR="00BC0BF9" w:rsidP="00A7739B" w:rsidRDefault="00BC0BF9" w14:paraId="25A41489" w14:textId="77777777">
            <w:r w:rsidRPr="00BF6823">
              <w:t xml:space="preserve">Youth  </w:t>
            </w:r>
          </w:p>
          <w:p w:rsidRPr="00BF6823" w:rsidR="00BC0BF9" w:rsidP="00A7739B" w:rsidRDefault="00BC0BF9" w14:paraId="22B497E6" w14:textId="77777777">
            <w:r w:rsidRPr="00BF6823">
              <w:t>Questionnaire (</w:t>
            </w:r>
            <w:r w:rsidRPr="00BF6823">
              <w:rPr>
                <w:b/>
              </w:rPr>
              <w:t>Att3</w:t>
            </w:r>
            <w:r w:rsidRPr="00BF6823">
              <w:t>)</w:t>
            </w:r>
          </w:p>
        </w:tc>
        <w:tc>
          <w:tcPr>
            <w:tcW w:w="1472" w:type="dxa"/>
          </w:tcPr>
          <w:p w:rsidRPr="00BF6823" w:rsidR="00BC0BF9" w:rsidP="00A7739B" w:rsidRDefault="00BC0BF9" w14:paraId="05341B04" w14:textId="77777777">
            <w:pPr>
              <w:spacing w:before="120"/>
            </w:pPr>
            <w:r w:rsidRPr="00BF6823">
              <w:t>20,000</w:t>
            </w:r>
          </w:p>
        </w:tc>
        <w:tc>
          <w:tcPr>
            <w:tcW w:w="1350" w:type="dxa"/>
          </w:tcPr>
          <w:p w:rsidRPr="00BF6823" w:rsidR="00BC0BF9" w:rsidP="00A7739B" w:rsidRDefault="00BC0BF9" w14:paraId="3AFD0E5E" w14:textId="77777777">
            <w:pPr>
              <w:spacing w:before="120"/>
            </w:pPr>
            <w:r w:rsidRPr="00BF6823">
              <w:t>1</w:t>
            </w:r>
          </w:p>
        </w:tc>
        <w:tc>
          <w:tcPr>
            <w:tcW w:w="1170" w:type="dxa"/>
          </w:tcPr>
          <w:p w:rsidRPr="00BF6823" w:rsidR="00BC0BF9" w:rsidP="00A7739B" w:rsidRDefault="00BC0BF9" w14:paraId="191D028B" w14:textId="77777777">
            <w:pPr>
              <w:spacing w:before="120"/>
            </w:pPr>
            <w:r w:rsidRPr="00BF6823">
              <w:t>50/60</w:t>
            </w:r>
          </w:p>
        </w:tc>
        <w:tc>
          <w:tcPr>
            <w:tcW w:w="1255" w:type="dxa"/>
          </w:tcPr>
          <w:p w:rsidRPr="00BF6823" w:rsidR="00BC0BF9" w:rsidP="00A7739B" w:rsidRDefault="00BC0BF9" w14:paraId="08F75289" w14:textId="77777777">
            <w:pPr>
              <w:spacing w:before="120"/>
            </w:pPr>
            <w:r w:rsidRPr="00BF6823">
              <w:t>16,667</w:t>
            </w:r>
          </w:p>
        </w:tc>
      </w:tr>
      <w:tr w:rsidRPr="00BF6823" w:rsidR="00BC0BF9" w:rsidTr="00A7739B" w14:paraId="4FF8BB57" w14:textId="77777777">
        <w:tc>
          <w:tcPr>
            <w:tcW w:w="1795" w:type="dxa"/>
          </w:tcPr>
          <w:p w:rsidRPr="00BF6823" w:rsidR="00BC0BF9" w:rsidP="00A7739B" w:rsidRDefault="00BC0BF9" w14:paraId="343C9837" w14:textId="77777777">
            <w:pPr>
              <w:spacing w:before="120"/>
            </w:pPr>
            <w:r w:rsidRPr="00BF6823">
              <w:t>Middle and High School Age Adolescents</w:t>
            </w:r>
          </w:p>
        </w:tc>
        <w:tc>
          <w:tcPr>
            <w:tcW w:w="2308" w:type="dxa"/>
          </w:tcPr>
          <w:p w:rsidRPr="00BF6823" w:rsidR="00BC0BF9" w:rsidP="00A7739B" w:rsidRDefault="00BC0BF9" w14:paraId="13A84A47" w14:textId="77777777">
            <w:pPr>
              <w:spacing w:before="120"/>
            </w:pPr>
            <w:r w:rsidRPr="00BF6823">
              <w:t>Pre/Post youth questionnaire (</w:t>
            </w:r>
            <w:r w:rsidRPr="00BF6823">
              <w:rPr>
                <w:b/>
              </w:rPr>
              <w:t>Att4</w:t>
            </w:r>
            <w:r w:rsidRPr="00BF6823">
              <w:t>)</w:t>
            </w:r>
          </w:p>
        </w:tc>
        <w:tc>
          <w:tcPr>
            <w:tcW w:w="1472" w:type="dxa"/>
          </w:tcPr>
          <w:p w:rsidRPr="00BF6823" w:rsidR="00BC0BF9" w:rsidP="00A7739B" w:rsidRDefault="00BC0BF9" w14:paraId="3A364688" w14:textId="77777777">
            <w:pPr>
              <w:spacing w:before="120"/>
            </w:pPr>
            <w:r w:rsidRPr="00BF6823">
              <w:t>10,000</w:t>
            </w:r>
          </w:p>
        </w:tc>
        <w:tc>
          <w:tcPr>
            <w:tcW w:w="1350" w:type="dxa"/>
          </w:tcPr>
          <w:p w:rsidRPr="00BF6823" w:rsidR="00BC0BF9" w:rsidP="00A7739B" w:rsidRDefault="00BC0BF9" w14:paraId="4F3CA6D9" w14:textId="77777777">
            <w:pPr>
              <w:spacing w:before="120"/>
            </w:pPr>
            <w:r w:rsidRPr="00BF6823">
              <w:t>2</w:t>
            </w:r>
          </w:p>
        </w:tc>
        <w:tc>
          <w:tcPr>
            <w:tcW w:w="1170" w:type="dxa"/>
          </w:tcPr>
          <w:p w:rsidRPr="00BF6823" w:rsidR="00BC0BF9" w:rsidP="00A7739B" w:rsidRDefault="00BC0BF9" w14:paraId="64D9ABB2" w14:textId="77777777">
            <w:pPr>
              <w:spacing w:before="120"/>
            </w:pPr>
            <w:r w:rsidRPr="00BF6823">
              <w:t>50/60</w:t>
            </w:r>
          </w:p>
        </w:tc>
        <w:tc>
          <w:tcPr>
            <w:tcW w:w="1255" w:type="dxa"/>
          </w:tcPr>
          <w:p w:rsidRPr="00BF6823" w:rsidR="00BC0BF9" w:rsidP="00A7739B" w:rsidRDefault="00BC0BF9" w14:paraId="0D9CB5D7" w14:textId="77777777">
            <w:pPr>
              <w:spacing w:before="120"/>
            </w:pPr>
            <w:r w:rsidRPr="00BF6823">
              <w:t>16,667</w:t>
            </w:r>
          </w:p>
        </w:tc>
      </w:tr>
      <w:tr w:rsidRPr="00BF6823" w:rsidR="00BC0BF9" w:rsidTr="00A7739B" w14:paraId="1128627C" w14:textId="77777777">
        <w:tc>
          <w:tcPr>
            <w:tcW w:w="1795" w:type="dxa"/>
          </w:tcPr>
          <w:p w:rsidRPr="00BF6823" w:rsidR="00BC0BF9" w:rsidP="00A7739B" w:rsidRDefault="00BC0BF9" w14:paraId="1437E854" w14:textId="77777777">
            <w:pPr>
              <w:spacing w:before="120"/>
            </w:pPr>
            <w:r w:rsidRPr="00BF6823">
              <w:t>Middle and High School Age Adolescents</w:t>
            </w:r>
          </w:p>
        </w:tc>
        <w:tc>
          <w:tcPr>
            <w:tcW w:w="2308" w:type="dxa"/>
          </w:tcPr>
          <w:p w:rsidRPr="00BF6823" w:rsidR="00BC0BF9" w:rsidP="00A7739B" w:rsidRDefault="00BC0BF9" w14:paraId="3FD88B53" w14:textId="77777777">
            <w:r w:rsidRPr="00BF6823">
              <w:t>Youth interview/focus group guide (</w:t>
            </w:r>
            <w:r w:rsidRPr="00BF6823">
              <w:rPr>
                <w:b/>
              </w:rPr>
              <w:t>Att5</w:t>
            </w:r>
            <w:r w:rsidRPr="00BF6823">
              <w:t>)</w:t>
            </w:r>
          </w:p>
        </w:tc>
        <w:tc>
          <w:tcPr>
            <w:tcW w:w="1472" w:type="dxa"/>
          </w:tcPr>
          <w:p w:rsidRPr="00BF6823" w:rsidR="00BC0BF9" w:rsidP="00A7739B" w:rsidRDefault="00BC0BF9" w14:paraId="7165BA74" w14:textId="77777777">
            <w:pPr>
              <w:spacing w:before="120"/>
            </w:pPr>
            <w:r w:rsidRPr="00BF6823">
              <w:t xml:space="preserve">  3,000</w:t>
            </w:r>
          </w:p>
        </w:tc>
        <w:tc>
          <w:tcPr>
            <w:tcW w:w="1350" w:type="dxa"/>
          </w:tcPr>
          <w:p w:rsidRPr="00BF6823" w:rsidR="00BC0BF9" w:rsidP="00A7739B" w:rsidRDefault="00BC0BF9" w14:paraId="66AEE308" w14:textId="77777777">
            <w:pPr>
              <w:spacing w:before="120"/>
            </w:pPr>
            <w:r w:rsidRPr="00BF6823">
              <w:t>2</w:t>
            </w:r>
          </w:p>
        </w:tc>
        <w:tc>
          <w:tcPr>
            <w:tcW w:w="1170" w:type="dxa"/>
          </w:tcPr>
          <w:p w:rsidRPr="00BF6823" w:rsidR="00BC0BF9" w:rsidP="00A7739B" w:rsidRDefault="00BC0BF9" w14:paraId="5E48A383" w14:textId="77777777">
            <w:pPr>
              <w:spacing w:before="120"/>
            </w:pPr>
            <w:r w:rsidRPr="00BF6823">
              <w:t>1.5</w:t>
            </w:r>
          </w:p>
        </w:tc>
        <w:tc>
          <w:tcPr>
            <w:tcW w:w="1255" w:type="dxa"/>
          </w:tcPr>
          <w:p w:rsidRPr="00BF6823" w:rsidR="00BC0BF9" w:rsidP="00A7739B" w:rsidRDefault="00BC0BF9" w14:paraId="23B5D13A" w14:textId="77777777">
            <w:pPr>
              <w:spacing w:before="120"/>
            </w:pPr>
            <w:r w:rsidRPr="00BF6823">
              <w:t xml:space="preserve"> 9,000</w:t>
            </w:r>
          </w:p>
        </w:tc>
      </w:tr>
      <w:tr w:rsidRPr="00BF6823" w:rsidR="00BC0BF9" w:rsidTr="00A7739B" w14:paraId="061F32B7" w14:textId="77777777">
        <w:tc>
          <w:tcPr>
            <w:tcW w:w="1795" w:type="dxa"/>
          </w:tcPr>
          <w:p w:rsidRPr="00BF6823" w:rsidR="00BC0BF9" w:rsidP="00A7739B" w:rsidRDefault="00BC0BF9" w14:paraId="5556DC4D" w14:textId="77777777">
            <w:pPr>
              <w:spacing w:before="120"/>
            </w:pPr>
            <w:r w:rsidRPr="00BF6823">
              <w:t>Parents/caregivers of adolescents</w:t>
            </w:r>
          </w:p>
        </w:tc>
        <w:tc>
          <w:tcPr>
            <w:tcW w:w="2308" w:type="dxa"/>
          </w:tcPr>
          <w:p w:rsidRPr="00BF6823" w:rsidR="00BC0BF9" w:rsidP="00A7739B" w:rsidRDefault="00BC0BF9" w14:paraId="004E6B17" w14:textId="77777777">
            <w:r w:rsidRPr="00BF6823">
              <w:t>Parent/Caregiver questionnaire</w:t>
            </w:r>
          </w:p>
          <w:p w:rsidRPr="00BF6823" w:rsidR="00BC0BF9" w:rsidP="00A7739B" w:rsidRDefault="00BC0BF9" w14:paraId="5B6F0129" w14:textId="77777777">
            <w:r w:rsidRPr="00BF6823">
              <w:rPr>
                <w:b/>
              </w:rPr>
              <w:t xml:space="preserve"> </w:t>
            </w:r>
            <w:r w:rsidRPr="00BF6823">
              <w:t>(</w:t>
            </w:r>
            <w:r w:rsidRPr="00BF6823">
              <w:rPr>
                <w:b/>
              </w:rPr>
              <w:t>Att6</w:t>
            </w:r>
            <w:r w:rsidRPr="00BF6823">
              <w:t>)</w:t>
            </w:r>
          </w:p>
        </w:tc>
        <w:tc>
          <w:tcPr>
            <w:tcW w:w="1472" w:type="dxa"/>
          </w:tcPr>
          <w:p w:rsidRPr="00BF6823" w:rsidR="00BC0BF9" w:rsidP="00A7739B" w:rsidRDefault="00BC0BF9" w14:paraId="4C8C5764" w14:textId="77777777">
            <w:pPr>
              <w:spacing w:before="120"/>
            </w:pPr>
            <w:r w:rsidRPr="00BF6823">
              <w:t xml:space="preserve">  7,500</w:t>
            </w:r>
          </w:p>
        </w:tc>
        <w:tc>
          <w:tcPr>
            <w:tcW w:w="1350" w:type="dxa"/>
          </w:tcPr>
          <w:p w:rsidRPr="00BF6823" w:rsidR="00BC0BF9" w:rsidP="00A7739B" w:rsidRDefault="00BC0BF9" w14:paraId="3F0162DB" w14:textId="77777777">
            <w:pPr>
              <w:spacing w:before="120"/>
            </w:pPr>
            <w:r w:rsidRPr="00BF6823">
              <w:t>2</w:t>
            </w:r>
          </w:p>
        </w:tc>
        <w:tc>
          <w:tcPr>
            <w:tcW w:w="1170" w:type="dxa"/>
          </w:tcPr>
          <w:p w:rsidRPr="00BF6823" w:rsidR="00BC0BF9" w:rsidP="00A7739B" w:rsidRDefault="00BC0BF9" w14:paraId="333A48FF" w14:textId="77777777">
            <w:pPr>
              <w:spacing w:before="120"/>
            </w:pPr>
            <w:r w:rsidRPr="00BF6823">
              <w:t>25/60</w:t>
            </w:r>
          </w:p>
        </w:tc>
        <w:tc>
          <w:tcPr>
            <w:tcW w:w="1255" w:type="dxa"/>
          </w:tcPr>
          <w:p w:rsidRPr="00BF6823" w:rsidR="00BC0BF9" w:rsidP="00A7739B" w:rsidRDefault="00BC0BF9" w14:paraId="5E0F2584" w14:textId="77777777">
            <w:pPr>
              <w:spacing w:before="120"/>
            </w:pPr>
            <w:r w:rsidRPr="00BF6823">
              <w:t xml:space="preserve"> 6,250</w:t>
            </w:r>
          </w:p>
        </w:tc>
      </w:tr>
      <w:tr w:rsidRPr="00BF6823" w:rsidR="00BC0BF9" w:rsidTr="00A7739B" w14:paraId="4882D58A" w14:textId="77777777">
        <w:tc>
          <w:tcPr>
            <w:tcW w:w="1795" w:type="dxa"/>
          </w:tcPr>
          <w:p w:rsidRPr="00BF6823" w:rsidR="00BC0BF9" w:rsidP="00A7739B" w:rsidRDefault="00BC0BF9" w14:paraId="75E95052" w14:textId="77777777">
            <w:pPr>
              <w:spacing w:before="120"/>
            </w:pPr>
            <w:r w:rsidRPr="00BF6823">
              <w:t>Parents/caregivers of adolescents</w:t>
            </w:r>
          </w:p>
        </w:tc>
        <w:tc>
          <w:tcPr>
            <w:tcW w:w="2308" w:type="dxa"/>
          </w:tcPr>
          <w:p w:rsidRPr="00BF6823" w:rsidR="00BC0BF9" w:rsidP="00A7739B" w:rsidRDefault="00BC0BF9" w14:paraId="12BB62B0" w14:textId="77777777">
            <w:pPr>
              <w:spacing w:before="120"/>
            </w:pPr>
            <w:r w:rsidRPr="00BF6823">
              <w:t>Parent/Caregiver interview/focus group guide (</w:t>
            </w:r>
            <w:r w:rsidRPr="00BF6823">
              <w:rPr>
                <w:b/>
              </w:rPr>
              <w:t>Att7</w:t>
            </w:r>
            <w:r w:rsidRPr="00BF6823">
              <w:t>)</w:t>
            </w:r>
          </w:p>
        </w:tc>
        <w:tc>
          <w:tcPr>
            <w:tcW w:w="1472" w:type="dxa"/>
          </w:tcPr>
          <w:p w:rsidRPr="00BF6823" w:rsidR="00BC0BF9" w:rsidP="00A7739B" w:rsidRDefault="00BC0BF9" w14:paraId="39C5A805" w14:textId="77777777">
            <w:pPr>
              <w:spacing w:before="120"/>
            </w:pPr>
            <w:r w:rsidRPr="00BF6823">
              <w:t xml:space="preserve">  3,000</w:t>
            </w:r>
          </w:p>
        </w:tc>
        <w:tc>
          <w:tcPr>
            <w:tcW w:w="1350" w:type="dxa"/>
          </w:tcPr>
          <w:p w:rsidRPr="00BF6823" w:rsidR="00BC0BF9" w:rsidP="00A7739B" w:rsidRDefault="00BC0BF9" w14:paraId="6ECB967D" w14:textId="77777777">
            <w:pPr>
              <w:spacing w:before="120"/>
            </w:pPr>
            <w:r w:rsidRPr="00BF6823">
              <w:t>2</w:t>
            </w:r>
          </w:p>
        </w:tc>
        <w:tc>
          <w:tcPr>
            <w:tcW w:w="1170" w:type="dxa"/>
          </w:tcPr>
          <w:p w:rsidRPr="00BF6823" w:rsidR="00BC0BF9" w:rsidP="00A7739B" w:rsidRDefault="00BC0BF9" w14:paraId="13592EFA" w14:textId="77777777">
            <w:pPr>
              <w:spacing w:before="120"/>
            </w:pPr>
            <w:r w:rsidRPr="00BF6823">
              <w:t>1.5</w:t>
            </w:r>
          </w:p>
        </w:tc>
        <w:tc>
          <w:tcPr>
            <w:tcW w:w="1255" w:type="dxa"/>
          </w:tcPr>
          <w:p w:rsidRPr="00BF6823" w:rsidR="00BC0BF9" w:rsidP="00A7739B" w:rsidRDefault="00BC0BF9" w14:paraId="5F6BE025" w14:textId="77777777">
            <w:pPr>
              <w:spacing w:before="120"/>
            </w:pPr>
            <w:r w:rsidRPr="00BF6823">
              <w:t xml:space="preserve"> 9,000</w:t>
            </w:r>
          </w:p>
        </w:tc>
      </w:tr>
      <w:tr w:rsidRPr="00BF6823" w:rsidR="00BC0BF9" w:rsidTr="00A7739B" w14:paraId="1BCDE58E" w14:textId="77777777">
        <w:tc>
          <w:tcPr>
            <w:tcW w:w="1795" w:type="dxa"/>
          </w:tcPr>
          <w:p w:rsidRPr="00BF6823" w:rsidR="00BC0BF9" w:rsidP="00A7739B" w:rsidRDefault="00BC0BF9" w14:paraId="5E46F0C3" w14:textId="77777777">
            <w:pPr>
              <w:spacing w:before="120"/>
            </w:pPr>
            <w:r w:rsidRPr="00BF6823">
              <w:t>Total</w:t>
            </w:r>
          </w:p>
        </w:tc>
        <w:tc>
          <w:tcPr>
            <w:tcW w:w="6300" w:type="dxa"/>
            <w:gridSpan w:val="4"/>
          </w:tcPr>
          <w:p w:rsidRPr="00BF6823" w:rsidR="00BC0BF9" w:rsidP="00A7739B" w:rsidRDefault="00BC0BF9" w14:paraId="628F5CAD" w14:textId="77777777">
            <w:pPr>
              <w:spacing w:before="120"/>
            </w:pPr>
          </w:p>
        </w:tc>
        <w:tc>
          <w:tcPr>
            <w:tcW w:w="1255" w:type="dxa"/>
          </w:tcPr>
          <w:p w:rsidRPr="00BF6823" w:rsidR="00BC0BF9" w:rsidP="00A7739B" w:rsidRDefault="00BC0BF9" w14:paraId="30E35202" w14:textId="77777777">
            <w:pPr>
              <w:spacing w:before="120"/>
            </w:pPr>
            <w:bookmarkStart w:name="_Hlk77340472" w:id="23"/>
            <w:r w:rsidRPr="00BF6823">
              <w:t>57,584</w:t>
            </w:r>
            <w:bookmarkEnd w:id="23"/>
          </w:p>
        </w:tc>
      </w:tr>
    </w:tbl>
    <w:p w:rsidRPr="00BF6823" w:rsidR="00BC0BF9" w:rsidP="00BC0BF9" w:rsidRDefault="00BC0BF9" w14:paraId="44EC2F5C" w14:textId="77777777">
      <w:pPr>
        <w:spacing w:before="120"/>
      </w:pPr>
    </w:p>
    <w:p w:rsidRPr="00BF6823" w:rsidR="00BC0BF9" w:rsidP="00BC0BF9" w:rsidRDefault="00BC0BF9" w14:paraId="33E1ADCC" w14:textId="77777777">
      <w:pPr>
        <w:pStyle w:val="ListParagraph"/>
        <w:spacing w:before="120"/>
        <w:ind w:left="0"/>
      </w:pPr>
      <w:r w:rsidRPr="00BF6823">
        <w:rPr>
          <w:i/>
        </w:rPr>
        <w:t xml:space="preserve">Annualized cost.  </w:t>
      </w:r>
      <w:r w:rsidRPr="00BF6823">
        <w:rPr>
          <w:b/>
        </w:rPr>
        <w:t>Table A.12-2</w:t>
      </w:r>
      <w:r w:rsidRPr="00BF6823">
        <w:t xml:space="preserve"> provides estimates of the annualized cost to respondents for the collection of data.  Because staff will likely work for a non-profit community based organization or a school-based health or wellness center, cost estimates for the value of time staff spend in responding to the questionnaire are based on Department of Labor (DOL) data from May 2014 providing national industry-specific occupational employment and wage estimates.  These hourly wage estimates can be found on the DOL website (</w:t>
      </w:r>
      <w:hyperlink w:history="1" r:id="rId8">
        <w:r w:rsidRPr="00BF6823">
          <w:rPr>
            <w:rStyle w:val="Hyperlink"/>
          </w:rPr>
          <w:t>http://www.bls.gov/oes/current/naics4_999200.htm</w:t>
        </w:r>
      </w:hyperlink>
      <w:r w:rsidRPr="00BF6823">
        <w:t>).  Based on DOL data, the median hourly wage for all occupations is $17.09; median hourly wage for teens was estimated from the median weekly earnings of 16-19-year old’s, assuming a 40 hour work week at $9.40. Total cost has been rounded up to the nearest whole dollar and are presented in Table A.12-2.</w:t>
      </w:r>
    </w:p>
    <w:p w:rsidRPr="00BF6823" w:rsidR="00BC0BF9" w:rsidP="00BC0BF9" w:rsidRDefault="00BC0BF9" w14:paraId="73D5289F" w14:textId="77777777">
      <w:pPr>
        <w:pStyle w:val="ListParagraph"/>
        <w:spacing w:before="120"/>
        <w:ind w:left="0"/>
      </w:pPr>
    </w:p>
    <w:p w:rsidRPr="00BF6823" w:rsidR="00BC0BF9" w:rsidP="00BC0BF9" w:rsidRDefault="00BC0BF9" w14:paraId="538460D5" w14:textId="77777777">
      <w:pPr>
        <w:spacing w:before="120"/>
        <w:rPr>
          <w:b/>
        </w:rPr>
      </w:pPr>
      <w:r w:rsidRPr="00BF6823">
        <w:rPr>
          <w:b/>
        </w:rPr>
        <w:t>Table A.12-2 Annualized Costs to Respondents</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3150"/>
        <w:gridCol w:w="1620"/>
        <w:gridCol w:w="1800"/>
        <w:gridCol w:w="1620"/>
      </w:tblGrid>
      <w:tr w:rsidRPr="00BF6823" w:rsidR="00BC0BF9" w:rsidTr="00A7739B" w14:paraId="3A107D68" w14:textId="77777777">
        <w:trPr>
          <w:cantSplit/>
          <w:tblHeader/>
        </w:trPr>
        <w:tc>
          <w:tcPr>
            <w:tcW w:w="1615" w:type="dxa"/>
            <w:vAlign w:val="center"/>
          </w:tcPr>
          <w:p w:rsidRPr="00BF6823" w:rsidR="00BC0BF9" w:rsidP="00A7739B" w:rsidRDefault="00BC0BF9" w14:paraId="1883BC00" w14:textId="77777777">
            <w:pPr>
              <w:spacing w:before="120"/>
            </w:pPr>
            <w:r w:rsidRPr="00BF6823">
              <w:lastRenderedPageBreak/>
              <w:t>Respondent</w:t>
            </w:r>
          </w:p>
        </w:tc>
        <w:tc>
          <w:tcPr>
            <w:tcW w:w="3150" w:type="dxa"/>
            <w:vAlign w:val="center"/>
          </w:tcPr>
          <w:p w:rsidRPr="00BF6823" w:rsidR="00BC0BF9" w:rsidP="00A7739B" w:rsidRDefault="00BC0BF9" w14:paraId="10CFFFB4" w14:textId="77777777">
            <w:pPr>
              <w:spacing w:before="120"/>
            </w:pPr>
            <w:r w:rsidRPr="00BF6823">
              <w:t>Form Name</w:t>
            </w:r>
          </w:p>
        </w:tc>
        <w:tc>
          <w:tcPr>
            <w:tcW w:w="1620" w:type="dxa"/>
            <w:vAlign w:val="center"/>
          </w:tcPr>
          <w:p w:rsidRPr="00BF6823" w:rsidR="00BC0BF9" w:rsidP="00A7739B" w:rsidRDefault="00BC0BF9" w14:paraId="16915C9B" w14:textId="77777777">
            <w:pPr>
              <w:spacing w:before="120"/>
            </w:pPr>
            <w:r w:rsidRPr="00BF6823">
              <w:t>Burden Hours</w:t>
            </w:r>
          </w:p>
        </w:tc>
        <w:tc>
          <w:tcPr>
            <w:tcW w:w="1800" w:type="dxa"/>
            <w:vAlign w:val="center"/>
          </w:tcPr>
          <w:p w:rsidRPr="00BF6823" w:rsidR="00BC0BF9" w:rsidP="00A7739B" w:rsidRDefault="00BC0BF9" w14:paraId="619A7355" w14:textId="77777777">
            <w:pPr>
              <w:spacing w:before="120"/>
            </w:pPr>
            <w:r w:rsidRPr="00BF6823">
              <w:t>Average Hourly Wage Rate</w:t>
            </w:r>
          </w:p>
        </w:tc>
        <w:tc>
          <w:tcPr>
            <w:tcW w:w="1620" w:type="dxa"/>
            <w:vAlign w:val="center"/>
          </w:tcPr>
          <w:p w:rsidRPr="00BF6823" w:rsidR="00BC0BF9" w:rsidP="00A7739B" w:rsidRDefault="00BC0BF9" w14:paraId="7D477996" w14:textId="77777777">
            <w:pPr>
              <w:spacing w:before="120"/>
            </w:pPr>
            <w:r w:rsidRPr="00BF6823">
              <w:t>Total Cost</w:t>
            </w:r>
          </w:p>
        </w:tc>
      </w:tr>
      <w:tr w:rsidRPr="00BF6823" w:rsidR="00BC0BF9" w:rsidTr="00A7739B" w14:paraId="291F623F" w14:textId="77777777">
        <w:trPr>
          <w:cantSplit/>
          <w:tblHeader/>
        </w:trPr>
        <w:tc>
          <w:tcPr>
            <w:tcW w:w="1615" w:type="dxa"/>
          </w:tcPr>
          <w:p w:rsidRPr="00BF6823" w:rsidR="00BC0BF9" w:rsidP="00A7739B" w:rsidRDefault="00BC0BF9" w14:paraId="25A7D9D2" w14:textId="77777777">
            <w:pPr>
              <w:spacing w:before="120"/>
            </w:pPr>
            <w:r w:rsidRPr="00BF6823">
              <w:t>Middle and High School Age Adolescents</w:t>
            </w:r>
          </w:p>
        </w:tc>
        <w:tc>
          <w:tcPr>
            <w:tcW w:w="3150" w:type="dxa"/>
          </w:tcPr>
          <w:p w:rsidRPr="00BF6823" w:rsidR="00BC0BF9" w:rsidP="00A7739B" w:rsidRDefault="00BC0BF9" w14:paraId="335C1B5E" w14:textId="77777777">
            <w:r w:rsidRPr="00BF6823">
              <w:t xml:space="preserve">Youth  </w:t>
            </w:r>
          </w:p>
          <w:p w:rsidRPr="00BF6823" w:rsidR="00BC0BF9" w:rsidP="00A7739B" w:rsidRDefault="00BC0BF9" w14:paraId="6F92A2F6" w14:textId="77777777">
            <w:pPr>
              <w:spacing w:before="120"/>
            </w:pPr>
            <w:r w:rsidRPr="00BF6823">
              <w:t>Questionnaire (</w:t>
            </w:r>
            <w:r w:rsidRPr="00BF6823">
              <w:rPr>
                <w:b/>
              </w:rPr>
              <w:t>Att3</w:t>
            </w:r>
            <w:r w:rsidRPr="00BF6823">
              <w:t>)</w:t>
            </w:r>
          </w:p>
        </w:tc>
        <w:tc>
          <w:tcPr>
            <w:tcW w:w="1620" w:type="dxa"/>
            <w:vAlign w:val="center"/>
          </w:tcPr>
          <w:p w:rsidRPr="00BF6823" w:rsidR="00BC0BF9" w:rsidP="00A7739B" w:rsidRDefault="00BC0BF9" w14:paraId="6782B1F3" w14:textId="77777777">
            <w:pPr>
              <w:spacing w:before="120"/>
            </w:pPr>
            <w:r w:rsidRPr="00BF6823">
              <w:t>16,667</w:t>
            </w:r>
          </w:p>
        </w:tc>
        <w:tc>
          <w:tcPr>
            <w:tcW w:w="1800" w:type="dxa"/>
            <w:vAlign w:val="center"/>
          </w:tcPr>
          <w:p w:rsidRPr="00BF6823" w:rsidR="00BC0BF9" w:rsidP="00A7739B" w:rsidRDefault="00BC0BF9" w14:paraId="1BF1976A" w14:textId="77777777">
            <w:pPr>
              <w:spacing w:before="120"/>
              <w:jc w:val="center"/>
            </w:pPr>
            <w:r w:rsidRPr="00BF6823">
              <w:t>$9.40</w:t>
            </w:r>
          </w:p>
        </w:tc>
        <w:tc>
          <w:tcPr>
            <w:tcW w:w="1620" w:type="dxa"/>
            <w:vAlign w:val="center"/>
          </w:tcPr>
          <w:p w:rsidRPr="00BF6823" w:rsidR="00BC0BF9" w:rsidP="00A7739B" w:rsidRDefault="00BC0BF9" w14:paraId="1E4A72B6" w14:textId="77777777">
            <w:pPr>
              <w:spacing w:before="120"/>
            </w:pPr>
            <w:r w:rsidRPr="00BF6823">
              <w:t>$156,670</w:t>
            </w:r>
          </w:p>
        </w:tc>
      </w:tr>
      <w:tr w:rsidRPr="00BF6823" w:rsidR="00BC0BF9" w:rsidTr="00A7739B" w14:paraId="46251842" w14:textId="77777777">
        <w:trPr>
          <w:cantSplit/>
          <w:tblHeader/>
        </w:trPr>
        <w:tc>
          <w:tcPr>
            <w:tcW w:w="1615" w:type="dxa"/>
          </w:tcPr>
          <w:p w:rsidRPr="00BF6823" w:rsidR="00BC0BF9" w:rsidP="00A7739B" w:rsidRDefault="00BC0BF9" w14:paraId="3408D238" w14:textId="77777777">
            <w:pPr>
              <w:spacing w:before="120"/>
            </w:pPr>
            <w:r w:rsidRPr="00BF6823">
              <w:t>Middle and High School Age Adolescents</w:t>
            </w:r>
          </w:p>
        </w:tc>
        <w:tc>
          <w:tcPr>
            <w:tcW w:w="3150" w:type="dxa"/>
          </w:tcPr>
          <w:p w:rsidRPr="00BF6823" w:rsidR="00BC0BF9" w:rsidP="00A7739B" w:rsidRDefault="00BC0BF9" w14:paraId="5175852F" w14:textId="77777777">
            <w:pPr>
              <w:spacing w:before="120"/>
            </w:pPr>
            <w:r w:rsidRPr="00BF6823">
              <w:t>Pre/Post youth questionnaire (</w:t>
            </w:r>
            <w:r w:rsidRPr="00BF6823">
              <w:rPr>
                <w:b/>
              </w:rPr>
              <w:t>Att4</w:t>
            </w:r>
            <w:r w:rsidRPr="00BF6823">
              <w:t>)</w:t>
            </w:r>
          </w:p>
        </w:tc>
        <w:tc>
          <w:tcPr>
            <w:tcW w:w="1620" w:type="dxa"/>
            <w:vAlign w:val="center"/>
          </w:tcPr>
          <w:p w:rsidRPr="00BF6823" w:rsidR="00BC0BF9" w:rsidP="00A7739B" w:rsidRDefault="00BC0BF9" w14:paraId="248349EC" w14:textId="77777777">
            <w:pPr>
              <w:spacing w:before="120"/>
            </w:pPr>
            <w:r w:rsidRPr="00BF6823">
              <w:t>16,667</w:t>
            </w:r>
          </w:p>
          <w:p w:rsidRPr="00BF6823" w:rsidR="00BC0BF9" w:rsidP="00A7739B" w:rsidRDefault="00BC0BF9" w14:paraId="5BB7A126" w14:textId="77777777">
            <w:pPr>
              <w:spacing w:before="120"/>
            </w:pPr>
          </w:p>
        </w:tc>
        <w:tc>
          <w:tcPr>
            <w:tcW w:w="1800" w:type="dxa"/>
            <w:vAlign w:val="center"/>
          </w:tcPr>
          <w:p w:rsidRPr="00BF6823" w:rsidR="00BC0BF9" w:rsidP="00A7739B" w:rsidRDefault="00BC0BF9" w14:paraId="2EAE1469" w14:textId="77777777">
            <w:pPr>
              <w:spacing w:before="120"/>
              <w:jc w:val="center"/>
            </w:pPr>
            <w:r w:rsidRPr="00BF6823">
              <w:t>$9.40</w:t>
            </w:r>
          </w:p>
        </w:tc>
        <w:tc>
          <w:tcPr>
            <w:tcW w:w="1620" w:type="dxa"/>
            <w:vAlign w:val="center"/>
          </w:tcPr>
          <w:p w:rsidRPr="00BF6823" w:rsidR="00BC0BF9" w:rsidP="00A7739B" w:rsidRDefault="00BC0BF9" w14:paraId="6751BF4F" w14:textId="77777777">
            <w:pPr>
              <w:spacing w:before="120"/>
            </w:pPr>
            <w:r w:rsidRPr="00BF6823">
              <w:t>$156,670</w:t>
            </w:r>
          </w:p>
        </w:tc>
      </w:tr>
      <w:tr w:rsidRPr="00BF6823" w:rsidR="00BC0BF9" w:rsidTr="00A7739B" w14:paraId="0E1F5A75" w14:textId="77777777">
        <w:trPr>
          <w:cantSplit/>
          <w:tblHeader/>
        </w:trPr>
        <w:tc>
          <w:tcPr>
            <w:tcW w:w="1615" w:type="dxa"/>
          </w:tcPr>
          <w:p w:rsidRPr="00BF6823" w:rsidR="00BC0BF9" w:rsidP="00A7739B" w:rsidRDefault="00BC0BF9" w14:paraId="18207EA9" w14:textId="77777777">
            <w:pPr>
              <w:spacing w:before="120"/>
            </w:pPr>
            <w:r w:rsidRPr="00BF6823">
              <w:t>Parents/caregivers of adolescents</w:t>
            </w:r>
          </w:p>
        </w:tc>
        <w:tc>
          <w:tcPr>
            <w:tcW w:w="3150" w:type="dxa"/>
          </w:tcPr>
          <w:p w:rsidRPr="00BF6823" w:rsidR="00BC0BF9" w:rsidP="00A7739B" w:rsidRDefault="00BC0BF9" w14:paraId="31A7D557" w14:textId="77777777">
            <w:pPr>
              <w:spacing w:before="120"/>
            </w:pPr>
            <w:r w:rsidRPr="00BF6823">
              <w:t>Youth interview/focus group guide (</w:t>
            </w:r>
            <w:r w:rsidRPr="00BF6823">
              <w:rPr>
                <w:b/>
              </w:rPr>
              <w:t>Att5</w:t>
            </w:r>
            <w:r w:rsidRPr="00BF6823">
              <w:t>)</w:t>
            </w:r>
          </w:p>
        </w:tc>
        <w:tc>
          <w:tcPr>
            <w:tcW w:w="1620" w:type="dxa"/>
            <w:vAlign w:val="center"/>
          </w:tcPr>
          <w:p w:rsidRPr="00BF6823" w:rsidR="00BC0BF9" w:rsidP="00A7739B" w:rsidRDefault="00BC0BF9" w14:paraId="0EB02A13" w14:textId="77777777">
            <w:pPr>
              <w:spacing w:before="120"/>
            </w:pPr>
            <w:r w:rsidRPr="00BF6823">
              <w:t>9,000</w:t>
            </w:r>
          </w:p>
        </w:tc>
        <w:tc>
          <w:tcPr>
            <w:tcW w:w="1800" w:type="dxa"/>
            <w:vAlign w:val="center"/>
          </w:tcPr>
          <w:p w:rsidRPr="00BF6823" w:rsidR="00BC0BF9" w:rsidP="00A7739B" w:rsidRDefault="00BC0BF9" w14:paraId="174AC89D" w14:textId="77777777">
            <w:pPr>
              <w:spacing w:before="120"/>
              <w:jc w:val="center"/>
            </w:pPr>
            <w:r w:rsidRPr="00BF6823">
              <w:t>$9.40</w:t>
            </w:r>
          </w:p>
        </w:tc>
        <w:tc>
          <w:tcPr>
            <w:tcW w:w="1620" w:type="dxa"/>
            <w:vAlign w:val="center"/>
          </w:tcPr>
          <w:p w:rsidRPr="00BF6823" w:rsidR="00BC0BF9" w:rsidP="00A7739B" w:rsidRDefault="00BC0BF9" w14:paraId="2AFEDADF" w14:textId="77777777">
            <w:pPr>
              <w:spacing w:before="120"/>
            </w:pPr>
            <w:r w:rsidRPr="00BF6823">
              <w:t>$84,600</w:t>
            </w:r>
          </w:p>
        </w:tc>
      </w:tr>
      <w:tr w:rsidRPr="00BF6823" w:rsidR="00BC0BF9" w:rsidTr="00A7739B" w14:paraId="6EFD3194" w14:textId="77777777">
        <w:trPr>
          <w:cantSplit/>
          <w:tblHeader/>
        </w:trPr>
        <w:tc>
          <w:tcPr>
            <w:tcW w:w="1615" w:type="dxa"/>
          </w:tcPr>
          <w:p w:rsidRPr="00BF6823" w:rsidR="00BC0BF9" w:rsidP="00A7739B" w:rsidRDefault="00BC0BF9" w14:paraId="63DDEBE1" w14:textId="77777777">
            <w:pPr>
              <w:spacing w:before="120"/>
            </w:pPr>
            <w:r w:rsidRPr="00BF6823">
              <w:t>Parents/caregivers of adolescents</w:t>
            </w:r>
          </w:p>
        </w:tc>
        <w:tc>
          <w:tcPr>
            <w:tcW w:w="3150" w:type="dxa"/>
          </w:tcPr>
          <w:p w:rsidRPr="00BF6823" w:rsidR="00BC0BF9" w:rsidP="00A7739B" w:rsidRDefault="00BC0BF9" w14:paraId="53AF0B7A" w14:textId="77777777">
            <w:r w:rsidRPr="00BF6823">
              <w:t>Parent/Caregiver questionnaire</w:t>
            </w:r>
          </w:p>
          <w:p w:rsidRPr="00BF6823" w:rsidR="00BC0BF9" w:rsidP="00A7739B" w:rsidRDefault="00BC0BF9" w14:paraId="7D582102" w14:textId="77777777">
            <w:pPr>
              <w:spacing w:before="120"/>
            </w:pPr>
            <w:r w:rsidRPr="00BF6823">
              <w:rPr>
                <w:b/>
              </w:rPr>
              <w:t xml:space="preserve"> </w:t>
            </w:r>
            <w:r w:rsidRPr="00BF6823">
              <w:t>(</w:t>
            </w:r>
            <w:r w:rsidRPr="00BF6823">
              <w:rPr>
                <w:b/>
              </w:rPr>
              <w:t>Att6</w:t>
            </w:r>
            <w:r w:rsidRPr="00BF6823">
              <w:t>)</w:t>
            </w:r>
          </w:p>
        </w:tc>
        <w:tc>
          <w:tcPr>
            <w:tcW w:w="1620" w:type="dxa"/>
            <w:vAlign w:val="center"/>
          </w:tcPr>
          <w:p w:rsidRPr="00BF6823" w:rsidR="00BC0BF9" w:rsidP="00A7739B" w:rsidRDefault="00BC0BF9" w14:paraId="38F733D3" w14:textId="77777777">
            <w:pPr>
              <w:spacing w:before="120"/>
            </w:pPr>
            <w:r w:rsidRPr="00BF6823">
              <w:t>6,250</w:t>
            </w:r>
          </w:p>
        </w:tc>
        <w:tc>
          <w:tcPr>
            <w:tcW w:w="1800" w:type="dxa"/>
            <w:vAlign w:val="center"/>
          </w:tcPr>
          <w:p w:rsidRPr="00BF6823" w:rsidR="00BC0BF9" w:rsidP="00A7739B" w:rsidRDefault="00BC0BF9" w14:paraId="7E8C0748" w14:textId="77777777">
            <w:pPr>
              <w:spacing w:before="120"/>
              <w:jc w:val="center"/>
            </w:pPr>
            <w:r w:rsidRPr="00BF6823">
              <w:t>$17.09</w:t>
            </w:r>
          </w:p>
        </w:tc>
        <w:tc>
          <w:tcPr>
            <w:tcW w:w="1620" w:type="dxa"/>
            <w:vAlign w:val="center"/>
          </w:tcPr>
          <w:p w:rsidRPr="00BF6823" w:rsidR="00BC0BF9" w:rsidP="00A7739B" w:rsidRDefault="00BC0BF9" w14:paraId="5D0048FE" w14:textId="77777777">
            <w:pPr>
              <w:spacing w:before="120"/>
            </w:pPr>
            <w:r w:rsidRPr="00BF6823">
              <w:t>$106,813</w:t>
            </w:r>
          </w:p>
        </w:tc>
      </w:tr>
      <w:tr w:rsidRPr="00BF6823" w:rsidR="00BC0BF9" w:rsidTr="00A7739B" w14:paraId="6010491F" w14:textId="77777777">
        <w:trPr>
          <w:cantSplit/>
          <w:tblHeader/>
        </w:trPr>
        <w:tc>
          <w:tcPr>
            <w:tcW w:w="1615" w:type="dxa"/>
          </w:tcPr>
          <w:p w:rsidRPr="00BF6823" w:rsidR="00BC0BF9" w:rsidP="00A7739B" w:rsidRDefault="00BC0BF9" w14:paraId="0263FDE5" w14:textId="77777777">
            <w:pPr>
              <w:spacing w:before="120"/>
            </w:pPr>
            <w:r w:rsidRPr="00BF6823">
              <w:t>Middle and High School Age Adolescents</w:t>
            </w:r>
          </w:p>
        </w:tc>
        <w:tc>
          <w:tcPr>
            <w:tcW w:w="3150" w:type="dxa"/>
          </w:tcPr>
          <w:p w:rsidRPr="00BF6823" w:rsidR="00BC0BF9" w:rsidP="00A7739B" w:rsidRDefault="00BC0BF9" w14:paraId="510FE8DF" w14:textId="77777777">
            <w:pPr>
              <w:spacing w:before="120"/>
            </w:pPr>
            <w:r w:rsidRPr="00BF6823">
              <w:t>Parent/Caregiver interview/focus group guide (</w:t>
            </w:r>
            <w:r w:rsidRPr="00BF6823">
              <w:rPr>
                <w:b/>
              </w:rPr>
              <w:t>Att7</w:t>
            </w:r>
            <w:r w:rsidRPr="00BF6823">
              <w:t>)</w:t>
            </w:r>
          </w:p>
        </w:tc>
        <w:tc>
          <w:tcPr>
            <w:tcW w:w="1620" w:type="dxa"/>
            <w:vAlign w:val="center"/>
          </w:tcPr>
          <w:p w:rsidRPr="00BF6823" w:rsidR="00BC0BF9" w:rsidP="00A7739B" w:rsidRDefault="00BC0BF9" w14:paraId="6A659312" w14:textId="77777777">
            <w:pPr>
              <w:spacing w:before="120"/>
            </w:pPr>
            <w:r w:rsidRPr="00BF6823">
              <w:t>9,000</w:t>
            </w:r>
          </w:p>
        </w:tc>
        <w:tc>
          <w:tcPr>
            <w:tcW w:w="1800" w:type="dxa"/>
            <w:vAlign w:val="center"/>
          </w:tcPr>
          <w:p w:rsidRPr="00BF6823" w:rsidR="00BC0BF9" w:rsidP="00A7739B" w:rsidRDefault="00BC0BF9" w14:paraId="55C80523" w14:textId="77777777">
            <w:pPr>
              <w:spacing w:before="120"/>
              <w:jc w:val="center"/>
            </w:pPr>
            <w:r w:rsidRPr="00BF6823">
              <w:t>$17.09</w:t>
            </w:r>
          </w:p>
        </w:tc>
        <w:tc>
          <w:tcPr>
            <w:tcW w:w="1620" w:type="dxa"/>
            <w:vAlign w:val="center"/>
          </w:tcPr>
          <w:p w:rsidRPr="00BF6823" w:rsidR="00BC0BF9" w:rsidP="00A7739B" w:rsidRDefault="00BC0BF9" w14:paraId="7579E342" w14:textId="77777777">
            <w:pPr>
              <w:spacing w:before="120"/>
            </w:pPr>
            <w:r w:rsidRPr="00BF6823">
              <w:t>$153,810</w:t>
            </w:r>
          </w:p>
        </w:tc>
      </w:tr>
      <w:tr w:rsidRPr="00BF6823" w:rsidR="00BC0BF9" w:rsidTr="00A7739B" w14:paraId="0E5A4691" w14:textId="77777777">
        <w:trPr>
          <w:cantSplit/>
          <w:tblHeader/>
        </w:trPr>
        <w:tc>
          <w:tcPr>
            <w:tcW w:w="1615" w:type="dxa"/>
            <w:vAlign w:val="center"/>
          </w:tcPr>
          <w:p w:rsidRPr="00BF6823" w:rsidR="00BC0BF9" w:rsidP="00A7739B" w:rsidRDefault="00BC0BF9" w14:paraId="6BD204B3" w14:textId="77777777">
            <w:pPr>
              <w:spacing w:before="120"/>
            </w:pPr>
            <w:r w:rsidRPr="00BF6823">
              <w:t>Total</w:t>
            </w:r>
          </w:p>
        </w:tc>
        <w:tc>
          <w:tcPr>
            <w:tcW w:w="8190" w:type="dxa"/>
            <w:gridSpan w:val="4"/>
            <w:vAlign w:val="center"/>
          </w:tcPr>
          <w:p w:rsidRPr="00BF6823" w:rsidR="00BC0BF9" w:rsidP="00A7739B" w:rsidRDefault="00BC0BF9" w14:paraId="730B2A14" w14:textId="77777777">
            <w:pPr>
              <w:spacing w:before="120"/>
              <w:jc w:val="right"/>
            </w:pPr>
            <w:r w:rsidRPr="00BF6823">
              <w:t>$658,563</w:t>
            </w:r>
          </w:p>
        </w:tc>
      </w:tr>
    </w:tbl>
    <w:p w:rsidRPr="00BF6823" w:rsidR="00BC0BF9" w:rsidP="00BC0BF9" w:rsidRDefault="00BC0BF9" w14:paraId="3851E18C" w14:textId="77777777">
      <w:pPr>
        <w:spacing w:before="120"/>
        <w:rPr>
          <w:b/>
        </w:rPr>
      </w:pPr>
    </w:p>
    <w:p w:rsidRPr="00BF6823" w:rsidR="00BC0BF9" w:rsidP="00BC0BF9" w:rsidRDefault="00BC0BF9" w14:paraId="38468C87" w14:textId="77777777">
      <w:pPr>
        <w:pStyle w:val="Heading1"/>
        <w:numPr>
          <w:ilvl w:val="0"/>
          <w:numId w:val="0"/>
        </w:numPr>
        <w:spacing w:before="120" w:after="0"/>
        <w:ind w:left="360"/>
        <w:rPr>
          <w:rFonts w:cs="Times New Roman"/>
          <w:szCs w:val="24"/>
        </w:rPr>
      </w:pPr>
      <w:bookmarkStart w:name="_Toc458693484" w:id="24"/>
      <w:r w:rsidRPr="00BF6823">
        <w:rPr>
          <w:rFonts w:cs="Times New Roman"/>
          <w:szCs w:val="24"/>
        </w:rPr>
        <w:t>A.13 Estimates of Other Annual Cost Burden to Respondents or Record Keepers</w:t>
      </w:r>
      <w:bookmarkEnd w:id="24"/>
    </w:p>
    <w:p w:rsidRPr="00BF6823" w:rsidR="00BC0BF9" w:rsidP="00BC0BF9" w:rsidRDefault="00BC0BF9" w14:paraId="0589FAA0" w14:textId="77777777">
      <w:pPr>
        <w:spacing w:before="120"/>
        <w:ind w:firstLine="720"/>
      </w:pPr>
      <w:r w:rsidRPr="00BF6823">
        <w:t>There will be no direct costs to the respondents or record keepers other than their time to participate in each information collection.  No capital, start-up, operation, or maintenance costs are involved.</w:t>
      </w:r>
    </w:p>
    <w:p w:rsidRPr="00BF6823" w:rsidR="00BC0BF9" w:rsidP="00BC0BF9" w:rsidRDefault="00BC0BF9" w14:paraId="19608EF7" w14:textId="77777777">
      <w:pPr>
        <w:spacing w:before="120"/>
        <w:ind w:firstLine="720"/>
      </w:pPr>
    </w:p>
    <w:p w:rsidRPr="00BF6823" w:rsidR="00BC0BF9" w:rsidP="00BC0BF9" w:rsidRDefault="00BC0BF9" w14:paraId="28594E1B" w14:textId="77777777">
      <w:pPr>
        <w:pStyle w:val="Heading1"/>
        <w:numPr>
          <w:ilvl w:val="0"/>
          <w:numId w:val="25"/>
        </w:numPr>
        <w:spacing w:before="120" w:after="0"/>
        <w:ind w:left="540" w:hanging="270"/>
        <w:rPr>
          <w:rFonts w:cs="Times New Roman"/>
          <w:szCs w:val="24"/>
        </w:rPr>
      </w:pPr>
      <w:bookmarkStart w:name="_Toc227033754" w:id="25"/>
      <w:bookmarkStart w:name="_Toc322357324" w:id="26"/>
      <w:bookmarkStart w:name="_Toc458693485" w:id="27"/>
      <w:r w:rsidRPr="00BF6823">
        <w:rPr>
          <w:rFonts w:cs="Times New Roman"/>
          <w:szCs w:val="24"/>
        </w:rPr>
        <w:t>14 Annualized Cost to Federal Government</w:t>
      </w:r>
      <w:bookmarkEnd w:id="25"/>
      <w:bookmarkEnd w:id="26"/>
      <w:bookmarkEnd w:id="27"/>
      <w:r w:rsidRPr="00BF6823">
        <w:rPr>
          <w:rFonts w:cs="Times New Roman"/>
          <w:szCs w:val="24"/>
        </w:rPr>
        <w:t xml:space="preserve">  </w:t>
      </w:r>
    </w:p>
    <w:p w:rsidRPr="00BF6823" w:rsidR="00BC0BF9" w:rsidP="00BC0BF9" w:rsidRDefault="00BC0BF9" w14:paraId="05163A61"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BF6823">
        <w:tab/>
        <w:t xml:space="preserve">Actual annualized costs to the government will vary depending on the specific needs of the individual information collection activity. Generally, each development activity will involve participation of at least one, and often two, CDC project officers at 4% time (GS-12, 13, or 14) who will be responsible for the project design, obtaining approvals, providing project oversight, and analysis and dissemination of the results. The CDC project officer will provide remote and onsite technical assistance to local areas implementing data collection. A CDC supervisor (GS-14) will provide oversight of the project at 2% time. Based on current data collection activities, </w:t>
      </w:r>
      <w:r w:rsidRPr="00BF6823">
        <w:lastRenderedPageBreak/>
        <w:t>contract costs were based on an average percentage of contract effort across three data collections involving adults working with adolescents in the school and community. An estimated average cost per individual activity is listed below, but detailed costs will be submitted with each individual collection request.</w:t>
      </w:r>
    </w:p>
    <w:p w:rsidRPr="00BF6823" w:rsidR="00BC0BF9" w:rsidP="00BC0BF9" w:rsidRDefault="00BC0BF9" w14:paraId="40CA432D"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p w:rsidRPr="00BF6823" w:rsidR="00BC0BF9" w:rsidP="00BC0BF9" w:rsidRDefault="00BC0BF9" w14:paraId="2A7FE812" w14:textId="77777777">
      <w:pPr>
        <w:spacing w:before="120"/>
        <w:rPr>
          <w:b/>
        </w:rPr>
      </w:pPr>
    </w:p>
    <w:p w:rsidRPr="00BF6823" w:rsidR="00BC0BF9" w:rsidP="00BC0BF9" w:rsidRDefault="00BC0BF9" w14:paraId="07F6C266" w14:textId="77777777">
      <w:pPr>
        <w:spacing w:before="120"/>
        <w:rPr>
          <w:b/>
        </w:rPr>
      </w:pPr>
      <w:r w:rsidRPr="00BF6823">
        <w:rPr>
          <w:b/>
        </w:rPr>
        <w:t>Table A.14-</w:t>
      </w:r>
      <w:r w:rsidRPr="00BF6823">
        <w:rPr>
          <w:b/>
        </w:rPr>
        <w:fldChar w:fldCharType="begin"/>
      </w:r>
      <w:r w:rsidRPr="00BF6823">
        <w:rPr>
          <w:b/>
        </w:rPr>
        <w:instrText xml:space="preserve"> SEQ Table \* ARABIC </w:instrText>
      </w:r>
      <w:r w:rsidRPr="00BF6823">
        <w:rPr>
          <w:b/>
        </w:rPr>
        <w:fldChar w:fldCharType="separate"/>
      </w:r>
      <w:r w:rsidRPr="00BF6823">
        <w:rPr>
          <w:b/>
          <w:noProof/>
        </w:rPr>
        <w:t>1</w:t>
      </w:r>
      <w:r w:rsidRPr="00BF6823">
        <w:rPr>
          <w:b/>
        </w:rPr>
        <w:fldChar w:fldCharType="end"/>
      </w:r>
      <w:r w:rsidRPr="00BF6823">
        <w:rPr>
          <w:b/>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Pr="00BF6823" w:rsidR="00BC0BF9" w:rsidTr="00A7739B" w14:paraId="0E20D055" w14:textId="77777777">
        <w:trPr>
          <w:cantSplit/>
        </w:trPr>
        <w:tc>
          <w:tcPr>
            <w:tcW w:w="3420" w:type="dxa"/>
            <w:tcBorders>
              <w:top w:val="single" w:color="auto" w:sz="8" w:space="0"/>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208C7DF3" w14:textId="77777777">
            <w:pPr>
              <w:spacing w:before="120"/>
              <w:rPr>
                <w:b/>
                <w:bCs/>
              </w:rPr>
            </w:pPr>
            <w:r w:rsidRPr="00BF6823">
              <w:rPr>
                <w:b/>
                <w:bCs/>
              </w:rPr>
              <w:t>Expense Type</w:t>
            </w:r>
          </w:p>
        </w:tc>
        <w:tc>
          <w:tcPr>
            <w:tcW w:w="3420" w:type="dxa"/>
            <w:tcBorders>
              <w:top w:val="single" w:color="auto" w:sz="8" w:space="0"/>
              <w:left w:val="nil"/>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48C8A446" w14:textId="77777777">
            <w:pPr>
              <w:spacing w:before="120"/>
              <w:rPr>
                <w:b/>
                <w:bCs/>
              </w:rPr>
            </w:pPr>
            <w:r w:rsidRPr="00BF6823">
              <w:rPr>
                <w:b/>
                <w:bCs/>
              </w:rPr>
              <w:t xml:space="preserve">Expense Explanation </w:t>
            </w:r>
          </w:p>
        </w:tc>
        <w:tc>
          <w:tcPr>
            <w:tcW w:w="2520" w:type="dxa"/>
            <w:tcBorders>
              <w:top w:val="single" w:color="auto" w:sz="8" w:space="0"/>
              <w:left w:val="nil"/>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5452F8D4" w14:textId="77777777">
            <w:pPr>
              <w:spacing w:before="120"/>
              <w:rPr>
                <w:b/>
                <w:bCs/>
              </w:rPr>
            </w:pPr>
            <w:r w:rsidRPr="00BF6823">
              <w:rPr>
                <w:b/>
                <w:bCs/>
              </w:rPr>
              <w:t>Annual Costs (dollars)</w:t>
            </w:r>
          </w:p>
        </w:tc>
      </w:tr>
      <w:tr w:rsidRPr="00BF6823" w:rsidR="00BC0BF9" w:rsidTr="00A7739B" w14:paraId="3E6D70A6" w14:textId="77777777">
        <w:trPr>
          <w:cantSplit/>
        </w:trPr>
        <w:tc>
          <w:tcPr>
            <w:tcW w:w="9360" w:type="dxa"/>
            <w:gridSpan w:val="3"/>
            <w:tcBorders>
              <w:top w:val="nil"/>
              <w:left w:val="single" w:color="auto" w:sz="8" w:space="0"/>
              <w:bottom w:val="single" w:color="auto" w:sz="8" w:space="0"/>
              <w:right w:val="single" w:color="auto" w:sz="8" w:space="0"/>
            </w:tcBorders>
            <w:shd w:val="clear" w:color="auto" w:fill="D9D9D9" w:themeFill="background1" w:themeFillShade="D9"/>
            <w:tcMar>
              <w:top w:w="0" w:type="dxa"/>
              <w:left w:w="115" w:type="dxa"/>
              <w:bottom w:w="0" w:type="dxa"/>
              <w:right w:w="115" w:type="dxa"/>
            </w:tcMar>
            <w:vAlign w:val="center"/>
            <w:hideMark/>
          </w:tcPr>
          <w:p w:rsidRPr="00BF6823" w:rsidR="00BC0BF9" w:rsidP="00A7739B" w:rsidRDefault="00BC0BF9" w14:paraId="1BE51543" w14:textId="77777777">
            <w:pPr>
              <w:spacing w:before="120"/>
              <w:rPr>
                <w:i/>
                <w:iCs/>
              </w:rPr>
            </w:pPr>
            <w:r w:rsidRPr="00BF6823">
              <w:rPr>
                <w:b/>
                <w:bCs/>
                <w:i/>
                <w:iCs/>
              </w:rPr>
              <w:t>Direct Cost to the Federal Government</w:t>
            </w:r>
          </w:p>
        </w:tc>
      </w:tr>
      <w:tr w:rsidRPr="00BF6823" w:rsidR="00BC0BF9" w:rsidTr="00A7739B" w14:paraId="1CED084D" w14:textId="77777777">
        <w:trPr>
          <w:cantSplit/>
        </w:trPr>
        <w:tc>
          <w:tcPr>
            <w:tcW w:w="3420" w:type="dxa"/>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07876AD2" w14:textId="77777777">
            <w:pPr>
              <w:spacing w:before="120"/>
              <w:rPr>
                <w:b/>
                <w:bCs/>
              </w:rPr>
            </w:pPr>
            <w:r w:rsidRPr="00BF6823">
              <w:t>CDC employee oversight for project</w:t>
            </w:r>
          </w:p>
        </w:tc>
        <w:tc>
          <w:tcPr>
            <w:tcW w:w="34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7119BDF2" w14:textId="77777777">
            <w:pPr>
              <w:spacing w:before="120"/>
            </w:pPr>
            <w:r w:rsidRPr="00BF6823">
              <w:t>CDC supervisor labor costs for 1 employee at 2% time</w:t>
            </w:r>
          </w:p>
        </w:tc>
        <w:tc>
          <w:tcPr>
            <w:tcW w:w="25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0398EDF2" w14:textId="77777777">
            <w:pPr>
              <w:spacing w:before="120"/>
            </w:pPr>
            <w:r w:rsidRPr="00BF6823">
              <w:t>$2,680</w:t>
            </w:r>
          </w:p>
        </w:tc>
      </w:tr>
      <w:tr w:rsidRPr="00BF6823" w:rsidR="00BC0BF9" w:rsidTr="00A7739B" w14:paraId="721C107C" w14:textId="77777777">
        <w:trPr>
          <w:cantSplit/>
        </w:trPr>
        <w:tc>
          <w:tcPr>
            <w:tcW w:w="3420" w:type="dxa"/>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4C642BF7" w14:textId="77777777">
            <w:pPr>
              <w:spacing w:before="120"/>
            </w:pPr>
            <w:r w:rsidRPr="00BF6823">
              <w:t>CDC oversight of contractor and project</w:t>
            </w:r>
          </w:p>
        </w:tc>
        <w:tc>
          <w:tcPr>
            <w:tcW w:w="34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39F79333" w14:textId="77777777">
            <w:pPr>
              <w:spacing w:before="120"/>
            </w:pPr>
            <w:r w:rsidRPr="00BF6823">
              <w:t>CDC non-supervisory employee labor costs for 2 employees, each at 4% time</w:t>
            </w:r>
          </w:p>
        </w:tc>
        <w:tc>
          <w:tcPr>
            <w:tcW w:w="25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69D6D7A7" w14:textId="77777777">
            <w:pPr>
              <w:spacing w:before="120"/>
            </w:pPr>
            <w:r w:rsidRPr="00BF6823">
              <w:t>$8,626</w:t>
            </w:r>
          </w:p>
        </w:tc>
      </w:tr>
      <w:tr w:rsidRPr="00BF6823" w:rsidR="00BC0BF9" w:rsidTr="00A7739B" w14:paraId="6CDA2DA7" w14:textId="77777777">
        <w:trPr>
          <w:cantSplit/>
        </w:trPr>
        <w:tc>
          <w:tcPr>
            <w:tcW w:w="6840" w:type="dxa"/>
            <w:gridSpan w:val="2"/>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39B157B0" w14:textId="77777777">
            <w:pPr>
              <w:spacing w:before="120"/>
              <w:rPr>
                <w:b/>
                <w:iCs/>
              </w:rPr>
            </w:pPr>
            <w:r w:rsidRPr="00BF6823">
              <w:rPr>
                <w:b/>
                <w:iCs/>
              </w:rPr>
              <w:t>Subtotal, Direct Costs to the Government per year</w:t>
            </w:r>
          </w:p>
        </w:tc>
        <w:tc>
          <w:tcPr>
            <w:tcW w:w="25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637DD17A" w14:textId="77777777">
            <w:pPr>
              <w:spacing w:before="120"/>
              <w:rPr>
                <w:b/>
                <w:iCs/>
              </w:rPr>
            </w:pPr>
            <w:r w:rsidRPr="00BF6823">
              <w:rPr>
                <w:b/>
                <w:iCs/>
              </w:rPr>
              <w:t>$11,306</w:t>
            </w:r>
          </w:p>
        </w:tc>
      </w:tr>
      <w:tr w:rsidRPr="00BF6823" w:rsidR="00BC0BF9" w:rsidTr="00A7739B" w14:paraId="38C512A4" w14:textId="77777777">
        <w:trPr>
          <w:cantSplit/>
        </w:trPr>
        <w:tc>
          <w:tcPr>
            <w:tcW w:w="9360" w:type="dxa"/>
            <w:gridSpan w:val="3"/>
            <w:tcBorders>
              <w:top w:val="nil"/>
              <w:left w:val="single" w:color="auto" w:sz="8" w:space="0"/>
              <w:bottom w:val="single" w:color="auto" w:sz="8" w:space="0"/>
              <w:right w:val="single" w:color="auto" w:sz="8" w:space="0"/>
            </w:tcBorders>
            <w:shd w:val="clear" w:color="auto" w:fill="D9D9D9" w:themeFill="background1" w:themeFillShade="D9"/>
            <w:tcMar>
              <w:top w:w="0" w:type="dxa"/>
              <w:left w:w="115" w:type="dxa"/>
              <w:bottom w:w="0" w:type="dxa"/>
              <w:right w:w="115" w:type="dxa"/>
            </w:tcMar>
            <w:vAlign w:val="center"/>
            <w:hideMark/>
          </w:tcPr>
          <w:p w:rsidRPr="00BF6823" w:rsidR="00BC0BF9" w:rsidP="00A7739B" w:rsidRDefault="00BC0BF9" w14:paraId="091654EF" w14:textId="77777777">
            <w:pPr>
              <w:spacing w:before="120"/>
              <w:rPr>
                <w:b/>
                <w:bCs/>
                <w:i/>
                <w:iCs/>
              </w:rPr>
            </w:pPr>
            <w:r w:rsidRPr="00BF6823">
              <w:rPr>
                <w:b/>
                <w:bCs/>
                <w:i/>
                <w:iCs/>
              </w:rPr>
              <w:t>Contractor and Other Expenses</w:t>
            </w:r>
          </w:p>
        </w:tc>
      </w:tr>
      <w:tr w:rsidRPr="00BF6823" w:rsidR="00BC0BF9" w:rsidTr="00A7739B" w14:paraId="3A5E095B" w14:textId="77777777">
        <w:trPr>
          <w:cantSplit/>
        </w:trPr>
        <w:tc>
          <w:tcPr>
            <w:tcW w:w="3420" w:type="dxa"/>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7B68F1CB" w14:textId="77777777">
            <w:pPr>
              <w:spacing w:before="120"/>
            </w:pPr>
            <w:r w:rsidRPr="00BF6823">
              <w:rPr>
                <w:color w:val="000000" w:themeColor="text1"/>
              </w:rPr>
              <w:t>Assistance with data collection, processing, and preliminary analysis</w:t>
            </w:r>
          </w:p>
        </w:tc>
        <w:tc>
          <w:tcPr>
            <w:tcW w:w="3420" w:type="dxa"/>
            <w:tcBorders>
              <w:top w:val="nil"/>
              <w:left w:val="single" w:color="auto" w:sz="8" w:space="0"/>
              <w:bottom w:val="single" w:color="auto" w:sz="8" w:space="0"/>
              <w:right w:val="single" w:color="auto" w:sz="8" w:space="0"/>
            </w:tcBorders>
            <w:vAlign w:val="center"/>
          </w:tcPr>
          <w:p w:rsidRPr="00BF6823" w:rsidR="00BC0BF9" w:rsidP="00A7739B" w:rsidRDefault="00BC0BF9" w14:paraId="0410FF3F" w14:textId="77777777">
            <w:pPr>
              <w:spacing w:before="120"/>
              <w:ind w:left="76"/>
            </w:pPr>
            <w:r w:rsidRPr="00BF6823">
              <w:rPr>
                <w:color w:val="000000" w:themeColor="text1"/>
              </w:rPr>
              <w:t>Labor and other direct costs for supporting data collection, processing, and analysis</w:t>
            </w:r>
          </w:p>
        </w:tc>
        <w:tc>
          <w:tcPr>
            <w:tcW w:w="25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1B1CC92A" w14:textId="77777777">
            <w:pPr>
              <w:spacing w:before="120"/>
            </w:pPr>
            <w:r w:rsidRPr="00BF6823">
              <w:t>$34,932</w:t>
            </w:r>
          </w:p>
        </w:tc>
      </w:tr>
      <w:tr w:rsidRPr="00BF6823" w:rsidR="00BC0BF9" w:rsidTr="00A7739B" w14:paraId="483DAD7B" w14:textId="77777777">
        <w:trPr>
          <w:cantSplit/>
        </w:trPr>
        <w:tc>
          <w:tcPr>
            <w:tcW w:w="6840" w:type="dxa"/>
            <w:gridSpan w:val="2"/>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4499AB45" w14:textId="77777777">
            <w:pPr>
              <w:spacing w:before="120"/>
              <w:ind w:left="76"/>
              <w:rPr>
                <w:b/>
              </w:rPr>
            </w:pPr>
            <w:r w:rsidRPr="00BF6823">
              <w:rPr>
                <w:b/>
                <w:iCs/>
              </w:rPr>
              <w:t>Subtotal, Contract and Other Expenses per year</w:t>
            </w:r>
          </w:p>
        </w:tc>
        <w:tc>
          <w:tcPr>
            <w:tcW w:w="25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BF6823" w:rsidR="00BC0BF9" w:rsidP="00A7739B" w:rsidRDefault="00BC0BF9" w14:paraId="564C4D48" w14:textId="77777777">
            <w:pPr>
              <w:spacing w:before="120"/>
              <w:rPr>
                <w:i/>
                <w:iCs/>
              </w:rPr>
            </w:pPr>
            <w:r w:rsidRPr="00BF6823">
              <w:rPr>
                <w:b/>
                <w:bCs/>
                <w:color w:val="000000"/>
              </w:rPr>
              <w:t>$34,932</w:t>
            </w:r>
          </w:p>
        </w:tc>
      </w:tr>
      <w:tr w:rsidRPr="00BF6823" w:rsidR="00BC0BF9" w:rsidTr="00A7739B" w14:paraId="11CA7132" w14:textId="77777777">
        <w:trPr>
          <w:cantSplit/>
        </w:trPr>
        <w:tc>
          <w:tcPr>
            <w:tcW w:w="6840" w:type="dxa"/>
            <w:gridSpan w:val="2"/>
            <w:tcBorders>
              <w:top w:val="nil"/>
              <w:left w:val="single" w:color="auto" w:sz="8" w:space="0"/>
              <w:bottom w:val="single" w:color="auto" w:sz="8" w:space="0"/>
              <w:right w:val="single" w:color="auto" w:sz="8" w:space="0"/>
            </w:tcBorders>
            <w:shd w:val="clear" w:color="auto" w:fill="D5DCE4" w:themeFill="text2" w:themeFillTint="33"/>
            <w:tcMar>
              <w:top w:w="0" w:type="dxa"/>
              <w:left w:w="115" w:type="dxa"/>
              <w:bottom w:w="0" w:type="dxa"/>
              <w:right w:w="115" w:type="dxa"/>
            </w:tcMar>
            <w:vAlign w:val="center"/>
            <w:hideMark/>
          </w:tcPr>
          <w:p w:rsidRPr="00BF6823" w:rsidR="00BC0BF9" w:rsidP="00A7739B" w:rsidRDefault="00BC0BF9" w14:paraId="013517DC" w14:textId="77777777">
            <w:pPr>
              <w:spacing w:before="120"/>
              <w:ind w:left="76"/>
              <w:rPr>
                <w:b/>
                <w:i/>
                <w:iCs/>
              </w:rPr>
            </w:pPr>
            <w:r w:rsidRPr="00BF6823">
              <w:rPr>
                <w:b/>
                <w:i/>
                <w:iCs/>
              </w:rPr>
              <w:t xml:space="preserve">Total of all annualized expenses </w:t>
            </w:r>
          </w:p>
        </w:tc>
        <w:tc>
          <w:tcPr>
            <w:tcW w:w="2520" w:type="dxa"/>
            <w:tcBorders>
              <w:top w:val="nil"/>
              <w:left w:val="nil"/>
              <w:bottom w:val="single" w:color="auto" w:sz="8" w:space="0"/>
              <w:right w:val="single" w:color="auto" w:sz="8" w:space="0"/>
            </w:tcBorders>
            <w:shd w:val="clear" w:color="auto" w:fill="D5DCE4" w:themeFill="text2" w:themeFillTint="33"/>
            <w:tcMar>
              <w:top w:w="0" w:type="dxa"/>
              <w:left w:w="115" w:type="dxa"/>
              <w:bottom w:w="0" w:type="dxa"/>
              <w:right w:w="115" w:type="dxa"/>
            </w:tcMar>
            <w:vAlign w:val="center"/>
            <w:hideMark/>
          </w:tcPr>
          <w:p w:rsidRPr="00BF6823" w:rsidR="00BC0BF9" w:rsidP="00A7739B" w:rsidRDefault="00BC0BF9" w14:paraId="6CE11408" w14:textId="77777777">
            <w:pPr>
              <w:spacing w:before="120"/>
              <w:rPr>
                <w:b/>
                <w:i/>
                <w:iCs/>
              </w:rPr>
            </w:pPr>
            <w:r w:rsidRPr="00BF6823">
              <w:rPr>
                <w:b/>
                <w:bCs/>
                <w:i/>
                <w:iCs/>
                <w:color w:val="000000"/>
              </w:rPr>
              <w:t>$46,238</w:t>
            </w:r>
          </w:p>
        </w:tc>
      </w:tr>
    </w:tbl>
    <w:p w:rsidR="00DC7101" w:rsidP="00BC0BF9" w:rsidRDefault="00DC7101" w14:paraId="1C04E3E9" w14:textId="77777777">
      <w:pPr>
        <w:pStyle w:val="Heading1"/>
        <w:numPr>
          <w:ilvl w:val="0"/>
          <w:numId w:val="0"/>
        </w:numPr>
        <w:spacing w:before="120" w:after="0"/>
        <w:rPr>
          <w:rFonts w:cs="Times New Roman"/>
          <w:szCs w:val="24"/>
        </w:rPr>
      </w:pPr>
      <w:bookmarkStart w:name="_Toc458693486" w:id="28"/>
    </w:p>
    <w:p w:rsidRPr="00BF6823" w:rsidR="00BC0BF9" w:rsidP="00BC0BF9" w:rsidRDefault="00BC0BF9" w14:paraId="1E65349A" w14:textId="38BF3FF1">
      <w:pPr>
        <w:pStyle w:val="Heading1"/>
        <w:numPr>
          <w:ilvl w:val="0"/>
          <w:numId w:val="0"/>
        </w:numPr>
        <w:spacing w:before="120" w:after="0"/>
        <w:rPr>
          <w:rFonts w:cs="Times New Roman"/>
          <w:szCs w:val="24"/>
        </w:rPr>
      </w:pPr>
      <w:r w:rsidRPr="00BF6823">
        <w:rPr>
          <w:rFonts w:cs="Times New Roman"/>
          <w:szCs w:val="24"/>
        </w:rPr>
        <w:t>A.15 Explanation for Program Changes or Adjustments</w:t>
      </w:r>
      <w:bookmarkEnd w:id="28"/>
    </w:p>
    <w:p w:rsidRPr="00BF6823" w:rsidR="00BC0BF9" w:rsidP="00BC0BF9" w:rsidRDefault="00BC0BF9" w14:paraId="2B9FBC95" w14:textId="77777777">
      <w:pPr>
        <w:spacing w:before="120"/>
        <w:ind w:firstLine="720"/>
      </w:pPr>
      <w:bookmarkStart w:name="_Toc227033756" w:id="29"/>
      <w:bookmarkStart w:name="_Toc322357326" w:id="30"/>
      <w:r w:rsidRPr="00BF6823">
        <w:t>This is a</w:t>
      </w:r>
      <w:r>
        <w:t xml:space="preserve">n extension of a previously approved OMB for new </w:t>
      </w:r>
      <w:r w:rsidRPr="00BF6823">
        <w:t>information</w:t>
      </w:r>
      <w:r>
        <w:t xml:space="preserve"> collection.</w:t>
      </w:r>
    </w:p>
    <w:p w:rsidRPr="00BF6823" w:rsidR="00BC0BF9" w:rsidP="00BC0BF9" w:rsidRDefault="00BC0BF9" w14:paraId="2A12624B" w14:textId="77777777">
      <w:pPr>
        <w:spacing w:before="120"/>
        <w:ind w:firstLine="720"/>
      </w:pPr>
    </w:p>
    <w:p w:rsidRPr="00BF6823" w:rsidR="00BC0BF9" w:rsidP="00BC0BF9" w:rsidRDefault="00BC0BF9" w14:paraId="1E5199A3" w14:textId="77777777">
      <w:pPr>
        <w:pStyle w:val="Heading1"/>
        <w:numPr>
          <w:ilvl w:val="0"/>
          <w:numId w:val="0"/>
        </w:numPr>
        <w:spacing w:before="120" w:after="0"/>
        <w:rPr>
          <w:rFonts w:cs="Times New Roman"/>
          <w:szCs w:val="24"/>
        </w:rPr>
      </w:pPr>
      <w:bookmarkStart w:name="_Toc458693487" w:id="31"/>
      <w:bookmarkEnd w:id="29"/>
      <w:bookmarkEnd w:id="30"/>
      <w:r w:rsidRPr="00BF6823">
        <w:rPr>
          <w:rFonts w:cs="Times New Roman"/>
          <w:szCs w:val="24"/>
        </w:rPr>
        <w:t>A.16 Plans for Tabulation and Publication and Project Time Schedule</w:t>
      </w:r>
      <w:bookmarkEnd w:id="31"/>
      <w:r w:rsidRPr="00BF6823">
        <w:rPr>
          <w:rFonts w:cs="Times New Roman"/>
          <w:szCs w:val="24"/>
        </w:rPr>
        <w:t xml:space="preserve">  </w:t>
      </w:r>
    </w:p>
    <w:p w:rsidRPr="00BF6823" w:rsidR="00BC0BF9" w:rsidP="00BC0BF9" w:rsidRDefault="00BC0BF9" w14:paraId="3B7FB325"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u w:val="single"/>
        </w:rPr>
      </w:pPr>
      <w:r w:rsidRPr="00BF6823">
        <w:rPr>
          <w:u w:val="single"/>
        </w:rPr>
        <w:t>Analysis Plan</w:t>
      </w:r>
    </w:p>
    <w:p w:rsidRPr="00BF6823" w:rsidR="00BC0BF9" w:rsidP="00BC0BF9" w:rsidRDefault="00BC0BF9" w14:paraId="2D085D5F"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u w:val="single"/>
        </w:rPr>
      </w:pPr>
      <w:r w:rsidRPr="00BF6823">
        <w:tab/>
        <w:t xml:space="preserve">Quantitative data will be analyzed using both descriptive and inferential statistics.  Data reduction techniques/factor analyses and item correlation analyses will be used to develop scales as needed. Bivariate analyses will be used to assess associations and changes; linear or logistic regression will be used to examine predictors of outcomes of interest (such as successful partnerships), and multi-level data analyses will be performed as appropriate. Qualitative data </w:t>
      </w:r>
      <w:r w:rsidRPr="00BF6823">
        <w:lastRenderedPageBreak/>
        <w:t>analysis will be performed on notes or transcripts of interviews or focus groups to identify themes and commonalities across using inductive or grounded analysis or matrix analysis to develop reports, typologies, taxonomies, and/or frequency matrices. Individual data collections will vary in their analytic methods and proposed analysis plans will be submitted for each individual data collection activity.</w:t>
      </w:r>
    </w:p>
    <w:p w:rsidRPr="00BF6823" w:rsidR="00BC0BF9" w:rsidP="00BC0BF9" w:rsidRDefault="00BC0BF9" w14:paraId="34F2D191"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p w:rsidRPr="00BF6823" w:rsidR="00BC0BF9" w:rsidP="00BC0BF9" w:rsidRDefault="00BC0BF9" w14:paraId="625E6929"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u w:val="single"/>
        </w:rPr>
      </w:pPr>
      <w:r w:rsidRPr="00BF6823">
        <w:rPr>
          <w:u w:val="single"/>
        </w:rPr>
        <w:t>Project Time Schedule</w:t>
      </w:r>
    </w:p>
    <w:p w:rsidRPr="00BF6823" w:rsidR="00BC0BF9" w:rsidP="00BC0BF9" w:rsidRDefault="00BC0BF9" w14:paraId="5AF540A8"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BF6823">
        <w:tab/>
        <w:t>Individual data collections under this generic approval may occur once or at multiple times for purposes of follow-up assessment. Proposed timelines will be submitted for each individual data collection activity.</w:t>
      </w:r>
    </w:p>
    <w:p w:rsidRPr="00BF6823" w:rsidR="00BC0BF9" w:rsidP="00BC0BF9" w:rsidRDefault="00BC0BF9" w14:paraId="0DBE430D" w14:textId="77777777">
      <w:pPr>
        <w:spacing w:before="120"/>
        <w:ind w:firstLine="720"/>
        <w:rPr>
          <w:rFonts w:eastAsia="Calibri"/>
        </w:rPr>
      </w:pPr>
    </w:p>
    <w:p w:rsidRPr="00BF6823" w:rsidR="00BC0BF9" w:rsidP="00BC0BF9" w:rsidRDefault="00BC0BF9" w14:paraId="571F1147" w14:textId="77777777">
      <w:pPr>
        <w:pStyle w:val="Heading1"/>
        <w:numPr>
          <w:ilvl w:val="0"/>
          <w:numId w:val="0"/>
        </w:numPr>
        <w:spacing w:before="120" w:after="0"/>
        <w:ind w:left="360"/>
        <w:rPr>
          <w:rFonts w:cs="Times New Roman"/>
          <w:szCs w:val="24"/>
        </w:rPr>
      </w:pPr>
      <w:bookmarkStart w:name="_Toc458693488" w:id="32"/>
      <w:r w:rsidRPr="00BF6823">
        <w:rPr>
          <w:rFonts w:cs="Times New Roman"/>
          <w:szCs w:val="24"/>
        </w:rPr>
        <w:t>A.17 Reason(s) Display of OMB Expiration Date is Inappropriate</w:t>
      </w:r>
      <w:bookmarkEnd w:id="32"/>
      <w:r w:rsidRPr="00BF6823">
        <w:rPr>
          <w:rFonts w:cs="Times New Roman"/>
          <w:szCs w:val="24"/>
        </w:rPr>
        <w:t xml:space="preserve">  </w:t>
      </w:r>
    </w:p>
    <w:p w:rsidRPr="00BF6823" w:rsidR="00BC0BF9" w:rsidP="00BC0BF9" w:rsidRDefault="00BC0BF9" w14:paraId="5DE6BC8A" w14:textId="77777777">
      <w:pPr>
        <w:spacing w:before="120"/>
      </w:pPr>
      <w:r w:rsidRPr="00BF6823">
        <w:t xml:space="preserve">The display of the OMB expiration date is not inappropriate. All data collection instruments will display the expiration date for OMB approval of the information collection. </w:t>
      </w:r>
    </w:p>
    <w:p w:rsidRPr="00BF6823" w:rsidR="00BC0BF9" w:rsidP="00BC0BF9" w:rsidRDefault="00BC0BF9" w14:paraId="77DBDB9D" w14:textId="77777777">
      <w:pPr>
        <w:spacing w:before="120"/>
      </w:pPr>
    </w:p>
    <w:p w:rsidRPr="00BF6823" w:rsidR="00BC0BF9" w:rsidP="00BC0BF9" w:rsidRDefault="00BC0BF9" w14:paraId="4884FBF0" w14:textId="77777777">
      <w:pPr>
        <w:pStyle w:val="Heading1"/>
        <w:numPr>
          <w:ilvl w:val="0"/>
          <w:numId w:val="27"/>
        </w:numPr>
        <w:spacing w:before="120" w:after="0"/>
        <w:rPr>
          <w:rFonts w:cs="Times New Roman"/>
          <w:szCs w:val="24"/>
        </w:rPr>
      </w:pPr>
      <w:bookmarkStart w:name="_Toc458693489" w:id="33"/>
      <w:r w:rsidRPr="00BF6823">
        <w:rPr>
          <w:rFonts w:cs="Times New Roman"/>
          <w:szCs w:val="24"/>
        </w:rPr>
        <w:t>18 Exceptions to Certification for Paperwork Reduction Act Submissions</w:t>
      </w:r>
      <w:bookmarkEnd w:id="33"/>
      <w:r w:rsidRPr="00BF6823">
        <w:rPr>
          <w:rFonts w:cs="Times New Roman"/>
          <w:szCs w:val="24"/>
        </w:rPr>
        <w:t xml:space="preserve">  </w:t>
      </w:r>
    </w:p>
    <w:p w:rsidRPr="00BF6823" w:rsidR="00BC0BF9" w:rsidP="00BC0BF9" w:rsidRDefault="00BC0BF9" w14:paraId="30C2013A" w14:textId="77777777">
      <w:pPr>
        <w:widowControl/>
        <w:autoSpaceDE/>
        <w:autoSpaceDN/>
        <w:adjustRightInd/>
        <w:spacing w:before="120"/>
      </w:pPr>
      <w:r w:rsidRPr="00BF6823">
        <w:t>There are no exceptions to the certification.  These activities comply with the requirements in 5 CFR 1320.9.</w:t>
      </w:r>
      <w:r w:rsidRPr="00BF6823">
        <w:br w:type="page"/>
      </w:r>
    </w:p>
    <w:p w:rsidRPr="00BF6823" w:rsidR="00BC0BF9" w:rsidP="00BC0BF9" w:rsidRDefault="00BC0BF9" w14:paraId="1DB5DC26" w14:textId="77777777">
      <w:pPr>
        <w:spacing w:before="120"/>
        <w:rPr>
          <w:b/>
        </w:rPr>
      </w:pPr>
      <w:r w:rsidRPr="00BF6823">
        <w:rPr>
          <w:b/>
        </w:rPr>
        <w:lastRenderedPageBreak/>
        <w:t>References</w:t>
      </w:r>
    </w:p>
    <w:p w:rsidRPr="00BF6823" w:rsidR="00BC0BF9" w:rsidP="00BC0BF9" w:rsidRDefault="00BC0BF9" w14:paraId="64CB5B9E" w14:textId="77777777">
      <w:pPr>
        <w:pStyle w:val="Default"/>
        <w:spacing w:before="120" w:line="276" w:lineRule="auto"/>
        <w:ind w:left="360" w:hanging="360"/>
        <w:rPr>
          <w:rFonts w:ascii="Times New Roman" w:hAnsi="Times New Roman" w:eastAsia="Calibri" w:cs="Times New Roman"/>
        </w:rPr>
      </w:pPr>
    </w:p>
    <w:p w:rsidRPr="00BF6823" w:rsidR="00BC0BF9" w:rsidP="00BC0BF9" w:rsidRDefault="00BC0BF9" w14:paraId="6886B6FB" w14:textId="77777777">
      <w:pPr>
        <w:widowControl/>
        <w:rPr>
          <w:rFonts w:eastAsia="Calibri"/>
        </w:rPr>
      </w:pPr>
      <w:r w:rsidRPr="00BF6823">
        <w:rPr>
          <w:rFonts w:eastAsia="Calibri"/>
        </w:rPr>
        <w:t xml:space="preserve">[1] McNeely, C. and Blanchard, J. (2009) </w:t>
      </w:r>
      <w:r w:rsidRPr="00BF6823">
        <w:rPr>
          <w:rFonts w:eastAsia="Calibri"/>
          <w:i/>
        </w:rPr>
        <w:t>The Teen Years Explained: A Guide to Healthy Adolescent Development</w:t>
      </w:r>
      <w:r w:rsidRPr="00BF6823">
        <w:rPr>
          <w:rFonts w:eastAsia="Calibri"/>
        </w:rPr>
        <w:t>. Center for Adolescent Health at Johns Hopkins Bloomberg School of Public Health: Baltimore, MD.</w:t>
      </w:r>
    </w:p>
    <w:p w:rsidRPr="00BF6823" w:rsidR="00BC0BF9" w:rsidP="00BC0BF9" w:rsidRDefault="00BC0BF9" w14:paraId="13269B52" w14:textId="77777777">
      <w:pPr>
        <w:widowControl/>
        <w:rPr>
          <w:rFonts w:eastAsia="Calibri"/>
        </w:rPr>
      </w:pPr>
    </w:p>
    <w:p w:rsidRPr="00BF6823" w:rsidR="00BC0BF9" w:rsidP="00BC0BF9" w:rsidRDefault="00BC0BF9" w14:paraId="4B214DFD" w14:textId="77777777">
      <w:pPr>
        <w:pStyle w:val="Default"/>
        <w:spacing w:line="276" w:lineRule="auto"/>
        <w:rPr>
          <w:rFonts w:ascii="Times New Roman" w:hAnsi="Times New Roman" w:eastAsia="Calibri" w:cs="Times New Roman"/>
        </w:rPr>
      </w:pPr>
      <w:r w:rsidRPr="00BF6823">
        <w:rPr>
          <w:rFonts w:ascii="Times New Roman" w:hAnsi="Times New Roman" w:eastAsia="Calibri" w:cs="Times New Roman"/>
        </w:rPr>
        <w:t xml:space="preserve">[2] Blum, RW, Bastos F, Kabiru, CW, and Le, LC. (April-May, 2012. Adolescent health in the 21st century. </w:t>
      </w:r>
      <w:r w:rsidRPr="00BF6823">
        <w:rPr>
          <w:rFonts w:ascii="Times New Roman" w:hAnsi="Times New Roman" w:eastAsia="Calibri" w:cs="Times New Roman"/>
          <w:i/>
        </w:rPr>
        <w:t>The Lancet;</w:t>
      </w:r>
      <w:r w:rsidRPr="00BF6823">
        <w:rPr>
          <w:rFonts w:ascii="Times New Roman" w:hAnsi="Times New Roman" w:eastAsia="Calibri" w:cs="Times New Roman"/>
        </w:rPr>
        <w:t xml:space="preserve"> 379 (9826):1567-1568.</w:t>
      </w:r>
    </w:p>
    <w:p w:rsidRPr="00BF6823" w:rsidR="00BC0BF9" w:rsidP="00BC0BF9" w:rsidRDefault="00BC0BF9" w14:paraId="57B9BB66" w14:textId="77777777">
      <w:pPr>
        <w:pStyle w:val="Default"/>
        <w:spacing w:line="276" w:lineRule="auto"/>
        <w:rPr>
          <w:rFonts w:ascii="Times New Roman" w:hAnsi="Times New Roman" w:eastAsia="Calibri" w:cs="Times New Roman"/>
        </w:rPr>
      </w:pPr>
    </w:p>
    <w:p w:rsidRPr="00BF6823" w:rsidR="00BC0BF9" w:rsidP="00BC0BF9" w:rsidRDefault="00BC0BF9" w14:paraId="0B5725C1" w14:textId="77777777">
      <w:pPr>
        <w:pStyle w:val="Default"/>
        <w:spacing w:line="276" w:lineRule="auto"/>
        <w:rPr>
          <w:rFonts w:ascii="Times New Roman" w:hAnsi="Times New Roman" w:eastAsia="Calibri" w:cs="Times New Roman"/>
        </w:rPr>
      </w:pPr>
      <w:r w:rsidRPr="00BF6823">
        <w:rPr>
          <w:rFonts w:ascii="Times New Roman" w:hAnsi="Times New Roman" w:eastAsia="Calibri" w:cs="Times New Roman"/>
        </w:rPr>
        <w:t>[3] Ralph, LJ and Brindis, CD. (2010) Access to reproductive healthcare for adolescents: establishing healthy behaviors at a critical juncture in the life course</w:t>
      </w:r>
      <w:r w:rsidRPr="00BF6823">
        <w:rPr>
          <w:rFonts w:ascii="Times New Roman" w:hAnsi="Times New Roman" w:eastAsia="Calibri" w:cs="Times New Roman"/>
          <w:i/>
        </w:rPr>
        <w:t>.</w:t>
      </w:r>
      <w:r w:rsidRPr="00BF6823">
        <w:rPr>
          <w:i/>
        </w:rPr>
        <w:t xml:space="preserve"> </w:t>
      </w:r>
      <w:r w:rsidRPr="00BF6823">
        <w:rPr>
          <w:rFonts w:ascii="Times New Roman" w:hAnsi="Times New Roman" w:eastAsia="Calibri" w:cs="Times New Roman"/>
          <w:i/>
        </w:rPr>
        <w:t>Current Opinion in Obstetrics and Gynecology</w:t>
      </w:r>
      <w:r w:rsidRPr="00BF6823">
        <w:rPr>
          <w:rFonts w:ascii="Times New Roman" w:hAnsi="Times New Roman" w:eastAsia="Calibri" w:cs="Times New Roman"/>
        </w:rPr>
        <w:t>; 22:369–374</w:t>
      </w:r>
    </w:p>
    <w:p w:rsidRPr="00BF6823" w:rsidR="00BC0BF9" w:rsidP="00BC0BF9" w:rsidRDefault="00BC0BF9" w14:paraId="29500D98" w14:textId="77777777">
      <w:pPr>
        <w:pStyle w:val="Default"/>
        <w:spacing w:line="276" w:lineRule="auto"/>
        <w:rPr>
          <w:rFonts w:ascii="Times New Roman" w:hAnsi="Times New Roman" w:eastAsia="Calibri" w:cs="Times New Roman"/>
        </w:rPr>
      </w:pPr>
    </w:p>
    <w:p w:rsidRPr="00BF6823" w:rsidR="00BC0BF9" w:rsidP="00BC0BF9" w:rsidRDefault="00BC0BF9" w14:paraId="7F2647B2" w14:textId="77777777">
      <w:pPr>
        <w:pStyle w:val="Default"/>
        <w:spacing w:line="276" w:lineRule="auto"/>
        <w:rPr>
          <w:rFonts w:ascii="Times New Roman" w:hAnsi="Times New Roman" w:eastAsia="Calibri" w:cs="Times New Roman"/>
        </w:rPr>
      </w:pPr>
      <w:r w:rsidRPr="00BF6823">
        <w:rPr>
          <w:rFonts w:ascii="Times New Roman" w:hAnsi="Times New Roman" w:eastAsia="Calibri" w:cs="Times New Roman"/>
        </w:rPr>
        <w:t xml:space="preserve">[4] Centers for Disease Control and Prevention. (April 2, 2015) </w:t>
      </w:r>
      <w:r w:rsidRPr="00BF6823">
        <w:rPr>
          <w:rFonts w:ascii="Arial" w:hAnsi="Arial" w:eastAsia="Calibri" w:cs="Arial"/>
        </w:rPr>
        <w:t xml:space="preserve"> </w:t>
      </w:r>
      <w:r w:rsidRPr="00BF6823">
        <w:rPr>
          <w:rFonts w:ascii="Times New Roman" w:hAnsi="Times New Roman" w:eastAsia="Calibri" w:cs="Times New Roman"/>
        </w:rPr>
        <w:t xml:space="preserve">Clearance of CDC/ATSDR Guidelines and Recommendations. Retrieved June 11, 2015, from </w:t>
      </w:r>
      <w:hyperlink w:history="1" r:id="rId9">
        <w:r w:rsidRPr="00BF6823">
          <w:rPr>
            <w:rStyle w:val="Hyperlink"/>
            <w:rFonts w:ascii="Times New Roman" w:hAnsi="Times New Roman" w:eastAsia="Calibri" w:cs="Times New Roman"/>
          </w:rPr>
          <w:t>http://intranet.cdc.gov/od/oads/osq/guide_rec/pdf/G_R_CLEARANCE_Version_4_Final.pdf</w:t>
        </w:r>
      </w:hyperlink>
    </w:p>
    <w:p w:rsidRPr="00BF6823" w:rsidR="00BC0BF9" w:rsidP="00BC0BF9" w:rsidRDefault="00BC0BF9" w14:paraId="7A9982CD" w14:textId="77777777">
      <w:pPr>
        <w:pStyle w:val="Default"/>
        <w:spacing w:line="276" w:lineRule="auto"/>
        <w:rPr>
          <w:rFonts w:ascii="Times New Roman" w:hAnsi="Times New Roman" w:eastAsia="Calibri" w:cs="Times New Roman"/>
        </w:rPr>
      </w:pPr>
    </w:p>
    <w:p w:rsidRPr="00BF6823" w:rsidR="00BC0BF9" w:rsidP="00BC0BF9" w:rsidRDefault="00BC0BF9" w14:paraId="6E3BFE83" w14:textId="77777777">
      <w:pPr>
        <w:pStyle w:val="Default"/>
        <w:spacing w:line="276" w:lineRule="auto"/>
        <w:rPr>
          <w:rFonts w:ascii="Times New Roman" w:hAnsi="Times New Roman" w:eastAsia="Calibri" w:cs="Times New Roman"/>
        </w:rPr>
      </w:pPr>
      <w:r w:rsidRPr="00BF6823">
        <w:rPr>
          <w:rFonts w:ascii="Times New Roman" w:hAnsi="Times New Roman" w:eastAsia="Calibri" w:cs="Times New Roman"/>
        </w:rPr>
        <w:t xml:space="preserve">[5] Centers for Disease Control and Prevention. (2009) Program Collaboration and Service Integration: Enhancing the Prevention and Control of HIV/AIDS, Viral Hepatitis, Sexually Transmitted Diseases, and Tuberculosis in the United States. Retrieved June 11, 2015 from </w:t>
      </w:r>
      <w:hyperlink w:history="1" r:id="rId10">
        <w:r w:rsidRPr="00BF6823">
          <w:rPr>
            <w:rStyle w:val="Hyperlink"/>
            <w:rFonts w:ascii="Times New Roman" w:hAnsi="Times New Roman" w:eastAsia="Calibri" w:cs="Times New Roman"/>
          </w:rPr>
          <w:t>http://www.cdc.gov/nchhstp/programintegration/docs/207181-C_NCHHSTP_PCSI%20WhitePaper-508c.pdf</w:t>
        </w:r>
      </w:hyperlink>
    </w:p>
    <w:p w:rsidRPr="00BF6823" w:rsidR="00BC0BF9" w:rsidP="00BC0BF9" w:rsidRDefault="00BC0BF9" w14:paraId="0E9FD42A" w14:textId="77777777">
      <w:pPr>
        <w:pStyle w:val="Default"/>
        <w:spacing w:line="276" w:lineRule="auto"/>
        <w:rPr>
          <w:rFonts w:ascii="Times New Roman" w:hAnsi="Times New Roman" w:eastAsia="Calibri" w:cs="Times New Roman"/>
        </w:rPr>
      </w:pPr>
    </w:p>
    <w:p w:rsidRPr="00BF6823" w:rsidR="00BC0BF9" w:rsidP="00BC0BF9" w:rsidRDefault="00BC0BF9" w14:paraId="249B0A61" w14:textId="77777777">
      <w:pPr>
        <w:pStyle w:val="Default"/>
        <w:spacing w:line="276" w:lineRule="auto"/>
        <w:rPr>
          <w:rFonts w:ascii="Times New Roman" w:hAnsi="Times New Roman" w:eastAsia="Calibri" w:cs="Times New Roman"/>
        </w:rPr>
      </w:pPr>
      <w:r w:rsidRPr="00BF6823">
        <w:rPr>
          <w:rFonts w:ascii="Times New Roman" w:hAnsi="Times New Roman" w:eastAsia="Calibri" w:cs="Times New Roman"/>
        </w:rPr>
        <w:t xml:space="preserve">[6] US Department of Health and Human Services. Healthy People 2020: 2020 Topics &amp; Objectives – Objectives A-Z. Retrieved June 11, 2015 from </w:t>
      </w:r>
      <w:hyperlink w:history="1" r:id="rId11">
        <w:r w:rsidRPr="00BF6823">
          <w:rPr>
            <w:rStyle w:val="Hyperlink"/>
            <w:rFonts w:ascii="Times New Roman" w:hAnsi="Times New Roman" w:eastAsia="Calibri" w:cs="Times New Roman"/>
          </w:rPr>
          <w:t>http://www.healthypeople.gov/2020/topicsobjectives2020/default</w:t>
        </w:r>
      </w:hyperlink>
    </w:p>
    <w:p w:rsidRPr="00BF6823" w:rsidR="00BC0BF9" w:rsidP="00BC0BF9" w:rsidRDefault="00BC0BF9" w14:paraId="6AE9EAC6" w14:textId="77777777">
      <w:pPr>
        <w:pStyle w:val="Default"/>
        <w:spacing w:line="276" w:lineRule="auto"/>
        <w:rPr>
          <w:rFonts w:ascii="Times New Roman" w:hAnsi="Times New Roman" w:eastAsia="Calibri" w:cs="Times New Roman"/>
        </w:rPr>
      </w:pPr>
    </w:p>
    <w:p w:rsidRPr="00BF6823" w:rsidR="00BC0BF9" w:rsidP="00BC0BF9" w:rsidRDefault="00BC0BF9" w14:paraId="2AE0AF55" w14:textId="77777777">
      <w:pPr>
        <w:pStyle w:val="Default"/>
        <w:spacing w:line="276" w:lineRule="auto"/>
        <w:rPr>
          <w:rFonts w:ascii="Times New Roman" w:hAnsi="Times New Roman" w:eastAsia="Calibri" w:cs="Times New Roman"/>
        </w:rPr>
      </w:pPr>
      <w:r w:rsidRPr="00BF6823">
        <w:rPr>
          <w:rFonts w:ascii="Times New Roman" w:hAnsi="Times New Roman" w:eastAsia="Calibri" w:cs="Times New Roman"/>
        </w:rPr>
        <w:t xml:space="preserve">[7] White House Office of National AIDS Policy. (2010) National HIV/AIDS Policy for the United States. Retrieved June 11, 2015 from </w:t>
      </w:r>
      <w:hyperlink w:history="1" r:id="rId12">
        <w:r w:rsidRPr="00BF6823">
          <w:rPr>
            <w:rStyle w:val="Hyperlink"/>
            <w:rFonts w:ascii="Times New Roman" w:hAnsi="Times New Roman" w:eastAsia="Calibri" w:cs="Times New Roman"/>
          </w:rPr>
          <w:t>https://aids.gov/federal-resources/national-hiv-aids-strategy/nhas.pdf</w:t>
        </w:r>
      </w:hyperlink>
      <w:r w:rsidRPr="00BF6823">
        <w:rPr>
          <w:rFonts w:ascii="Times New Roman" w:hAnsi="Times New Roman" w:eastAsia="Calibri" w:cs="Times New Roman"/>
        </w:rPr>
        <w:t>.</w:t>
      </w:r>
    </w:p>
    <w:p w:rsidRPr="00BF6823" w:rsidR="00BC0BF9" w:rsidP="00BC0BF9" w:rsidRDefault="00BC0BF9" w14:paraId="08B31E08" w14:textId="77777777">
      <w:pPr>
        <w:pStyle w:val="Default"/>
        <w:spacing w:line="276" w:lineRule="auto"/>
        <w:rPr>
          <w:rFonts w:ascii="Times New Roman" w:hAnsi="Times New Roman" w:eastAsia="Calibri" w:cs="Times New Roman"/>
        </w:rPr>
      </w:pPr>
    </w:p>
    <w:p w:rsidRPr="00BF6823" w:rsidR="00BC0BF9" w:rsidP="00BC0BF9" w:rsidRDefault="00BC0BF9" w14:paraId="5A93DDB0" w14:textId="77777777">
      <w:pPr>
        <w:pStyle w:val="Default"/>
        <w:spacing w:line="276" w:lineRule="auto"/>
        <w:rPr>
          <w:rFonts w:ascii="Times New Roman" w:hAnsi="Times New Roman" w:eastAsia="Calibri" w:cs="Times New Roman"/>
        </w:rPr>
      </w:pPr>
      <w:r w:rsidRPr="00BF6823">
        <w:rPr>
          <w:rFonts w:ascii="Times New Roman" w:hAnsi="Times New Roman" w:eastAsia="Calibri" w:cs="Times New Roman"/>
        </w:rPr>
        <w:t xml:space="preserve">[8] Centers for Disease Control and Prevention. (2015) Winnable Battles. Retrieved June 11, 2015 from </w:t>
      </w:r>
      <w:hyperlink w:history="1" r:id="rId13">
        <w:r w:rsidRPr="00BF6823">
          <w:rPr>
            <w:rStyle w:val="Hyperlink"/>
            <w:rFonts w:ascii="Times New Roman" w:hAnsi="Times New Roman" w:eastAsia="Calibri" w:cs="Times New Roman"/>
          </w:rPr>
          <w:t>http://www.cdc.gov/winnablebattles/</w:t>
        </w:r>
      </w:hyperlink>
      <w:r w:rsidRPr="00BF6823">
        <w:rPr>
          <w:rFonts w:ascii="Times New Roman" w:hAnsi="Times New Roman" w:eastAsia="Calibri" w:cs="Times New Roman"/>
        </w:rPr>
        <w:t>.</w:t>
      </w:r>
    </w:p>
    <w:p w:rsidRPr="00BF6823" w:rsidR="00BC0BF9" w:rsidP="00BC0BF9" w:rsidRDefault="00BC0BF9" w14:paraId="75AC9F65" w14:textId="77777777">
      <w:pPr>
        <w:pStyle w:val="Default"/>
        <w:spacing w:line="276" w:lineRule="auto"/>
        <w:rPr>
          <w:rFonts w:ascii="Times New Roman" w:hAnsi="Times New Roman" w:eastAsia="Calibri" w:cs="Times New Roman"/>
        </w:rPr>
      </w:pPr>
    </w:p>
    <w:p w:rsidRPr="00BF6823" w:rsidR="00BC0BF9" w:rsidP="00BC0BF9" w:rsidRDefault="00BC0BF9" w14:paraId="7A6BEC8F" w14:textId="77777777">
      <w:pPr>
        <w:pStyle w:val="Default"/>
        <w:spacing w:line="276" w:lineRule="auto"/>
        <w:rPr>
          <w:color w:val="000000" w:themeColor="text1"/>
        </w:rPr>
      </w:pPr>
      <w:r w:rsidRPr="00BF6823">
        <w:rPr>
          <w:rFonts w:ascii="Times New Roman" w:hAnsi="Times New Roman" w:eastAsia="Calibri" w:cs="Times New Roman"/>
        </w:rPr>
        <w:t xml:space="preserve">[9] </w:t>
      </w:r>
      <w:r w:rsidRPr="00BF6823">
        <w:rPr>
          <w:color w:val="000000" w:themeColor="text1"/>
        </w:rPr>
        <w:t xml:space="preserve">Dillman, DA. </w:t>
      </w:r>
      <w:r w:rsidRPr="00BF6823">
        <w:rPr>
          <w:i/>
          <w:color w:val="000000" w:themeColor="text1"/>
        </w:rPr>
        <w:t xml:space="preserve">Mail and Internet Surveys: The Tailored Design Method </w:t>
      </w:r>
      <w:r w:rsidRPr="00BF6823">
        <w:rPr>
          <w:color w:val="000000" w:themeColor="text1"/>
        </w:rPr>
        <w:t>2</w:t>
      </w:r>
      <w:r w:rsidRPr="00BF6823">
        <w:rPr>
          <w:color w:val="000000" w:themeColor="text1"/>
          <w:vertAlign w:val="superscript"/>
        </w:rPr>
        <w:t>nd</w:t>
      </w:r>
      <w:r w:rsidRPr="00BF6823">
        <w:rPr>
          <w:color w:val="000000" w:themeColor="text1"/>
        </w:rPr>
        <w:t xml:space="preserve"> ed. Hoboken, NJ: Wiley; 2007.</w:t>
      </w:r>
    </w:p>
    <w:p w:rsidRPr="00BF6823" w:rsidR="00BC0BF9" w:rsidP="00BC0BF9" w:rsidRDefault="00BC0BF9" w14:paraId="195F285B" w14:textId="77777777">
      <w:pPr>
        <w:pStyle w:val="Default"/>
        <w:spacing w:line="276" w:lineRule="auto"/>
        <w:rPr>
          <w:color w:val="000000" w:themeColor="text1"/>
        </w:rPr>
      </w:pPr>
    </w:p>
    <w:p w:rsidRPr="00BF6823" w:rsidR="00BC0BF9" w:rsidP="00BC0BF9" w:rsidRDefault="00BC0BF9" w14:paraId="729BEF04" w14:textId="77777777">
      <w:pPr>
        <w:pStyle w:val="Default"/>
        <w:spacing w:line="276" w:lineRule="auto"/>
        <w:rPr>
          <w:color w:val="000000" w:themeColor="text1"/>
        </w:rPr>
      </w:pPr>
      <w:r w:rsidRPr="00BF6823">
        <w:rPr>
          <w:color w:val="000000" w:themeColor="text1"/>
        </w:rPr>
        <w:t xml:space="preserve">[10] Edwards PH, Roberts I, Clarke MJ, DiGuiseppi C, Wentz R, Kwan I, Cooper R, Felix LM, Pratap S. Methods to increase response to postal and electronic questionnaires (Review). (2009) The Cochrane Library, Issue 3. </w:t>
      </w:r>
    </w:p>
    <w:p w:rsidRPr="00BF6823" w:rsidR="00BC0BF9" w:rsidP="00BC0BF9" w:rsidRDefault="00BC0BF9" w14:paraId="632D62FD" w14:textId="77777777">
      <w:pPr>
        <w:pStyle w:val="Default"/>
        <w:spacing w:line="276" w:lineRule="auto"/>
        <w:rPr>
          <w:color w:val="000000" w:themeColor="text1"/>
        </w:rPr>
      </w:pPr>
    </w:p>
    <w:p w:rsidRPr="00BF6823" w:rsidR="00BC0BF9" w:rsidP="00BC0BF9" w:rsidRDefault="00BC0BF9" w14:paraId="5F3B6B89" w14:textId="77777777">
      <w:pPr>
        <w:pStyle w:val="Default"/>
        <w:spacing w:line="276" w:lineRule="auto"/>
        <w:rPr>
          <w:color w:val="000000" w:themeColor="text1"/>
        </w:rPr>
      </w:pPr>
      <w:r w:rsidRPr="00BF6823">
        <w:rPr>
          <w:color w:val="000000" w:themeColor="text1"/>
        </w:rPr>
        <w:t xml:space="preserve">[11] University of Wisconsin, Extension. Response Rates in Surveys. 2009. Retrieved October 233, 2015, from: </w:t>
      </w:r>
      <w:hyperlink w:history="1" r:id="rId14">
        <w:r w:rsidRPr="00BF6823">
          <w:rPr>
            <w:rStyle w:val="Hyperlink"/>
          </w:rPr>
          <w:t>http://www.uwex.edu/ces/pdande/evaluation/</w:t>
        </w:r>
      </w:hyperlink>
    </w:p>
    <w:p w:rsidRPr="00BF6823" w:rsidR="00BC0BF9" w:rsidP="00BC0BF9" w:rsidRDefault="00BC0BF9" w14:paraId="059948A1" w14:textId="77777777">
      <w:pPr>
        <w:pStyle w:val="Default"/>
        <w:spacing w:line="276" w:lineRule="auto"/>
        <w:rPr>
          <w:color w:val="000000" w:themeColor="text1"/>
        </w:rPr>
      </w:pPr>
    </w:p>
    <w:p w:rsidR="00BC0BF9" w:rsidP="00BC0BF9" w:rsidRDefault="00BC0BF9" w14:paraId="64840481" w14:textId="77777777">
      <w:pPr>
        <w:pStyle w:val="Default"/>
        <w:spacing w:line="276" w:lineRule="auto"/>
        <w:rPr>
          <w:rFonts w:ascii="Times New Roman" w:hAnsi="Times New Roman" w:eastAsia="Calibri" w:cs="Times New Roman"/>
        </w:rPr>
      </w:pPr>
      <w:r w:rsidRPr="00BF6823">
        <w:rPr>
          <w:color w:val="000000" w:themeColor="text1"/>
        </w:rPr>
        <w:t>[12] Singer E. Presentation to the National Science Foundation, Washington DC, October 3-4, 2012.</w:t>
      </w:r>
    </w:p>
    <w:p w:rsidR="00BC0BF9" w:rsidP="00BC0BF9" w:rsidRDefault="00BC0BF9" w14:paraId="37ADB5A9" w14:textId="77777777">
      <w:pPr>
        <w:pStyle w:val="Default"/>
        <w:spacing w:line="276" w:lineRule="auto"/>
        <w:rPr>
          <w:rFonts w:ascii="Times New Roman" w:hAnsi="Times New Roman" w:eastAsia="Calibri" w:cs="Times New Roman"/>
        </w:rPr>
      </w:pPr>
    </w:p>
    <w:p w:rsidRPr="00640FEB" w:rsidR="00BC0BF9" w:rsidP="00BC0BF9" w:rsidRDefault="00BC0BF9" w14:paraId="1E1EE458" w14:textId="77777777">
      <w:pPr>
        <w:pStyle w:val="Default"/>
        <w:spacing w:line="276" w:lineRule="auto"/>
        <w:rPr>
          <w:rFonts w:ascii="Times New Roman" w:hAnsi="Times New Roman" w:eastAsia="Calibri" w:cs="Times New Roman"/>
        </w:rPr>
      </w:pPr>
    </w:p>
    <w:p w:rsidR="00DD1828" w:rsidRDefault="00DD1828" w14:paraId="4F9C623C" w14:textId="77777777"/>
    <w:sectPr w:rsidR="00DD1828" w:rsidSect="006C753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EA31B" w14:textId="77777777" w:rsidR="00512C2C" w:rsidRDefault="00512C2C" w:rsidP="00BC0BF9">
      <w:pPr>
        <w:spacing w:line="240" w:lineRule="auto"/>
      </w:pPr>
      <w:r>
        <w:separator/>
      </w:r>
    </w:p>
  </w:endnote>
  <w:endnote w:type="continuationSeparator" w:id="0">
    <w:p w14:paraId="0D5CD27C" w14:textId="77777777" w:rsidR="00512C2C" w:rsidRDefault="00512C2C" w:rsidP="00BC0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Zapf Calligraphic 80 1 B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F8C25" w14:textId="77777777" w:rsidR="000818D6" w:rsidRDefault="00081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C10C9" w14:textId="212B5D67" w:rsidR="000265C4" w:rsidRDefault="000818D6">
    <w:pPr>
      <w:pStyle w:val="Footer"/>
      <w:jc w:val="center"/>
    </w:pPr>
    <w:sdt>
      <w:sdtPr>
        <w:id w:val="1624346602"/>
        <w:docPartObj>
          <w:docPartGallery w:val="Page Numbers (Bottom of Page)"/>
          <w:docPartUnique/>
        </w:docPartObj>
      </w:sdtPr>
      <w:sdtEndPr>
        <w:rPr>
          <w:noProof/>
        </w:rPr>
      </w:sdtEndPr>
      <w:sdtContent>
        <w:r w:rsidR="00062CB8">
          <w:fldChar w:fldCharType="begin"/>
        </w:r>
        <w:r w:rsidR="00062CB8">
          <w:instrText xml:space="preserve"> PAGE   \* MERGEFORMAT </w:instrText>
        </w:r>
        <w:r w:rsidR="00062CB8">
          <w:fldChar w:fldCharType="separate"/>
        </w:r>
        <w:r w:rsidR="00062CB8">
          <w:rPr>
            <w:noProof/>
          </w:rPr>
          <w:t>6</w:t>
        </w:r>
        <w:r w:rsidR="00062CB8">
          <w:rPr>
            <w:noProof/>
          </w:rPr>
          <w:fldChar w:fldCharType="end"/>
        </w:r>
      </w:sdtContent>
    </w:sdt>
  </w:p>
  <w:p w14:paraId="623CC7E2" w14:textId="77777777" w:rsidR="000265C4" w:rsidRDefault="000818D6" w:rsidP="00036B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9889B" w14:textId="77777777" w:rsidR="000818D6" w:rsidRDefault="0008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7215C" w14:textId="77777777" w:rsidR="00512C2C" w:rsidRDefault="00512C2C" w:rsidP="00BC0BF9">
      <w:pPr>
        <w:spacing w:line="240" w:lineRule="auto"/>
      </w:pPr>
      <w:r>
        <w:separator/>
      </w:r>
    </w:p>
  </w:footnote>
  <w:footnote w:type="continuationSeparator" w:id="0">
    <w:p w14:paraId="572532F5" w14:textId="77777777" w:rsidR="00512C2C" w:rsidRDefault="00512C2C" w:rsidP="00BC0B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AB3DD" w14:textId="77777777" w:rsidR="000818D6" w:rsidRDefault="00081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9D086" w14:textId="77777777" w:rsidR="000818D6" w:rsidRDefault="00081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3062" w14:textId="77777777" w:rsidR="000818D6" w:rsidRDefault="00081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E6ED3"/>
    <w:multiLevelType w:val="hybridMultilevel"/>
    <w:tmpl w:val="C460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76764"/>
    <w:multiLevelType w:val="hybridMultilevel"/>
    <w:tmpl w:val="5BB6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62A57"/>
    <w:multiLevelType w:val="hybridMultilevel"/>
    <w:tmpl w:val="30CA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95341B"/>
    <w:multiLevelType w:val="hybridMultilevel"/>
    <w:tmpl w:val="3738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F32B7"/>
    <w:multiLevelType w:val="hybridMultilevel"/>
    <w:tmpl w:val="4AF29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A5211"/>
    <w:multiLevelType w:val="hybridMultilevel"/>
    <w:tmpl w:val="C45CB2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55FDC"/>
    <w:multiLevelType w:val="hybridMultilevel"/>
    <w:tmpl w:val="8988A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A34A26"/>
    <w:multiLevelType w:val="hybridMultilevel"/>
    <w:tmpl w:val="13B2EEB0"/>
    <w:lvl w:ilvl="0" w:tplc="834C6C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6" w15:restartNumberingAfterBreak="0">
    <w:nsid w:val="411F7452"/>
    <w:multiLevelType w:val="hybridMultilevel"/>
    <w:tmpl w:val="977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D4AB4"/>
    <w:multiLevelType w:val="hybridMultilevel"/>
    <w:tmpl w:val="6610F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20" w15:restartNumberingAfterBreak="0">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42C84"/>
    <w:multiLevelType w:val="hybridMultilevel"/>
    <w:tmpl w:val="313AD844"/>
    <w:lvl w:ilvl="0" w:tplc="AB7C3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1055AC"/>
    <w:multiLevelType w:val="hybridMultilevel"/>
    <w:tmpl w:val="C0087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129C6"/>
    <w:multiLevelType w:val="hybridMultilevel"/>
    <w:tmpl w:val="5F4EA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01B98"/>
    <w:multiLevelType w:val="hybridMultilevel"/>
    <w:tmpl w:val="B3E0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DB0242"/>
    <w:multiLevelType w:val="hybridMultilevel"/>
    <w:tmpl w:val="9B3C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96449EE"/>
    <w:multiLevelType w:val="hybridMultilevel"/>
    <w:tmpl w:val="6FD258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8D5587"/>
    <w:multiLevelType w:val="hybridMultilevel"/>
    <w:tmpl w:val="CFCED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17"/>
  </w:num>
  <w:num w:numId="5">
    <w:abstractNumId w:val="6"/>
  </w:num>
  <w:num w:numId="6">
    <w:abstractNumId w:val="15"/>
  </w:num>
  <w:num w:numId="7">
    <w:abstractNumId w:val="1"/>
  </w:num>
  <w:num w:numId="8">
    <w:abstractNumId w:val="4"/>
  </w:num>
  <w:num w:numId="9">
    <w:abstractNumId w:val="12"/>
  </w:num>
  <w:num w:numId="10">
    <w:abstractNumId w:val="25"/>
  </w:num>
  <w:num w:numId="11">
    <w:abstractNumId w:val="10"/>
  </w:num>
  <w:num w:numId="12">
    <w:abstractNumId w:val="22"/>
  </w:num>
  <w:num w:numId="13">
    <w:abstractNumId w:val="0"/>
  </w:num>
  <w:num w:numId="14">
    <w:abstractNumId w:val="30"/>
  </w:num>
  <w:num w:numId="15">
    <w:abstractNumId w:val="13"/>
  </w:num>
  <w:num w:numId="16">
    <w:abstractNumId w:val="23"/>
  </w:num>
  <w:num w:numId="17">
    <w:abstractNumId w:val="24"/>
  </w:num>
  <w:num w:numId="18">
    <w:abstractNumId w:val="28"/>
  </w:num>
  <w:num w:numId="19">
    <w:abstractNumId w:val="11"/>
  </w:num>
  <w:num w:numId="20">
    <w:abstractNumId w:val="16"/>
  </w:num>
  <w:num w:numId="21">
    <w:abstractNumId w:val="14"/>
  </w:num>
  <w:num w:numId="22">
    <w:abstractNumId w:val="9"/>
  </w:num>
  <w:num w:numId="23">
    <w:abstractNumId w:val="29"/>
  </w:num>
  <w:num w:numId="24">
    <w:abstractNumId w:val="8"/>
  </w:num>
  <w:num w:numId="25">
    <w:abstractNumId w:val="18"/>
  </w:num>
  <w:num w:numId="26">
    <w:abstractNumId w:val="2"/>
  </w:num>
  <w:num w:numId="27">
    <w:abstractNumId w:val="26"/>
  </w:num>
  <w:num w:numId="28">
    <w:abstractNumId w:val="7"/>
  </w:num>
  <w:num w:numId="29">
    <w:abstractNumId w:val="27"/>
  </w:num>
  <w:num w:numId="30">
    <w:abstractNumId w:val="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F9"/>
    <w:rsid w:val="00062CB8"/>
    <w:rsid w:val="000818D6"/>
    <w:rsid w:val="002755C6"/>
    <w:rsid w:val="00285B00"/>
    <w:rsid w:val="003147BB"/>
    <w:rsid w:val="00383B14"/>
    <w:rsid w:val="00486ED3"/>
    <w:rsid w:val="00512C2C"/>
    <w:rsid w:val="006D4615"/>
    <w:rsid w:val="007149BB"/>
    <w:rsid w:val="009326AD"/>
    <w:rsid w:val="00A10F61"/>
    <w:rsid w:val="00A321B6"/>
    <w:rsid w:val="00B0110D"/>
    <w:rsid w:val="00BC0BF9"/>
    <w:rsid w:val="00C66030"/>
    <w:rsid w:val="00D91B51"/>
    <w:rsid w:val="00DC7101"/>
    <w:rsid w:val="00DD18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7D9EC5"/>
  <w15:chartTrackingRefBased/>
  <w15:docId w15:val="{F5B55B9E-4620-4EAC-9DCA-1C1EFA10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BF9"/>
    <w:pPr>
      <w:widowControl w:val="0"/>
      <w:autoSpaceDE w:val="0"/>
      <w:autoSpaceDN w:val="0"/>
      <w:adjustRightInd w:val="0"/>
      <w:spacing w:after="0" w:line="276"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C0BF9"/>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BC0BF9"/>
    <w:pPr>
      <w:numPr>
        <w:numId w:val="2"/>
      </w:numPr>
      <w:outlineLvl w:val="1"/>
    </w:pPr>
    <w:rPr>
      <w:b w:val="0"/>
    </w:rPr>
  </w:style>
  <w:style w:type="paragraph" w:styleId="Heading3">
    <w:name w:val="heading 3"/>
    <w:basedOn w:val="Style11"/>
    <w:next w:val="Normal"/>
    <w:link w:val="Heading3Char"/>
    <w:uiPriority w:val="9"/>
    <w:unhideWhenUsed/>
    <w:qFormat/>
    <w:rsid w:val="00BC0BF9"/>
    <w:pPr>
      <w:outlineLvl w:val="2"/>
    </w:pPr>
  </w:style>
  <w:style w:type="paragraph" w:styleId="Heading6">
    <w:name w:val="heading 6"/>
    <w:basedOn w:val="Normal"/>
    <w:next w:val="Normal"/>
    <w:link w:val="Heading6Char"/>
    <w:uiPriority w:val="9"/>
    <w:semiHidden/>
    <w:unhideWhenUsed/>
    <w:qFormat/>
    <w:rsid w:val="00BC0BF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BF9"/>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BC0BF9"/>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BC0BF9"/>
    <w:rPr>
      <w:rFonts w:ascii="Times New Roman" w:eastAsia="Times New Roman" w:hAnsi="Times New Roman" w:cs="Times New Roman"/>
      <w:b/>
      <w:sz w:val="24"/>
      <w:szCs w:val="24"/>
    </w:rPr>
  </w:style>
  <w:style w:type="character" w:customStyle="1" w:styleId="Heading6Char">
    <w:name w:val="Heading 6 Char"/>
    <w:basedOn w:val="DefaultParagraphFont"/>
    <w:link w:val="Heading6"/>
    <w:uiPriority w:val="9"/>
    <w:semiHidden/>
    <w:rsid w:val="00BC0BF9"/>
    <w:rPr>
      <w:rFonts w:asciiTheme="majorHAnsi" w:eastAsiaTheme="majorEastAsia" w:hAnsiTheme="majorHAnsi" w:cstheme="majorBidi"/>
      <w:color w:val="1F3763" w:themeColor="accent1" w:themeShade="7F"/>
      <w:sz w:val="24"/>
      <w:szCs w:val="24"/>
    </w:rPr>
  </w:style>
  <w:style w:type="paragraph" w:customStyle="1" w:styleId="Style1">
    <w:name w:val="Style 1"/>
    <w:basedOn w:val="Style2"/>
    <w:link w:val="Style1Char"/>
    <w:rsid w:val="00BC0BF9"/>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C0BF9"/>
    <w:pPr>
      <w:tabs>
        <w:tab w:val="center" w:pos="4320"/>
        <w:tab w:val="right" w:pos="8640"/>
      </w:tabs>
    </w:pPr>
  </w:style>
  <w:style w:type="character" w:customStyle="1" w:styleId="FooterChar">
    <w:name w:val="Footer Char"/>
    <w:aliases w:val="f Char"/>
    <w:basedOn w:val="DefaultParagraphFont"/>
    <w:link w:val="Footer"/>
    <w:uiPriority w:val="99"/>
    <w:rsid w:val="00BC0BF9"/>
    <w:rPr>
      <w:rFonts w:ascii="Times New Roman" w:eastAsia="Times New Roman" w:hAnsi="Times New Roman" w:cs="Times New Roman"/>
      <w:sz w:val="24"/>
      <w:szCs w:val="24"/>
    </w:rPr>
  </w:style>
  <w:style w:type="character" w:styleId="PageNumber">
    <w:name w:val="page number"/>
    <w:basedOn w:val="DefaultParagraphFont"/>
    <w:rsid w:val="00BC0BF9"/>
  </w:style>
  <w:style w:type="character" w:styleId="Hyperlink">
    <w:name w:val="Hyperlink"/>
    <w:basedOn w:val="DefaultParagraphFont"/>
    <w:uiPriority w:val="99"/>
    <w:rsid w:val="00BC0BF9"/>
    <w:rPr>
      <w:color w:val="0000FF"/>
      <w:u w:val="single"/>
    </w:rPr>
  </w:style>
  <w:style w:type="paragraph" w:customStyle="1" w:styleId="Style2">
    <w:name w:val="Style2"/>
    <w:basedOn w:val="Normal"/>
    <w:link w:val="Style2Char"/>
    <w:rsid w:val="00BC0BF9"/>
    <w:pPr>
      <w:spacing w:before="40" w:after="240" w:line="360" w:lineRule="atLeast"/>
      <w:ind w:firstLine="720"/>
      <w:jc w:val="both"/>
    </w:pPr>
  </w:style>
  <w:style w:type="paragraph" w:customStyle="1" w:styleId="Style31">
    <w:name w:val="Style3.1"/>
    <w:basedOn w:val="Normal"/>
    <w:rsid w:val="00BC0BF9"/>
    <w:pPr>
      <w:numPr>
        <w:numId w:val="1"/>
      </w:numPr>
      <w:adjustRightInd/>
      <w:spacing w:before="40" w:after="40" w:line="240" w:lineRule="atLeast"/>
    </w:pPr>
  </w:style>
  <w:style w:type="paragraph" w:customStyle="1" w:styleId="Style32">
    <w:name w:val="Style3.2"/>
    <w:basedOn w:val="Style31"/>
    <w:link w:val="Style32Char"/>
    <w:rsid w:val="00BC0BF9"/>
  </w:style>
  <w:style w:type="character" w:customStyle="1" w:styleId="Style2Char">
    <w:name w:val="Style2 Char"/>
    <w:basedOn w:val="DefaultParagraphFont"/>
    <w:link w:val="Style2"/>
    <w:rsid w:val="00BC0BF9"/>
    <w:rPr>
      <w:rFonts w:ascii="Times New Roman" w:eastAsia="Times New Roman" w:hAnsi="Times New Roman" w:cs="Times New Roman"/>
      <w:sz w:val="24"/>
      <w:szCs w:val="24"/>
    </w:rPr>
  </w:style>
  <w:style w:type="character" w:customStyle="1" w:styleId="Style1Char">
    <w:name w:val="Style 1 Char"/>
    <w:basedOn w:val="DefaultParagraphFont"/>
    <w:link w:val="Style1"/>
    <w:rsid w:val="00BC0BF9"/>
    <w:rPr>
      <w:rFonts w:ascii="Times New Roman" w:eastAsia="Times New Roman" w:hAnsi="Times New Roman" w:cs="Times New Roman"/>
      <w:color w:val="7F7F7F" w:themeColor="text1" w:themeTint="80"/>
      <w:sz w:val="24"/>
      <w:szCs w:val="24"/>
    </w:rPr>
  </w:style>
  <w:style w:type="paragraph" w:customStyle="1" w:styleId="Style11">
    <w:name w:val="Style 11"/>
    <w:basedOn w:val="Normal"/>
    <w:rsid w:val="00BC0B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C0BF9"/>
    <w:rPr>
      <w:rFonts w:ascii="Times New Roman" w:eastAsia="Times New Roman" w:hAnsi="Times New Roman" w:cs="Times New Roman"/>
      <w:sz w:val="24"/>
      <w:szCs w:val="24"/>
    </w:rPr>
  </w:style>
  <w:style w:type="paragraph" w:styleId="TOC1">
    <w:name w:val="toc 1"/>
    <w:basedOn w:val="Normal"/>
    <w:next w:val="Normal"/>
    <w:autoRedefine/>
    <w:uiPriority w:val="39"/>
    <w:rsid w:val="00BC0BF9"/>
    <w:pPr>
      <w:tabs>
        <w:tab w:val="left" w:pos="36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BC0BF9"/>
    <w:pPr>
      <w:tabs>
        <w:tab w:val="left" w:pos="360"/>
        <w:tab w:val="right" w:leader="dot" w:pos="9350"/>
      </w:tabs>
      <w:spacing w:before="10" w:after="20"/>
      <w:ind w:left="90"/>
    </w:pPr>
  </w:style>
  <w:style w:type="paragraph" w:customStyle="1" w:styleId="SL-FlLftSgl">
    <w:name w:val="SL-Fl Lft Sgl"/>
    <w:rsid w:val="00BC0BF9"/>
    <w:pPr>
      <w:spacing w:after="0" w:line="240" w:lineRule="atLeast"/>
      <w:jc w:val="both"/>
    </w:pPr>
    <w:rPr>
      <w:rFonts w:ascii="Times New Roman" w:eastAsia="Times New Roman" w:hAnsi="Times New Roman" w:cs="Times New Roman"/>
      <w:szCs w:val="20"/>
    </w:rPr>
  </w:style>
  <w:style w:type="paragraph" w:styleId="NormalWeb">
    <w:name w:val="Normal (Web)"/>
    <w:basedOn w:val="Normal"/>
    <w:uiPriority w:val="99"/>
    <w:rsid w:val="00BC0BF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C0BF9"/>
  </w:style>
  <w:style w:type="paragraph" w:styleId="BalloonText">
    <w:name w:val="Balloon Text"/>
    <w:basedOn w:val="Normal"/>
    <w:link w:val="BalloonTextChar"/>
    <w:uiPriority w:val="99"/>
    <w:semiHidden/>
    <w:unhideWhenUsed/>
    <w:rsid w:val="00BC0BF9"/>
    <w:rPr>
      <w:rFonts w:ascii="Tahoma" w:hAnsi="Tahoma" w:cs="Tahoma"/>
      <w:sz w:val="16"/>
      <w:szCs w:val="16"/>
    </w:rPr>
  </w:style>
  <w:style w:type="character" w:customStyle="1" w:styleId="BalloonTextChar">
    <w:name w:val="Balloon Text Char"/>
    <w:basedOn w:val="DefaultParagraphFont"/>
    <w:link w:val="BalloonText"/>
    <w:uiPriority w:val="99"/>
    <w:semiHidden/>
    <w:rsid w:val="00BC0BF9"/>
    <w:rPr>
      <w:rFonts w:ascii="Tahoma" w:eastAsia="Times New Roman" w:hAnsi="Tahoma" w:cs="Tahoma"/>
      <w:sz w:val="16"/>
      <w:szCs w:val="16"/>
    </w:rPr>
  </w:style>
  <w:style w:type="character" w:styleId="FootnoteReference">
    <w:name w:val="footnote reference"/>
    <w:semiHidden/>
    <w:rsid w:val="00BC0BF9"/>
  </w:style>
  <w:style w:type="paragraph" w:customStyle="1" w:styleId="Table">
    <w:name w:val="Table"/>
    <w:basedOn w:val="Normal"/>
    <w:rsid w:val="00BC0BF9"/>
    <w:pPr>
      <w:spacing w:before="40" w:after="240" w:line="240" w:lineRule="atLeast"/>
      <w:jc w:val="both"/>
    </w:pPr>
    <w:rPr>
      <w:b/>
    </w:rPr>
  </w:style>
  <w:style w:type="paragraph" w:styleId="FootnoteText">
    <w:name w:val="footnote text"/>
    <w:aliases w:val="F1"/>
    <w:basedOn w:val="Normal"/>
    <w:link w:val="FootnoteTextChar"/>
    <w:semiHidden/>
    <w:rsid w:val="00BC0BF9"/>
    <w:pPr>
      <w:keepLines/>
    </w:pPr>
    <w:rPr>
      <w:szCs w:val="20"/>
    </w:rPr>
  </w:style>
  <w:style w:type="character" w:customStyle="1" w:styleId="FootnoteTextChar">
    <w:name w:val="Footnote Text Char"/>
    <w:aliases w:val="F1 Char"/>
    <w:basedOn w:val="DefaultParagraphFont"/>
    <w:link w:val="FootnoteText"/>
    <w:semiHidden/>
    <w:rsid w:val="00BC0BF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C0BF9"/>
    <w:pPr>
      <w:tabs>
        <w:tab w:val="center" w:pos="4680"/>
        <w:tab w:val="right" w:pos="9360"/>
      </w:tabs>
    </w:pPr>
  </w:style>
  <w:style w:type="character" w:customStyle="1" w:styleId="HeaderChar">
    <w:name w:val="Header Char"/>
    <w:basedOn w:val="DefaultParagraphFont"/>
    <w:link w:val="Header"/>
    <w:uiPriority w:val="99"/>
    <w:rsid w:val="00BC0BF9"/>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BC0BF9"/>
    <w:rPr>
      <w:sz w:val="16"/>
      <w:szCs w:val="16"/>
    </w:rPr>
  </w:style>
  <w:style w:type="paragraph" w:styleId="CommentText">
    <w:name w:val="annotation text"/>
    <w:basedOn w:val="Normal"/>
    <w:link w:val="CommentTextChar"/>
    <w:unhideWhenUsed/>
    <w:rsid w:val="00BC0BF9"/>
    <w:rPr>
      <w:szCs w:val="20"/>
    </w:rPr>
  </w:style>
  <w:style w:type="character" w:customStyle="1" w:styleId="CommentTextChar">
    <w:name w:val="Comment Text Char"/>
    <w:basedOn w:val="DefaultParagraphFont"/>
    <w:link w:val="CommentText"/>
    <w:rsid w:val="00BC0BF9"/>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BC0BF9"/>
    <w:rPr>
      <w:b/>
      <w:bCs/>
    </w:rPr>
  </w:style>
  <w:style w:type="character" w:customStyle="1" w:styleId="CommentSubjectChar">
    <w:name w:val="Comment Subject Char"/>
    <w:basedOn w:val="CommentTextChar"/>
    <w:link w:val="CommentSubject"/>
    <w:uiPriority w:val="99"/>
    <w:semiHidden/>
    <w:rsid w:val="00BC0BF9"/>
    <w:rPr>
      <w:rFonts w:ascii="Times New Roman" w:eastAsia="Times New Roman" w:hAnsi="Times New Roman" w:cs="Times New Roman"/>
      <w:b/>
      <w:bCs/>
      <w:sz w:val="24"/>
      <w:szCs w:val="20"/>
    </w:rPr>
  </w:style>
  <w:style w:type="character" w:customStyle="1" w:styleId="st">
    <w:name w:val="st"/>
    <w:basedOn w:val="DefaultParagraphFont"/>
    <w:rsid w:val="00BC0BF9"/>
  </w:style>
  <w:style w:type="character" w:styleId="Emphasis">
    <w:name w:val="Emphasis"/>
    <w:basedOn w:val="DefaultParagraphFont"/>
    <w:uiPriority w:val="20"/>
    <w:qFormat/>
    <w:rsid w:val="00BC0BF9"/>
    <w:rPr>
      <w:i/>
      <w:iCs/>
    </w:rPr>
  </w:style>
  <w:style w:type="paragraph" w:customStyle="1" w:styleId="Heading2Black">
    <w:name w:val="Heading 2_Black"/>
    <w:basedOn w:val="Normal"/>
    <w:next w:val="Normal"/>
    <w:qFormat/>
    <w:rsid w:val="00BC0BF9"/>
    <w:pPr>
      <w:keepNext/>
      <w:widowControl/>
      <w:tabs>
        <w:tab w:val="left" w:pos="432"/>
      </w:tabs>
      <w:autoSpaceDE/>
      <w:autoSpaceDN/>
      <w:adjustRightInd/>
      <w:spacing w:after="240"/>
      <w:ind w:left="432" w:hanging="432"/>
      <w:jc w:val="both"/>
      <w:outlineLvl w:val="1"/>
    </w:pPr>
    <w:rPr>
      <w:b/>
      <w:sz w:val="28"/>
    </w:rPr>
  </w:style>
  <w:style w:type="paragraph" w:styleId="TOCHeading">
    <w:name w:val="TOC Heading"/>
    <w:basedOn w:val="Heading1"/>
    <w:next w:val="Normal"/>
    <w:uiPriority w:val="39"/>
    <w:unhideWhenUsed/>
    <w:qFormat/>
    <w:rsid w:val="00BC0BF9"/>
    <w:pPr>
      <w:spacing w:before="480"/>
      <w:outlineLvl w:val="9"/>
    </w:pPr>
    <w:rPr>
      <w:rFonts w:asciiTheme="majorHAnsi" w:hAnsiTheme="majorHAnsi" w:cstheme="majorBidi"/>
      <w:color w:val="2F5496" w:themeColor="accent1" w:themeShade="BF"/>
      <w:sz w:val="28"/>
    </w:rPr>
  </w:style>
  <w:style w:type="paragraph" w:styleId="TOC3">
    <w:name w:val="toc 3"/>
    <w:basedOn w:val="Normal"/>
    <w:next w:val="Normal"/>
    <w:autoRedefine/>
    <w:uiPriority w:val="39"/>
    <w:unhideWhenUsed/>
    <w:rsid w:val="00BC0BF9"/>
    <w:pPr>
      <w:spacing w:after="100"/>
      <w:ind w:left="400"/>
    </w:pPr>
  </w:style>
  <w:style w:type="paragraph" w:styleId="Title">
    <w:name w:val="Title"/>
    <w:basedOn w:val="Normal"/>
    <w:next w:val="Normal"/>
    <w:link w:val="TitleChar"/>
    <w:uiPriority w:val="10"/>
    <w:qFormat/>
    <w:rsid w:val="00BC0BF9"/>
    <w:pP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C0BF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BC0BF9"/>
    <w:pPr>
      <w:ind w:left="720"/>
      <w:contextualSpacing/>
    </w:pPr>
  </w:style>
  <w:style w:type="paragraph" w:styleId="EndnoteText">
    <w:name w:val="endnote text"/>
    <w:basedOn w:val="Normal"/>
    <w:link w:val="EndnoteTextChar"/>
    <w:uiPriority w:val="99"/>
    <w:semiHidden/>
    <w:unhideWhenUsed/>
    <w:rsid w:val="00BC0BF9"/>
    <w:rPr>
      <w:szCs w:val="20"/>
    </w:rPr>
  </w:style>
  <w:style w:type="character" w:customStyle="1" w:styleId="EndnoteTextChar">
    <w:name w:val="Endnote Text Char"/>
    <w:basedOn w:val="DefaultParagraphFont"/>
    <w:link w:val="EndnoteText"/>
    <w:uiPriority w:val="99"/>
    <w:semiHidden/>
    <w:rsid w:val="00BC0BF9"/>
    <w:rPr>
      <w:rFonts w:ascii="Times New Roman" w:eastAsia="Times New Roman" w:hAnsi="Times New Roman" w:cs="Times New Roman"/>
      <w:sz w:val="24"/>
      <w:szCs w:val="20"/>
    </w:rPr>
  </w:style>
  <w:style w:type="character" w:styleId="EndnoteReference">
    <w:name w:val="endnote reference"/>
    <w:basedOn w:val="DefaultParagraphFont"/>
    <w:uiPriority w:val="99"/>
    <w:semiHidden/>
    <w:unhideWhenUsed/>
    <w:rsid w:val="00BC0BF9"/>
    <w:rPr>
      <w:vertAlign w:val="superscript"/>
    </w:rPr>
  </w:style>
  <w:style w:type="paragraph" w:customStyle="1" w:styleId="Default">
    <w:name w:val="Default"/>
    <w:rsid w:val="00BC0BF9"/>
    <w:pPr>
      <w:autoSpaceDE w:val="0"/>
      <w:autoSpaceDN w:val="0"/>
      <w:adjustRightInd w:val="0"/>
      <w:spacing w:after="0" w:line="240" w:lineRule="auto"/>
    </w:pPr>
    <w:rPr>
      <w:rFonts w:ascii="Zapf Calligraphic 80 1 BT" w:hAnsi="Zapf Calligraphic 80 1 BT" w:cs="Zapf Calligraphic 80 1 BT"/>
      <w:color w:val="000000"/>
      <w:sz w:val="24"/>
      <w:szCs w:val="24"/>
    </w:rPr>
  </w:style>
  <w:style w:type="paragraph" w:customStyle="1" w:styleId="Body">
    <w:name w:val="Body"/>
    <w:basedOn w:val="Style2"/>
    <w:qFormat/>
    <w:rsid w:val="00BC0BF9"/>
    <w:pPr>
      <w:spacing w:before="0" w:after="0" w:line="276" w:lineRule="auto"/>
      <w:ind w:firstLine="0"/>
      <w:jc w:val="left"/>
    </w:pPr>
    <w:rPr>
      <w:color w:val="0D0D0D" w:themeColor="text1" w:themeTint="F2"/>
    </w:rPr>
  </w:style>
  <w:style w:type="paragraph" w:customStyle="1" w:styleId="Body2">
    <w:name w:val="Body2"/>
    <w:basedOn w:val="Body"/>
    <w:qFormat/>
    <w:rsid w:val="00BC0BF9"/>
    <w:pPr>
      <w:spacing w:line="240" w:lineRule="auto"/>
      <w:ind w:left="720"/>
      <w:contextualSpacing/>
    </w:pPr>
  </w:style>
  <w:style w:type="table" w:styleId="TableGrid">
    <w:name w:val="Table Grid"/>
    <w:basedOn w:val="TableNormal"/>
    <w:uiPriority w:val="59"/>
    <w:rsid w:val="00BC0BF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0BF9"/>
    <w:pPr>
      <w:spacing w:after="200"/>
    </w:pPr>
    <w:rPr>
      <w:b/>
      <w:bCs/>
      <w:color w:val="4472C4" w:themeColor="accent1"/>
      <w:sz w:val="18"/>
      <w:szCs w:val="18"/>
    </w:rPr>
  </w:style>
  <w:style w:type="paragraph" w:styleId="NoSpacing">
    <w:name w:val="No Spacing"/>
    <w:uiPriority w:val="1"/>
    <w:qFormat/>
    <w:rsid w:val="00BC0BF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Style10">
    <w:name w:val="Style1"/>
    <w:basedOn w:val="Title"/>
    <w:link w:val="Style1Char0"/>
    <w:qFormat/>
    <w:rsid w:val="00BC0BF9"/>
    <w:pPr>
      <w:pBdr>
        <w:bottom w:val="single" w:sz="8" w:space="4" w:color="4472C4" w:themeColor="accent1"/>
      </w:pBdr>
    </w:pPr>
  </w:style>
  <w:style w:type="character" w:customStyle="1" w:styleId="Style1Char0">
    <w:name w:val="Style1 Char"/>
    <w:basedOn w:val="TitleChar"/>
    <w:link w:val="Style10"/>
    <w:rsid w:val="00BC0BF9"/>
    <w:rPr>
      <w:rFonts w:asciiTheme="majorHAnsi" w:eastAsiaTheme="majorEastAsia" w:hAnsiTheme="majorHAnsi" w:cstheme="majorBidi"/>
      <w:color w:val="323E4F" w:themeColor="text2" w:themeShade="BF"/>
      <w:spacing w:val="5"/>
      <w:kern w:val="28"/>
      <w:sz w:val="52"/>
      <w:szCs w:val="52"/>
    </w:rPr>
  </w:style>
  <w:style w:type="paragraph" w:customStyle="1" w:styleId="CM11">
    <w:name w:val="CM11"/>
    <w:basedOn w:val="Normal"/>
    <w:uiPriority w:val="99"/>
    <w:rsid w:val="00BC0BF9"/>
    <w:pPr>
      <w:widowControl/>
      <w:adjustRightInd/>
    </w:pPr>
    <w:rPr>
      <w:rFonts w:eastAsiaTheme="minorHAnsi"/>
    </w:rPr>
  </w:style>
  <w:style w:type="paragraph" w:customStyle="1" w:styleId="CM12">
    <w:name w:val="CM12"/>
    <w:basedOn w:val="Normal"/>
    <w:uiPriority w:val="99"/>
    <w:rsid w:val="00BC0BF9"/>
    <w:pPr>
      <w:widowControl/>
      <w:adjustRightInd/>
      <w:spacing w:line="360" w:lineRule="atLeast"/>
    </w:pPr>
    <w:rPr>
      <w:rFonts w:eastAsiaTheme="minorHAnsi"/>
    </w:rPr>
  </w:style>
  <w:style w:type="paragraph" w:customStyle="1" w:styleId="TOC">
    <w:name w:val="TOC"/>
    <w:basedOn w:val="TOC2"/>
    <w:qFormat/>
    <w:rsid w:val="00BC0BF9"/>
    <w:rPr>
      <w:noProof/>
    </w:rPr>
  </w:style>
  <w:style w:type="paragraph" w:customStyle="1" w:styleId="Bullets">
    <w:name w:val="Bullets"/>
    <w:qFormat/>
    <w:rsid w:val="00BC0BF9"/>
    <w:pPr>
      <w:numPr>
        <w:numId w:val="3"/>
      </w:numPr>
      <w:spacing w:after="0" w:line="240" w:lineRule="auto"/>
      <w:ind w:left="763"/>
    </w:pPr>
    <w:rPr>
      <w:rFonts w:ascii="Times New Roman" w:eastAsia="Times New Roman" w:hAnsi="Times New Roman" w:cs="Times New Roman"/>
      <w:sz w:val="24"/>
      <w:szCs w:val="24"/>
    </w:rPr>
  </w:style>
  <w:style w:type="paragraph" w:styleId="Revision">
    <w:name w:val="Revision"/>
    <w:hidden/>
    <w:uiPriority w:val="99"/>
    <w:semiHidden/>
    <w:rsid w:val="00BC0BF9"/>
    <w:pPr>
      <w:spacing w:after="0" w:line="240" w:lineRule="auto"/>
    </w:pPr>
    <w:rPr>
      <w:rFonts w:ascii="Times New Roman" w:eastAsia="Times New Roman" w:hAnsi="Times New Roman" w:cs="Times New Roman"/>
      <w:sz w:val="20"/>
      <w:szCs w:val="24"/>
    </w:rPr>
  </w:style>
  <w:style w:type="paragraph" w:styleId="BodyText2">
    <w:name w:val="Body Text 2"/>
    <w:basedOn w:val="Normal"/>
    <w:link w:val="BodyText2Char"/>
    <w:rsid w:val="00BC0BF9"/>
    <w:pPr>
      <w:jc w:val="both"/>
    </w:pPr>
    <w:rPr>
      <w:szCs w:val="20"/>
    </w:rPr>
  </w:style>
  <w:style w:type="character" w:customStyle="1" w:styleId="BodyText2Char">
    <w:name w:val="Body Text 2 Char"/>
    <w:basedOn w:val="DefaultParagraphFont"/>
    <w:link w:val="BodyText2"/>
    <w:rsid w:val="00BC0BF9"/>
    <w:rPr>
      <w:rFonts w:ascii="Times New Roman" w:eastAsia="Times New Roman" w:hAnsi="Times New Roman" w:cs="Times New Roman"/>
      <w:sz w:val="24"/>
      <w:szCs w:val="20"/>
    </w:rPr>
  </w:style>
  <w:style w:type="paragraph" w:styleId="HTMLPreformatted">
    <w:name w:val="HTML Preformatted"/>
    <w:basedOn w:val="Normal"/>
    <w:link w:val="HTMLPreformattedChar"/>
    <w:rsid w:val="00BC0B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BC0BF9"/>
    <w:rPr>
      <w:rFonts w:ascii="Courier New" w:eastAsia="Times New Roman" w:hAnsi="Courier New" w:cs="Courier New"/>
      <w:sz w:val="24"/>
      <w:szCs w:val="20"/>
    </w:rPr>
  </w:style>
  <w:style w:type="paragraph" w:customStyle="1" w:styleId="Level1">
    <w:name w:val="Level 1"/>
    <w:basedOn w:val="Normal"/>
    <w:rsid w:val="00BC0BF9"/>
    <w:pPr>
      <w:autoSpaceDE/>
      <w:autoSpaceDN/>
      <w:adjustRightInd/>
    </w:pPr>
    <w:rPr>
      <w:szCs w:val="20"/>
    </w:rPr>
  </w:style>
  <w:style w:type="character" w:styleId="FollowedHyperlink">
    <w:name w:val="FollowedHyperlink"/>
    <w:basedOn w:val="DefaultParagraphFont"/>
    <w:uiPriority w:val="99"/>
    <w:semiHidden/>
    <w:unhideWhenUsed/>
    <w:rsid w:val="00BC0BF9"/>
    <w:rPr>
      <w:color w:val="954F72" w:themeColor="followedHyperlink"/>
      <w:u w:val="single"/>
    </w:rPr>
  </w:style>
  <w:style w:type="paragraph" w:styleId="PlainText">
    <w:name w:val="Plain Text"/>
    <w:basedOn w:val="Normal"/>
    <w:link w:val="PlainTextChar"/>
    <w:rsid w:val="00BC0BF9"/>
    <w:pPr>
      <w:widowControl/>
      <w:autoSpaceDE/>
      <w:autoSpaceDN/>
      <w:adjustRightInd/>
      <w:spacing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BC0BF9"/>
    <w:rPr>
      <w:rFonts w:ascii="Courier New" w:eastAsia="Times New Roman" w:hAnsi="Courier New" w:cs="Courier New"/>
      <w:b/>
      <w:bCs/>
      <w:sz w:val="20"/>
      <w:szCs w:val="20"/>
      <w:u w:val="single"/>
    </w:rPr>
  </w:style>
  <w:style w:type="paragraph" w:styleId="Bibliography">
    <w:name w:val="Bibliography"/>
    <w:basedOn w:val="Normal"/>
    <w:next w:val="Normal"/>
    <w:uiPriority w:val="37"/>
    <w:unhideWhenUsed/>
    <w:rsid w:val="00BC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hyperlink" Target="http://www.cdc.gov/winnablebattl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rasberry@cdc.gov" TargetMode="External"/><Relationship Id="rId12" Type="http://schemas.openxmlformats.org/officeDocument/2006/relationships/hyperlink" Target="https://aids.gov/federal-resources/national-hiv-aids-strategy/nha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ypeople.gov/2020/topicsobjectives2020/defau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dc.gov/nchhstp/programintegration/docs/207181-C_NCHHSTP_PCSI%20WhitePaper-508c.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intranet.cdc.gov/od/oads/osq/guide_rec/pdf/G_R_CLEARANCE_Version_4_Final.pdf" TargetMode="External"/><Relationship Id="rId14" Type="http://schemas.openxmlformats.org/officeDocument/2006/relationships/hyperlink" Target="http://www.uwex.edu/ces/pdande/evalu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6985</Words>
  <Characters>39815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Thelma (CDC/DDPHSS/OS/OSI)</dc:creator>
  <cp:lastModifiedBy>Sims, Thelma (CDC/DDPHSS/OS/OSI)</cp:lastModifiedBy>
  <cp:revision>2</cp:revision>
  <dcterms:created xsi:type="dcterms:W3CDTF">2021-12-14T03:22:00Z</dcterms:created>
  <dcterms:modified xsi:type="dcterms:W3CDTF">2021-12-14T03:22:00Z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2021-12-14T03:19:28Z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46ad344b-1782-40e6-bb19-738fa750f70e</vt:lpwstr>
  </property>
  <property fmtid="{D5CDD505-2E9C-101B-9397-08002B2CF9AE}" pid="8" name="MSIP_Label_8af03ff0-41c5-4c41-b55e-fabb8fae94be_ContentBits">
    <vt:lpwstr>0</vt:lpwstr>
  </property>
</Properties>
</file>