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5C27" w:rsidP="00D05C27" w14:paraId="6AA5A704" w14:textId="1117369A">
      <w:pPr>
        <w:widowControl w:val="0"/>
        <w:spacing w:after="0" w:line="480" w:lineRule="auto"/>
        <w:jc w:val="center"/>
        <w:rPr>
          <w:snapToGrid w:val="0"/>
          <w:szCs w:val="20"/>
        </w:rPr>
      </w:pPr>
      <w:r>
        <w:rPr>
          <w:snapToGrid w:val="0"/>
          <w:szCs w:val="20"/>
        </w:rPr>
        <w:t>United States Food and Drug Administration</w:t>
      </w:r>
    </w:p>
    <w:p w:rsidR="00763DF5" w:rsidP="00D05C27" w14:paraId="192870CA" w14:textId="77777777">
      <w:pPr>
        <w:widowControl w:val="0"/>
        <w:spacing w:after="0" w:line="480" w:lineRule="auto"/>
        <w:jc w:val="center"/>
      </w:pPr>
      <w:r w:rsidRPr="00763DF5">
        <w:t>Targeted Mechanism of Action Presentations in Prescription Drug Promotion</w:t>
      </w:r>
    </w:p>
    <w:p w:rsidR="00D05C27" w:rsidP="00D05C27" w14:paraId="42966EF0" w14:textId="13D979F5">
      <w:pPr>
        <w:widowControl w:val="0"/>
        <w:spacing w:after="0" w:line="480" w:lineRule="auto"/>
        <w:jc w:val="center"/>
        <w:rPr>
          <w:szCs w:val="20"/>
        </w:rPr>
      </w:pPr>
      <w:r>
        <w:rPr>
          <w:szCs w:val="20"/>
        </w:rPr>
        <w:t xml:space="preserve">OMB Control No. 0910-NEW </w:t>
      </w:r>
    </w:p>
    <w:p w:rsidR="00D05C27" w:rsidRPr="000C0FD4" w:rsidP="000C0FD4" w14:paraId="776E0550" w14:textId="172C8C1A">
      <w:pPr>
        <w:widowControl w:val="0"/>
        <w:spacing w:after="0" w:line="480" w:lineRule="auto"/>
        <w:jc w:val="center"/>
        <w:rPr>
          <w:snapToGrid w:val="0"/>
          <w:szCs w:val="20"/>
        </w:rPr>
      </w:pPr>
      <w:r>
        <w:rPr>
          <w:szCs w:val="20"/>
        </w:rPr>
        <w:t>SUPPORTING STATEMENT</w:t>
      </w:r>
    </w:p>
    <w:p w:rsidR="00787427" w:rsidRPr="00B9507F" w:rsidP="00787427" w14:paraId="0FDE1D3D" w14:textId="2610B969">
      <w:pPr>
        <w:widowControl w:val="0"/>
        <w:spacing w:after="0" w:line="480" w:lineRule="auto"/>
        <w:rPr>
          <w:snapToGrid w:val="0"/>
          <w:szCs w:val="20"/>
        </w:rPr>
      </w:pPr>
      <w:r w:rsidRPr="000C0FD4">
        <w:rPr>
          <w:snapToGrid w:val="0"/>
          <w:szCs w:val="20"/>
        </w:rPr>
        <w:t xml:space="preserve">Part </w:t>
      </w:r>
      <w:r w:rsidRPr="000C0FD4">
        <w:rPr>
          <w:snapToGrid w:val="0"/>
          <w:szCs w:val="20"/>
        </w:rPr>
        <w:t>B.</w:t>
      </w:r>
      <w:r w:rsidRPr="00F7715F">
        <w:rPr>
          <w:snapToGrid w:val="0"/>
          <w:szCs w:val="20"/>
        </w:rPr>
        <w:t xml:space="preserve"> </w:t>
      </w:r>
      <w:r w:rsidR="00B9507F">
        <w:rPr>
          <w:snapToGrid w:val="0"/>
          <w:szCs w:val="20"/>
        </w:rPr>
        <w:t xml:space="preserve"> </w:t>
      </w:r>
      <w:r w:rsidRPr="00F7715F">
        <w:rPr>
          <w:snapToGrid w:val="0"/>
          <w:szCs w:val="20"/>
        </w:rPr>
        <w:t>S</w:t>
      </w:r>
      <w:r w:rsidRPr="00F7715F" w:rsidR="0052574A">
        <w:rPr>
          <w:snapToGrid w:val="0"/>
          <w:szCs w:val="20"/>
        </w:rPr>
        <w:t>tatistical</w:t>
      </w:r>
      <w:r w:rsidRPr="00F7715F">
        <w:rPr>
          <w:snapToGrid w:val="0"/>
          <w:szCs w:val="20"/>
        </w:rPr>
        <w:t xml:space="preserve"> M</w:t>
      </w:r>
      <w:r w:rsidRPr="00F7715F" w:rsidR="0052574A">
        <w:rPr>
          <w:snapToGrid w:val="0"/>
          <w:szCs w:val="20"/>
        </w:rPr>
        <w:t>ethods</w:t>
      </w:r>
      <w:r w:rsidRPr="00F7715F">
        <w:rPr>
          <w:snapToGrid w:val="0"/>
          <w:szCs w:val="20"/>
        </w:rPr>
        <w:t xml:space="preserve"> </w:t>
      </w:r>
    </w:p>
    <w:p w:rsidR="00787427" w:rsidRPr="0052574A" w:rsidP="00707710" w14:paraId="57147205" w14:textId="77777777">
      <w:pPr>
        <w:widowControl w:val="0"/>
        <w:numPr>
          <w:ilvl w:val="0"/>
          <w:numId w:val="1"/>
        </w:numPr>
        <w:tabs>
          <w:tab w:val="left" w:pos="270"/>
        </w:tabs>
        <w:spacing w:after="0" w:line="480" w:lineRule="auto"/>
        <w:rPr>
          <w:snapToGrid w:val="0"/>
          <w:szCs w:val="20"/>
        </w:rPr>
      </w:pPr>
      <w:r w:rsidRPr="003C15DA">
        <w:rPr>
          <w:snapToGrid w:val="0"/>
          <w:szCs w:val="20"/>
          <w:u w:val="single"/>
        </w:rPr>
        <w:t>Respondent Universe and Sampling Methods</w:t>
      </w:r>
    </w:p>
    <w:p w:rsidR="00763DF5" w:rsidP="0097399B" w14:paraId="423BB2E9" w14:textId="55AFFA0D">
      <w:pPr>
        <w:autoSpaceDE w:val="0"/>
        <w:autoSpaceDN w:val="0"/>
        <w:adjustRightInd w:val="0"/>
        <w:spacing w:line="240" w:lineRule="auto"/>
        <w:ind w:left="547"/>
        <w:contextualSpacing/>
      </w:pPr>
      <w:r>
        <w:t xml:space="preserve">The project will recruit individuals from two populations: general population consumers (Study 1) and healthcare providers (HCPs) who specialize in oncology or primary care physicians (PCPs) with oncology experience (Study 2). For each study, we plan to conduct an online pretest and main study administered via an internet panel. </w:t>
      </w:r>
    </w:p>
    <w:p w:rsidR="00763DF5" w:rsidP="00763DF5" w14:paraId="007126FA" w14:textId="77777777">
      <w:pPr>
        <w:autoSpaceDE w:val="0"/>
        <w:autoSpaceDN w:val="0"/>
        <w:adjustRightInd w:val="0"/>
        <w:spacing w:line="240" w:lineRule="auto"/>
        <w:ind w:left="540"/>
        <w:contextualSpacing/>
      </w:pPr>
    </w:p>
    <w:p w:rsidR="00763DF5" w:rsidP="00763DF5" w14:paraId="074B7B60" w14:textId="7E546C6A">
      <w:pPr>
        <w:autoSpaceDE w:val="0"/>
        <w:autoSpaceDN w:val="0"/>
        <w:adjustRightInd w:val="0"/>
        <w:spacing w:line="240" w:lineRule="auto"/>
        <w:ind w:left="540"/>
        <w:contextualSpacing/>
      </w:pPr>
      <w:r>
        <w:t xml:space="preserve">For the pretest and main study, the general population consumer sample will be drawn from a participant panel managed by </w:t>
      </w:r>
      <w:r>
        <w:t>Toluna</w:t>
      </w:r>
      <w:r>
        <w:t xml:space="preserve">. The </w:t>
      </w:r>
      <w:r>
        <w:t>Toluna</w:t>
      </w:r>
      <w:r>
        <w:t xml:space="preserve"> community provides access to nearly 6.4 million members in North America, recruited using various methods including web banners, website referrals, pay-per-click, natural search optimization, affiliate marketing, email, and online public relations activities. </w:t>
      </w:r>
      <w:r>
        <w:t>Toluna’s</w:t>
      </w:r>
      <w:r>
        <w:t xml:space="preserve"> panel is reflective of the population in the United States and ensures demographic diversity of participants’ genders, ages, race/</w:t>
      </w:r>
      <w:r>
        <w:t>ethnicity</w:t>
      </w:r>
      <w:r>
        <w:t xml:space="preserve"> and education levels.</w:t>
      </w:r>
    </w:p>
    <w:p w:rsidR="00763DF5" w:rsidP="00763DF5" w14:paraId="2A97AB9A" w14:textId="77777777">
      <w:pPr>
        <w:autoSpaceDE w:val="0"/>
        <w:autoSpaceDN w:val="0"/>
        <w:adjustRightInd w:val="0"/>
        <w:spacing w:line="240" w:lineRule="auto"/>
        <w:ind w:left="540"/>
        <w:contextualSpacing/>
      </w:pPr>
    </w:p>
    <w:p w:rsidR="005F463D" w:rsidP="00ED37E5" w14:paraId="74A629DC" w14:textId="3824D4EA">
      <w:pPr>
        <w:autoSpaceDE w:val="0"/>
        <w:autoSpaceDN w:val="0"/>
        <w:adjustRightInd w:val="0"/>
        <w:spacing w:line="240" w:lineRule="auto"/>
        <w:ind w:left="547"/>
        <w:contextualSpacing/>
      </w:pPr>
      <w:r>
        <w:t xml:space="preserve">The HCP sample for the pretest and main study will be drawn from </w:t>
      </w:r>
      <w:r>
        <w:t>Toluna’s</w:t>
      </w:r>
      <w:r>
        <w:t xml:space="preserve"> </w:t>
      </w:r>
      <w:r>
        <w:t>Curizon</w:t>
      </w:r>
      <w:r>
        <w:t xml:space="preserve"> panel, which is an HCP panel used exclusively for healthcare research. Currently, the </w:t>
      </w:r>
      <w:r>
        <w:t>Toluna</w:t>
      </w:r>
      <w:r>
        <w:t xml:space="preserve"> panel has access to 5,500 oncologists, 11,950 PCPs, and 2,800 nurse practitioners (NPs) and physician assistants (PAs) in the United States. This panel will be supplemented with partner panels from the </w:t>
      </w:r>
      <w:r>
        <w:t>Toluna</w:t>
      </w:r>
      <w:r>
        <w:t xml:space="preserve"> Affiliate Network to reach the total required sample size. </w:t>
      </w:r>
      <w:r>
        <w:t>Toluna</w:t>
      </w:r>
      <w:r>
        <w:t xml:space="preserve"> reviews opt-in policies, privacy policies, legal guidelines, and geographic locations of the partner panels and ensures that they follow all industry guidelines and provide adequate responses to ESOMAR’s 28 Questions. Every partner panel is automatically and continuously monitored to gauge performance.  </w:t>
      </w:r>
    </w:p>
    <w:p w:rsidR="006142FF" w:rsidP="00763DF5" w14:paraId="7808F5E3" w14:textId="0ACE005A">
      <w:pPr>
        <w:autoSpaceDE w:val="0"/>
        <w:autoSpaceDN w:val="0"/>
        <w:adjustRightInd w:val="0"/>
        <w:spacing w:line="240" w:lineRule="auto"/>
        <w:ind w:left="540"/>
        <w:contextualSpacing/>
      </w:pPr>
    </w:p>
    <w:p w:rsidR="006142FF" w:rsidRPr="006142FF" w:rsidP="0097399B" w14:paraId="1313011C" w14:textId="2C49B029">
      <w:pPr>
        <w:spacing w:line="240" w:lineRule="auto"/>
        <w:ind w:left="547"/>
        <w:rPr>
          <w:rFonts w:eastAsia="SimSun"/>
          <w:lang w:eastAsia="zh-CN"/>
        </w:rPr>
      </w:pPr>
      <w:r w:rsidRPr="006142FF">
        <w:rPr>
          <w:rFonts w:eastAsia="SimSun"/>
          <w:lang w:eastAsia="zh-CN"/>
        </w:rPr>
        <w:t>Using a screening questionnaire, we will recruit 720 individuals (</w:t>
      </w:r>
      <w:r w:rsidRPr="006142FF">
        <w:rPr>
          <w:rFonts w:eastAsia="SimSun"/>
          <w:i/>
          <w:iCs/>
          <w:lang w:eastAsia="zh-CN"/>
        </w:rPr>
        <w:t>n</w:t>
      </w:r>
      <w:r w:rsidRPr="006142FF">
        <w:rPr>
          <w:rFonts w:eastAsia="SimSun"/>
          <w:lang w:eastAsia="zh-CN"/>
        </w:rPr>
        <w:t xml:space="preserve"> = 360 for the general population consumer study and </w:t>
      </w:r>
      <w:r w:rsidRPr="006142FF">
        <w:rPr>
          <w:rFonts w:eastAsia="SimSun"/>
          <w:i/>
          <w:iCs/>
          <w:lang w:eastAsia="zh-CN"/>
        </w:rPr>
        <w:t xml:space="preserve">n </w:t>
      </w:r>
      <w:r w:rsidRPr="006142FF">
        <w:rPr>
          <w:rFonts w:eastAsia="SimSun"/>
          <w:lang w:eastAsia="zh-CN"/>
        </w:rPr>
        <w:t>= 360 for the HCP study) for two pretests, and 1,080 individuals (</w:t>
      </w:r>
      <w:r w:rsidRPr="006142FF">
        <w:rPr>
          <w:rFonts w:eastAsia="SimSun"/>
          <w:i/>
          <w:iCs/>
          <w:lang w:eastAsia="zh-CN"/>
        </w:rPr>
        <w:t>n</w:t>
      </w:r>
      <w:r w:rsidRPr="006142FF">
        <w:rPr>
          <w:rFonts w:eastAsia="SimSun"/>
          <w:lang w:eastAsia="zh-CN"/>
        </w:rPr>
        <w:t xml:space="preserve"> = 540 for the general population consumer study and </w:t>
      </w:r>
      <w:r w:rsidRPr="006142FF">
        <w:rPr>
          <w:rFonts w:eastAsia="SimSun"/>
          <w:i/>
          <w:iCs/>
          <w:lang w:eastAsia="zh-CN"/>
        </w:rPr>
        <w:t>n</w:t>
      </w:r>
      <w:r w:rsidRPr="006142FF">
        <w:rPr>
          <w:rFonts w:eastAsia="SimSun"/>
          <w:lang w:eastAsia="zh-CN"/>
        </w:rPr>
        <w:t xml:space="preserve"> = 540 for the HCP study) for two main studies</w:t>
      </w:r>
      <w:r>
        <w:rPr>
          <w:rFonts w:eastAsia="SimSun"/>
          <w:lang w:eastAsia="zh-CN"/>
        </w:rPr>
        <w:t>.</w:t>
      </w:r>
      <w:r w:rsidRPr="006142FF">
        <w:rPr>
          <w:rFonts w:eastAsia="SimSun"/>
          <w:lang w:eastAsia="zh-CN"/>
        </w:rPr>
        <w:t xml:space="preserve"> The eligibility criteria are shown in </w:t>
      </w:r>
      <w:r w:rsidRPr="00FE448E">
        <w:rPr>
          <w:rFonts w:eastAsia="SimSun"/>
          <w:lang w:eastAsia="zh-CN"/>
        </w:rPr>
        <w:t>Table </w:t>
      </w:r>
      <w:r w:rsidR="00D74481">
        <w:rPr>
          <w:rFonts w:eastAsia="SimSun"/>
          <w:lang w:eastAsia="zh-CN"/>
        </w:rPr>
        <w:t>1</w:t>
      </w:r>
      <w:r w:rsidRPr="006142FF">
        <w:rPr>
          <w:rFonts w:eastAsia="SimSun"/>
          <w:lang w:eastAsia="zh-CN"/>
        </w:rPr>
        <w:t>.</w:t>
      </w:r>
    </w:p>
    <w:p w:rsidR="006142FF" w:rsidRPr="006142FF" w:rsidP="006142FF" w14:paraId="5B1E39F4" w14:textId="29EF081C">
      <w:pPr>
        <w:keepNext/>
        <w:keepLines/>
        <w:spacing w:before="320" w:after="120" w:line="240" w:lineRule="auto"/>
        <w:ind w:left="1980" w:hanging="1440"/>
        <w:rPr>
          <w:rFonts w:eastAsia="SimSun"/>
          <w:b/>
          <w:lang w:eastAsia="zh-CN"/>
        </w:rPr>
      </w:pPr>
      <w:bookmarkStart w:id="0" w:name="_Toc41034515"/>
      <w:bookmarkStart w:id="1" w:name="_Toc70073894"/>
      <w:bookmarkStart w:id="2" w:name="_Toc70073929"/>
      <w:bookmarkStart w:id="3" w:name="_Toc70074456"/>
      <w:r w:rsidRPr="006142FF">
        <w:rPr>
          <w:rFonts w:eastAsia="SimSun"/>
          <w:b/>
          <w:lang w:eastAsia="zh-CN"/>
        </w:rPr>
        <w:t xml:space="preserve">Table </w:t>
      </w:r>
      <w:r w:rsidR="00D74481">
        <w:rPr>
          <w:rFonts w:eastAsia="SimSun"/>
          <w:b/>
          <w:lang w:eastAsia="zh-CN"/>
        </w:rPr>
        <w:t>1</w:t>
      </w:r>
      <w:r w:rsidRPr="006142FF">
        <w:rPr>
          <w:rFonts w:eastAsia="SimSun"/>
          <w:b/>
          <w:lang w:eastAsia="zh-CN"/>
        </w:rPr>
        <w:t>.</w:t>
      </w:r>
      <w:r w:rsidRPr="006142FF">
        <w:rPr>
          <w:rFonts w:eastAsia="SimSun"/>
          <w:b/>
          <w:lang w:eastAsia="zh-CN"/>
        </w:rPr>
        <w:tab/>
        <w:t>Eligibility Criteria</w:t>
      </w:r>
      <w:bookmarkEnd w:id="0"/>
      <w:bookmarkEnd w:id="1"/>
      <w:bookmarkEnd w:id="2"/>
      <w:bookmarkEnd w:id="3"/>
    </w:p>
    <w:tbl>
      <w:tblPr>
        <w:tblStyle w:val="RTITable"/>
        <w:tblW w:w="9360" w:type="dxa"/>
        <w:tblInd w:w="540" w:type="dxa"/>
        <w:tblLook w:val="04A0"/>
      </w:tblPr>
      <w:tblGrid>
        <w:gridCol w:w="2250"/>
        <w:gridCol w:w="7110"/>
      </w:tblGrid>
      <w:tr w14:paraId="7A13E151" w14:textId="77777777" w:rsidTr="006142FF">
        <w:tblPrEx>
          <w:tblW w:w="9360" w:type="dxa"/>
          <w:tblInd w:w="540" w:type="dxa"/>
          <w:tblLook w:val="04A0"/>
        </w:tblPrEx>
        <w:tc>
          <w:tcPr>
            <w:tcW w:w="2250" w:type="dxa"/>
          </w:tcPr>
          <w:p w:rsidR="006142FF" w:rsidRPr="006142FF" w:rsidP="006142FF" w14:paraId="31A23AFB" w14:textId="77777777">
            <w:pPr>
              <w:spacing w:before="80" w:after="80" w:line="240" w:lineRule="auto"/>
              <w:jc w:val="center"/>
              <w:rPr>
                <w:rFonts w:ascii="Times New Roman" w:hAnsi="Times New Roman"/>
                <w:b/>
                <w:lang w:eastAsia="zh-CN"/>
              </w:rPr>
            </w:pPr>
            <w:r w:rsidRPr="006142FF">
              <w:rPr>
                <w:rFonts w:ascii="Times New Roman" w:hAnsi="Times New Roman"/>
                <w:b/>
                <w:lang w:eastAsia="zh-CN"/>
              </w:rPr>
              <w:t>Study</w:t>
            </w:r>
            <w:r w:rsidRPr="006142FF">
              <w:rPr>
                <w:rFonts w:ascii="Times New Roman" w:hAnsi="Times New Roman"/>
                <w:b/>
                <w:lang w:eastAsia="zh-CN"/>
              </w:rPr>
              <w:t xml:space="preserve"> </w:t>
            </w:r>
          </w:p>
        </w:tc>
        <w:tc>
          <w:tcPr>
            <w:tcW w:w="7110" w:type="dxa"/>
          </w:tcPr>
          <w:p w:rsidR="006142FF" w:rsidRPr="006142FF" w:rsidP="006142FF" w14:paraId="37BD73E5" w14:textId="77777777">
            <w:pPr>
              <w:spacing w:before="80" w:after="80" w:line="240" w:lineRule="auto"/>
              <w:jc w:val="center"/>
              <w:rPr>
                <w:rFonts w:ascii="Times New Roman" w:hAnsi="Times New Roman"/>
                <w:b/>
                <w:lang w:eastAsia="zh-CN"/>
              </w:rPr>
            </w:pPr>
            <w:r w:rsidRPr="006142FF">
              <w:rPr>
                <w:rFonts w:ascii="Times New Roman" w:hAnsi="Times New Roman"/>
                <w:b/>
                <w:lang w:eastAsia="zh-CN"/>
              </w:rPr>
              <w:t>Inclusion</w:t>
            </w:r>
            <w:r w:rsidRPr="006142FF">
              <w:rPr>
                <w:rFonts w:ascii="Times New Roman" w:hAnsi="Times New Roman"/>
                <w:b/>
                <w:lang w:eastAsia="zh-CN"/>
              </w:rPr>
              <w:t xml:space="preserve"> </w:t>
            </w:r>
            <w:r w:rsidRPr="006142FF">
              <w:rPr>
                <w:rFonts w:ascii="Times New Roman" w:hAnsi="Times New Roman"/>
                <w:b/>
                <w:lang w:eastAsia="zh-CN"/>
              </w:rPr>
              <w:t>Criteria</w:t>
            </w:r>
          </w:p>
        </w:tc>
      </w:tr>
      <w:tr w14:paraId="67BD65B2" w14:textId="77777777" w:rsidTr="006142FF">
        <w:tblPrEx>
          <w:tblW w:w="9360" w:type="dxa"/>
          <w:tblInd w:w="540" w:type="dxa"/>
          <w:tblLook w:val="04A0"/>
        </w:tblPrEx>
        <w:tc>
          <w:tcPr>
            <w:tcW w:w="2250" w:type="dxa"/>
          </w:tcPr>
          <w:p w:rsidR="006142FF" w:rsidRPr="006142FF" w:rsidP="006142FF" w14:paraId="67B7EB6A" w14:textId="77777777">
            <w:pPr>
              <w:spacing w:before="60" w:after="60" w:line="240" w:lineRule="auto"/>
              <w:rPr>
                <w:rFonts w:ascii="Times New Roman" w:hAnsi="Times New Roman"/>
                <w:lang w:eastAsia="zh-CN"/>
              </w:rPr>
            </w:pPr>
            <w:r w:rsidRPr="006142FF">
              <w:rPr>
                <w:rFonts w:ascii="Times New Roman" w:hAnsi="Times New Roman"/>
                <w:lang w:eastAsia="zh-CN"/>
              </w:rPr>
              <w:t>Study</w:t>
            </w:r>
            <w:r w:rsidRPr="006142FF">
              <w:rPr>
                <w:rFonts w:ascii="Times New Roman" w:hAnsi="Times New Roman"/>
                <w:lang w:eastAsia="zh-CN"/>
              </w:rPr>
              <w:t xml:space="preserve"> 1 and </w:t>
            </w:r>
            <w:r w:rsidRPr="006142FF">
              <w:rPr>
                <w:rFonts w:ascii="Times New Roman" w:hAnsi="Times New Roman"/>
                <w:lang w:eastAsia="zh-CN"/>
              </w:rPr>
              <w:t>Study</w:t>
            </w:r>
            <w:r w:rsidRPr="006142FF">
              <w:rPr>
                <w:rFonts w:ascii="Times New Roman" w:hAnsi="Times New Roman"/>
                <w:lang w:eastAsia="zh-CN"/>
              </w:rPr>
              <w:t xml:space="preserve"> 2 </w:t>
            </w:r>
          </w:p>
        </w:tc>
        <w:tc>
          <w:tcPr>
            <w:tcW w:w="7110" w:type="dxa"/>
          </w:tcPr>
          <w:p w:rsidR="006142FF" w:rsidRPr="006142FF" w:rsidP="006142FF" w14:paraId="15CF3F9D" w14:textId="77777777">
            <w:pPr>
              <w:keepNext/>
              <w:numPr>
                <w:ilvl w:val="0"/>
                <w:numId w:val="14"/>
              </w:numPr>
              <w:spacing w:before="60" w:after="60" w:line="240" w:lineRule="auto"/>
              <w:rPr>
                <w:rFonts w:ascii="Times New Roman" w:hAnsi="Times New Roman"/>
                <w:lang w:eastAsia="zh-CN"/>
              </w:rPr>
            </w:pPr>
            <w:r w:rsidRPr="006142FF">
              <w:rPr>
                <w:rFonts w:ascii="Times New Roman" w:hAnsi="Times New Roman"/>
                <w:lang w:eastAsia="zh-CN"/>
              </w:rPr>
              <w:t xml:space="preserve">18 </w:t>
            </w:r>
            <w:r w:rsidRPr="006142FF">
              <w:rPr>
                <w:rFonts w:ascii="Times New Roman" w:hAnsi="Times New Roman"/>
                <w:lang w:eastAsia="zh-CN"/>
              </w:rPr>
              <w:t>years</w:t>
            </w:r>
            <w:r w:rsidRPr="006142FF">
              <w:rPr>
                <w:rFonts w:ascii="Times New Roman" w:hAnsi="Times New Roman"/>
                <w:lang w:eastAsia="zh-CN"/>
              </w:rPr>
              <w:t xml:space="preserve"> </w:t>
            </w:r>
            <w:r w:rsidRPr="006142FF">
              <w:rPr>
                <w:rFonts w:ascii="Times New Roman" w:hAnsi="Times New Roman"/>
                <w:lang w:eastAsia="zh-CN"/>
              </w:rPr>
              <w:t>or</w:t>
            </w:r>
            <w:r w:rsidRPr="006142FF">
              <w:rPr>
                <w:rFonts w:ascii="Times New Roman" w:hAnsi="Times New Roman"/>
                <w:lang w:eastAsia="zh-CN"/>
              </w:rPr>
              <w:t xml:space="preserve"> </w:t>
            </w:r>
            <w:r w:rsidRPr="006142FF">
              <w:rPr>
                <w:rFonts w:ascii="Times New Roman" w:hAnsi="Times New Roman"/>
                <w:lang w:eastAsia="zh-CN"/>
              </w:rPr>
              <w:t>older</w:t>
            </w:r>
          </w:p>
          <w:p w:rsidR="006142FF" w:rsidRPr="006142FF" w:rsidP="006142FF" w14:paraId="4AC83869" w14:textId="77777777">
            <w:pPr>
              <w:keepNext/>
              <w:numPr>
                <w:ilvl w:val="0"/>
                <w:numId w:val="14"/>
              </w:numPr>
              <w:spacing w:before="60" w:after="60" w:line="240" w:lineRule="auto"/>
              <w:rPr>
                <w:rFonts w:ascii="Times New Roman" w:hAnsi="Times New Roman"/>
                <w:lang w:eastAsia="zh-CN"/>
              </w:rPr>
            </w:pPr>
            <w:r w:rsidRPr="006142FF">
              <w:rPr>
                <w:rFonts w:ascii="Times New Roman" w:hAnsi="Times New Roman"/>
                <w:lang w:eastAsia="zh-CN"/>
              </w:rPr>
              <w:t>Able</w:t>
            </w:r>
            <w:r w:rsidRPr="006142FF">
              <w:rPr>
                <w:rFonts w:ascii="Times New Roman" w:hAnsi="Times New Roman"/>
                <w:lang w:eastAsia="zh-CN"/>
              </w:rPr>
              <w:t xml:space="preserve"> </w:t>
            </w:r>
            <w:r w:rsidRPr="006142FF">
              <w:rPr>
                <w:rFonts w:ascii="Times New Roman" w:hAnsi="Times New Roman"/>
                <w:lang w:eastAsia="zh-CN"/>
              </w:rPr>
              <w:t>to</w:t>
            </w:r>
            <w:r w:rsidRPr="006142FF">
              <w:rPr>
                <w:rFonts w:ascii="Times New Roman" w:hAnsi="Times New Roman"/>
                <w:lang w:eastAsia="zh-CN"/>
              </w:rPr>
              <w:t xml:space="preserve"> </w:t>
            </w:r>
            <w:r w:rsidRPr="006142FF">
              <w:rPr>
                <w:rFonts w:ascii="Times New Roman" w:hAnsi="Times New Roman"/>
                <w:lang w:eastAsia="zh-CN"/>
              </w:rPr>
              <w:t>speak</w:t>
            </w:r>
            <w:r w:rsidRPr="006142FF">
              <w:rPr>
                <w:rFonts w:ascii="Times New Roman" w:hAnsi="Times New Roman"/>
                <w:lang w:eastAsia="zh-CN"/>
              </w:rPr>
              <w:t xml:space="preserve"> and </w:t>
            </w:r>
            <w:r w:rsidRPr="006142FF">
              <w:rPr>
                <w:rFonts w:ascii="Times New Roman" w:hAnsi="Times New Roman"/>
                <w:lang w:eastAsia="zh-CN"/>
              </w:rPr>
              <w:t>read</w:t>
            </w:r>
            <w:r w:rsidRPr="006142FF">
              <w:rPr>
                <w:rFonts w:ascii="Times New Roman" w:hAnsi="Times New Roman"/>
                <w:lang w:eastAsia="zh-CN"/>
              </w:rPr>
              <w:t xml:space="preserve"> English</w:t>
            </w:r>
          </w:p>
          <w:p w:rsidR="006142FF" w:rsidRPr="006142FF" w:rsidP="006142FF" w14:paraId="7E28EDD5" w14:textId="77777777">
            <w:pPr>
              <w:keepNext/>
              <w:numPr>
                <w:ilvl w:val="0"/>
                <w:numId w:val="14"/>
              </w:numPr>
              <w:spacing w:before="60" w:after="60" w:line="240" w:lineRule="auto"/>
              <w:rPr>
                <w:rFonts w:ascii="Times New Roman" w:hAnsi="Times New Roman"/>
                <w:lang w:eastAsia="zh-CN"/>
              </w:rPr>
            </w:pPr>
            <w:r w:rsidRPr="006142FF">
              <w:rPr>
                <w:rFonts w:ascii="Times New Roman" w:hAnsi="Times New Roman"/>
                <w:lang w:eastAsia="zh-CN"/>
              </w:rPr>
              <w:t>Not</w:t>
            </w:r>
            <w:r w:rsidRPr="006142FF">
              <w:rPr>
                <w:rFonts w:ascii="Times New Roman" w:hAnsi="Times New Roman"/>
                <w:lang w:eastAsia="zh-CN"/>
              </w:rPr>
              <w:t xml:space="preserve"> </w:t>
            </w:r>
            <w:r w:rsidRPr="006142FF">
              <w:rPr>
                <w:rFonts w:ascii="Times New Roman" w:hAnsi="Times New Roman"/>
                <w:lang w:eastAsia="zh-CN"/>
              </w:rPr>
              <w:t>employed</w:t>
            </w:r>
            <w:r w:rsidRPr="006142FF">
              <w:rPr>
                <w:rFonts w:ascii="Times New Roman" w:hAnsi="Times New Roman"/>
                <w:lang w:eastAsia="zh-CN"/>
              </w:rPr>
              <w:t xml:space="preserve"> </w:t>
            </w:r>
            <w:r w:rsidRPr="006142FF">
              <w:rPr>
                <w:rFonts w:ascii="Times New Roman" w:hAnsi="Times New Roman"/>
                <w:lang w:eastAsia="zh-CN"/>
              </w:rPr>
              <w:t>by</w:t>
            </w:r>
            <w:r w:rsidRPr="006142FF">
              <w:rPr>
                <w:rFonts w:ascii="Times New Roman" w:hAnsi="Times New Roman"/>
                <w:lang w:eastAsia="zh-CN"/>
              </w:rPr>
              <w:t xml:space="preserve"> </w:t>
            </w:r>
            <w:r w:rsidRPr="006142FF">
              <w:rPr>
                <w:rFonts w:ascii="Times New Roman" w:hAnsi="Times New Roman"/>
                <w:lang w:eastAsia="zh-CN"/>
              </w:rPr>
              <w:t>the</w:t>
            </w:r>
            <w:r w:rsidRPr="006142FF">
              <w:rPr>
                <w:rFonts w:ascii="Times New Roman" w:hAnsi="Times New Roman"/>
                <w:lang w:eastAsia="zh-CN"/>
              </w:rPr>
              <w:t xml:space="preserve"> </w:t>
            </w:r>
            <w:r w:rsidRPr="006142FF">
              <w:rPr>
                <w:rFonts w:ascii="Times New Roman" w:hAnsi="Times New Roman"/>
                <w:lang w:eastAsia="zh-CN"/>
              </w:rPr>
              <w:t>Department</w:t>
            </w:r>
            <w:r w:rsidRPr="006142FF">
              <w:rPr>
                <w:rFonts w:ascii="Times New Roman" w:hAnsi="Times New Roman"/>
                <w:lang w:eastAsia="zh-CN"/>
              </w:rPr>
              <w:t xml:space="preserve"> of Health and Human Services, </w:t>
            </w:r>
            <w:r w:rsidRPr="006142FF">
              <w:rPr>
                <w:rFonts w:ascii="Times New Roman" w:hAnsi="Times New Roman"/>
                <w:lang w:eastAsia="zh-CN"/>
              </w:rPr>
              <w:t>pharmaceutical</w:t>
            </w:r>
            <w:r w:rsidRPr="006142FF">
              <w:rPr>
                <w:rFonts w:ascii="Times New Roman" w:hAnsi="Times New Roman"/>
                <w:lang w:eastAsia="zh-CN"/>
              </w:rPr>
              <w:t xml:space="preserve"> </w:t>
            </w:r>
            <w:r w:rsidRPr="006142FF">
              <w:rPr>
                <w:rFonts w:ascii="Times New Roman" w:hAnsi="Times New Roman"/>
                <w:lang w:eastAsia="zh-CN"/>
              </w:rPr>
              <w:t>companies</w:t>
            </w:r>
            <w:r w:rsidRPr="006142FF">
              <w:rPr>
                <w:rFonts w:ascii="Times New Roman" w:hAnsi="Times New Roman"/>
                <w:lang w:eastAsia="zh-CN"/>
              </w:rPr>
              <w:t xml:space="preserve">, </w:t>
            </w:r>
            <w:r w:rsidRPr="006142FF">
              <w:rPr>
                <w:rFonts w:ascii="Times New Roman" w:hAnsi="Times New Roman"/>
                <w:lang w:eastAsia="zh-CN"/>
              </w:rPr>
              <w:t>or</w:t>
            </w:r>
            <w:r w:rsidRPr="006142FF">
              <w:rPr>
                <w:rFonts w:ascii="Times New Roman" w:hAnsi="Times New Roman"/>
                <w:lang w:eastAsia="zh-CN"/>
              </w:rPr>
              <w:t xml:space="preserve"> marketing </w:t>
            </w:r>
            <w:r w:rsidRPr="006142FF">
              <w:rPr>
                <w:rFonts w:ascii="Times New Roman" w:hAnsi="Times New Roman"/>
                <w:lang w:eastAsia="zh-CN"/>
              </w:rPr>
              <w:t>industry</w:t>
            </w:r>
          </w:p>
          <w:p w:rsidR="006142FF" w:rsidRPr="006142FF" w:rsidP="006142FF" w14:paraId="0338EE7B" w14:textId="77777777">
            <w:pPr>
              <w:keepNext/>
              <w:numPr>
                <w:ilvl w:val="0"/>
                <w:numId w:val="14"/>
              </w:numPr>
              <w:spacing w:before="60" w:after="60" w:line="240" w:lineRule="auto"/>
              <w:rPr>
                <w:rFonts w:ascii="Times New Roman" w:hAnsi="Times New Roman"/>
                <w:lang w:eastAsia="zh-CN"/>
              </w:rPr>
            </w:pPr>
            <w:r w:rsidRPr="006142FF">
              <w:rPr>
                <w:rFonts w:ascii="Times New Roman" w:hAnsi="Times New Roman"/>
                <w:lang w:eastAsia="zh-CN"/>
              </w:rPr>
              <w:t xml:space="preserve">Pretest and </w:t>
            </w:r>
            <w:r w:rsidRPr="006142FF">
              <w:rPr>
                <w:rFonts w:ascii="Times New Roman" w:hAnsi="Times New Roman"/>
                <w:lang w:eastAsia="zh-CN"/>
              </w:rPr>
              <w:t>main</w:t>
            </w:r>
            <w:r w:rsidRPr="006142FF">
              <w:rPr>
                <w:rFonts w:ascii="Times New Roman" w:hAnsi="Times New Roman"/>
                <w:lang w:eastAsia="zh-CN"/>
              </w:rPr>
              <w:t xml:space="preserve"> </w:t>
            </w:r>
            <w:r w:rsidRPr="006142FF">
              <w:rPr>
                <w:rFonts w:ascii="Times New Roman" w:hAnsi="Times New Roman"/>
                <w:lang w:eastAsia="zh-CN"/>
              </w:rPr>
              <w:t>study</w:t>
            </w:r>
            <w:r w:rsidRPr="006142FF">
              <w:rPr>
                <w:rFonts w:ascii="Times New Roman" w:hAnsi="Times New Roman"/>
                <w:lang w:eastAsia="zh-CN"/>
              </w:rPr>
              <w:t xml:space="preserve"> </w:t>
            </w:r>
            <w:r w:rsidRPr="006142FF">
              <w:rPr>
                <w:rFonts w:ascii="Times New Roman" w:hAnsi="Times New Roman"/>
                <w:lang w:eastAsia="zh-CN"/>
              </w:rPr>
              <w:t>only</w:t>
            </w:r>
            <w:r w:rsidRPr="006142FF">
              <w:rPr>
                <w:rFonts w:ascii="Times New Roman" w:hAnsi="Times New Roman"/>
                <w:lang w:eastAsia="zh-CN"/>
              </w:rPr>
              <w:t>:</w:t>
            </w:r>
            <w:r w:rsidRPr="006142FF">
              <w:rPr>
                <w:rFonts w:ascii="Times New Roman" w:hAnsi="Times New Roman"/>
                <w:b/>
                <w:bCs/>
                <w:lang w:eastAsia="zh-CN"/>
              </w:rPr>
              <w:t xml:space="preserve"> </w:t>
            </w:r>
            <w:r w:rsidRPr="006142FF">
              <w:rPr>
                <w:rFonts w:ascii="Times New Roman" w:hAnsi="Times New Roman"/>
                <w:lang w:eastAsia="zh-CN"/>
              </w:rPr>
              <w:t>Take</w:t>
            </w:r>
            <w:r w:rsidRPr="006142FF">
              <w:rPr>
                <w:rFonts w:ascii="Times New Roman" w:hAnsi="Times New Roman"/>
                <w:lang w:eastAsia="zh-CN"/>
              </w:rPr>
              <w:t xml:space="preserve"> </w:t>
            </w:r>
            <w:r w:rsidRPr="006142FF">
              <w:rPr>
                <w:rFonts w:ascii="Times New Roman" w:hAnsi="Times New Roman"/>
                <w:lang w:eastAsia="zh-CN"/>
              </w:rPr>
              <w:t>the</w:t>
            </w:r>
            <w:r w:rsidRPr="006142FF">
              <w:rPr>
                <w:rFonts w:ascii="Times New Roman" w:hAnsi="Times New Roman"/>
                <w:lang w:eastAsia="zh-CN"/>
              </w:rPr>
              <w:t xml:space="preserve"> </w:t>
            </w:r>
            <w:r w:rsidRPr="006142FF">
              <w:rPr>
                <w:rFonts w:ascii="Times New Roman" w:hAnsi="Times New Roman"/>
                <w:lang w:eastAsia="zh-CN"/>
              </w:rPr>
              <w:t>survey</w:t>
            </w:r>
            <w:r w:rsidRPr="006142FF">
              <w:rPr>
                <w:rFonts w:ascii="Times New Roman" w:hAnsi="Times New Roman"/>
                <w:lang w:eastAsia="zh-CN"/>
              </w:rPr>
              <w:t xml:space="preserve"> </w:t>
            </w:r>
            <w:r w:rsidRPr="006142FF">
              <w:rPr>
                <w:rFonts w:ascii="Times New Roman" w:hAnsi="Times New Roman"/>
                <w:lang w:eastAsia="zh-CN"/>
              </w:rPr>
              <w:t>on</w:t>
            </w:r>
            <w:r w:rsidRPr="006142FF">
              <w:rPr>
                <w:rFonts w:ascii="Times New Roman" w:hAnsi="Times New Roman"/>
                <w:lang w:eastAsia="zh-CN"/>
              </w:rPr>
              <w:t xml:space="preserve"> desktop, laptop, </w:t>
            </w:r>
            <w:r w:rsidRPr="006142FF">
              <w:rPr>
                <w:rFonts w:ascii="Times New Roman" w:hAnsi="Times New Roman"/>
                <w:lang w:eastAsia="zh-CN"/>
              </w:rPr>
              <w:t>or</w:t>
            </w:r>
            <w:r w:rsidRPr="006142FF">
              <w:rPr>
                <w:rFonts w:ascii="Times New Roman" w:hAnsi="Times New Roman"/>
                <w:lang w:eastAsia="zh-CN"/>
              </w:rPr>
              <w:t xml:space="preserve"> </w:t>
            </w:r>
            <w:r w:rsidRPr="006142FF">
              <w:rPr>
                <w:rFonts w:ascii="Times New Roman" w:hAnsi="Times New Roman"/>
                <w:lang w:eastAsia="zh-CN"/>
              </w:rPr>
              <w:t>tablet</w:t>
            </w:r>
          </w:p>
          <w:p w:rsidR="006142FF" w:rsidRPr="006142FF" w:rsidP="006142FF" w14:paraId="3A219FF4" w14:textId="77777777">
            <w:pPr>
              <w:keepNext/>
              <w:numPr>
                <w:ilvl w:val="0"/>
                <w:numId w:val="14"/>
              </w:numPr>
              <w:spacing w:before="60" w:after="60" w:line="240" w:lineRule="auto"/>
              <w:rPr>
                <w:rFonts w:ascii="Times New Roman" w:hAnsi="Times New Roman"/>
                <w:lang w:eastAsia="zh-CN"/>
              </w:rPr>
            </w:pPr>
            <w:r w:rsidRPr="006142FF">
              <w:rPr>
                <w:rFonts w:ascii="Times New Roman" w:hAnsi="Times New Roman"/>
                <w:lang w:eastAsia="zh-CN"/>
              </w:rPr>
              <w:t>Main</w:t>
            </w:r>
            <w:r w:rsidRPr="006142FF">
              <w:rPr>
                <w:rFonts w:ascii="Times New Roman" w:hAnsi="Times New Roman"/>
                <w:lang w:eastAsia="zh-CN"/>
              </w:rPr>
              <w:t xml:space="preserve"> </w:t>
            </w:r>
            <w:r w:rsidRPr="006142FF">
              <w:rPr>
                <w:rFonts w:ascii="Times New Roman" w:hAnsi="Times New Roman"/>
                <w:lang w:eastAsia="zh-CN"/>
              </w:rPr>
              <w:t>study</w:t>
            </w:r>
            <w:r w:rsidRPr="006142FF">
              <w:rPr>
                <w:rFonts w:ascii="Times New Roman" w:hAnsi="Times New Roman"/>
                <w:lang w:eastAsia="zh-CN"/>
              </w:rPr>
              <w:t xml:space="preserve"> </w:t>
            </w:r>
            <w:r w:rsidRPr="006142FF">
              <w:rPr>
                <w:rFonts w:ascii="Times New Roman" w:hAnsi="Times New Roman"/>
                <w:lang w:eastAsia="zh-CN"/>
              </w:rPr>
              <w:t>only</w:t>
            </w:r>
            <w:r w:rsidRPr="006142FF">
              <w:rPr>
                <w:rFonts w:ascii="Times New Roman" w:hAnsi="Times New Roman"/>
                <w:lang w:eastAsia="zh-CN"/>
              </w:rPr>
              <w:t xml:space="preserve">: </w:t>
            </w:r>
            <w:r w:rsidRPr="006142FF">
              <w:rPr>
                <w:rFonts w:ascii="Times New Roman" w:hAnsi="Times New Roman"/>
                <w:lang w:eastAsia="zh-CN"/>
              </w:rPr>
              <w:t>Did</w:t>
            </w:r>
            <w:r w:rsidRPr="006142FF">
              <w:rPr>
                <w:rFonts w:ascii="Times New Roman" w:hAnsi="Times New Roman"/>
                <w:lang w:eastAsia="zh-CN"/>
              </w:rPr>
              <w:t xml:space="preserve"> </w:t>
            </w:r>
            <w:r w:rsidRPr="006142FF">
              <w:rPr>
                <w:rFonts w:ascii="Times New Roman" w:hAnsi="Times New Roman"/>
                <w:lang w:eastAsia="zh-CN"/>
              </w:rPr>
              <w:t>not</w:t>
            </w:r>
            <w:r w:rsidRPr="006142FF">
              <w:rPr>
                <w:rFonts w:ascii="Times New Roman" w:hAnsi="Times New Roman"/>
                <w:lang w:eastAsia="zh-CN"/>
              </w:rPr>
              <w:t xml:space="preserve"> </w:t>
            </w:r>
            <w:r w:rsidRPr="006142FF">
              <w:rPr>
                <w:rFonts w:ascii="Times New Roman" w:hAnsi="Times New Roman"/>
                <w:lang w:eastAsia="zh-CN"/>
              </w:rPr>
              <w:t>participate</w:t>
            </w:r>
            <w:r w:rsidRPr="006142FF">
              <w:rPr>
                <w:rFonts w:ascii="Times New Roman" w:hAnsi="Times New Roman"/>
                <w:lang w:eastAsia="zh-CN"/>
              </w:rPr>
              <w:t xml:space="preserve"> in </w:t>
            </w:r>
            <w:r w:rsidRPr="006142FF">
              <w:rPr>
                <w:rFonts w:ascii="Times New Roman" w:hAnsi="Times New Roman"/>
                <w:lang w:eastAsia="zh-CN"/>
              </w:rPr>
              <w:t>the</w:t>
            </w:r>
            <w:r w:rsidRPr="006142FF">
              <w:rPr>
                <w:rFonts w:ascii="Times New Roman" w:hAnsi="Times New Roman"/>
                <w:lang w:eastAsia="zh-CN"/>
              </w:rPr>
              <w:t xml:space="preserve"> </w:t>
            </w:r>
            <w:r w:rsidRPr="006142FF">
              <w:rPr>
                <w:rFonts w:ascii="Times New Roman" w:hAnsi="Times New Roman"/>
                <w:lang w:eastAsia="zh-CN"/>
              </w:rPr>
              <w:t>study</w:t>
            </w:r>
            <w:r w:rsidRPr="006142FF">
              <w:rPr>
                <w:rFonts w:ascii="Times New Roman" w:hAnsi="Times New Roman"/>
                <w:lang w:eastAsia="zh-CN"/>
              </w:rPr>
              <w:t xml:space="preserve"> pretest</w:t>
            </w:r>
          </w:p>
          <w:p w:rsidR="006142FF" w:rsidRPr="006142FF" w:rsidP="006142FF" w14:paraId="3702211F" w14:textId="64C809C9">
            <w:pPr>
              <w:keepNext/>
              <w:spacing w:before="60" w:after="60" w:line="240" w:lineRule="auto"/>
              <w:rPr>
                <w:rFonts w:ascii="Times New Roman" w:hAnsi="Times New Roman"/>
                <w:lang w:eastAsia="zh-CN"/>
              </w:rPr>
            </w:pPr>
          </w:p>
        </w:tc>
      </w:tr>
      <w:tr w14:paraId="0D214B7C" w14:textId="77777777" w:rsidTr="006142FF">
        <w:tblPrEx>
          <w:tblW w:w="9360" w:type="dxa"/>
          <w:tblInd w:w="540" w:type="dxa"/>
          <w:tblLook w:val="04A0"/>
        </w:tblPrEx>
        <w:tc>
          <w:tcPr>
            <w:tcW w:w="2250" w:type="dxa"/>
          </w:tcPr>
          <w:p w:rsidR="006142FF" w:rsidRPr="006142FF" w:rsidP="006142FF" w14:paraId="67F349C9" w14:textId="77777777">
            <w:pPr>
              <w:spacing w:before="60" w:after="60" w:line="240" w:lineRule="auto"/>
              <w:rPr>
                <w:rFonts w:ascii="Times New Roman" w:hAnsi="Times New Roman"/>
                <w:lang w:eastAsia="zh-CN"/>
              </w:rPr>
            </w:pPr>
            <w:r w:rsidRPr="006142FF">
              <w:rPr>
                <w:rFonts w:ascii="Times New Roman" w:hAnsi="Times New Roman"/>
                <w:lang w:eastAsia="zh-CN"/>
              </w:rPr>
              <w:t>Study</w:t>
            </w:r>
            <w:r w:rsidRPr="006142FF">
              <w:rPr>
                <w:rFonts w:ascii="Times New Roman" w:hAnsi="Times New Roman"/>
                <w:lang w:eastAsia="zh-CN"/>
              </w:rPr>
              <w:t xml:space="preserve"> 1 (general </w:t>
            </w:r>
            <w:r w:rsidRPr="006142FF">
              <w:rPr>
                <w:rFonts w:ascii="Times New Roman" w:hAnsi="Times New Roman"/>
                <w:lang w:eastAsia="zh-CN"/>
              </w:rPr>
              <w:t>population</w:t>
            </w:r>
            <w:r w:rsidRPr="006142FF">
              <w:rPr>
                <w:rFonts w:ascii="Times New Roman" w:hAnsi="Times New Roman"/>
                <w:lang w:eastAsia="zh-CN"/>
              </w:rPr>
              <w:t xml:space="preserve"> </w:t>
            </w:r>
            <w:r w:rsidRPr="006142FF">
              <w:rPr>
                <w:rFonts w:ascii="Times New Roman" w:hAnsi="Times New Roman"/>
                <w:lang w:eastAsia="zh-CN"/>
              </w:rPr>
              <w:t>consumers</w:t>
            </w:r>
            <w:r w:rsidRPr="006142FF">
              <w:rPr>
                <w:rFonts w:ascii="Times New Roman" w:hAnsi="Times New Roman"/>
                <w:lang w:eastAsia="zh-CN"/>
              </w:rPr>
              <w:t>)</w:t>
            </w:r>
          </w:p>
        </w:tc>
        <w:tc>
          <w:tcPr>
            <w:tcW w:w="7110" w:type="dxa"/>
          </w:tcPr>
          <w:p w:rsidR="006142FF" w:rsidRPr="006142FF" w:rsidP="006142FF" w14:paraId="7B6281FA" w14:textId="77777777">
            <w:pPr>
              <w:keepNext/>
              <w:numPr>
                <w:ilvl w:val="0"/>
                <w:numId w:val="14"/>
              </w:numPr>
              <w:spacing w:before="60" w:after="60" w:line="240" w:lineRule="auto"/>
              <w:rPr>
                <w:rFonts w:ascii="Times New Roman" w:hAnsi="Times New Roman"/>
                <w:lang w:eastAsia="zh-CN"/>
              </w:rPr>
            </w:pPr>
            <w:r w:rsidRPr="006142FF">
              <w:rPr>
                <w:rFonts w:ascii="Times New Roman" w:hAnsi="Times New Roman"/>
                <w:lang w:eastAsia="zh-CN"/>
              </w:rPr>
              <w:t>Not</w:t>
            </w:r>
            <w:r w:rsidRPr="006142FF">
              <w:rPr>
                <w:rFonts w:ascii="Times New Roman" w:hAnsi="Times New Roman"/>
                <w:lang w:eastAsia="zh-CN"/>
              </w:rPr>
              <w:t xml:space="preserve"> </w:t>
            </w:r>
            <w:r w:rsidRPr="006142FF">
              <w:rPr>
                <w:rFonts w:ascii="Times New Roman" w:hAnsi="Times New Roman"/>
                <w:lang w:eastAsia="zh-CN"/>
              </w:rPr>
              <w:t>employed</w:t>
            </w:r>
            <w:r w:rsidRPr="006142FF">
              <w:rPr>
                <w:rFonts w:ascii="Times New Roman" w:hAnsi="Times New Roman"/>
                <w:lang w:eastAsia="zh-CN"/>
              </w:rPr>
              <w:t xml:space="preserve"> in </w:t>
            </w:r>
            <w:r w:rsidRPr="006142FF">
              <w:rPr>
                <w:rFonts w:ascii="Times New Roman" w:hAnsi="Times New Roman"/>
                <w:lang w:eastAsia="zh-CN"/>
              </w:rPr>
              <w:t>the</w:t>
            </w:r>
            <w:r w:rsidRPr="006142FF">
              <w:rPr>
                <w:rFonts w:ascii="Times New Roman" w:hAnsi="Times New Roman"/>
                <w:lang w:eastAsia="zh-CN"/>
              </w:rPr>
              <w:t xml:space="preserve"> </w:t>
            </w:r>
            <w:r w:rsidRPr="006142FF">
              <w:rPr>
                <w:rFonts w:ascii="Times New Roman" w:hAnsi="Times New Roman"/>
                <w:lang w:eastAsia="zh-CN"/>
              </w:rPr>
              <w:t>healthcare</w:t>
            </w:r>
            <w:r w:rsidRPr="006142FF">
              <w:rPr>
                <w:rFonts w:ascii="Times New Roman" w:hAnsi="Times New Roman"/>
                <w:lang w:eastAsia="zh-CN"/>
              </w:rPr>
              <w:t xml:space="preserve"> </w:t>
            </w:r>
            <w:r w:rsidRPr="006142FF">
              <w:rPr>
                <w:rFonts w:ascii="Times New Roman" w:hAnsi="Times New Roman"/>
                <w:lang w:eastAsia="zh-CN"/>
              </w:rPr>
              <w:t>industry</w:t>
            </w:r>
          </w:p>
        </w:tc>
      </w:tr>
      <w:tr w14:paraId="5EE63805" w14:textId="77777777" w:rsidTr="006142FF">
        <w:tblPrEx>
          <w:tblW w:w="9360" w:type="dxa"/>
          <w:tblInd w:w="540" w:type="dxa"/>
          <w:tblLook w:val="04A0"/>
        </w:tblPrEx>
        <w:tc>
          <w:tcPr>
            <w:tcW w:w="2250" w:type="dxa"/>
          </w:tcPr>
          <w:p w:rsidR="006142FF" w:rsidRPr="006142FF" w:rsidP="006142FF" w14:paraId="51598AAB" w14:textId="77777777">
            <w:pPr>
              <w:spacing w:before="60" w:after="60" w:line="240" w:lineRule="auto"/>
              <w:rPr>
                <w:rFonts w:ascii="Times New Roman" w:hAnsi="Times New Roman"/>
                <w:lang w:eastAsia="zh-CN"/>
              </w:rPr>
            </w:pPr>
            <w:r w:rsidRPr="006142FF">
              <w:rPr>
                <w:rFonts w:ascii="Times New Roman" w:hAnsi="Times New Roman"/>
                <w:lang w:eastAsia="zh-CN"/>
              </w:rPr>
              <w:t>Study</w:t>
            </w:r>
            <w:r w:rsidRPr="006142FF">
              <w:rPr>
                <w:rFonts w:ascii="Times New Roman" w:hAnsi="Times New Roman"/>
                <w:lang w:eastAsia="zh-CN"/>
              </w:rPr>
              <w:t xml:space="preserve"> 2 (</w:t>
            </w:r>
            <w:r w:rsidRPr="006142FF">
              <w:rPr>
                <w:rFonts w:ascii="Times New Roman" w:hAnsi="Times New Roman"/>
                <w:lang w:eastAsia="zh-CN"/>
              </w:rPr>
              <w:t>HCPs</w:t>
            </w:r>
            <w:r w:rsidRPr="006142FF">
              <w:rPr>
                <w:rFonts w:ascii="Times New Roman" w:hAnsi="Times New Roman"/>
                <w:lang w:eastAsia="zh-CN"/>
              </w:rPr>
              <w:t>)</w:t>
            </w:r>
          </w:p>
        </w:tc>
        <w:tc>
          <w:tcPr>
            <w:tcW w:w="7110" w:type="dxa"/>
          </w:tcPr>
          <w:p w:rsidR="006142FF" w:rsidRPr="006142FF" w:rsidP="006142FF" w14:paraId="7329ABEB" w14:textId="77777777">
            <w:pPr>
              <w:keepNext/>
              <w:numPr>
                <w:ilvl w:val="0"/>
                <w:numId w:val="14"/>
              </w:numPr>
              <w:spacing w:before="60" w:after="60" w:line="240" w:lineRule="auto"/>
              <w:rPr>
                <w:rFonts w:ascii="Times New Roman" w:hAnsi="Times New Roman"/>
                <w:lang w:eastAsia="zh-CN"/>
              </w:rPr>
            </w:pPr>
            <w:r w:rsidRPr="006142FF">
              <w:rPr>
                <w:rFonts w:ascii="Times New Roman" w:hAnsi="Times New Roman"/>
                <w:lang w:eastAsia="zh-CN"/>
              </w:rPr>
              <w:t>HCPs</w:t>
            </w:r>
            <w:r w:rsidRPr="006142FF">
              <w:rPr>
                <w:rFonts w:ascii="Times New Roman" w:hAnsi="Times New Roman"/>
                <w:lang w:eastAsia="zh-CN"/>
              </w:rPr>
              <w:t xml:space="preserve"> </w:t>
            </w:r>
            <w:r w:rsidRPr="006142FF">
              <w:rPr>
                <w:rFonts w:ascii="Times New Roman" w:hAnsi="Times New Roman"/>
                <w:lang w:eastAsia="zh-CN"/>
              </w:rPr>
              <w:t>with</w:t>
            </w:r>
            <w:r w:rsidRPr="006142FF">
              <w:rPr>
                <w:rFonts w:ascii="Times New Roman" w:hAnsi="Times New Roman"/>
                <w:lang w:eastAsia="zh-CN"/>
              </w:rPr>
              <w:t xml:space="preserve"> </w:t>
            </w:r>
            <w:r w:rsidRPr="006142FF">
              <w:rPr>
                <w:rFonts w:ascii="Times New Roman" w:hAnsi="Times New Roman"/>
                <w:lang w:eastAsia="zh-CN"/>
              </w:rPr>
              <w:t>oncology</w:t>
            </w:r>
            <w:r w:rsidRPr="006142FF">
              <w:rPr>
                <w:rFonts w:ascii="Times New Roman" w:hAnsi="Times New Roman"/>
                <w:lang w:eastAsia="zh-CN"/>
              </w:rPr>
              <w:t xml:space="preserve"> </w:t>
            </w:r>
            <w:r w:rsidRPr="006142FF">
              <w:rPr>
                <w:rFonts w:ascii="Times New Roman" w:hAnsi="Times New Roman"/>
                <w:lang w:eastAsia="zh-CN"/>
              </w:rPr>
              <w:t>experience</w:t>
            </w:r>
            <w:r w:rsidRPr="006142FF">
              <w:rPr>
                <w:rFonts w:ascii="Times New Roman" w:hAnsi="Times New Roman"/>
                <w:lang w:eastAsia="zh-CN"/>
              </w:rPr>
              <w:t xml:space="preserve"> (</w:t>
            </w:r>
            <w:r w:rsidRPr="006142FF">
              <w:rPr>
                <w:rFonts w:ascii="Times New Roman" w:hAnsi="Times New Roman"/>
                <w:lang w:eastAsia="zh-CN"/>
              </w:rPr>
              <w:t>to</w:t>
            </w:r>
            <w:r w:rsidRPr="006142FF">
              <w:rPr>
                <w:rFonts w:ascii="Times New Roman" w:hAnsi="Times New Roman"/>
                <w:lang w:eastAsia="zh-CN"/>
              </w:rPr>
              <w:t xml:space="preserve"> </w:t>
            </w:r>
            <w:r w:rsidRPr="006142FF">
              <w:rPr>
                <w:rFonts w:ascii="Times New Roman" w:hAnsi="Times New Roman"/>
                <w:lang w:eastAsia="zh-CN"/>
              </w:rPr>
              <w:t>include</w:t>
            </w:r>
            <w:r w:rsidRPr="006142FF">
              <w:rPr>
                <w:rFonts w:ascii="Times New Roman" w:hAnsi="Times New Roman"/>
                <w:lang w:eastAsia="zh-CN"/>
              </w:rPr>
              <w:t xml:space="preserve"> a </w:t>
            </w:r>
            <w:r w:rsidRPr="006142FF">
              <w:rPr>
                <w:rFonts w:ascii="Times New Roman" w:hAnsi="Times New Roman"/>
                <w:lang w:eastAsia="zh-CN"/>
              </w:rPr>
              <w:t>mix</w:t>
            </w:r>
            <w:r w:rsidRPr="006142FF">
              <w:rPr>
                <w:rFonts w:ascii="Times New Roman" w:hAnsi="Times New Roman"/>
                <w:lang w:eastAsia="zh-CN"/>
              </w:rPr>
              <w:t xml:space="preserve"> of </w:t>
            </w:r>
            <w:r w:rsidRPr="006142FF">
              <w:rPr>
                <w:rFonts w:ascii="Times New Roman" w:hAnsi="Times New Roman"/>
                <w:lang w:eastAsia="zh-CN"/>
              </w:rPr>
              <w:t>physicians</w:t>
            </w:r>
            <w:r w:rsidRPr="006142FF">
              <w:rPr>
                <w:rFonts w:ascii="Times New Roman" w:hAnsi="Times New Roman"/>
                <w:lang w:eastAsia="zh-CN"/>
              </w:rPr>
              <w:t xml:space="preserve">, </w:t>
            </w:r>
            <w:r w:rsidRPr="006142FF">
              <w:rPr>
                <w:rFonts w:ascii="Times New Roman" w:hAnsi="Times New Roman"/>
                <w:lang w:eastAsia="zh-CN"/>
              </w:rPr>
              <w:t>NPs</w:t>
            </w:r>
            <w:r w:rsidRPr="006142FF">
              <w:rPr>
                <w:rFonts w:ascii="Times New Roman" w:hAnsi="Times New Roman"/>
                <w:lang w:eastAsia="zh-CN"/>
              </w:rPr>
              <w:t xml:space="preserve">, and </w:t>
            </w:r>
            <w:r w:rsidRPr="006142FF">
              <w:rPr>
                <w:rFonts w:ascii="Times New Roman" w:hAnsi="Times New Roman"/>
                <w:lang w:eastAsia="zh-CN"/>
              </w:rPr>
              <w:t>PAs</w:t>
            </w:r>
            <w:r w:rsidRPr="006142FF">
              <w:rPr>
                <w:rFonts w:ascii="Times New Roman" w:hAnsi="Times New Roman"/>
                <w:lang w:eastAsia="zh-CN"/>
              </w:rPr>
              <w:t xml:space="preserve"> </w:t>
            </w:r>
            <w:r w:rsidRPr="006142FF">
              <w:rPr>
                <w:rFonts w:ascii="Times New Roman" w:hAnsi="Times New Roman"/>
                <w:lang w:eastAsia="zh-CN"/>
              </w:rPr>
              <w:t>with</w:t>
            </w:r>
            <w:r w:rsidRPr="006142FF">
              <w:rPr>
                <w:rFonts w:ascii="Times New Roman" w:hAnsi="Times New Roman"/>
                <w:lang w:eastAsia="zh-CN"/>
              </w:rPr>
              <w:t xml:space="preserve"> a </w:t>
            </w:r>
            <w:r w:rsidRPr="006142FF">
              <w:rPr>
                <w:rFonts w:ascii="Times New Roman" w:hAnsi="Times New Roman"/>
                <w:lang w:eastAsia="zh-CN"/>
              </w:rPr>
              <w:t>specialty</w:t>
            </w:r>
            <w:r w:rsidRPr="006142FF">
              <w:rPr>
                <w:rFonts w:ascii="Times New Roman" w:hAnsi="Times New Roman"/>
                <w:lang w:eastAsia="zh-CN"/>
              </w:rPr>
              <w:t xml:space="preserve"> in </w:t>
            </w:r>
            <w:r w:rsidRPr="006142FF">
              <w:rPr>
                <w:rFonts w:ascii="Times New Roman" w:hAnsi="Times New Roman"/>
                <w:lang w:eastAsia="zh-CN"/>
              </w:rPr>
              <w:t>oncology</w:t>
            </w:r>
            <w:r w:rsidRPr="006142FF">
              <w:rPr>
                <w:rFonts w:ascii="Times New Roman" w:hAnsi="Times New Roman"/>
                <w:lang w:eastAsia="zh-CN"/>
              </w:rPr>
              <w:t xml:space="preserve"> and </w:t>
            </w:r>
            <w:r w:rsidRPr="006142FF">
              <w:rPr>
                <w:rFonts w:ascii="Times New Roman" w:hAnsi="Times New Roman"/>
                <w:lang w:eastAsia="zh-CN"/>
              </w:rPr>
              <w:t>PCPs</w:t>
            </w:r>
            <w:r w:rsidRPr="006142FF">
              <w:rPr>
                <w:rFonts w:ascii="Times New Roman" w:hAnsi="Times New Roman"/>
                <w:lang w:eastAsia="zh-CN"/>
              </w:rPr>
              <w:t xml:space="preserve"> </w:t>
            </w:r>
            <w:r w:rsidRPr="006142FF">
              <w:rPr>
                <w:rFonts w:ascii="Times New Roman" w:hAnsi="Times New Roman"/>
                <w:lang w:eastAsia="zh-CN"/>
              </w:rPr>
              <w:t>with</w:t>
            </w:r>
            <w:r w:rsidRPr="006142FF">
              <w:rPr>
                <w:rFonts w:ascii="Times New Roman" w:hAnsi="Times New Roman"/>
                <w:lang w:eastAsia="zh-CN"/>
              </w:rPr>
              <w:t xml:space="preserve"> </w:t>
            </w:r>
            <w:r w:rsidRPr="006142FF">
              <w:rPr>
                <w:rFonts w:ascii="Times New Roman" w:hAnsi="Times New Roman"/>
                <w:lang w:eastAsia="zh-CN"/>
              </w:rPr>
              <w:t>oncology</w:t>
            </w:r>
            <w:r w:rsidRPr="006142FF">
              <w:rPr>
                <w:rFonts w:ascii="Times New Roman" w:hAnsi="Times New Roman"/>
                <w:lang w:eastAsia="zh-CN"/>
              </w:rPr>
              <w:t xml:space="preserve"> </w:t>
            </w:r>
            <w:r w:rsidRPr="006142FF">
              <w:rPr>
                <w:rFonts w:ascii="Times New Roman" w:hAnsi="Times New Roman"/>
                <w:lang w:eastAsia="zh-CN"/>
              </w:rPr>
              <w:t>experience</w:t>
            </w:r>
            <w:r w:rsidRPr="006142FF">
              <w:rPr>
                <w:rFonts w:ascii="Times New Roman" w:hAnsi="Times New Roman"/>
                <w:lang w:eastAsia="zh-CN"/>
              </w:rPr>
              <w:t>)</w:t>
            </w:r>
          </w:p>
          <w:p w:rsidR="006142FF" w:rsidRPr="006142FF" w:rsidP="006142FF" w14:paraId="20B5427F" w14:textId="77777777">
            <w:pPr>
              <w:keepNext/>
              <w:numPr>
                <w:ilvl w:val="0"/>
                <w:numId w:val="14"/>
              </w:numPr>
              <w:spacing w:before="60" w:after="60" w:line="240" w:lineRule="auto"/>
              <w:rPr>
                <w:rFonts w:ascii="Times New Roman" w:hAnsi="Times New Roman"/>
                <w:lang w:eastAsia="zh-CN"/>
              </w:rPr>
            </w:pPr>
            <w:r w:rsidRPr="006142FF">
              <w:rPr>
                <w:rFonts w:ascii="Times New Roman" w:hAnsi="Times New Roman"/>
                <w:lang w:eastAsia="zh-CN"/>
              </w:rPr>
              <w:t>Have</w:t>
            </w:r>
            <w:r w:rsidRPr="006142FF">
              <w:rPr>
                <w:rFonts w:ascii="Times New Roman" w:hAnsi="Times New Roman"/>
                <w:lang w:eastAsia="zh-CN"/>
              </w:rPr>
              <w:t xml:space="preserve"> </w:t>
            </w:r>
            <w:r w:rsidRPr="006142FF">
              <w:rPr>
                <w:rFonts w:ascii="Times New Roman" w:hAnsi="Times New Roman"/>
                <w:lang w:eastAsia="zh-CN"/>
              </w:rPr>
              <w:t>prescribing</w:t>
            </w:r>
            <w:r w:rsidRPr="006142FF">
              <w:rPr>
                <w:rFonts w:ascii="Times New Roman" w:hAnsi="Times New Roman"/>
                <w:lang w:eastAsia="zh-CN"/>
              </w:rPr>
              <w:t xml:space="preserve"> </w:t>
            </w:r>
            <w:r w:rsidRPr="006142FF">
              <w:rPr>
                <w:rFonts w:ascii="Times New Roman" w:hAnsi="Times New Roman"/>
                <w:lang w:eastAsia="zh-CN"/>
              </w:rPr>
              <w:t>authority</w:t>
            </w:r>
          </w:p>
          <w:p w:rsidR="006142FF" w:rsidRPr="006142FF" w:rsidP="006142FF" w14:paraId="64C4B9CE" w14:textId="77777777">
            <w:pPr>
              <w:keepNext/>
              <w:numPr>
                <w:ilvl w:val="0"/>
                <w:numId w:val="14"/>
              </w:numPr>
              <w:spacing w:before="60" w:after="60" w:line="240" w:lineRule="auto"/>
              <w:rPr>
                <w:rFonts w:ascii="Times New Roman" w:hAnsi="Times New Roman"/>
                <w:lang w:eastAsia="zh-CN"/>
              </w:rPr>
            </w:pPr>
            <w:r w:rsidRPr="006142FF">
              <w:rPr>
                <w:rFonts w:ascii="Times New Roman" w:hAnsi="Times New Roman"/>
                <w:lang w:eastAsia="zh-CN"/>
              </w:rPr>
              <w:t xml:space="preserve">Prescribe at </w:t>
            </w:r>
            <w:r w:rsidRPr="006142FF">
              <w:rPr>
                <w:rFonts w:ascii="Times New Roman" w:hAnsi="Times New Roman"/>
                <w:lang w:eastAsia="zh-CN"/>
              </w:rPr>
              <w:t>least</w:t>
            </w:r>
            <w:r w:rsidRPr="006142FF">
              <w:rPr>
                <w:rFonts w:ascii="Times New Roman" w:hAnsi="Times New Roman"/>
                <w:lang w:eastAsia="zh-CN"/>
              </w:rPr>
              <w:t xml:space="preserve"> </w:t>
            </w:r>
            <w:r w:rsidRPr="006142FF">
              <w:rPr>
                <w:rFonts w:ascii="Times New Roman" w:hAnsi="Times New Roman"/>
                <w:lang w:eastAsia="zh-CN"/>
              </w:rPr>
              <w:t>one</w:t>
            </w:r>
            <w:r w:rsidRPr="006142FF">
              <w:rPr>
                <w:rFonts w:ascii="Times New Roman" w:hAnsi="Times New Roman"/>
                <w:lang w:eastAsia="zh-CN"/>
              </w:rPr>
              <w:t xml:space="preserve"> </w:t>
            </w:r>
            <w:r w:rsidRPr="006142FF">
              <w:rPr>
                <w:rFonts w:ascii="Times New Roman" w:hAnsi="Times New Roman"/>
                <w:lang w:eastAsia="zh-CN"/>
              </w:rPr>
              <w:t>oncology</w:t>
            </w:r>
            <w:r w:rsidRPr="006142FF">
              <w:rPr>
                <w:rFonts w:ascii="Times New Roman" w:hAnsi="Times New Roman"/>
                <w:lang w:eastAsia="zh-CN"/>
              </w:rPr>
              <w:t xml:space="preserve"> </w:t>
            </w:r>
            <w:r w:rsidRPr="006142FF">
              <w:rPr>
                <w:rFonts w:ascii="Times New Roman" w:hAnsi="Times New Roman"/>
                <w:lang w:eastAsia="zh-CN"/>
              </w:rPr>
              <w:t>medication</w:t>
            </w:r>
            <w:r w:rsidRPr="006142FF">
              <w:rPr>
                <w:rFonts w:ascii="Times New Roman" w:hAnsi="Times New Roman"/>
                <w:lang w:eastAsia="zh-CN"/>
              </w:rPr>
              <w:t xml:space="preserve"> in a </w:t>
            </w:r>
            <w:r w:rsidRPr="006142FF">
              <w:rPr>
                <w:rFonts w:ascii="Times New Roman" w:hAnsi="Times New Roman"/>
                <w:lang w:eastAsia="zh-CN"/>
              </w:rPr>
              <w:t>typical</w:t>
            </w:r>
            <w:r w:rsidRPr="006142FF">
              <w:rPr>
                <w:rFonts w:ascii="Times New Roman" w:hAnsi="Times New Roman"/>
                <w:lang w:eastAsia="zh-CN"/>
              </w:rPr>
              <w:t xml:space="preserve"> </w:t>
            </w:r>
            <w:r w:rsidRPr="006142FF">
              <w:rPr>
                <w:rFonts w:ascii="Times New Roman" w:hAnsi="Times New Roman"/>
                <w:lang w:eastAsia="zh-CN"/>
              </w:rPr>
              <w:t>month</w:t>
            </w:r>
          </w:p>
          <w:p w:rsidR="006142FF" w:rsidRPr="006142FF" w:rsidP="006142FF" w14:paraId="6A191276" w14:textId="77777777">
            <w:pPr>
              <w:keepNext/>
              <w:numPr>
                <w:ilvl w:val="0"/>
                <w:numId w:val="14"/>
              </w:numPr>
              <w:spacing w:before="60" w:after="60" w:line="240" w:lineRule="auto"/>
              <w:rPr>
                <w:rFonts w:ascii="Times New Roman" w:hAnsi="Times New Roman"/>
                <w:lang w:eastAsia="zh-CN"/>
              </w:rPr>
            </w:pPr>
            <w:r w:rsidRPr="006142FF">
              <w:rPr>
                <w:rFonts w:ascii="Times New Roman" w:hAnsi="Times New Roman"/>
                <w:lang w:eastAsia="zh-CN"/>
              </w:rPr>
              <w:t>Provide</w:t>
            </w:r>
            <w:r w:rsidRPr="006142FF">
              <w:rPr>
                <w:rFonts w:ascii="Times New Roman" w:hAnsi="Times New Roman"/>
                <w:lang w:eastAsia="zh-CN"/>
              </w:rPr>
              <w:t xml:space="preserve"> </w:t>
            </w:r>
            <w:r w:rsidRPr="006142FF">
              <w:rPr>
                <w:rFonts w:ascii="Times New Roman" w:hAnsi="Times New Roman"/>
                <w:lang w:eastAsia="zh-CN"/>
              </w:rPr>
              <w:t>direct</w:t>
            </w:r>
            <w:r w:rsidRPr="006142FF">
              <w:rPr>
                <w:rFonts w:ascii="Times New Roman" w:hAnsi="Times New Roman"/>
                <w:lang w:eastAsia="zh-CN"/>
              </w:rPr>
              <w:t xml:space="preserve"> </w:t>
            </w:r>
            <w:r w:rsidRPr="006142FF">
              <w:rPr>
                <w:rFonts w:ascii="Times New Roman" w:hAnsi="Times New Roman"/>
                <w:lang w:eastAsia="zh-CN"/>
              </w:rPr>
              <w:t>patient</w:t>
            </w:r>
            <w:r w:rsidRPr="006142FF">
              <w:rPr>
                <w:rFonts w:ascii="Times New Roman" w:hAnsi="Times New Roman"/>
                <w:lang w:eastAsia="zh-CN"/>
              </w:rPr>
              <w:t xml:space="preserve"> care </w:t>
            </w:r>
            <w:r w:rsidRPr="006142FF">
              <w:rPr>
                <w:rFonts w:ascii="Times New Roman" w:hAnsi="Times New Roman"/>
                <w:lang w:eastAsia="zh-CN"/>
              </w:rPr>
              <w:t>for</w:t>
            </w:r>
            <w:r w:rsidRPr="006142FF">
              <w:rPr>
                <w:rFonts w:ascii="Times New Roman" w:hAnsi="Times New Roman"/>
                <w:lang w:eastAsia="zh-CN"/>
              </w:rPr>
              <w:t xml:space="preserve"> at </w:t>
            </w:r>
            <w:r w:rsidRPr="006142FF">
              <w:rPr>
                <w:rFonts w:ascii="Times New Roman" w:hAnsi="Times New Roman"/>
                <w:lang w:eastAsia="zh-CN"/>
              </w:rPr>
              <w:t>least</w:t>
            </w:r>
            <w:r w:rsidRPr="006142FF">
              <w:rPr>
                <w:rFonts w:ascii="Times New Roman" w:hAnsi="Times New Roman"/>
                <w:lang w:eastAsia="zh-CN"/>
              </w:rPr>
              <w:t xml:space="preserve"> 45% of </w:t>
            </w:r>
            <w:r w:rsidRPr="006142FF">
              <w:rPr>
                <w:rFonts w:ascii="Times New Roman" w:hAnsi="Times New Roman"/>
                <w:lang w:eastAsia="zh-CN"/>
              </w:rPr>
              <w:t>the</w:t>
            </w:r>
            <w:r w:rsidRPr="006142FF">
              <w:rPr>
                <w:rFonts w:ascii="Times New Roman" w:hAnsi="Times New Roman"/>
                <w:lang w:eastAsia="zh-CN"/>
              </w:rPr>
              <w:t xml:space="preserve"> time</w:t>
            </w:r>
          </w:p>
        </w:tc>
      </w:tr>
    </w:tbl>
    <w:p w:rsidR="006142FF" w:rsidP="006142FF" w14:paraId="669AB58D" w14:textId="77777777">
      <w:pPr>
        <w:spacing w:before="120" w:after="160" w:line="320" w:lineRule="exact"/>
        <w:ind w:left="540"/>
        <w:rPr>
          <w:rFonts w:eastAsia="SimSun"/>
          <w:lang w:eastAsia="zh-CN"/>
        </w:rPr>
      </w:pPr>
    </w:p>
    <w:p w:rsidR="006142FF" w:rsidRPr="006142FF" w:rsidP="0097399B" w14:paraId="40FFFB06" w14:textId="2516DBA5">
      <w:pPr>
        <w:spacing w:line="240" w:lineRule="auto"/>
        <w:ind w:left="547"/>
        <w:rPr>
          <w:rFonts w:eastAsia="SimSun"/>
          <w:lang w:eastAsia="zh-CN"/>
        </w:rPr>
      </w:pPr>
      <w:r w:rsidRPr="006142FF">
        <w:rPr>
          <w:rFonts w:eastAsia="SimSun"/>
          <w:lang w:eastAsia="zh-CN"/>
        </w:rPr>
        <w:t xml:space="preserve">The HCP sample will include oncologists and PCPs with at least some oncology experience (operationalized as PCPs who wrote at least one prescription for an oncology medication in the last 30 days). The sample will also include </w:t>
      </w:r>
      <w:r w:rsidR="00FE448E">
        <w:rPr>
          <w:rFonts w:eastAsia="SimSun"/>
          <w:lang w:eastAsia="zh-CN"/>
        </w:rPr>
        <w:t>nurse practitioners (</w:t>
      </w:r>
      <w:r w:rsidRPr="006142FF">
        <w:rPr>
          <w:rFonts w:eastAsia="SimSun"/>
          <w:lang w:eastAsia="zh-CN"/>
        </w:rPr>
        <w:t>NPs</w:t>
      </w:r>
      <w:r w:rsidR="00FE448E">
        <w:rPr>
          <w:rFonts w:eastAsia="SimSun"/>
          <w:lang w:eastAsia="zh-CN"/>
        </w:rPr>
        <w:t>)</w:t>
      </w:r>
      <w:r w:rsidRPr="006142FF">
        <w:rPr>
          <w:rFonts w:eastAsia="SimSun"/>
          <w:lang w:eastAsia="zh-CN"/>
        </w:rPr>
        <w:t xml:space="preserve"> and </w:t>
      </w:r>
      <w:r w:rsidR="00FE448E">
        <w:rPr>
          <w:rFonts w:eastAsia="SimSun"/>
          <w:lang w:eastAsia="zh-CN"/>
        </w:rPr>
        <w:t>physician assistants (</w:t>
      </w:r>
      <w:r w:rsidRPr="006142FF">
        <w:rPr>
          <w:rFonts w:eastAsia="SimSun"/>
          <w:lang w:eastAsia="zh-CN"/>
        </w:rPr>
        <w:t>P</w:t>
      </w:r>
      <w:r w:rsidR="00595C1F">
        <w:rPr>
          <w:rFonts w:eastAsia="SimSun"/>
          <w:lang w:eastAsia="zh-CN"/>
        </w:rPr>
        <w:t>A</w:t>
      </w:r>
      <w:r w:rsidRPr="006142FF">
        <w:rPr>
          <w:rFonts w:eastAsia="SimSun"/>
          <w:lang w:eastAsia="zh-CN"/>
        </w:rPr>
        <w:t>s</w:t>
      </w:r>
      <w:r w:rsidR="00FE448E">
        <w:rPr>
          <w:rFonts w:eastAsia="SimSun"/>
          <w:lang w:eastAsia="zh-CN"/>
        </w:rPr>
        <w:t>)</w:t>
      </w:r>
      <w:r w:rsidRPr="006142FF">
        <w:rPr>
          <w:rFonts w:eastAsia="SimSun"/>
          <w:lang w:eastAsia="zh-CN"/>
        </w:rPr>
        <w:t xml:space="preserve"> with a specialty in oncology. As demands on physicians’ time continue to increase, the role of NPs and PAs continues to grow. PAs and NPs hold prescription privileges in all 50 states and Washington, DC, and an analysis of prescriptive authority legislation from 2001 to 2010 </w:t>
      </w:r>
      <w:r w:rsidRPr="006142FF" w:rsidR="00D74481">
        <w:rPr>
          <w:rFonts w:eastAsia="SimSun"/>
          <w:lang w:eastAsia="zh-CN"/>
        </w:rPr>
        <w:t>reveal</w:t>
      </w:r>
      <w:r w:rsidR="00D74481">
        <w:rPr>
          <w:rFonts w:eastAsia="SimSun"/>
          <w:lang w:eastAsia="zh-CN"/>
        </w:rPr>
        <w:t>ed</w:t>
      </w:r>
      <w:r w:rsidRPr="006142FF" w:rsidR="00D74481">
        <w:rPr>
          <w:rFonts w:eastAsia="SimSun"/>
          <w:lang w:eastAsia="zh-CN"/>
        </w:rPr>
        <w:t xml:space="preserve"> </w:t>
      </w:r>
      <w:r w:rsidRPr="006142FF">
        <w:rPr>
          <w:rFonts w:eastAsia="SimSun"/>
          <w:lang w:eastAsia="zh-CN"/>
        </w:rPr>
        <w:t>that NP and PA state regulations have relaxed, giving both more autonomy in recent years</w:t>
      </w:r>
      <w:r w:rsidR="00E204C2">
        <w:rPr>
          <w:rFonts w:eastAsia="SimSun"/>
          <w:lang w:eastAsia="zh-CN"/>
        </w:rPr>
        <w:t xml:space="preserve"> (Herman, 2017)</w:t>
      </w:r>
      <w:r w:rsidRPr="006142FF">
        <w:rPr>
          <w:rFonts w:eastAsia="SimSun"/>
          <w:lang w:eastAsia="zh-CN"/>
        </w:rPr>
        <w:t>.</w:t>
      </w:r>
      <w:r w:rsidRPr="006142FF" w:rsidR="00E204C2">
        <w:rPr>
          <w:rFonts w:eastAsia="SimSun"/>
          <w:lang w:eastAsia="zh-CN"/>
        </w:rPr>
        <w:t xml:space="preserve"> </w:t>
      </w:r>
      <w:r w:rsidRPr="006142FF">
        <w:rPr>
          <w:rFonts w:eastAsia="SimSun"/>
          <w:lang w:eastAsia="zh-CN"/>
        </w:rPr>
        <w:t>These HCPs play an important role in prescribing medication; thus, it is important for</w:t>
      </w:r>
      <w:r>
        <w:rPr>
          <w:rFonts w:eastAsia="SimSun"/>
          <w:lang w:eastAsia="zh-CN"/>
        </w:rPr>
        <w:t xml:space="preserve"> </w:t>
      </w:r>
      <w:r w:rsidRPr="006142FF">
        <w:rPr>
          <w:rFonts w:eastAsia="SimSun"/>
          <w:lang w:eastAsia="zh-CN"/>
        </w:rPr>
        <w:t>FDA to understand their interpretations of terminology and graphics in prescription drug promotion materials. The pretest and main study samples will include an approximately equal representation of the three groups of HCPs (i.e., 34% oncologists, 33% PCPs with oncology experience, and 33% NPs/PAs with a specialty in oncology).</w:t>
      </w:r>
    </w:p>
    <w:p w:rsidR="006142FF" w:rsidRPr="006142FF" w:rsidP="0097399B" w14:paraId="374DDB8A" w14:textId="2B8C092F">
      <w:pPr>
        <w:spacing w:line="240" w:lineRule="auto"/>
        <w:ind w:left="547"/>
        <w:rPr>
          <w:rFonts w:eastAsia="SimSun"/>
          <w:highlight w:val="green"/>
          <w:lang w:eastAsia="zh-CN"/>
        </w:rPr>
      </w:pPr>
      <w:r w:rsidRPr="006142FF">
        <w:rPr>
          <w:rFonts w:eastAsia="SimSun"/>
          <w:lang w:eastAsia="zh-CN"/>
        </w:rPr>
        <w:t xml:space="preserve">Participants will be volunteers. We will recruit pretest samples from the same populations as the main study samples, and we will aim for a mix of participants in terms of race/ethnicity, gender, and other characteristics. </w:t>
      </w:r>
    </w:p>
    <w:p w:rsidR="006142FF" w:rsidRPr="006142FF" w:rsidP="0097399B" w14:paraId="40EC061D" w14:textId="008CC30D">
      <w:pPr>
        <w:spacing w:line="240" w:lineRule="auto"/>
        <w:ind w:left="547"/>
        <w:contextualSpacing/>
        <w:rPr>
          <w:rFonts w:eastAsia="SimSun"/>
          <w:lang w:eastAsia="zh-CN"/>
        </w:rPr>
      </w:pPr>
      <w:r w:rsidRPr="006142FF">
        <w:rPr>
          <w:rFonts w:eastAsia="SimSun"/>
          <w:lang w:eastAsia="zh-CN"/>
        </w:rPr>
        <w:t>Participants will be convenience samples, rather than probability-based samples, of U.S. consumers (Study 1) or HCPs/oncologists (Study 2). In</w:t>
      </w:r>
      <w:r>
        <w:rPr>
          <w:rFonts w:eastAsia="SimSun"/>
          <w:lang w:eastAsia="zh-CN"/>
        </w:rPr>
        <w:t xml:space="preserve"> both</w:t>
      </w:r>
      <w:r w:rsidRPr="006142FF">
        <w:rPr>
          <w:rFonts w:eastAsia="SimSun"/>
          <w:lang w:eastAsia="zh-CN"/>
        </w:rPr>
        <w:t xml:space="preserve"> the pretest and main study, participants will be randomly assigned to one of the 12 experimental conditions within each study. No weighting of the data will be required because the objective of the studies is to estimate the causal effects of experimental manipulations rather than to estimate descriptive statistics for these populations</w:t>
      </w:r>
      <w:r w:rsidR="00E204C2">
        <w:rPr>
          <w:rFonts w:eastAsia="SimSun"/>
          <w:lang w:eastAsia="zh-CN"/>
        </w:rPr>
        <w:t xml:space="preserve"> (</w:t>
      </w:r>
      <w:r w:rsidRPr="00675348" w:rsidR="00E204C2">
        <w:t>Solon,</w:t>
      </w:r>
      <w:r w:rsidR="00E204C2">
        <w:t xml:space="preserve"> </w:t>
      </w:r>
      <w:r w:rsidRPr="00675348" w:rsidR="00E204C2">
        <w:t>Haider, &amp; Wooldridge</w:t>
      </w:r>
      <w:r w:rsidR="00E204C2">
        <w:t xml:space="preserve">, </w:t>
      </w:r>
      <w:r w:rsidRPr="00675348" w:rsidR="00E204C2">
        <w:t>2015).</w:t>
      </w:r>
      <w:r w:rsidRPr="006142FF" w:rsidR="00E204C2">
        <w:rPr>
          <w:rFonts w:eastAsia="SimSun"/>
          <w:lang w:eastAsia="zh-CN"/>
        </w:rPr>
        <w:t xml:space="preserve"> </w:t>
      </w:r>
      <w:r w:rsidRPr="006142FF">
        <w:rPr>
          <w:rFonts w:eastAsia="SimSun"/>
          <w:lang w:eastAsia="zh-CN"/>
        </w:rPr>
        <w:t xml:space="preserve">The </w:t>
      </w:r>
      <w:r w:rsidRPr="006142FF">
        <w:rPr>
          <w:rFonts w:eastAsia="SimSun"/>
          <w:lang w:eastAsia="zh-CN"/>
        </w:rPr>
        <w:t xml:space="preserve">strength of the experimental design used in this study lies in its internal validity, on which meaningful estimates of differences across conditions can be produced and generalized. </w:t>
      </w:r>
    </w:p>
    <w:p w:rsidR="00763DF5" w:rsidRPr="009F1E3E" w:rsidP="00502981" w14:paraId="4B1AC3DE" w14:textId="77777777">
      <w:pPr>
        <w:autoSpaceDE w:val="0"/>
        <w:autoSpaceDN w:val="0"/>
        <w:adjustRightInd w:val="0"/>
        <w:spacing w:line="240" w:lineRule="auto"/>
        <w:contextualSpacing/>
        <w:rPr>
          <w:shd w:val="clear" w:color="auto" w:fill="FFFFFF"/>
        </w:rPr>
      </w:pPr>
    </w:p>
    <w:p w:rsidR="0038767B" w:rsidRPr="007A22CE" w:rsidP="00502981" w14:paraId="319B30AC" w14:textId="1F25A832">
      <w:pPr>
        <w:widowControl w:val="0"/>
        <w:numPr>
          <w:ilvl w:val="0"/>
          <w:numId w:val="1"/>
        </w:numPr>
        <w:spacing w:after="0" w:line="240" w:lineRule="auto"/>
        <w:contextualSpacing/>
        <w:rPr>
          <w:snapToGrid w:val="0"/>
          <w:szCs w:val="20"/>
        </w:rPr>
      </w:pPr>
      <w:r w:rsidRPr="003C15DA">
        <w:rPr>
          <w:snapToGrid w:val="0"/>
          <w:szCs w:val="20"/>
          <w:u w:val="single"/>
        </w:rPr>
        <w:t>Procedures for Collection of Information</w:t>
      </w:r>
    </w:p>
    <w:p w:rsidR="005F25EE" w:rsidP="00502981" w14:paraId="661C7F75" w14:textId="55FAC47E">
      <w:pPr>
        <w:pStyle w:val="BodyText"/>
        <w:spacing w:before="120"/>
        <w:ind w:left="540"/>
        <w:contextualSpacing/>
        <w:rPr>
          <w:szCs w:val="24"/>
          <w:lang w:eastAsia="ja-JP"/>
        </w:rPr>
      </w:pPr>
      <w:r w:rsidRPr="005F25EE">
        <w:rPr>
          <w:szCs w:val="24"/>
          <w:lang w:eastAsia="ja-JP"/>
        </w:rPr>
        <w:t>Toluna</w:t>
      </w:r>
      <w:r w:rsidRPr="005F25EE">
        <w:rPr>
          <w:szCs w:val="24"/>
          <w:lang w:eastAsia="ja-JP"/>
        </w:rPr>
        <w:t xml:space="preserve"> will recruit general population consumers and HCPs from their respective panels by </w:t>
      </w:r>
      <w:r w:rsidRPr="005F25EE">
        <w:rPr>
          <w:rStyle w:val="BodyTextChar1"/>
          <w:rFonts w:ascii="Times New Roman" w:hAnsi="Times New Roman"/>
          <w:sz w:val="24"/>
          <w:szCs w:val="24"/>
        </w:rPr>
        <w:t>sending email or router invitations to panelists who likely fall within the target population for this project</w:t>
      </w:r>
      <w:r w:rsidRPr="005F25EE">
        <w:rPr>
          <w:szCs w:val="24"/>
          <w:lang w:eastAsia="ja-JP"/>
        </w:rPr>
        <w:t xml:space="preserve"> based on their profile information. </w:t>
      </w:r>
      <w:r w:rsidRPr="005F25EE">
        <w:rPr>
          <w:szCs w:val="24"/>
        </w:rPr>
        <w:t xml:space="preserve">The invitation will include a secure, nonidentifiable link to the web-based survey. </w:t>
      </w:r>
      <w:r w:rsidRPr="005F25EE">
        <w:rPr>
          <w:szCs w:val="24"/>
          <w:lang w:eastAsia="ja-JP"/>
        </w:rPr>
        <w:t>Toluna</w:t>
      </w:r>
      <w:r w:rsidRPr="005F25EE">
        <w:rPr>
          <w:szCs w:val="24"/>
          <w:lang w:eastAsia="ja-JP"/>
        </w:rPr>
        <w:t xml:space="preserve"> will use predicted response rates for these target groups to avoid </w:t>
      </w:r>
      <w:r w:rsidRPr="005F25EE">
        <w:rPr>
          <w:szCs w:val="24"/>
          <w:lang w:eastAsia="ja-JP"/>
        </w:rPr>
        <w:t>overcontacting</w:t>
      </w:r>
      <w:r w:rsidRPr="005F25EE">
        <w:rPr>
          <w:szCs w:val="24"/>
          <w:lang w:eastAsia="ja-JP"/>
        </w:rPr>
        <w:t xml:space="preserve"> panelists. </w:t>
      </w:r>
    </w:p>
    <w:p w:rsidR="00502981" w:rsidRPr="005F25EE" w:rsidP="00502981" w14:paraId="08C7ACE9" w14:textId="77777777">
      <w:pPr>
        <w:pStyle w:val="BodyText"/>
        <w:spacing w:before="120"/>
        <w:ind w:left="540"/>
        <w:contextualSpacing/>
        <w:rPr>
          <w:b/>
          <w:szCs w:val="24"/>
        </w:rPr>
      </w:pPr>
    </w:p>
    <w:p w:rsidR="005F25EE" w:rsidP="00502981" w14:paraId="6E529959" w14:textId="105100A0">
      <w:pPr>
        <w:pStyle w:val="BodyText"/>
        <w:spacing w:before="160"/>
        <w:ind w:left="540"/>
        <w:contextualSpacing/>
        <w:rPr>
          <w:szCs w:val="24"/>
        </w:rPr>
      </w:pPr>
      <w:r w:rsidRPr="005F25EE">
        <w:rPr>
          <w:iCs/>
          <w:szCs w:val="24"/>
        </w:rPr>
        <w:t xml:space="preserve">In the email invitation, panelists will be informed about the survey topic in a topline, nonleading way before participation. </w:t>
      </w:r>
      <w:r w:rsidRPr="005F25EE">
        <w:rPr>
          <w:rStyle w:val="BodyTextChar1"/>
          <w:rFonts w:ascii="Times New Roman" w:hAnsi="Times New Roman"/>
          <w:sz w:val="24"/>
          <w:szCs w:val="24"/>
        </w:rPr>
        <w:t xml:space="preserve">Each email invitation will describe the approximate survey length (i.e., approximately 20 minutes), the incentive amount provided for successful completion of the survey, and instructions for accessing the survey through a secure </w:t>
      </w:r>
      <w:r w:rsidR="00D74481">
        <w:rPr>
          <w:rStyle w:val="BodyTextChar1"/>
          <w:rFonts w:ascii="Times New Roman" w:hAnsi="Times New Roman"/>
          <w:sz w:val="24"/>
          <w:szCs w:val="24"/>
        </w:rPr>
        <w:t>link</w:t>
      </w:r>
      <w:r w:rsidRPr="005F25EE">
        <w:rPr>
          <w:rStyle w:val="BodyTextChar1"/>
          <w:rFonts w:ascii="Times New Roman" w:hAnsi="Times New Roman"/>
          <w:sz w:val="24"/>
          <w:szCs w:val="24"/>
        </w:rPr>
        <w:t xml:space="preserve">. </w:t>
      </w:r>
      <w:r w:rsidRPr="005F25EE">
        <w:rPr>
          <w:szCs w:val="24"/>
        </w:rPr>
        <w:t xml:space="preserve">To avoid self-selection bias, </w:t>
      </w:r>
      <w:r w:rsidRPr="005F25EE">
        <w:rPr>
          <w:szCs w:val="24"/>
        </w:rPr>
        <w:t>Toluna</w:t>
      </w:r>
      <w:r w:rsidRPr="005F25EE">
        <w:rPr>
          <w:szCs w:val="24"/>
        </w:rPr>
        <w:t xml:space="preserve"> will not disclose project details, such as the true purpose of the study, in its email invitations to participants. </w:t>
      </w:r>
      <w:r w:rsidRPr="005F25EE">
        <w:rPr>
          <w:rStyle w:val="BodyTextChar1"/>
          <w:rFonts w:ascii="Times New Roman" w:hAnsi="Times New Roman"/>
          <w:sz w:val="24"/>
          <w:szCs w:val="24"/>
        </w:rPr>
        <w:t xml:space="preserve">Individuals who are interested in completing the survey will be able to access it by clicking on a link embedded in the email invitation or in the router </w:t>
      </w:r>
      <w:r w:rsidRPr="005F25EE">
        <w:rPr>
          <w:iCs/>
          <w:szCs w:val="24"/>
        </w:rPr>
        <w:t>invitation</w:t>
      </w:r>
      <w:r w:rsidRPr="005F25EE">
        <w:rPr>
          <w:rStyle w:val="BodyTextChar1"/>
          <w:rFonts w:ascii="Times New Roman" w:hAnsi="Times New Roman"/>
          <w:sz w:val="24"/>
          <w:szCs w:val="24"/>
        </w:rPr>
        <w:t>.</w:t>
      </w:r>
      <w:r w:rsidRPr="005F25EE">
        <w:rPr>
          <w:b/>
          <w:szCs w:val="24"/>
        </w:rPr>
        <w:t xml:space="preserve"> </w:t>
      </w:r>
      <w:r w:rsidRPr="005F25EE">
        <w:rPr>
          <w:szCs w:val="24"/>
        </w:rPr>
        <w:t xml:space="preserve">Participants will complete screener items and be presented with a more in-depth description of the survey and the consent form to inform the panelist that the survey is confidential and voluntary. Participants will not be allowed to take the survey on mobile phones. </w:t>
      </w:r>
    </w:p>
    <w:p w:rsidR="00596015" w:rsidRPr="005F25EE" w:rsidP="00502981" w14:paraId="25488AC3" w14:textId="77777777">
      <w:pPr>
        <w:pStyle w:val="BodyText"/>
        <w:spacing w:before="160"/>
        <w:ind w:left="540"/>
        <w:contextualSpacing/>
        <w:rPr>
          <w:b/>
          <w:szCs w:val="24"/>
        </w:rPr>
      </w:pPr>
    </w:p>
    <w:p w:rsidR="005F25EE" w:rsidP="00502981" w14:paraId="71D1D01C" w14:textId="060C418C">
      <w:pPr>
        <w:pStyle w:val="BodyText"/>
        <w:spacing w:before="160"/>
        <w:ind w:left="540"/>
        <w:contextualSpacing/>
        <w:rPr>
          <w:szCs w:val="24"/>
        </w:rPr>
      </w:pPr>
      <w:r w:rsidRPr="005F25EE">
        <w:rPr>
          <w:iCs/>
          <w:szCs w:val="24"/>
        </w:rPr>
        <w:t>Panelists are compensated for taking part in surveys using a structured incentive scheme that reflects the length of the survey and the nature of the sample</w:t>
      </w:r>
      <w:r w:rsidRPr="005F25EE">
        <w:rPr>
          <w:szCs w:val="24"/>
        </w:rPr>
        <w:t xml:space="preserve">. Recruitment will continue until the target sample size for completed surveys is reached. Participants can complete each survey only once and will be informed that once they leave the survey, they will not be able to re-enter it (therefore, it needs to be completed in one sitting). </w:t>
      </w:r>
      <w:r w:rsidRPr="005F25EE">
        <w:rPr>
          <w:szCs w:val="24"/>
        </w:rPr>
        <w:t>Toluna</w:t>
      </w:r>
      <w:r w:rsidRPr="005F25EE">
        <w:rPr>
          <w:szCs w:val="24"/>
        </w:rPr>
        <w:t xml:space="preserve"> estimates that the fielding for the pretest will take 5 to 7 weeks and for the main study the fielding will take 7 to 9 weeks. </w:t>
      </w:r>
    </w:p>
    <w:p w:rsidR="00502981" w:rsidRPr="005F25EE" w:rsidP="00502981" w14:paraId="1F3B4AF6" w14:textId="77777777">
      <w:pPr>
        <w:pStyle w:val="BodyText"/>
        <w:spacing w:before="160"/>
        <w:ind w:left="540"/>
        <w:contextualSpacing/>
        <w:rPr>
          <w:szCs w:val="24"/>
        </w:rPr>
      </w:pPr>
    </w:p>
    <w:p w:rsidR="005F25EE" w:rsidRPr="005F25EE" w:rsidP="00502981" w14:paraId="1929A7DA" w14:textId="71186E90">
      <w:pPr>
        <w:pStyle w:val="BodyText"/>
        <w:spacing w:before="160"/>
        <w:ind w:left="540"/>
        <w:contextualSpacing/>
        <w:rPr>
          <w:szCs w:val="24"/>
        </w:rPr>
      </w:pPr>
      <w:r w:rsidRPr="005F25EE">
        <w:rPr>
          <w:szCs w:val="24"/>
        </w:rPr>
        <w:t>Throughout the pretest and main study, we will closely monitor recruitment and data collection to ensure that the screening criteria are met, participants from key demographic groups are adequately represented, and the response rates are acceptable. We will also conduct a soft launch</w:t>
      </w:r>
      <w:r w:rsidR="00D74481">
        <w:rPr>
          <w:szCs w:val="24"/>
        </w:rPr>
        <w:t xml:space="preserve"> check</w:t>
      </w:r>
      <w:r w:rsidRPr="005F25EE">
        <w:rPr>
          <w:szCs w:val="24"/>
        </w:rPr>
        <w:t xml:space="preserve"> (when we reach 10% of the target completes) to ensure that participants’ responses are captured accurately. </w:t>
      </w:r>
    </w:p>
    <w:p w:rsidR="005F25EE" w:rsidRPr="005F25EE" w:rsidP="00502981" w14:paraId="6E191C67" w14:textId="77777777">
      <w:pPr>
        <w:pStyle w:val="Heading2"/>
        <w:spacing w:line="240" w:lineRule="auto"/>
        <w:ind w:left="540"/>
        <w:contextualSpacing/>
        <w:rPr>
          <w:rFonts w:ascii="Times New Roman" w:hAnsi="Times New Roman" w:cs="Times New Roman"/>
          <w:color w:val="auto"/>
          <w:sz w:val="24"/>
          <w:szCs w:val="24"/>
        </w:rPr>
      </w:pPr>
      <w:bookmarkStart w:id="4" w:name="_Toc83116541"/>
      <w:bookmarkStart w:id="5" w:name="_Toc21701125"/>
      <w:r w:rsidRPr="005F25EE">
        <w:rPr>
          <w:rFonts w:ascii="Times New Roman" w:hAnsi="Times New Roman" w:cs="Times New Roman"/>
          <w:color w:val="auto"/>
          <w:sz w:val="24"/>
          <w:szCs w:val="24"/>
        </w:rPr>
        <w:t>Randomization Procedures</w:t>
      </w:r>
      <w:bookmarkEnd w:id="4"/>
    </w:p>
    <w:p w:rsidR="005F25EE" w:rsidRPr="005F25EE" w:rsidP="00502981" w14:paraId="54637CD3" w14:textId="77777777">
      <w:pPr>
        <w:spacing w:before="160" w:after="160" w:line="240" w:lineRule="auto"/>
        <w:ind w:left="540"/>
        <w:contextualSpacing/>
      </w:pPr>
      <w:r w:rsidRPr="005F25EE">
        <w:t xml:space="preserve">The pretest with general population consumers will be conducted concurrently with the pretest with HCPs; however, the two pretests will have independent randomization schemes. The same randomization approach will be employed for the main study where the main study with general population consumers will be conducted concurrently with the main study with HCPs but have independent randomization schemes. We will use randomization without replacement where participants will be randomized within groups of size equal to the number of conditions. The block randomization scheme will be set up in advance and programmed into the survey. Participants will be assigned to a block and condition as soon as they click through the consent form. This approach will help equalize </w:t>
      </w:r>
      <w:r w:rsidRPr="005F25EE">
        <w:t>sample sizes across conditions, although some variation in sample size will still occur because some participants who are randomized to an experimental condition may drop out or be considered incomplete surveys. No experimental conditions will be closed until each study reaches the target sample size.</w:t>
      </w:r>
    </w:p>
    <w:bookmarkEnd w:id="5"/>
    <w:p w:rsidR="00646F91" w:rsidRPr="00763DF5" w:rsidP="00502981" w14:paraId="6754C261" w14:textId="77777777">
      <w:pPr>
        <w:overflowPunct w:val="0"/>
        <w:autoSpaceDE w:val="0"/>
        <w:autoSpaceDN w:val="0"/>
        <w:adjustRightInd w:val="0"/>
        <w:spacing w:line="240" w:lineRule="auto"/>
        <w:ind w:left="630" w:firstLine="810"/>
        <w:contextualSpacing/>
        <w:textAlignment w:val="baseline"/>
        <w:rPr>
          <w:highlight w:val="red"/>
        </w:rPr>
      </w:pPr>
    </w:p>
    <w:p w:rsidR="00131D95" w:rsidP="00502981" w14:paraId="485F8D1C" w14:textId="67444210">
      <w:pPr>
        <w:spacing w:line="240" w:lineRule="auto"/>
        <w:ind w:left="540"/>
        <w:contextualSpacing/>
        <w:rPr>
          <w:b/>
        </w:rPr>
      </w:pPr>
      <w:r w:rsidRPr="005F25EE">
        <w:rPr>
          <w:b/>
        </w:rPr>
        <w:t>Analysis Plan</w:t>
      </w:r>
    </w:p>
    <w:p w:rsidR="00951D93" w:rsidP="00502981" w14:paraId="40A74BA2" w14:textId="374D61C1">
      <w:pPr>
        <w:spacing w:line="240" w:lineRule="auto"/>
        <w:ind w:left="540"/>
        <w:contextualSpacing/>
        <w:rPr>
          <w:b/>
        </w:rPr>
      </w:pPr>
    </w:p>
    <w:p w:rsidR="00646F91" w:rsidRPr="009C4E58" w:rsidP="009C4E58" w14:paraId="7824E7D7" w14:textId="74046A50">
      <w:pPr>
        <w:spacing w:line="240" w:lineRule="auto"/>
        <w:ind w:left="540"/>
        <w:contextualSpacing/>
        <w:rPr>
          <w:b/>
        </w:rPr>
      </w:pPr>
      <w:r>
        <w:t>We</w:t>
      </w:r>
      <w:r w:rsidRPr="00951D93">
        <w:t xml:space="preserve"> will conduct a series of analyses of variance (ANOVAs)</w:t>
      </w:r>
      <w:r>
        <w:t xml:space="preserve"> tests</w:t>
      </w:r>
      <w:r w:rsidRPr="00951D93">
        <w:t xml:space="preserve"> </w:t>
      </w:r>
      <w:r w:rsidR="00911537">
        <w:t xml:space="preserve">and logistic regressions </w:t>
      </w:r>
      <w:r w:rsidRPr="00951D93">
        <w:t xml:space="preserve">to examine the impact of </w:t>
      </w:r>
      <w:r>
        <w:t xml:space="preserve">the presence/absence of the </w:t>
      </w:r>
      <w:r>
        <w:t>MoA</w:t>
      </w:r>
      <w:r>
        <w:t xml:space="preserve"> claim, the</w:t>
      </w:r>
      <w:r w:rsidRPr="00951D93">
        <w:t xml:space="preserve"> type of </w:t>
      </w:r>
      <w:r>
        <w:t>MoA</w:t>
      </w:r>
      <w:r>
        <w:t xml:space="preserve"> graphic and the presence/absence of </w:t>
      </w:r>
      <w:r>
        <w:t>MoA</w:t>
      </w:r>
      <w:r>
        <w:t xml:space="preserve"> related disclosure</w:t>
      </w:r>
      <w:r w:rsidRPr="00951D93">
        <w:t xml:space="preserve">. Before conducting </w:t>
      </w:r>
      <w:r>
        <w:t xml:space="preserve">these </w:t>
      </w:r>
      <w:r w:rsidRPr="00951D93">
        <w:t>analyses, we will assess whether the inclusion of covariates</w:t>
      </w:r>
      <w:r>
        <w:t xml:space="preserve"> in the model</w:t>
      </w:r>
      <w:r w:rsidRPr="00951D93">
        <w:t xml:space="preserve"> is justified.</w:t>
      </w:r>
      <w:r>
        <w:t xml:space="preserve"> </w:t>
      </w:r>
      <w:r w:rsidRPr="00951D93">
        <w:t xml:space="preserve">If the ANOVA </w:t>
      </w:r>
      <w:r>
        <w:t>tests</w:t>
      </w:r>
      <w:r w:rsidR="00911537">
        <w:t xml:space="preserve"> or logistic regressions</w:t>
      </w:r>
      <w:r>
        <w:t xml:space="preserve"> for the main effect</w:t>
      </w:r>
      <w:r w:rsidR="0091266F">
        <w:t xml:space="preserve"> of the three-level factor (i.e., type of </w:t>
      </w:r>
      <w:r w:rsidR="0091266F">
        <w:t>MoA</w:t>
      </w:r>
      <w:r w:rsidR="0091266F">
        <w:t xml:space="preserve"> graphic)</w:t>
      </w:r>
      <w:r>
        <w:t xml:space="preserve"> or interaction effects are</w:t>
      </w:r>
      <w:r w:rsidRPr="00951D93">
        <w:t xml:space="preserve"> significant, we will implement a series of planned contrasts</w:t>
      </w:r>
      <w:r>
        <w:t xml:space="preserve"> </w:t>
      </w:r>
      <w:r w:rsidRPr="00951D93">
        <w:t xml:space="preserve">to test for significant differences among experimental arms. Within each study, the analyses will be conducted separately for consumers and </w:t>
      </w:r>
      <w:r w:rsidR="0091266F">
        <w:t>HCPs</w:t>
      </w:r>
      <w:r w:rsidRPr="00951D93">
        <w:t>.</w:t>
      </w:r>
    </w:p>
    <w:p w:rsidR="009C4E58" w:rsidP="009C4E58" w14:paraId="240785A1" w14:textId="77777777">
      <w:pPr>
        <w:spacing w:after="0" w:line="240" w:lineRule="auto"/>
        <w:contextualSpacing/>
      </w:pPr>
    </w:p>
    <w:p w:rsidR="00787427" w:rsidRPr="00B12343" w:rsidP="009C4E58" w14:paraId="60FB0A85" w14:textId="764DDC40">
      <w:pPr>
        <w:spacing w:after="0" w:line="240" w:lineRule="auto"/>
        <w:ind w:firstLine="540"/>
        <w:contextualSpacing/>
        <w:rPr>
          <w:b/>
        </w:rPr>
      </w:pPr>
      <w:r w:rsidRPr="00B12343">
        <w:rPr>
          <w:b/>
        </w:rPr>
        <w:t>Power</w:t>
      </w:r>
    </w:p>
    <w:p w:rsidR="00B12343" w:rsidP="00502981" w14:paraId="1E8D0648" w14:textId="40B79490">
      <w:pPr>
        <w:pStyle w:val="BodyText"/>
        <w:spacing w:before="160"/>
        <w:ind w:left="540"/>
        <w:contextualSpacing/>
      </w:pPr>
      <w:r w:rsidRPr="005F25EE">
        <w:rPr>
          <w:bCs w:val="0"/>
          <w:i/>
          <w:iCs/>
        </w:rPr>
        <w:t>Pretest.</w:t>
      </w:r>
      <w:r>
        <w:rPr>
          <w:b/>
        </w:rPr>
        <w:t xml:space="preserve"> </w:t>
      </w:r>
      <w:r w:rsidRPr="00842ED6">
        <w:t>The proposed sample size for each pretest is 360 (</w:t>
      </w:r>
      <w:r w:rsidRPr="00842ED6">
        <w:rPr>
          <w:i/>
        </w:rPr>
        <w:t xml:space="preserve">n </w:t>
      </w:r>
      <w:r w:rsidRPr="00842ED6">
        <w:t>= 30 per experimental condition)</w:t>
      </w:r>
      <w:r>
        <w:t>,</w:t>
      </w:r>
      <w:r w:rsidRPr="00842ED6">
        <w:t xml:space="preserve"> which will allow for thorough examination of the survey administration process and </w:t>
      </w:r>
      <w:r>
        <w:t xml:space="preserve">an </w:t>
      </w:r>
      <w:r w:rsidRPr="00842ED6">
        <w:t>assess</w:t>
      </w:r>
      <w:r>
        <w:t>ment of the</w:t>
      </w:r>
      <w:r w:rsidRPr="00842ED6">
        <w:t xml:space="preserve"> survey timing. No power analysis was conducted because t</w:t>
      </w:r>
      <w:r w:rsidRPr="00EE762D">
        <w:t>he purpose of the pretest will</w:t>
      </w:r>
      <w:r w:rsidRPr="00C92A73">
        <w:t xml:space="preserve"> be to test the stimuli, instruments, and procedures</w:t>
      </w:r>
      <w:r w:rsidRPr="00842ED6">
        <w:t xml:space="preserve">. </w:t>
      </w:r>
    </w:p>
    <w:p w:rsidR="00502981" w:rsidRPr="001026FA" w:rsidP="00502981" w14:paraId="5DCB1FF1" w14:textId="77777777">
      <w:pPr>
        <w:pStyle w:val="BodyText"/>
        <w:spacing w:before="160"/>
        <w:ind w:left="540"/>
        <w:contextualSpacing/>
      </w:pPr>
    </w:p>
    <w:p w:rsidR="00B12343" w:rsidP="00502981" w14:paraId="2336B719" w14:textId="7A5B8F05">
      <w:pPr>
        <w:pStyle w:val="BodyText"/>
        <w:spacing w:before="120"/>
        <w:ind w:left="540"/>
        <w:contextualSpacing/>
      </w:pPr>
      <w:bookmarkStart w:id="6" w:name="_bookmark0"/>
      <w:bookmarkStart w:id="7" w:name="_bookmark1"/>
      <w:bookmarkStart w:id="8" w:name="_bookmark2"/>
      <w:bookmarkEnd w:id="6"/>
      <w:bookmarkEnd w:id="7"/>
      <w:bookmarkEnd w:id="8"/>
      <w:r w:rsidRPr="005F25EE">
        <w:rPr>
          <w:bCs w:val="0"/>
          <w:i/>
          <w:iCs/>
        </w:rPr>
        <w:t>Main Studies.</w:t>
      </w:r>
      <w:r>
        <w:rPr>
          <w:b/>
        </w:rPr>
        <w:t xml:space="preserve"> </w:t>
      </w:r>
      <w:r w:rsidRPr="003732D5">
        <w:t>The proposed sample size for each of the 12 experimental groups (2 x 2 x 3 factorial design) is roughly 45 (</w:t>
      </w:r>
      <w:r w:rsidRPr="003732D5">
        <w:rPr>
          <w:i/>
          <w:iCs/>
        </w:rPr>
        <w:t>N</w:t>
      </w:r>
      <w:r w:rsidRPr="003732D5">
        <w:t xml:space="preserve"> = 540) per study sample (</w:t>
      </w:r>
      <w:r w:rsidRPr="00DE6BFD">
        <w:rPr>
          <w:bCs w:val="0"/>
        </w:rPr>
        <w:t>Table </w:t>
      </w:r>
      <w:r w:rsidRPr="00DE6BFD" w:rsidR="00D74481">
        <w:rPr>
          <w:bCs w:val="0"/>
        </w:rPr>
        <w:t>2</w:t>
      </w:r>
      <w:r w:rsidRPr="003732D5">
        <w:t xml:space="preserve">). Our power analysis suggests that with a sample of 540 participants, the omnibus </w:t>
      </w:r>
      <w:r w:rsidRPr="003732D5">
        <w:rPr>
          <w:i/>
          <w:iCs/>
        </w:rPr>
        <w:t>F</w:t>
      </w:r>
      <w:r w:rsidRPr="003732D5">
        <w:t xml:space="preserve"> tests for analysis of variance (ANOVA) will be able to detect an effect size of </w:t>
      </w:r>
      <w:r>
        <w:rPr>
          <w:i/>
          <w:iCs/>
        </w:rPr>
        <w:t>F</w:t>
      </w:r>
      <w:r w:rsidRPr="003732D5">
        <w:rPr>
          <w:i/>
          <w:iCs/>
        </w:rPr>
        <w:t xml:space="preserve"> </w:t>
      </w:r>
      <w:r w:rsidRPr="003732D5">
        <w:t>=.15 with power of</w:t>
      </w:r>
      <w:r>
        <w:t xml:space="preserve"> </w:t>
      </w:r>
      <w:r w:rsidRPr="003732D5">
        <w:t>.90 and an alpha equal to</w:t>
      </w:r>
      <w:r>
        <w:t xml:space="preserve"> </w:t>
      </w:r>
      <w:r w:rsidRPr="003732D5">
        <w:t xml:space="preserve">.05. Given FDA’s interest in examining the effects of disclosure on the targeted </w:t>
      </w:r>
      <w:r>
        <w:t>mechanism of action (</w:t>
      </w:r>
      <w:r w:rsidRPr="003732D5">
        <w:t>MoA</w:t>
      </w:r>
      <w:r>
        <w:t>)</w:t>
      </w:r>
      <w:r w:rsidRPr="003732D5">
        <w:t xml:space="preserve"> claim and graphics, we assumed a total of 10 pairwise comparisons of interest for the two-way and three-way interactions. As such, using the same power and alpha levels, the main study sample size is also sensitive to detect moderately small differences (</w:t>
      </w:r>
      <w:r>
        <w:rPr>
          <w:i/>
          <w:iCs/>
        </w:rPr>
        <w:t>F</w:t>
      </w:r>
      <w:r w:rsidRPr="003732D5">
        <w:t xml:space="preserve"> =.18) for up to 10 nonorthogonal planned contrasts, assuming a Bonferroni-adjusted alpha of</w:t>
      </w:r>
      <w:r>
        <w:t xml:space="preserve"> </w:t>
      </w:r>
      <w:r w:rsidRPr="003732D5">
        <w:t xml:space="preserve">.005. Finally, with the proposed sample size, we will also be able to detect pairwise differences in proportions between experimental groups on dichotomous outcome variables as low as 24 percentage points for interactions and as low as 14 percentage points between levels of a single factor. </w:t>
      </w:r>
    </w:p>
    <w:p w:rsidR="00DE6BFD" w:rsidP="00502981" w14:paraId="258AAAA1" w14:textId="53C0A70C">
      <w:pPr>
        <w:pStyle w:val="BodyText"/>
        <w:spacing w:before="120"/>
        <w:ind w:left="540"/>
        <w:contextualSpacing/>
      </w:pPr>
    </w:p>
    <w:p w:rsidR="00DE6BFD" w:rsidP="00502981" w14:paraId="20D558EB" w14:textId="4684EE7B">
      <w:pPr>
        <w:pStyle w:val="BodyText"/>
        <w:spacing w:before="120"/>
        <w:ind w:left="540"/>
        <w:contextualSpacing/>
      </w:pPr>
    </w:p>
    <w:p w:rsidR="00DE6BFD" w:rsidP="00502981" w14:paraId="74BDC557" w14:textId="5750068A">
      <w:pPr>
        <w:pStyle w:val="BodyText"/>
        <w:spacing w:before="120"/>
        <w:ind w:left="540"/>
        <w:contextualSpacing/>
      </w:pPr>
    </w:p>
    <w:p w:rsidR="00DE6BFD" w:rsidP="00502981" w14:paraId="3417BC91" w14:textId="2B44E34F">
      <w:pPr>
        <w:pStyle w:val="BodyText"/>
        <w:spacing w:before="120"/>
        <w:ind w:left="540"/>
        <w:contextualSpacing/>
      </w:pPr>
    </w:p>
    <w:p w:rsidR="00DE6BFD" w:rsidP="00502981" w14:paraId="0CD11675" w14:textId="1BED6311">
      <w:pPr>
        <w:pStyle w:val="BodyText"/>
        <w:spacing w:before="120"/>
        <w:ind w:left="540"/>
        <w:contextualSpacing/>
      </w:pPr>
    </w:p>
    <w:p w:rsidR="00DE6BFD" w:rsidP="00502981" w14:paraId="7CFE4C3A" w14:textId="77777777">
      <w:pPr>
        <w:pStyle w:val="BodyText"/>
        <w:spacing w:before="120"/>
        <w:ind w:left="540"/>
        <w:contextualSpacing/>
      </w:pPr>
    </w:p>
    <w:p w:rsidR="00B12343" w:rsidRPr="00B12343" w:rsidP="00B12343" w14:paraId="00B0042E" w14:textId="014D65C9">
      <w:pPr>
        <w:pStyle w:val="table-title"/>
        <w:rPr>
          <w:rFonts w:ascii="Times New Roman" w:hAnsi="Times New Roman"/>
          <w:sz w:val="24"/>
          <w:szCs w:val="24"/>
        </w:rPr>
      </w:pPr>
      <w:bookmarkStart w:id="9" w:name="_Toc41034517"/>
      <w:bookmarkStart w:id="10" w:name="_Toc70073895"/>
      <w:bookmarkStart w:id="11" w:name="_Toc70073930"/>
      <w:bookmarkStart w:id="12" w:name="_Toc70074458"/>
      <w:r w:rsidRPr="00B12343">
        <w:rPr>
          <w:rFonts w:ascii="Times New Roman" w:hAnsi="Times New Roman"/>
          <w:sz w:val="24"/>
          <w:szCs w:val="24"/>
        </w:rPr>
        <w:t xml:space="preserve">Table </w:t>
      </w:r>
      <w:r w:rsidR="00D74481">
        <w:rPr>
          <w:rFonts w:ascii="Times New Roman" w:hAnsi="Times New Roman"/>
          <w:sz w:val="24"/>
          <w:szCs w:val="24"/>
        </w:rPr>
        <w:t>2</w:t>
      </w:r>
      <w:r w:rsidRPr="00B12343">
        <w:rPr>
          <w:rFonts w:ascii="Times New Roman" w:hAnsi="Times New Roman"/>
          <w:sz w:val="24"/>
          <w:szCs w:val="24"/>
        </w:rPr>
        <w:t>.</w:t>
      </w:r>
      <w:r w:rsidRPr="00B12343">
        <w:rPr>
          <w:rFonts w:ascii="Times New Roman" w:hAnsi="Times New Roman"/>
          <w:sz w:val="24"/>
          <w:szCs w:val="24"/>
        </w:rPr>
        <w:tab/>
        <w:t>Main Study Design and Estimated Sample Size per Cell</w:t>
      </w:r>
      <w:bookmarkEnd w:id="9"/>
      <w:bookmarkEnd w:id="10"/>
      <w:bookmarkEnd w:id="11"/>
      <w:bookmarkEnd w:id="12"/>
    </w:p>
    <w:tbl>
      <w:tblPr>
        <w:tblStyle w:val="RTITable"/>
        <w:tblW w:w="0" w:type="auto"/>
        <w:tblBorders>
          <w:insideH w:val="single" w:sz="6" w:space="0" w:color="auto"/>
          <w:insideV w:val="single" w:sz="6" w:space="0" w:color="auto"/>
        </w:tblBorders>
        <w:tblLook w:val="04A0"/>
      </w:tblPr>
      <w:tblGrid>
        <w:gridCol w:w="1975"/>
        <w:gridCol w:w="1445"/>
        <w:gridCol w:w="1530"/>
        <w:gridCol w:w="1378"/>
        <w:gridCol w:w="1378"/>
        <w:gridCol w:w="1379"/>
      </w:tblGrid>
      <w:tr w14:paraId="24F80FB9" w14:textId="77777777" w:rsidTr="008B4984">
        <w:tblPrEx>
          <w:tblW w:w="0" w:type="auto"/>
          <w:tblBorders>
            <w:insideH w:val="single" w:sz="6" w:space="0" w:color="auto"/>
            <w:insideV w:val="single" w:sz="6" w:space="0" w:color="auto"/>
          </w:tblBorders>
          <w:tblLook w:val="04A0"/>
        </w:tblPrEx>
        <w:trPr>
          <w:tblHeader/>
        </w:trPr>
        <w:tc>
          <w:tcPr>
            <w:tcW w:w="1975" w:type="dxa"/>
            <w:vMerge w:val="restart"/>
            <w:vAlign w:val="bottom"/>
          </w:tcPr>
          <w:p w:rsidR="00B12343" w:rsidRPr="00B12343" w:rsidP="008B4984" w14:paraId="7B9D0703" w14:textId="77777777">
            <w:pPr>
              <w:pStyle w:val="table-headers"/>
              <w:spacing w:before="40" w:after="40"/>
              <w:rPr>
                <w:rFonts w:ascii="Times New Roman" w:hAnsi="Times New Roman"/>
                <w:sz w:val="24"/>
                <w:szCs w:val="24"/>
              </w:rPr>
            </w:pPr>
            <w:r w:rsidRPr="00B12343">
              <w:rPr>
                <w:rFonts w:ascii="Times New Roman" w:hAnsi="Times New Roman"/>
                <w:sz w:val="24"/>
                <w:szCs w:val="24"/>
              </w:rPr>
              <w:t>Study</w:t>
            </w:r>
          </w:p>
        </w:tc>
        <w:tc>
          <w:tcPr>
            <w:tcW w:w="7110" w:type="dxa"/>
            <w:gridSpan w:val="5"/>
            <w:vAlign w:val="bottom"/>
          </w:tcPr>
          <w:p w:rsidR="00B12343" w:rsidRPr="00B12343" w:rsidP="008B4984" w14:paraId="52230809" w14:textId="77777777">
            <w:pPr>
              <w:pStyle w:val="table-headers"/>
              <w:spacing w:before="40" w:after="40"/>
              <w:rPr>
                <w:rFonts w:ascii="Times New Roman" w:hAnsi="Times New Roman"/>
                <w:sz w:val="24"/>
                <w:szCs w:val="24"/>
              </w:rPr>
            </w:pPr>
            <w:r w:rsidRPr="00B12343">
              <w:rPr>
                <w:rFonts w:ascii="Times New Roman" w:hAnsi="Times New Roman"/>
                <w:sz w:val="24"/>
                <w:szCs w:val="24"/>
              </w:rPr>
              <w:t xml:space="preserve">Experimental </w:t>
            </w:r>
            <w:r w:rsidRPr="00B12343">
              <w:rPr>
                <w:rFonts w:ascii="Times New Roman" w:hAnsi="Times New Roman"/>
                <w:sz w:val="24"/>
                <w:szCs w:val="24"/>
              </w:rPr>
              <w:t>Manipulations</w:t>
            </w:r>
          </w:p>
        </w:tc>
      </w:tr>
      <w:tr w14:paraId="5745E425" w14:textId="77777777" w:rsidTr="008B4984">
        <w:tblPrEx>
          <w:tblW w:w="0" w:type="auto"/>
          <w:tblLook w:val="04A0"/>
        </w:tblPrEx>
        <w:trPr>
          <w:tblHeader/>
        </w:trPr>
        <w:tc>
          <w:tcPr>
            <w:tcW w:w="1975" w:type="dxa"/>
            <w:vMerge/>
            <w:vAlign w:val="bottom"/>
          </w:tcPr>
          <w:p w:rsidR="00B12343" w:rsidRPr="00B12343" w:rsidP="008B4984" w14:paraId="5B7FE680" w14:textId="77777777">
            <w:pPr>
              <w:pStyle w:val="table-headers"/>
              <w:spacing w:before="40" w:after="40"/>
              <w:rPr>
                <w:rFonts w:ascii="Times New Roman" w:hAnsi="Times New Roman"/>
                <w:sz w:val="24"/>
                <w:szCs w:val="24"/>
              </w:rPr>
            </w:pPr>
          </w:p>
        </w:tc>
        <w:tc>
          <w:tcPr>
            <w:tcW w:w="1445" w:type="dxa"/>
            <w:vMerge w:val="restart"/>
            <w:vAlign w:val="bottom"/>
          </w:tcPr>
          <w:p w:rsidR="00B12343" w:rsidRPr="00B12343" w:rsidP="008B4984" w14:paraId="54BAA27A" w14:textId="77777777">
            <w:pPr>
              <w:pStyle w:val="table-headers"/>
              <w:spacing w:before="40" w:after="40"/>
              <w:rPr>
                <w:rFonts w:ascii="Times New Roman" w:hAnsi="Times New Roman"/>
                <w:sz w:val="24"/>
                <w:szCs w:val="24"/>
              </w:rPr>
            </w:pPr>
            <w:r w:rsidRPr="00B12343">
              <w:rPr>
                <w:rFonts w:ascii="Times New Roman" w:hAnsi="Times New Roman"/>
                <w:sz w:val="24"/>
                <w:szCs w:val="24"/>
              </w:rPr>
              <w:t>Disclosure</w:t>
            </w:r>
            <w:r w:rsidRPr="00B12343">
              <w:rPr>
                <w:rFonts w:ascii="Times New Roman" w:hAnsi="Times New Roman"/>
                <w:sz w:val="24"/>
                <w:szCs w:val="24"/>
              </w:rPr>
              <w:t xml:space="preserve"> </w:t>
            </w:r>
            <w:r w:rsidRPr="00B12343">
              <w:rPr>
                <w:rFonts w:ascii="Times New Roman" w:hAnsi="Times New Roman"/>
                <w:sz w:val="24"/>
                <w:szCs w:val="24"/>
              </w:rPr>
              <w:t>Statement</w:t>
            </w:r>
          </w:p>
        </w:tc>
        <w:tc>
          <w:tcPr>
            <w:tcW w:w="1530" w:type="dxa"/>
            <w:vMerge w:val="restart"/>
            <w:vAlign w:val="bottom"/>
          </w:tcPr>
          <w:p w:rsidR="00B12343" w:rsidRPr="00B12343" w:rsidP="008B4984" w14:paraId="16F80454" w14:textId="77777777">
            <w:pPr>
              <w:pStyle w:val="table-headers"/>
              <w:spacing w:before="40" w:after="40"/>
              <w:rPr>
                <w:rFonts w:ascii="Times New Roman" w:hAnsi="Times New Roman"/>
                <w:sz w:val="24"/>
                <w:szCs w:val="24"/>
              </w:rPr>
            </w:pPr>
            <w:r w:rsidRPr="00B12343">
              <w:rPr>
                <w:rFonts w:ascii="Times New Roman" w:hAnsi="Times New Roman"/>
                <w:sz w:val="24"/>
                <w:szCs w:val="24"/>
              </w:rPr>
              <w:t>Targeted</w:t>
            </w:r>
            <w:r w:rsidRPr="00B12343">
              <w:rPr>
                <w:rFonts w:ascii="Times New Roman" w:hAnsi="Times New Roman"/>
                <w:sz w:val="24"/>
                <w:szCs w:val="24"/>
              </w:rPr>
              <w:t xml:space="preserve"> </w:t>
            </w:r>
            <w:r w:rsidRPr="00B12343">
              <w:rPr>
                <w:rFonts w:ascii="Times New Roman" w:hAnsi="Times New Roman"/>
                <w:sz w:val="24"/>
                <w:szCs w:val="24"/>
              </w:rPr>
              <w:t>MoA</w:t>
            </w:r>
            <w:r w:rsidRPr="00B12343">
              <w:rPr>
                <w:rFonts w:ascii="Times New Roman" w:hAnsi="Times New Roman"/>
                <w:sz w:val="24"/>
                <w:szCs w:val="24"/>
              </w:rPr>
              <w:t xml:space="preserve"> </w:t>
            </w:r>
            <w:r w:rsidRPr="00B12343">
              <w:rPr>
                <w:rFonts w:ascii="Times New Roman" w:hAnsi="Times New Roman"/>
                <w:sz w:val="24"/>
                <w:szCs w:val="24"/>
              </w:rPr>
              <w:t>Claim</w:t>
            </w:r>
          </w:p>
        </w:tc>
        <w:tc>
          <w:tcPr>
            <w:tcW w:w="4135" w:type="dxa"/>
            <w:gridSpan w:val="3"/>
            <w:vAlign w:val="bottom"/>
          </w:tcPr>
          <w:p w:rsidR="00B12343" w:rsidRPr="00B12343" w:rsidP="008B4984" w14:paraId="43CAD478" w14:textId="77777777">
            <w:pPr>
              <w:pStyle w:val="table-headers"/>
              <w:spacing w:before="40" w:after="40"/>
              <w:rPr>
                <w:rFonts w:ascii="Times New Roman" w:hAnsi="Times New Roman"/>
                <w:sz w:val="24"/>
                <w:szCs w:val="24"/>
              </w:rPr>
            </w:pPr>
            <w:r w:rsidRPr="00B12343">
              <w:rPr>
                <w:rFonts w:ascii="Times New Roman" w:hAnsi="Times New Roman"/>
                <w:sz w:val="24"/>
                <w:szCs w:val="24"/>
              </w:rPr>
              <w:t>Targeted</w:t>
            </w:r>
            <w:r w:rsidRPr="00B12343">
              <w:rPr>
                <w:rFonts w:ascii="Times New Roman" w:hAnsi="Times New Roman"/>
                <w:sz w:val="24"/>
                <w:szCs w:val="24"/>
              </w:rPr>
              <w:t xml:space="preserve"> </w:t>
            </w:r>
            <w:r w:rsidRPr="00B12343">
              <w:rPr>
                <w:rFonts w:ascii="Times New Roman" w:hAnsi="Times New Roman"/>
                <w:sz w:val="24"/>
                <w:szCs w:val="24"/>
              </w:rPr>
              <w:t>MoA</w:t>
            </w:r>
            <w:r w:rsidRPr="00B12343">
              <w:rPr>
                <w:rFonts w:ascii="Times New Roman" w:hAnsi="Times New Roman"/>
                <w:sz w:val="24"/>
                <w:szCs w:val="24"/>
              </w:rPr>
              <w:t xml:space="preserve"> </w:t>
            </w:r>
            <w:r w:rsidRPr="00B12343">
              <w:rPr>
                <w:rFonts w:ascii="Times New Roman" w:hAnsi="Times New Roman"/>
                <w:sz w:val="24"/>
                <w:szCs w:val="24"/>
              </w:rPr>
              <w:t>Graphic</w:t>
            </w:r>
          </w:p>
        </w:tc>
      </w:tr>
      <w:tr w14:paraId="0057EC77" w14:textId="77777777" w:rsidTr="008B4984">
        <w:tblPrEx>
          <w:tblW w:w="0" w:type="auto"/>
          <w:tblLook w:val="04A0"/>
        </w:tblPrEx>
        <w:trPr>
          <w:tblHeader/>
        </w:trPr>
        <w:tc>
          <w:tcPr>
            <w:tcW w:w="1975" w:type="dxa"/>
            <w:vMerge/>
            <w:vAlign w:val="bottom"/>
          </w:tcPr>
          <w:p w:rsidR="00B12343" w:rsidRPr="00B12343" w:rsidP="008B4984" w14:paraId="2F4E5681" w14:textId="77777777">
            <w:pPr>
              <w:pStyle w:val="table-headers"/>
              <w:spacing w:before="40" w:after="40"/>
              <w:rPr>
                <w:rFonts w:ascii="Times New Roman" w:hAnsi="Times New Roman"/>
                <w:sz w:val="24"/>
                <w:szCs w:val="24"/>
              </w:rPr>
            </w:pPr>
          </w:p>
        </w:tc>
        <w:tc>
          <w:tcPr>
            <w:tcW w:w="1445" w:type="dxa"/>
            <w:vMerge/>
            <w:vAlign w:val="bottom"/>
          </w:tcPr>
          <w:p w:rsidR="00B12343" w:rsidRPr="00B12343" w:rsidP="008B4984" w14:paraId="6B595E64" w14:textId="77777777">
            <w:pPr>
              <w:pStyle w:val="table-headers"/>
              <w:spacing w:before="40" w:after="40"/>
              <w:rPr>
                <w:rFonts w:ascii="Times New Roman" w:hAnsi="Times New Roman"/>
                <w:sz w:val="24"/>
                <w:szCs w:val="24"/>
              </w:rPr>
            </w:pPr>
          </w:p>
        </w:tc>
        <w:tc>
          <w:tcPr>
            <w:tcW w:w="1530" w:type="dxa"/>
            <w:vMerge/>
            <w:vAlign w:val="bottom"/>
          </w:tcPr>
          <w:p w:rsidR="00B12343" w:rsidRPr="00B12343" w:rsidP="008B4984" w14:paraId="5E86FFC3" w14:textId="77777777">
            <w:pPr>
              <w:pStyle w:val="table-headers"/>
              <w:spacing w:before="40" w:after="40"/>
              <w:rPr>
                <w:rFonts w:ascii="Times New Roman" w:hAnsi="Times New Roman"/>
                <w:sz w:val="24"/>
                <w:szCs w:val="24"/>
              </w:rPr>
            </w:pPr>
          </w:p>
        </w:tc>
        <w:tc>
          <w:tcPr>
            <w:tcW w:w="1378" w:type="dxa"/>
            <w:vAlign w:val="bottom"/>
          </w:tcPr>
          <w:p w:rsidR="00B12343" w:rsidRPr="00B12343" w:rsidP="008B4984" w14:paraId="7C0EC928" w14:textId="77777777">
            <w:pPr>
              <w:pStyle w:val="table-headers"/>
              <w:spacing w:before="40" w:after="40"/>
              <w:rPr>
                <w:rFonts w:ascii="Times New Roman" w:hAnsi="Times New Roman"/>
                <w:sz w:val="24"/>
                <w:szCs w:val="24"/>
              </w:rPr>
            </w:pPr>
            <w:r w:rsidRPr="00B12343">
              <w:rPr>
                <w:rFonts w:ascii="Times New Roman" w:hAnsi="Times New Roman"/>
                <w:sz w:val="24"/>
                <w:szCs w:val="24"/>
              </w:rPr>
              <w:t>Graphic</w:t>
            </w:r>
            <w:r w:rsidRPr="00B12343">
              <w:rPr>
                <w:rFonts w:ascii="Times New Roman" w:hAnsi="Times New Roman"/>
                <w:sz w:val="24"/>
                <w:szCs w:val="24"/>
              </w:rPr>
              <w:t xml:space="preserve"> 1</w:t>
            </w:r>
          </w:p>
        </w:tc>
        <w:tc>
          <w:tcPr>
            <w:tcW w:w="1378" w:type="dxa"/>
            <w:vAlign w:val="bottom"/>
          </w:tcPr>
          <w:p w:rsidR="00B12343" w:rsidRPr="00B12343" w:rsidP="008B4984" w14:paraId="5E480442" w14:textId="77777777">
            <w:pPr>
              <w:pStyle w:val="table-headers"/>
              <w:spacing w:before="40" w:after="40"/>
              <w:rPr>
                <w:rFonts w:ascii="Times New Roman" w:hAnsi="Times New Roman"/>
                <w:sz w:val="24"/>
                <w:szCs w:val="24"/>
              </w:rPr>
            </w:pPr>
            <w:r w:rsidRPr="00B12343">
              <w:rPr>
                <w:rFonts w:ascii="Times New Roman" w:hAnsi="Times New Roman"/>
                <w:sz w:val="24"/>
                <w:szCs w:val="24"/>
              </w:rPr>
              <w:t>Graphic</w:t>
            </w:r>
            <w:r w:rsidRPr="00B12343">
              <w:rPr>
                <w:rFonts w:ascii="Times New Roman" w:hAnsi="Times New Roman"/>
                <w:sz w:val="24"/>
                <w:szCs w:val="24"/>
              </w:rPr>
              <w:t xml:space="preserve"> 2</w:t>
            </w:r>
          </w:p>
        </w:tc>
        <w:tc>
          <w:tcPr>
            <w:tcW w:w="1379" w:type="dxa"/>
            <w:vAlign w:val="bottom"/>
          </w:tcPr>
          <w:p w:rsidR="00B12343" w:rsidRPr="00B12343" w:rsidP="008B4984" w14:paraId="0BD83438" w14:textId="77777777">
            <w:pPr>
              <w:pStyle w:val="table-headers"/>
              <w:spacing w:before="40" w:after="40"/>
              <w:rPr>
                <w:rFonts w:ascii="Times New Roman" w:hAnsi="Times New Roman"/>
                <w:sz w:val="24"/>
                <w:szCs w:val="24"/>
              </w:rPr>
            </w:pPr>
            <w:r w:rsidRPr="00B12343">
              <w:rPr>
                <w:rFonts w:ascii="Times New Roman" w:hAnsi="Times New Roman"/>
                <w:sz w:val="24"/>
                <w:szCs w:val="24"/>
              </w:rPr>
              <w:t xml:space="preserve">No </w:t>
            </w:r>
            <w:r w:rsidRPr="00B12343">
              <w:rPr>
                <w:rFonts w:ascii="Times New Roman" w:hAnsi="Times New Roman"/>
                <w:sz w:val="24"/>
                <w:szCs w:val="24"/>
              </w:rPr>
              <w:t>Graphic</w:t>
            </w:r>
          </w:p>
        </w:tc>
      </w:tr>
      <w:tr w14:paraId="6FF1B13E" w14:textId="77777777" w:rsidTr="008B4984">
        <w:tblPrEx>
          <w:tblW w:w="0" w:type="auto"/>
          <w:tblLook w:val="04A0"/>
        </w:tblPrEx>
        <w:tc>
          <w:tcPr>
            <w:tcW w:w="1975" w:type="dxa"/>
            <w:vMerge w:val="restart"/>
            <w:vAlign w:val="center"/>
          </w:tcPr>
          <w:p w:rsidR="00B12343" w:rsidRPr="00B12343" w:rsidP="008B4984" w14:paraId="48173379" w14:textId="77777777">
            <w:pPr>
              <w:pStyle w:val="table-text"/>
              <w:spacing w:before="40" w:after="40"/>
              <w:rPr>
                <w:rFonts w:ascii="Times New Roman" w:hAnsi="Times New Roman"/>
                <w:sz w:val="24"/>
                <w:szCs w:val="24"/>
              </w:rPr>
            </w:pPr>
            <w:r w:rsidRPr="00B12343">
              <w:rPr>
                <w:rFonts w:ascii="Times New Roman" w:hAnsi="Times New Roman"/>
                <w:sz w:val="24"/>
                <w:szCs w:val="24"/>
              </w:rPr>
              <w:t>Study</w:t>
            </w:r>
            <w:r w:rsidRPr="00B12343">
              <w:rPr>
                <w:rFonts w:ascii="Times New Roman" w:hAnsi="Times New Roman"/>
                <w:sz w:val="24"/>
                <w:szCs w:val="24"/>
              </w:rPr>
              <w:t xml:space="preserve"> 1</w:t>
            </w:r>
            <w:r w:rsidRPr="00B12343">
              <w:rPr>
                <w:rFonts w:ascii="Times New Roman" w:hAnsi="Times New Roman"/>
                <w:sz w:val="24"/>
                <w:szCs w:val="24"/>
              </w:rPr>
              <w:br/>
              <w:t>(</w:t>
            </w:r>
            <w:r w:rsidRPr="00B12343">
              <w:rPr>
                <w:rFonts w:ascii="Times New Roman" w:hAnsi="Times New Roman"/>
                <w:sz w:val="24"/>
                <w:szCs w:val="24"/>
              </w:rPr>
              <w:t>Consumers</w:t>
            </w:r>
            <w:r w:rsidRPr="00B12343">
              <w:rPr>
                <w:rFonts w:ascii="Times New Roman" w:hAnsi="Times New Roman"/>
                <w:sz w:val="24"/>
                <w:szCs w:val="24"/>
              </w:rPr>
              <w:t>)</w:t>
            </w:r>
            <w:r w:rsidRPr="00B12343">
              <w:rPr>
                <w:rFonts w:ascii="Times New Roman" w:hAnsi="Times New Roman"/>
                <w:sz w:val="24"/>
                <w:szCs w:val="24"/>
              </w:rPr>
              <w:br/>
            </w:r>
            <w:r w:rsidRPr="00B12343">
              <w:rPr>
                <w:rFonts w:ascii="Times New Roman" w:hAnsi="Times New Roman"/>
                <w:i/>
                <w:iCs/>
                <w:sz w:val="24"/>
                <w:szCs w:val="24"/>
              </w:rPr>
              <w:t>N</w:t>
            </w:r>
            <w:r w:rsidRPr="00B12343">
              <w:rPr>
                <w:rFonts w:ascii="Times New Roman" w:hAnsi="Times New Roman"/>
                <w:sz w:val="24"/>
                <w:szCs w:val="24"/>
              </w:rPr>
              <w:t xml:space="preserve"> = 540</w:t>
            </w:r>
          </w:p>
        </w:tc>
        <w:tc>
          <w:tcPr>
            <w:tcW w:w="1445" w:type="dxa"/>
            <w:vMerge w:val="restart"/>
            <w:vAlign w:val="center"/>
          </w:tcPr>
          <w:p w:rsidR="00B12343" w:rsidRPr="00B12343" w:rsidP="008B4984" w14:paraId="3D1E832C" w14:textId="77777777">
            <w:pPr>
              <w:pStyle w:val="table-text"/>
              <w:spacing w:before="40" w:after="40"/>
              <w:rPr>
                <w:rFonts w:ascii="Times New Roman" w:hAnsi="Times New Roman"/>
                <w:sz w:val="24"/>
                <w:szCs w:val="24"/>
              </w:rPr>
            </w:pPr>
            <w:r w:rsidRPr="00B12343">
              <w:rPr>
                <w:rFonts w:ascii="Times New Roman" w:hAnsi="Times New Roman"/>
                <w:sz w:val="24"/>
                <w:szCs w:val="24"/>
              </w:rPr>
              <w:t>Present</w:t>
            </w:r>
          </w:p>
        </w:tc>
        <w:tc>
          <w:tcPr>
            <w:tcW w:w="1530" w:type="dxa"/>
            <w:vAlign w:val="center"/>
          </w:tcPr>
          <w:p w:rsidR="00B12343" w:rsidRPr="00B12343" w:rsidP="008B4984" w14:paraId="569B0B85" w14:textId="77777777">
            <w:pPr>
              <w:pStyle w:val="table-text"/>
              <w:spacing w:before="40" w:after="40"/>
              <w:rPr>
                <w:rFonts w:ascii="Times New Roman" w:hAnsi="Times New Roman"/>
                <w:sz w:val="24"/>
                <w:szCs w:val="24"/>
              </w:rPr>
            </w:pPr>
            <w:r w:rsidRPr="00B12343">
              <w:rPr>
                <w:rFonts w:ascii="Times New Roman" w:hAnsi="Times New Roman"/>
                <w:sz w:val="24"/>
                <w:szCs w:val="24"/>
              </w:rPr>
              <w:t>Present</w:t>
            </w:r>
          </w:p>
        </w:tc>
        <w:tc>
          <w:tcPr>
            <w:tcW w:w="1378" w:type="dxa"/>
            <w:vAlign w:val="center"/>
          </w:tcPr>
          <w:p w:rsidR="00B12343" w:rsidRPr="00B12343" w:rsidP="008B4984" w14:paraId="1515D3AC"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c>
          <w:tcPr>
            <w:tcW w:w="1378" w:type="dxa"/>
            <w:vAlign w:val="center"/>
          </w:tcPr>
          <w:p w:rsidR="00B12343" w:rsidRPr="00B12343" w:rsidP="008B4984" w14:paraId="0166259C"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c>
          <w:tcPr>
            <w:tcW w:w="1379" w:type="dxa"/>
            <w:vAlign w:val="center"/>
          </w:tcPr>
          <w:p w:rsidR="00B12343" w:rsidRPr="00B12343" w:rsidP="008B4984" w14:paraId="46BD8705"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r>
      <w:tr w14:paraId="5EEF86B2" w14:textId="77777777" w:rsidTr="008B4984">
        <w:tblPrEx>
          <w:tblW w:w="0" w:type="auto"/>
          <w:tblLook w:val="04A0"/>
        </w:tblPrEx>
        <w:tc>
          <w:tcPr>
            <w:tcW w:w="1975" w:type="dxa"/>
            <w:vMerge/>
            <w:vAlign w:val="center"/>
          </w:tcPr>
          <w:p w:rsidR="00B12343" w:rsidRPr="00B12343" w:rsidP="008B4984" w14:paraId="26298871" w14:textId="77777777">
            <w:pPr>
              <w:pStyle w:val="table-text"/>
              <w:spacing w:before="40" w:after="40"/>
              <w:rPr>
                <w:rFonts w:ascii="Times New Roman" w:hAnsi="Times New Roman"/>
                <w:sz w:val="24"/>
                <w:szCs w:val="24"/>
              </w:rPr>
            </w:pPr>
          </w:p>
        </w:tc>
        <w:tc>
          <w:tcPr>
            <w:tcW w:w="1445" w:type="dxa"/>
            <w:vMerge/>
            <w:vAlign w:val="center"/>
          </w:tcPr>
          <w:p w:rsidR="00B12343" w:rsidRPr="00B12343" w:rsidP="008B4984" w14:paraId="226426B4" w14:textId="77777777">
            <w:pPr>
              <w:pStyle w:val="table-text"/>
              <w:spacing w:before="40" w:after="40"/>
              <w:rPr>
                <w:rFonts w:ascii="Times New Roman" w:hAnsi="Times New Roman"/>
                <w:sz w:val="24"/>
                <w:szCs w:val="24"/>
              </w:rPr>
            </w:pPr>
          </w:p>
        </w:tc>
        <w:tc>
          <w:tcPr>
            <w:tcW w:w="1530" w:type="dxa"/>
            <w:vAlign w:val="center"/>
          </w:tcPr>
          <w:p w:rsidR="00B12343" w:rsidRPr="00B12343" w:rsidP="008B4984" w14:paraId="772D7E16" w14:textId="77777777">
            <w:pPr>
              <w:pStyle w:val="table-text"/>
              <w:spacing w:before="40" w:after="40"/>
              <w:rPr>
                <w:rFonts w:ascii="Times New Roman" w:hAnsi="Times New Roman"/>
                <w:sz w:val="24"/>
                <w:szCs w:val="24"/>
              </w:rPr>
            </w:pPr>
            <w:r w:rsidRPr="00B12343">
              <w:rPr>
                <w:rFonts w:ascii="Times New Roman" w:hAnsi="Times New Roman"/>
                <w:sz w:val="24"/>
                <w:szCs w:val="24"/>
              </w:rPr>
              <w:t>Absent</w:t>
            </w:r>
          </w:p>
        </w:tc>
        <w:tc>
          <w:tcPr>
            <w:tcW w:w="1378" w:type="dxa"/>
            <w:vAlign w:val="center"/>
          </w:tcPr>
          <w:p w:rsidR="00B12343" w:rsidRPr="00B12343" w:rsidP="008B4984" w14:paraId="274B02C3"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c>
          <w:tcPr>
            <w:tcW w:w="1378" w:type="dxa"/>
            <w:vAlign w:val="center"/>
          </w:tcPr>
          <w:p w:rsidR="00B12343" w:rsidRPr="00B12343" w:rsidP="008B4984" w14:paraId="03B5B48E"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c>
          <w:tcPr>
            <w:tcW w:w="1379" w:type="dxa"/>
            <w:vAlign w:val="center"/>
          </w:tcPr>
          <w:p w:rsidR="00B12343" w:rsidRPr="00B12343" w:rsidP="008B4984" w14:paraId="6CDC6A86"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r>
      <w:tr w14:paraId="5C050494" w14:textId="77777777" w:rsidTr="008B4984">
        <w:tblPrEx>
          <w:tblW w:w="0" w:type="auto"/>
          <w:tblLook w:val="04A0"/>
        </w:tblPrEx>
        <w:tc>
          <w:tcPr>
            <w:tcW w:w="1975" w:type="dxa"/>
            <w:vMerge/>
            <w:vAlign w:val="center"/>
          </w:tcPr>
          <w:p w:rsidR="00B12343" w:rsidRPr="00B12343" w:rsidP="008B4984" w14:paraId="260F49C9" w14:textId="77777777">
            <w:pPr>
              <w:pStyle w:val="table-text"/>
              <w:spacing w:before="40" w:after="40"/>
              <w:rPr>
                <w:rFonts w:ascii="Times New Roman" w:hAnsi="Times New Roman"/>
                <w:sz w:val="24"/>
                <w:szCs w:val="24"/>
              </w:rPr>
            </w:pPr>
          </w:p>
        </w:tc>
        <w:tc>
          <w:tcPr>
            <w:tcW w:w="1445" w:type="dxa"/>
            <w:vMerge w:val="restart"/>
            <w:vAlign w:val="center"/>
          </w:tcPr>
          <w:p w:rsidR="00B12343" w:rsidRPr="00B12343" w:rsidP="008B4984" w14:paraId="338E65CF" w14:textId="77777777">
            <w:pPr>
              <w:pStyle w:val="table-text"/>
              <w:spacing w:before="40" w:after="40"/>
              <w:rPr>
                <w:rFonts w:ascii="Times New Roman" w:hAnsi="Times New Roman"/>
                <w:sz w:val="24"/>
                <w:szCs w:val="24"/>
              </w:rPr>
            </w:pPr>
            <w:r w:rsidRPr="00B12343">
              <w:rPr>
                <w:rFonts w:ascii="Times New Roman" w:hAnsi="Times New Roman"/>
                <w:sz w:val="24"/>
                <w:szCs w:val="24"/>
              </w:rPr>
              <w:t>Absent</w:t>
            </w:r>
          </w:p>
        </w:tc>
        <w:tc>
          <w:tcPr>
            <w:tcW w:w="1530" w:type="dxa"/>
            <w:vAlign w:val="center"/>
          </w:tcPr>
          <w:p w:rsidR="00B12343" w:rsidRPr="00B12343" w:rsidP="008B4984" w14:paraId="78E47C1B" w14:textId="77777777">
            <w:pPr>
              <w:pStyle w:val="table-text"/>
              <w:spacing w:before="40" w:after="40"/>
              <w:rPr>
                <w:rFonts w:ascii="Times New Roman" w:hAnsi="Times New Roman"/>
                <w:sz w:val="24"/>
                <w:szCs w:val="24"/>
              </w:rPr>
            </w:pPr>
            <w:r w:rsidRPr="00B12343">
              <w:rPr>
                <w:rFonts w:ascii="Times New Roman" w:hAnsi="Times New Roman"/>
                <w:sz w:val="24"/>
                <w:szCs w:val="24"/>
              </w:rPr>
              <w:t>Present</w:t>
            </w:r>
          </w:p>
        </w:tc>
        <w:tc>
          <w:tcPr>
            <w:tcW w:w="1378" w:type="dxa"/>
            <w:vAlign w:val="center"/>
          </w:tcPr>
          <w:p w:rsidR="00B12343" w:rsidRPr="00B12343" w:rsidP="008B4984" w14:paraId="707A03B4"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c>
          <w:tcPr>
            <w:tcW w:w="1378" w:type="dxa"/>
            <w:vAlign w:val="center"/>
          </w:tcPr>
          <w:p w:rsidR="00B12343" w:rsidRPr="00B12343" w:rsidP="008B4984" w14:paraId="13ECFFD0"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c>
          <w:tcPr>
            <w:tcW w:w="1379" w:type="dxa"/>
            <w:vAlign w:val="center"/>
          </w:tcPr>
          <w:p w:rsidR="00B12343" w:rsidRPr="00B12343" w:rsidP="008B4984" w14:paraId="061E85F0"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r>
      <w:tr w14:paraId="3FD87DFB" w14:textId="77777777" w:rsidTr="008B4984">
        <w:tblPrEx>
          <w:tblW w:w="0" w:type="auto"/>
          <w:tblLook w:val="04A0"/>
        </w:tblPrEx>
        <w:tc>
          <w:tcPr>
            <w:tcW w:w="1975" w:type="dxa"/>
            <w:vMerge/>
            <w:vAlign w:val="center"/>
          </w:tcPr>
          <w:p w:rsidR="00B12343" w:rsidRPr="00B12343" w:rsidP="008B4984" w14:paraId="478D8B0A" w14:textId="77777777">
            <w:pPr>
              <w:pStyle w:val="table-text"/>
              <w:spacing w:before="40" w:after="40"/>
              <w:rPr>
                <w:rFonts w:ascii="Times New Roman" w:hAnsi="Times New Roman"/>
                <w:sz w:val="24"/>
                <w:szCs w:val="24"/>
              </w:rPr>
            </w:pPr>
          </w:p>
        </w:tc>
        <w:tc>
          <w:tcPr>
            <w:tcW w:w="1445" w:type="dxa"/>
            <w:vMerge/>
            <w:vAlign w:val="center"/>
          </w:tcPr>
          <w:p w:rsidR="00B12343" w:rsidRPr="00B12343" w:rsidP="008B4984" w14:paraId="1C1BE058" w14:textId="77777777">
            <w:pPr>
              <w:pStyle w:val="table-text"/>
              <w:spacing w:before="40" w:after="40"/>
              <w:rPr>
                <w:rFonts w:ascii="Times New Roman" w:hAnsi="Times New Roman"/>
                <w:sz w:val="24"/>
                <w:szCs w:val="24"/>
              </w:rPr>
            </w:pPr>
          </w:p>
        </w:tc>
        <w:tc>
          <w:tcPr>
            <w:tcW w:w="1530" w:type="dxa"/>
            <w:vAlign w:val="center"/>
          </w:tcPr>
          <w:p w:rsidR="00B12343" w:rsidRPr="00B12343" w:rsidP="008B4984" w14:paraId="747A3E0C" w14:textId="77777777">
            <w:pPr>
              <w:pStyle w:val="table-text"/>
              <w:spacing w:before="40" w:after="40"/>
              <w:rPr>
                <w:rFonts w:ascii="Times New Roman" w:hAnsi="Times New Roman"/>
                <w:sz w:val="24"/>
                <w:szCs w:val="24"/>
              </w:rPr>
            </w:pPr>
            <w:r w:rsidRPr="00B12343">
              <w:rPr>
                <w:rFonts w:ascii="Times New Roman" w:hAnsi="Times New Roman"/>
                <w:sz w:val="24"/>
                <w:szCs w:val="24"/>
              </w:rPr>
              <w:t>Absent</w:t>
            </w:r>
          </w:p>
        </w:tc>
        <w:tc>
          <w:tcPr>
            <w:tcW w:w="1378" w:type="dxa"/>
            <w:vAlign w:val="center"/>
          </w:tcPr>
          <w:p w:rsidR="00B12343" w:rsidRPr="00B12343" w:rsidP="008B4984" w14:paraId="10AB4767"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c>
          <w:tcPr>
            <w:tcW w:w="1378" w:type="dxa"/>
            <w:vAlign w:val="center"/>
          </w:tcPr>
          <w:p w:rsidR="00B12343" w:rsidRPr="00B12343" w:rsidP="008B4984" w14:paraId="15DEE368"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c>
          <w:tcPr>
            <w:tcW w:w="1379" w:type="dxa"/>
            <w:vAlign w:val="center"/>
          </w:tcPr>
          <w:p w:rsidR="00B12343" w:rsidRPr="00B12343" w:rsidP="008B4984" w14:paraId="22C6CDF9"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r>
      <w:tr w14:paraId="453C7A4E" w14:textId="77777777" w:rsidTr="008B4984">
        <w:tblPrEx>
          <w:tblW w:w="0" w:type="auto"/>
          <w:tblLook w:val="04A0"/>
        </w:tblPrEx>
        <w:tc>
          <w:tcPr>
            <w:tcW w:w="1975" w:type="dxa"/>
            <w:vMerge w:val="restart"/>
            <w:vAlign w:val="center"/>
          </w:tcPr>
          <w:p w:rsidR="00B12343" w:rsidRPr="00B12343" w:rsidP="008B4984" w14:paraId="6F65ECAF" w14:textId="77777777">
            <w:pPr>
              <w:pStyle w:val="table-text"/>
              <w:spacing w:before="40" w:after="40"/>
              <w:rPr>
                <w:rFonts w:ascii="Times New Roman" w:hAnsi="Times New Roman"/>
                <w:sz w:val="24"/>
                <w:szCs w:val="24"/>
              </w:rPr>
            </w:pPr>
            <w:r w:rsidRPr="00B12343">
              <w:rPr>
                <w:rFonts w:ascii="Times New Roman" w:hAnsi="Times New Roman"/>
                <w:sz w:val="24"/>
                <w:szCs w:val="24"/>
              </w:rPr>
              <w:t>Study</w:t>
            </w:r>
            <w:r w:rsidRPr="00B12343">
              <w:rPr>
                <w:rFonts w:ascii="Times New Roman" w:hAnsi="Times New Roman"/>
                <w:sz w:val="24"/>
                <w:szCs w:val="24"/>
              </w:rPr>
              <w:t xml:space="preserve"> 2</w:t>
            </w:r>
            <w:r w:rsidRPr="00B12343">
              <w:rPr>
                <w:rFonts w:ascii="Times New Roman" w:hAnsi="Times New Roman"/>
                <w:sz w:val="24"/>
                <w:szCs w:val="24"/>
              </w:rPr>
              <w:br/>
              <w:t>(</w:t>
            </w:r>
            <w:r w:rsidRPr="00B12343">
              <w:rPr>
                <w:rFonts w:ascii="Times New Roman" w:hAnsi="Times New Roman"/>
                <w:sz w:val="24"/>
                <w:szCs w:val="24"/>
              </w:rPr>
              <w:t>HCPs</w:t>
            </w:r>
            <w:r w:rsidRPr="00B12343">
              <w:rPr>
                <w:rFonts w:ascii="Times New Roman" w:hAnsi="Times New Roman"/>
                <w:sz w:val="24"/>
                <w:szCs w:val="24"/>
              </w:rPr>
              <w:t>)</w:t>
            </w:r>
            <w:r w:rsidRPr="00B12343">
              <w:rPr>
                <w:rFonts w:ascii="Times New Roman" w:hAnsi="Times New Roman"/>
                <w:sz w:val="24"/>
                <w:szCs w:val="24"/>
              </w:rPr>
              <w:br/>
            </w:r>
            <w:r w:rsidRPr="00B12343">
              <w:rPr>
                <w:rFonts w:ascii="Times New Roman" w:hAnsi="Times New Roman"/>
                <w:i/>
                <w:iCs/>
                <w:sz w:val="24"/>
                <w:szCs w:val="24"/>
              </w:rPr>
              <w:t>N</w:t>
            </w:r>
            <w:r w:rsidRPr="00B12343">
              <w:rPr>
                <w:rFonts w:ascii="Times New Roman" w:hAnsi="Times New Roman"/>
                <w:sz w:val="24"/>
                <w:szCs w:val="24"/>
              </w:rPr>
              <w:t xml:space="preserve"> = 540</w:t>
            </w:r>
          </w:p>
        </w:tc>
        <w:tc>
          <w:tcPr>
            <w:tcW w:w="1445" w:type="dxa"/>
            <w:vMerge w:val="restart"/>
            <w:vAlign w:val="center"/>
          </w:tcPr>
          <w:p w:rsidR="00B12343" w:rsidRPr="00B12343" w:rsidP="008B4984" w14:paraId="3435E1FF" w14:textId="77777777">
            <w:pPr>
              <w:pStyle w:val="table-text"/>
              <w:spacing w:before="40" w:after="40"/>
              <w:rPr>
                <w:rFonts w:ascii="Times New Roman" w:hAnsi="Times New Roman"/>
                <w:sz w:val="24"/>
                <w:szCs w:val="24"/>
              </w:rPr>
            </w:pPr>
            <w:r w:rsidRPr="00B12343">
              <w:rPr>
                <w:rFonts w:ascii="Times New Roman" w:hAnsi="Times New Roman"/>
                <w:sz w:val="24"/>
                <w:szCs w:val="24"/>
              </w:rPr>
              <w:t>Present</w:t>
            </w:r>
          </w:p>
        </w:tc>
        <w:tc>
          <w:tcPr>
            <w:tcW w:w="1530" w:type="dxa"/>
            <w:vAlign w:val="center"/>
          </w:tcPr>
          <w:p w:rsidR="00B12343" w:rsidRPr="00B12343" w:rsidP="008B4984" w14:paraId="122BC72F" w14:textId="77777777">
            <w:pPr>
              <w:pStyle w:val="table-text"/>
              <w:spacing w:before="40" w:after="40"/>
              <w:rPr>
                <w:rFonts w:ascii="Times New Roman" w:hAnsi="Times New Roman"/>
                <w:sz w:val="24"/>
                <w:szCs w:val="24"/>
              </w:rPr>
            </w:pPr>
            <w:r w:rsidRPr="00B12343">
              <w:rPr>
                <w:rFonts w:ascii="Times New Roman" w:hAnsi="Times New Roman"/>
                <w:sz w:val="24"/>
                <w:szCs w:val="24"/>
              </w:rPr>
              <w:t>Present</w:t>
            </w:r>
          </w:p>
        </w:tc>
        <w:tc>
          <w:tcPr>
            <w:tcW w:w="1378" w:type="dxa"/>
            <w:vAlign w:val="center"/>
          </w:tcPr>
          <w:p w:rsidR="00B12343" w:rsidRPr="00B12343" w:rsidP="008B4984" w14:paraId="34851DDB"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c>
          <w:tcPr>
            <w:tcW w:w="1378" w:type="dxa"/>
            <w:vAlign w:val="center"/>
          </w:tcPr>
          <w:p w:rsidR="00B12343" w:rsidRPr="00B12343" w:rsidP="008B4984" w14:paraId="71D734D8"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c>
          <w:tcPr>
            <w:tcW w:w="1379" w:type="dxa"/>
            <w:vAlign w:val="center"/>
          </w:tcPr>
          <w:p w:rsidR="00B12343" w:rsidRPr="00B12343" w:rsidP="008B4984" w14:paraId="68133DF3"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r>
      <w:tr w14:paraId="28CA619F" w14:textId="77777777" w:rsidTr="008B4984">
        <w:tblPrEx>
          <w:tblW w:w="0" w:type="auto"/>
          <w:tblLook w:val="04A0"/>
        </w:tblPrEx>
        <w:tc>
          <w:tcPr>
            <w:tcW w:w="1975" w:type="dxa"/>
            <w:vMerge/>
            <w:vAlign w:val="center"/>
          </w:tcPr>
          <w:p w:rsidR="00B12343" w:rsidRPr="00B12343" w:rsidP="008B4984" w14:paraId="3C2CD2CF" w14:textId="77777777">
            <w:pPr>
              <w:pStyle w:val="table-text"/>
              <w:spacing w:before="40" w:after="40"/>
              <w:rPr>
                <w:rFonts w:ascii="Times New Roman" w:hAnsi="Times New Roman"/>
                <w:sz w:val="24"/>
                <w:szCs w:val="24"/>
              </w:rPr>
            </w:pPr>
          </w:p>
        </w:tc>
        <w:tc>
          <w:tcPr>
            <w:tcW w:w="1445" w:type="dxa"/>
            <w:vMerge/>
            <w:vAlign w:val="center"/>
          </w:tcPr>
          <w:p w:rsidR="00B12343" w:rsidRPr="00B12343" w:rsidP="008B4984" w14:paraId="1EA02C30" w14:textId="77777777">
            <w:pPr>
              <w:pStyle w:val="table-text"/>
              <w:spacing w:before="40" w:after="40"/>
              <w:rPr>
                <w:rFonts w:ascii="Times New Roman" w:hAnsi="Times New Roman"/>
                <w:sz w:val="24"/>
                <w:szCs w:val="24"/>
              </w:rPr>
            </w:pPr>
          </w:p>
        </w:tc>
        <w:tc>
          <w:tcPr>
            <w:tcW w:w="1530" w:type="dxa"/>
            <w:vAlign w:val="center"/>
          </w:tcPr>
          <w:p w:rsidR="00B12343" w:rsidRPr="00B12343" w:rsidP="008B4984" w14:paraId="01CBF0E1" w14:textId="77777777">
            <w:pPr>
              <w:pStyle w:val="table-text"/>
              <w:spacing w:before="40" w:after="40"/>
              <w:rPr>
                <w:rFonts w:ascii="Times New Roman" w:hAnsi="Times New Roman"/>
                <w:sz w:val="24"/>
                <w:szCs w:val="24"/>
              </w:rPr>
            </w:pPr>
            <w:r w:rsidRPr="00B12343">
              <w:rPr>
                <w:rFonts w:ascii="Times New Roman" w:hAnsi="Times New Roman"/>
                <w:sz w:val="24"/>
                <w:szCs w:val="24"/>
              </w:rPr>
              <w:t>Absent</w:t>
            </w:r>
          </w:p>
        </w:tc>
        <w:tc>
          <w:tcPr>
            <w:tcW w:w="1378" w:type="dxa"/>
            <w:vAlign w:val="center"/>
          </w:tcPr>
          <w:p w:rsidR="00B12343" w:rsidRPr="00B12343" w:rsidP="008B4984" w14:paraId="07E48723"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c>
          <w:tcPr>
            <w:tcW w:w="1378" w:type="dxa"/>
            <w:vAlign w:val="center"/>
          </w:tcPr>
          <w:p w:rsidR="00B12343" w:rsidRPr="00B12343" w:rsidP="008B4984" w14:paraId="65210150"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c>
          <w:tcPr>
            <w:tcW w:w="1379" w:type="dxa"/>
            <w:vAlign w:val="center"/>
          </w:tcPr>
          <w:p w:rsidR="00B12343" w:rsidRPr="00B12343" w:rsidP="008B4984" w14:paraId="3E3C425B"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r>
      <w:tr w14:paraId="3779E97B" w14:textId="77777777" w:rsidTr="008B4984">
        <w:tblPrEx>
          <w:tblW w:w="0" w:type="auto"/>
          <w:tblLook w:val="04A0"/>
        </w:tblPrEx>
        <w:tc>
          <w:tcPr>
            <w:tcW w:w="1975" w:type="dxa"/>
            <w:vMerge/>
            <w:vAlign w:val="center"/>
          </w:tcPr>
          <w:p w:rsidR="00B12343" w:rsidRPr="00B12343" w:rsidP="008B4984" w14:paraId="770FCBF4" w14:textId="77777777">
            <w:pPr>
              <w:pStyle w:val="table-text"/>
              <w:spacing w:before="40" w:after="40"/>
              <w:rPr>
                <w:rFonts w:ascii="Times New Roman" w:hAnsi="Times New Roman"/>
                <w:sz w:val="24"/>
                <w:szCs w:val="24"/>
              </w:rPr>
            </w:pPr>
          </w:p>
        </w:tc>
        <w:tc>
          <w:tcPr>
            <w:tcW w:w="1445" w:type="dxa"/>
            <w:vMerge w:val="restart"/>
            <w:vAlign w:val="center"/>
          </w:tcPr>
          <w:p w:rsidR="00B12343" w:rsidRPr="00B12343" w:rsidP="008B4984" w14:paraId="34103C83" w14:textId="77777777">
            <w:pPr>
              <w:pStyle w:val="table-text"/>
              <w:spacing w:before="40" w:after="40"/>
              <w:rPr>
                <w:rFonts w:ascii="Times New Roman" w:hAnsi="Times New Roman"/>
                <w:sz w:val="24"/>
                <w:szCs w:val="24"/>
              </w:rPr>
            </w:pPr>
            <w:r w:rsidRPr="00B12343">
              <w:rPr>
                <w:rFonts w:ascii="Times New Roman" w:hAnsi="Times New Roman"/>
                <w:sz w:val="24"/>
                <w:szCs w:val="24"/>
              </w:rPr>
              <w:t>Absent</w:t>
            </w:r>
          </w:p>
        </w:tc>
        <w:tc>
          <w:tcPr>
            <w:tcW w:w="1530" w:type="dxa"/>
            <w:vAlign w:val="center"/>
          </w:tcPr>
          <w:p w:rsidR="00B12343" w:rsidRPr="00B12343" w:rsidP="008B4984" w14:paraId="6DEE4494" w14:textId="77777777">
            <w:pPr>
              <w:pStyle w:val="table-text"/>
              <w:spacing w:before="40" w:after="40"/>
              <w:rPr>
                <w:rFonts w:ascii="Times New Roman" w:hAnsi="Times New Roman"/>
                <w:sz w:val="24"/>
                <w:szCs w:val="24"/>
              </w:rPr>
            </w:pPr>
            <w:r w:rsidRPr="00B12343">
              <w:rPr>
                <w:rFonts w:ascii="Times New Roman" w:hAnsi="Times New Roman"/>
                <w:sz w:val="24"/>
                <w:szCs w:val="24"/>
              </w:rPr>
              <w:t>Present</w:t>
            </w:r>
          </w:p>
        </w:tc>
        <w:tc>
          <w:tcPr>
            <w:tcW w:w="1378" w:type="dxa"/>
            <w:vAlign w:val="center"/>
          </w:tcPr>
          <w:p w:rsidR="00B12343" w:rsidRPr="00B12343" w:rsidP="008B4984" w14:paraId="68C9DD8C"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c>
          <w:tcPr>
            <w:tcW w:w="1378" w:type="dxa"/>
            <w:vAlign w:val="center"/>
          </w:tcPr>
          <w:p w:rsidR="00B12343" w:rsidRPr="00B12343" w:rsidP="008B4984" w14:paraId="23452066"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c>
          <w:tcPr>
            <w:tcW w:w="1379" w:type="dxa"/>
            <w:vAlign w:val="center"/>
          </w:tcPr>
          <w:p w:rsidR="00B12343" w:rsidRPr="00B12343" w:rsidP="008B4984" w14:paraId="2DF8A90B"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r>
      <w:tr w14:paraId="02925C6A" w14:textId="77777777" w:rsidTr="008B4984">
        <w:tblPrEx>
          <w:tblW w:w="0" w:type="auto"/>
          <w:tblLook w:val="04A0"/>
        </w:tblPrEx>
        <w:tc>
          <w:tcPr>
            <w:tcW w:w="1975" w:type="dxa"/>
            <w:vMerge/>
            <w:vAlign w:val="center"/>
          </w:tcPr>
          <w:p w:rsidR="00B12343" w:rsidRPr="00B12343" w:rsidP="008B4984" w14:paraId="5AFEEF65" w14:textId="77777777">
            <w:pPr>
              <w:pStyle w:val="table-text"/>
              <w:spacing w:before="40" w:after="40"/>
              <w:rPr>
                <w:rFonts w:ascii="Times New Roman" w:hAnsi="Times New Roman"/>
                <w:sz w:val="24"/>
                <w:szCs w:val="24"/>
              </w:rPr>
            </w:pPr>
          </w:p>
        </w:tc>
        <w:tc>
          <w:tcPr>
            <w:tcW w:w="1445" w:type="dxa"/>
            <w:vMerge/>
            <w:vAlign w:val="center"/>
          </w:tcPr>
          <w:p w:rsidR="00B12343" w:rsidRPr="00B12343" w:rsidP="008B4984" w14:paraId="0132DC1F" w14:textId="77777777">
            <w:pPr>
              <w:pStyle w:val="table-text"/>
              <w:spacing w:before="40" w:after="40"/>
              <w:rPr>
                <w:rFonts w:ascii="Times New Roman" w:hAnsi="Times New Roman"/>
                <w:sz w:val="24"/>
                <w:szCs w:val="24"/>
              </w:rPr>
            </w:pPr>
          </w:p>
        </w:tc>
        <w:tc>
          <w:tcPr>
            <w:tcW w:w="1530" w:type="dxa"/>
            <w:vAlign w:val="center"/>
          </w:tcPr>
          <w:p w:rsidR="00B12343" w:rsidRPr="00B12343" w:rsidP="008B4984" w14:paraId="1733505B" w14:textId="77777777">
            <w:pPr>
              <w:pStyle w:val="table-text"/>
              <w:spacing w:before="40" w:after="40"/>
              <w:rPr>
                <w:rFonts w:ascii="Times New Roman" w:hAnsi="Times New Roman"/>
                <w:sz w:val="24"/>
                <w:szCs w:val="24"/>
              </w:rPr>
            </w:pPr>
            <w:r w:rsidRPr="00B12343">
              <w:rPr>
                <w:rFonts w:ascii="Times New Roman" w:hAnsi="Times New Roman"/>
                <w:sz w:val="24"/>
                <w:szCs w:val="24"/>
              </w:rPr>
              <w:t>Absent</w:t>
            </w:r>
          </w:p>
        </w:tc>
        <w:tc>
          <w:tcPr>
            <w:tcW w:w="1378" w:type="dxa"/>
            <w:vAlign w:val="center"/>
          </w:tcPr>
          <w:p w:rsidR="00B12343" w:rsidRPr="00B12343" w:rsidP="008B4984" w14:paraId="269E644A"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c>
          <w:tcPr>
            <w:tcW w:w="1378" w:type="dxa"/>
            <w:vAlign w:val="center"/>
          </w:tcPr>
          <w:p w:rsidR="00B12343" w:rsidRPr="00B12343" w:rsidP="008B4984" w14:paraId="257A36D3"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c>
          <w:tcPr>
            <w:tcW w:w="1379" w:type="dxa"/>
            <w:vAlign w:val="center"/>
          </w:tcPr>
          <w:p w:rsidR="00B12343" w:rsidRPr="00B12343" w:rsidP="008B4984" w14:paraId="5C9606DE" w14:textId="77777777">
            <w:pPr>
              <w:pStyle w:val="table-text"/>
              <w:spacing w:before="40" w:after="40"/>
              <w:jc w:val="center"/>
              <w:rPr>
                <w:rFonts w:ascii="Times New Roman" w:hAnsi="Times New Roman"/>
                <w:sz w:val="24"/>
                <w:szCs w:val="24"/>
              </w:rPr>
            </w:pPr>
            <w:r w:rsidRPr="00B12343">
              <w:rPr>
                <w:rFonts w:ascii="Times New Roman" w:hAnsi="Times New Roman"/>
                <w:sz w:val="24"/>
                <w:szCs w:val="24"/>
              </w:rPr>
              <w:t>45</w:t>
            </w:r>
          </w:p>
        </w:tc>
      </w:tr>
    </w:tbl>
    <w:p w:rsidR="00AC6274" w:rsidRPr="00AC6274" w:rsidP="00B12343" w14:paraId="1278C468" w14:textId="77777777">
      <w:pPr>
        <w:autoSpaceDE w:val="0"/>
        <w:autoSpaceDN w:val="0"/>
        <w:adjustRightInd w:val="0"/>
        <w:spacing w:after="0" w:line="240" w:lineRule="auto"/>
        <w:jc w:val="both"/>
        <w:rPr>
          <w:rFonts w:eastAsia="Arial"/>
        </w:rPr>
      </w:pPr>
    </w:p>
    <w:p w:rsidR="00787427" w:rsidRPr="00F43954" w:rsidP="00435F1F" w14:paraId="790615BB" w14:textId="1372D2CD">
      <w:pPr>
        <w:pStyle w:val="ListParagraph"/>
        <w:numPr>
          <w:ilvl w:val="0"/>
          <w:numId w:val="1"/>
        </w:numPr>
        <w:spacing w:after="0" w:line="480" w:lineRule="auto"/>
        <w:ind w:hanging="540"/>
      </w:pPr>
      <w:r w:rsidRPr="00C01E46">
        <w:rPr>
          <w:u w:val="single"/>
        </w:rPr>
        <w:t>Methods to Maximize Response Rates and Deal with Non-response</w:t>
      </w:r>
    </w:p>
    <w:p w:rsidR="008F70C9" w:rsidRPr="00681993" w:rsidP="00CD05E9" w14:paraId="14E3F67B" w14:textId="77777777">
      <w:pPr>
        <w:pStyle w:val="NormalWeb"/>
        <w:shd w:val="clear" w:color="auto" w:fill="FFFFFF"/>
        <w:spacing w:before="0" w:beforeAutospacing="0" w:after="0" w:afterAutospacing="0"/>
        <w:ind w:left="547"/>
      </w:pPr>
      <w:r w:rsidRPr="00681993">
        <w:rPr>
          <w:color w:val="000000"/>
        </w:rPr>
        <w:t xml:space="preserve">The pretests and main studies will use </w:t>
      </w:r>
      <w:r>
        <w:rPr>
          <w:color w:val="000000"/>
        </w:rPr>
        <w:t xml:space="preserve">an </w:t>
      </w:r>
      <w:r w:rsidRPr="00681993">
        <w:rPr>
          <w:color w:val="000000"/>
        </w:rPr>
        <w:t xml:space="preserve">existing research panel to draw a sample. The panel comprises individuals who have signed up to participate </w:t>
      </w:r>
      <w:r>
        <w:rPr>
          <w:color w:val="000000"/>
        </w:rPr>
        <w:t xml:space="preserve">voluntarily </w:t>
      </w:r>
      <w:r w:rsidRPr="00681993">
        <w:rPr>
          <w:color w:val="000000"/>
        </w:rPr>
        <w:t>in online studies. To help ensure that the participation rate is as high as possible</w:t>
      </w:r>
      <w:r w:rsidRPr="00681993">
        <w:t>, FDA will:</w:t>
      </w:r>
    </w:p>
    <w:p w:rsidR="008F70C9" w:rsidRPr="00681993" w:rsidP="008F70C9" w14:paraId="08738170" w14:textId="77777777">
      <w:pPr>
        <w:pStyle w:val="NormalWeb"/>
        <w:shd w:val="clear" w:color="auto" w:fill="FFFFFF"/>
        <w:spacing w:before="0" w:beforeAutospacing="0" w:after="0" w:afterAutospacing="0"/>
        <w:ind w:left="360"/>
      </w:pPr>
    </w:p>
    <w:p w:rsidR="008F70C9" w:rsidRPr="00681993" w:rsidP="008F70C9" w14:paraId="5239545E" w14:textId="77777777">
      <w:pPr>
        <w:pStyle w:val="NormalWeb"/>
        <w:numPr>
          <w:ilvl w:val="0"/>
          <w:numId w:val="15"/>
        </w:numPr>
        <w:shd w:val="clear" w:color="auto" w:fill="FFFFFF"/>
        <w:spacing w:before="0" w:beforeAutospacing="0" w:after="0" w:afterAutospacing="0"/>
      </w:pPr>
      <w:r w:rsidRPr="00681993">
        <w:t>Design an experimental protocol that minimizes burden (short in length, clearly written, and with appealing graphics</w:t>
      </w:r>
      <w:r w:rsidRPr="00681993">
        <w:t>);</w:t>
      </w:r>
      <w:r w:rsidRPr="00681993">
        <w:t xml:space="preserve"> </w:t>
      </w:r>
    </w:p>
    <w:p w:rsidR="008F70C9" w:rsidP="008F70C9" w14:paraId="7C667A34" w14:textId="1F4C03B0">
      <w:pPr>
        <w:pStyle w:val="NormalWeb"/>
        <w:numPr>
          <w:ilvl w:val="0"/>
          <w:numId w:val="15"/>
        </w:numPr>
        <w:shd w:val="clear" w:color="auto" w:fill="FFFFFF"/>
        <w:spacing w:before="0" w:beforeAutospacing="0" w:after="0" w:afterAutospacing="0"/>
      </w:pPr>
      <w:r w:rsidRPr="00681993">
        <w:t xml:space="preserve">Administer the pretests and main studies over the Internet, allowing respondents to answer questions at a time and location of their </w:t>
      </w:r>
      <w:r w:rsidRPr="00681993">
        <w:t>choosing</w:t>
      </w:r>
      <w:r w:rsidR="001B0B72">
        <w:t>;</w:t>
      </w:r>
    </w:p>
    <w:p w:rsidR="008F70C9" w:rsidP="008F70C9" w14:paraId="30C9AEFE" w14:textId="42363BB9">
      <w:pPr>
        <w:pStyle w:val="NormalWeb"/>
        <w:numPr>
          <w:ilvl w:val="0"/>
          <w:numId w:val="15"/>
        </w:numPr>
        <w:shd w:val="clear" w:color="auto" w:fill="FFFFFF"/>
        <w:spacing w:before="0" w:beforeAutospacing="0" w:after="0" w:afterAutospacing="0"/>
      </w:pPr>
      <w:r>
        <w:t>Use incentive</w:t>
      </w:r>
      <w:r w:rsidR="00EA5A0E">
        <w:t xml:space="preserve">s </w:t>
      </w:r>
      <w:r>
        <w:t>to increase response rates, reduce sampling bias, and reduce nonresponse bias</w:t>
      </w:r>
      <w:r w:rsidR="001B0B72">
        <w:t>; and</w:t>
      </w:r>
    </w:p>
    <w:p w:rsidR="008F70C9" w:rsidP="008F70C9" w14:paraId="5F893985" w14:textId="6923819E">
      <w:pPr>
        <w:pStyle w:val="NormalWeb"/>
        <w:numPr>
          <w:ilvl w:val="0"/>
          <w:numId w:val="15"/>
        </w:numPr>
        <w:shd w:val="clear" w:color="auto" w:fill="FFFFFF"/>
        <w:spacing w:after="0"/>
      </w:pPr>
      <w:r>
        <w:t>Use both email and router invitations, which have been shown to be an effective strategy to increase response</w:t>
      </w:r>
      <w:r w:rsidR="00E204C2">
        <w:t xml:space="preserve"> (</w:t>
      </w:r>
      <w:r w:rsidR="00E204C2">
        <w:t>Boudewyns</w:t>
      </w:r>
      <w:r w:rsidR="00E204C2">
        <w:t xml:space="preserve"> et al. 2017)</w:t>
      </w:r>
      <w:r>
        <w:t>.</w:t>
      </w:r>
    </w:p>
    <w:p w:rsidR="002C5A08" w:rsidRPr="002C5A08" w:rsidP="002C5A08" w14:paraId="40470F48" w14:textId="77777777">
      <w:pPr>
        <w:pStyle w:val="ListParagraph"/>
        <w:numPr>
          <w:ilvl w:val="0"/>
          <w:numId w:val="1"/>
        </w:numPr>
        <w:autoSpaceDE w:val="0"/>
        <w:autoSpaceDN w:val="0"/>
        <w:adjustRightInd w:val="0"/>
        <w:spacing w:after="0" w:line="480" w:lineRule="auto"/>
      </w:pPr>
      <w:r w:rsidRPr="002C5A08">
        <w:rPr>
          <w:u w:val="single"/>
        </w:rPr>
        <w:t>Test of Procedures or Methods to be Undertaken</w:t>
      </w:r>
    </w:p>
    <w:p w:rsidR="00995F42" w:rsidP="008A4E18" w14:paraId="060E0215" w14:textId="418629E6">
      <w:pPr>
        <w:autoSpaceDE w:val="0"/>
        <w:autoSpaceDN w:val="0"/>
        <w:adjustRightInd w:val="0"/>
        <w:spacing w:after="0" w:line="240" w:lineRule="auto"/>
        <w:ind w:left="540"/>
        <w:rPr>
          <w:szCs w:val="20"/>
        </w:rPr>
      </w:pPr>
      <w:r w:rsidRPr="008A4E18">
        <w:rPr>
          <w:szCs w:val="20"/>
        </w:rPr>
        <w:t xml:space="preserve">Two types of pretesting (qualitative and quantitative) are employed as a test of procedures and methods. The first type of pretesting—already conducted—is qualitative. Cognitive testing with nine individuals was used to refine study stimuli and questions. Additionally, as described in this package, one round of quantitative pretesting </w:t>
      </w:r>
      <w:r w:rsidR="0003368A">
        <w:rPr>
          <w:szCs w:val="20"/>
        </w:rPr>
        <w:t xml:space="preserve">per population </w:t>
      </w:r>
      <w:r w:rsidRPr="008A4E18">
        <w:rPr>
          <w:szCs w:val="20"/>
        </w:rPr>
        <w:t>will be employed. Pretesting will be used to evaluate the procedures and measures used in the main stud</w:t>
      </w:r>
      <w:r w:rsidR="0003368A">
        <w:rPr>
          <w:szCs w:val="20"/>
        </w:rPr>
        <w:t>y</w:t>
      </w:r>
      <w:r w:rsidRPr="008A4E18">
        <w:rPr>
          <w:szCs w:val="20"/>
        </w:rPr>
        <w:t>.</w:t>
      </w:r>
      <w:r w:rsidR="0003368A">
        <w:rPr>
          <w:szCs w:val="20"/>
        </w:rPr>
        <w:t xml:space="preserve"> Pretesting </w:t>
      </w:r>
      <w:r w:rsidRPr="008A4E18">
        <w:rPr>
          <w:szCs w:val="20"/>
        </w:rPr>
        <w:t>will have the same design as the main studies. The primary purpose of pretest</w:t>
      </w:r>
      <w:r w:rsidR="0003368A">
        <w:rPr>
          <w:szCs w:val="20"/>
        </w:rPr>
        <w:t>ing</w:t>
      </w:r>
      <w:r w:rsidRPr="008A4E18">
        <w:rPr>
          <w:szCs w:val="20"/>
        </w:rPr>
        <w:t xml:space="preserve"> will be to test the questionnaire’s format, the data collection protocol, statistical measures, and any other considerations that may arise. Based on pretest findings, we will refine the survey questions and data collection process, as necessary, to optimize the full-scale study conditions.</w:t>
      </w:r>
    </w:p>
    <w:p w:rsidR="008A4E18" w:rsidRPr="0077074F" w:rsidP="008A4E18" w14:paraId="2FACF92B" w14:textId="77777777">
      <w:pPr>
        <w:autoSpaceDE w:val="0"/>
        <w:autoSpaceDN w:val="0"/>
        <w:adjustRightInd w:val="0"/>
        <w:spacing w:after="0" w:line="240" w:lineRule="auto"/>
        <w:ind w:left="540"/>
        <w:rPr>
          <w:szCs w:val="20"/>
          <w:highlight w:val="red"/>
        </w:rPr>
      </w:pPr>
    </w:p>
    <w:p w:rsidR="00530842" w:rsidRPr="00F2717F" w:rsidP="00F43954" w14:paraId="7C74AC1E" w14:textId="22FC04FE">
      <w:pPr>
        <w:spacing w:before="100" w:beforeAutospacing="1" w:after="100" w:afterAutospacing="1" w:line="240" w:lineRule="auto"/>
        <w:ind w:firstLine="180"/>
        <w:contextualSpacing/>
        <w:rPr>
          <w:u w:val="single"/>
        </w:rPr>
      </w:pPr>
      <w:r>
        <w:t xml:space="preserve">5.    </w:t>
      </w:r>
      <w:r w:rsidRPr="00F2717F" w:rsidR="00787427">
        <w:rPr>
          <w:u w:val="single"/>
        </w:rPr>
        <w:t xml:space="preserve">Individuals Consulted on Statistical Aspects and Individuals Collecting and/or Analyzing </w:t>
      </w:r>
    </w:p>
    <w:p w:rsidR="00787427" w:rsidRPr="00F2717F" w:rsidP="00F2717F" w14:paraId="146E7F96" w14:textId="5E69AFF8">
      <w:pPr>
        <w:spacing w:after="0" w:line="240" w:lineRule="auto"/>
        <w:contextualSpacing/>
        <w:rPr>
          <w:u w:val="single"/>
        </w:rPr>
      </w:pPr>
      <w:r w:rsidRPr="00D043EB">
        <w:t xml:space="preserve">       </w:t>
      </w:r>
      <w:r w:rsidRPr="00F2717F">
        <w:rPr>
          <w:u w:val="single"/>
        </w:rPr>
        <w:t>Data</w:t>
      </w:r>
    </w:p>
    <w:p w:rsidR="0038767B" w:rsidP="00F7715F" w14:paraId="4F6BBEC4" w14:textId="77777777">
      <w:pPr>
        <w:spacing w:after="0" w:line="240" w:lineRule="auto"/>
      </w:pPr>
    </w:p>
    <w:p w:rsidR="00787427" w:rsidRPr="00F76C2E" w:rsidP="000C0FD4" w14:paraId="6E216067" w14:textId="7658B69F">
      <w:pPr>
        <w:spacing w:after="0" w:line="240" w:lineRule="auto"/>
        <w:ind w:left="720"/>
      </w:pPr>
      <w:r w:rsidRPr="00AC6274">
        <w:t xml:space="preserve">The contractor, </w:t>
      </w:r>
      <w:r w:rsidR="00F2717F">
        <w:t>RTI International</w:t>
      </w:r>
      <w:r w:rsidRPr="00AC6274">
        <w:t>, will collect and analyze data on behalf of FDA as a task order under Contract HHSF223201</w:t>
      </w:r>
      <w:r w:rsidRPr="00AC6274" w:rsidR="00CD63A0">
        <w:t>5100</w:t>
      </w:r>
      <w:r w:rsidR="00F2717F">
        <w:t>02B</w:t>
      </w:r>
      <w:r w:rsidRPr="00AC6274" w:rsidR="003C15DA">
        <w:t xml:space="preserve">. </w:t>
      </w:r>
      <w:r w:rsidRPr="00763DF5" w:rsidR="00763DF5">
        <w:t>Mihaela Johnson</w:t>
      </w:r>
      <w:r w:rsidRPr="00763DF5" w:rsidR="007011DC">
        <w:t>, Ph.D</w:t>
      </w:r>
      <w:r w:rsidRPr="00763DF5" w:rsidR="00AC6274">
        <w:t>.</w:t>
      </w:r>
      <w:r w:rsidRPr="00763DF5" w:rsidR="00030BC7">
        <w:t>,</w:t>
      </w:r>
      <w:r w:rsidRPr="00763DF5" w:rsidR="00AC6274">
        <w:t xml:space="preserve"> is the Project Director, (</w:t>
      </w:r>
      <w:r w:rsidR="00763DF5">
        <w:t>919) 990-8365</w:t>
      </w:r>
      <w:r w:rsidRPr="00AC6274" w:rsidR="007011DC">
        <w:t>.</w:t>
      </w:r>
      <w:r w:rsidRPr="00AC6274">
        <w:rPr>
          <w:noProof/>
        </w:rPr>
        <w:t xml:space="preserve">  Review of contractor deliverables and supplemental analyses will be provided</w:t>
      </w:r>
      <w:r w:rsidRPr="00AC6274">
        <w:t xml:space="preserve"> by the Research Team, Office of Prescription Drug Promotion (OPDP), Office of Medical Policy, CDER, FDA, and coordinated by Kevin R. Betts</w:t>
      </w:r>
      <w:r w:rsidRPr="00AC6274" w:rsidR="003C15DA">
        <w:t xml:space="preserve">, Ph.D., </w:t>
      </w:r>
      <w:r w:rsidRPr="00AC6274">
        <w:t xml:space="preserve">(240) 402-5090, and </w:t>
      </w:r>
      <w:r w:rsidR="00F2717F">
        <w:t>Helen Sullivan</w:t>
      </w:r>
      <w:r w:rsidRPr="00AC6274">
        <w:t>, Ph.D.</w:t>
      </w:r>
      <w:r w:rsidRPr="00AC6274" w:rsidR="00CD63A0">
        <w:t>, (301) 796-</w:t>
      </w:r>
      <w:r w:rsidR="00F2717F">
        <w:t>4188</w:t>
      </w:r>
      <w:r w:rsidRPr="00AC6274">
        <w:t>.</w:t>
      </w:r>
      <w:r w:rsidRPr="00F76C2E">
        <w:t xml:space="preserve"> </w:t>
      </w:r>
    </w:p>
    <w:p w:rsidR="00787427" w:rsidRPr="00377661" w:rsidP="00787427" w14:paraId="117C3CA1" w14:textId="77777777">
      <w:pPr>
        <w:rPr>
          <w:b/>
          <w:u w:val="single"/>
        </w:rPr>
      </w:pPr>
    </w:p>
    <w:p w:rsidR="00E204C2" w14:paraId="2EC6DFB2" w14:textId="77777777"/>
    <w:p w:rsidR="00E204C2" w:rsidP="00E204C2" w14:paraId="6118E3FC" w14:textId="12EF1B82">
      <w:pPr>
        <w:spacing w:line="240" w:lineRule="auto"/>
        <w:contextualSpacing/>
      </w:pPr>
    </w:p>
    <w:p w:rsidR="00E204C2" w:rsidP="00E204C2" w14:paraId="79FEFF59" w14:textId="1E808DE4">
      <w:pPr>
        <w:spacing w:line="240" w:lineRule="auto"/>
        <w:contextualSpacing/>
        <w:rPr>
          <w:b/>
          <w:bCs/>
        </w:rPr>
      </w:pPr>
      <w:r>
        <w:rPr>
          <w:b/>
          <w:bCs/>
        </w:rPr>
        <w:t>References</w:t>
      </w:r>
    </w:p>
    <w:p w:rsidR="00E204C2" w:rsidP="00E204C2" w14:paraId="44D013F8" w14:textId="77777777">
      <w:pPr>
        <w:spacing w:line="240" w:lineRule="auto"/>
        <w:contextualSpacing/>
        <w:rPr>
          <w:b/>
          <w:bCs/>
        </w:rPr>
      </w:pPr>
    </w:p>
    <w:p w:rsidR="00E204C2" w:rsidRPr="00E204C2" w:rsidP="00E204C2" w14:paraId="1A0EFB78" w14:textId="756D581D">
      <w:pPr>
        <w:spacing w:line="240" w:lineRule="auto"/>
        <w:ind w:left="720" w:hanging="720"/>
        <w:contextualSpacing/>
        <w:rPr>
          <w:b/>
          <w:bCs/>
        </w:rPr>
      </w:pPr>
      <w:r w:rsidRPr="009C4E58">
        <w:t>Boudewyns</w:t>
      </w:r>
      <w:r w:rsidRPr="009C4E58">
        <w:t xml:space="preserve">, V., Tan, S., Betts, K.R., Aikin, K. J., </w:t>
      </w:r>
      <w:r w:rsidR="0003310F">
        <w:t xml:space="preserve">and </w:t>
      </w:r>
      <w:r w:rsidRPr="009C4E58">
        <w:t xml:space="preserve">Squire, C. </w:t>
      </w:r>
      <w:r w:rsidRPr="0003310F">
        <w:rPr>
          <w:i/>
          <w:iCs/>
        </w:rPr>
        <w:t>Contrasting the Effect of Router- versus Email-Based Recruitment on Invitation Response to Online Surveys</w:t>
      </w:r>
      <w:r w:rsidRPr="009C4E58">
        <w:t xml:space="preserve">. </w:t>
      </w:r>
      <w:r w:rsidRPr="002653D6">
        <w:t>American Association for Public Opinion Research 72nd Annual Conference, New Orleans, LA</w:t>
      </w:r>
      <w:r w:rsidR="0003310F">
        <w:t>, 2017</w:t>
      </w:r>
      <w:r w:rsidRPr="002653D6">
        <w:t>.</w:t>
      </w:r>
    </w:p>
    <w:p w:rsidR="00E204C2" w:rsidP="00E204C2" w14:paraId="1A5DC303" w14:textId="77777777">
      <w:pPr>
        <w:spacing w:line="240" w:lineRule="auto"/>
        <w:contextualSpacing/>
        <w:rPr>
          <w:b/>
          <w:bCs/>
        </w:rPr>
      </w:pPr>
    </w:p>
    <w:p w:rsidR="00E204C2" w:rsidP="00E204C2" w14:paraId="13CFBFD8" w14:textId="5AFEA534">
      <w:pPr>
        <w:spacing w:line="240" w:lineRule="auto"/>
        <w:ind w:left="720" w:hanging="720"/>
        <w:contextualSpacing/>
      </w:pPr>
      <w:r>
        <w:t xml:space="preserve">Herman, J. Prescriptive authority update 2017. Contemporary Clinic. </w:t>
      </w:r>
      <w:r w:rsidR="0003310F">
        <w:t xml:space="preserve">(2017, June 3). </w:t>
      </w:r>
      <w:hyperlink r:id="rId5" w:history="1">
        <w:r w:rsidRPr="000A5456">
          <w:rPr>
            <w:rStyle w:val="Hyperlink"/>
          </w:rPr>
          <w:t>http://contemporaryclinic.pharmacytimes.com/journals/issue/2017/june2017/prescriptive-authority-update-2017</w:t>
        </w:r>
      </w:hyperlink>
    </w:p>
    <w:p w:rsidR="00E204C2" w:rsidP="00E204C2" w14:paraId="786BFE61" w14:textId="2AF72F09">
      <w:pPr>
        <w:spacing w:line="240" w:lineRule="auto"/>
        <w:contextualSpacing/>
      </w:pPr>
    </w:p>
    <w:p w:rsidR="00E204C2" w:rsidP="00E204C2" w14:paraId="67D43AF1" w14:textId="23715C33">
      <w:pPr>
        <w:spacing w:line="240" w:lineRule="auto"/>
        <w:ind w:left="720" w:hanging="720"/>
        <w:contextualSpacing/>
      </w:pPr>
      <w:r w:rsidRPr="00675348">
        <w:t xml:space="preserve">Solon, G., Haider, S.J., </w:t>
      </w:r>
      <w:r w:rsidR="0003310F">
        <w:t>and</w:t>
      </w:r>
      <w:r w:rsidRPr="00675348">
        <w:t xml:space="preserve"> Wooldridge, J. </w:t>
      </w:r>
      <w:r w:rsidR="0003310F">
        <w:t>“</w:t>
      </w:r>
      <w:r w:rsidRPr="00675348">
        <w:t xml:space="preserve">What </w:t>
      </w:r>
      <w:r w:rsidR="0003310F">
        <w:t>A</w:t>
      </w:r>
      <w:r w:rsidRPr="00675348">
        <w:t xml:space="preserve">re </w:t>
      </w:r>
      <w:r w:rsidR="0003310F">
        <w:t>W</w:t>
      </w:r>
      <w:r w:rsidRPr="00675348">
        <w:t xml:space="preserve">e </w:t>
      </w:r>
      <w:r w:rsidR="0003310F">
        <w:t>W</w:t>
      </w:r>
      <w:r w:rsidRPr="00675348">
        <w:t xml:space="preserve">eighting </w:t>
      </w:r>
      <w:r w:rsidR="0003310F">
        <w:t>F</w:t>
      </w:r>
      <w:r w:rsidRPr="00675348">
        <w:t>or?</w:t>
      </w:r>
      <w:r w:rsidR="0003310F">
        <w:t>”</w:t>
      </w:r>
      <w:r w:rsidRPr="00675348">
        <w:t xml:space="preserve"> </w:t>
      </w:r>
      <w:r w:rsidRPr="00E204C2">
        <w:rPr>
          <w:i/>
          <w:iCs/>
        </w:rPr>
        <w:t xml:space="preserve">The Journal of Human Resources, </w:t>
      </w:r>
      <w:r w:rsidRPr="0003310F">
        <w:t>50(2), 301–316</w:t>
      </w:r>
      <w:r w:rsidRPr="0003310F" w:rsidR="0003310F">
        <w:t>, 2015</w:t>
      </w:r>
      <w:r w:rsidRPr="0003310F">
        <w:t>.</w:t>
      </w:r>
      <w:r w:rsidRPr="00675348">
        <w:t xml:space="preserve"> </w:t>
      </w:r>
    </w:p>
    <w:p w:rsidR="00E204C2" w14:paraId="2FB8D6DD" w14:textId="1D851E67"/>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09998102"/>
      <w:docPartObj>
        <w:docPartGallery w:val="Page Numbers (Bottom of Page)"/>
        <w:docPartUnique/>
      </w:docPartObj>
    </w:sdtPr>
    <w:sdtEndPr>
      <w:rPr>
        <w:noProof/>
      </w:rPr>
    </w:sdtEndPr>
    <w:sdtContent>
      <w:p w:rsidR="00EE646A" w14:paraId="11BF2A7C" w14:textId="52DC3C78">
        <w:pPr>
          <w:pStyle w:val="Footer"/>
          <w:jc w:val="right"/>
        </w:pPr>
        <w:r>
          <w:fldChar w:fldCharType="begin"/>
        </w:r>
        <w:r>
          <w:instrText xml:space="preserve"> PAGE   \* MERGEFORMAT </w:instrText>
        </w:r>
        <w:r>
          <w:fldChar w:fldCharType="separate"/>
        </w:r>
        <w:r w:rsidR="00337D78">
          <w:rPr>
            <w:noProof/>
          </w:rPr>
          <w:t>6</w:t>
        </w:r>
        <w:r>
          <w:rPr>
            <w:noProof/>
          </w:rPr>
          <w:fldChar w:fldCharType="end"/>
        </w:r>
      </w:p>
    </w:sdtContent>
  </w:sdt>
  <w:p w:rsidR="00EE646A" w14:paraId="6DCD98F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CE18E3D8"/>
    <w:lvl w:ilvl="0">
      <w:start w:val="0"/>
      <w:numFmt w:val="bullet"/>
      <w:lvlText w:val="*"/>
      <w:lvlJc w:val="left"/>
    </w:lvl>
  </w:abstractNum>
  <w:abstractNum w:abstractNumId="1">
    <w:nsid w:val="09506ED7"/>
    <w:multiLevelType w:val="hybridMultilevel"/>
    <w:tmpl w:val="C2B8B496"/>
    <w:lvl w:ilvl="0">
      <w:start w:val="4"/>
      <w:numFmt w:val="bullet"/>
      <w:lvlText w:val="-"/>
      <w:lvlJc w:val="left"/>
      <w:pPr>
        <w:ind w:left="720" w:hanging="360"/>
      </w:pPr>
      <w:rPr>
        <w:rFonts w:ascii="Franklin Gothic Book" w:hAnsi="Franklin Gothic Book"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7C6574"/>
    <w:multiLevelType w:val="hybridMultilevel"/>
    <w:tmpl w:val="AC167194"/>
    <w:lvl w:ilvl="0">
      <w:start w:val="1"/>
      <w:numFmt w:val="bullet"/>
      <w:lvlText w:val=""/>
      <w:lvlJc w:val="left"/>
      <w:pPr>
        <w:ind w:left="1210" w:hanging="360"/>
      </w:pPr>
      <w:rPr>
        <w:rFonts w:ascii="Symbol" w:hAnsi="Symbol" w:hint="default"/>
      </w:rPr>
    </w:lvl>
    <w:lvl w:ilvl="1" w:tentative="1">
      <w:start w:val="1"/>
      <w:numFmt w:val="bullet"/>
      <w:lvlText w:val="o"/>
      <w:lvlJc w:val="left"/>
      <w:pPr>
        <w:ind w:left="1930" w:hanging="360"/>
      </w:pPr>
      <w:rPr>
        <w:rFonts w:ascii="Courier New" w:hAnsi="Courier New" w:cs="Courier New" w:hint="default"/>
      </w:rPr>
    </w:lvl>
    <w:lvl w:ilvl="2" w:tentative="1">
      <w:start w:val="1"/>
      <w:numFmt w:val="bullet"/>
      <w:lvlText w:val=""/>
      <w:lvlJc w:val="left"/>
      <w:pPr>
        <w:ind w:left="2650" w:hanging="360"/>
      </w:pPr>
      <w:rPr>
        <w:rFonts w:ascii="Wingdings" w:hAnsi="Wingdings" w:hint="default"/>
      </w:rPr>
    </w:lvl>
    <w:lvl w:ilvl="3" w:tentative="1">
      <w:start w:val="1"/>
      <w:numFmt w:val="bullet"/>
      <w:lvlText w:val=""/>
      <w:lvlJc w:val="left"/>
      <w:pPr>
        <w:ind w:left="3370" w:hanging="360"/>
      </w:pPr>
      <w:rPr>
        <w:rFonts w:ascii="Symbol" w:hAnsi="Symbol" w:hint="default"/>
      </w:rPr>
    </w:lvl>
    <w:lvl w:ilvl="4" w:tentative="1">
      <w:start w:val="1"/>
      <w:numFmt w:val="bullet"/>
      <w:lvlText w:val="o"/>
      <w:lvlJc w:val="left"/>
      <w:pPr>
        <w:ind w:left="4090" w:hanging="360"/>
      </w:pPr>
      <w:rPr>
        <w:rFonts w:ascii="Courier New" w:hAnsi="Courier New" w:cs="Courier New" w:hint="default"/>
      </w:rPr>
    </w:lvl>
    <w:lvl w:ilvl="5" w:tentative="1">
      <w:start w:val="1"/>
      <w:numFmt w:val="bullet"/>
      <w:lvlText w:val=""/>
      <w:lvlJc w:val="left"/>
      <w:pPr>
        <w:ind w:left="4810" w:hanging="360"/>
      </w:pPr>
      <w:rPr>
        <w:rFonts w:ascii="Wingdings" w:hAnsi="Wingdings" w:hint="default"/>
      </w:rPr>
    </w:lvl>
    <w:lvl w:ilvl="6" w:tentative="1">
      <w:start w:val="1"/>
      <w:numFmt w:val="bullet"/>
      <w:lvlText w:val=""/>
      <w:lvlJc w:val="left"/>
      <w:pPr>
        <w:ind w:left="5530" w:hanging="360"/>
      </w:pPr>
      <w:rPr>
        <w:rFonts w:ascii="Symbol" w:hAnsi="Symbol" w:hint="default"/>
      </w:rPr>
    </w:lvl>
    <w:lvl w:ilvl="7" w:tentative="1">
      <w:start w:val="1"/>
      <w:numFmt w:val="bullet"/>
      <w:lvlText w:val="o"/>
      <w:lvlJc w:val="left"/>
      <w:pPr>
        <w:ind w:left="6250" w:hanging="360"/>
      </w:pPr>
      <w:rPr>
        <w:rFonts w:ascii="Courier New" w:hAnsi="Courier New" w:cs="Courier New" w:hint="default"/>
      </w:rPr>
    </w:lvl>
    <w:lvl w:ilvl="8" w:tentative="1">
      <w:start w:val="1"/>
      <w:numFmt w:val="bullet"/>
      <w:lvlText w:val=""/>
      <w:lvlJc w:val="left"/>
      <w:pPr>
        <w:ind w:left="6970" w:hanging="360"/>
      </w:pPr>
      <w:rPr>
        <w:rFonts w:ascii="Wingdings" w:hAnsi="Wingdings" w:hint="default"/>
      </w:rPr>
    </w:lvl>
  </w:abstractNum>
  <w:abstractNum w:abstractNumId="3">
    <w:nsid w:val="188C63AA"/>
    <w:multiLevelType w:val="hybridMultilevel"/>
    <w:tmpl w:val="B106D0E8"/>
    <w:lvl w:ilvl="0">
      <w:start w:val="0"/>
      <w:numFmt w:val="bullet"/>
      <w:lvlText w:val="•"/>
      <w:lvlJc w:val="left"/>
      <w:pPr>
        <w:ind w:left="780" w:hanging="360"/>
      </w:pPr>
      <w:rPr>
        <w:rFonts w:ascii="Franklin Gothic Book" w:hAnsi="Franklin Gothic Book" w:cstheme="minorBidi" w:hint="default"/>
        <w:color w:val="auto"/>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1932542D"/>
    <w:multiLevelType w:val="hybridMultilevel"/>
    <w:tmpl w:val="AEDC9928"/>
    <w:lvl w:ilvl="0">
      <w:start w:val="0"/>
      <w:numFmt w:val="bullet"/>
      <w:lvlText w:val="•"/>
      <w:lvlJc w:val="left"/>
      <w:pPr>
        <w:ind w:left="5400" w:hanging="720"/>
      </w:pPr>
      <w:rPr>
        <w:rFonts w:ascii="Franklin Gothic Book" w:hAnsi="Franklin Gothic Book" w:cstheme="minorBidi" w:hint="default"/>
        <w:color w:val="auto"/>
      </w:rPr>
    </w:lvl>
    <w:lvl w:ilvl="1" w:tentative="1">
      <w:start w:val="1"/>
      <w:numFmt w:val="bullet"/>
      <w:lvlText w:val="o"/>
      <w:lvlJc w:val="left"/>
      <w:pPr>
        <w:ind w:left="5760" w:hanging="360"/>
      </w:pPr>
      <w:rPr>
        <w:rFonts w:ascii="Courier New" w:hAnsi="Courier New" w:cs="Courier New" w:hint="default"/>
      </w:rPr>
    </w:lvl>
    <w:lvl w:ilvl="2" w:tentative="1">
      <w:start w:val="1"/>
      <w:numFmt w:val="bullet"/>
      <w:lvlText w:val=""/>
      <w:lvlJc w:val="left"/>
      <w:pPr>
        <w:ind w:left="6480" w:hanging="360"/>
      </w:pPr>
      <w:rPr>
        <w:rFonts w:ascii="Wingdings" w:hAnsi="Wingdings" w:hint="default"/>
      </w:rPr>
    </w:lvl>
    <w:lvl w:ilvl="3" w:tentative="1">
      <w:start w:val="1"/>
      <w:numFmt w:val="bullet"/>
      <w:lvlText w:val=""/>
      <w:lvlJc w:val="left"/>
      <w:pPr>
        <w:ind w:left="7200" w:hanging="360"/>
      </w:pPr>
      <w:rPr>
        <w:rFonts w:ascii="Symbol" w:hAnsi="Symbol" w:hint="default"/>
      </w:rPr>
    </w:lvl>
    <w:lvl w:ilvl="4" w:tentative="1">
      <w:start w:val="1"/>
      <w:numFmt w:val="bullet"/>
      <w:lvlText w:val="o"/>
      <w:lvlJc w:val="left"/>
      <w:pPr>
        <w:ind w:left="7920" w:hanging="360"/>
      </w:pPr>
      <w:rPr>
        <w:rFonts w:ascii="Courier New" w:hAnsi="Courier New" w:cs="Courier New" w:hint="default"/>
      </w:rPr>
    </w:lvl>
    <w:lvl w:ilvl="5" w:tentative="1">
      <w:start w:val="1"/>
      <w:numFmt w:val="bullet"/>
      <w:lvlText w:val=""/>
      <w:lvlJc w:val="left"/>
      <w:pPr>
        <w:ind w:left="8640" w:hanging="360"/>
      </w:pPr>
      <w:rPr>
        <w:rFonts w:ascii="Wingdings" w:hAnsi="Wingdings" w:hint="default"/>
      </w:rPr>
    </w:lvl>
    <w:lvl w:ilvl="6" w:tentative="1">
      <w:start w:val="1"/>
      <w:numFmt w:val="bullet"/>
      <w:lvlText w:val=""/>
      <w:lvlJc w:val="left"/>
      <w:pPr>
        <w:ind w:left="9360" w:hanging="360"/>
      </w:pPr>
      <w:rPr>
        <w:rFonts w:ascii="Symbol" w:hAnsi="Symbol" w:hint="default"/>
      </w:rPr>
    </w:lvl>
    <w:lvl w:ilvl="7" w:tentative="1">
      <w:start w:val="1"/>
      <w:numFmt w:val="bullet"/>
      <w:lvlText w:val="o"/>
      <w:lvlJc w:val="left"/>
      <w:pPr>
        <w:ind w:left="10080" w:hanging="360"/>
      </w:pPr>
      <w:rPr>
        <w:rFonts w:ascii="Courier New" w:hAnsi="Courier New" w:cs="Courier New" w:hint="default"/>
      </w:rPr>
    </w:lvl>
    <w:lvl w:ilvl="8" w:tentative="1">
      <w:start w:val="1"/>
      <w:numFmt w:val="bullet"/>
      <w:lvlText w:val=""/>
      <w:lvlJc w:val="left"/>
      <w:pPr>
        <w:ind w:left="10800" w:hanging="360"/>
      </w:pPr>
      <w:rPr>
        <w:rFonts w:ascii="Wingdings" w:hAnsi="Wingdings" w:hint="default"/>
      </w:rPr>
    </w:lvl>
  </w:abstractNum>
  <w:abstractNum w:abstractNumId="5">
    <w:nsid w:val="1D1A194D"/>
    <w:multiLevelType w:val="hybridMultilevel"/>
    <w:tmpl w:val="190C2B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BF07FB"/>
    <w:multiLevelType w:val="hybridMultilevel"/>
    <w:tmpl w:val="DB726030"/>
    <w:lvl w:ilvl="0">
      <w:start w:val="1"/>
      <w:numFmt w:val="bullet"/>
      <w:pStyle w:val="bullets0"/>
      <w:lvlText w:val=""/>
      <w:lvlJc w:val="left"/>
      <w:pPr>
        <w:ind w:left="856" w:hanging="360"/>
      </w:pPr>
      <w:rPr>
        <w:rFonts w:ascii="Symbol" w:hAnsi="Symbol" w:hint="default"/>
      </w:rPr>
    </w:lvl>
    <w:lvl w:ilvl="1" w:tentative="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7">
    <w:nsid w:val="3B18578C"/>
    <w:multiLevelType w:val="hybridMultilevel"/>
    <w:tmpl w:val="7766F554"/>
    <w:lvl w:ilvl="0">
      <w:start w:val="65"/>
      <w:numFmt w:val="decimal"/>
      <w:lvlText w:val="%1"/>
      <w:lvlJc w:val="left"/>
      <w:pPr>
        <w:ind w:left="576" w:hanging="360"/>
      </w:pPr>
      <w:rPr>
        <w:rFonts w:hint="default"/>
        <w:sz w:val="24"/>
      </w:rPr>
    </w:lvl>
    <w:lvl w:ilvl="1" w:tentative="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8">
    <w:nsid w:val="548B1A41"/>
    <w:multiLevelType w:val="hybridMultilevel"/>
    <w:tmpl w:val="EDFA11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7B50654"/>
    <w:multiLevelType w:val="hybridMultilevel"/>
    <w:tmpl w:val="62585CFA"/>
    <w:lvl w:ilvl="0">
      <w:start w:val="1"/>
      <w:numFmt w:val="decimal"/>
      <w:lvlText w:val="%1."/>
      <w:lvlJc w:val="left"/>
      <w:pPr>
        <w:ind w:left="720" w:hanging="360"/>
      </w:pPr>
      <w:rPr>
        <w:rFonts w:eastAsia="Calibri"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EC307A7"/>
    <w:multiLevelType w:val="hybridMultilevel"/>
    <w:tmpl w:val="136A1B1E"/>
    <w:lvl w:ilvl="0">
      <w:start w:val="1"/>
      <w:numFmt w:val="bullet"/>
      <w:lvlText w:val=""/>
      <w:lvlJc w:val="left"/>
      <w:pPr>
        <w:ind w:left="1080" w:hanging="72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2B71E14"/>
    <w:multiLevelType w:val="multilevel"/>
    <w:tmpl w:val="5888C03C"/>
    <w:lvl w:ilvl="0">
      <w:start w:val="1"/>
      <w:numFmt w:val="bullet"/>
      <w:pStyle w:val="table-bulletLM"/>
      <w:lvlText w:val="▪"/>
      <w:lvlJc w:val="left"/>
      <w:pPr>
        <w:ind w:left="288" w:hanging="288"/>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6BB48DD"/>
    <w:multiLevelType w:val="hybridMultilevel"/>
    <w:tmpl w:val="F96064E6"/>
    <w:lvl w:ilvl="0">
      <w:start w:val="1"/>
      <w:numFmt w:val="bullet"/>
      <w:lvlText w:val=""/>
      <w:lvlJc w:val="left"/>
      <w:pPr>
        <w:ind w:left="1210" w:hanging="360"/>
      </w:pPr>
      <w:rPr>
        <w:rFonts w:ascii="Symbol" w:hAnsi="Symbol" w:hint="default"/>
      </w:rPr>
    </w:lvl>
    <w:lvl w:ilvl="1" w:tentative="1">
      <w:start w:val="1"/>
      <w:numFmt w:val="bullet"/>
      <w:lvlText w:val="o"/>
      <w:lvlJc w:val="left"/>
      <w:pPr>
        <w:ind w:left="1930" w:hanging="360"/>
      </w:pPr>
      <w:rPr>
        <w:rFonts w:ascii="Courier New" w:hAnsi="Courier New" w:cs="Courier New" w:hint="default"/>
      </w:rPr>
    </w:lvl>
    <w:lvl w:ilvl="2" w:tentative="1">
      <w:start w:val="1"/>
      <w:numFmt w:val="bullet"/>
      <w:lvlText w:val=""/>
      <w:lvlJc w:val="left"/>
      <w:pPr>
        <w:ind w:left="2650" w:hanging="360"/>
      </w:pPr>
      <w:rPr>
        <w:rFonts w:ascii="Wingdings" w:hAnsi="Wingdings" w:hint="default"/>
      </w:rPr>
    </w:lvl>
    <w:lvl w:ilvl="3" w:tentative="1">
      <w:start w:val="1"/>
      <w:numFmt w:val="bullet"/>
      <w:lvlText w:val=""/>
      <w:lvlJc w:val="left"/>
      <w:pPr>
        <w:ind w:left="3370" w:hanging="360"/>
      </w:pPr>
      <w:rPr>
        <w:rFonts w:ascii="Symbol" w:hAnsi="Symbol" w:hint="default"/>
      </w:rPr>
    </w:lvl>
    <w:lvl w:ilvl="4" w:tentative="1">
      <w:start w:val="1"/>
      <w:numFmt w:val="bullet"/>
      <w:lvlText w:val="o"/>
      <w:lvlJc w:val="left"/>
      <w:pPr>
        <w:ind w:left="4090" w:hanging="360"/>
      </w:pPr>
      <w:rPr>
        <w:rFonts w:ascii="Courier New" w:hAnsi="Courier New" w:cs="Courier New" w:hint="default"/>
      </w:rPr>
    </w:lvl>
    <w:lvl w:ilvl="5" w:tentative="1">
      <w:start w:val="1"/>
      <w:numFmt w:val="bullet"/>
      <w:lvlText w:val=""/>
      <w:lvlJc w:val="left"/>
      <w:pPr>
        <w:ind w:left="4810" w:hanging="360"/>
      </w:pPr>
      <w:rPr>
        <w:rFonts w:ascii="Wingdings" w:hAnsi="Wingdings" w:hint="default"/>
      </w:rPr>
    </w:lvl>
    <w:lvl w:ilvl="6" w:tentative="1">
      <w:start w:val="1"/>
      <w:numFmt w:val="bullet"/>
      <w:lvlText w:val=""/>
      <w:lvlJc w:val="left"/>
      <w:pPr>
        <w:ind w:left="5530" w:hanging="360"/>
      </w:pPr>
      <w:rPr>
        <w:rFonts w:ascii="Symbol" w:hAnsi="Symbol" w:hint="default"/>
      </w:rPr>
    </w:lvl>
    <w:lvl w:ilvl="7" w:tentative="1">
      <w:start w:val="1"/>
      <w:numFmt w:val="bullet"/>
      <w:lvlText w:val="o"/>
      <w:lvlJc w:val="left"/>
      <w:pPr>
        <w:ind w:left="6250" w:hanging="360"/>
      </w:pPr>
      <w:rPr>
        <w:rFonts w:ascii="Courier New" w:hAnsi="Courier New" w:cs="Courier New" w:hint="default"/>
      </w:rPr>
    </w:lvl>
    <w:lvl w:ilvl="8" w:tentative="1">
      <w:start w:val="1"/>
      <w:numFmt w:val="bullet"/>
      <w:lvlText w:val=""/>
      <w:lvlJc w:val="left"/>
      <w:pPr>
        <w:ind w:left="6970" w:hanging="360"/>
      </w:pPr>
      <w:rPr>
        <w:rFonts w:ascii="Wingdings" w:hAnsi="Wingdings" w:hint="default"/>
      </w:rPr>
    </w:lvl>
  </w:abstractNum>
  <w:abstractNum w:abstractNumId="13">
    <w:nsid w:val="7D8E725E"/>
    <w:multiLevelType w:val="hybridMultilevel"/>
    <w:tmpl w:val="81C292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E357EBA"/>
    <w:multiLevelType w:val="hybridMultilevel"/>
    <w:tmpl w:val="3BBABD8A"/>
    <w:lvl w:ilvl="0">
      <w:start w:val="1"/>
      <w:numFmt w:val="decimal"/>
      <w:lvlText w:val="%1."/>
      <w:lvlJc w:val="left"/>
      <w:pPr>
        <w:tabs>
          <w:tab w:val="num" w:pos="540"/>
        </w:tabs>
        <w:ind w:left="540"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lvlOverride w:ilvl="0">
      <w:lvl w:ilvl="0">
        <w:start w:val="0"/>
        <w:numFmt w:val="bullet"/>
        <w:lvlText w:val=""/>
        <w:legacy w:legacy="1" w:legacySpace="0" w:legacyIndent="0"/>
        <w:lvlJc w:val="left"/>
        <w:rPr>
          <w:rFonts w:ascii="Symbol" w:hAnsi="Symbol" w:hint="default"/>
        </w:rPr>
      </w:lvl>
    </w:lvlOverride>
  </w:num>
  <w:num w:numId="3">
    <w:abstractNumId w:val="9"/>
  </w:num>
  <w:num w:numId="4">
    <w:abstractNumId w:val="7"/>
  </w:num>
  <w:num w:numId="5">
    <w:abstractNumId w:val="10"/>
  </w:num>
  <w:num w:numId="6">
    <w:abstractNumId w:val="3"/>
  </w:num>
  <w:num w:numId="7">
    <w:abstractNumId w:val="4"/>
  </w:num>
  <w:num w:numId="8">
    <w:abstractNumId w:val="5"/>
  </w:num>
  <w:num w:numId="9">
    <w:abstractNumId w:val="13"/>
  </w:num>
  <w:num w:numId="10">
    <w:abstractNumId w:val="1"/>
  </w:num>
  <w:num w:numId="11">
    <w:abstractNumId w:val="6"/>
  </w:num>
  <w:num w:numId="12">
    <w:abstractNumId w:val="2"/>
  </w:num>
  <w:num w:numId="13">
    <w:abstractNumId w:val="12"/>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DD"/>
    <w:rsid w:val="000003E6"/>
    <w:rsid w:val="000064AC"/>
    <w:rsid w:val="00023B79"/>
    <w:rsid w:val="00026F1E"/>
    <w:rsid w:val="00027F3F"/>
    <w:rsid w:val="00030BC7"/>
    <w:rsid w:val="0003310F"/>
    <w:rsid w:val="0003368A"/>
    <w:rsid w:val="00034BDD"/>
    <w:rsid w:val="0004132D"/>
    <w:rsid w:val="00047351"/>
    <w:rsid w:val="0005483D"/>
    <w:rsid w:val="000566CB"/>
    <w:rsid w:val="00061F9E"/>
    <w:rsid w:val="000743EF"/>
    <w:rsid w:val="00086E3B"/>
    <w:rsid w:val="000A5456"/>
    <w:rsid w:val="000A6AC8"/>
    <w:rsid w:val="000C0FD4"/>
    <w:rsid w:val="000F0C99"/>
    <w:rsid w:val="000F3636"/>
    <w:rsid w:val="000F4588"/>
    <w:rsid w:val="001026FA"/>
    <w:rsid w:val="00112A28"/>
    <w:rsid w:val="00112BC1"/>
    <w:rsid w:val="00131D95"/>
    <w:rsid w:val="00144936"/>
    <w:rsid w:val="001729E7"/>
    <w:rsid w:val="0017315B"/>
    <w:rsid w:val="00175A1B"/>
    <w:rsid w:val="00176C08"/>
    <w:rsid w:val="001A209C"/>
    <w:rsid w:val="001B0B72"/>
    <w:rsid w:val="001B1823"/>
    <w:rsid w:val="001B50B1"/>
    <w:rsid w:val="001D0ECB"/>
    <w:rsid w:val="001E05F1"/>
    <w:rsid w:val="001E2D74"/>
    <w:rsid w:val="001E62B3"/>
    <w:rsid w:val="001F43F7"/>
    <w:rsid w:val="00210E51"/>
    <w:rsid w:val="002267F4"/>
    <w:rsid w:val="00240CFC"/>
    <w:rsid w:val="00245B68"/>
    <w:rsid w:val="002467BB"/>
    <w:rsid w:val="002520FA"/>
    <w:rsid w:val="002569C0"/>
    <w:rsid w:val="00257E45"/>
    <w:rsid w:val="00261540"/>
    <w:rsid w:val="002653D6"/>
    <w:rsid w:val="00281E8C"/>
    <w:rsid w:val="0028722C"/>
    <w:rsid w:val="00292FF4"/>
    <w:rsid w:val="002A1A62"/>
    <w:rsid w:val="002A1E89"/>
    <w:rsid w:val="002C5A08"/>
    <w:rsid w:val="002C6B1B"/>
    <w:rsid w:val="002D2208"/>
    <w:rsid w:val="00301CF4"/>
    <w:rsid w:val="00303890"/>
    <w:rsid w:val="00311D2D"/>
    <w:rsid w:val="003277F5"/>
    <w:rsid w:val="003322F2"/>
    <w:rsid w:val="00337D78"/>
    <w:rsid w:val="0034068E"/>
    <w:rsid w:val="00340A31"/>
    <w:rsid w:val="003503B6"/>
    <w:rsid w:val="00350F62"/>
    <w:rsid w:val="00362D5E"/>
    <w:rsid w:val="0037043F"/>
    <w:rsid w:val="003732D5"/>
    <w:rsid w:val="00377661"/>
    <w:rsid w:val="00384BEB"/>
    <w:rsid w:val="0038767B"/>
    <w:rsid w:val="003934A3"/>
    <w:rsid w:val="003B296D"/>
    <w:rsid w:val="003B2DE0"/>
    <w:rsid w:val="003C15DA"/>
    <w:rsid w:val="003C6FF7"/>
    <w:rsid w:val="003D05A1"/>
    <w:rsid w:val="003D35A2"/>
    <w:rsid w:val="003D7226"/>
    <w:rsid w:val="0040351F"/>
    <w:rsid w:val="00406ED8"/>
    <w:rsid w:val="004176D5"/>
    <w:rsid w:val="00435F1F"/>
    <w:rsid w:val="00451B80"/>
    <w:rsid w:val="004534AE"/>
    <w:rsid w:val="00453B59"/>
    <w:rsid w:val="00456296"/>
    <w:rsid w:val="004829BD"/>
    <w:rsid w:val="004A0F55"/>
    <w:rsid w:val="004A151E"/>
    <w:rsid w:val="004C0F83"/>
    <w:rsid w:val="004C579D"/>
    <w:rsid w:val="004C67AA"/>
    <w:rsid w:val="004D4625"/>
    <w:rsid w:val="004D606F"/>
    <w:rsid w:val="004D7F78"/>
    <w:rsid w:val="00500DC5"/>
    <w:rsid w:val="00502981"/>
    <w:rsid w:val="005079AB"/>
    <w:rsid w:val="00510C6B"/>
    <w:rsid w:val="005119FA"/>
    <w:rsid w:val="0052574A"/>
    <w:rsid w:val="005257DB"/>
    <w:rsid w:val="00530842"/>
    <w:rsid w:val="00561979"/>
    <w:rsid w:val="00563602"/>
    <w:rsid w:val="00571AA9"/>
    <w:rsid w:val="00573626"/>
    <w:rsid w:val="00584672"/>
    <w:rsid w:val="0058718C"/>
    <w:rsid w:val="00593EE2"/>
    <w:rsid w:val="00594BD3"/>
    <w:rsid w:val="00595C1F"/>
    <w:rsid w:val="00596015"/>
    <w:rsid w:val="005A1426"/>
    <w:rsid w:val="005B1297"/>
    <w:rsid w:val="005B4E7F"/>
    <w:rsid w:val="005D1976"/>
    <w:rsid w:val="005D5674"/>
    <w:rsid w:val="005D636F"/>
    <w:rsid w:val="005D6E45"/>
    <w:rsid w:val="005E4330"/>
    <w:rsid w:val="005E6CFA"/>
    <w:rsid w:val="005F243E"/>
    <w:rsid w:val="005F25EE"/>
    <w:rsid w:val="005F463D"/>
    <w:rsid w:val="005F605A"/>
    <w:rsid w:val="00602D4B"/>
    <w:rsid w:val="006142FF"/>
    <w:rsid w:val="00630755"/>
    <w:rsid w:val="0064222A"/>
    <w:rsid w:val="00643823"/>
    <w:rsid w:val="00646F91"/>
    <w:rsid w:val="00657E10"/>
    <w:rsid w:val="00675348"/>
    <w:rsid w:val="00681993"/>
    <w:rsid w:val="00690D35"/>
    <w:rsid w:val="006972AD"/>
    <w:rsid w:val="006A4564"/>
    <w:rsid w:val="006B795C"/>
    <w:rsid w:val="006B7C23"/>
    <w:rsid w:val="006D5BB0"/>
    <w:rsid w:val="006E202A"/>
    <w:rsid w:val="00700345"/>
    <w:rsid w:val="007011DC"/>
    <w:rsid w:val="00704A44"/>
    <w:rsid w:val="00705D00"/>
    <w:rsid w:val="00707710"/>
    <w:rsid w:val="00720EA2"/>
    <w:rsid w:val="007251D9"/>
    <w:rsid w:val="007354CE"/>
    <w:rsid w:val="007454FF"/>
    <w:rsid w:val="00753A0B"/>
    <w:rsid w:val="00753E0A"/>
    <w:rsid w:val="00763DF5"/>
    <w:rsid w:val="0077074F"/>
    <w:rsid w:val="007729BA"/>
    <w:rsid w:val="0077450C"/>
    <w:rsid w:val="00787427"/>
    <w:rsid w:val="007A22CE"/>
    <w:rsid w:val="007D028D"/>
    <w:rsid w:val="007D51D0"/>
    <w:rsid w:val="007D5671"/>
    <w:rsid w:val="007E13C6"/>
    <w:rsid w:val="007E4A1B"/>
    <w:rsid w:val="007F6D89"/>
    <w:rsid w:val="00803982"/>
    <w:rsid w:val="00827FBD"/>
    <w:rsid w:val="0084205E"/>
    <w:rsid w:val="00842ED6"/>
    <w:rsid w:val="00844715"/>
    <w:rsid w:val="008710AF"/>
    <w:rsid w:val="008754A1"/>
    <w:rsid w:val="00884712"/>
    <w:rsid w:val="00885C18"/>
    <w:rsid w:val="00891A29"/>
    <w:rsid w:val="00895084"/>
    <w:rsid w:val="008A4E18"/>
    <w:rsid w:val="008A6A58"/>
    <w:rsid w:val="008B0FF5"/>
    <w:rsid w:val="008B1902"/>
    <w:rsid w:val="008B4984"/>
    <w:rsid w:val="008B5A4D"/>
    <w:rsid w:val="008B651A"/>
    <w:rsid w:val="008C0000"/>
    <w:rsid w:val="008C7D50"/>
    <w:rsid w:val="008D6E4A"/>
    <w:rsid w:val="008D7E5A"/>
    <w:rsid w:val="008F70C9"/>
    <w:rsid w:val="00911537"/>
    <w:rsid w:val="0091266F"/>
    <w:rsid w:val="00915E24"/>
    <w:rsid w:val="0094176C"/>
    <w:rsid w:val="00942056"/>
    <w:rsid w:val="00944601"/>
    <w:rsid w:val="00951D93"/>
    <w:rsid w:val="0095210C"/>
    <w:rsid w:val="00957E5B"/>
    <w:rsid w:val="00960159"/>
    <w:rsid w:val="0096020E"/>
    <w:rsid w:val="0096243F"/>
    <w:rsid w:val="009639CE"/>
    <w:rsid w:val="00967EFA"/>
    <w:rsid w:val="009728BE"/>
    <w:rsid w:val="0097399B"/>
    <w:rsid w:val="00975416"/>
    <w:rsid w:val="009942CD"/>
    <w:rsid w:val="00995F42"/>
    <w:rsid w:val="009C4E58"/>
    <w:rsid w:val="009E443E"/>
    <w:rsid w:val="009E71F8"/>
    <w:rsid w:val="009F0A12"/>
    <w:rsid w:val="009F1E3E"/>
    <w:rsid w:val="00A06683"/>
    <w:rsid w:val="00A40126"/>
    <w:rsid w:val="00A55541"/>
    <w:rsid w:val="00A65214"/>
    <w:rsid w:val="00A7233B"/>
    <w:rsid w:val="00A74B2D"/>
    <w:rsid w:val="00AA7057"/>
    <w:rsid w:val="00AC33B6"/>
    <w:rsid w:val="00AC6274"/>
    <w:rsid w:val="00AE1858"/>
    <w:rsid w:val="00AF46F4"/>
    <w:rsid w:val="00AF6826"/>
    <w:rsid w:val="00B00E6A"/>
    <w:rsid w:val="00B115B3"/>
    <w:rsid w:val="00B12343"/>
    <w:rsid w:val="00B22267"/>
    <w:rsid w:val="00B31391"/>
    <w:rsid w:val="00B333A8"/>
    <w:rsid w:val="00B5352D"/>
    <w:rsid w:val="00B64937"/>
    <w:rsid w:val="00B66008"/>
    <w:rsid w:val="00B74AAF"/>
    <w:rsid w:val="00B819BB"/>
    <w:rsid w:val="00B85384"/>
    <w:rsid w:val="00B920F6"/>
    <w:rsid w:val="00B9507F"/>
    <w:rsid w:val="00BB151F"/>
    <w:rsid w:val="00BD51EB"/>
    <w:rsid w:val="00BE4F69"/>
    <w:rsid w:val="00C01E46"/>
    <w:rsid w:val="00C151E1"/>
    <w:rsid w:val="00C16C96"/>
    <w:rsid w:val="00C23593"/>
    <w:rsid w:val="00C33216"/>
    <w:rsid w:val="00C334CA"/>
    <w:rsid w:val="00C54725"/>
    <w:rsid w:val="00C6614E"/>
    <w:rsid w:val="00C73BF5"/>
    <w:rsid w:val="00C750C8"/>
    <w:rsid w:val="00C76256"/>
    <w:rsid w:val="00C8170F"/>
    <w:rsid w:val="00C81B44"/>
    <w:rsid w:val="00C84635"/>
    <w:rsid w:val="00C861A0"/>
    <w:rsid w:val="00C92A73"/>
    <w:rsid w:val="00CA075F"/>
    <w:rsid w:val="00CA7AB4"/>
    <w:rsid w:val="00CB4251"/>
    <w:rsid w:val="00CC3243"/>
    <w:rsid w:val="00CD05E9"/>
    <w:rsid w:val="00CD064F"/>
    <w:rsid w:val="00CD3541"/>
    <w:rsid w:val="00CD63A0"/>
    <w:rsid w:val="00CF55B4"/>
    <w:rsid w:val="00D00A09"/>
    <w:rsid w:val="00D043EB"/>
    <w:rsid w:val="00D04F45"/>
    <w:rsid w:val="00D05C27"/>
    <w:rsid w:val="00D62ED7"/>
    <w:rsid w:val="00D65070"/>
    <w:rsid w:val="00D74481"/>
    <w:rsid w:val="00D76815"/>
    <w:rsid w:val="00D768CE"/>
    <w:rsid w:val="00D76A91"/>
    <w:rsid w:val="00D84D96"/>
    <w:rsid w:val="00D8732D"/>
    <w:rsid w:val="00D92512"/>
    <w:rsid w:val="00D96A8F"/>
    <w:rsid w:val="00DA159B"/>
    <w:rsid w:val="00DA48E6"/>
    <w:rsid w:val="00DB0F49"/>
    <w:rsid w:val="00DD7919"/>
    <w:rsid w:val="00DE2945"/>
    <w:rsid w:val="00DE64AB"/>
    <w:rsid w:val="00DE6BFD"/>
    <w:rsid w:val="00DF7EAB"/>
    <w:rsid w:val="00E026D7"/>
    <w:rsid w:val="00E076BD"/>
    <w:rsid w:val="00E107EA"/>
    <w:rsid w:val="00E17E95"/>
    <w:rsid w:val="00E204C2"/>
    <w:rsid w:val="00E26218"/>
    <w:rsid w:val="00E41B98"/>
    <w:rsid w:val="00E4325E"/>
    <w:rsid w:val="00E45276"/>
    <w:rsid w:val="00E478EF"/>
    <w:rsid w:val="00E72F70"/>
    <w:rsid w:val="00E8532E"/>
    <w:rsid w:val="00EA5A0E"/>
    <w:rsid w:val="00EB5A3C"/>
    <w:rsid w:val="00EC3B5F"/>
    <w:rsid w:val="00ED09BF"/>
    <w:rsid w:val="00ED37E5"/>
    <w:rsid w:val="00EE0D35"/>
    <w:rsid w:val="00EE646A"/>
    <w:rsid w:val="00EE762D"/>
    <w:rsid w:val="00F02A9A"/>
    <w:rsid w:val="00F02FE9"/>
    <w:rsid w:val="00F03274"/>
    <w:rsid w:val="00F04EB5"/>
    <w:rsid w:val="00F17B09"/>
    <w:rsid w:val="00F26C6E"/>
    <w:rsid w:val="00F2717F"/>
    <w:rsid w:val="00F30B28"/>
    <w:rsid w:val="00F3685F"/>
    <w:rsid w:val="00F43954"/>
    <w:rsid w:val="00F5254D"/>
    <w:rsid w:val="00F76C2E"/>
    <w:rsid w:val="00F7715F"/>
    <w:rsid w:val="00F86CFE"/>
    <w:rsid w:val="00FD6E85"/>
    <w:rsid w:val="00FE1646"/>
    <w:rsid w:val="00FE448E"/>
    <w:rsid w:val="00FE5CDA"/>
    <w:rsid w:val="00FF41D8"/>
    <w:rsid w:val="00FF52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2EEF6A"/>
  <w15:docId w15:val="{291C50F0-C5D9-4F2A-8316-472C0B23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427"/>
    <w:pPr>
      <w:spacing w:after="200" w:line="276" w:lineRule="auto"/>
    </w:pPr>
    <w:rPr>
      <w:sz w:val="24"/>
      <w:szCs w:val="24"/>
    </w:rPr>
  </w:style>
  <w:style w:type="paragraph" w:styleId="Heading2">
    <w:name w:val="heading 2"/>
    <w:basedOn w:val="Normal"/>
    <w:next w:val="Normal"/>
    <w:link w:val="Heading2Char"/>
    <w:uiPriority w:val="9"/>
    <w:semiHidden/>
    <w:unhideWhenUsed/>
    <w:qFormat/>
    <w:rsid w:val="007454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7454FF"/>
    <w:pPr>
      <w:autoSpaceDE w:val="0"/>
      <w:autoSpaceDN w:val="0"/>
      <w:adjustRightInd w:val="0"/>
      <w:jc w:val="both"/>
      <w:outlineLvl w:val="2"/>
    </w:pPr>
    <w:rPr>
      <w:rFonts w:ascii="Franklin Gothic Book" w:hAnsi="Franklin Gothic Book"/>
      <w:b w:val="0"/>
      <w:i/>
      <w:color w:val="DD481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3 heading,Bulleted List Level 1,Bullets,CH Bullets (square),Call Out Bullets,DAI 2,DODEA_Bullet List Box,List Paragraph1,List-Bullets,Normal Bullet,POCG Table Text"/>
    <w:basedOn w:val="Normal"/>
    <w:link w:val="ListParagraphChar"/>
    <w:uiPriority w:val="34"/>
    <w:qFormat/>
    <w:rsid w:val="00787427"/>
    <w:pPr>
      <w:ind w:left="720"/>
      <w:contextualSpacing/>
    </w:pPr>
  </w:style>
  <w:style w:type="character" w:styleId="Hyperlink">
    <w:name w:val="Hyperlink"/>
    <w:basedOn w:val="DefaultParagraphFont"/>
    <w:uiPriority w:val="99"/>
    <w:unhideWhenUsed/>
    <w:rsid w:val="00787427"/>
    <w:rPr>
      <w:color w:val="0000FF" w:themeColor="hyperlink"/>
      <w:u w:val="single"/>
    </w:rPr>
  </w:style>
  <w:style w:type="character" w:styleId="FootnoteReference">
    <w:name w:val="footnote reference"/>
    <w:uiPriority w:val="99"/>
    <w:rsid w:val="00787427"/>
  </w:style>
  <w:style w:type="paragraph" w:styleId="FootnoteText">
    <w:name w:val="footnote text"/>
    <w:aliases w:val="F1"/>
    <w:basedOn w:val="Normal"/>
    <w:link w:val="FootnoteTextChar"/>
    <w:uiPriority w:val="99"/>
    <w:rsid w:val="00787427"/>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787427"/>
  </w:style>
  <w:style w:type="character" w:styleId="CommentReference">
    <w:name w:val="annotation reference"/>
    <w:basedOn w:val="DefaultParagraphFont"/>
    <w:unhideWhenUsed/>
    <w:rsid w:val="00787427"/>
    <w:rPr>
      <w:sz w:val="16"/>
      <w:szCs w:val="16"/>
    </w:rPr>
  </w:style>
  <w:style w:type="paragraph" w:styleId="CommentText">
    <w:name w:val="annotation text"/>
    <w:basedOn w:val="Normal"/>
    <w:link w:val="CommentTextChar"/>
    <w:uiPriority w:val="99"/>
    <w:unhideWhenUsed/>
    <w:rsid w:val="00787427"/>
    <w:pPr>
      <w:spacing w:line="240" w:lineRule="auto"/>
    </w:pPr>
    <w:rPr>
      <w:sz w:val="20"/>
      <w:szCs w:val="20"/>
    </w:rPr>
  </w:style>
  <w:style w:type="character" w:customStyle="1" w:styleId="CommentTextChar">
    <w:name w:val="Comment Text Char"/>
    <w:basedOn w:val="DefaultParagraphFont"/>
    <w:link w:val="CommentText"/>
    <w:uiPriority w:val="99"/>
    <w:rsid w:val="00787427"/>
  </w:style>
  <w:style w:type="paragraph" w:styleId="Footer">
    <w:name w:val="footer"/>
    <w:basedOn w:val="Normal"/>
    <w:link w:val="FooterChar"/>
    <w:uiPriority w:val="99"/>
    <w:unhideWhenUsed/>
    <w:rsid w:val="0078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427"/>
    <w:rPr>
      <w:sz w:val="24"/>
      <w:szCs w:val="24"/>
    </w:rPr>
  </w:style>
  <w:style w:type="paragraph" w:styleId="NormalWeb">
    <w:name w:val="Normal (Web)"/>
    <w:basedOn w:val="Normal"/>
    <w:rsid w:val="00787427"/>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787427"/>
    <w:pPr>
      <w:spacing w:after="240" w:line="320" w:lineRule="exact"/>
      <w:ind w:firstLine="720"/>
    </w:pPr>
    <w:rPr>
      <w:sz w:val="22"/>
      <w:szCs w:val="20"/>
    </w:rPr>
  </w:style>
  <w:style w:type="character" w:customStyle="1" w:styleId="bodytextpsgChar">
    <w:name w:val="body text_psg Char"/>
    <w:link w:val="bodytextpsg"/>
    <w:rsid w:val="00787427"/>
    <w:rPr>
      <w:sz w:val="22"/>
    </w:rPr>
  </w:style>
  <w:style w:type="paragraph" w:customStyle="1" w:styleId="BodyText2">
    <w:name w:val="Body Text2"/>
    <w:basedOn w:val="Normal"/>
    <w:rsid w:val="00787427"/>
    <w:pPr>
      <w:spacing w:after="240" w:line="320" w:lineRule="exact"/>
      <w:ind w:firstLine="720"/>
    </w:pPr>
    <w:rPr>
      <w:sz w:val="22"/>
      <w:szCs w:val="20"/>
    </w:rPr>
  </w:style>
  <w:style w:type="table" w:customStyle="1" w:styleId="Graytablecomplex">
    <w:name w:val="Gray_table_complex"/>
    <w:basedOn w:val="TableNormal"/>
    <w:rsid w:val="00787427"/>
    <w:pPr>
      <w:spacing w:before="40" w:after="40"/>
    </w:pPr>
    <w:rPr>
      <w:rFonts w:ascii="Arial" w:hAnsi="Arial"/>
    </w:rPr>
    <w:tblPr>
      <w:tblInd w:w="0" w:type="dxa"/>
      <w:tblBorders>
        <w:top w:val="single" w:sz="6" w:space="0" w:color="auto"/>
        <w:bottom w:val="single" w:sz="6" w:space="0" w:color="auto"/>
        <w:insideH w:val="single" w:sz="6" w:space="0" w:color="auto"/>
        <w:insideV w:val="single" w:sz="6" w:space="0" w:color="auto"/>
      </w:tblBorders>
    </w:tblPr>
    <w:tblStylePr w:type="firstRow">
      <w:pPr>
        <w:wordWrap/>
        <w:spacing w:before="100" w:beforeLines="0" w:beforeAutospacing="1" w:after="100" w:afterLines="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alloonText">
    <w:name w:val="Balloon Text"/>
    <w:basedOn w:val="Normal"/>
    <w:link w:val="BalloonTextChar"/>
    <w:uiPriority w:val="99"/>
    <w:semiHidden/>
    <w:unhideWhenUsed/>
    <w:rsid w:val="00787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42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ED7"/>
    <w:rPr>
      <w:b/>
      <w:bCs/>
    </w:rPr>
  </w:style>
  <w:style w:type="character" w:customStyle="1" w:styleId="CommentSubjectChar">
    <w:name w:val="Comment Subject Char"/>
    <w:basedOn w:val="CommentTextChar"/>
    <w:link w:val="CommentSubject"/>
    <w:uiPriority w:val="99"/>
    <w:semiHidden/>
    <w:rsid w:val="00D62ED7"/>
    <w:rPr>
      <w:b/>
      <w:bCs/>
    </w:rPr>
  </w:style>
  <w:style w:type="table" w:styleId="TableGrid">
    <w:name w:val="Table Grid"/>
    <w:basedOn w:val="TableNormal"/>
    <w:uiPriority w:val="59"/>
    <w:rsid w:val="00E4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ytablecomplex1">
    <w:name w:val="Gray_table_complex1"/>
    <w:basedOn w:val="TableNormal"/>
    <w:rsid w:val="00C01E46"/>
    <w:pPr>
      <w:spacing w:before="40" w:after="40"/>
    </w:pPr>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Autospacing="0" w:afterLines="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odyText">
    <w:name w:val="Body Text"/>
    <w:basedOn w:val="Normal"/>
    <w:link w:val="BodyTextChar"/>
    <w:rsid w:val="008754A1"/>
    <w:pPr>
      <w:spacing w:after="0" w:line="240" w:lineRule="auto"/>
    </w:pPr>
    <w:rPr>
      <w:bCs/>
      <w:szCs w:val="20"/>
    </w:rPr>
  </w:style>
  <w:style w:type="character" w:customStyle="1" w:styleId="BodyTextChar">
    <w:name w:val="Body Text Char"/>
    <w:basedOn w:val="DefaultParagraphFont"/>
    <w:link w:val="BodyText"/>
    <w:rsid w:val="008754A1"/>
    <w:rPr>
      <w:bCs/>
      <w:sz w:val="24"/>
    </w:rPr>
  </w:style>
  <w:style w:type="table" w:customStyle="1" w:styleId="Graytablecomplex2">
    <w:name w:val="Gray_table_complex2"/>
    <w:basedOn w:val="TableNormal"/>
    <w:rsid w:val="002C5A08"/>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0" w:beforeLines="0" w:beforeAutospacing="0" w:after="0" w:afterLines="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character" w:customStyle="1" w:styleId="Heading3Char">
    <w:name w:val="Heading 3 Char"/>
    <w:basedOn w:val="DefaultParagraphFont"/>
    <w:link w:val="Heading3"/>
    <w:uiPriority w:val="9"/>
    <w:rsid w:val="007454FF"/>
    <w:rPr>
      <w:rFonts w:ascii="Franklin Gothic Book" w:hAnsi="Franklin Gothic Book" w:eastAsiaTheme="majorEastAsia" w:cstheme="majorBidi"/>
      <w:bCs/>
      <w:i/>
      <w:color w:val="DD4814"/>
      <w:sz w:val="24"/>
      <w:szCs w:val="26"/>
    </w:rPr>
  </w:style>
  <w:style w:type="paragraph" w:customStyle="1" w:styleId="FMGBodyText">
    <w:name w:val="FMG_BodyText"/>
    <w:basedOn w:val="Normal"/>
    <w:link w:val="FMGBodyTextChar"/>
    <w:uiPriority w:val="1"/>
    <w:qFormat/>
    <w:rsid w:val="007454FF"/>
    <w:pPr>
      <w:widowControl w:val="0"/>
      <w:spacing w:line="329" w:lineRule="auto"/>
      <w:ind w:right="158"/>
      <w:jc w:val="both"/>
    </w:pPr>
    <w:rPr>
      <w:rFonts w:ascii="Franklin Gothic Book" w:eastAsia="Franklin Gothic Book" w:hAnsi="Franklin Gothic Book" w:cstheme="minorBidi"/>
      <w:color w:val="231F20"/>
      <w:sz w:val="22"/>
      <w:szCs w:val="18"/>
    </w:rPr>
  </w:style>
  <w:style w:type="character" w:customStyle="1" w:styleId="FMGBodyTextChar">
    <w:name w:val="FMG_BodyText Char"/>
    <w:basedOn w:val="DefaultParagraphFont"/>
    <w:link w:val="FMGBodyText"/>
    <w:uiPriority w:val="1"/>
    <w:rsid w:val="007454FF"/>
    <w:rPr>
      <w:rFonts w:ascii="Franklin Gothic Book" w:eastAsia="Franklin Gothic Book" w:hAnsi="Franklin Gothic Book" w:cstheme="minorBidi"/>
      <w:color w:val="231F20"/>
      <w:sz w:val="22"/>
      <w:szCs w:val="18"/>
    </w:rPr>
  </w:style>
  <w:style w:type="paragraph" w:styleId="NoSpacing">
    <w:name w:val="No Spacing"/>
    <w:uiPriority w:val="1"/>
    <w:qFormat/>
    <w:rsid w:val="007454FF"/>
    <w:pPr>
      <w:jc w:val="both"/>
    </w:pPr>
    <w:rPr>
      <w:rFonts w:ascii="Franklin Gothic Book" w:hAnsi="Franklin Gothic Book" w:eastAsiaTheme="minorHAnsi" w:cstheme="minorBidi"/>
      <w:sz w:val="24"/>
      <w:szCs w:val="24"/>
    </w:rPr>
  </w:style>
  <w:style w:type="character" w:customStyle="1" w:styleId="Heading2Char">
    <w:name w:val="Heading 2 Char"/>
    <w:basedOn w:val="DefaultParagraphFont"/>
    <w:link w:val="Heading2"/>
    <w:uiPriority w:val="9"/>
    <w:semiHidden/>
    <w:rsid w:val="007454FF"/>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rsid w:val="001B1823"/>
    <w:rPr>
      <w:sz w:val="24"/>
      <w:szCs w:val="24"/>
    </w:rPr>
  </w:style>
  <w:style w:type="paragraph" w:customStyle="1" w:styleId="bullets0">
    <w:name w:val="bullets"/>
    <w:basedOn w:val="Normal"/>
    <w:rsid w:val="00643823"/>
    <w:pPr>
      <w:numPr>
        <w:numId w:val="11"/>
      </w:numPr>
      <w:spacing w:after="160" w:line="320" w:lineRule="exact"/>
      <w:ind w:left="850"/>
    </w:pPr>
    <w:rPr>
      <w:rFonts w:ascii="Verdana" w:hAnsi="Verdana" w:eastAsiaTheme="minorEastAsia"/>
      <w:sz w:val="20"/>
    </w:rPr>
  </w:style>
  <w:style w:type="paragraph" w:customStyle="1" w:styleId="biblio">
    <w:name w:val="biblio"/>
    <w:basedOn w:val="Normal"/>
    <w:rsid w:val="009E443E"/>
    <w:pPr>
      <w:keepLines/>
      <w:spacing w:after="240" w:line="240" w:lineRule="auto"/>
      <w:ind w:left="720" w:hanging="720"/>
    </w:pPr>
    <w:rPr>
      <w:rFonts w:ascii="Verdana" w:eastAsia="MS Mincho" w:hAnsi="Verdana"/>
      <w:sz w:val="20"/>
      <w:szCs w:val="20"/>
    </w:rPr>
  </w:style>
  <w:style w:type="paragraph" w:customStyle="1" w:styleId="table-bulletLM">
    <w:name w:val="table-bullet_LM"/>
    <w:basedOn w:val="Normal"/>
    <w:qFormat/>
    <w:rsid w:val="006142FF"/>
    <w:pPr>
      <w:numPr>
        <w:numId w:val="14"/>
      </w:numPr>
      <w:spacing w:before="60" w:after="60" w:line="240" w:lineRule="auto"/>
    </w:pPr>
    <w:rPr>
      <w:rFonts w:ascii="Verdana" w:eastAsia="SimSun" w:hAnsi="Verdana"/>
      <w:sz w:val="18"/>
      <w:szCs w:val="22"/>
      <w:lang w:eastAsia="zh-CN"/>
    </w:rPr>
  </w:style>
  <w:style w:type="table" w:customStyle="1" w:styleId="RTITable">
    <w:name w:val="RTI_Table"/>
    <w:basedOn w:val="TableNormal"/>
    <w:uiPriority w:val="99"/>
    <w:rsid w:val="006142FF"/>
    <w:rPr>
      <w:rFonts w:ascii="Verdana" w:eastAsia="SimSun" w:hAnsi="Verdana"/>
      <w:lang w:val="" w:eastAsia=""/>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customStyle="1" w:styleId="table-headers">
    <w:name w:val="table-headers"/>
    <w:basedOn w:val="Normal"/>
    <w:link w:val="table-headersChar"/>
    <w:rsid w:val="00B12343"/>
    <w:pPr>
      <w:spacing w:before="80" w:after="80" w:line="240" w:lineRule="auto"/>
      <w:jc w:val="center"/>
    </w:pPr>
    <w:rPr>
      <w:rFonts w:ascii="Verdana" w:eastAsia="SimSun" w:hAnsi="Verdana"/>
      <w:b/>
      <w:sz w:val="18"/>
      <w:szCs w:val="22"/>
      <w:lang w:eastAsia="zh-CN"/>
    </w:rPr>
  </w:style>
  <w:style w:type="paragraph" w:customStyle="1" w:styleId="table-text">
    <w:name w:val="table-text"/>
    <w:basedOn w:val="Normal"/>
    <w:qFormat/>
    <w:rsid w:val="00B12343"/>
    <w:pPr>
      <w:spacing w:before="60" w:after="60" w:line="240" w:lineRule="auto"/>
    </w:pPr>
    <w:rPr>
      <w:rFonts w:ascii="Verdana" w:eastAsia="SimSun" w:hAnsi="Verdana"/>
      <w:sz w:val="18"/>
      <w:szCs w:val="22"/>
      <w:lang w:eastAsia="zh-CN"/>
    </w:rPr>
  </w:style>
  <w:style w:type="paragraph" w:customStyle="1" w:styleId="table-title">
    <w:name w:val="table-title"/>
    <w:basedOn w:val="Normal"/>
    <w:link w:val="table-titleChar"/>
    <w:rsid w:val="00B12343"/>
    <w:pPr>
      <w:keepNext/>
      <w:keepLines/>
      <w:spacing w:before="320" w:after="120" w:line="240" w:lineRule="auto"/>
      <w:ind w:left="1440" w:hanging="1440"/>
    </w:pPr>
    <w:rPr>
      <w:rFonts w:ascii="Verdana" w:eastAsia="SimSun" w:hAnsi="Verdana"/>
      <w:b/>
      <w:sz w:val="20"/>
      <w:szCs w:val="22"/>
      <w:lang w:eastAsia="zh-CN"/>
    </w:rPr>
  </w:style>
  <w:style w:type="paragraph" w:customStyle="1" w:styleId="table-sourcestd">
    <w:name w:val="table-source_std"/>
    <w:basedOn w:val="Normal"/>
    <w:rsid w:val="00B12343"/>
    <w:pPr>
      <w:keepLines/>
      <w:spacing w:before="120" w:after="400" w:line="240" w:lineRule="auto"/>
      <w:ind w:left="187" w:hanging="187"/>
    </w:pPr>
    <w:rPr>
      <w:rFonts w:ascii="Verdana" w:eastAsia="SimSun" w:hAnsi="Verdana"/>
      <w:sz w:val="18"/>
      <w:szCs w:val="22"/>
      <w:lang w:eastAsia="zh-CN"/>
    </w:rPr>
  </w:style>
  <w:style w:type="character" w:customStyle="1" w:styleId="table-titleChar">
    <w:name w:val="table-title Char"/>
    <w:link w:val="table-title"/>
    <w:rsid w:val="00B12343"/>
    <w:rPr>
      <w:rFonts w:ascii="Verdana" w:eastAsia="SimSun" w:hAnsi="Verdana"/>
      <w:b/>
      <w:szCs w:val="22"/>
      <w:lang w:eastAsia="zh-CN"/>
    </w:rPr>
  </w:style>
  <w:style w:type="character" w:customStyle="1" w:styleId="table-headersChar">
    <w:name w:val="table-headers Char"/>
    <w:link w:val="table-headers"/>
    <w:rsid w:val="00B12343"/>
    <w:rPr>
      <w:rFonts w:ascii="Verdana" w:eastAsia="SimSun" w:hAnsi="Verdana"/>
      <w:b/>
      <w:sz w:val="18"/>
      <w:szCs w:val="22"/>
      <w:lang w:eastAsia="zh-CN"/>
    </w:rPr>
  </w:style>
  <w:style w:type="character" w:customStyle="1" w:styleId="BodyTextChar1">
    <w:name w:val="Body Text Char1"/>
    <w:rsid w:val="005F25EE"/>
    <w:rPr>
      <w:rFonts w:ascii="Verdana" w:eastAsia="MS Mincho" w:hAnsi="Verdana"/>
      <w:snapToGrid w:val="0"/>
      <w:sz w:val="20"/>
      <w:szCs w:val="20"/>
    </w:rPr>
  </w:style>
  <w:style w:type="character" w:styleId="UnresolvedMention">
    <w:name w:val="Unresolved Mention"/>
    <w:basedOn w:val="DefaultParagraphFont"/>
    <w:uiPriority w:val="99"/>
    <w:semiHidden/>
    <w:unhideWhenUsed/>
    <w:rsid w:val="00E20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contemporaryclinic.pharmacytimes.com/journals/issue/2017/june2017/prescriptive-authority-update-2017"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90FC8-5079-40CD-BE41-7E274EF03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2215</Words>
  <Characters>11923</Characters>
  <Application>Microsoft Office Word</Application>
  <DocSecurity>0</DocSecurity>
  <Lines>541</Lines>
  <Paragraphs>441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Kevin</dc:creator>
  <cp:lastModifiedBy>Capezzuto, JonnaLynn</cp:lastModifiedBy>
  <cp:revision>2</cp:revision>
  <dcterms:created xsi:type="dcterms:W3CDTF">2022-10-14T16:16:00Z</dcterms:created>
  <dcterms:modified xsi:type="dcterms:W3CDTF">2022-10-14T16:16:00Z</dcterms:modified>
</cp:coreProperties>
</file>