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3F8" w:rsidRPr="00DA23F8" w:rsidP="00DA23F8" w14:paraId="6225A85B"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United States Food and Drug Administration</w:t>
      </w:r>
    </w:p>
    <w:p w:rsidR="00DA23F8" w:rsidRPr="00DA23F8" w:rsidP="00DA23F8" w14:paraId="18506BE6"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Center for Tobacco Products</w:t>
      </w:r>
    </w:p>
    <w:p w:rsidR="00DA23F8" w:rsidP="394794AF" w14:paraId="108B7E06" w14:textId="77777777">
      <w:pPr>
        <w:spacing w:after="0" w:line="240" w:lineRule="auto"/>
        <w:jc w:val="center"/>
        <w:rPr>
          <w:rFonts w:ascii="Times New Roman" w:eastAsia="Times New Roman" w:hAnsi="Times New Roman"/>
          <w:b/>
          <w:bCs/>
          <w:sz w:val="24"/>
          <w:szCs w:val="24"/>
        </w:rPr>
      </w:pPr>
    </w:p>
    <w:p w:rsidR="00A75CEB" w:rsidRPr="00A75CEB" w:rsidP="002C2650" w14:paraId="105BF32B" w14:textId="2ED00E63">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The Real Cost Campaign Outcomes Evaluation Study: Cohort 3 (Outcomes Study)</w:t>
      </w:r>
    </w:p>
    <w:p w:rsidR="002C2650" w:rsidP="394794AF" w14:paraId="4CA10A35" w14:textId="77777777">
      <w:pPr>
        <w:spacing w:after="0" w:line="240" w:lineRule="auto"/>
        <w:jc w:val="center"/>
        <w:rPr>
          <w:rFonts w:ascii="Times New Roman" w:eastAsia="Times New Roman" w:hAnsi="Times New Roman"/>
          <w:b/>
          <w:bCs/>
          <w:sz w:val="24"/>
          <w:szCs w:val="24"/>
        </w:rPr>
      </w:pPr>
    </w:p>
    <w:p w:rsidR="00554AB6" w:rsidP="394794AF" w14:paraId="3538CB12" w14:textId="21CCE605">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 xml:space="preserve">OMB Control Number </w:t>
      </w:r>
      <w:r w:rsidRPr="394794AF" w:rsidR="009F3B2F">
        <w:rPr>
          <w:rFonts w:ascii="Times New Roman" w:eastAsia="Times New Roman" w:hAnsi="Times New Roman"/>
          <w:b/>
          <w:bCs/>
          <w:sz w:val="24"/>
          <w:szCs w:val="24"/>
        </w:rPr>
        <w:t>0910</w:t>
      </w:r>
      <w:r w:rsidRPr="394794AF">
        <w:rPr>
          <w:rFonts w:ascii="Times New Roman" w:eastAsia="Times New Roman" w:hAnsi="Times New Roman"/>
          <w:b/>
          <w:bCs/>
          <w:sz w:val="24"/>
          <w:szCs w:val="24"/>
        </w:rPr>
        <w:t>-</w:t>
      </w:r>
      <w:r w:rsidRPr="394794AF" w:rsidR="009F3B2F">
        <w:rPr>
          <w:rFonts w:ascii="Times New Roman" w:eastAsia="Times New Roman" w:hAnsi="Times New Roman"/>
          <w:b/>
          <w:bCs/>
          <w:sz w:val="24"/>
          <w:szCs w:val="24"/>
        </w:rPr>
        <w:t>NEW</w:t>
      </w:r>
    </w:p>
    <w:p w:rsidR="009C4A0A" w:rsidP="394794AF" w14:paraId="53B95740" w14:textId="77777777">
      <w:pPr>
        <w:spacing w:after="0" w:line="240" w:lineRule="auto"/>
        <w:jc w:val="center"/>
        <w:rPr>
          <w:rFonts w:ascii="Times New Roman" w:eastAsia="Times New Roman" w:hAnsi="Times New Roman"/>
          <w:b/>
          <w:bCs/>
          <w:sz w:val="24"/>
          <w:szCs w:val="24"/>
        </w:rPr>
      </w:pPr>
    </w:p>
    <w:p w:rsidR="009C4A0A" w:rsidP="394794AF" w14:paraId="40E609BA" w14:textId="389DEB6A">
      <w:pPr>
        <w:spacing w:after="0" w:line="240" w:lineRule="auto"/>
        <w:jc w:val="center"/>
        <w:rPr>
          <w:rFonts w:ascii="Times New Roman" w:eastAsia="Times New Roman" w:hAnsi="Times New Roman"/>
          <w:b/>
          <w:bCs/>
          <w:sz w:val="24"/>
          <w:szCs w:val="24"/>
        </w:rPr>
      </w:pPr>
      <w:r w:rsidRPr="009C4A0A">
        <w:rPr>
          <w:rFonts w:ascii="Times New Roman" w:eastAsia="Times New Roman" w:hAnsi="Times New Roman"/>
          <w:b/>
          <w:bCs/>
          <w:sz w:val="24"/>
          <w:szCs w:val="24"/>
        </w:rPr>
        <w:t xml:space="preserve">Supporting Statement </w:t>
      </w:r>
      <w:r w:rsidR="00BC7EBF">
        <w:rPr>
          <w:rFonts w:ascii="Times New Roman" w:eastAsia="Times New Roman" w:hAnsi="Times New Roman"/>
          <w:b/>
          <w:bCs/>
          <w:sz w:val="24"/>
          <w:szCs w:val="24"/>
        </w:rPr>
        <w:t>Part</w:t>
      </w:r>
      <w:r w:rsidRPr="009C4A0A">
        <w:rPr>
          <w:rFonts w:ascii="Times New Roman" w:eastAsia="Times New Roman" w:hAnsi="Times New Roman"/>
          <w:b/>
          <w:bCs/>
          <w:sz w:val="24"/>
          <w:szCs w:val="24"/>
        </w:rPr>
        <w:t xml:space="preserve"> </w:t>
      </w:r>
      <w:r>
        <w:rPr>
          <w:rFonts w:ascii="Times New Roman" w:eastAsia="Times New Roman" w:hAnsi="Times New Roman"/>
          <w:b/>
          <w:bCs/>
          <w:sz w:val="24"/>
          <w:szCs w:val="24"/>
        </w:rPr>
        <w:t>B</w:t>
      </w:r>
    </w:p>
    <w:p w:rsidR="00447CB7" w:rsidRPr="001768F2" w:rsidP="00447CB7" w14:paraId="69FCE58C" w14:textId="77777777">
      <w:pPr>
        <w:spacing w:before="100" w:beforeAutospacing="1" w:after="100" w:afterAutospacing="1" w:line="240" w:lineRule="auto"/>
        <w:rPr>
          <w:rFonts w:ascii="Times New Roman" w:hAnsi="Times New Roman"/>
          <w:b/>
          <w:sz w:val="24"/>
        </w:rPr>
      </w:pPr>
      <w:r w:rsidRPr="5C67BD59">
        <w:rPr>
          <w:rFonts w:ascii="Times New Roman" w:hAnsi="Times New Roman"/>
          <w:b/>
          <w:bCs/>
          <w:sz w:val="24"/>
          <w:szCs w:val="24"/>
        </w:rPr>
        <w:t>B.</w:t>
      </w:r>
      <w:r>
        <w:tab/>
      </w:r>
      <w:r w:rsidRPr="5C67BD59">
        <w:rPr>
          <w:rFonts w:ascii="Times New Roman" w:hAnsi="Times New Roman"/>
          <w:b/>
          <w:bCs/>
          <w:sz w:val="24"/>
          <w:szCs w:val="24"/>
        </w:rPr>
        <w:t>Statistical Methods</w:t>
      </w:r>
    </w:p>
    <w:p w:rsidR="5C67BD59" w:rsidP="5C67BD59" w14:paraId="2A170B87" w14:textId="05E74A0F">
      <w:pPr>
        <w:spacing w:after="0" w:line="240" w:lineRule="auto"/>
        <w:rPr>
          <w:rFonts w:ascii="Times New Roman" w:eastAsia="Times New Roman" w:hAnsi="Times New Roman"/>
          <w:b/>
          <w:bCs/>
          <w:sz w:val="24"/>
          <w:szCs w:val="24"/>
          <w:u w:val="single"/>
        </w:rPr>
      </w:pPr>
    </w:p>
    <w:p w:rsidR="00447CB7" w:rsidRPr="00392C0E" w:rsidP="00447CB7" w14:paraId="47504A3F" w14:textId="77777777">
      <w:pPr>
        <w:numPr>
          <w:ilvl w:val="0"/>
          <w:numId w:val="3"/>
        </w:numPr>
        <w:spacing w:after="0" w:line="240" w:lineRule="auto"/>
        <w:rPr>
          <w:rFonts w:ascii="Times New Roman" w:eastAsia="Times New Roman" w:hAnsi="Times New Roman"/>
          <w:b/>
          <w:bCs/>
          <w:sz w:val="24"/>
          <w:szCs w:val="24"/>
          <w:u w:val="single"/>
        </w:rPr>
      </w:pPr>
      <w:r w:rsidRPr="5C67BD59">
        <w:rPr>
          <w:rFonts w:ascii="Times New Roman" w:eastAsia="Times New Roman" w:hAnsi="Times New Roman"/>
          <w:b/>
          <w:bCs/>
          <w:sz w:val="24"/>
          <w:szCs w:val="24"/>
          <w:u w:val="single"/>
        </w:rPr>
        <w:t>Respondent Universe and Sampling Methods</w:t>
      </w:r>
    </w:p>
    <w:p w:rsidR="00447CB7" w:rsidRPr="00447CB7" w:rsidP="00447CB7" w14:paraId="6E3D28AD" w14:textId="77777777">
      <w:pPr>
        <w:spacing w:after="0" w:line="240" w:lineRule="auto"/>
        <w:ind w:left="720"/>
        <w:rPr>
          <w:rFonts w:ascii="Times New Roman" w:eastAsia="Times New Roman" w:hAnsi="Times New Roman"/>
          <w:sz w:val="24"/>
          <w:szCs w:val="24"/>
          <w:u w:val="single"/>
        </w:rPr>
      </w:pPr>
    </w:p>
    <w:p w:rsidR="0066623F" w:rsidP="00447CB7" w14:paraId="3B4E743A" w14:textId="76B30FB6">
      <w:pPr>
        <w:spacing w:after="0" w:line="240" w:lineRule="auto"/>
        <w:ind w:left="720"/>
        <w:rPr>
          <w:rFonts w:ascii="Times New Roman" w:eastAsia="Times New Roman" w:hAnsi="Times New Roman"/>
          <w:sz w:val="24"/>
          <w:szCs w:val="24"/>
        </w:rPr>
      </w:pPr>
      <w:r w:rsidRPr="13F9497A">
        <w:rPr>
          <w:rFonts w:ascii="Times New Roman" w:eastAsia="Times New Roman" w:hAnsi="Times New Roman"/>
          <w:sz w:val="24"/>
          <w:szCs w:val="24"/>
        </w:rPr>
        <w:t xml:space="preserve">The </w:t>
      </w:r>
      <w:r w:rsidRPr="13F9497A" w:rsidR="00230E4B">
        <w:rPr>
          <w:rFonts w:ascii="Times New Roman" w:eastAsia="Times New Roman" w:hAnsi="Times New Roman"/>
          <w:sz w:val="24"/>
          <w:szCs w:val="24"/>
        </w:rPr>
        <w:t>Outcomes Study</w:t>
      </w:r>
      <w:r w:rsidRPr="13F9497A" w:rsidR="00C76B94">
        <w:rPr>
          <w:rFonts w:ascii="Times New Roman" w:eastAsia="Times New Roman" w:hAnsi="Times New Roman"/>
          <w:sz w:val="24"/>
          <w:szCs w:val="24"/>
        </w:rPr>
        <w:t xml:space="preserve"> </w:t>
      </w:r>
      <w:r w:rsidRPr="13F9497A">
        <w:rPr>
          <w:rFonts w:ascii="Times New Roman" w:eastAsia="Times New Roman" w:hAnsi="Times New Roman"/>
          <w:sz w:val="24"/>
          <w:szCs w:val="24"/>
        </w:rPr>
        <w:t>consist</w:t>
      </w:r>
      <w:r w:rsidRPr="13F9497A" w:rsidR="00C76B94">
        <w:rPr>
          <w:rFonts w:ascii="Times New Roman" w:eastAsia="Times New Roman" w:hAnsi="Times New Roman"/>
          <w:sz w:val="24"/>
          <w:szCs w:val="24"/>
        </w:rPr>
        <w:t>s</w:t>
      </w:r>
      <w:r w:rsidRPr="13F9497A">
        <w:rPr>
          <w:rFonts w:ascii="Times New Roman" w:eastAsia="Times New Roman" w:hAnsi="Times New Roman"/>
          <w:sz w:val="24"/>
          <w:szCs w:val="24"/>
        </w:rPr>
        <w:t xml:space="preserve"> of </w:t>
      </w:r>
      <w:r w:rsidRPr="13F9497A" w:rsidR="00306E7D">
        <w:rPr>
          <w:rFonts w:ascii="Times New Roman" w:eastAsia="Times New Roman" w:hAnsi="Times New Roman"/>
          <w:sz w:val="24"/>
          <w:szCs w:val="24"/>
        </w:rPr>
        <w:t xml:space="preserve">a </w:t>
      </w:r>
      <w:r w:rsidRPr="13F9497A" w:rsidR="005A40EF">
        <w:rPr>
          <w:rFonts w:ascii="Times New Roman" w:eastAsia="Times New Roman" w:hAnsi="Times New Roman"/>
          <w:sz w:val="24"/>
          <w:szCs w:val="24"/>
        </w:rPr>
        <w:t>probability sample</w:t>
      </w:r>
      <w:r w:rsidRPr="13F9497A" w:rsidR="00C76B94">
        <w:rPr>
          <w:rFonts w:ascii="Times New Roman" w:eastAsia="Times New Roman" w:hAnsi="Times New Roman"/>
          <w:sz w:val="24"/>
          <w:szCs w:val="24"/>
        </w:rPr>
        <w:t xml:space="preserve"> involving</w:t>
      </w:r>
      <w:r w:rsidRPr="13F9497A" w:rsidR="00526AD0">
        <w:rPr>
          <w:rFonts w:ascii="Times New Roman" w:eastAsia="Times New Roman" w:hAnsi="Times New Roman"/>
          <w:sz w:val="24"/>
          <w:szCs w:val="24"/>
        </w:rPr>
        <w:t xml:space="preserve"> a </w:t>
      </w:r>
      <w:r w:rsidRPr="13F9497A">
        <w:rPr>
          <w:rFonts w:ascii="Times New Roman" w:eastAsia="Times New Roman" w:hAnsi="Times New Roman"/>
          <w:sz w:val="24"/>
          <w:szCs w:val="24"/>
        </w:rPr>
        <w:t xml:space="preserve">longitudinal survey of </w:t>
      </w:r>
      <w:r w:rsidRPr="13F9497A" w:rsidR="006D6972">
        <w:rPr>
          <w:rFonts w:ascii="Times New Roman" w:eastAsia="Times New Roman" w:hAnsi="Times New Roman"/>
          <w:sz w:val="24"/>
          <w:szCs w:val="24"/>
        </w:rPr>
        <w:t xml:space="preserve">approximately </w:t>
      </w:r>
      <w:r w:rsidRPr="13F9497A" w:rsidR="0090259D">
        <w:rPr>
          <w:rFonts w:ascii="Times New Roman" w:eastAsia="Times New Roman" w:hAnsi="Times New Roman"/>
          <w:sz w:val="24"/>
          <w:szCs w:val="24"/>
        </w:rPr>
        <w:t>6</w:t>
      </w:r>
      <w:r w:rsidRPr="13F9497A" w:rsidR="002B204E">
        <w:rPr>
          <w:rFonts w:ascii="Times New Roman" w:eastAsia="Times New Roman" w:hAnsi="Times New Roman"/>
          <w:sz w:val="24"/>
          <w:szCs w:val="24"/>
        </w:rPr>
        <w:t xml:space="preserve">,000 </w:t>
      </w:r>
      <w:r w:rsidRPr="13F9497A">
        <w:rPr>
          <w:rFonts w:ascii="Times New Roman" w:eastAsia="Times New Roman" w:hAnsi="Times New Roman"/>
          <w:sz w:val="24"/>
          <w:szCs w:val="24"/>
        </w:rPr>
        <w:t>yout</w:t>
      </w:r>
      <w:r w:rsidRPr="13F9497A" w:rsidR="004016F5">
        <w:rPr>
          <w:rFonts w:ascii="Times New Roman" w:eastAsia="Times New Roman" w:hAnsi="Times New Roman"/>
          <w:sz w:val="24"/>
          <w:szCs w:val="24"/>
        </w:rPr>
        <w:t xml:space="preserve">h </w:t>
      </w:r>
      <w:r w:rsidRPr="13F9497A" w:rsidR="005E2EB5">
        <w:rPr>
          <w:rFonts w:ascii="Times New Roman" w:eastAsia="Times New Roman" w:hAnsi="Times New Roman"/>
          <w:sz w:val="24"/>
          <w:szCs w:val="24"/>
        </w:rPr>
        <w:t xml:space="preserve">and a </w:t>
      </w:r>
      <w:r w:rsidRPr="13F9497A" w:rsidR="1F614DD2">
        <w:rPr>
          <w:rFonts w:ascii="Times New Roman" w:eastAsia="Times New Roman" w:hAnsi="Times New Roman"/>
          <w:sz w:val="24"/>
          <w:szCs w:val="24"/>
        </w:rPr>
        <w:t xml:space="preserve">supplemental </w:t>
      </w:r>
      <w:r w:rsidRPr="13F9497A" w:rsidR="005E2EB5">
        <w:rPr>
          <w:rFonts w:ascii="Times New Roman" w:eastAsia="Times New Roman" w:hAnsi="Times New Roman"/>
          <w:sz w:val="24"/>
          <w:szCs w:val="24"/>
        </w:rPr>
        <w:t>sample of 1,500 youth,</w:t>
      </w:r>
      <w:r w:rsidRPr="13F9497A">
        <w:rPr>
          <w:rFonts w:ascii="Times New Roman" w:eastAsia="Times New Roman" w:hAnsi="Times New Roman"/>
          <w:sz w:val="24"/>
          <w:szCs w:val="24"/>
        </w:rPr>
        <w:t xml:space="preserve"> </w:t>
      </w:r>
      <w:r w:rsidRPr="13F9497A" w:rsidR="00C76B94">
        <w:rPr>
          <w:rFonts w:ascii="Times New Roman" w:eastAsia="Times New Roman" w:hAnsi="Times New Roman"/>
          <w:sz w:val="24"/>
          <w:szCs w:val="24"/>
        </w:rPr>
        <w:t xml:space="preserve">assessed at baseline and </w:t>
      </w:r>
      <w:r w:rsidRPr="13F9497A" w:rsidR="00BA7597">
        <w:rPr>
          <w:rFonts w:ascii="Times New Roman" w:eastAsia="Times New Roman" w:hAnsi="Times New Roman"/>
          <w:sz w:val="24"/>
          <w:szCs w:val="24"/>
        </w:rPr>
        <w:t>three</w:t>
      </w:r>
      <w:r w:rsidRPr="13F9497A" w:rsidR="00FC0777">
        <w:rPr>
          <w:rFonts w:ascii="Times New Roman" w:eastAsia="Times New Roman" w:hAnsi="Times New Roman"/>
          <w:sz w:val="24"/>
          <w:szCs w:val="24"/>
        </w:rPr>
        <w:t xml:space="preserve"> </w:t>
      </w:r>
      <w:r w:rsidRPr="13F9497A" w:rsidR="00C76B94">
        <w:rPr>
          <w:rFonts w:ascii="Times New Roman" w:eastAsia="Times New Roman" w:hAnsi="Times New Roman"/>
          <w:sz w:val="24"/>
          <w:szCs w:val="24"/>
        </w:rPr>
        <w:t>follow-up waves</w:t>
      </w:r>
      <w:r w:rsidRPr="13F9497A" w:rsidR="002E13D5">
        <w:rPr>
          <w:rFonts w:ascii="Times New Roman" w:eastAsia="Times New Roman" w:hAnsi="Times New Roman"/>
          <w:sz w:val="24"/>
          <w:szCs w:val="24"/>
        </w:rPr>
        <w:t xml:space="preserve"> </w:t>
      </w:r>
      <w:r w:rsidRPr="13F9497A" w:rsidR="00752834">
        <w:rPr>
          <w:rFonts w:ascii="Times New Roman" w:eastAsia="Times New Roman" w:hAnsi="Times New Roman"/>
          <w:sz w:val="24"/>
          <w:szCs w:val="24"/>
        </w:rPr>
        <w:t xml:space="preserve">to evaluate </w:t>
      </w:r>
      <w:r w:rsidRPr="13F9497A" w:rsidR="006E6911">
        <w:rPr>
          <w:rFonts w:ascii="Times New Roman" w:eastAsia="Times New Roman" w:hAnsi="Times New Roman"/>
          <w:sz w:val="24"/>
          <w:szCs w:val="24"/>
        </w:rPr>
        <w:t xml:space="preserve">The Real Cost </w:t>
      </w:r>
      <w:r w:rsidRPr="13F9497A" w:rsidR="005C2A6A">
        <w:rPr>
          <w:rFonts w:ascii="Times New Roman" w:eastAsia="Times New Roman" w:hAnsi="Times New Roman"/>
          <w:sz w:val="24"/>
          <w:szCs w:val="24"/>
        </w:rPr>
        <w:t>health education</w:t>
      </w:r>
      <w:r w:rsidRPr="13F9497A" w:rsidR="005A40EF">
        <w:rPr>
          <w:rFonts w:ascii="Times New Roman" w:eastAsia="Times New Roman" w:hAnsi="Times New Roman"/>
          <w:sz w:val="24"/>
          <w:szCs w:val="24"/>
        </w:rPr>
        <w:t xml:space="preserve"> campaign</w:t>
      </w:r>
      <w:r w:rsidRPr="13F9497A" w:rsidR="00526AD0">
        <w:rPr>
          <w:rFonts w:ascii="Times New Roman" w:eastAsia="Times New Roman" w:hAnsi="Times New Roman"/>
          <w:sz w:val="24"/>
          <w:szCs w:val="24"/>
        </w:rPr>
        <w:t>.</w:t>
      </w:r>
      <w:r w:rsidRPr="13F9497A">
        <w:rPr>
          <w:rFonts w:ascii="Times New Roman" w:eastAsia="Times New Roman" w:hAnsi="Times New Roman"/>
          <w:sz w:val="24"/>
          <w:szCs w:val="24"/>
        </w:rPr>
        <w:t xml:space="preserve"> This longitudinal design allows us to calculate baseline-to-follow-up changes in campaign-targeted outcomes for each study participant. We hypothesize that if the campaign</w:t>
      </w:r>
      <w:r w:rsidRPr="13F9497A" w:rsidR="00C76B94">
        <w:rPr>
          <w:rFonts w:ascii="Times New Roman" w:eastAsia="Times New Roman" w:hAnsi="Times New Roman"/>
          <w:sz w:val="24"/>
          <w:szCs w:val="24"/>
        </w:rPr>
        <w:t xml:space="preserve"> is</w:t>
      </w:r>
      <w:r w:rsidRPr="13F9497A">
        <w:rPr>
          <w:rFonts w:ascii="Times New Roman" w:eastAsia="Times New Roman" w:hAnsi="Times New Roman"/>
          <w:sz w:val="24"/>
          <w:szCs w:val="24"/>
        </w:rPr>
        <w:t xml:space="preserve"> effective, the baseline-to-follow-up changes in outcomes should be larger among individuals </w:t>
      </w:r>
      <w:r w:rsidRPr="13F9497A" w:rsidR="00EF564B">
        <w:rPr>
          <w:rFonts w:ascii="Times New Roman" w:eastAsia="Times New Roman" w:hAnsi="Times New Roman"/>
          <w:sz w:val="24"/>
          <w:szCs w:val="24"/>
        </w:rPr>
        <w:t xml:space="preserve">who report greater </w:t>
      </w:r>
      <w:r w:rsidRPr="13F9497A">
        <w:rPr>
          <w:rFonts w:ascii="Times New Roman" w:eastAsia="Times New Roman" w:hAnsi="Times New Roman"/>
          <w:sz w:val="24"/>
          <w:szCs w:val="24"/>
        </w:rPr>
        <w:t>expos</w:t>
      </w:r>
      <w:r w:rsidRPr="13F9497A" w:rsidR="00EF564B">
        <w:rPr>
          <w:rFonts w:ascii="Times New Roman" w:eastAsia="Times New Roman" w:hAnsi="Times New Roman"/>
          <w:sz w:val="24"/>
          <w:szCs w:val="24"/>
        </w:rPr>
        <w:t>ure</w:t>
      </w:r>
      <w:r w:rsidRPr="13F9497A">
        <w:rPr>
          <w:rFonts w:ascii="Times New Roman" w:eastAsia="Times New Roman" w:hAnsi="Times New Roman"/>
          <w:sz w:val="24"/>
          <w:szCs w:val="24"/>
        </w:rPr>
        <w:t xml:space="preserve"> to the campaign (i.e., dose-response effects). Eligible youth </w:t>
      </w:r>
      <w:r w:rsidRPr="13F9497A" w:rsidR="00C76B94">
        <w:rPr>
          <w:rFonts w:ascii="Times New Roman" w:eastAsia="Times New Roman" w:hAnsi="Times New Roman"/>
          <w:sz w:val="24"/>
          <w:szCs w:val="24"/>
        </w:rPr>
        <w:t>are</w:t>
      </w:r>
      <w:r w:rsidRPr="13F9497A">
        <w:rPr>
          <w:rFonts w:ascii="Times New Roman" w:eastAsia="Times New Roman" w:hAnsi="Times New Roman"/>
          <w:sz w:val="24"/>
          <w:szCs w:val="24"/>
        </w:rPr>
        <w:t xml:space="preserve"> aged 11 to </w:t>
      </w:r>
      <w:r w:rsidRPr="13F9497A" w:rsidR="00AA3E07">
        <w:rPr>
          <w:rFonts w:ascii="Times New Roman" w:eastAsia="Times New Roman" w:hAnsi="Times New Roman"/>
          <w:sz w:val="24"/>
          <w:szCs w:val="24"/>
        </w:rPr>
        <w:t>20</w:t>
      </w:r>
      <w:r w:rsidRPr="13F9497A">
        <w:rPr>
          <w:rFonts w:ascii="Times New Roman" w:eastAsia="Times New Roman" w:hAnsi="Times New Roman"/>
          <w:sz w:val="24"/>
          <w:szCs w:val="24"/>
        </w:rPr>
        <w:t xml:space="preserve"> at baseline and 1</w:t>
      </w:r>
      <w:r w:rsidRPr="13F9497A" w:rsidR="00E41AE4">
        <w:rPr>
          <w:rFonts w:ascii="Times New Roman" w:eastAsia="Times New Roman" w:hAnsi="Times New Roman"/>
          <w:sz w:val="24"/>
          <w:szCs w:val="24"/>
        </w:rPr>
        <w:t>4</w:t>
      </w:r>
      <w:r w:rsidRPr="13F9497A">
        <w:rPr>
          <w:rFonts w:ascii="Times New Roman" w:eastAsia="Times New Roman" w:hAnsi="Times New Roman"/>
          <w:sz w:val="24"/>
          <w:szCs w:val="24"/>
        </w:rPr>
        <w:t xml:space="preserve"> to </w:t>
      </w:r>
      <w:r w:rsidRPr="13F9497A" w:rsidR="003C6178">
        <w:rPr>
          <w:rFonts w:ascii="Times New Roman" w:eastAsia="Times New Roman" w:hAnsi="Times New Roman"/>
          <w:sz w:val="24"/>
          <w:szCs w:val="24"/>
        </w:rPr>
        <w:t>2</w:t>
      </w:r>
      <w:r w:rsidRPr="13F9497A" w:rsidR="00EB2FAE">
        <w:rPr>
          <w:rFonts w:ascii="Times New Roman" w:eastAsia="Times New Roman" w:hAnsi="Times New Roman"/>
          <w:sz w:val="24"/>
          <w:szCs w:val="24"/>
        </w:rPr>
        <w:t>3</w:t>
      </w:r>
      <w:r w:rsidRPr="13F9497A" w:rsidR="003C6178">
        <w:rPr>
          <w:rFonts w:ascii="Times New Roman" w:eastAsia="Times New Roman" w:hAnsi="Times New Roman"/>
          <w:sz w:val="24"/>
          <w:szCs w:val="24"/>
        </w:rPr>
        <w:t xml:space="preserve"> </w:t>
      </w:r>
      <w:r w:rsidRPr="13F9497A">
        <w:rPr>
          <w:rFonts w:ascii="Times New Roman" w:eastAsia="Times New Roman" w:hAnsi="Times New Roman"/>
          <w:sz w:val="24"/>
          <w:szCs w:val="24"/>
        </w:rPr>
        <w:t>by the end of data collection</w:t>
      </w:r>
      <w:r w:rsidRPr="13F9497A" w:rsidR="004016F5">
        <w:rPr>
          <w:rFonts w:ascii="Times New Roman" w:eastAsia="Times New Roman" w:hAnsi="Times New Roman"/>
          <w:sz w:val="24"/>
          <w:szCs w:val="24"/>
        </w:rPr>
        <w:t>,</w:t>
      </w:r>
      <w:r w:rsidRPr="13F9497A" w:rsidR="00B20D70">
        <w:rPr>
          <w:rFonts w:ascii="Times New Roman" w:eastAsia="Times New Roman" w:hAnsi="Times New Roman"/>
          <w:sz w:val="24"/>
          <w:szCs w:val="24"/>
        </w:rPr>
        <w:t xml:space="preserve"> including respondents </w:t>
      </w:r>
      <w:r w:rsidRPr="13F9497A" w:rsidR="00B459A6">
        <w:rPr>
          <w:rFonts w:ascii="Times New Roman" w:eastAsia="Times New Roman" w:hAnsi="Times New Roman"/>
          <w:sz w:val="24"/>
          <w:szCs w:val="24"/>
        </w:rPr>
        <w:t xml:space="preserve">recruited at </w:t>
      </w:r>
      <w:r w:rsidRPr="13F9497A" w:rsidR="00F471F2">
        <w:rPr>
          <w:rFonts w:ascii="Times New Roman" w:eastAsia="Times New Roman" w:hAnsi="Times New Roman"/>
          <w:sz w:val="24"/>
          <w:szCs w:val="24"/>
        </w:rPr>
        <w:t>f</w:t>
      </w:r>
      <w:r w:rsidRPr="13F9497A" w:rsidR="00B459A6">
        <w:rPr>
          <w:rFonts w:ascii="Times New Roman" w:eastAsia="Times New Roman" w:hAnsi="Times New Roman"/>
          <w:sz w:val="24"/>
          <w:szCs w:val="24"/>
        </w:rPr>
        <w:t>ollow-up 2.</w:t>
      </w:r>
      <w:r w:rsidRPr="13F9497A" w:rsidR="005A40EF">
        <w:rPr>
          <w:rFonts w:ascii="Times New Roman" w:eastAsia="Times New Roman" w:hAnsi="Times New Roman"/>
          <w:sz w:val="24"/>
          <w:szCs w:val="24"/>
        </w:rPr>
        <w:t xml:space="preserve"> For the </w:t>
      </w:r>
      <w:r w:rsidRPr="13F9497A" w:rsidR="00996A12">
        <w:rPr>
          <w:rFonts w:ascii="Times New Roman" w:eastAsia="Times New Roman" w:hAnsi="Times New Roman"/>
          <w:sz w:val="24"/>
          <w:szCs w:val="24"/>
        </w:rPr>
        <w:t>Outcomes Study</w:t>
      </w:r>
      <w:r w:rsidRPr="13F9497A" w:rsidR="00A076FC">
        <w:rPr>
          <w:rFonts w:ascii="Times New Roman" w:eastAsia="Times New Roman" w:hAnsi="Times New Roman"/>
          <w:sz w:val="24"/>
          <w:szCs w:val="24"/>
        </w:rPr>
        <w:t>,</w:t>
      </w:r>
      <w:r w:rsidRPr="13F9497A" w:rsidR="005A40EF">
        <w:rPr>
          <w:rFonts w:ascii="Times New Roman" w:eastAsia="Times New Roman" w:hAnsi="Times New Roman"/>
          <w:sz w:val="24"/>
          <w:szCs w:val="24"/>
        </w:rPr>
        <w:t xml:space="preserve"> age is the only screening criterion</w:t>
      </w:r>
      <w:r w:rsidRPr="13F9497A" w:rsidR="00A076FC">
        <w:rPr>
          <w:rFonts w:ascii="Times New Roman" w:eastAsia="Times New Roman" w:hAnsi="Times New Roman"/>
          <w:sz w:val="24"/>
          <w:szCs w:val="24"/>
        </w:rPr>
        <w:t xml:space="preserve">. </w:t>
      </w:r>
      <w:r w:rsidRPr="13F9497A" w:rsidR="00526AD0">
        <w:rPr>
          <w:rFonts w:ascii="Times New Roman" w:eastAsia="Times New Roman" w:hAnsi="Times New Roman"/>
          <w:sz w:val="24"/>
          <w:szCs w:val="24"/>
        </w:rPr>
        <w:t>The</w:t>
      </w:r>
      <w:r w:rsidRPr="13F9497A" w:rsidR="009D2437">
        <w:rPr>
          <w:rFonts w:ascii="Times New Roman" w:eastAsia="Times New Roman" w:hAnsi="Times New Roman"/>
          <w:sz w:val="24"/>
          <w:szCs w:val="24"/>
        </w:rPr>
        <w:t xml:space="preserve"> survey </w:t>
      </w:r>
      <w:r w:rsidRPr="13F9497A" w:rsidR="00C76B94">
        <w:rPr>
          <w:rFonts w:ascii="Times New Roman" w:eastAsia="Times New Roman" w:hAnsi="Times New Roman"/>
          <w:sz w:val="24"/>
          <w:szCs w:val="24"/>
        </w:rPr>
        <w:t>is being</w:t>
      </w:r>
      <w:r w:rsidRPr="13F9497A" w:rsidR="009D2437">
        <w:rPr>
          <w:rFonts w:ascii="Times New Roman" w:eastAsia="Times New Roman" w:hAnsi="Times New Roman"/>
          <w:sz w:val="24"/>
          <w:szCs w:val="24"/>
        </w:rPr>
        <w:t xml:space="preserve"> conducted by RTI</w:t>
      </w:r>
      <w:r w:rsidRPr="13F9497A" w:rsidR="00996A12">
        <w:rPr>
          <w:rFonts w:ascii="Times New Roman" w:eastAsia="Times New Roman" w:hAnsi="Times New Roman"/>
          <w:sz w:val="24"/>
          <w:szCs w:val="24"/>
        </w:rPr>
        <w:t xml:space="preserve"> International</w:t>
      </w:r>
      <w:r w:rsidRPr="13F9497A" w:rsidR="00140F72">
        <w:rPr>
          <w:rFonts w:ascii="Times New Roman" w:eastAsia="Times New Roman" w:hAnsi="Times New Roman"/>
          <w:sz w:val="24"/>
          <w:szCs w:val="24"/>
        </w:rPr>
        <w:t xml:space="preserve"> (RTI)</w:t>
      </w:r>
      <w:r w:rsidRPr="13F9497A" w:rsidR="00996A12">
        <w:rPr>
          <w:rFonts w:ascii="Times New Roman" w:eastAsia="Times New Roman" w:hAnsi="Times New Roman"/>
          <w:sz w:val="24"/>
          <w:szCs w:val="24"/>
        </w:rPr>
        <w:t>.</w:t>
      </w:r>
    </w:p>
    <w:p w:rsidR="003C182D" w:rsidP="00447CB7" w14:paraId="3AC6D1CD" w14:textId="77777777">
      <w:pPr>
        <w:spacing w:after="0" w:line="240" w:lineRule="auto"/>
        <w:ind w:left="720"/>
        <w:rPr>
          <w:rFonts w:ascii="Times New Roman" w:eastAsia="Times New Roman" w:hAnsi="Times New Roman"/>
          <w:sz w:val="24"/>
          <w:szCs w:val="24"/>
        </w:rPr>
      </w:pPr>
    </w:p>
    <w:p w:rsidR="008A1193" w:rsidP="008A1193" w14:paraId="77773EC4" w14:textId="2E1D7434">
      <w:pPr>
        <w:spacing w:after="0" w:line="240" w:lineRule="auto"/>
        <w:ind w:left="720"/>
        <w:rPr>
          <w:rFonts w:ascii="Times New Roman" w:eastAsia="Times New Roman" w:hAnsi="Times New Roman"/>
          <w:sz w:val="24"/>
          <w:szCs w:val="24"/>
        </w:rPr>
      </w:pPr>
      <w:r w:rsidRPr="6EC21591">
        <w:rPr>
          <w:rFonts w:ascii="Times New Roman" w:eastAsia="Times New Roman" w:hAnsi="Times New Roman"/>
          <w:sz w:val="24"/>
          <w:szCs w:val="24"/>
        </w:rPr>
        <w:t xml:space="preserve">The main </w:t>
      </w:r>
      <w:r w:rsidRPr="6EC21591" w:rsidR="00EE2A0C">
        <w:rPr>
          <w:rFonts w:ascii="Times New Roman" w:eastAsia="Times New Roman" w:hAnsi="Times New Roman"/>
          <w:sz w:val="24"/>
          <w:szCs w:val="24"/>
        </w:rPr>
        <w:t xml:space="preserve">data collection of the Outcomes Study will </w:t>
      </w:r>
      <w:r w:rsidR="004016F5">
        <w:rPr>
          <w:rFonts w:ascii="Times New Roman" w:eastAsia="Times New Roman" w:hAnsi="Times New Roman"/>
          <w:sz w:val="24"/>
          <w:szCs w:val="24"/>
        </w:rPr>
        <w:t>survey</w:t>
      </w:r>
      <w:r w:rsidRPr="6EC21591" w:rsidR="00EE2A0C">
        <w:rPr>
          <w:rFonts w:ascii="Times New Roman" w:eastAsia="Times New Roman" w:hAnsi="Times New Roman"/>
          <w:sz w:val="24"/>
          <w:szCs w:val="24"/>
        </w:rPr>
        <w:t xml:space="preserve"> </w:t>
      </w:r>
      <w:r w:rsidRPr="6EC21591" w:rsidR="000A2378">
        <w:rPr>
          <w:rFonts w:ascii="Times New Roman" w:eastAsia="Times New Roman" w:hAnsi="Times New Roman"/>
          <w:sz w:val="24"/>
          <w:szCs w:val="24"/>
        </w:rPr>
        <w:t xml:space="preserve">approximately </w:t>
      </w:r>
      <w:r w:rsidRPr="6EC21591" w:rsidR="00EE2A0C">
        <w:rPr>
          <w:rFonts w:ascii="Times New Roman" w:eastAsia="Times New Roman" w:hAnsi="Times New Roman"/>
          <w:sz w:val="24"/>
          <w:szCs w:val="24"/>
        </w:rPr>
        <w:t>6,000</w:t>
      </w:r>
      <w:r w:rsidRPr="6EC21591" w:rsidR="001B7010">
        <w:rPr>
          <w:rFonts w:ascii="Times New Roman" w:eastAsia="Times New Roman" w:hAnsi="Times New Roman"/>
          <w:sz w:val="24"/>
          <w:szCs w:val="24"/>
        </w:rPr>
        <w:t xml:space="preserve"> youth </w:t>
      </w:r>
      <w:r w:rsidRPr="6EC21591" w:rsidR="00F34C89">
        <w:rPr>
          <w:rFonts w:ascii="Times New Roman" w:eastAsia="Times New Roman" w:hAnsi="Times New Roman"/>
          <w:sz w:val="24"/>
          <w:szCs w:val="24"/>
        </w:rPr>
        <w:t>ages 11-17 at baseline. We will recruit a replenishment sample</w:t>
      </w:r>
      <w:r w:rsidRPr="6EC21591" w:rsidR="000A2378">
        <w:rPr>
          <w:rFonts w:ascii="Times New Roman" w:eastAsia="Times New Roman" w:hAnsi="Times New Roman"/>
          <w:sz w:val="24"/>
          <w:szCs w:val="24"/>
        </w:rPr>
        <w:t xml:space="preserve"> of approximately </w:t>
      </w:r>
      <w:r w:rsidRPr="6EC21591" w:rsidR="0078532D">
        <w:rPr>
          <w:rFonts w:ascii="Times New Roman" w:eastAsia="Times New Roman" w:hAnsi="Times New Roman"/>
          <w:sz w:val="24"/>
          <w:szCs w:val="24"/>
        </w:rPr>
        <w:t>2,160</w:t>
      </w:r>
      <w:r w:rsidRPr="6EC21591" w:rsidR="00A30FE4">
        <w:rPr>
          <w:rFonts w:ascii="Times New Roman" w:eastAsia="Times New Roman" w:hAnsi="Times New Roman"/>
          <w:sz w:val="24"/>
          <w:szCs w:val="24"/>
        </w:rPr>
        <w:t xml:space="preserve"> youth ages 11-17 at follow-up 2</w:t>
      </w:r>
      <w:r w:rsidRPr="6EC21591" w:rsidR="007A192F">
        <w:rPr>
          <w:rFonts w:ascii="Times New Roman" w:eastAsia="Times New Roman" w:hAnsi="Times New Roman"/>
          <w:sz w:val="24"/>
          <w:szCs w:val="24"/>
        </w:rPr>
        <w:t xml:space="preserve"> resulting in a total of 6,000 completed surveys</w:t>
      </w:r>
      <w:r w:rsidRPr="6EC21591" w:rsidR="000A2378">
        <w:rPr>
          <w:rFonts w:ascii="Times New Roman" w:eastAsia="Times New Roman" w:hAnsi="Times New Roman"/>
          <w:sz w:val="24"/>
          <w:szCs w:val="24"/>
        </w:rPr>
        <w:t xml:space="preserve"> </w:t>
      </w:r>
      <w:r w:rsidRPr="6EC21591" w:rsidR="007A192F">
        <w:rPr>
          <w:rFonts w:ascii="Times New Roman" w:eastAsia="Times New Roman" w:hAnsi="Times New Roman"/>
          <w:sz w:val="24"/>
          <w:szCs w:val="24"/>
        </w:rPr>
        <w:t>at follow-up 2</w:t>
      </w:r>
      <w:r w:rsidRPr="6EC21591" w:rsidR="00542E66">
        <w:rPr>
          <w:rFonts w:ascii="Times New Roman" w:eastAsia="Times New Roman" w:hAnsi="Times New Roman"/>
          <w:sz w:val="24"/>
          <w:szCs w:val="24"/>
        </w:rPr>
        <w:t xml:space="preserve"> (main data collection + replenishment sample)</w:t>
      </w:r>
      <w:r w:rsidRPr="6EC21591" w:rsidR="007A192F">
        <w:rPr>
          <w:rFonts w:ascii="Times New Roman" w:eastAsia="Times New Roman" w:hAnsi="Times New Roman"/>
          <w:sz w:val="24"/>
          <w:szCs w:val="24"/>
        </w:rPr>
        <w:t>.</w:t>
      </w:r>
      <w:r w:rsidRPr="6EC21591" w:rsidR="00E7718D">
        <w:rPr>
          <w:rFonts w:ascii="Times New Roman" w:eastAsia="Times New Roman" w:hAnsi="Times New Roman"/>
          <w:sz w:val="24"/>
          <w:szCs w:val="24"/>
        </w:rPr>
        <w:t xml:space="preserve"> Additionally, at baseline, we will recruit</w:t>
      </w:r>
      <w:r w:rsidRPr="6EC21591" w:rsidR="00AD659D">
        <w:rPr>
          <w:rFonts w:ascii="Times New Roman" w:eastAsia="Times New Roman" w:hAnsi="Times New Roman"/>
          <w:sz w:val="24"/>
          <w:szCs w:val="24"/>
        </w:rPr>
        <w:t xml:space="preserve"> a supplemental sample of approximately 1,500 youth</w:t>
      </w:r>
      <w:r w:rsidRPr="6EC21591" w:rsidR="000F0959">
        <w:rPr>
          <w:rFonts w:ascii="Times New Roman" w:eastAsia="Times New Roman" w:hAnsi="Times New Roman"/>
          <w:sz w:val="24"/>
          <w:szCs w:val="24"/>
        </w:rPr>
        <w:t xml:space="preserve"> ages 14</w:t>
      </w:r>
      <w:r w:rsidRPr="6EC21591" w:rsidR="00D3509D">
        <w:rPr>
          <w:rFonts w:ascii="Times New Roman" w:eastAsia="Times New Roman" w:hAnsi="Times New Roman"/>
          <w:sz w:val="24"/>
          <w:szCs w:val="24"/>
        </w:rPr>
        <w:t xml:space="preserve">-20 who identify as LGBTQ+ or have a mental health disorder. </w:t>
      </w:r>
      <w:r w:rsidRPr="6EC21591" w:rsidR="00AD659D">
        <w:rPr>
          <w:rFonts w:ascii="Times New Roman" w:eastAsia="Times New Roman" w:hAnsi="Times New Roman"/>
          <w:sz w:val="24"/>
          <w:szCs w:val="24"/>
        </w:rPr>
        <w:t xml:space="preserve"> </w:t>
      </w:r>
    </w:p>
    <w:p w:rsidR="002E6D56" w:rsidP="14EAC06E" w14:paraId="6066EA0E" w14:textId="5EC928E7">
      <w:pPr>
        <w:spacing w:beforeAutospacing="1" w:afterAutospacing="1" w:line="240" w:lineRule="auto"/>
        <w:ind w:left="720"/>
        <w:rPr>
          <w:rFonts w:ascii="Times New Roman" w:eastAsia="Times New Roman" w:hAnsi="Times New Roman"/>
          <w:sz w:val="24"/>
          <w:szCs w:val="24"/>
        </w:rPr>
      </w:pPr>
      <w:r w:rsidRPr="14EAC06E">
        <w:rPr>
          <w:rFonts w:ascii="Times New Roman" w:eastAsia="Times New Roman" w:hAnsi="Times New Roman"/>
          <w:sz w:val="24"/>
          <w:szCs w:val="24"/>
        </w:rPr>
        <w:t xml:space="preserve">The </w:t>
      </w:r>
      <w:r w:rsidR="00344EB4">
        <w:rPr>
          <w:rFonts w:ascii="Times New Roman" w:eastAsia="Times New Roman" w:hAnsi="Times New Roman"/>
          <w:sz w:val="24"/>
          <w:szCs w:val="24"/>
        </w:rPr>
        <w:t xml:space="preserve">main data collection and </w:t>
      </w:r>
      <w:r w:rsidR="00FE45C2">
        <w:rPr>
          <w:rFonts w:ascii="Times New Roman" w:eastAsia="Times New Roman" w:hAnsi="Times New Roman"/>
          <w:sz w:val="24"/>
          <w:szCs w:val="24"/>
        </w:rPr>
        <w:t>replenishment</w:t>
      </w:r>
      <w:r w:rsidR="00344EB4">
        <w:rPr>
          <w:rFonts w:ascii="Times New Roman" w:eastAsia="Times New Roman" w:hAnsi="Times New Roman"/>
          <w:sz w:val="24"/>
          <w:szCs w:val="24"/>
        </w:rPr>
        <w:t xml:space="preserve"> </w:t>
      </w:r>
      <w:r>
        <w:rPr>
          <w:rFonts w:ascii="Times New Roman" w:eastAsia="Times New Roman" w:hAnsi="Times New Roman"/>
          <w:sz w:val="24"/>
          <w:szCs w:val="24"/>
        </w:rPr>
        <w:t xml:space="preserve">sample of the </w:t>
      </w:r>
      <w:r w:rsidRPr="14EAC06E">
        <w:rPr>
          <w:rFonts w:ascii="Times New Roman" w:eastAsia="Times New Roman" w:hAnsi="Times New Roman"/>
          <w:sz w:val="24"/>
          <w:szCs w:val="24"/>
        </w:rPr>
        <w:t xml:space="preserve">Outcomes Study </w:t>
      </w:r>
      <w:r w:rsidRPr="6321CEC2">
        <w:rPr>
          <w:rFonts w:ascii="Times New Roman" w:eastAsia="Times New Roman" w:hAnsi="Times New Roman"/>
          <w:sz w:val="24"/>
          <w:szCs w:val="24"/>
        </w:rPr>
        <w:t>will be</w:t>
      </w:r>
      <w:r w:rsidR="0080207B">
        <w:rPr>
          <w:rFonts w:ascii="Times New Roman" w:eastAsia="Times New Roman" w:hAnsi="Times New Roman"/>
          <w:sz w:val="24"/>
          <w:szCs w:val="24"/>
        </w:rPr>
        <w:t xml:space="preserve"> </w:t>
      </w:r>
      <w:r>
        <w:rPr>
          <w:rFonts w:ascii="Times New Roman" w:eastAsia="Times New Roman" w:hAnsi="Times New Roman"/>
          <w:sz w:val="24"/>
          <w:szCs w:val="24"/>
        </w:rPr>
        <w:t xml:space="preserve">recruited from </w:t>
      </w:r>
      <w:r w:rsidRPr="14EAC06E">
        <w:rPr>
          <w:rFonts w:ascii="Times New Roman" w:eastAsia="Times New Roman" w:hAnsi="Times New Roman"/>
          <w:sz w:val="24"/>
          <w:szCs w:val="24"/>
        </w:rPr>
        <w:t>a stratified random sample of addresses selected from RTI’s national Address-Based sampling (ABS) frame. Our ABS frame is maintained in-house and based on the U.S. Postal Service’s Computerized Delivery Sequence (CDS) file, of which we receive monthly updates, so it is as up to date as possible. Prior to selecting the address sample, the national frame will be stratified by both an address’ predicted probability of having youth ages 11-17 and an address’ probability of response. Sample will be allocated to these strata to balance data collection costs and statistical precision.</w:t>
      </w:r>
    </w:p>
    <w:p w:rsidR="006B565A" w:rsidP="008A1193" w14:paraId="4C7E70DD" w14:textId="3AFFA836">
      <w:pPr>
        <w:spacing w:beforeAutospacing="1" w:afterAutospacing="1"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The </w:t>
      </w:r>
      <w:r w:rsidR="00220194">
        <w:rPr>
          <w:rFonts w:ascii="Times New Roman" w:eastAsia="Times New Roman" w:hAnsi="Times New Roman"/>
          <w:sz w:val="24"/>
          <w:szCs w:val="24"/>
        </w:rPr>
        <w:t>supp</w:t>
      </w:r>
      <w:r w:rsidR="00FE45C2">
        <w:rPr>
          <w:rFonts w:ascii="Times New Roman" w:eastAsia="Times New Roman" w:hAnsi="Times New Roman"/>
          <w:sz w:val="24"/>
          <w:szCs w:val="24"/>
        </w:rPr>
        <w:t>lemental sa</w:t>
      </w:r>
      <w:r w:rsidR="00446AC2">
        <w:rPr>
          <w:rFonts w:ascii="Times New Roman" w:eastAsia="Times New Roman" w:hAnsi="Times New Roman"/>
          <w:sz w:val="24"/>
          <w:szCs w:val="24"/>
        </w:rPr>
        <w:t>mple</w:t>
      </w:r>
      <w:r w:rsidR="005E2EB5">
        <w:rPr>
          <w:rFonts w:ascii="Times New Roman" w:eastAsia="Times New Roman" w:hAnsi="Times New Roman"/>
          <w:sz w:val="24"/>
          <w:szCs w:val="24"/>
        </w:rPr>
        <w:t xml:space="preserve"> will be </w:t>
      </w:r>
      <w:r w:rsidR="00B20EBE">
        <w:rPr>
          <w:rFonts w:ascii="Times New Roman" w:eastAsia="Times New Roman" w:hAnsi="Times New Roman"/>
          <w:sz w:val="24"/>
          <w:szCs w:val="24"/>
        </w:rPr>
        <w:t xml:space="preserve">a convenience sample </w:t>
      </w:r>
      <w:r w:rsidR="005E2EB5">
        <w:rPr>
          <w:rFonts w:ascii="Times New Roman" w:eastAsia="Times New Roman" w:hAnsi="Times New Roman"/>
          <w:sz w:val="24"/>
          <w:szCs w:val="24"/>
        </w:rPr>
        <w:t xml:space="preserve">recruited online </w:t>
      </w:r>
      <w:r w:rsidR="00B0131B">
        <w:rPr>
          <w:rFonts w:ascii="Times New Roman" w:eastAsia="Times New Roman" w:hAnsi="Times New Roman"/>
          <w:sz w:val="24"/>
          <w:szCs w:val="24"/>
        </w:rPr>
        <w:t>through social media</w:t>
      </w:r>
      <w:r w:rsidR="00B20EBE">
        <w:rPr>
          <w:rFonts w:ascii="Times New Roman" w:eastAsia="Times New Roman" w:hAnsi="Times New Roman"/>
          <w:sz w:val="24"/>
          <w:szCs w:val="24"/>
        </w:rPr>
        <w:t>.</w:t>
      </w:r>
      <w:r w:rsidR="00854FB7">
        <w:rPr>
          <w:rFonts w:ascii="Times New Roman" w:eastAsia="Times New Roman" w:hAnsi="Times New Roman"/>
          <w:sz w:val="24"/>
          <w:szCs w:val="24"/>
        </w:rPr>
        <w:t xml:space="preserve"> </w:t>
      </w:r>
      <w:r w:rsidR="007108C6">
        <w:rPr>
          <w:rFonts w:ascii="Times New Roman" w:eastAsia="Times New Roman" w:hAnsi="Times New Roman"/>
          <w:sz w:val="24"/>
          <w:szCs w:val="24"/>
        </w:rPr>
        <w:t xml:space="preserve">We </w:t>
      </w:r>
      <w:r w:rsidR="004016F5">
        <w:rPr>
          <w:rFonts w:ascii="Times New Roman" w:eastAsia="Times New Roman" w:hAnsi="Times New Roman"/>
          <w:sz w:val="24"/>
          <w:szCs w:val="24"/>
        </w:rPr>
        <w:t xml:space="preserve">will </w:t>
      </w:r>
      <w:r w:rsidR="007108C6">
        <w:rPr>
          <w:rFonts w:ascii="Times New Roman" w:eastAsia="Times New Roman" w:hAnsi="Times New Roman"/>
          <w:sz w:val="24"/>
          <w:szCs w:val="24"/>
        </w:rPr>
        <w:t>place advertisements on social media website</w:t>
      </w:r>
      <w:r w:rsidR="00082BC3">
        <w:rPr>
          <w:rFonts w:ascii="Times New Roman" w:eastAsia="Times New Roman" w:hAnsi="Times New Roman"/>
          <w:sz w:val="24"/>
          <w:szCs w:val="24"/>
        </w:rPr>
        <w:t xml:space="preserve">s. Respondents </w:t>
      </w:r>
      <w:r w:rsidR="007E34A4">
        <w:rPr>
          <w:rFonts w:ascii="Times New Roman" w:eastAsia="Times New Roman" w:hAnsi="Times New Roman"/>
          <w:sz w:val="24"/>
          <w:szCs w:val="24"/>
        </w:rPr>
        <w:t xml:space="preserve">who click on the ads will be directed to the screening instrument and then </w:t>
      </w:r>
      <w:r w:rsidR="008C115B">
        <w:rPr>
          <w:rFonts w:ascii="Times New Roman" w:eastAsia="Times New Roman" w:hAnsi="Times New Roman"/>
          <w:sz w:val="24"/>
          <w:szCs w:val="24"/>
        </w:rPr>
        <w:t xml:space="preserve">to the main assent or consent </w:t>
      </w:r>
      <w:r w:rsidR="008C115B">
        <w:rPr>
          <w:rFonts w:ascii="Times New Roman" w:eastAsia="Times New Roman" w:hAnsi="Times New Roman"/>
          <w:sz w:val="24"/>
          <w:szCs w:val="24"/>
        </w:rPr>
        <w:t xml:space="preserve">form if they qualify for the study. </w:t>
      </w:r>
      <w:r w:rsidR="007C5533">
        <w:rPr>
          <w:rFonts w:ascii="Times New Roman" w:eastAsia="Times New Roman" w:hAnsi="Times New Roman"/>
          <w:sz w:val="24"/>
          <w:szCs w:val="24"/>
        </w:rPr>
        <w:t xml:space="preserve">Eligible youth </w:t>
      </w:r>
      <w:r w:rsidR="004016F5">
        <w:rPr>
          <w:rFonts w:ascii="Times New Roman" w:eastAsia="Times New Roman" w:hAnsi="Times New Roman"/>
          <w:sz w:val="24"/>
          <w:szCs w:val="24"/>
        </w:rPr>
        <w:t>will be</w:t>
      </w:r>
      <w:r w:rsidR="007C5533">
        <w:rPr>
          <w:rFonts w:ascii="Times New Roman" w:eastAsia="Times New Roman" w:hAnsi="Times New Roman"/>
          <w:sz w:val="24"/>
          <w:szCs w:val="24"/>
        </w:rPr>
        <w:t xml:space="preserve"> aged 14 to 20</w:t>
      </w:r>
      <w:r w:rsidR="00C975D6">
        <w:rPr>
          <w:rFonts w:ascii="Times New Roman" w:eastAsia="Times New Roman" w:hAnsi="Times New Roman"/>
          <w:sz w:val="24"/>
          <w:szCs w:val="24"/>
        </w:rPr>
        <w:t xml:space="preserve"> and identify </w:t>
      </w:r>
      <w:r w:rsidR="00841736">
        <w:rPr>
          <w:rFonts w:ascii="Times New Roman" w:eastAsia="Times New Roman" w:hAnsi="Times New Roman"/>
          <w:sz w:val="24"/>
          <w:szCs w:val="24"/>
        </w:rPr>
        <w:t xml:space="preserve">as </w:t>
      </w:r>
      <w:r w:rsidR="004016F5">
        <w:rPr>
          <w:rFonts w:ascii="Times New Roman" w:eastAsia="Times New Roman" w:hAnsi="Times New Roman"/>
          <w:sz w:val="24"/>
          <w:szCs w:val="24"/>
        </w:rPr>
        <w:t>L</w:t>
      </w:r>
      <w:r w:rsidR="00841736">
        <w:rPr>
          <w:rFonts w:ascii="Times New Roman" w:eastAsia="Times New Roman" w:hAnsi="Times New Roman"/>
          <w:sz w:val="24"/>
          <w:szCs w:val="24"/>
        </w:rPr>
        <w:t xml:space="preserve">GBTQ+ </w:t>
      </w:r>
      <w:r w:rsidR="004016F5">
        <w:rPr>
          <w:rFonts w:ascii="Times New Roman" w:eastAsia="Times New Roman" w:hAnsi="Times New Roman"/>
          <w:sz w:val="24"/>
          <w:szCs w:val="24"/>
        </w:rPr>
        <w:t>and/</w:t>
      </w:r>
      <w:r w:rsidR="00841736">
        <w:rPr>
          <w:rFonts w:ascii="Times New Roman" w:eastAsia="Times New Roman" w:hAnsi="Times New Roman"/>
          <w:sz w:val="24"/>
          <w:szCs w:val="24"/>
        </w:rPr>
        <w:t>or</w:t>
      </w:r>
      <w:r w:rsidR="004016F5">
        <w:rPr>
          <w:rFonts w:ascii="Times New Roman" w:eastAsia="Times New Roman" w:hAnsi="Times New Roman"/>
          <w:sz w:val="24"/>
          <w:szCs w:val="24"/>
        </w:rPr>
        <w:t xml:space="preserve"> have a mental he</w:t>
      </w:r>
      <w:r w:rsidR="00841736">
        <w:rPr>
          <w:rFonts w:ascii="Times New Roman" w:eastAsia="Times New Roman" w:hAnsi="Times New Roman"/>
          <w:sz w:val="24"/>
          <w:szCs w:val="24"/>
        </w:rPr>
        <w:t xml:space="preserve">alth disorder. </w:t>
      </w:r>
      <w:r w:rsidR="00B20EBE">
        <w:rPr>
          <w:rFonts w:ascii="Times New Roman" w:eastAsia="Times New Roman" w:hAnsi="Times New Roman"/>
          <w:sz w:val="24"/>
          <w:szCs w:val="24"/>
        </w:rPr>
        <w:t xml:space="preserve"> </w:t>
      </w:r>
      <w:r w:rsidR="00446AC2">
        <w:rPr>
          <w:rFonts w:ascii="Times New Roman" w:eastAsia="Times New Roman" w:hAnsi="Times New Roman"/>
          <w:sz w:val="24"/>
          <w:szCs w:val="24"/>
        </w:rPr>
        <w:t xml:space="preserve"> </w:t>
      </w:r>
      <w:r w:rsidRPr="14EAC06E" w:rsidR="14EAC06E">
        <w:rPr>
          <w:rFonts w:ascii="Times New Roman" w:eastAsia="Times New Roman" w:hAnsi="Times New Roman"/>
          <w:sz w:val="24"/>
          <w:szCs w:val="24"/>
        </w:rPr>
        <w:t xml:space="preserve">  </w:t>
      </w:r>
    </w:p>
    <w:p w:rsidR="00447CB7" w:rsidRPr="00447CB7" w:rsidP="000E0429" w14:paraId="33B0D841" w14:textId="1CB62BC4">
      <w:pPr>
        <w:spacing w:beforeAutospacing="1" w:afterAutospacing="1" w:line="240" w:lineRule="auto"/>
        <w:ind w:left="720"/>
        <w:rPr>
          <w:rFonts w:ascii="Times New Roman" w:eastAsia="Times New Roman" w:hAnsi="Times New Roman"/>
          <w:b/>
          <w:sz w:val="24"/>
          <w:szCs w:val="20"/>
        </w:rPr>
      </w:pPr>
      <w:bookmarkStart w:id="0" w:name="_Toc361824173"/>
      <w:r w:rsidRPr="00447CB7">
        <w:rPr>
          <w:rFonts w:ascii="Times New Roman" w:eastAsia="Times New Roman" w:hAnsi="Times New Roman"/>
          <w:b/>
          <w:sz w:val="24"/>
          <w:szCs w:val="20"/>
        </w:rPr>
        <w:t>Exhibit </w:t>
      </w:r>
      <w:r w:rsidR="0062235F">
        <w:rPr>
          <w:rFonts w:ascii="Times New Roman" w:eastAsia="Times New Roman" w:hAnsi="Times New Roman"/>
          <w:b/>
          <w:sz w:val="24"/>
          <w:szCs w:val="20"/>
        </w:rPr>
        <w:t>1</w:t>
      </w:r>
      <w:r w:rsidRPr="00447CB7">
        <w:rPr>
          <w:rFonts w:ascii="Times New Roman" w:eastAsia="Times New Roman" w:hAnsi="Times New Roman"/>
          <w:b/>
          <w:sz w:val="24"/>
          <w:szCs w:val="20"/>
        </w:rPr>
        <w:t xml:space="preserve">. </w:t>
      </w:r>
      <w:r w:rsidR="009A7D82">
        <w:rPr>
          <w:rFonts w:ascii="Times New Roman" w:eastAsia="Times New Roman" w:hAnsi="Times New Roman"/>
          <w:b/>
          <w:sz w:val="24"/>
          <w:szCs w:val="20"/>
        </w:rPr>
        <w:tab/>
      </w:r>
      <w:r w:rsidRPr="009A7D82">
        <w:rPr>
          <w:rFonts w:ascii="Times New Roman" w:eastAsia="Times New Roman" w:hAnsi="Times New Roman"/>
          <w:bCs/>
          <w:sz w:val="24"/>
          <w:szCs w:val="20"/>
        </w:rPr>
        <w:t>Addresses and the Associated Assumptions to Yield the Needed Number of Completes</w:t>
      </w:r>
      <w:bookmarkEnd w:id="0"/>
    </w:p>
    <w:tbl>
      <w:tblPr>
        <w:tblW w:w="9090" w:type="dxa"/>
        <w:tblInd w:w="720" w:type="dxa"/>
        <w:tblBorders>
          <w:top w:val="single" w:sz="12" w:space="0" w:color="auto"/>
          <w:bottom w:val="single" w:sz="12" w:space="0" w:color="auto"/>
        </w:tblBorders>
        <w:tblLayout w:type="fixed"/>
        <w:tblCellMar>
          <w:left w:w="115" w:type="dxa"/>
          <w:right w:w="115" w:type="dxa"/>
        </w:tblCellMar>
        <w:tblLook w:val="04A0"/>
      </w:tblPr>
      <w:tblGrid>
        <w:gridCol w:w="5670"/>
        <w:gridCol w:w="3420"/>
      </w:tblGrid>
      <w:tr w14:paraId="1C2E113F" w14:textId="206FF4B8" w:rsidTr="6905ABD3">
        <w:tblPrEx>
          <w:tblW w:w="9090" w:type="dxa"/>
          <w:tblInd w:w="720" w:type="dxa"/>
          <w:tblBorders>
            <w:top w:val="single" w:sz="12" w:space="0" w:color="auto"/>
            <w:bottom w:val="single" w:sz="12" w:space="0" w:color="auto"/>
          </w:tblBorders>
          <w:tblLayout w:type="fixed"/>
          <w:tblCellMar>
            <w:left w:w="115" w:type="dxa"/>
            <w:right w:w="115" w:type="dxa"/>
          </w:tblCellMar>
          <w:tblLook w:val="04A0"/>
        </w:tblPrEx>
        <w:trPr>
          <w:cantSplit/>
          <w:trHeight w:val="858"/>
        </w:trPr>
        <w:tc>
          <w:tcPr>
            <w:tcW w:w="5670" w:type="dxa"/>
            <w:shd w:val="clear" w:color="auto" w:fill="auto"/>
            <w:noWrap/>
            <w:vAlign w:val="bottom"/>
            <w:hideMark/>
          </w:tcPr>
          <w:p w:rsidR="00526AD0" w:rsidRPr="00447CB7" w:rsidP="00FF2717" w14:paraId="069005AF" w14:textId="77777777">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3420" w:type="dxa"/>
            <w:vAlign w:val="bottom"/>
          </w:tcPr>
          <w:p w:rsidR="00526AD0" w:rsidRPr="00684361" w:rsidP="00FF2717" w14:paraId="37D6EA6E" w14:textId="31F9CAB5">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p>
          <w:p w:rsidR="00526AD0" w:rsidP="00FF2717" w14:paraId="37BFC045" w14:textId="4AEC4119">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14:paraId="001F0F82" w14:textId="20C11F97" w:rsidTr="6905ABD3">
        <w:tblPrEx>
          <w:tblW w:w="9090" w:type="dxa"/>
          <w:tblInd w:w="720" w:type="dxa"/>
          <w:tblLayout w:type="fixed"/>
          <w:tblCellMar>
            <w:left w:w="115" w:type="dxa"/>
            <w:right w:w="115" w:type="dxa"/>
          </w:tblCellMar>
          <w:tblLook w:val="04A0"/>
        </w:tblPrEx>
        <w:trPr>
          <w:cantSplit/>
        </w:trPr>
        <w:tc>
          <w:tcPr>
            <w:tcW w:w="5670" w:type="dxa"/>
            <w:tcBorders>
              <w:top w:val="single" w:sz="6" w:space="0" w:color="auto"/>
            </w:tcBorders>
            <w:shd w:val="clear" w:color="auto" w:fill="auto"/>
            <w:noWrap/>
            <w:hideMark/>
          </w:tcPr>
          <w:p w:rsidR="00526AD0" w:rsidRPr="00447CB7" w:rsidP="00FF2717" w14:paraId="2E585928"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3420" w:type="dxa"/>
            <w:tcBorders>
              <w:top w:val="single" w:sz="6" w:space="0" w:color="auto"/>
            </w:tcBorders>
            <w:vAlign w:val="center"/>
          </w:tcPr>
          <w:p w:rsidR="00526AD0" w:rsidP="0012382B" w14:paraId="79D60847" w14:textId="376DFEF3">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4</w:t>
            </w:r>
            <w:r w:rsidR="00DD6485">
              <w:rPr>
                <w:rFonts w:ascii="Times New Roman" w:eastAsia="Times New Roman" w:hAnsi="Times New Roman"/>
                <w:szCs w:val="24"/>
              </w:rPr>
              <w:t>00,000</w:t>
            </w:r>
          </w:p>
        </w:tc>
      </w:tr>
      <w:tr w14:paraId="7C50B447" w14:textId="22EB550C"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42A2A500" w14:textId="64B2D80C">
            <w:pPr>
              <w:spacing w:before="40" w:after="40" w:line="240" w:lineRule="auto"/>
              <w:rPr>
                <w:rFonts w:ascii="Times New Roman" w:eastAsia="Times New Roman" w:hAnsi="Times New Roman"/>
              </w:rPr>
            </w:pPr>
            <w:r w:rsidRPr="14EAC06E">
              <w:rPr>
                <w:rFonts w:ascii="Times New Roman" w:eastAsia="Times New Roman" w:hAnsi="Times New Roman"/>
              </w:rPr>
              <w:t xml:space="preserve">Occupied </w:t>
            </w:r>
            <w:r w:rsidRPr="14EAC06E">
              <w:rPr>
                <w:rFonts w:ascii="Times New Roman" w:eastAsia="Times New Roman" w:hAnsi="Times New Roman"/>
              </w:rPr>
              <w:t>housing units</w:t>
            </w:r>
          </w:p>
        </w:tc>
        <w:tc>
          <w:tcPr>
            <w:tcW w:w="3420" w:type="dxa"/>
            <w:vAlign w:val="center"/>
          </w:tcPr>
          <w:p w:rsidR="00526AD0" w:rsidP="0012382B" w14:paraId="197C8C8F" w14:textId="31A016F6">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384,000 (96%)</w:t>
            </w:r>
          </w:p>
        </w:tc>
      </w:tr>
      <w:tr w14:paraId="23548968" w14:textId="2B4103A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5A44364B"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3420" w:type="dxa"/>
            <w:vAlign w:val="center"/>
          </w:tcPr>
          <w:p w:rsidR="00526AD0" w:rsidRPr="00447CB7" w:rsidP="7263E2D9" w14:paraId="300D3731" w14:textId="49E93D4F">
            <w:pPr>
              <w:spacing w:before="40" w:after="40" w:line="240" w:lineRule="auto"/>
              <w:jc w:val="center"/>
              <w:rPr>
                <w:rFonts w:ascii="Times New Roman" w:eastAsia="Times New Roman" w:hAnsi="Times New Roman"/>
              </w:rPr>
            </w:pPr>
            <w:r w:rsidRPr="6905ABD3">
              <w:rPr>
                <w:rFonts w:ascii="Times New Roman" w:eastAsia="Times New Roman" w:hAnsi="Times New Roman"/>
              </w:rPr>
              <w:t>80,000 (</w:t>
            </w:r>
            <w:r w:rsidRPr="6905ABD3" w:rsidR="5A191745">
              <w:rPr>
                <w:rFonts w:ascii="Times New Roman" w:eastAsia="Times New Roman" w:hAnsi="Times New Roman"/>
              </w:rPr>
              <w:t>20%</w:t>
            </w:r>
            <w:r w:rsidRPr="6905ABD3" w:rsidR="00635C63">
              <w:rPr>
                <w:rFonts w:ascii="Times New Roman" w:eastAsia="Times New Roman" w:hAnsi="Times New Roman"/>
              </w:rPr>
              <w:t xml:space="preserve"> of selected addresses</w:t>
            </w:r>
            <w:r w:rsidRPr="6905ABD3" w:rsidR="5A191745">
              <w:rPr>
                <w:rFonts w:ascii="Times New Roman" w:eastAsia="Times New Roman" w:hAnsi="Times New Roman"/>
              </w:rPr>
              <w:t>)</w:t>
            </w:r>
          </w:p>
        </w:tc>
      </w:tr>
      <w:tr w14:paraId="1A4E8D82" w14:textId="474E5FF4"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7D28123A" w14:textId="58012C87">
            <w:pPr>
              <w:spacing w:before="40" w:after="40" w:line="240" w:lineRule="auto"/>
              <w:rPr>
                <w:rFonts w:ascii="Times New Roman" w:eastAsia="Times New Roman" w:hAnsi="Times New Roman"/>
                <w:szCs w:val="24"/>
              </w:rPr>
            </w:pPr>
            <w:r>
              <w:rPr>
                <w:rFonts w:ascii="Times New Roman" w:eastAsia="Times New Roman" w:hAnsi="Times New Roman"/>
                <w:szCs w:val="24"/>
              </w:rPr>
              <w:t>H</w:t>
            </w:r>
            <w:r w:rsidRPr="00447CB7">
              <w:rPr>
                <w:rFonts w:ascii="Times New Roman" w:eastAsia="Times New Roman" w:hAnsi="Times New Roman"/>
                <w:szCs w:val="24"/>
              </w:rPr>
              <w:t>ouseholds</w:t>
            </w:r>
            <w:r w:rsidR="009C5CEC">
              <w:rPr>
                <w:rFonts w:ascii="Times New Roman" w:eastAsia="Times New Roman" w:hAnsi="Times New Roman"/>
                <w:szCs w:val="24"/>
              </w:rPr>
              <w:t xml:space="preserve"> with eligible youth</w:t>
            </w:r>
          </w:p>
        </w:tc>
        <w:tc>
          <w:tcPr>
            <w:tcW w:w="3420" w:type="dxa"/>
            <w:vAlign w:val="center"/>
          </w:tcPr>
          <w:p w:rsidR="00526AD0" w:rsidRPr="00447CB7" w:rsidP="0012382B" w14:paraId="73F9158D" w14:textId="653F2EEC">
            <w:pPr>
              <w:spacing w:before="40" w:after="40" w:line="240" w:lineRule="auto"/>
              <w:jc w:val="center"/>
              <w:rPr>
                <w:rFonts w:ascii="Times New Roman" w:eastAsia="Times New Roman" w:hAnsi="Times New Roman"/>
              </w:rPr>
            </w:pPr>
            <w:r w:rsidRPr="14EAC06E">
              <w:rPr>
                <w:rFonts w:ascii="Times New Roman" w:eastAsia="Times New Roman" w:hAnsi="Times New Roman"/>
              </w:rPr>
              <w:t>20,000 (25%)</w:t>
            </w:r>
          </w:p>
        </w:tc>
      </w:tr>
      <w:tr w14:paraId="0044C6A8" w14:textId="0B4C5B6E"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52978107" w14:textId="06729968">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Eligible </w:t>
            </w:r>
            <w:r w:rsidR="00E412D8">
              <w:rPr>
                <w:rFonts w:ascii="Times New Roman" w:eastAsia="Times New Roman" w:hAnsi="Times New Roman"/>
                <w:szCs w:val="24"/>
              </w:rPr>
              <w:t>youth responses</w:t>
            </w:r>
            <w:r w:rsidR="00E42C6E">
              <w:rPr>
                <w:rFonts w:ascii="Times New Roman" w:eastAsia="Times New Roman" w:hAnsi="Times New Roman"/>
                <w:szCs w:val="24"/>
              </w:rPr>
              <w:t xml:space="preserve"> (Baseline completes)</w:t>
            </w:r>
          </w:p>
        </w:tc>
        <w:tc>
          <w:tcPr>
            <w:tcW w:w="3420" w:type="dxa"/>
            <w:vAlign w:val="center"/>
          </w:tcPr>
          <w:p w:rsidR="00526AD0" w:rsidRPr="00447CB7" w:rsidP="0012382B" w14:paraId="24A40AF9" w14:textId="2D7A7EDA">
            <w:pPr>
              <w:spacing w:before="40" w:after="40" w:line="240" w:lineRule="auto"/>
              <w:jc w:val="center"/>
              <w:rPr>
                <w:rFonts w:ascii="Times New Roman" w:eastAsia="Times New Roman" w:hAnsi="Times New Roman"/>
              </w:rPr>
            </w:pPr>
            <w:r w:rsidRPr="14EAC06E">
              <w:rPr>
                <w:rFonts w:ascii="Times New Roman" w:eastAsia="Times New Roman" w:hAnsi="Times New Roman"/>
              </w:rPr>
              <w:t>6</w:t>
            </w:r>
            <w:r w:rsidRPr="14EAC06E" w:rsidR="00E412D8">
              <w:rPr>
                <w:rFonts w:ascii="Times New Roman" w:eastAsia="Times New Roman" w:hAnsi="Times New Roman"/>
              </w:rPr>
              <w:t>,000 (</w:t>
            </w:r>
            <w:r w:rsidRPr="14EAC06E">
              <w:rPr>
                <w:rFonts w:ascii="Times New Roman" w:eastAsia="Times New Roman" w:hAnsi="Times New Roman"/>
              </w:rPr>
              <w:t>30</w:t>
            </w:r>
            <w:r w:rsidRPr="14EAC06E" w:rsidR="00665B2F">
              <w:rPr>
                <w:rFonts w:ascii="Times New Roman" w:eastAsia="Times New Roman" w:hAnsi="Times New Roman"/>
              </w:rPr>
              <w:t>%)</w:t>
            </w:r>
          </w:p>
        </w:tc>
      </w:tr>
      <w:tr w14:paraId="71F7F7A3" w14:textId="675AF572"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57CDAF4D" w14:textId="0263170E">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vAlign w:val="center"/>
          </w:tcPr>
          <w:p w:rsidR="00526AD0" w:rsidRPr="00447CB7" w:rsidP="0012382B" w14:paraId="590465EE" w14:textId="2939F9F2">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4,800</w:t>
            </w:r>
            <w:r>
              <w:rPr>
                <w:rFonts w:ascii="Times New Roman" w:eastAsia="Times New Roman" w:hAnsi="Times New Roman"/>
                <w:szCs w:val="24"/>
              </w:rPr>
              <w:t xml:space="preserve"> (80%)</w:t>
            </w:r>
          </w:p>
        </w:tc>
      </w:tr>
      <w:tr w14:paraId="2874FFB4" w14:textId="7777777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7B79F5" w:rsidRPr="00447CB7" w:rsidP="00FF2717" w14:paraId="7B2C1596" w14:textId="32D41AC8">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total </w:t>
            </w:r>
            <w:r w:rsidRPr="00447CB7">
              <w:rPr>
                <w:rFonts w:ascii="Times New Roman" w:eastAsia="Times New Roman" w:hAnsi="Times New Roman"/>
                <w:szCs w:val="24"/>
              </w:rPr>
              <w:t>completes</w:t>
            </w:r>
          </w:p>
        </w:tc>
        <w:tc>
          <w:tcPr>
            <w:tcW w:w="3420" w:type="dxa"/>
            <w:vAlign w:val="center"/>
          </w:tcPr>
          <w:p w:rsidR="007B79F5" w:rsidP="0012382B" w14:paraId="654523A3" w14:textId="4A5535F9">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6,000</w:t>
            </w:r>
            <w:r w:rsidR="00032E55">
              <w:rPr>
                <w:rFonts w:ascii="Times New Roman" w:eastAsia="Times New Roman" w:hAnsi="Times New Roman"/>
                <w:szCs w:val="24"/>
              </w:rPr>
              <w:t xml:space="preserve"> (3,840 + 2,160)</w:t>
            </w:r>
          </w:p>
        </w:tc>
      </w:tr>
      <w:tr w14:paraId="3FEC4D39" w14:textId="0217389F"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7B79F5" w14:paraId="50E41EAD" w14:textId="238FE6A3">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vAlign w:val="center"/>
          </w:tcPr>
          <w:p w:rsidR="00526AD0" w:rsidRPr="00447CB7" w:rsidP="0012382B" w14:paraId="30541A1E" w14:textId="1EA44B2A">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3,840</w:t>
            </w:r>
            <w:r>
              <w:rPr>
                <w:rFonts w:ascii="Times New Roman" w:eastAsia="Times New Roman" w:hAnsi="Times New Roman"/>
                <w:szCs w:val="24"/>
              </w:rPr>
              <w:t xml:space="preserve"> (80%</w:t>
            </w:r>
            <w:r w:rsidR="00704BD0">
              <w:rPr>
                <w:rFonts w:ascii="Times New Roman" w:eastAsia="Times New Roman" w:hAnsi="Times New Roman"/>
                <w:szCs w:val="24"/>
              </w:rPr>
              <w:t xml:space="preserve"> of W2</w:t>
            </w:r>
            <w:r>
              <w:rPr>
                <w:rFonts w:ascii="Times New Roman" w:eastAsia="Times New Roman" w:hAnsi="Times New Roman"/>
                <w:szCs w:val="24"/>
              </w:rPr>
              <w:t>)</w:t>
            </w:r>
          </w:p>
        </w:tc>
      </w:tr>
      <w:tr w14:paraId="3307A9FA" w14:textId="7777777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DE000E" w:rsidRPr="00447CB7" w:rsidP="00FF2717" w14:paraId="2A3DD011" w14:textId="6EE851BD">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Pr>
                <w:rFonts w:ascii="Times New Roman" w:eastAsia="Times New Roman" w:hAnsi="Times New Roman"/>
                <w:szCs w:val="24"/>
              </w:rPr>
              <w:t>Wave 3 (2</w:t>
            </w:r>
            <w:r w:rsidRPr="00DE000E">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0029611F">
              <w:rPr>
                <w:rFonts w:ascii="Times New Roman" w:eastAsia="Times New Roman" w:hAnsi="Times New Roman"/>
                <w:szCs w:val="24"/>
              </w:rPr>
              <w:t>replenishment addresses</w:t>
            </w:r>
          </w:p>
        </w:tc>
        <w:tc>
          <w:tcPr>
            <w:tcW w:w="3420" w:type="dxa"/>
            <w:vAlign w:val="center"/>
          </w:tcPr>
          <w:p w:rsidR="00DE000E" w:rsidP="0012382B" w14:paraId="2063E2FC" w14:textId="131530DB">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145,000</w:t>
            </w:r>
          </w:p>
        </w:tc>
      </w:tr>
      <w:tr w14:paraId="6EF6A767" w14:textId="7777777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DE000E" w:rsidRPr="00447CB7" w:rsidP="00FF2717" w14:paraId="58D6143D" w14:textId="798F1E61">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sidR="005A468F">
              <w:rPr>
                <w:rFonts w:ascii="Times New Roman" w:eastAsia="Times New Roman" w:hAnsi="Times New Roman"/>
                <w:szCs w:val="24"/>
              </w:rPr>
              <w:t>Wave 3 (2</w:t>
            </w:r>
            <w:r w:rsidRPr="005A468F" w:rsidR="005A468F">
              <w:rPr>
                <w:rFonts w:ascii="Times New Roman" w:eastAsia="Times New Roman" w:hAnsi="Times New Roman"/>
                <w:szCs w:val="24"/>
                <w:vertAlign w:val="superscript"/>
              </w:rPr>
              <w:t>nd</w:t>
            </w:r>
            <w:r w:rsidR="005A468F">
              <w:rPr>
                <w:rFonts w:ascii="Times New Roman" w:eastAsia="Times New Roman" w:hAnsi="Times New Roman"/>
                <w:szCs w:val="24"/>
              </w:rPr>
              <w:t xml:space="preserve"> follow-up) </w:t>
            </w:r>
            <w:r w:rsidR="00032E55">
              <w:rPr>
                <w:rFonts w:ascii="Times New Roman" w:eastAsia="Times New Roman" w:hAnsi="Times New Roman"/>
                <w:szCs w:val="24"/>
              </w:rPr>
              <w:t xml:space="preserve">replenishment </w:t>
            </w:r>
            <w:r w:rsidR="005A468F">
              <w:rPr>
                <w:rFonts w:ascii="Times New Roman" w:eastAsia="Times New Roman" w:hAnsi="Times New Roman"/>
                <w:szCs w:val="24"/>
              </w:rPr>
              <w:t>screened households</w:t>
            </w:r>
          </w:p>
        </w:tc>
        <w:tc>
          <w:tcPr>
            <w:tcW w:w="3420" w:type="dxa"/>
            <w:vAlign w:val="center"/>
          </w:tcPr>
          <w:p w:rsidR="00DE000E" w:rsidP="0012382B" w14:paraId="27D34479" w14:textId="5AB72691">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72,500 (50%)</w:t>
            </w:r>
          </w:p>
        </w:tc>
      </w:tr>
      <w:tr w14:paraId="6BACD88B" w14:textId="77777777" w:rsidTr="6905ABD3">
        <w:tblPrEx>
          <w:tblW w:w="9090" w:type="dxa"/>
          <w:tblInd w:w="720" w:type="dxa"/>
          <w:tblLayout w:type="fixed"/>
          <w:tblCellMar>
            <w:left w:w="115" w:type="dxa"/>
            <w:right w:w="115" w:type="dxa"/>
          </w:tblCellMar>
          <w:tblLook w:val="04A0"/>
        </w:tblPrEx>
        <w:trPr>
          <w:cantSplit/>
        </w:trPr>
        <w:tc>
          <w:tcPr>
            <w:tcW w:w="5670" w:type="dxa"/>
            <w:tcBorders>
              <w:bottom w:val="nil"/>
            </w:tcBorders>
            <w:shd w:val="clear" w:color="auto" w:fill="auto"/>
            <w:noWrap/>
          </w:tcPr>
          <w:p w:rsidR="00704BD0" w:rsidP="00FF2717" w14:paraId="76CC128E" w14:textId="7351810E">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Pr>
                <w:rFonts w:ascii="Times New Roman" w:eastAsia="Times New Roman" w:hAnsi="Times New Roman"/>
                <w:szCs w:val="24"/>
              </w:rPr>
              <w:t>Wave 3 (2</w:t>
            </w:r>
            <w:r w:rsidRPr="005A468F">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00400727">
              <w:rPr>
                <w:rFonts w:ascii="Times New Roman" w:eastAsia="Times New Roman" w:hAnsi="Times New Roman"/>
                <w:szCs w:val="24"/>
              </w:rPr>
              <w:t>repl</w:t>
            </w:r>
            <w:r w:rsidR="00032E55">
              <w:rPr>
                <w:rFonts w:ascii="Times New Roman" w:eastAsia="Times New Roman" w:hAnsi="Times New Roman"/>
                <w:szCs w:val="24"/>
              </w:rPr>
              <w:t>e</w:t>
            </w:r>
            <w:r w:rsidR="00400727">
              <w:rPr>
                <w:rFonts w:ascii="Times New Roman" w:eastAsia="Times New Roman" w:hAnsi="Times New Roman"/>
                <w:szCs w:val="24"/>
              </w:rPr>
              <w:t xml:space="preserve">nishment </w:t>
            </w:r>
            <w:r w:rsidR="008B33B5">
              <w:rPr>
                <w:rFonts w:ascii="Times New Roman" w:eastAsia="Times New Roman" w:hAnsi="Times New Roman"/>
                <w:szCs w:val="24"/>
              </w:rPr>
              <w:t>completes</w:t>
            </w:r>
          </w:p>
        </w:tc>
        <w:tc>
          <w:tcPr>
            <w:tcW w:w="3420" w:type="dxa"/>
            <w:tcBorders>
              <w:bottom w:val="nil"/>
            </w:tcBorders>
            <w:vAlign w:val="center"/>
          </w:tcPr>
          <w:p w:rsidR="00704BD0" w:rsidP="0012382B" w14:paraId="0DF0D876" w14:textId="347A9E26">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2,160</w:t>
            </w:r>
            <w:r w:rsidR="00A10BFD">
              <w:rPr>
                <w:rFonts w:ascii="Times New Roman" w:eastAsia="Times New Roman" w:hAnsi="Times New Roman"/>
                <w:szCs w:val="24"/>
              </w:rPr>
              <w:t xml:space="preserve"> (3</w:t>
            </w:r>
            <w:r w:rsidR="00624EDC">
              <w:rPr>
                <w:rFonts w:ascii="Times New Roman" w:eastAsia="Times New Roman" w:hAnsi="Times New Roman"/>
                <w:szCs w:val="24"/>
              </w:rPr>
              <w:t>%)</w:t>
            </w:r>
          </w:p>
        </w:tc>
      </w:tr>
      <w:tr w14:paraId="1ABF7356" w14:textId="7337617F" w:rsidTr="6905ABD3">
        <w:tblPrEx>
          <w:tblW w:w="9090" w:type="dxa"/>
          <w:tblInd w:w="720" w:type="dxa"/>
          <w:tblLayout w:type="fixed"/>
          <w:tblCellMar>
            <w:left w:w="115" w:type="dxa"/>
            <w:right w:w="115" w:type="dxa"/>
          </w:tblCellMar>
          <w:tblLook w:val="04A0"/>
        </w:tblPrEx>
        <w:trPr>
          <w:cantSplit/>
        </w:trPr>
        <w:tc>
          <w:tcPr>
            <w:tcW w:w="5670" w:type="dxa"/>
            <w:tcBorders>
              <w:top w:val="nil"/>
              <w:bottom w:val="single" w:sz="4" w:space="0" w:color="auto"/>
            </w:tcBorders>
            <w:shd w:val="clear" w:color="auto" w:fill="auto"/>
            <w:noWrap/>
            <w:hideMark/>
          </w:tcPr>
          <w:p w:rsidR="00526AD0" w:rsidRPr="00447CB7" w:rsidP="00FF2717" w14:paraId="675B4D49" w14:textId="6CBC910D">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tcBorders>
              <w:top w:val="nil"/>
              <w:bottom w:val="single" w:sz="4" w:space="0" w:color="auto"/>
            </w:tcBorders>
            <w:vAlign w:val="center"/>
          </w:tcPr>
          <w:p w:rsidR="00526AD0" w:rsidRPr="00447CB7" w:rsidP="0012382B" w14:paraId="6EC4143D" w14:textId="7A30D5E1">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4,800</w:t>
            </w:r>
            <w:r>
              <w:rPr>
                <w:rFonts w:ascii="Times New Roman" w:eastAsia="Times New Roman" w:hAnsi="Times New Roman"/>
                <w:szCs w:val="24"/>
              </w:rPr>
              <w:t xml:space="preserve"> (</w:t>
            </w:r>
            <w:r w:rsidR="003B3591">
              <w:rPr>
                <w:rFonts w:ascii="Times New Roman" w:eastAsia="Times New Roman" w:hAnsi="Times New Roman"/>
                <w:szCs w:val="24"/>
              </w:rPr>
              <w:t>8</w:t>
            </w:r>
            <w:r w:rsidR="009A4EB1">
              <w:rPr>
                <w:rFonts w:ascii="Times New Roman" w:eastAsia="Times New Roman" w:hAnsi="Times New Roman"/>
                <w:szCs w:val="24"/>
              </w:rPr>
              <w:t>0</w:t>
            </w:r>
            <w:r>
              <w:rPr>
                <w:rFonts w:ascii="Times New Roman" w:eastAsia="Times New Roman" w:hAnsi="Times New Roman"/>
                <w:szCs w:val="24"/>
              </w:rPr>
              <w:t>%)</w:t>
            </w:r>
          </w:p>
        </w:tc>
      </w:tr>
      <w:tr w14:paraId="666CE12C" w14:textId="77777777" w:rsidTr="6905ABD3">
        <w:tblPrEx>
          <w:tblW w:w="9090" w:type="dxa"/>
          <w:tblInd w:w="720" w:type="dxa"/>
          <w:tblLayout w:type="fixed"/>
          <w:tblCellMar>
            <w:left w:w="115" w:type="dxa"/>
            <w:right w:w="115" w:type="dxa"/>
          </w:tblCellMar>
          <w:tblLook w:val="04A0"/>
        </w:tblPrEx>
        <w:trPr>
          <w:cantSplit/>
        </w:trPr>
        <w:tc>
          <w:tcPr>
            <w:tcW w:w="5670" w:type="dxa"/>
            <w:tcBorders>
              <w:top w:val="single" w:sz="4" w:space="0" w:color="auto"/>
            </w:tcBorders>
            <w:shd w:val="clear" w:color="auto" w:fill="auto"/>
            <w:noWrap/>
          </w:tcPr>
          <w:p w:rsidR="004831A4" w:rsidRPr="00447CB7" w:rsidP="00FF2717" w14:paraId="75D05B7E" w14:textId="1FD0E3F6">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Baseline </w:t>
            </w:r>
            <w:r w:rsidR="00702B78">
              <w:rPr>
                <w:rFonts w:ascii="Times New Roman" w:eastAsia="Times New Roman" w:hAnsi="Times New Roman"/>
                <w:szCs w:val="24"/>
              </w:rPr>
              <w:t>Supplemental Convenience Sample</w:t>
            </w:r>
          </w:p>
        </w:tc>
        <w:tc>
          <w:tcPr>
            <w:tcW w:w="3420" w:type="dxa"/>
            <w:tcBorders>
              <w:top w:val="single" w:sz="4" w:space="0" w:color="auto"/>
            </w:tcBorders>
            <w:vAlign w:val="center"/>
          </w:tcPr>
          <w:p w:rsidR="004831A4" w:rsidP="0012382B" w14:paraId="5552D973" w14:textId="77777777">
            <w:pPr>
              <w:spacing w:before="40" w:after="40" w:line="240" w:lineRule="auto"/>
              <w:jc w:val="center"/>
              <w:rPr>
                <w:rFonts w:ascii="Times New Roman" w:eastAsia="Times New Roman" w:hAnsi="Times New Roman"/>
                <w:szCs w:val="24"/>
              </w:rPr>
            </w:pPr>
          </w:p>
        </w:tc>
      </w:tr>
      <w:tr w14:paraId="0BB736C4" w14:textId="7777777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4A0627" w:rsidRPr="00447CB7" w:rsidP="00DC12FC" w14:paraId="050630F1" w14:textId="2984FA1C">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AE434A">
              <w:rPr>
                <w:rFonts w:ascii="Times New Roman" w:eastAsia="Times New Roman" w:hAnsi="Times New Roman"/>
                <w:szCs w:val="24"/>
              </w:rPr>
              <w:t>Baseline supplemental s</w:t>
            </w:r>
            <w:r w:rsidR="00211998">
              <w:rPr>
                <w:rFonts w:ascii="Times New Roman" w:eastAsia="Times New Roman" w:hAnsi="Times New Roman"/>
                <w:szCs w:val="24"/>
              </w:rPr>
              <w:t>creened respondents</w:t>
            </w:r>
          </w:p>
        </w:tc>
        <w:tc>
          <w:tcPr>
            <w:tcW w:w="3420" w:type="dxa"/>
            <w:vAlign w:val="center"/>
          </w:tcPr>
          <w:p w:rsidR="004A0627" w:rsidP="0012382B" w14:paraId="59903111" w14:textId="57322DAA">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5,000</w:t>
            </w:r>
          </w:p>
        </w:tc>
      </w:tr>
      <w:tr w14:paraId="1423F0C6" w14:textId="77777777" w:rsidTr="6905ABD3">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4A0627" w:rsidRPr="00447CB7" w:rsidP="00FF2717" w14:paraId="11D004D2" w14:textId="2E659588">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0B3A5F">
              <w:rPr>
                <w:rFonts w:ascii="Times New Roman" w:eastAsia="Times New Roman" w:hAnsi="Times New Roman"/>
                <w:szCs w:val="24"/>
              </w:rPr>
              <w:t>Baseline supplemental completes</w:t>
            </w:r>
          </w:p>
        </w:tc>
        <w:tc>
          <w:tcPr>
            <w:tcW w:w="3420" w:type="dxa"/>
            <w:vAlign w:val="center"/>
          </w:tcPr>
          <w:p w:rsidR="004A0627" w:rsidP="0012382B" w14:paraId="7455A18F" w14:textId="5BCC7193">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1,500 (30%)</w:t>
            </w:r>
          </w:p>
        </w:tc>
      </w:tr>
    </w:tbl>
    <w:p w:rsidR="00447CB7" w:rsidRPr="00392C0E" w:rsidP="00FE33C9" w14:paraId="50A4385C" w14:textId="7AD35AB8">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Procedures for the Collection of Information</w:t>
      </w:r>
    </w:p>
    <w:p w:rsidR="00447CB7" w:rsidRPr="00866B44" w:rsidP="00447CB7" w14:paraId="47130A79" w14:textId="144D5E80">
      <w:pPr>
        <w:spacing w:after="0" w:line="240" w:lineRule="auto"/>
        <w:ind w:left="720"/>
        <w:rPr>
          <w:rFonts w:ascii="Times New Roman" w:hAnsi="Times New Roman"/>
          <w:i/>
          <w:iCs/>
          <w:sz w:val="24"/>
        </w:rPr>
      </w:pPr>
      <w:r w:rsidRPr="00866B44">
        <w:rPr>
          <w:rFonts w:ascii="Times New Roman" w:hAnsi="Times New Roman"/>
          <w:i/>
          <w:iCs/>
          <w:sz w:val="24"/>
        </w:rPr>
        <w:t>Outcome</w:t>
      </w:r>
      <w:r w:rsidR="007F4F43">
        <w:rPr>
          <w:rFonts w:ascii="Times New Roman" w:hAnsi="Times New Roman"/>
          <w:i/>
          <w:iCs/>
          <w:sz w:val="24"/>
        </w:rPr>
        <w:t>s</w:t>
      </w:r>
      <w:r w:rsidRPr="00866B44">
        <w:rPr>
          <w:rFonts w:ascii="Times New Roman" w:hAnsi="Times New Roman"/>
          <w:i/>
          <w:iCs/>
          <w:sz w:val="24"/>
        </w:rPr>
        <w:t xml:space="preserve"> </w:t>
      </w:r>
      <w:r w:rsidR="007F4F43">
        <w:rPr>
          <w:rFonts w:ascii="Times New Roman" w:hAnsi="Times New Roman"/>
          <w:i/>
          <w:iCs/>
          <w:sz w:val="24"/>
        </w:rPr>
        <w:t>Study</w:t>
      </w:r>
      <w:r w:rsidR="00526EBF">
        <w:rPr>
          <w:rFonts w:ascii="Times New Roman" w:hAnsi="Times New Roman"/>
          <w:i/>
          <w:iCs/>
          <w:sz w:val="24"/>
        </w:rPr>
        <w:t xml:space="preserve"> </w:t>
      </w:r>
      <w:r w:rsidR="00DB78D4">
        <w:rPr>
          <w:rFonts w:ascii="Times New Roman" w:hAnsi="Times New Roman"/>
          <w:i/>
          <w:iCs/>
          <w:sz w:val="24"/>
        </w:rPr>
        <w:t>–</w:t>
      </w:r>
      <w:r w:rsidR="00526EBF">
        <w:rPr>
          <w:rFonts w:ascii="Times New Roman" w:hAnsi="Times New Roman"/>
          <w:i/>
          <w:iCs/>
          <w:sz w:val="24"/>
        </w:rPr>
        <w:t xml:space="preserve"> </w:t>
      </w:r>
      <w:r w:rsidRPr="00866B44" w:rsidR="00523C4E">
        <w:rPr>
          <w:rFonts w:ascii="Times New Roman" w:hAnsi="Times New Roman"/>
          <w:i/>
          <w:iCs/>
          <w:sz w:val="24"/>
        </w:rPr>
        <w:t>Baseline</w:t>
      </w:r>
      <w:r w:rsidRPr="00866B44">
        <w:rPr>
          <w:rFonts w:ascii="Times New Roman" w:hAnsi="Times New Roman"/>
          <w:i/>
          <w:iCs/>
          <w:sz w:val="24"/>
        </w:rPr>
        <w:t xml:space="preserve"> Data Collection</w:t>
      </w:r>
    </w:p>
    <w:p w:rsidR="006577E1" w:rsidRPr="006577E1" w:rsidP="7263E2D9" w14:paraId="471F8649" w14:textId="3E4FCD06">
      <w:pPr>
        <w:spacing w:after="0" w:line="240" w:lineRule="auto"/>
        <w:ind w:left="720"/>
        <w:rPr>
          <w:rFonts w:ascii="Times New Roman" w:hAnsi="Times New Roman"/>
          <w:sz w:val="24"/>
          <w:szCs w:val="24"/>
        </w:rPr>
      </w:pPr>
      <w:r w:rsidRPr="2AB4AEB8">
        <w:rPr>
          <w:rFonts w:ascii="Times New Roman" w:hAnsi="Times New Roman"/>
          <w:sz w:val="24"/>
          <w:szCs w:val="24"/>
        </w:rPr>
        <w:t>At baseli</w:t>
      </w:r>
      <w:r w:rsidRPr="2AB4AEB8" w:rsidR="0028171C">
        <w:rPr>
          <w:rFonts w:ascii="Times New Roman" w:hAnsi="Times New Roman"/>
          <w:sz w:val="24"/>
          <w:szCs w:val="24"/>
        </w:rPr>
        <w:t>ne</w:t>
      </w:r>
      <w:r w:rsidRPr="2AB4AEB8">
        <w:rPr>
          <w:rFonts w:ascii="Times New Roman" w:hAnsi="Times New Roman"/>
          <w:sz w:val="24"/>
          <w:szCs w:val="24"/>
        </w:rPr>
        <w:t xml:space="preserve">, </w:t>
      </w:r>
      <w:r w:rsidRPr="2AB4AEB8">
        <w:rPr>
          <w:rFonts w:ascii="Times New Roman" w:hAnsi="Times New Roman"/>
          <w:sz w:val="24"/>
          <w:szCs w:val="24"/>
        </w:rPr>
        <w:t xml:space="preserve">RTI </w:t>
      </w:r>
      <w:r w:rsidRPr="2AB4AEB8" w:rsidR="00900AA0">
        <w:rPr>
          <w:rFonts w:ascii="Times New Roman" w:hAnsi="Times New Roman"/>
          <w:sz w:val="24"/>
          <w:szCs w:val="24"/>
        </w:rPr>
        <w:t xml:space="preserve">will </w:t>
      </w:r>
      <w:r w:rsidRPr="2AB4AEB8" w:rsidR="00D748D1">
        <w:rPr>
          <w:rFonts w:ascii="Times New Roman" w:hAnsi="Times New Roman"/>
          <w:sz w:val="24"/>
          <w:szCs w:val="24"/>
        </w:rPr>
        <w:t xml:space="preserve">mail </w:t>
      </w:r>
      <w:r w:rsidRPr="2AB4AEB8" w:rsidR="00BD0086">
        <w:rPr>
          <w:rFonts w:ascii="Times New Roman" w:hAnsi="Times New Roman"/>
          <w:sz w:val="24"/>
          <w:szCs w:val="24"/>
        </w:rPr>
        <w:t xml:space="preserve">recruitment and </w:t>
      </w:r>
      <w:r w:rsidRPr="2AB4AEB8" w:rsidR="00900AA0">
        <w:rPr>
          <w:rFonts w:ascii="Times New Roman" w:hAnsi="Times New Roman"/>
          <w:sz w:val="24"/>
          <w:szCs w:val="24"/>
        </w:rPr>
        <w:t>screen</w:t>
      </w:r>
      <w:r w:rsidRPr="2AB4AEB8" w:rsidR="00412156">
        <w:rPr>
          <w:rFonts w:ascii="Times New Roman" w:hAnsi="Times New Roman"/>
          <w:sz w:val="24"/>
          <w:szCs w:val="24"/>
        </w:rPr>
        <w:t>ing materials to approximately 400,000</w:t>
      </w:r>
      <w:r w:rsidRPr="2AB4AEB8" w:rsidR="00900AA0">
        <w:rPr>
          <w:rFonts w:ascii="Times New Roman" w:hAnsi="Times New Roman"/>
          <w:sz w:val="24"/>
          <w:szCs w:val="24"/>
        </w:rPr>
        <w:t xml:space="preserve"> households</w:t>
      </w:r>
      <w:r w:rsidRPr="2AB4AEB8" w:rsidR="001C7BB6">
        <w:rPr>
          <w:rFonts w:ascii="Times New Roman" w:hAnsi="Times New Roman"/>
          <w:sz w:val="24"/>
          <w:szCs w:val="24"/>
        </w:rPr>
        <w:t>.</w:t>
      </w:r>
      <w:r w:rsidRPr="2AB4AEB8" w:rsidR="002668B3">
        <w:rPr>
          <w:rFonts w:ascii="Times New Roman" w:hAnsi="Times New Roman"/>
          <w:sz w:val="24"/>
          <w:szCs w:val="24"/>
        </w:rPr>
        <w:t xml:space="preserve"> We expect to receive approximately 200,000 completed screeners</w:t>
      </w:r>
      <w:r w:rsidRPr="2AB4AEB8" w:rsidR="00BD0086">
        <w:rPr>
          <w:rFonts w:ascii="Times New Roman" w:hAnsi="Times New Roman"/>
          <w:sz w:val="24"/>
          <w:szCs w:val="24"/>
        </w:rPr>
        <w:t xml:space="preserve"> and</w:t>
      </w:r>
      <w:r w:rsidRPr="2AB4AEB8" w:rsidR="0028171C">
        <w:rPr>
          <w:rFonts w:ascii="Times New Roman" w:hAnsi="Times New Roman"/>
          <w:sz w:val="24"/>
          <w:szCs w:val="24"/>
        </w:rPr>
        <w:t xml:space="preserve"> identify 4,000 eligible hous</w:t>
      </w:r>
      <w:r w:rsidRPr="2AB4AEB8" w:rsidR="00E25A1F">
        <w:rPr>
          <w:rFonts w:ascii="Times New Roman" w:hAnsi="Times New Roman"/>
          <w:sz w:val="24"/>
          <w:szCs w:val="24"/>
        </w:rPr>
        <w:t>e</w:t>
      </w:r>
      <w:r w:rsidRPr="2AB4AEB8" w:rsidR="0028171C">
        <w:rPr>
          <w:rFonts w:ascii="Times New Roman" w:hAnsi="Times New Roman"/>
          <w:sz w:val="24"/>
          <w:szCs w:val="24"/>
        </w:rPr>
        <w:t>holds with 6,000 eligi</w:t>
      </w:r>
      <w:r w:rsidRPr="2AB4AEB8" w:rsidR="00D0356E">
        <w:rPr>
          <w:rFonts w:ascii="Times New Roman" w:hAnsi="Times New Roman"/>
          <w:sz w:val="24"/>
          <w:szCs w:val="24"/>
        </w:rPr>
        <w:t xml:space="preserve">ble youth who </w:t>
      </w:r>
      <w:r w:rsidRPr="2AB4AEB8" w:rsidR="007674B3">
        <w:rPr>
          <w:rFonts w:ascii="Times New Roman" w:hAnsi="Times New Roman"/>
          <w:sz w:val="24"/>
          <w:szCs w:val="24"/>
        </w:rPr>
        <w:t xml:space="preserve">will </w:t>
      </w:r>
      <w:r w:rsidRPr="2AB4AEB8" w:rsidR="00D0356E">
        <w:rPr>
          <w:rFonts w:ascii="Times New Roman" w:hAnsi="Times New Roman"/>
          <w:sz w:val="24"/>
          <w:szCs w:val="24"/>
        </w:rPr>
        <w:t>complete a baseline survey</w:t>
      </w:r>
      <w:r w:rsidRPr="2AB4AEB8">
        <w:rPr>
          <w:rFonts w:ascii="Times New Roman" w:hAnsi="Times New Roman"/>
          <w:sz w:val="24"/>
          <w:szCs w:val="24"/>
        </w:rPr>
        <w:t>.</w:t>
      </w:r>
      <w:r w:rsidRPr="2AB4AEB8" w:rsidR="00664FC2">
        <w:rPr>
          <w:rFonts w:ascii="Times New Roman" w:hAnsi="Times New Roman"/>
          <w:sz w:val="24"/>
          <w:szCs w:val="24"/>
        </w:rPr>
        <w:t xml:space="preserve"> The </w:t>
      </w:r>
      <w:r w:rsidRPr="2AB4AEB8">
        <w:rPr>
          <w:rFonts w:ascii="Times New Roman" w:hAnsi="Times New Roman"/>
          <w:sz w:val="24"/>
          <w:szCs w:val="24"/>
        </w:rPr>
        <w:t>recruitment</w:t>
      </w:r>
      <w:r w:rsidRPr="2AB4AEB8" w:rsidR="00B20904">
        <w:rPr>
          <w:rFonts w:ascii="Times New Roman" w:hAnsi="Times New Roman"/>
          <w:sz w:val="24"/>
          <w:szCs w:val="24"/>
        </w:rPr>
        <w:t xml:space="preserve"> and </w:t>
      </w:r>
      <w:r w:rsidRPr="2AB4AEB8">
        <w:rPr>
          <w:rFonts w:ascii="Times New Roman" w:hAnsi="Times New Roman"/>
          <w:sz w:val="24"/>
          <w:szCs w:val="24"/>
        </w:rPr>
        <w:t xml:space="preserve">study materials will consist of a sealed invitation letter and two sealed postcards with login credentials </w:t>
      </w:r>
      <w:r w:rsidRPr="2AB4AEB8" w:rsidR="00B20904">
        <w:rPr>
          <w:rFonts w:ascii="Times New Roman" w:hAnsi="Times New Roman"/>
          <w:sz w:val="24"/>
          <w:szCs w:val="24"/>
        </w:rPr>
        <w:t xml:space="preserve">that will be </w:t>
      </w:r>
      <w:r w:rsidRPr="2AB4AEB8">
        <w:rPr>
          <w:rFonts w:ascii="Times New Roman" w:hAnsi="Times New Roman"/>
          <w:sz w:val="24"/>
          <w:szCs w:val="24"/>
        </w:rPr>
        <w:t xml:space="preserve">used to invite an adult in the household to access the study web page to learn more </w:t>
      </w:r>
      <w:r w:rsidRPr="2AB4AEB8" w:rsidR="00970C45">
        <w:rPr>
          <w:rFonts w:ascii="Times New Roman" w:hAnsi="Times New Roman"/>
          <w:sz w:val="24"/>
          <w:szCs w:val="24"/>
        </w:rPr>
        <w:t xml:space="preserve">about the study </w:t>
      </w:r>
      <w:r w:rsidRPr="2AB4AEB8">
        <w:rPr>
          <w:rFonts w:ascii="Times New Roman" w:hAnsi="Times New Roman"/>
          <w:sz w:val="24"/>
          <w:szCs w:val="24"/>
        </w:rPr>
        <w:t>and complete an online screener.</w:t>
      </w:r>
      <w:r w:rsidRPr="2AB4AEB8" w:rsidR="00970C45">
        <w:rPr>
          <w:rFonts w:ascii="Times New Roman" w:hAnsi="Times New Roman"/>
          <w:sz w:val="24"/>
          <w:szCs w:val="24"/>
        </w:rPr>
        <w:t xml:space="preserve"> </w:t>
      </w:r>
      <w:r w:rsidRPr="2AB4AEB8" w:rsidR="1C9725DA">
        <w:rPr>
          <w:rFonts w:ascii="Times New Roman" w:hAnsi="Times New Roman"/>
          <w:sz w:val="24"/>
          <w:szCs w:val="24"/>
        </w:rPr>
        <w:t>An adult household member will complete the online screener</w:t>
      </w:r>
      <w:r w:rsidRPr="2AB4AEB8" w:rsidR="004016F5">
        <w:rPr>
          <w:rFonts w:ascii="Times New Roman" w:hAnsi="Times New Roman"/>
          <w:sz w:val="24"/>
          <w:szCs w:val="24"/>
        </w:rPr>
        <w:t>,</w:t>
      </w:r>
      <w:r w:rsidRPr="2AB4AEB8" w:rsidR="1C9725DA">
        <w:rPr>
          <w:rFonts w:ascii="Times New Roman" w:hAnsi="Times New Roman"/>
          <w:sz w:val="24"/>
          <w:szCs w:val="24"/>
        </w:rPr>
        <w:t xml:space="preserve"> which will determine eligibility. </w:t>
      </w:r>
      <w:r w:rsidRPr="2AB4AEB8" w:rsidR="004E022D">
        <w:rPr>
          <w:rFonts w:ascii="Times New Roman" w:hAnsi="Times New Roman"/>
          <w:sz w:val="24"/>
          <w:szCs w:val="24"/>
        </w:rPr>
        <w:t xml:space="preserve">We will send </w:t>
      </w:r>
      <w:r w:rsidRPr="2AB4AEB8">
        <w:rPr>
          <w:rFonts w:ascii="Times New Roman" w:hAnsi="Times New Roman"/>
          <w:sz w:val="24"/>
          <w:szCs w:val="24"/>
        </w:rPr>
        <w:t>a paper and pencil interview (PAPI) screener and a postage paid return envelope</w:t>
      </w:r>
      <w:r w:rsidRPr="2AB4AEB8" w:rsidR="004E022D">
        <w:rPr>
          <w:rFonts w:ascii="Times New Roman" w:hAnsi="Times New Roman"/>
          <w:sz w:val="24"/>
          <w:szCs w:val="24"/>
        </w:rPr>
        <w:t xml:space="preserve"> </w:t>
      </w:r>
      <w:r w:rsidRPr="2AB4AEB8" w:rsidR="000A12CF">
        <w:rPr>
          <w:rFonts w:ascii="Times New Roman" w:hAnsi="Times New Roman"/>
          <w:sz w:val="24"/>
          <w:szCs w:val="24"/>
        </w:rPr>
        <w:t xml:space="preserve">to </w:t>
      </w:r>
      <w:r w:rsidRPr="2AB4AEB8" w:rsidR="004E022D">
        <w:rPr>
          <w:rFonts w:ascii="Times New Roman" w:hAnsi="Times New Roman"/>
          <w:sz w:val="24"/>
          <w:szCs w:val="24"/>
        </w:rPr>
        <w:t>a portion of households who do not complete an online screener</w:t>
      </w:r>
      <w:r w:rsidRPr="2AB4AEB8" w:rsidR="5731DDF6">
        <w:rPr>
          <w:rFonts w:ascii="Times New Roman" w:hAnsi="Times New Roman"/>
          <w:sz w:val="24"/>
          <w:szCs w:val="24"/>
        </w:rPr>
        <w:t xml:space="preserve"> to determine eligibility</w:t>
      </w:r>
      <w:r w:rsidRPr="2AB4AEB8">
        <w:rPr>
          <w:rFonts w:ascii="Times New Roman" w:hAnsi="Times New Roman"/>
          <w:sz w:val="24"/>
          <w:szCs w:val="24"/>
        </w:rPr>
        <w:t xml:space="preserve">. </w:t>
      </w:r>
      <w:r w:rsidRPr="2AB4AEB8" w:rsidR="00CE4D8E">
        <w:rPr>
          <w:rFonts w:ascii="Times New Roman" w:eastAsia="Times New Roman" w:hAnsi="Times New Roman"/>
          <w:sz w:val="24"/>
          <w:szCs w:val="24"/>
        </w:rPr>
        <w:t>For eligible households, we will ask the parent/guardian to list all eligible youth in their households that can be selected for participation in the study, a process called rostering</w:t>
      </w:r>
      <w:r w:rsidRPr="2AB4AEB8" w:rsidR="008A0ED7">
        <w:rPr>
          <w:rFonts w:ascii="Times New Roman" w:eastAsia="Times New Roman" w:hAnsi="Times New Roman"/>
          <w:sz w:val="24"/>
          <w:szCs w:val="24"/>
        </w:rPr>
        <w:t>.</w:t>
      </w:r>
      <w:r w:rsidRPr="2AB4AEB8" w:rsidR="00CE4D8E">
        <w:rPr>
          <w:rFonts w:ascii="Times New Roman" w:hAnsi="Times New Roman"/>
          <w:sz w:val="24"/>
          <w:szCs w:val="24"/>
        </w:rPr>
        <w:t xml:space="preserve"> </w:t>
      </w:r>
      <w:r w:rsidRPr="2AB4AEB8">
        <w:rPr>
          <w:rFonts w:ascii="Times New Roman" w:hAnsi="Times New Roman"/>
          <w:sz w:val="24"/>
          <w:szCs w:val="24"/>
        </w:rPr>
        <w:t xml:space="preserve">If eligibility is determined during the household screener, the parent/guardian of youth ages 11 to 13 will be routed to the parental permission screen. </w:t>
      </w:r>
      <w:r w:rsidRPr="2AB4AEB8" w:rsidR="00D762BE">
        <w:rPr>
          <w:rFonts w:ascii="Times New Roman" w:hAnsi="Times New Roman"/>
          <w:sz w:val="24"/>
          <w:szCs w:val="24"/>
        </w:rPr>
        <w:t xml:space="preserve">Households completing the screener by mail will be contacted to </w:t>
      </w:r>
      <w:r w:rsidRPr="2AB4AEB8" w:rsidR="00D762BE">
        <w:rPr>
          <w:rFonts w:ascii="Times New Roman" w:hAnsi="Times New Roman"/>
          <w:sz w:val="24"/>
          <w:szCs w:val="24"/>
        </w:rPr>
        <w:t xml:space="preserve">complete a computer assisted telephone interview (CATI) where an interviewer will determine eligibility and obtain parental permission. </w:t>
      </w:r>
      <w:r w:rsidRPr="2AB4AEB8">
        <w:rPr>
          <w:rFonts w:ascii="Times New Roman" w:hAnsi="Times New Roman"/>
          <w:sz w:val="24"/>
          <w:szCs w:val="24"/>
        </w:rPr>
        <w:t>After parents give their permission, they will be taken to a screen which will instruct them to have the youth provide assent</w:t>
      </w:r>
      <w:r w:rsidRPr="2AB4AEB8" w:rsidR="007711C5">
        <w:rPr>
          <w:rFonts w:ascii="Times New Roman" w:hAnsi="Times New Roman"/>
          <w:sz w:val="24"/>
          <w:szCs w:val="24"/>
        </w:rPr>
        <w:t xml:space="preserve"> through the electronic form before completing the survey</w:t>
      </w:r>
      <w:r w:rsidRPr="2AB4AEB8">
        <w:rPr>
          <w:rFonts w:ascii="Times New Roman" w:hAnsi="Times New Roman"/>
          <w:sz w:val="24"/>
          <w:szCs w:val="24"/>
        </w:rPr>
        <w:t>. RTI re</w:t>
      </w:r>
      <w:r w:rsidRPr="2AB4AEB8" w:rsidR="006306FF">
        <w:rPr>
          <w:rFonts w:ascii="Times New Roman" w:hAnsi="Times New Roman"/>
          <w:sz w:val="24"/>
          <w:szCs w:val="24"/>
        </w:rPr>
        <w:t>ceived</w:t>
      </w:r>
      <w:r w:rsidRPr="2AB4AEB8">
        <w:rPr>
          <w:rFonts w:ascii="Times New Roman" w:hAnsi="Times New Roman"/>
          <w:sz w:val="24"/>
          <w:szCs w:val="24"/>
        </w:rPr>
        <w:t xml:space="preserve"> a waiver of parental permission for youth ages 14 to 17 (or 14 to 18 in Alabama and Nebraska in accordance with state law)</w:t>
      </w:r>
      <w:r w:rsidRPr="2AB4AEB8" w:rsidR="006306FF">
        <w:rPr>
          <w:rFonts w:ascii="Times New Roman" w:hAnsi="Times New Roman"/>
          <w:sz w:val="24"/>
          <w:szCs w:val="24"/>
        </w:rPr>
        <w:t xml:space="preserve"> from Advarra IRB</w:t>
      </w:r>
      <w:r w:rsidRPr="2AB4AEB8">
        <w:rPr>
          <w:rFonts w:ascii="Times New Roman" w:hAnsi="Times New Roman"/>
          <w:sz w:val="24"/>
          <w:szCs w:val="24"/>
        </w:rPr>
        <w:t xml:space="preserve">. Youth ages 14 to 17 will be routed to the youth assent screen directly. </w:t>
      </w:r>
      <w:r w:rsidRPr="2AB4AEB8" w:rsidR="006306FF">
        <w:rPr>
          <w:rFonts w:ascii="Times New Roman" w:hAnsi="Times New Roman"/>
          <w:sz w:val="24"/>
          <w:szCs w:val="24"/>
        </w:rPr>
        <w:t>A</w:t>
      </w:r>
      <w:r w:rsidRPr="2AB4AEB8">
        <w:rPr>
          <w:rFonts w:ascii="Times New Roman" w:hAnsi="Times New Roman"/>
          <w:sz w:val="24"/>
          <w:szCs w:val="24"/>
        </w:rPr>
        <w:t xml:space="preserve">fter parental permission and youth assent is </w:t>
      </w:r>
      <w:r w:rsidRPr="2AB4AEB8" w:rsidR="004016F5">
        <w:rPr>
          <w:rFonts w:ascii="Times New Roman" w:hAnsi="Times New Roman"/>
          <w:sz w:val="24"/>
          <w:szCs w:val="24"/>
        </w:rPr>
        <w:t>obtained</w:t>
      </w:r>
      <w:r w:rsidRPr="2AB4AEB8">
        <w:rPr>
          <w:rFonts w:ascii="Times New Roman" w:hAnsi="Times New Roman"/>
          <w:sz w:val="24"/>
          <w:szCs w:val="24"/>
        </w:rPr>
        <w:t xml:space="preserve">, RTI will invite youth to participate in the study by routing them to the baseline survey. Households </w:t>
      </w:r>
      <w:r w:rsidRPr="2AB4AEB8" w:rsidR="00504B0C">
        <w:rPr>
          <w:rFonts w:ascii="Times New Roman" w:hAnsi="Times New Roman"/>
          <w:sz w:val="24"/>
          <w:szCs w:val="24"/>
        </w:rPr>
        <w:t>will be</w:t>
      </w:r>
      <w:r w:rsidRPr="2AB4AEB8">
        <w:rPr>
          <w:rFonts w:ascii="Times New Roman" w:hAnsi="Times New Roman"/>
          <w:sz w:val="24"/>
          <w:szCs w:val="24"/>
        </w:rPr>
        <w:t xml:space="preserve"> assigned login credentials which </w:t>
      </w:r>
      <w:r w:rsidRPr="2AB4AEB8" w:rsidR="00504B0C">
        <w:rPr>
          <w:rFonts w:ascii="Times New Roman" w:hAnsi="Times New Roman"/>
          <w:sz w:val="24"/>
          <w:szCs w:val="24"/>
        </w:rPr>
        <w:t xml:space="preserve">will be </w:t>
      </w:r>
      <w:r w:rsidRPr="2AB4AEB8">
        <w:rPr>
          <w:rFonts w:ascii="Times New Roman" w:hAnsi="Times New Roman"/>
          <w:sz w:val="24"/>
          <w:szCs w:val="24"/>
        </w:rPr>
        <w:t xml:space="preserve">sent to them through </w:t>
      </w:r>
      <w:r w:rsidRPr="2AB4AEB8" w:rsidR="00204782">
        <w:rPr>
          <w:rFonts w:ascii="Times New Roman" w:hAnsi="Times New Roman"/>
          <w:sz w:val="24"/>
          <w:szCs w:val="24"/>
        </w:rPr>
        <w:t>an</w:t>
      </w:r>
      <w:r w:rsidRPr="2AB4AEB8">
        <w:rPr>
          <w:rFonts w:ascii="Times New Roman" w:hAnsi="Times New Roman"/>
          <w:sz w:val="24"/>
          <w:szCs w:val="24"/>
        </w:rPr>
        <w:t xml:space="preserve"> invitation postcard </w:t>
      </w:r>
      <w:r w:rsidRPr="2AB4AEB8" w:rsidR="00204782">
        <w:rPr>
          <w:rFonts w:ascii="Times New Roman" w:hAnsi="Times New Roman"/>
          <w:sz w:val="24"/>
          <w:szCs w:val="24"/>
        </w:rPr>
        <w:t>or</w:t>
      </w:r>
      <w:r w:rsidRPr="2AB4AEB8">
        <w:rPr>
          <w:rFonts w:ascii="Times New Roman" w:hAnsi="Times New Roman"/>
          <w:sz w:val="24"/>
          <w:szCs w:val="24"/>
        </w:rPr>
        <w:t xml:space="preserve"> invitation letter. Following parental permission, parents and selected youth will be emailed links and credentials for youth to complete the survey, which youth can also use to log back in to complete the online survey or start the survey if they were not available at the time of screening</w:t>
      </w:r>
      <w:r w:rsidRPr="2AB4AEB8" w:rsidR="3BB7648D">
        <w:rPr>
          <w:rFonts w:ascii="Times New Roman" w:hAnsi="Times New Roman"/>
          <w:sz w:val="24"/>
          <w:szCs w:val="24"/>
        </w:rPr>
        <w:t xml:space="preserve"> (Attachment 23)</w:t>
      </w:r>
      <w:r w:rsidRPr="2AB4AEB8">
        <w:rPr>
          <w:rFonts w:ascii="Times New Roman" w:hAnsi="Times New Roman"/>
          <w:sz w:val="24"/>
          <w:szCs w:val="24"/>
        </w:rPr>
        <w:t>.</w:t>
      </w:r>
      <w:r w:rsidRPr="2AB4AEB8" w:rsidR="008C3211">
        <w:rPr>
          <w:rFonts w:ascii="Times New Roman" w:hAnsi="Times New Roman"/>
          <w:sz w:val="24"/>
          <w:szCs w:val="24"/>
        </w:rPr>
        <w:t xml:space="preserve"> The survey will be hosted on RTI’s secure servers using Blaise. Data are encrypted using https protocols and stored on secure Structured Query Language (SQL) databases.</w:t>
      </w:r>
    </w:p>
    <w:p w:rsidR="006577E1" w:rsidRPr="006577E1" w:rsidP="006577E1" w14:paraId="1F6F6F85" w14:textId="77777777">
      <w:pPr>
        <w:spacing w:after="0" w:line="240" w:lineRule="auto"/>
        <w:ind w:left="720"/>
        <w:rPr>
          <w:rFonts w:ascii="Times New Roman" w:hAnsi="Times New Roman"/>
          <w:sz w:val="24"/>
        </w:rPr>
      </w:pPr>
    </w:p>
    <w:p w:rsidR="006577E1" w:rsidP="006577E1" w14:paraId="1116025B" w14:textId="6BAC0BA8">
      <w:pPr>
        <w:spacing w:after="0" w:line="240" w:lineRule="auto"/>
        <w:ind w:left="720"/>
        <w:rPr>
          <w:rFonts w:ascii="Times New Roman" w:hAnsi="Times New Roman"/>
          <w:sz w:val="24"/>
          <w:szCs w:val="24"/>
        </w:rPr>
      </w:pPr>
      <w:r w:rsidRPr="6905ABD3">
        <w:rPr>
          <w:rFonts w:ascii="Times New Roman" w:hAnsi="Times New Roman"/>
          <w:sz w:val="24"/>
          <w:szCs w:val="24"/>
        </w:rPr>
        <w:t xml:space="preserve">In addition to the main data collection for the Outcomes Study, </w:t>
      </w:r>
      <w:r w:rsidRPr="6905ABD3" w:rsidR="00BA4AC7">
        <w:rPr>
          <w:rFonts w:ascii="Times New Roman" w:hAnsi="Times New Roman"/>
          <w:sz w:val="24"/>
          <w:szCs w:val="24"/>
        </w:rPr>
        <w:t xml:space="preserve">RTI will </w:t>
      </w:r>
      <w:r w:rsidRPr="6905ABD3">
        <w:rPr>
          <w:rFonts w:ascii="Times New Roman" w:hAnsi="Times New Roman"/>
          <w:sz w:val="24"/>
          <w:szCs w:val="24"/>
        </w:rPr>
        <w:t xml:space="preserve">recruit </w:t>
      </w:r>
      <w:r w:rsidRPr="6905ABD3" w:rsidR="00DD4D16">
        <w:rPr>
          <w:rFonts w:ascii="Times New Roman" w:hAnsi="Times New Roman"/>
          <w:sz w:val="24"/>
          <w:szCs w:val="24"/>
        </w:rPr>
        <w:t xml:space="preserve">an additional </w:t>
      </w:r>
      <w:r w:rsidRPr="6905ABD3">
        <w:rPr>
          <w:rFonts w:ascii="Times New Roman" w:hAnsi="Times New Roman"/>
          <w:sz w:val="24"/>
          <w:szCs w:val="24"/>
        </w:rPr>
        <w:t>1,500 participants</w:t>
      </w:r>
      <w:r w:rsidRPr="6905ABD3" w:rsidR="001642C9">
        <w:rPr>
          <w:rFonts w:ascii="Times New Roman" w:hAnsi="Times New Roman"/>
          <w:sz w:val="24"/>
          <w:szCs w:val="24"/>
        </w:rPr>
        <w:t xml:space="preserve"> </w:t>
      </w:r>
      <w:r w:rsidRPr="6905ABD3" w:rsidR="00353723">
        <w:rPr>
          <w:rFonts w:ascii="Times New Roman" w:hAnsi="Times New Roman"/>
          <w:sz w:val="24"/>
          <w:szCs w:val="24"/>
        </w:rPr>
        <w:t>a</w:t>
      </w:r>
      <w:r w:rsidRPr="6905ABD3">
        <w:rPr>
          <w:rFonts w:ascii="Times New Roman" w:hAnsi="Times New Roman"/>
          <w:sz w:val="24"/>
          <w:szCs w:val="24"/>
        </w:rPr>
        <w:t>ge</w:t>
      </w:r>
      <w:r w:rsidRPr="6905ABD3" w:rsidR="00BA4AC7">
        <w:rPr>
          <w:rFonts w:ascii="Times New Roman" w:hAnsi="Times New Roman"/>
          <w:sz w:val="24"/>
          <w:szCs w:val="24"/>
        </w:rPr>
        <w:t>s</w:t>
      </w:r>
      <w:r w:rsidRPr="6905ABD3">
        <w:rPr>
          <w:rFonts w:ascii="Times New Roman" w:hAnsi="Times New Roman"/>
          <w:sz w:val="24"/>
          <w:szCs w:val="24"/>
        </w:rPr>
        <w:t xml:space="preserve"> 14 to 20 through social media</w:t>
      </w:r>
      <w:r w:rsidRPr="6905ABD3" w:rsidR="00F0241A">
        <w:rPr>
          <w:rFonts w:ascii="Times New Roman" w:hAnsi="Times New Roman"/>
          <w:sz w:val="24"/>
          <w:szCs w:val="24"/>
        </w:rPr>
        <w:t xml:space="preserve"> (e.g., </w:t>
      </w:r>
      <w:r w:rsidRPr="6905ABD3" w:rsidR="00CD66A7">
        <w:rPr>
          <w:rFonts w:ascii="Times New Roman" w:hAnsi="Times New Roman"/>
          <w:sz w:val="24"/>
          <w:szCs w:val="24"/>
        </w:rPr>
        <w:t>Facebook, Instagram)</w:t>
      </w:r>
      <w:r w:rsidRPr="6905ABD3">
        <w:rPr>
          <w:rFonts w:ascii="Times New Roman" w:hAnsi="Times New Roman"/>
          <w:sz w:val="24"/>
          <w:szCs w:val="24"/>
        </w:rPr>
        <w:t xml:space="preserve"> to complete the online self-administered survey.</w:t>
      </w:r>
      <w:r w:rsidRPr="6905ABD3" w:rsidR="00FF7F3C">
        <w:rPr>
          <w:rFonts w:ascii="Times New Roman" w:hAnsi="Times New Roman"/>
          <w:sz w:val="24"/>
          <w:szCs w:val="24"/>
        </w:rPr>
        <w:t xml:space="preserve"> </w:t>
      </w:r>
      <w:r w:rsidRPr="6905ABD3" w:rsidR="00E21FDD">
        <w:rPr>
          <w:rFonts w:ascii="Times New Roman" w:hAnsi="Times New Roman"/>
          <w:sz w:val="24"/>
          <w:szCs w:val="24"/>
        </w:rPr>
        <w:t xml:space="preserve">RTI has received a waiver of parental permission for participants 14 to </w:t>
      </w:r>
      <w:r w:rsidRPr="6905ABD3" w:rsidR="00C86EF6">
        <w:rPr>
          <w:rFonts w:ascii="Times New Roman" w:hAnsi="Times New Roman"/>
          <w:sz w:val="24"/>
          <w:szCs w:val="24"/>
        </w:rPr>
        <w:t>17. Participants who click on the social media ads</w:t>
      </w:r>
      <w:r w:rsidRPr="6905ABD3" w:rsidR="002F512B">
        <w:rPr>
          <w:rFonts w:ascii="Times New Roman" w:hAnsi="Times New Roman"/>
          <w:sz w:val="24"/>
          <w:szCs w:val="24"/>
        </w:rPr>
        <w:t xml:space="preserve"> will be directed to </w:t>
      </w:r>
      <w:r w:rsidRPr="6905ABD3" w:rsidR="003F58B6">
        <w:rPr>
          <w:rFonts w:ascii="Times New Roman" w:hAnsi="Times New Roman"/>
          <w:sz w:val="24"/>
          <w:szCs w:val="24"/>
        </w:rPr>
        <w:t>a screener to determine eligibility</w:t>
      </w:r>
      <w:r w:rsidRPr="6905ABD3" w:rsidR="00C86EF6">
        <w:rPr>
          <w:rFonts w:ascii="Times New Roman" w:hAnsi="Times New Roman"/>
          <w:sz w:val="24"/>
          <w:szCs w:val="24"/>
        </w:rPr>
        <w:t>.</w:t>
      </w:r>
      <w:r w:rsidRPr="6905ABD3">
        <w:rPr>
          <w:rFonts w:ascii="Times New Roman" w:hAnsi="Times New Roman"/>
          <w:sz w:val="24"/>
          <w:szCs w:val="24"/>
        </w:rPr>
        <w:t xml:space="preserve"> </w:t>
      </w:r>
      <w:r w:rsidRPr="6905ABD3" w:rsidR="00AE280C">
        <w:rPr>
          <w:rFonts w:ascii="Times New Roman" w:hAnsi="Times New Roman"/>
          <w:sz w:val="24"/>
          <w:szCs w:val="24"/>
        </w:rPr>
        <w:t>If eligible, they will be routed to the assent or consent form and then to the baseline survey</w:t>
      </w:r>
      <w:r w:rsidR="009C12B0">
        <w:rPr>
          <w:rFonts w:ascii="Times New Roman" w:hAnsi="Times New Roman"/>
          <w:sz w:val="24"/>
          <w:szCs w:val="24"/>
        </w:rPr>
        <w:t xml:space="preserve"> hosted</w:t>
      </w:r>
      <w:r w:rsidR="007A235B">
        <w:rPr>
          <w:rFonts w:ascii="Times New Roman" w:hAnsi="Times New Roman"/>
          <w:sz w:val="24"/>
          <w:szCs w:val="24"/>
        </w:rPr>
        <w:t xml:space="preserve"> on Qualtrics</w:t>
      </w:r>
      <w:r w:rsidR="00015178">
        <w:rPr>
          <w:rFonts w:ascii="Times New Roman" w:hAnsi="Times New Roman"/>
          <w:sz w:val="24"/>
          <w:szCs w:val="24"/>
        </w:rPr>
        <w:t>’</w:t>
      </w:r>
      <w:r w:rsidR="007A235B">
        <w:rPr>
          <w:rFonts w:ascii="Times New Roman" w:hAnsi="Times New Roman"/>
          <w:sz w:val="24"/>
          <w:szCs w:val="24"/>
        </w:rPr>
        <w:t xml:space="preserve"> secured servers</w:t>
      </w:r>
      <w:r w:rsidRPr="6905ABD3" w:rsidR="00AE280C">
        <w:rPr>
          <w:rFonts w:ascii="Times New Roman" w:hAnsi="Times New Roman"/>
          <w:sz w:val="24"/>
          <w:szCs w:val="24"/>
        </w:rPr>
        <w:t>.</w:t>
      </w:r>
      <w:r w:rsidR="00015178">
        <w:rPr>
          <w:rFonts w:ascii="Times New Roman" w:hAnsi="Times New Roman"/>
          <w:sz w:val="24"/>
          <w:szCs w:val="24"/>
        </w:rPr>
        <w:t xml:space="preserve"> </w:t>
      </w:r>
      <w:r w:rsidRPr="00015178" w:rsidR="00015178">
        <w:rPr>
          <w:rFonts w:ascii="Times New Roman" w:hAnsi="Times New Roman"/>
          <w:sz w:val="24"/>
          <w:szCs w:val="24"/>
        </w:rPr>
        <w:t xml:space="preserve">Screener data and survey data will be stored separately on Qualtrics servers and encrypted at rest. RTI will use a Secure Sockets Layer (SSL) connection to download data from Qualtrics servers to RTI servers. </w:t>
      </w:r>
      <w:r w:rsidRPr="6905ABD3" w:rsidR="00353723">
        <w:rPr>
          <w:rFonts w:ascii="Times New Roman" w:hAnsi="Times New Roman"/>
          <w:sz w:val="24"/>
          <w:szCs w:val="24"/>
        </w:rPr>
        <w:t>T</w:t>
      </w:r>
      <w:r w:rsidRPr="6905ABD3" w:rsidR="000A41BD">
        <w:rPr>
          <w:rFonts w:ascii="Times New Roman" w:hAnsi="Times New Roman"/>
          <w:sz w:val="24"/>
          <w:szCs w:val="24"/>
        </w:rPr>
        <w:t>h</w:t>
      </w:r>
      <w:r w:rsidRPr="6905ABD3" w:rsidR="00353723">
        <w:rPr>
          <w:rFonts w:ascii="Times New Roman" w:hAnsi="Times New Roman"/>
          <w:sz w:val="24"/>
          <w:szCs w:val="24"/>
        </w:rPr>
        <w:t xml:space="preserve">e final study sample </w:t>
      </w:r>
      <w:r w:rsidRPr="6905ABD3" w:rsidR="006E3FF1">
        <w:rPr>
          <w:rFonts w:ascii="Times New Roman" w:hAnsi="Times New Roman"/>
          <w:sz w:val="24"/>
          <w:szCs w:val="24"/>
        </w:rPr>
        <w:t>at baseline, com</w:t>
      </w:r>
      <w:r w:rsidRPr="6905ABD3" w:rsidR="00614CEA">
        <w:rPr>
          <w:rFonts w:ascii="Times New Roman" w:hAnsi="Times New Roman"/>
          <w:sz w:val="24"/>
          <w:szCs w:val="24"/>
        </w:rPr>
        <w:t xml:space="preserve">bining the main and supplemental data collections, </w:t>
      </w:r>
      <w:r w:rsidRPr="6905ABD3" w:rsidR="006E3FF1">
        <w:rPr>
          <w:rFonts w:ascii="Times New Roman" w:hAnsi="Times New Roman"/>
          <w:sz w:val="24"/>
          <w:szCs w:val="24"/>
        </w:rPr>
        <w:t>will be 7,</w:t>
      </w:r>
      <w:r w:rsidRPr="6905ABD3" w:rsidR="00614CEA">
        <w:rPr>
          <w:rFonts w:ascii="Times New Roman" w:hAnsi="Times New Roman"/>
          <w:sz w:val="24"/>
          <w:szCs w:val="24"/>
        </w:rPr>
        <w:t xml:space="preserve">500. </w:t>
      </w:r>
      <w:r w:rsidRPr="6905ABD3">
        <w:rPr>
          <w:rFonts w:ascii="Times New Roman" w:hAnsi="Times New Roman"/>
          <w:sz w:val="24"/>
          <w:szCs w:val="24"/>
        </w:rPr>
        <w:t xml:space="preserve">RTI will administer the online surveys with subpopulations shown to be at higher risk of initiating use of cigarettes and electronic nicotine delivery systems (ENDS) products, such as youth who identify as LGBTQ+ and youth who have a mental health disorder.  </w:t>
      </w:r>
    </w:p>
    <w:p w:rsidR="00A475CD" w:rsidP="006577E1" w14:paraId="475166DE" w14:textId="18E424B3">
      <w:pPr>
        <w:spacing w:after="0" w:line="240" w:lineRule="auto"/>
        <w:ind w:left="720"/>
        <w:rPr>
          <w:rFonts w:ascii="Times New Roman" w:hAnsi="Times New Roman"/>
          <w:sz w:val="24"/>
          <w:szCs w:val="24"/>
        </w:rPr>
      </w:pPr>
    </w:p>
    <w:p w:rsidR="00A475CD" w:rsidP="006577E1" w14:paraId="03609689" w14:textId="084907FA">
      <w:pPr>
        <w:spacing w:after="0" w:line="240" w:lineRule="auto"/>
        <w:ind w:left="720"/>
        <w:rPr>
          <w:rFonts w:ascii="Times New Roman" w:hAnsi="Times New Roman"/>
          <w:sz w:val="24"/>
          <w:szCs w:val="24"/>
        </w:rPr>
      </w:pPr>
      <w:r w:rsidRPr="00A475CD">
        <w:rPr>
          <w:rFonts w:ascii="Times New Roman" w:hAnsi="Times New Roman"/>
          <w:sz w:val="24"/>
          <w:szCs w:val="24"/>
        </w:rPr>
        <w:t>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p>
    <w:p w:rsidR="006E2CCE" w:rsidP="006577E1" w14:paraId="7A7709EF" w14:textId="77777777">
      <w:pPr>
        <w:spacing w:after="0" w:line="240" w:lineRule="auto"/>
        <w:ind w:left="720"/>
        <w:rPr>
          <w:rFonts w:ascii="Times New Roman" w:hAnsi="Times New Roman"/>
          <w:sz w:val="24"/>
          <w:szCs w:val="24"/>
        </w:rPr>
      </w:pPr>
    </w:p>
    <w:p w:rsidR="006E2CCE" w:rsidRPr="006577E1" w:rsidP="006577E1" w14:paraId="7C5DAB87" w14:textId="483CD768">
      <w:pPr>
        <w:spacing w:after="0" w:line="240" w:lineRule="auto"/>
        <w:ind w:left="720"/>
        <w:rPr>
          <w:rFonts w:ascii="Times New Roman" w:hAnsi="Times New Roman"/>
          <w:sz w:val="24"/>
          <w:szCs w:val="24"/>
        </w:rPr>
      </w:pPr>
      <w:r w:rsidRPr="006E2CCE">
        <w:rPr>
          <w:rFonts w:ascii="Times New Roman" w:hAnsi="Times New Roman"/>
          <w:sz w:val="24"/>
          <w:szCs w:val="24"/>
        </w:rPr>
        <w:t>Along with requirements to collect SOGI data from the highest levels of the federal government, LGBTQ+ community advocacy organizations are not discouraging the collection of SOGI data from youth and routinely conduct surveys on the health of LGBTQ+ youth. These organizations rely on data to be able to serve, support, and advocate for LGBTQ+ populations. Two such surveys include The Human Rights Campaign LGBTQ+ youth report (The Human Rights Campaign Foundation, 2018) and The Trevor Project National Survey on LGBTQ Youth Mental Health (The Trevor Project, 2020). From these and other data collection efforts, researchers and advocates for LGBTQ+ advocates are using data to gain important insights into the disparities that these youth experience and identify opportunities to address these disparities.  To remain in line with community advocacy organizations, the federal government must not erase LGBTQ+ youth from federal data collections.</w:t>
      </w:r>
    </w:p>
    <w:p w:rsidR="00526EBF" w:rsidP="006577E1" w14:paraId="6F07E95A" w14:textId="77777777">
      <w:pPr>
        <w:spacing w:after="0" w:line="240" w:lineRule="auto"/>
        <w:ind w:left="720"/>
        <w:rPr>
          <w:rFonts w:ascii="Times New Roman" w:hAnsi="Times New Roman"/>
          <w:sz w:val="24"/>
        </w:rPr>
      </w:pPr>
    </w:p>
    <w:p w:rsidR="00526EBF" w:rsidRPr="00526EBF" w:rsidP="006577E1" w14:paraId="39CB1068" w14:textId="104F7D0B">
      <w:pPr>
        <w:spacing w:after="0" w:line="240" w:lineRule="auto"/>
        <w:ind w:left="720"/>
        <w:rPr>
          <w:rFonts w:ascii="Times New Roman" w:hAnsi="Times New Roman"/>
          <w:i/>
          <w:iCs/>
          <w:sz w:val="24"/>
        </w:rPr>
      </w:pPr>
      <w:r>
        <w:rPr>
          <w:rFonts w:ascii="Times New Roman" w:hAnsi="Times New Roman"/>
          <w:i/>
          <w:iCs/>
          <w:sz w:val="24"/>
        </w:rPr>
        <w:t>Outcomes Study – Follow-up Data Collection</w:t>
      </w:r>
    </w:p>
    <w:p w:rsidR="00447CB7" w:rsidP="00447CB7" w14:paraId="67951511" w14:textId="515289BE">
      <w:pPr>
        <w:spacing w:after="0" w:line="240" w:lineRule="auto"/>
        <w:ind w:left="720"/>
        <w:rPr>
          <w:rFonts w:ascii="Times New Roman" w:hAnsi="Times New Roman"/>
          <w:sz w:val="24"/>
          <w:szCs w:val="24"/>
        </w:rPr>
      </w:pPr>
      <w:r w:rsidRPr="2E0C0E48">
        <w:rPr>
          <w:rFonts w:ascii="Times New Roman" w:hAnsi="Times New Roman"/>
          <w:sz w:val="24"/>
          <w:szCs w:val="24"/>
        </w:rPr>
        <w:t>All respondents who complete the baseline survey will be invited to participate in each of three follow-up surveys, which will occur approximately every six</w:t>
      </w:r>
      <w:r w:rsidRPr="2E0C0E48" w:rsidR="00206792">
        <w:rPr>
          <w:rFonts w:ascii="Times New Roman" w:hAnsi="Times New Roman"/>
          <w:sz w:val="24"/>
          <w:szCs w:val="24"/>
        </w:rPr>
        <w:t xml:space="preserve"> </w:t>
      </w:r>
      <w:r w:rsidRPr="2E0C0E48">
        <w:rPr>
          <w:rFonts w:ascii="Times New Roman" w:hAnsi="Times New Roman"/>
          <w:sz w:val="24"/>
          <w:szCs w:val="24"/>
        </w:rPr>
        <w:t>months over a two-year period.</w:t>
      </w:r>
      <w:r w:rsidRPr="2E0C0E48" w:rsidR="00CC1778">
        <w:rPr>
          <w:rFonts w:ascii="Times New Roman" w:hAnsi="Times New Roman"/>
          <w:sz w:val="24"/>
          <w:szCs w:val="24"/>
        </w:rPr>
        <w:t xml:space="preserve"> </w:t>
      </w:r>
      <w:r w:rsidRPr="2E0C0E48" w:rsidR="00AD64AC">
        <w:rPr>
          <w:rFonts w:ascii="Times New Roman" w:eastAsia="Times New Roman" w:hAnsi="Times New Roman"/>
          <w:sz w:val="24"/>
          <w:szCs w:val="24"/>
        </w:rPr>
        <w:t>As the cohort will be aging over th</w:t>
      </w:r>
      <w:r w:rsidRPr="2E0C0E48" w:rsidR="0033051B">
        <w:rPr>
          <w:rFonts w:ascii="Times New Roman" w:eastAsia="Times New Roman" w:hAnsi="Times New Roman"/>
          <w:sz w:val="24"/>
          <w:szCs w:val="24"/>
        </w:rPr>
        <w:t>e study</w:t>
      </w:r>
      <w:r w:rsidRPr="2E0C0E48" w:rsidR="00AD64AC">
        <w:rPr>
          <w:rFonts w:ascii="Times New Roman" w:eastAsia="Times New Roman" w:hAnsi="Times New Roman"/>
          <w:sz w:val="24"/>
          <w:szCs w:val="24"/>
        </w:rPr>
        <w:t xml:space="preserve"> period, the data collected throughout the study will reflect information from youth age</w:t>
      </w:r>
      <w:r w:rsidRPr="2E0C0E48" w:rsidR="0032127A">
        <w:rPr>
          <w:rFonts w:ascii="Times New Roman" w:eastAsia="Times New Roman" w:hAnsi="Times New Roman"/>
          <w:sz w:val="24"/>
          <w:szCs w:val="24"/>
        </w:rPr>
        <w:t>s</w:t>
      </w:r>
      <w:r w:rsidRPr="2E0C0E48" w:rsidR="00AD64AC">
        <w:rPr>
          <w:rFonts w:ascii="Times New Roman" w:eastAsia="Times New Roman" w:hAnsi="Times New Roman"/>
          <w:sz w:val="24"/>
          <w:szCs w:val="24"/>
        </w:rPr>
        <w:t xml:space="preserve"> 11 to </w:t>
      </w:r>
      <w:r w:rsidRPr="2E0C0E48" w:rsidR="008B5D56">
        <w:rPr>
          <w:rFonts w:ascii="Times New Roman" w:eastAsia="Times New Roman" w:hAnsi="Times New Roman"/>
          <w:sz w:val="24"/>
          <w:szCs w:val="24"/>
        </w:rPr>
        <w:t>2</w:t>
      </w:r>
      <w:r w:rsidRPr="2E0C0E48" w:rsidR="00713934">
        <w:rPr>
          <w:rFonts w:ascii="Times New Roman" w:eastAsia="Times New Roman" w:hAnsi="Times New Roman"/>
          <w:sz w:val="24"/>
          <w:szCs w:val="24"/>
        </w:rPr>
        <w:t>3</w:t>
      </w:r>
      <w:r w:rsidRPr="2E0C0E48" w:rsidR="00AD64AC">
        <w:rPr>
          <w:rFonts w:ascii="Times New Roman" w:eastAsia="Times New Roman" w:hAnsi="Times New Roman"/>
          <w:sz w:val="24"/>
          <w:szCs w:val="24"/>
        </w:rPr>
        <w:t>.</w:t>
      </w:r>
      <w:r w:rsidRPr="2E0C0E48" w:rsidR="0032127A">
        <w:rPr>
          <w:rFonts w:ascii="Times New Roman" w:eastAsia="Times New Roman" w:hAnsi="Times New Roman"/>
          <w:sz w:val="24"/>
          <w:szCs w:val="24"/>
        </w:rPr>
        <w:t xml:space="preserve"> </w:t>
      </w:r>
    </w:p>
    <w:p w:rsidR="009C7ACB" w:rsidRPr="00447CB7" w:rsidP="00447CB7" w14:paraId="3FB6FE22" w14:textId="77777777">
      <w:pPr>
        <w:spacing w:after="0" w:line="240" w:lineRule="auto"/>
        <w:ind w:left="720"/>
        <w:rPr>
          <w:rFonts w:ascii="Times New Roman" w:eastAsia="Times New Roman" w:hAnsi="Times New Roman"/>
          <w:sz w:val="24"/>
          <w:szCs w:val="24"/>
        </w:rPr>
      </w:pPr>
    </w:p>
    <w:p w:rsidR="006E1502" w:rsidP="00447CB7" w14:paraId="7D1B18F2" w14:textId="7EDD1657">
      <w:pPr>
        <w:spacing w:after="0" w:line="240" w:lineRule="auto"/>
        <w:ind w:left="720"/>
        <w:rPr>
          <w:rFonts w:ascii="Times New Roman" w:eastAsia="Times New Roman" w:hAnsi="Times New Roman"/>
          <w:sz w:val="24"/>
          <w:szCs w:val="24"/>
        </w:rPr>
      </w:pPr>
      <w:r w:rsidRPr="01908AE1">
        <w:rPr>
          <w:rFonts w:ascii="Times New Roman" w:eastAsia="Times New Roman" w:hAnsi="Times New Roman"/>
          <w:sz w:val="24"/>
          <w:szCs w:val="24"/>
        </w:rPr>
        <w:t>We estimate that we will lose approximately 20% of respondents at each wave of data collection. Therefore</w:t>
      </w:r>
      <w:r w:rsidRPr="01908AE1" w:rsidR="7CE199CC">
        <w:rPr>
          <w:rFonts w:ascii="Times New Roman" w:eastAsia="Times New Roman" w:hAnsi="Times New Roman"/>
          <w:sz w:val="24"/>
          <w:szCs w:val="24"/>
        </w:rPr>
        <w:t>, at follow-up 2, we will replenish the sample</w:t>
      </w:r>
      <w:r w:rsidRPr="01908AE1" w:rsidR="6FD429D9">
        <w:rPr>
          <w:rFonts w:ascii="Times New Roman" w:eastAsia="Times New Roman" w:hAnsi="Times New Roman"/>
          <w:sz w:val="24"/>
          <w:szCs w:val="24"/>
        </w:rPr>
        <w:t xml:space="preserve"> by sending additional “baseline” screeners to new households. We will mail recruitment and stu</w:t>
      </w:r>
      <w:r w:rsidRPr="01908AE1" w:rsidR="6AEAF8B3">
        <w:rPr>
          <w:rFonts w:ascii="Times New Roman" w:eastAsia="Times New Roman" w:hAnsi="Times New Roman"/>
          <w:sz w:val="24"/>
          <w:szCs w:val="24"/>
        </w:rPr>
        <w:t>dy materials to an additional 145,000 households and estimate that we’ll receive 72,500 completed screeners</w:t>
      </w:r>
      <w:r w:rsidRPr="01908AE1" w:rsidR="1BEC9533">
        <w:rPr>
          <w:rFonts w:ascii="Times New Roman" w:eastAsia="Times New Roman" w:hAnsi="Times New Roman"/>
          <w:sz w:val="24"/>
          <w:szCs w:val="24"/>
        </w:rPr>
        <w:t xml:space="preserve">. </w:t>
      </w:r>
      <w:r w:rsidRPr="01908AE1" w:rsidR="7A85F70A">
        <w:rPr>
          <w:rFonts w:ascii="Times New Roman" w:eastAsia="Times New Roman" w:hAnsi="Times New Roman"/>
          <w:sz w:val="24"/>
          <w:szCs w:val="24"/>
        </w:rPr>
        <w:t xml:space="preserve">For eligible </w:t>
      </w:r>
      <w:r w:rsidRPr="01908AE1" w:rsidR="7AEB9C2F">
        <w:rPr>
          <w:rFonts w:ascii="Times New Roman" w:eastAsia="Times New Roman" w:hAnsi="Times New Roman"/>
          <w:sz w:val="24"/>
          <w:szCs w:val="24"/>
        </w:rPr>
        <w:t xml:space="preserve">households, </w:t>
      </w:r>
      <w:r w:rsidRPr="01908AE1" w:rsidR="7A85F70A">
        <w:rPr>
          <w:rFonts w:ascii="Times New Roman" w:eastAsia="Times New Roman" w:hAnsi="Times New Roman"/>
          <w:sz w:val="24"/>
          <w:szCs w:val="24"/>
        </w:rPr>
        <w:t xml:space="preserve">we will ask the parent/guardian to list all eligible youth in their households </w:t>
      </w:r>
      <w:r w:rsidRPr="01908AE1" w:rsidR="4B55F7CA">
        <w:rPr>
          <w:rFonts w:ascii="Times New Roman" w:eastAsia="Times New Roman" w:hAnsi="Times New Roman"/>
          <w:sz w:val="24"/>
          <w:szCs w:val="24"/>
        </w:rPr>
        <w:t xml:space="preserve">that can be selected for participation in the </w:t>
      </w:r>
      <w:r w:rsidRPr="01908AE1" w:rsidR="7A85F70A">
        <w:rPr>
          <w:rFonts w:ascii="Times New Roman" w:eastAsia="Times New Roman" w:hAnsi="Times New Roman"/>
          <w:sz w:val="24"/>
          <w:szCs w:val="24"/>
        </w:rPr>
        <w:t>study, a process called rostering</w:t>
      </w:r>
      <w:r w:rsidRPr="01908AE1" w:rsidR="10FB7008">
        <w:rPr>
          <w:rFonts w:ascii="Times New Roman" w:eastAsia="Times New Roman" w:hAnsi="Times New Roman"/>
          <w:sz w:val="24"/>
          <w:szCs w:val="24"/>
        </w:rPr>
        <w:t xml:space="preserve">. </w:t>
      </w:r>
      <w:r w:rsidRPr="01908AE1" w:rsidR="7A85F70A">
        <w:rPr>
          <w:rFonts w:ascii="Times New Roman" w:eastAsia="Times New Roman" w:hAnsi="Times New Roman"/>
          <w:sz w:val="24"/>
          <w:szCs w:val="24"/>
        </w:rPr>
        <w:t xml:space="preserve">Households completing the screener by mail will be contacted to complete a computer assisted telephone interview (CATI) where an interviewer will determine eligibility and obtain parental permission. From these completed screeners, we estimate that we will obtain data from an additional 2,160 youth within approximately 1,500 households. Replenishing the sample will allow us to obtain 6,000 youth respondents at FU2 (3,840 from the original </w:t>
      </w:r>
      <w:r w:rsidRPr="01908AE1" w:rsidR="2C3AABB7">
        <w:rPr>
          <w:rFonts w:ascii="Times New Roman" w:eastAsia="Times New Roman" w:hAnsi="Times New Roman"/>
          <w:sz w:val="24"/>
          <w:szCs w:val="24"/>
        </w:rPr>
        <w:t xml:space="preserve">main </w:t>
      </w:r>
      <w:r w:rsidRPr="01908AE1" w:rsidR="7A85F70A">
        <w:rPr>
          <w:rFonts w:ascii="Times New Roman" w:eastAsia="Times New Roman" w:hAnsi="Times New Roman"/>
          <w:sz w:val="24"/>
          <w:szCs w:val="24"/>
        </w:rPr>
        <w:t>sample, and 2,160 from the replenishment sample) and maintain a minimum study sample of 4,800 respondent</w:t>
      </w:r>
      <w:r w:rsidRPr="01908AE1" w:rsidR="787C6D61">
        <w:rPr>
          <w:rFonts w:ascii="Times New Roman" w:eastAsia="Times New Roman" w:hAnsi="Times New Roman"/>
          <w:sz w:val="24"/>
          <w:szCs w:val="24"/>
        </w:rPr>
        <w:t>s</w:t>
      </w:r>
      <w:r w:rsidRPr="01908AE1" w:rsidR="7A85F70A">
        <w:rPr>
          <w:rFonts w:ascii="Times New Roman" w:eastAsia="Times New Roman" w:hAnsi="Times New Roman"/>
          <w:sz w:val="24"/>
          <w:szCs w:val="24"/>
        </w:rPr>
        <w:t xml:space="preserve"> at all study waves.</w:t>
      </w:r>
      <w:r w:rsidRPr="01908AE1" w:rsidR="56AAAF96">
        <w:rPr>
          <w:rFonts w:ascii="Times New Roman" w:eastAsia="Times New Roman" w:hAnsi="Times New Roman"/>
          <w:sz w:val="24"/>
          <w:szCs w:val="24"/>
        </w:rPr>
        <w:t xml:space="preserve"> </w:t>
      </w:r>
      <w:r w:rsidRPr="01908AE1" w:rsidR="0D81FC82">
        <w:rPr>
          <w:rFonts w:ascii="Times New Roman" w:eastAsia="Times New Roman" w:hAnsi="Times New Roman"/>
          <w:sz w:val="24"/>
          <w:szCs w:val="24"/>
        </w:rPr>
        <w:t xml:space="preserve">Additionally, </w:t>
      </w:r>
      <w:r w:rsidRPr="01908AE1" w:rsidR="59E02364">
        <w:rPr>
          <w:rFonts w:ascii="Times New Roman" w:eastAsia="Times New Roman" w:hAnsi="Times New Roman"/>
          <w:sz w:val="24"/>
          <w:szCs w:val="24"/>
        </w:rPr>
        <w:t xml:space="preserve">we will have a convenience sample of 1,500 youth at baseline. </w:t>
      </w:r>
      <w:r w:rsidRPr="01908AE1" w:rsidR="68F34C41">
        <w:rPr>
          <w:rFonts w:ascii="Times New Roman" w:eastAsia="Times New Roman" w:hAnsi="Times New Roman"/>
          <w:sz w:val="24"/>
          <w:szCs w:val="24"/>
        </w:rPr>
        <w:t>We e</w:t>
      </w:r>
      <w:r w:rsidRPr="01908AE1" w:rsidR="0D81FC82">
        <w:rPr>
          <w:rFonts w:ascii="Times New Roman" w:eastAsia="Times New Roman" w:hAnsi="Times New Roman"/>
          <w:sz w:val="24"/>
          <w:szCs w:val="24"/>
        </w:rPr>
        <w:t>stimate that we will lose approximately 20%</w:t>
      </w:r>
      <w:r w:rsidRPr="01908AE1" w:rsidR="10FB7008">
        <w:rPr>
          <w:rFonts w:ascii="Times New Roman" w:eastAsia="Times New Roman" w:hAnsi="Times New Roman"/>
          <w:sz w:val="24"/>
          <w:szCs w:val="24"/>
        </w:rPr>
        <w:t xml:space="preserve"> </w:t>
      </w:r>
      <w:r w:rsidRPr="01908AE1" w:rsidR="2DD04AC8">
        <w:rPr>
          <w:rFonts w:ascii="Times New Roman" w:eastAsia="Times New Roman" w:hAnsi="Times New Roman"/>
          <w:sz w:val="24"/>
          <w:szCs w:val="24"/>
        </w:rPr>
        <w:t>of the baseline</w:t>
      </w:r>
      <w:r w:rsidRPr="01908AE1" w:rsidR="52927572">
        <w:rPr>
          <w:rFonts w:ascii="Times New Roman" w:eastAsia="Times New Roman" w:hAnsi="Times New Roman"/>
          <w:sz w:val="24"/>
          <w:szCs w:val="24"/>
        </w:rPr>
        <w:t xml:space="preserve"> supplemental sample </w:t>
      </w:r>
      <w:r w:rsidRPr="01908AE1" w:rsidR="01A7E510">
        <w:rPr>
          <w:rFonts w:ascii="Times New Roman" w:eastAsia="Times New Roman" w:hAnsi="Times New Roman"/>
          <w:sz w:val="24"/>
          <w:szCs w:val="24"/>
        </w:rPr>
        <w:t>at each follow-up</w:t>
      </w:r>
      <w:r w:rsidR="00D061B7">
        <w:rPr>
          <w:rFonts w:ascii="Times New Roman" w:eastAsia="Times New Roman" w:hAnsi="Times New Roman"/>
          <w:sz w:val="24"/>
          <w:szCs w:val="24"/>
        </w:rPr>
        <w:t xml:space="preserve"> </w:t>
      </w:r>
      <w:r w:rsidRPr="01908AE1" w:rsidR="01A7E510">
        <w:rPr>
          <w:rFonts w:ascii="Times New Roman" w:eastAsia="Times New Roman" w:hAnsi="Times New Roman"/>
          <w:sz w:val="24"/>
          <w:szCs w:val="24"/>
        </w:rPr>
        <w:t>wave, resulting in 1,200 participants at follow-up 1, 960 at follow-up 2</w:t>
      </w:r>
      <w:r w:rsidRPr="01908AE1" w:rsidR="42603279">
        <w:rPr>
          <w:rFonts w:ascii="Times New Roman" w:eastAsia="Times New Roman" w:hAnsi="Times New Roman"/>
          <w:sz w:val="24"/>
          <w:szCs w:val="24"/>
        </w:rPr>
        <w:t xml:space="preserve">, and 768 at follow-up 3. </w:t>
      </w:r>
      <w:r w:rsidRPr="01908AE1" w:rsidR="2DD04AC8">
        <w:rPr>
          <w:rFonts w:ascii="Times New Roman" w:eastAsia="Times New Roman" w:hAnsi="Times New Roman"/>
          <w:sz w:val="24"/>
          <w:szCs w:val="24"/>
        </w:rPr>
        <w:t xml:space="preserve"> </w:t>
      </w:r>
    </w:p>
    <w:p w:rsidR="006E1502" w:rsidP="00447CB7" w14:paraId="71238497" w14:textId="77777777">
      <w:pPr>
        <w:spacing w:after="0" w:line="240" w:lineRule="auto"/>
        <w:ind w:left="720"/>
        <w:rPr>
          <w:rFonts w:ascii="Times New Roman" w:eastAsia="Times New Roman" w:hAnsi="Times New Roman"/>
          <w:sz w:val="24"/>
          <w:szCs w:val="24"/>
        </w:rPr>
      </w:pPr>
    </w:p>
    <w:p w:rsidR="003C7DC1" w:rsidP="003C7DC1" w14:paraId="6043BC98" w14:textId="441F4336">
      <w:pPr>
        <w:spacing w:after="0" w:line="240" w:lineRule="auto"/>
        <w:ind w:left="720"/>
        <w:rPr>
          <w:rFonts w:ascii="Times New Roman" w:eastAsia="Times New Roman" w:hAnsi="Times New Roman"/>
          <w:sz w:val="24"/>
          <w:szCs w:val="24"/>
        </w:rPr>
      </w:pPr>
      <w:r w:rsidRPr="355AA622">
        <w:rPr>
          <w:rFonts w:ascii="Times New Roman" w:eastAsia="Times New Roman" w:hAnsi="Times New Roman"/>
          <w:sz w:val="24"/>
          <w:szCs w:val="24"/>
        </w:rPr>
        <w:t xml:space="preserve">The </w:t>
      </w:r>
      <w:r w:rsidRPr="355AA622" w:rsidR="66BA8DAE">
        <w:rPr>
          <w:rFonts w:ascii="Times New Roman" w:eastAsia="Times New Roman" w:hAnsi="Times New Roman"/>
          <w:sz w:val="24"/>
          <w:szCs w:val="24"/>
        </w:rPr>
        <w:t>youth</w:t>
      </w:r>
      <w:r w:rsidRPr="355AA622">
        <w:rPr>
          <w:rFonts w:ascii="Times New Roman" w:eastAsia="Times New Roman" w:hAnsi="Times New Roman"/>
          <w:sz w:val="24"/>
          <w:szCs w:val="24"/>
        </w:rPr>
        <w:t xml:space="preserve"> surveys </w:t>
      </w:r>
      <w:r w:rsidRPr="355AA622" w:rsidR="31265B48">
        <w:rPr>
          <w:rFonts w:ascii="Times New Roman" w:eastAsia="Times New Roman" w:hAnsi="Times New Roman"/>
          <w:sz w:val="24"/>
          <w:szCs w:val="24"/>
        </w:rPr>
        <w:t xml:space="preserve">will </w:t>
      </w:r>
      <w:r w:rsidRPr="355AA622">
        <w:rPr>
          <w:rFonts w:ascii="Times New Roman" w:eastAsia="Times New Roman" w:hAnsi="Times New Roman"/>
          <w:sz w:val="24"/>
          <w:szCs w:val="24"/>
        </w:rPr>
        <w:t xml:space="preserve">include the same set of items at baseline and follow-up with the exception of items </w:t>
      </w:r>
      <w:r w:rsidRPr="355AA622" w:rsidR="2AB3621D">
        <w:rPr>
          <w:rFonts w:ascii="Times New Roman" w:eastAsia="Times New Roman" w:hAnsi="Times New Roman"/>
          <w:sz w:val="24"/>
          <w:szCs w:val="24"/>
        </w:rPr>
        <w:t>that will be revised to reflect changes in campaign messaging over time</w:t>
      </w:r>
      <w:r w:rsidRPr="355AA622">
        <w:rPr>
          <w:rFonts w:ascii="Times New Roman" w:eastAsia="Times New Roman" w:hAnsi="Times New Roman"/>
          <w:sz w:val="24"/>
          <w:szCs w:val="24"/>
        </w:rPr>
        <w:t>.</w:t>
      </w:r>
      <w:r w:rsidRPr="355AA622" w:rsidR="686544A2">
        <w:rPr>
          <w:rFonts w:ascii="Times New Roman" w:eastAsia="Times New Roman" w:hAnsi="Times New Roman"/>
          <w:sz w:val="24"/>
          <w:szCs w:val="24"/>
        </w:rPr>
        <w:t xml:space="preserve"> </w:t>
      </w:r>
      <w:r w:rsidRPr="355AA622">
        <w:rPr>
          <w:rFonts w:ascii="Times New Roman" w:eastAsia="Times New Roman" w:hAnsi="Times New Roman"/>
          <w:sz w:val="24"/>
          <w:szCs w:val="24"/>
        </w:rPr>
        <w:t>The youth survey instrument includes measures of demographics; tobacco use behavior; intentions to use tobacco;</w:t>
      </w:r>
      <w:r w:rsidRPr="355AA622" w:rsidR="55AC5588">
        <w:rPr>
          <w:rFonts w:ascii="Times New Roman" w:eastAsia="Times New Roman" w:hAnsi="Times New Roman"/>
          <w:sz w:val="24"/>
          <w:szCs w:val="24"/>
        </w:rPr>
        <w:t xml:space="preserve"> </w:t>
      </w:r>
      <w:r w:rsidRPr="355AA622">
        <w:rPr>
          <w:rFonts w:ascii="Times New Roman" w:eastAsia="Times New Roman" w:hAnsi="Times New Roman"/>
          <w:sz w:val="24"/>
          <w:szCs w:val="24"/>
        </w:rPr>
        <w:t>media use and awareness; environmental questions</w:t>
      </w:r>
      <w:r w:rsidRPr="355AA622" w:rsidR="1D89785A">
        <w:rPr>
          <w:rFonts w:ascii="Times New Roman" w:eastAsia="Times New Roman" w:hAnsi="Times New Roman"/>
          <w:sz w:val="24"/>
          <w:szCs w:val="24"/>
        </w:rPr>
        <w:t xml:space="preserve">; </w:t>
      </w:r>
      <w:r w:rsidRPr="355AA622">
        <w:rPr>
          <w:rFonts w:ascii="Times New Roman" w:eastAsia="Times New Roman" w:hAnsi="Times New Roman"/>
          <w:sz w:val="24"/>
          <w:szCs w:val="24"/>
        </w:rPr>
        <w:t>measures of awareness of and exposure to the campaign</w:t>
      </w:r>
      <w:r w:rsidRPr="355AA622" w:rsidR="1D89785A">
        <w:rPr>
          <w:rFonts w:ascii="Times New Roman" w:eastAsia="Times New Roman" w:hAnsi="Times New Roman"/>
          <w:sz w:val="24"/>
          <w:szCs w:val="24"/>
        </w:rPr>
        <w:t xml:space="preserve"> materials</w:t>
      </w:r>
      <w:r w:rsidRPr="355AA622" w:rsidR="4A421ACA">
        <w:rPr>
          <w:rFonts w:ascii="Times New Roman" w:eastAsia="Times New Roman" w:hAnsi="Times New Roman"/>
          <w:sz w:val="24"/>
          <w:szCs w:val="24"/>
        </w:rPr>
        <w:t>, and outcome constructs</w:t>
      </w:r>
      <w:r w:rsidRPr="355AA622">
        <w:rPr>
          <w:rFonts w:ascii="Times New Roman" w:eastAsia="Times New Roman" w:hAnsi="Times New Roman"/>
          <w:sz w:val="24"/>
          <w:szCs w:val="24"/>
        </w:rPr>
        <w:t>.</w:t>
      </w:r>
      <w:r w:rsidRPr="355AA622" w:rsidR="6360D639">
        <w:rPr>
          <w:rFonts w:ascii="Times New Roman" w:eastAsia="Times New Roman" w:hAnsi="Times New Roman"/>
          <w:sz w:val="24"/>
          <w:szCs w:val="24"/>
        </w:rPr>
        <w:t xml:space="preserve"> Outcome constructs include</w:t>
      </w:r>
      <w:r w:rsidRPr="355AA622" w:rsidR="0035B15B">
        <w:rPr>
          <w:rFonts w:ascii="Times New Roman" w:eastAsia="Times New Roman" w:hAnsi="Times New Roman"/>
          <w:sz w:val="24"/>
          <w:szCs w:val="24"/>
        </w:rPr>
        <w:t xml:space="preserve"> beliefs targeted by messages</w:t>
      </w:r>
      <w:r w:rsidRPr="355AA622" w:rsidR="73599364">
        <w:rPr>
          <w:rFonts w:ascii="Times New Roman" w:eastAsia="Times New Roman" w:hAnsi="Times New Roman"/>
          <w:sz w:val="24"/>
          <w:szCs w:val="24"/>
        </w:rPr>
        <w:t xml:space="preserve">, </w:t>
      </w:r>
      <w:r w:rsidRPr="355AA622" w:rsidR="0DAC5BB0">
        <w:rPr>
          <w:rFonts w:ascii="Times New Roman" w:eastAsia="Times New Roman" w:hAnsi="Times New Roman"/>
          <w:sz w:val="24"/>
          <w:szCs w:val="24"/>
        </w:rPr>
        <w:t xml:space="preserve">the </w:t>
      </w:r>
      <w:r w:rsidRPr="355AA622" w:rsidR="0035B15B">
        <w:rPr>
          <w:rFonts w:ascii="Times New Roman" w:eastAsia="Times New Roman" w:hAnsi="Times New Roman"/>
          <w:sz w:val="24"/>
          <w:szCs w:val="24"/>
        </w:rPr>
        <w:t xml:space="preserve">impact </w:t>
      </w:r>
      <w:r w:rsidRPr="355AA622" w:rsidR="0DAC5BB0">
        <w:rPr>
          <w:rFonts w:ascii="Times New Roman" w:eastAsia="Times New Roman" w:hAnsi="Times New Roman"/>
          <w:sz w:val="24"/>
          <w:szCs w:val="24"/>
        </w:rPr>
        <w:t xml:space="preserve">of the campaign </w:t>
      </w:r>
      <w:r w:rsidRPr="355AA622" w:rsidR="0035B15B">
        <w:rPr>
          <w:rFonts w:ascii="Times New Roman" w:eastAsia="Times New Roman" w:hAnsi="Times New Roman"/>
          <w:sz w:val="24"/>
          <w:szCs w:val="24"/>
        </w:rPr>
        <w:t>on psychosocial predictors and precursors of tobacco use behavior</w:t>
      </w:r>
      <w:r w:rsidRPr="355AA622" w:rsidR="5FE373A5">
        <w:rPr>
          <w:rFonts w:ascii="Times New Roman" w:eastAsia="Times New Roman" w:hAnsi="Times New Roman"/>
          <w:sz w:val="24"/>
          <w:szCs w:val="24"/>
        </w:rPr>
        <w:t>, health and addiction risk perceptions, perceived loss of control or threat to freedom expected from tobacco use, anticipated guilt, shame, and regret from tobacco use, tobacco use susceptibilit</w:t>
      </w:r>
      <w:r w:rsidRPr="355AA622" w:rsidR="7D526384">
        <w:rPr>
          <w:rFonts w:ascii="Times New Roman" w:eastAsia="Times New Roman" w:hAnsi="Times New Roman"/>
          <w:sz w:val="24"/>
          <w:szCs w:val="24"/>
        </w:rPr>
        <w:t xml:space="preserve">y, </w:t>
      </w:r>
      <w:r w:rsidRPr="355AA622" w:rsidR="71A1CDF7">
        <w:rPr>
          <w:rFonts w:ascii="Times New Roman" w:eastAsia="Times New Roman" w:hAnsi="Times New Roman"/>
          <w:sz w:val="24"/>
          <w:szCs w:val="24"/>
        </w:rPr>
        <w:t>intention or willingness to use tobacco, and intention to quit and/or reduce daily consumption</w:t>
      </w:r>
      <w:r w:rsidRPr="355AA622" w:rsidR="0DAC5BB0">
        <w:rPr>
          <w:rFonts w:ascii="Times New Roman" w:eastAsia="Times New Roman" w:hAnsi="Times New Roman"/>
          <w:sz w:val="24"/>
          <w:szCs w:val="24"/>
        </w:rPr>
        <w:t>.</w:t>
      </w:r>
    </w:p>
    <w:p w:rsidR="003C7DC1" w:rsidP="003C7DC1" w14:paraId="6BDCA5AF" w14:textId="77777777">
      <w:pPr>
        <w:spacing w:after="0" w:line="240" w:lineRule="auto"/>
        <w:ind w:left="720"/>
        <w:rPr>
          <w:rFonts w:ascii="Times New Roman" w:eastAsia="Times New Roman" w:hAnsi="Times New Roman"/>
          <w:sz w:val="24"/>
          <w:szCs w:val="24"/>
        </w:rPr>
      </w:pPr>
    </w:p>
    <w:p w:rsidR="00F1301A" w:rsidP="003C7DC1" w14:paraId="71B06F96" w14:textId="36E294C1">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Additionally, </w:t>
      </w:r>
      <w:r w:rsidR="007C6B67">
        <w:rPr>
          <w:rFonts w:ascii="Times New Roman" w:eastAsia="Times New Roman" w:hAnsi="Times New Roman"/>
          <w:sz w:val="24"/>
          <w:szCs w:val="24"/>
        </w:rPr>
        <w:t xml:space="preserve">the youth survey instrument will include </w:t>
      </w:r>
      <w:r w:rsidR="006C189D">
        <w:rPr>
          <w:rFonts w:ascii="Times New Roman" w:eastAsia="Times New Roman" w:hAnsi="Times New Roman"/>
          <w:sz w:val="24"/>
          <w:szCs w:val="24"/>
        </w:rPr>
        <w:t>items t</w:t>
      </w:r>
      <w:r w:rsidR="005C10A6">
        <w:rPr>
          <w:rFonts w:ascii="Times New Roman" w:eastAsia="Times New Roman" w:hAnsi="Times New Roman"/>
          <w:sz w:val="24"/>
          <w:szCs w:val="24"/>
        </w:rPr>
        <w:t>hat</w:t>
      </w:r>
      <w:r w:rsidR="006C189D">
        <w:rPr>
          <w:rFonts w:ascii="Times New Roman" w:eastAsia="Times New Roman" w:hAnsi="Times New Roman"/>
          <w:sz w:val="24"/>
          <w:szCs w:val="24"/>
        </w:rPr>
        <w:t xml:space="preserve"> measure self-reported exposure to </w:t>
      </w:r>
      <w:r w:rsidR="007D62D3">
        <w:rPr>
          <w:rFonts w:ascii="Times New Roman" w:eastAsia="Times New Roman" w:hAnsi="Times New Roman"/>
          <w:sz w:val="24"/>
          <w:szCs w:val="24"/>
        </w:rPr>
        <w:t xml:space="preserve">other tobacco use prevention media campaigns. </w:t>
      </w:r>
      <w:r w:rsidR="006B49DC">
        <w:rPr>
          <w:rFonts w:ascii="Times New Roman" w:eastAsia="Times New Roman" w:hAnsi="Times New Roman"/>
          <w:sz w:val="24"/>
          <w:szCs w:val="24"/>
        </w:rPr>
        <w:t>Data from these items</w:t>
      </w:r>
      <w:r w:rsidR="00F50A69">
        <w:rPr>
          <w:rFonts w:ascii="Times New Roman" w:eastAsia="Times New Roman" w:hAnsi="Times New Roman"/>
          <w:sz w:val="24"/>
          <w:szCs w:val="24"/>
        </w:rPr>
        <w:t xml:space="preserve">, along with </w:t>
      </w:r>
      <w:r w:rsidR="008F2D43">
        <w:rPr>
          <w:rFonts w:ascii="Times New Roman" w:eastAsia="Times New Roman" w:hAnsi="Times New Roman"/>
          <w:sz w:val="24"/>
          <w:szCs w:val="24"/>
        </w:rPr>
        <w:t>demographic and other confounding influences</w:t>
      </w:r>
      <w:r w:rsidR="006B49DC">
        <w:rPr>
          <w:rFonts w:ascii="Times New Roman" w:eastAsia="Times New Roman" w:hAnsi="Times New Roman"/>
          <w:sz w:val="24"/>
          <w:szCs w:val="24"/>
        </w:rPr>
        <w:t xml:space="preserve"> will be included in </w:t>
      </w:r>
      <w:r w:rsidR="00F50A69">
        <w:rPr>
          <w:rFonts w:ascii="Times New Roman" w:eastAsia="Times New Roman" w:hAnsi="Times New Roman"/>
          <w:sz w:val="24"/>
          <w:szCs w:val="24"/>
        </w:rPr>
        <w:t xml:space="preserve">regression models </w:t>
      </w:r>
      <w:r w:rsidR="00BC66DD">
        <w:rPr>
          <w:rFonts w:ascii="Times New Roman" w:eastAsia="Times New Roman" w:hAnsi="Times New Roman"/>
          <w:sz w:val="24"/>
          <w:szCs w:val="24"/>
        </w:rPr>
        <w:t xml:space="preserve">as controls to </w:t>
      </w:r>
      <w:r w:rsidR="005C10A6">
        <w:rPr>
          <w:rFonts w:ascii="Times New Roman" w:eastAsia="Times New Roman" w:hAnsi="Times New Roman"/>
          <w:sz w:val="24"/>
          <w:szCs w:val="24"/>
        </w:rPr>
        <w:t xml:space="preserve">help </w:t>
      </w:r>
      <w:r w:rsidR="00BC66DD">
        <w:rPr>
          <w:rFonts w:ascii="Times New Roman" w:eastAsia="Times New Roman" w:hAnsi="Times New Roman"/>
          <w:sz w:val="24"/>
          <w:szCs w:val="24"/>
        </w:rPr>
        <w:t>isolate the campaign effect</w:t>
      </w:r>
      <w:r w:rsidR="00753D9C">
        <w:rPr>
          <w:rFonts w:ascii="Times New Roman" w:eastAsia="Times New Roman" w:hAnsi="Times New Roman"/>
          <w:sz w:val="24"/>
          <w:szCs w:val="24"/>
        </w:rPr>
        <w:t xml:space="preserve">, similar to </w:t>
      </w:r>
      <w:r w:rsidR="00156A81">
        <w:rPr>
          <w:rFonts w:ascii="Times New Roman" w:eastAsia="Times New Roman" w:hAnsi="Times New Roman"/>
          <w:sz w:val="24"/>
          <w:szCs w:val="24"/>
        </w:rPr>
        <w:t xml:space="preserve">published analyses evaluating previous cohorts of The Real Cost and </w:t>
      </w:r>
      <w:r w:rsidR="00753D9C">
        <w:rPr>
          <w:rFonts w:ascii="Times New Roman" w:eastAsia="Times New Roman" w:hAnsi="Times New Roman"/>
          <w:sz w:val="24"/>
          <w:szCs w:val="24"/>
        </w:rPr>
        <w:t>other longitudinal media studies</w:t>
      </w:r>
      <w:r w:rsidR="009E1BD4">
        <w:rPr>
          <w:rFonts w:ascii="Times New Roman" w:eastAsia="Times New Roman" w:hAnsi="Times New Roman"/>
          <w:sz w:val="24"/>
          <w:szCs w:val="24"/>
        </w:rPr>
        <w:t xml:space="preserve"> (</w:t>
      </w:r>
      <w:r w:rsidR="006C59E6">
        <w:rPr>
          <w:rFonts w:ascii="Times New Roman" w:eastAsia="Times New Roman" w:hAnsi="Times New Roman"/>
          <w:sz w:val="24"/>
          <w:szCs w:val="24"/>
        </w:rPr>
        <w:t xml:space="preserve">Duke, et al., 2018; </w:t>
      </w:r>
      <w:r w:rsidR="00052A01">
        <w:rPr>
          <w:rFonts w:ascii="Times New Roman" w:eastAsia="Times New Roman" w:hAnsi="Times New Roman"/>
          <w:sz w:val="24"/>
          <w:szCs w:val="24"/>
        </w:rPr>
        <w:t xml:space="preserve">Duke, et al., 2019; </w:t>
      </w:r>
      <w:r w:rsidR="00997418">
        <w:rPr>
          <w:rFonts w:ascii="Times New Roman" w:eastAsia="Times New Roman" w:hAnsi="Times New Roman"/>
          <w:sz w:val="24"/>
          <w:szCs w:val="24"/>
        </w:rPr>
        <w:t xml:space="preserve">Farrelly, et al., 2009; </w:t>
      </w:r>
      <w:r w:rsidR="009E1BD4">
        <w:rPr>
          <w:rFonts w:ascii="Times New Roman" w:eastAsia="Times New Roman" w:hAnsi="Times New Roman"/>
          <w:sz w:val="24"/>
          <w:szCs w:val="24"/>
        </w:rPr>
        <w:t>Farrelly</w:t>
      </w:r>
      <w:r w:rsidR="00CA0B70">
        <w:rPr>
          <w:rFonts w:ascii="Times New Roman" w:eastAsia="Times New Roman" w:hAnsi="Times New Roman"/>
          <w:sz w:val="24"/>
          <w:szCs w:val="24"/>
        </w:rPr>
        <w:t xml:space="preserve">, et al., 2017; </w:t>
      </w:r>
      <w:r w:rsidR="00052A01">
        <w:rPr>
          <w:rFonts w:ascii="Times New Roman" w:eastAsia="Times New Roman" w:hAnsi="Times New Roman"/>
          <w:sz w:val="24"/>
          <w:szCs w:val="24"/>
        </w:rPr>
        <w:t>MacMonegle</w:t>
      </w:r>
      <w:r w:rsidR="006C59E6">
        <w:rPr>
          <w:rFonts w:ascii="Times New Roman" w:eastAsia="Times New Roman" w:hAnsi="Times New Roman"/>
          <w:sz w:val="24"/>
          <w:szCs w:val="24"/>
        </w:rPr>
        <w:t>, et al., 2022</w:t>
      </w:r>
      <w:r w:rsidR="001047B9">
        <w:rPr>
          <w:rFonts w:ascii="Times New Roman" w:eastAsia="Times New Roman" w:hAnsi="Times New Roman"/>
          <w:sz w:val="24"/>
          <w:szCs w:val="24"/>
        </w:rPr>
        <w:t>)</w:t>
      </w:r>
      <w:r w:rsidR="00753D9C">
        <w:rPr>
          <w:rFonts w:ascii="Times New Roman" w:eastAsia="Times New Roman" w:hAnsi="Times New Roman"/>
          <w:sz w:val="24"/>
          <w:szCs w:val="24"/>
        </w:rPr>
        <w:t>.</w:t>
      </w:r>
      <w:r w:rsidR="00F50A69">
        <w:rPr>
          <w:rFonts w:ascii="Times New Roman" w:eastAsia="Times New Roman" w:hAnsi="Times New Roman"/>
          <w:sz w:val="24"/>
          <w:szCs w:val="24"/>
        </w:rPr>
        <w:t xml:space="preserve"> </w:t>
      </w:r>
    </w:p>
    <w:p w:rsidR="00794B4B" w:rsidP="00E26C1A" w14:paraId="0D9632F3" w14:textId="562D5D7B">
      <w:pPr>
        <w:spacing w:after="0" w:line="240" w:lineRule="auto"/>
        <w:ind w:left="720"/>
        <w:rPr>
          <w:rFonts w:ascii="Times New Roman" w:eastAsia="Times New Roman" w:hAnsi="Times New Roman"/>
          <w:sz w:val="24"/>
          <w:szCs w:val="24"/>
        </w:rPr>
      </w:pPr>
    </w:p>
    <w:p w:rsidR="00794B4B" w:rsidP="00E26C1A" w14:paraId="25682348" w14:textId="3AD75AB8">
      <w:pPr>
        <w:spacing w:after="0" w:line="240" w:lineRule="auto"/>
        <w:ind w:left="720"/>
        <w:rPr>
          <w:rFonts w:ascii="Times New Roman" w:eastAsia="Times New Roman" w:hAnsi="Times New Roman"/>
          <w:sz w:val="24"/>
          <w:szCs w:val="24"/>
        </w:rPr>
      </w:pPr>
      <w:r w:rsidRPr="00794B4B">
        <w:rPr>
          <w:rFonts w:ascii="Times New Roman" w:eastAsia="Times New Roman" w:hAnsi="Times New Roman"/>
          <w:sz w:val="24"/>
          <w:szCs w:val="24"/>
        </w:rPr>
        <w:t>The attachments are provided in both English and Spanish.  We will not be recruiting separate English-speaking and Spanish-speaking samples for this study. We are simply providing Spanish-language consent/assent forms and surveys for participants who prefer to complete them over the English-language versions. Regardless of what language the respondents complete the consent/assent and surveys in, the estimated burden hours are identical.</w:t>
      </w:r>
    </w:p>
    <w:p w:rsidR="00496896" w:rsidP="00F1301A" w14:paraId="056BBBEE" w14:textId="77777777">
      <w:pPr>
        <w:spacing w:after="0" w:line="240" w:lineRule="auto"/>
        <w:ind w:left="720"/>
        <w:rPr>
          <w:rFonts w:ascii="Times New Roman" w:eastAsia="Times New Roman" w:hAnsi="Times New Roman"/>
          <w:b/>
          <w:bCs/>
          <w:i/>
          <w:iCs/>
          <w:sz w:val="24"/>
          <w:szCs w:val="24"/>
        </w:rPr>
      </w:pPr>
    </w:p>
    <w:p w:rsidR="00F1301A" w:rsidRPr="003209BC" w:rsidP="00F1301A" w14:paraId="15BB184B" w14:textId="46A00EFC">
      <w:pPr>
        <w:spacing w:after="0" w:line="240" w:lineRule="auto"/>
        <w:ind w:left="720"/>
        <w:rPr>
          <w:rFonts w:ascii="Times New Roman" w:eastAsia="Times New Roman" w:hAnsi="Times New Roman"/>
          <w:b/>
          <w:bCs/>
          <w:i/>
          <w:iCs/>
          <w:sz w:val="24"/>
          <w:szCs w:val="24"/>
        </w:rPr>
      </w:pPr>
      <w:r w:rsidRPr="003209BC">
        <w:rPr>
          <w:rFonts w:ascii="Times New Roman" w:eastAsia="Times New Roman" w:hAnsi="Times New Roman"/>
          <w:b/>
          <w:bCs/>
          <w:i/>
          <w:iCs/>
          <w:sz w:val="24"/>
          <w:szCs w:val="24"/>
        </w:rPr>
        <w:t>Power</w:t>
      </w:r>
    </w:p>
    <w:p w:rsidR="00BB6BAA" w:rsidP="00BD3892" w14:paraId="39494916" w14:textId="7C6A27DF">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We determined the effect sizes for two different research questions</w:t>
      </w:r>
      <w:r w:rsidRPr="7263E2D9" w:rsidR="58E01C6B">
        <w:rPr>
          <w:rFonts w:ascii="Times New Roman" w:eastAsia="Times New Roman" w:hAnsi="Times New Roman"/>
          <w:sz w:val="24"/>
          <w:szCs w:val="24"/>
        </w:rPr>
        <w:t>:</w:t>
      </w:r>
    </w:p>
    <w:p w:rsidR="00060730" w:rsidRPr="00BB6BAA" w:rsidP="00BD3892" w14:paraId="6B2B2A5F" w14:textId="77777777">
      <w:pPr>
        <w:spacing w:after="0" w:line="240" w:lineRule="auto"/>
        <w:ind w:left="720"/>
        <w:rPr>
          <w:rFonts w:ascii="Times New Roman" w:eastAsia="Times New Roman" w:hAnsi="Times New Roman"/>
          <w:sz w:val="24"/>
          <w:szCs w:val="24"/>
        </w:rPr>
      </w:pPr>
    </w:p>
    <w:p w:rsidR="00BB6BAA" w:rsidRPr="00BD3892" w:rsidP="00AA4662" w14:paraId="6003558D" w14:textId="6BCEEFAB">
      <w:pPr>
        <w:pStyle w:val="ListParagraph"/>
        <w:numPr>
          <w:ilvl w:val="0"/>
          <w:numId w:val="10"/>
        </w:numPr>
        <w:spacing w:after="0" w:line="240" w:lineRule="auto"/>
        <w:rPr>
          <w:rFonts w:ascii="Times New Roman" w:eastAsia="Times New Roman" w:hAnsi="Times New Roman"/>
          <w:sz w:val="24"/>
          <w:szCs w:val="24"/>
        </w:rPr>
      </w:pPr>
      <w:r w:rsidRPr="3BD64497">
        <w:rPr>
          <w:rFonts w:ascii="Times New Roman" w:eastAsia="Times New Roman" w:hAnsi="Times New Roman"/>
          <w:sz w:val="24"/>
          <w:szCs w:val="24"/>
        </w:rPr>
        <w:t xml:space="preserve">Is there a relationship between </w:t>
      </w:r>
      <w:r w:rsidRPr="6321CEC2" w:rsidR="08FBDB36">
        <w:rPr>
          <w:rFonts w:ascii="Times New Roman" w:eastAsia="Times New Roman" w:hAnsi="Times New Roman"/>
          <w:sz w:val="24"/>
          <w:szCs w:val="24"/>
        </w:rPr>
        <w:t xml:space="preserve">amount of exposure </w:t>
      </w:r>
      <w:r w:rsidRPr="3BD64497">
        <w:rPr>
          <w:rFonts w:ascii="Times New Roman" w:eastAsia="Times New Roman" w:hAnsi="Times New Roman"/>
          <w:sz w:val="24"/>
          <w:szCs w:val="24"/>
        </w:rPr>
        <w:t xml:space="preserve">of </w:t>
      </w:r>
      <w:r w:rsidRPr="3BD64497" w:rsidR="03ACCA00">
        <w:rPr>
          <w:rFonts w:ascii="Times New Roman" w:eastAsia="Times New Roman" w:hAnsi="Times New Roman"/>
          <w:sz w:val="24"/>
          <w:szCs w:val="24"/>
        </w:rPr>
        <w:t xml:space="preserve">campaign </w:t>
      </w:r>
      <w:r w:rsidRPr="3BD64497">
        <w:rPr>
          <w:rFonts w:ascii="Times New Roman" w:eastAsia="Times New Roman" w:hAnsi="Times New Roman"/>
          <w:sz w:val="24"/>
          <w:szCs w:val="24"/>
        </w:rPr>
        <w:t xml:space="preserve">advertising and </w:t>
      </w:r>
      <w:r w:rsidRPr="6321CEC2" w:rsidR="5141BE8A">
        <w:rPr>
          <w:rFonts w:ascii="Times New Roman" w:eastAsia="Times New Roman" w:hAnsi="Times New Roman"/>
          <w:sz w:val="24"/>
          <w:szCs w:val="24"/>
        </w:rPr>
        <w:t>average score on outcome constructs</w:t>
      </w:r>
      <w:r w:rsidRPr="3BD64497">
        <w:rPr>
          <w:rFonts w:ascii="Times New Roman" w:eastAsia="Times New Roman" w:hAnsi="Times New Roman"/>
          <w:sz w:val="24"/>
          <w:szCs w:val="24"/>
        </w:rPr>
        <w:t>?</w:t>
      </w:r>
    </w:p>
    <w:p w:rsidR="00BB6BAA" w:rsidRPr="00BD3892" w:rsidP="00AA4662" w14:paraId="48F0767B" w14:textId="510EC4B2">
      <w:pPr>
        <w:pStyle w:val="ListParagraph"/>
        <w:numPr>
          <w:ilvl w:val="0"/>
          <w:numId w:val="10"/>
        </w:numPr>
        <w:spacing w:after="0" w:line="240" w:lineRule="auto"/>
        <w:rPr>
          <w:rFonts w:ascii="Times New Roman" w:eastAsia="Times New Roman" w:hAnsi="Times New Roman"/>
          <w:sz w:val="24"/>
          <w:szCs w:val="24"/>
        </w:rPr>
      </w:pPr>
      <w:r w:rsidRPr="394794AF">
        <w:rPr>
          <w:rFonts w:ascii="Times New Roman" w:eastAsia="Times New Roman" w:hAnsi="Times New Roman"/>
          <w:sz w:val="24"/>
          <w:szCs w:val="24"/>
        </w:rPr>
        <w:t xml:space="preserve">Is </w:t>
      </w:r>
      <w:r w:rsidRPr="394794AF">
        <w:rPr>
          <w:rFonts w:ascii="Times New Roman" w:eastAsia="Times New Roman" w:hAnsi="Times New Roman"/>
          <w:sz w:val="24"/>
          <w:szCs w:val="24"/>
        </w:rPr>
        <w:t xml:space="preserve">the effect of awareness of advertising on perceived severity moderated </w:t>
      </w:r>
      <w:r w:rsidRPr="394794AF" w:rsidR="18D23D7F">
        <w:rPr>
          <w:rFonts w:ascii="Times New Roman" w:eastAsia="Times New Roman" w:hAnsi="Times New Roman"/>
          <w:sz w:val="24"/>
          <w:szCs w:val="24"/>
        </w:rPr>
        <w:t xml:space="preserve">by </w:t>
      </w:r>
      <w:r w:rsidRPr="394794AF" w:rsidR="7F700E14">
        <w:rPr>
          <w:rFonts w:ascii="Times New Roman" w:eastAsia="Times New Roman" w:hAnsi="Times New Roman"/>
          <w:sz w:val="24"/>
          <w:szCs w:val="24"/>
        </w:rPr>
        <w:t xml:space="preserve">the data collection period? </w:t>
      </w:r>
      <w:r w:rsidRPr="394794AF">
        <w:rPr>
          <w:rFonts w:ascii="Times New Roman" w:eastAsia="Times New Roman" w:hAnsi="Times New Roman"/>
          <w:sz w:val="24"/>
          <w:szCs w:val="24"/>
        </w:rPr>
        <w:t xml:space="preserve"> (</w:t>
      </w:r>
      <w:r w:rsidRPr="394794AF" w:rsidR="00A84671">
        <w:rPr>
          <w:rFonts w:ascii="Times New Roman" w:eastAsia="Times New Roman" w:hAnsi="Times New Roman"/>
          <w:sz w:val="24"/>
          <w:szCs w:val="24"/>
        </w:rPr>
        <w:t>i.e</w:t>
      </w:r>
      <w:r w:rsidRPr="394794AF">
        <w:rPr>
          <w:rFonts w:ascii="Times New Roman" w:eastAsia="Times New Roman" w:hAnsi="Times New Roman"/>
          <w:sz w:val="24"/>
          <w:szCs w:val="24"/>
        </w:rPr>
        <w:t>., is there a data collection wave by treatment interaction)</w:t>
      </w:r>
      <w:r w:rsidRPr="394794AF" w:rsidR="00A84671">
        <w:rPr>
          <w:rFonts w:ascii="Times New Roman" w:eastAsia="Times New Roman" w:hAnsi="Times New Roman"/>
          <w:sz w:val="24"/>
          <w:szCs w:val="24"/>
        </w:rPr>
        <w:t>?</w:t>
      </w:r>
    </w:p>
    <w:p w:rsidR="00BB6BAA" w:rsidRPr="00BB6BAA" w:rsidP="00BD3892" w14:paraId="4BFE1789" w14:textId="77777777">
      <w:pPr>
        <w:spacing w:after="0" w:line="240" w:lineRule="auto"/>
        <w:ind w:left="720"/>
        <w:rPr>
          <w:rFonts w:ascii="Times New Roman" w:eastAsia="Times New Roman" w:hAnsi="Times New Roman"/>
          <w:sz w:val="24"/>
          <w:szCs w:val="24"/>
        </w:rPr>
      </w:pPr>
    </w:p>
    <w:p w:rsidR="00BB6BAA" w:rsidRPr="00A84671" w:rsidP="00A84671" w14:paraId="6DD9CE37" w14:textId="72057977">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 xml:space="preserve">To determine the effect sizes, we simulated data that had the structure and effective sample size of the proposed design. We used data </w:t>
      </w:r>
      <w:r w:rsidRPr="7263E2D9" w:rsidR="00BB2C35">
        <w:rPr>
          <w:rFonts w:ascii="Times New Roman" w:eastAsia="Times New Roman" w:hAnsi="Times New Roman"/>
          <w:sz w:val="24"/>
          <w:szCs w:val="24"/>
        </w:rPr>
        <w:t xml:space="preserve">from the evaluation of </w:t>
      </w:r>
      <w:r w:rsidRPr="7263E2D9" w:rsidR="00BB2C35">
        <w:rPr>
          <w:rFonts w:ascii="Times New Roman" w:eastAsia="Times New Roman" w:hAnsi="Times New Roman"/>
          <w:i/>
          <w:iCs/>
          <w:sz w:val="24"/>
          <w:szCs w:val="24"/>
        </w:rPr>
        <w:t xml:space="preserve">The Real </w:t>
      </w:r>
      <w:r w:rsidRPr="00656CDE" w:rsidR="00BB2C35">
        <w:rPr>
          <w:rFonts w:ascii="Times New Roman" w:eastAsia="Times New Roman" w:hAnsi="Times New Roman"/>
          <w:i/>
          <w:iCs/>
          <w:sz w:val="24"/>
          <w:szCs w:val="24"/>
        </w:rPr>
        <w:t xml:space="preserve">Cost </w:t>
      </w:r>
      <w:r w:rsidRPr="7263E2D9" w:rsidR="00BB2C35">
        <w:rPr>
          <w:rFonts w:ascii="Times New Roman" w:eastAsia="Times New Roman" w:hAnsi="Times New Roman"/>
          <w:sz w:val="24"/>
          <w:szCs w:val="24"/>
        </w:rPr>
        <w:t>campaign</w:t>
      </w:r>
      <w:r w:rsidRPr="7263E2D9" w:rsidR="00060730">
        <w:rPr>
          <w:rFonts w:ascii="Times New Roman" w:eastAsia="Times New Roman" w:hAnsi="Times New Roman"/>
          <w:sz w:val="24"/>
          <w:szCs w:val="24"/>
        </w:rPr>
        <w:t>,</w:t>
      </w:r>
      <w:r w:rsidRPr="7263E2D9" w:rsidR="00BB2C35">
        <w:rPr>
          <w:rFonts w:ascii="Times New Roman" w:eastAsia="Times New Roman" w:hAnsi="Times New Roman"/>
          <w:sz w:val="24"/>
          <w:szCs w:val="24"/>
        </w:rPr>
        <w:t xml:space="preserve"> Cohort 2 </w:t>
      </w:r>
      <w:r w:rsidRPr="7263E2D9">
        <w:rPr>
          <w:rFonts w:ascii="Times New Roman" w:eastAsia="Times New Roman" w:hAnsi="Times New Roman"/>
          <w:sz w:val="24"/>
          <w:szCs w:val="24"/>
        </w:rPr>
        <w:t xml:space="preserve">to estimate patterns of treatment effects and correlations within </w:t>
      </w:r>
      <w:r w:rsidRPr="7263E2D9" w:rsidR="00DD3ACE">
        <w:rPr>
          <w:rFonts w:ascii="Times New Roman" w:eastAsia="Times New Roman" w:hAnsi="Times New Roman"/>
          <w:sz w:val="24"/>
          <w:szCs w:val="24"/>
        </w:rPr>
        <w:t>primary sampling unit</w:t>
      </w:r>
      <w:r w:rsidRPr="7263E2D9">
        <w:rPr>
          <w:rFonts w:ascii="Times New Roman" w:eastAsia="Times New Roman" w:hAnsi="Times New Roman"/>
          <w:sz w:val="24"/>
          <w:szCs w:val="24"/>
        </w:rPr>
        <w:t xml:space="preserve">s and across individuals. </w:t>
      </w:r>
    </w:p>
    <w:p w:rsidR="00BB6BAA" w:rsidRPr="00A84671" w:rsidP="00A84671" w14:paraId="57C8FFF3" w14:textId="77777777">
      <w:pPr>
        <w:spacing w:after="0" w:line="240" w:lineRule="auto"/>
        <w:rPr>
          <w:rFonts w:ascii="Times New Roman" w:hAnsi="Times New Roman"/>
          <w:sz w:val="24"/>
          <w:szCs w:val="24"/>
        </w:rPr>
      </w:pPr>
    </w:p>
    <w:p w:rsidR="00BB6BAA" w:rsidRPr="00A84671" w:rsidP="00A84671" w14:paraId="551003BD" w14:textId="679834A0">
      <w:pPr>
        <w:spacing w:after="0" w:line="240" w:lineRule="auto"/>
        <w:ind w:left="720"/>
        <w:rPr>
          <w:rFonts w:ascii="Times New Roman" w:hAnsi="Times New Roman"/>
          <w:sz w:val="24"/>
          <w:szCs w:val="24"/>
        </w:rPr>
      </w:pPr>
      <w:r w:rsidRPr="00465959">
        <w:rPr>
          <w:rFonts w:ascii="Times New Roman" w:hAnsi="Times New Roman"/>
          <w:i/>
          <w:iCs/>
          <w:sz w:val="24"/>
          <w:szCs w:val="24"/>
        </w:rPr>
        <w:t>Analysis 1</w:t>
      </w:r>
      <w:r w:rsidRPr="00465959" w:rsidR="00465959">
        <w:rPr>
          <w:rFonts w:ascii="Times New Roman" w:hAnsi="Times New Roman"/>
          <w:i/>
          <w:iCs/>
          <w:sz w:val="24"/>
          <w:szCs w:val="24"/>
        </w:rPr>
        <w:t>.</w:t>
      </w:r>
      <w:r w:rsidRPr="00A84671">
        <w:rPr>
          <w:rFonts w:ascii="Times New Roman" w:hAnsi="Times New Roman"/>
          <w:sz w:val="24"/>
          <w:szCs w:val="24"/>
        </w:rPr>
        <w:t xml:space="preserve"> The proposed study has 80% power to detect a relationship between awareness of advertising and perceived </w:t>
      </w:r>
      <w:r w:rsidR="00465959">
        <w:rPr>
          <w:rFonts w:ascii="Times New Roman" w:hAnsi="Times New Roman"/>
          <w:sz w:val="24"/>
          <w:szCs w:val="24"/>
        </w:rPr>
        <w:t>severity</w:t>
      </w:r>
      <w:r w:rsidRPr="00A84671">
        <w:rPr>
          <w:rFonts w:ascii="Times New Roman" w:hAnsi="Times New Roman"/>
          <w:sz w:val="24"/>
          <w:szCs w:val="24"/>
        </w:rPr>
        <w:t xml:space="preserve"> if the effect size is 0.12; this is considered a small effect size. </w:t>
      </w:r>
      <w:r w:rsidR="00465959">
        <w:rPr>
          <w:rFonts w:ascii="Times New Roman" w:hAnsi="Times New Roman"/>
          <w:sz w:val="24"/>
          <w:szCs w:val="24"/>
        </w:rPr>
        <w:t>Exhibit 2</w:t>
      </w:r>
      <w:r w:rsidRPr="00A84671">
        <w:rPr>
          <w:rFonts w:ascii="Times New Roman" w:hAnsi="Times New Roman"/>
          <w:sz w:val="24"/>
          <w:szCs w:val="24"/>
        </w:rPr>
        <w:t xml:space="preserve"> displays the relationship between perceived </w:t>
      </w:r>
      <w:r w:rsidR="00C351E1">
        <w:rPr>
          <w:rFonts w:ascii="Times New Roman" w:hAnsi="Times New Roman"/>
          <w:sz w:val="24"/>
          <w:szCs w:val="24"/>
        </w:rPr>
        <w:t>severity we can detect</w:t>
      </w:r>
      <w:r w:rsidRPr="00A84671">
        <w:rPr>
          <w:rFonts w:ascii="Times New Roman" w:hAnsi="Times New Roman"/>
          <w:sz w:val="24"/>
          <w:szCs w:val="24"/>
        </w:rPr>
        <w:t xml:space="preserve"> given the level of advertising awareness</w:t>
      </w:r>
      <w:r w:rsidR="00104B91">
        <w:rPr>
          <w:rFonts w:ascii="Times New Roman" w:hAnsi="Times New Roman"/>
          <w:sz w:val="24"/>
          <w:szCs w:val="24"/>
        </w:rPr>
        <w:t xml:space="preserve"> using</w:t>
      </w:r>
      <w:r w:rsidRPr="00A84671">
        <w:rPr>
          <w:rFonts w:ascii="Times New Roman" w:hAnsi="Times New Roman"/>
          <w:sz w:val="24"/>
          <w:szCs w:val="24"/>
        </w:rPr>
        <w:t xml:space="preserve"> mean values. The population standard deviations with each level of awareness are 1. Adding a constant to each value will not affect the power.</w:t>
      </w:r>
    </w:p>
    <w:p w:rsidR="00944ABF" w:rsidRPr="00A84671" w:rsidP="00A84671" w14:paraId="5092528D" w14:textId="77777777">
      <w:pPr>
        <w:spacing w:after="0" w:line="240" w:lineRule="auto"/>
        <w:rPr>
          <w:rFonts w:ascii="Times New Roman" w:hAnsi="Times New Roman"/>
          <w:sz w:val="24"/>
          <w:szCs w:val="24"/>
        </w:rPr>
      </w:pPr>
    </w:p>
    <w:p w:rsidR="00BB6BAA" w:rsidRPr="00A84671" w:rsidP="00A279B4" w14:paraId="6F662BA9" w14:textId="31367E1F">
      <w:pPr>
        <w:spacing w:after="0" w:line="240" w:lineRule="auto"/>
        <w:ind w:left="720"/>
        <w:rPr>
          <w:rFonts w:ascii="Times New Roman" w:hAnsi="Times New Roman"/>
          <w:sz w:val="24"/>
          <w:szCs w:val="24"/>
        </w:rPr>
      </w:pPr>
      <w:r w:rsidRPr="00C351E1">
        <w:rPr>
          <w:rFonts w:ascii="Times New Roman" w:hAnsi="Times New Roman"/>
          <w:b/>
          <w:bCs/>
          <w:sz w:val="24"/>
          <w:szCs w:val="24"/>
        </w:rPr>
        <w:t>Exhibit 2.</w:t>
      </w:r>
      <w:r>
        <w:rPr>
          <w:rFonts w:ascii="Times New Roman" w:hAnsi="Times New Roman"/>
          <w:sz w:val="24"/>
          <w:szCs w:val="24"/>
        </w:rPr>
        <w:tab/>
      </w:r>
      <w:r w:rsidRPr="00A84671">
        <w:rPr>
          <w:rFonts w:ascii="Times New Roman" w:hAnsi="Times New Roman"/>
          <w:sz w:val="24"/>
          <w:szCs w:val="24"/>
        </w:rPr>
        <w:t xml:space="preserve">Mean value of perceived </w:t>
      </w:r>
      <w:r w:rsidR="00A279B4">
        <w:rPr>
          <w:rFonts w:ascii="Times New Roman" w:hAnsi="Times New Roman"/>
          <w:sz w:val="24"/>
          <w:szCs w:val="24"/>
        </w:rPr>
        <w:t>severity</w:t>
      </w:r>
      <w:r w:rsidRPr="00A84671">
        <w:rPr>
          <w:rFonts w:ascii="Times New Roman" w:hAnsi="Times New Roman"/>
          <w:sz w:val="24"/>
          <w:szCs w:val="24"/>
        </w:rPr>
        <w:t xml:space="preserve"> given the level of advertising awareness.  </w:t>
      </w:r>
    </w:p>
    <w:tbl>
      <w:tblPr>
        <w:tblW w:w="0" w:type="auto"/>
        <w:tblInd w:w="645" w:type="dxa"/>
        <w:tblBorders>
          <w:top w:val="single" w:sz="12" w:space="0" w:color="000000"/>
          <w:bottom w:val="single" w:sz="12" w:space="0" w:color="000000"/>
        </w:tblBorders>
        <w:tblLayout w:type="fixed"/>
        <w:tblCellMar>
          <w:left w:w="0" w:type="dxa"/>
          <w:right w:w="0" w:type="dxa"/>
        </w:tblCellMar>
        <w:tblLook w:val="0000"/>
      </w:tblPr>
      <w:tblGrid>
        <w:gridCol w:w="2250"/>
        <w:gridCol w:w="1275"/>
        <w:gridCol w:w="1275"/>
        <w:gridCol w:w="1275"/>
        <w:gridCol w:w="1275"/>
        <w:gridCol w:w="1275"/>
      </w:tblGrid>
      <w:tr w14:paraId="07D089C9" w14:textId="77777777" w:rsidTr="00A279B4">
        <w:tblPrEx>
          <w:tblW w:w="0" w:type="auto"/>
          <w:tblInd w:w="645" w:type="dxa"/>
          <w:tblBorders>
            <w:top w:val="single" w:sz="12" w:space="0" w:color="000000"/>
            <w:bottom w:val="single" w:sz="12" w:space="0" w:color="000000"/>
          </w:tblBorders>
          <w:tblLayout w:type="fixed"/>
          <w:tblCellMar>
            <w:left w:w="0" w:type="dxa"/>
            <w:right w:w="0" w:type="dxa"/>
          </w:tblCellMar>
          <w:tblLook w:val="0000"/>
        </w:tblPrEx>
        <w:trPr>
          <w:cantSplit/>
          <w:trHeight w:val="245"/>
          <w:tblHeader/>
        </w:trPr>
        <w:tc>
          <w:tcPr>
            <w:tcW w:w="2250" w:type="dxa"/>
            <w:vMerge w:val="restart"/>
            <w:shd w:val="clear" w:color="auto" w:fill="auto"/>
            <w:tcMar>
              <w:left w:w="60" w:type="dxa"/>
              <w:right w:w="60" w:type="dxa"/>
            </w:tcMar>
            <w:vAlign w:val="bottom"/>
          </w:tcPr>
          <w:p w:rsidR="00BB6BAA" w:rsidRPr="00A84671" w:rsidP="00A84671" w14:paraId="3DA5DCA5" w14:textId="77777777">
            <w:pPr>
              <w:keepNext/>
              <w:adjustRightInd w:val="0"/>
              <w:spacing w:after="0" w:line="240" w:lineRule="auto"/>
              <w:jc w:val="right"/>
              <w:rPr>
                <w:rFonts w:ascii="Times New Roman" w:hAnsi="Times New Roman"/>
                <w:b/>
                <w:bCs/>
                <w:color w:val="000000"/>
                <w:sz w:val="24"/>
                <w:szCs w:val="24"/>
              </w:rPr>
            </w:pPr>
          </w:p>
        </w:tc>
        <w:tc>
          <w:tcPr>
            <w:tcW w:w="6375" w:type="dxa"/>
            <w:gridSpan w:val="5"/>
            <w:tcBorders>
              <w:top w:val="single" w:sz="12" w:space="0" w:color="000000"/>
              <w:bottom w:val="single" w:sz="4" w:space="0" w:color="000000"/>
            </w:tcBorders>
            <w:shd w:val="clear" w:color="auto" w:fill="auto"/>
            <w:tcMar>
              <w:left w:w="60" w:type="dxa"/>
              <w:right w:w="60" w:type="dxa"/>
            </w:tcMar>
            <w:vAlign w:val="bottom"/>
          </w:tcPr>
          <w:p w:rsidR="00BB6BAA" w:rsidRPr="00A84671" w:rsidP="00A84671" w14:paraId="1F0E6F4C"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Awareness of advertising</w:t>
            </w:r>
          </w:p>
        </w:tc>
      </w:tr>
      <w:tr w14:paraId="66AC65AE" w14:textId="77777777" w:rsidTr="00A279B4">
        <w:tblPrEx>
          <w:tblW w:w="0" w:type="auto"/>
          <w:tblInd w:w="645" w:type="dxa"/>
          <w:tblLayout w:type="fixed"/>
          <w:tblCellMar>
            <w:left w:w="0" w:type="dxa"/>
            <w:right w:w="0" w:type="dxa"/>
          </w:tblCellMar>
          <w:tblLook w:val="0000"/>
        </w:tblPrEx>
        <w:trPr>
          <w:cantSplit/>
          <w:trHeight w:val="102"/>
          <w:tblHeader/>
        </w:trPr>
        <w:tc>
          <w:tcPr>
            <w:tcW w:w="2250" w:type="dxa"/>
            <w:vMerge/>
            <w:shd w:val="clear" w:color="auto" w:fill="auto"/>
            <w:tcMar>
              <w:left w:w="60" w:type="dxa"/>
              <w:right w:w="60" w:type="dxa"/>
            </w:tcMar>
            <w:vAlign w:val="bottom"/>
          </w:tcPr>
          <w:p w:rsidR="00BB6BAA" w:rsidRPr="00A84671" w:rsidP="00A84671" w14:paraId="664288F5" w14:textId="77777777">
            <w:pPr>
              <w:keepNext/>
              <w:adjustRightInd w:val="0"/>
              <w:spacing w:after="0" w:line="240" w:lineRule="auto"/>
              <w:jc w:val="right"/>
              <w:rPr>
                <w:rFonts w:ascii="Times New Roman" w:hAnsi="Times New Roman"/>
                <w:b/>
                <w:bCs/>
                <w:color w:val="000000"/>
                <w:sz w:val="24"/>
                <w:szCs w:val="24"/>
              </w:rPr>
            </w:pP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218D0DE6"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0</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3B5B03CD"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1</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2DADA1BF"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2</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7922E0CB"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3</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4A16C5BB"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4</w:t>
            </w:r>
          </w:p>
        </w:tc>
      </w:tr>
      <w:tr w14:paraId="37736666" w14:textId="77777777" w:rsidTr="00A279B4">
        <w:tblPrEx>
          <w:tblW w:w="0" w:type="auto"/>
          <w:tblInd w:w="645" w:type="dxa"/>
          <w:tblLayout w:type="fixed"/>
          <w:tblCellMar>
            <w:left w:w="0" w:type="dxa"/>
            <w:right w:w="0" w:type="dxa"/>
          </w:tblCellMar>
          <w:tblLook w:val="0000"/>
        </w:tblPrEx>
        <w:trPr>
          <w:cantSplit/>
          <w:trHeight w:val="245"/>
        </w:trPr>
        <w:tc>
          <w:tcPr>
            <w:tcW w:w="2250" w:type="dxa"/>
            <w:shd w:val="clear" w:color="auto" w:fill="auto"/>
            <w:tcMar>
              <w:left w:w="60" w:type="dxa"/>
              <w:right w:w="60" w:type="dxa"/>
            </w:tcMar>
          </w:tcPr>
          <w:p w:rsidR="00BB6BAA" w:rsidRPr="00A84671" w:rsidP="00A84671" w14:paraId="7EC5C0BD" w14:textId="77777777">
            <w:pPr>
              <w:adjustRightInd w:val="0"/>
              <w:spacing w:after="0" w:line="240" w:lineRule="auto"/>
              <w:jc w:val="right"/>
              <w:rPr>
                <w:rFonts w:ascii="Times New Roman" w:hAnsi="Times New Roman"/>
                <w:color w:val="000000"/>
                <w:sz w:val="24"/>
                <w:szCs w:val="24"/>
              </w:rPr>
            </w:pPr>
            <w:r w:rsidRPr="00A84671">
              <w:rPr>
                <w:rFonts w:ascii="Times New Roman" w:hAnsi="Times New Roman"/>
                <w:b/>
                <w:bCs/>
                <w:color w:val="000000"/>
                <w:sz w:val="24"/>
                <w:szCs w:val="24"/>
              </w:rPr>
              <w:t>Perceived severity</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3800E8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2.938</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62B9C18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2.969</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B42679C"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3.000</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D8D800D"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3.031</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87624E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3.062</w:t>
            </w:r>
          </w:p>
        </w:tc>
      </w:tr>
    </w:tbl>
    <w:p w:rsidR="00BB6BAA" w:rsidRPr="00A84671" w:rsidP="00A84671" w14:paraId="612C29C6" w14:textId="77777777">
      <w:pPr>
        <w:spacing w:after="0" w:line="240" w:lineRule="auto"/>
        <w:rPr>
          <w:rFonts w:ascii="Times New Roman" w:hAnsi="Times New Roman"/>
          <w:sz w:val="24"/>
          <w:szCs w:val="24"/>
        </w:rPr>
      </w:pPr>
      <w:r w:rsidRPr="00A84671">
        <w:rPr>
          <w:rFonts w:ascii="Times New Roman" w:hAnsi="Times New Roman"/>
          <w:sz w:val="24"/>
          <w:szCs w:val="24"/>
        </w:rPr>
        <w:t xml:space="preserve"> </w:t>
      </w:r>
    </w:p>
    <w:p w:rsidR="00BB6BAA" w:rsidRPr="00A84671" w:rsidP="00A279B4" w14:paraId="31C29BA2" w14:textId="0EAB4B1E">
      <w:pPr>
        <w:spacing w:after="0" w:line="240" w:lineRule="auto"/>
        <w:ind w:left="720"/>
        <w:rPr>
          <w:rFonts w:ascii="Times New Roman" w:hAnsi="Times New Roman"/>
          <w:b/>
          <w:bCs/>
          <w:sz w:val="24"/>
          <w:szCs w:val="24"/>
        </w:rPr>
      </w:pPr>
      <w:r w:rsidRPr="004F2AC4">
        <w:rPr>
          <w:rFonts w:ascii="Times New Roman" w:hAnsi="Times New Roman"/>
          <w:i/>
          <w:iCs/>
          <w:sz w:val="24"/>
          <w:szCs w:val="24"/>
        </w:rPr>
        <w:t>Analysis 2</w:t>
      </w:r>
      <w:r w:rsidRPr="004F2AC4" w:rsidR="004F2AC4">
        <w:rPr>
          <w:rFonts w:ascii="Times New Roman" w:hAnsi="Times New Roman"/>
          <w:i/>
          <w:iCs/>
          <w:sz w:val="24"/>
          <w:szCs w:val="24"/>
        </w:rPr>
        <w:t>.</w:t>
      </w:r>
      <w:r w:rsidRPr="004F2AC4">
        <w:rPr>
          <w:rFonts w:ascii="Times New Roman" w:hAnsi="Times New Roman"/>
          <w:i/>
          <w:iCs/>
          <w:sz w:val="24"/>
          <w:szCs w:val="24"/>
        </w:rPr>
        <w:t xml:space="preserve"> </w:t>
      </w:r>
      <w:r w:rsidR="00C90739">
        <w:rPr>
          <w:rFonts w:ascii="Times New Roman" w:hAnsi="Times New Roman"/>
          <w:i/>
          <w:iCs/>
          <w:sz w:val="24"/>
          <w:szCs w:val="24"/>
        </w:rPr>
        <w:t>S</w:t>
      </w:r>
      <w:r w:rsidRPr="00C90739">
        <w:rPr>
          <w:rFonts w:ascii="Times New Roman" w:hAnsi="Times New Roman"/>
          <w:i/>
          <w:iCs/>
          <w:sz w:val="24"/>
          <w:szCs w:val="24"/>
        </w:rPr>
        <w:t>imulation approach</w:t>
      </w:r>
    </w:p>
    <w:p w:rsidR="00BB6BAA" w:rsidRPr="00A84671" w:rsidP="006E29E0" w14:paraId="59DF919D" w14:textId="1F4C9A15">
      <w:pPr>
        <w:spacing w:after="0" w:line="240" w:lineRule="auto"/>
        <w:ind w:left="720"/>
        <w:rPr>
          <w:rFonts w:ascii="Times New Roman" w:hAnsi="Times New Roman"/>
          <w:sz w:val="24"/>
          <w:szCs w:val="24"/>
        </w:rPr>
      </w:pPr>
      <w:r w:rsidRPr="7263E2D9">
        <w:rPr>
          <w:rFonts w:ascii="Times New Roman" w:hAnsi="Times New Roman"/>
          <w:sz w:val="24"/>
          <w:szCs w:val="24"/>
        </w:rPr>
        <w:t xml:space="preserve">The proposed study has 80% power to detect an interaction between awareness of advertising and data collection wave in a model that predicts perceived </w:t>
      </w:r>
      <w:r w:rsidRPr="7263E2D9" w:rsidR="00C90739">
        <w:rPr>
          <w:rFonts w:ascii="Times New Roman" w:hAnsi="Times New Roman"/>
          <w:sz w:val="24"/>
          <w:szCs w:val="24"/>
        </w:rPr>
        <w:t>severity</w:t>
      </w:r>
      <w:r w:rsidRPr="7263E2D9">
        <w:rPr>
          <w:rFonts w:ascii="Times New Roman" w:hAnsi="Times New Roman"/>
          <w:sz w:val="24"/>
          <w:szCs w:val="24"/>
        </w:rPr>
        <w:t xml:space="preserve"> when the coefficient of the interaction is 0.03 and the population standard deviation of the outcome (perceived severity) is 1.</w:t>
      </w:r>
      <w:r w:rsidRPr="7263E2D9" w:rsidR="05EC6408">
        <w:rPr>
          <w:rFonts w:ascii="Times New Roman" w:hAnsi="Times New Roman"/>
          <w:sz w:val="24"/>
          <w:szCs w:val="24"/>
        </w:rPr>
        <w:t xml:space="preserve"> </w:t>
      </w:r>
      <w:r w:rsidRPr="7263E2D9">
        <w:rPr>
          <w:rFonts w:ascii="Times New Roman" w:hAnsi="Times New Roman"/>
          <w:sz w:val="24"/>
          <w:szCs w:val="24"/>
        </w:rPr>
        <w:t>The following formula describes the relationship that has 80% power:</w:t>
      </w:r>
    </w:p>
    <w:p w:rsidR="00BB6BAA" w:rsidRPr="00A84671" w:rsidP="00A279B4" w14:paraId="70E21A29" w14:textId="77777777">
      <w:pPr>
        <w:spacing w:after="0" w:line="240" w:lineRule="auto"/>
        <w:ind w:left="720"/>
        <w:rPr>
          <w:rFonts w:ascii="Times New Roman" w:hAnsi="Times New Roman"/>
          <w:sz w:val="24"/>
          <w:szCs w:val="24"/>
        </w:rPr>
      </w:pPr>
    </w:p>
    <w:p w:rsidR="00BB6BAA" w:rsidRPr="00A84671" w:rsidP="006E29E0" w14:paraId="2D1286D7" w14:textId="0B985EBB">
      <w:pPr>
        <w:spacing w:after="0" w:line="240" w:lineRule="auto"/>
        <w:ind w:left="720" w:firstLine="720"/>
        <w:jc w:val="center"/>
        <w:rPr>
          <w:rFonts w:ascii="Times New Roman" w:hAnsi="Times New Roman"/>
          <w:sz w:val="24"/>
          <w:szCs w:val="24"/>
        </w:rPr>
      </w:pPr>
      <w:r>
        <w:rPr>
          <w:rFonts w:ascii="Times New Roman" w:hAnsi="Times New Roman"/>
          <w:sz w:val="24"/>
          <w:szCs w:val="24"/>
        </w:rPr>
        <w:t>P</w:t>
      </w:r>
      <w:r w:rsidRPr="00A84671">
        <w:rPr>
          <w:rFonts w:ascii="Times New Roman" w:hAnsi="Times New Roman"/>
          <w:sz w:val="24"/>
          <w:szCs w:val="24"/>
        </w:rPr>
        <w:t>erceived severity = 3 + 0.03 * wave * awareness + N (0,1)</w:t>
      </w:r>
    </w:p>
    <w:p w:rsidR="00BB6BAA" w:rsidRPr="00A84671" w:rsidP="00A279B4" w14:paraId="3ACBA7F8" w14:textId="77777777">
      <w:pPr>
        <w:spacing w:after="0" w:line="240" w:lineRule="auto"/>
        <w:ind w:left="720"/>
        <w:rPr>
          <w:rFonts w:ascii="Times New Roman" w:hAnsi="Times New Roman"/>
          <w:sz w:val="24"/>
          <w:szCs w:val="24"/>
        </w:rPr>
      </w:pPr>
    </w:p>
    <w:p w:rsidR="00BB6BAA" w:rsidRPr="00A84671" w:rsidP="004B06FF" w14:paraId="172ECA72" w14:textId="2422B767">
      <w:pPr>
        <w:spacing w:after="0" w:line="240" w:lineRule="auto"/>
        <w:ind w:left="720"/>
        <w:rPr>
          <w:rFonts w:ascii="Times New Roman" w:hAnsi="Times New Roman"/>
          <w:sz w:val="24"/>
          <w:szCs w:val="24"/>
        </w:rPr>
      </w:pPr>
      <w:r w:rsidRPr="00A84671">
        <w:rPr>
          <w:rFonts w:ascii="Times New Roman" w:hAnsi="Times New Roman"/>
          <w:sz w:val="24"/>
          <w:szCs w:val="24"/>
        </w:rPr>
        <w:t>where N (0,1) is a random variable from a standard normal distribution. Adding a constant to this equation will not affect the power.</w:t>
      </w:r>
      <w:r w:rsidR="004B06FF">
        <w:rPr>
          <w:rFonts w:ascii="Times New Roman" w:hAnsi="Times New Roman"/>
          <w:sz w:val="24"/>
          <w:szCs w:val="24"/>
        </w:rPr>
        <w:t xml:space="preserve"> Exhibit 3</w:t>
      </w:r>
      <w:r w:rsidRPr="00A84671">
        <w:rPr>
          <w:rFonts w:ascii="Times New Roman" w:hAnsi="Times New Roman"/>
          <w:sz w:val="24"/>
          <w:szCs w:val="24"/>
        </w:rPr>
        <w:t xml:space="preserve"> displays the relationship between perceived </w:t>
      </w:r>
      <w:r w:rsidR="004B06FF">
        <w:rPr>
          <w:rFonts w:ascii="Times New Roman" w:hAnsi="Times New Roman"/>
          <w:sz w:val="24"/>
          <w:szCs w:val="24"/>
        </w:rPr>
        <w:t>severity</w:t>
      </w:r>
      <w:r w:rsidRPr="00A84671">
        <w:rPr>
          <w:rFonts w:ascii="Times New Roman" w:hAnsi="Times New Roman"/>
          <w:sz w:val="24"/>
          <w:szCs w:val="24"/>
        </w:rPr>
        <w:t xml:space="preserve"> given the level of advertising awareness we can detect with 80% power. </w:t>
      </w:r>
    </w:p>
    <w:p w:rsidR="00BB6BAA" w:rsidRPr="00A84671" w:rsidP="00A84671" w14:paraId="79192B30" w14:textId="77777777">
      <w:pPr>
        <w:spacing w:after="0" w:line="240" w:lineRule="auto"/>
        <w:rPr>
          <w:rFonts w:ascii="Times New Roman" w:hAnsi="Times New Roman"/>
          <w:sz w:val="24"/>
          <w:szCs w:val="24"/>
        </w:rPr>
      </w:pPr>
    </w:p>
    <w:p w:rsidR="00BB6BAA" w:rsidRPr="00A84671" w:rsidP="001746CE" w14:paraId="2C77359A" w14:textId="037849BC">
      <w:pPr>
        <w:spacing w:after="0" w:line="240" w:lineRule="auto"/>
        <w:ind w:left="2160" w:hanging="1530"/>
        <w:rPr>
          <w:rFonts w:ascii="Times New Roman" w:hAnsi="Times New Roman"/>
          <w:sz w:val="24"/>
          <w:szCs w:val="24"/>
        </w:rPr>
      </w:pPr>
      <w:r w:rsidRPr="001746CE">
        <w:rPr>
          <w:rFonts w:ascii="Times New Roman" w:hAnsi="Times New Roman"/>
          <w:b/>
          <w:bCs/>
          <w:sz w:val="24"/>
          <w:szCs w:val="24"/>
        </w:rPr>
        <w:t>Exhibit 3.</w:t>
      </w:r>
      <w:r>
        <w:rPr>
          <w:rFonts w:ascii="Times New Roman" w:hAnsi="Times New Roman"/>
          <w:sz w:val="24"/>
          <w:szCs w:val="24"/>
        </w:rPr>
        <w:tab/>
      </w:r>
      <w:r w:rsidR="00A279B4">
        <w:rPr>
          <w:rFonts w:ascii="Times New Roman" w:hAnsi="Times New Roman"/>
          <w:sz w:val="24"/>
          <w:szCs w:val="24"/>
        </w:rPr>
        <w:t>T</w:t>
      </w:r>
      <w:r w:rsidRPr="00A84671">
        <w:rPr>
          <w:rFonts w:ascii="Times New Roman" w:hAnsi="Times New Roman"/>
          <w:sz w:val="24"/>
          <w:szCs w:val="24"/>
        </w:rPr>
        <w:t>he mean value of perceived severity of metals based on the value of awareness and wave</w:t>
      </w:r>
    </w:p>
    <w:tbl>
      <w:tblPr>
        <w:tblW w:w="0" w:type="auto"/>
        <w:tblInd w:w="660" w:type="dxa"/>
        <w:tblBorders>
          <w:top w:val="single" w:sz="12" w:space="0" w:color="000000"/>
          <w:bottom w:val="single" w:sz="12" w:space="0" w:color="000000"/>
          <w:insideV w:val="single" w:sz="2" w:space="0" w:color="000000"/>
        </w:tblBorders>
        <w:tblLayout w:type="fixed"/>
        <w:tblCellMar>
          <w:left w:w="0" w:type="dxa"/>
          <w:right w:w="0" w:type="dxa"/>
        </w:tblCellMar>
        <w:tblLook w:val="0000"/>
      </w:tblPr>
      <w:tblGrid>
        <w:gridCol w:w="1500"/>
        <w:gridCol w:w="1422"/>
        <w:gridCol w:w="1422"/>
        <w:gridCol w:w="1422"/>
        <w:gridCol w:w="1422"/>
        <w:gridCol w:w="1422"/>
      </w:tblGrid>
      <w:tr w14:paraId="43B24019" w14:textId="77777777" w:rsidTr="009A7D82">
        <w:tblPrEx>
          <w:tblW w:w="0" w:type="auto"/>
          <w:tblInd w:w="660" w:type="dxa"/>
          <w:tblBorders>
            <w:top w:val="single" w:sz="12" w:space="0" w:color="000000"/>
            <w:bottom w:val="single" w:sz="12" w:space="0" w:color="000000"/>
            <w:insideV w:val="single" w:sz="2" w:space="0" w:color="000000"/>
          </w:tblBorders>
          <w:tblLayout w:type="fixed"/>
          <w:tblCellMar>
            <w:left w:w="0" w:type="dxa"/>
            <w:right w:w="0" w:type="dxa"/>
          </w:tblCellMar>
          <w:tblLook w:val="0000"/>
        </w:tblPrEx>
        <w:trPr>
          <w:cantSplit/>
          <w:trHeight w:val="263"/>
          <w:tblHeader/>
        </w:trPr>
        <w:tc>
          <w:tcPr>
            <w:tcW w:w="8610" w:type="dxa"/>
            <w:gridSpan w:val="6"/>
            <w:tcBorders>
              <w:top w:val="single" w:sz="12" w:space="0" w:color="000000"/>
              <w:bottom w:val="single" w:sz="4" w:space="0" w:color="auto"/>
            </w:tcBorders>
            <w:shd w:val="clear" w:color="auto" w:fill="auto"/>
            <w:tcMar>
              <w:left w:w="60" w:type="dxa"/>
              <w:right w:w="60" w:type="dxa"/>
            </w:tcMar>
            <w:vAlign w:val="bottom"/>
          </w:tcPr>
          <w:p w:rsidR="00BB6BAA" w:rsidRPr="00A84671" w:rsidP="00A84671" w14:paraId="7450329A"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 xml:space="preserve">Mean </w:t>
            </w:r>
            <w:r w:rsidRPr="00A84671">
              <w:rPr>
                <w:rFonts w:ascii="Times New Roman" w:hAnsi="Times New Roman"/>
                <w:b/>
                <w:bCs/>
                <w:sz w:val="24"/>
                <w:szCs w:val="24"/>
              </w:rPr>
              <w:t>perceived severity</w:t>
            </w:r>
          </w:p>
        </w:tc>
      </w:tr>
      <w:tr w14:paraId="2E8EB182" w14:textId="77777777" w:rsidTr="009A7D82">
        <w:tblPrEx>
          <w:tblW w:w="0" w:type="auto"/>
          <w:tblInd w:w="660" w:type="dxa"/>
          <w:tblLayout w:type="fixed"/>
          <w:tblCellMar>
            <w:left w:w="0" w:type="dxa"/>
            <w:right w:w="0" w:type="dxa"/>
          </w:tblCellMar>
          <w:tblLook w:val="0000"/>
        </w:tblPrEx>
        <w:trPr>
          <w:cantSplit/>
          <w:trHeight w:val="263"/>
          <w:tblHeader/>
        </w:trPr>
        <w:tc>
          <w:tcPr>
            <w:tcW w:w="1500" w:type="dxa"/>
            <w:vMerge w:val="restart"/>
            <w:tcBorders>
              <w:top w:val="single" w:sz="4" w:space="0" w:color="auto"/>
              <w:bottom w:val="nil"/>
              <w:right w:val="nil"/>
            </w:tcBorders>
            <w:shd w:val="clear" w:color="auto" w:fill="auto"/>
            <w:tcMar>
              <w:left w:w="60" w:type="dxa"/>
              <w:right w:w="60" w:type="dxa"/>
            </w:tcMar>
            <w:vAlign w:val="bottom"/>
          </w:tcPr>
          <w:p w:rsidR="00BB6BAA" w:rsidRPr="00A84671" w:rsidP="00A84671" w14:paraId="2851C631" w14:textId="77777777">
            <w:pPr>
              <w:keepNext/>
              <w:adjustRightInd w:val="0"/>
              <w:spacing w:after="0" w:line="240" w:lineRule="auto"/>
              <w:rPr>
                <w:rFonts w:ascii="Times New Roman" w:hAnsi="Times New Roman"/>
                <w:b/>
                <w:bCs/>
                <w:color w:val="000000"/>
                <w:sz w:val="24"/>
                <w:szCs w:val="24"/>
              </w:rPr>
            </w:pPr>
            <w:r w:rsidRPr="00A84671">
              <w:rPr>
                <w:rFonts w:ascii="Times New Roman" w:hAnsi="Times New Roman"/>
                <w:b/>
                <w:bCs/>
                <w:color w:val="000000"/>
                <w:sz w:val="24"/>
                <w:szCs w:val="24"/>
              </w:rPr>
              <w:t>Wave</w:t>
            </w:r>
          </w:p>
        </w:tc>
        <w:tc>
          <w:tcPr>
            <w:tcW w:w="7110" w:type="dxa"/>
            <w:gridSpan w:val="5"/>
            <w:tcBorders>
              <w:top w:val="single" w:sz="4" w:space="0" w:color="auto"/>
              <w:left w:val="nil"/>
              <w:bottom w:val="single" w:sz="4" w:space="0" w:color="auto"/>
            </w:tcBorders>
            <w:shd w:val="clear" w:color="auto" w:fill="auto"/>
            <w:tcMar>
              <w:left w:w="60" w:type="dxa"/>
              <w:right w:w="60" w:type="dxa"/>
            </w:tcMar>
            <w:vAlign w:val="bottom"/>
          </w:tcPr>
          <w:p w:rsidR="00BB6BAA" w:rsidRPr="00A84671" w:rsidP="00A84671" w14:paraId="642D07BC"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Awareness of advertising</w:t>
            </w:r>
          </w:p>
        </w:tc>
      </w:tr>
      <w:tr w14:paraId="6FA61AF2" w14:textId="77777777" w:rsidTr="009A7D82">
        <w:tblPrEx>
          <w:tblW w:w="0" w:type="auto"/>
          <w:tblInd w:w="660" w:type="dxa"/>
          <w:tblLayout w:type="fixed"/>
          <w:tblCellMar>
            <w:left w:w="0" w:type="dxa"/>
            <w:right w:w="0" w:type="dxa"/>
          </w:tblCellMar>
          <w:tblLook w:val="0000"/>
        </w:tblPrEx>
        <w:trPr>
          <w:cantSplit/>
          <w:trHeight w:val="263"/>
          <w:tblHeader/>
        </w:trPr>
        <w:tc>
          <w:tcPr>
            <w:tcW w:w="1500" w:type="dxa"/>
            <w:vMerge/>
            <w:tcBorders>
              <w:top w:val="nil"/>
              <w:bottom w:val="single" w:sz="12" w:space="0" w:color="000000"/>
              <w:right w:val="nil"/>
            </w:tcBorders>
            <w:shd w:val="clear" w:color="auto" w:fill="auto"/>
            <w:tcMar>
              <w:left w:w="60" w:type="dxa"/>
              <w:right w:w="60" w:type="dxa"/>
            </w:tcMar>
            <w:vAlign w:val="bottom"/>
          </w:tcPr>
          <w:p w:rsidR="00BB6BAA" w:rsidRPr="00A84671" w:rsidP="00A84671" w14:paraId="333C8585" w14:textId="77777777">
            <w:pPr>
              <w:keepNext/>
              <w:adjustRightInd w:val="0"/>
              <w:spacing w:after="0" w:line="240" w:lineRule="auto"/>
              <w:rPr>
                <w:rFonts w:ascii="Times New Roman" w:hAnsi="Times New Roman"/>
                <w:b/>
                <w:bCs/>
                <w:color w:val="000000"/>
                <w:sz w:val="24"/>
                <w:szCs w:val="24"/>
              </w:rPr>
            </w:pPr>
          </w:p>
        </w:tc>
        <w:tc>
          <w:tcPr>
            <w:tcW w:w="1422" w:type="dxa"/>
            <w:tcBorders>
              <w:top w:val="nil"/>
              <w:left w:val="nil"/>
              <w:bottom w:val="single" w:sz="12" w:space="0" w:color="000000"/>
              <w:right w:val="nil"/>
            </w:tcBorders>
            <w:shd w:val="clear" w:color="auto" w:fill="auto"/>
            <w:tcMar>
              <w:left w:w="60" w:type="dxa"/>
              <w:right w:w="60" w:type="dxa"/>
            </w:tcMar>
            <w:vAlign w:val="bottom"/>
          </w:tcPr>
          <w:p w:rsidR="00BB6BAA" w:rsidRPr="00A84671" w:rsidP="00A279B4" w14:paraId="33DB091F"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0</w:t>
            </w:r>
          </w:p>
        </w:tc>
        <w:tc>
          <w:tcPr>
            <w:tcW w:w="1422" w:type="dxa"/>
            <w:tcBorders>
              <w:top w:val="nil"/>
              <w:left w:val="nil"/>
              <w:bottom w:val="single" w:sz="12" w:space="0" w:color="000000"/>
              <w:right w:val="nil"/>
            </w:tcBorders>
            <w:shd w:val="clear" w:color="auto" w:fill="auto"/>
            <w:tcMar>
              <w:left w:w="60" w:type="dxa"/>
              <w:right w:w="60" w:type="dxa"/>
            </w:tcMar>
            <w:vAlign w:val="bottom"/>
          </w:tcPr>
          <w:p w:rsidR="00BB6BAA" w:rsidRPr="00A84671" w:rsidP="00A279B4" w14:paraId="74F9C0E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1</w:t>
            </w:r>
          </w:p>
        </w:tc>
        <w:tc>
          <w:tcPr>
            <w:tcW w:w="1422" w:type="dxa"/>
            <w:tcBorders>
              <w:top w:val="nil"/>
              <w:left w:val="nil"/>
              <w:bottom w:val="single" w:sz="12" w:space="0" w:color="000000"/>
              <w:right w:val="nil"/>
            </w:tcBorders>
            <w:shd w:val="clear" w:color="auto" w:fill="auto"/>
            <w:tcMar>
              <w:left w:w="60" w:type="dxa"/>
              <w:right w:w="60" w:type="dxa"/>
            </w:tcMar>
            <w:vAlign w:val="bottom"/>
          </w:tcPr>
          <w:p w:rsidR="00BB6BAA" w:rsidRPr="00A84671" w:rsidP="00A279B4" w14:paraId="2C6950AE"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2</w:t>
            </w:r>
          </w:p>
        </w:tc>
        <w:tc>
          <w:tcPr>
            <w:tcW w:w="1422" w:type="dxa"/>
            <w:tcBorders>
              <w:top w:val="nil"/>
              <w:left w:val="nil"/>
              <w:bottom w:val="single" w:sz="12" w:space="0" w:color="000000"/>
              <w:right w:val="nil"/>
            </w:tcBorders>
            <w:shd w:val="clear" w:color="auto" w:fill="auto"/>
            <w:tcMar>
              <w:left w:w="60" w:type="dxa"/>
              <w:right w:w="60" w:type="dxa"/>
            </w:tcMar>
            <w:vAlign w:val="bottom"/>
          </w:tcPr>
          <w:p w:rsidR="00BB6BAA" w:rsidRPr="00A84671" w:rsidP="00A279B4" w14:paraId="5F48EE1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3</w:t>
            </w:r>
          </w:p>
        </w:tc>
        <w:tc>
          <w:tcPr>
            <w:tcW w:w="1422" w:type="dxa"/>
            <w:tcBorders>
              <w:top w:val="nil"/>
              <w:left w:val="nil"/>
              <w:bottom w:val="single" w:sz="12" w:space="0" w:color="000000"/>
            </w:tcBorders>
            <w:shd w:val="clear" w:color="auto" w:fill="auto"/>
            <w:tcMar>
              <w:left w:w="60" w:type="dxa"/>
              <w:right w:w="60" w:type="dxa"/>
            </w:tcMar>
            <w:vAlign w:val="bottom"/>
          </w:tcPr>
          <w:p w:rsidR="00BB6BAA" w:rsidRPr="00A84671" w:rsidP="00A279B4" w14:paraId="0BE1C743"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4</w:t>
            </w:r>
          </w:p>
        </w:tc>
      </w:tr>
      <w:tr w14:paraId="1C373D17"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top w:val="single" w:sz="12" w:space="0" w:color="000000"/>
              <w:right w:val="nil"/>
            </w:tcBorders>
            <w:shd w:val="clear" w:color="auto" w:fill="auto"/>
            <w:tcMar>
              <w:left w:w="60" w:type="dxa"/>
              <w:right w:w="60" w:type="dxa"/>
            </w:tcMar>
          </w:tcPr>
          <w:p w:rsidR="00BB6BAA" w:rsidRPr="00A84671" w:rsidP="00A84671" w14:paraId="5264AC4D"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Baseline</w:t>
            </w:r>
          </w:p>
        </w:tc>
        <w:tc>
          <w:tcPr>
            <w:tcW w:w="1422" w:type="dxa"/>
            <w:tcBorders>
              <w:top w:val="single" w:sz="12" w:space="0" w:color="000000"/>
              <w:left w:val="nil"/>
              <w:bottom w:val="nil"/>
              <w:right w:val="nil"/>
            </w:tcBorders>
            <w:shd w:val="clear" w:color="auto" w:fill="auto"/>
            <w:tcMar>
              <w:left w:w="60" w:type="dxa"/>
              <w:right w:w="60" w:type="dxa"/>
            </w:tcMar>
          </w:tcPr>
          <w:p w:rsidR="00BB6BAA" w:rsidRPr="00A84671" w:rsidP="00A279B4" w14:paraId="7B32DF8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left w:val="nil"/>
              <w:bottom w:val="nil"/>
              <w:right w:val="nil"/>
            </w:tcBorders>
            <w:shd w:val="clear" w:color="auto" w:fill="auto"/>
            <w:tcMar>
              <w:left w:w="60" w:type="dxa"/>
              <w:right w:w="60" w:type="dxa"/>
            </w:tcMar>
          </w:tcPr>
          <w:p w:rsidR="00BB6BAA" w:rsidRPr="00A84671" w:rsidP="00A279B4" w14:paraId="69B580C0"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left w:val="nil"/>
              <w:bottom w:val="nil"/>
              <w:right w:val="nil"/>
            </w:tcBorders>
            <w:shd w:val="clear" w:color="auto" w:fill="auto"/>
            <w:tcMar>
              <w:left w:w="60" w:type="dxa"/>
              <w:right w:w="60" w:type="dxa"/>
            </w:tcMar>
          </w:tcPr>
          <w:p w:rsidR="00BB6BAA" w:rsidRPr="00A84671" w:rsidP="00A279B4" w14:paraId="73192FC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left w:val="nil"/>
              <w:bottom w:val="nil"/>
              <w:right w:val="nil"/>
            </w:tcBorders>
            <w:shd w:val="clear" w:color="auto" w:fill="auto"/>
            <w:tcMar>
              <w:left w:w="60" w:type="dxa"/>
              <w:right w:w="60" w:type="dxa"/>
            </w:tcMar>
          </w:tcPr>
          <w:p w:rsidR="00BB6BAA" w:rsidRPr="00A84671" w:rsidP="00A279B4" w14:paraId="284A999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left w:val="nil"/>
              <w:bottom w:val="nil"/>
            </w:tcBorders>
            <w:shd w:val="clear" w:color="auto" w:fill="auto"/>
            <w:tcMar>
              <w:left w:w="60" w:type="dxa"/>
              <w:right w:w="60" w:type="dxa"/>
            </w:tcMar>
          </w:tcPr>
          <w:p w:rsidR="00BB6BAA" w:rsidRPr="00A84671" w:rsidP="00A279B4" w14:paraId="50F32DF7"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r>
      <w:tr w14:paraId="3E322D58"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0E2F6577"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1</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4B542BF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77289E17"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3.03</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6C45CAF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4C896F2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3.09</w:t>
            </w:r>
          </w:p>
        </w:tc>
        <w:tc>
          <w:tcPr>
            <w:tcW w:w="1422" w:type="dxa"/>
            <w:tcBorders>
              <w:top w:val="nil"/>
              <w:left w:val="nil"/>
              <w:bottom w:val="nil"/>
            </w:tcBorders>
            <w:shd w:val="clear" w:color="auto" w:fill="auto"/>
            <w:tcMar>
              <w:left w:w="60" w:type="dxa"/>
              <w:right w:w="60" w:type="dxa"/>
            </w:tcMar>
          </w:tcPr>
          <w:p w:rsidR="00BB6BAA" w:rsidRPr="00A84671" w:rsidP="00A279B4" w14:paraId="4F7B09C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3.12</w:t>
            </w:r>
          </w:p>
        </w:tc>
      </w:tr>
      <w:tr w14:paraId="08876B21"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260268F4"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2</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45812644"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06A5DF70"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24799246"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3.12</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66ED3EF3"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3.18</w:t>
            </w:r>
          </w:p>
        </w:tc>
        <w:tc>
          <w:tcPr>
            <w:tcW w:w="1422" w:type="dxa"/>
            <w:tcBorders>
              <w:top w:val="nil"/>
              <w:left w:val="nil"/>
              <w:bottom w:val="nil"/>
            </w:tcBorders>
            <w:shd w:val="clear" w:color="auto" w:fill="auto"/>
            <w:tcMar>
              <w:left w:w="60" w:type="dxa"/>
              <w:right w:w="60" w:type="dxa"/>
            </w:tcMar>
          </w:tcPr>
          <w:p w:rsidR="00BB6BAA" w:rsidRPr="00A84671" w:rsidP="00A279B4" w14:paraId="3694E0F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3.25</w:t>
            </w:r>
          </w:p>
        </w:tc>
      </w:tr>
      <w:tr w14:paraId="3942F9B4"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4E258D15"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3</w:t>
            </w:r>
          </w:p>
        </w:tc>
        <w:tc>
          <w:tcPr>
            <w:tcW w:w="1422" w:type="dxa"/>
            <w:tcBorders>
              <w:top w:val="nil"/>
              <w:left w:val="nil"/>
              <w:bottom w:val="single" w:sz="12" w:space="0" w:color="000000"/>
              <w:right w:val="nil"/>
            </w:tcBorders>
            <w:shd w:val="clear" w:color="auto" w:fill="auto"/>
            <w:tcMar>
              <w:left w:w="60" w:type="dxa"/>
              <w:right w:w="60" w:type="dxa"/>
            </w:tcMar>
          </w:tcPr>
          <w:p w:rsidR="00BB6BAA" w:rsidRPr="00A84671" w:rsidP="00A279B4" w14:paraId="11A22C0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single" w:sz="12" w:space="0" w:color="000000"/>
              <w:right w:val="nil"/>
            </w:tcBorders>
            <w:shd w:val="clear" w:color="auto" w:fill="auto"/>
            <w:tcMar>
              <w:left w:w="60" w:type="dxa"/>
              <w:right w:w="60" w:type="dxa"/>
            </w:tcMar>
          </w:tcPr>
          <w:p w:rsidR="00BB6BAA" w:rsidRPr="00A84671" w:rsidP="00A279B4" w14:paraId="157FFABD"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3.09</w:t>
            </w:r>
          </w:p>
        </w:tc>
        <w:tc>
          <w:tcPr>
            <w:tcW w:w="1422" w:type="dxa"/>
            <w:tcBorders>
              <w:top w:val="nil"/>
              <w:left w:val="nil"/>
              <w:bottom w:val="single" w:sz="12" w:space="0" w:color="000000"/>
              <w:right w:val="nil"/>
            </w:tcBorders>
            <w:shd w:val="clear" w:color="auto" w:fill="auto"/>
            <w:tcMar>
              <w:left w:w="60" w:type="dxa"/>
              <w:right w:w="60" w:type="dxa"/>
            </w:tcMar>
          </w:tcPr>
          <w:p w:rsidR="00BB6BAA" w:rsidRPr="00A84671" w:rsidP="00A279B4" w14:paraId="69C2D13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3.18</w:t>
            </w:r>
          </w:p>
        </w:tc>
        <w:tc>
          <w:tcPr>
            <w:tcW w:w="1422" w:type="dxa"/>
            <w:tcBorders>
              <w:top w:val="nil"/>
              <w:left w:val="nil"/>
              <w:bottom w:val="single" w:sz="12" w:space="0" w:color="000000"/>
              <w:right w:val="nil"/>
            </w:tcBorders>
            <w:shd w:val="clear" w:color="auto" w:fill="auto"/>
            <w:tcMar>
              <w:left w:w="60" w:type="dxa"/>
              <w:right w:w="60" w:type="dxa"/>
            </w:tcMar>
          </w:tcPr>
          <w:p w:rsidR="00BB6BAA" w:rsidRPr="00A84671" w:rsidP="00A279B4" w14:paraId="71E2144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3.28</w:t>
            </w:r>
          </w:p>
        </w:tc>
        <w:tc>
          <w:tcPr>
            <w:tcW w:w="1422" w:type="dxa"/>
            <w:tcBorders>
              <w:top w:val="nil"/>
              <w:left w:val="nil"/>
              <w:bottom w:val="single" w:sz="12" w:space="0" w:color="000000"/>
            </w:tcBorders>
            <w:shd w:val="clear" w:color="auto" w:fill="auto"/>
            <w:tcMar>
              <w:left w:w="60" w:type="dxa"/>
              <w:right w:w="60" w:type="dxa"/>
            </w:tcMar>
          </w:tcPr>
          <w:p w:rsidR="00BB6BAA" w:rsidRPr="00A84671" w:rsidP="00A279B4" w14:paraId="0931096B"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3.37</w:t>
            </w:r>
          </w:p>
        </w:tc>
      </w:tr>
    </w:tbl>
    <w:p w:rsidR="00F1301A" w:rsidRPr="00A84671" w:rsidP="00A84671" w14:paraId="0EEF2D61" w14:textId="31632EEF">
      <w:pPr>
        <w:spacing w:after="0" w:line="240" w:lineRule="auto"/>
        <w:ind w:left="720"/>
        <w:rPr>
          <w:rFonts w:ascii="Times New Roman" w:eastAsia="Times New Roman" w:hAnsi="Times New Roman"/>
          <w:sz w:val="24"/>
          <w:szCs w:val="24"/>
        </w:rPr>
      </w:pPr>
    </w:p>
    <w:p w:rsidR="2049B0C8" w:rsidRPr="008A1193" w:rsidP="6EC21591" w14:paraId="1D38F86A" w14:textId="6F7B0FDA">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Data Suppression Techniques</w:t>
      </w:r>
    </w:p>
    <w:p w:rsidR="6EC21591" w:rsidRPr="008A1193" w:rsidP="6EC21591" w14:paraId="62097FBF" w14:textId="63424EAF">
      <w:pPr>
        <w:spacing w:after="0" w:line="240" w:lineRule="auto"/>
        <w:ind w:left="180"/>
        <w:rPr>
          <w:rFonts w:ascii="Times New Roman" w:eastAsia="Times New Roman" w:hAnsi="Times New Roman"/>
          <w:sz w:val="24"/>
          <w:szCs w:val="24"/>
        </w:rPr>
      </w:pPr>
    </w:p>
    <w:p w:rsidR="2049B0C8" w:rsidRPr="008A1193" w:rsidP="6EC21591" w14:paraId="2F35A026" w14:textId="02AF0809">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An additional approach to secure sensitive data will be to employ data suppression techniques to protect any PII data </w:t>
      </w:r>
      <w:r w:rsidRPr="008A1193" w:rsidR="00D061B7">
        <w:rPr>
          <w:rFonts w:ascii="Times New Roman" w:eastAsia="Times New Roman" w:hAnsi="Times New Roman"/>
          <w:sz w:val="24"/>
          <w:szCs w:val="24"/>
        </w:rPr>
        <w:t xml:space="preserve">from </w:t>
      </w:r>
      <w:r w:rsidRPr="008A1193">
        <w:rPr>
          <w:rFonts w:ascii="Times New Roman" w:eastAsia="Times New Roman" w:hAnsi="Times New Roman"/>
          <w:sz w:val="24"/>
          <w:szCs w:val="24"/>
        </w:rPr>
        <w:t xml:space="preserve">survey respondents in the evaluation. Data suppression is a readily applied technique where estimates are not reported if they could result in disclosure of a participant’s identity or are deemed to be unstable (i.e., low precision). </w:t>
      </w:r>
    </w:p>
    <w:p w:rsidR="6EC21591" w:rsidRPr="008A1193" w:rsidP="6EC21591" w14:paraId="40714EE8" w14:textId="1DD3C43D">
      <w:pPr>
        <w:spacing w:after="0" w:line="240" w:lineRule="auto"/>
        <w:ind w:left="180"/>
        <w:rPr>
          <w:rFonts w:ascii="Times New Roman" w:eastAsia="Times New Roman" w:hAnsi="Times New Roman"/>
          <w:sz w:val="24"/>
          <w:szCs w:val="24"/>
        </w:rPr>
      </w:pPr>
    </w:p>
    <w:p w:rsidR="2049B0C8" w:rsidRPr="008A1193" w:rsidP="6EC21591" w14:paraId="2D0525AC" w14:textId="73BDC1A0">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Based on well-established guidelines followed by the Center for Tobacco Products (CTP) Office of Science (OS) guidelines, as well as the National Center for Health Statistics (NCHS), data suppression will be used if any of the following conditions are met: (1) The coefficient of variation of the proportion or estimate is &gt; 30% and/or (2)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&lt; 50, where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is the unweighted sample size in the denominator of the estimated proportion or the denominator used for calculating the estimate.  </w:t>
      </w:r>
    </w:p>
    <w:p w:rsidR="6EC21591" w:rsidRPr="008A1193" w:rsidP="6EC21591" w14:paraId="79DB3A66" w14:textId="32751F08">
      <w:pPr>
        <w:spacing w:after="0" w:line="240" w:lineRule="auto"/>
        <w:ind w:firstLine="180"/>
        <w:rPr>
          <w:rFonts w:ascii="Times New Roman" w:eastAsia="Times New Roman" w:hAnsi="Times New Roman"/>
          <w:sz w:val="24"/>
          <w:szCs w:val="24"/>
        </w:rPr>
      </w:pPr>
    </w:p>
    <w:p w:rsidR="2049B0C8" w:rsidRPr="008A1193" w:rsidP="6EC21591" w14:paraId="7FE12062" w14:textId="4C20C1AF">
      <w:pPr>
        <w:spacing w:after="0" w:line="240" w:lineRule="auto"/>
        <w:ind w:firstLine="180"/>
        <w:rPr>
          <w:rFonts w:ascii="Times New Roman" w:eastAsia="Times New Roman" w:hAnsi="Times New Roman"/>
          <w:sz w:val="24"/>
          <w:szCs w:val="24"/>
        </w:rPr>
      </w:pPr>
      <w:r w:rsidRPr="008A1193">
        <w:rPr>
          <w:rFonts w:ascii="Times New Roman" w:eastAsia="Times New Roman" w:hAnsi="Times New Roman"/>
          <w:sz w:val="24"/>
          <w:szCs w:val="24"/>
        </w:rPr>
        <w:t xml:space="preserve">To further reduce disclosure, we will follow further established guidance from CTP/OS: </w:t>
      </w:r>
    </w:p>
    <w:p w:rsidR="2049B0C8" w:rsidRPr="008A1193" w:rsidP="008A1193" w14:paraId="103E70EA" w14:textId="2DD6B815">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 xml:space="preserve">Each estimate (or table cell) must be generated based on a numerator of 3. This includes means, total, numerators of proportions, all table cell counts, and marginal counts. If an estimate is based on a numerator of 1 or 2, it will be combined with another category. </w:t>
      </w:r>
    </w:p>
    <w:p w:rsidR="2049B0C8" w:rsidRPr="008A1193" w:rsidP="008A1193" w14:paraId="11E5B2AC" w14:textId="3CBA172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 xml:space="preserve">We will work to ensure table differencing (i.e., calculating the sample size of a small cell from cells of another related table) does not occur by using consistent categories across tables. </w:t>
      </w:r>
    </w:p>
    <w:p w:rsidR="000C6CA7" w:rsidRPr="008A1193" w:rsidP="008A1193" w14:paraId="4797A47B" w14:textId="1B8BB15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Continuous/ordered variables will be presented so that extreme values pertaining to an individual are not evident.</w:t>
      </w:r>
    </w:p>
    <w:p w:rsidR="00447CB7" w:rsidRPr="00392C0E" w:rsidP="00447CB7" w14:paraId="7525EDA6"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Methods to Maximize Response Rates and Deal with Nonresponse</w:t>
      </w:r>
    </w:p>
    <w:p w:rsidR="00447CB7" w:rsidRPr="00447CB7" w:rsidP="00447CB7" w14:paraId="4B1AF83C" w14:textId="20ED5308">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ability to </w:t>
      </w:r>
      <w:r w:rsidR="00A66D17">
        <w:rPr>
          <w:rFonts w:ascii="Times New Roman" w:eastAsia="Times New Roman" w:hAnsi="Times New Roman"/>
          <w:sz w:val="24"/>
          <w:szCs w:val="24"/>
        </w:rPr>
        <w:t>recruit</w:t>
      </w:r>
      <w:r w:rsidR="00FC2B2B">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potential respondents </w:t>
      </w:r>
      <w:r w:rsidR="002A3869">
        <w:rPr>
          <w:rFonts w:ascii="Times New Roman" w:eastAsia="Times New Roman" w:hAnsi="Times New Roman"/>
          <w:sz w:val="24"/>
          <w:szCs w:val="24"/>
        </w:rPr>
        <w:t>for</w:t>
      </w:r>
      <w:r w:rsidRPr="00447CB7">
        <w:rPr>
          <w:rFonts w:ascii="Times New Roman" w:eastAsia="Times New Roman" w:hAnsi="Times New Roman"/>
          <w:sz w:val="24"/>
          <w:szCs w:val="24"/>
        </w:rPr>
        <w:t xml:space="preserve"> the baseline survey and maintain their participation across all survey waves will be important to the success of this study. </w:t>
      </w:r>
    </w:p>
    <w:p w:rsidR="00447CB7" w:rsidRPr="00447CB7" w:rsidP="00447CB7" w14:paraId="64B1E43F" w14:textId="77777777">
      <w:pPr>
        <w:spacing w:after="0" w:line="240" w:lineRule="auto"/>
        <w:ind w:left="720"/>
        <w:rPr>
          <w:rFonts w:ascii="Times New Roman" w:eastAsia="Times New Roman" w:hAnsi="Times New Roman"/>
          <w:sz w:val="24"/>
          <w:szCs w:val="24"/>
        </w:rPr>
      </w:pPr>
    </w:p>
    <w:p w:rsidR="00447CB7" w:rsidP="00B7010E" w14:paraId="178E258C" w14:textId="1E5CEFFD">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 xml:space="preserve">At </w:t>
      </w:r>
      <w:r w:rsidRPr="7263E2D9" w:rsidR="00977B51">
        <w:rPr>
          <w:rFonts w:ascii="Times New Roman" w:eastAsia="Times New Roman" w:hAnsi="Times New Roman"/>
          <w:sz w:val="24"/>
          <w:szCs w:val="24"/>
        </w:rPr>
        <w:t xml:space="preserve">baseline and each wave of follow-up data collection, </w:t>
      </w:r>
      <w:r w:rsidRPr="7263E2D9">
        <w:rPr>
          <w:rFonts w:ascii="Times New Roman" w:eastAsia="Times New Roman" w:hAnsi="Times New Roman"/>
          <w:sz w:val="24"/>
          <w:szCs w:val="24"/>
        </w:rPr>
        <w:t xml:space="preserve">youth respondents </w:t>
      </w:r>
      <w:r w:rsidRPr="7263E2D9" w:rsidR="005656CB">
        <w:rPr>
          <w:rFonts w:ascii="Times New Roman" w:eastAsia="Times New Roman" w:hAnsi="Times New Roman"/>
          <w:sz w:val="24"/>
          <w:szCs w:val="24"/>
        </w:rPr>
        <w:t xml:space="preserve">who participate in the main data collection </w:t>
      </w:r>
      <w:r w:rsidRPr="7263E2D9" w:rsidR="00A85974">
        <w:rPr>
          <w:rFonts w:ascii="Times New Roman" w:eastAsia="Times New Roman" w:hAnsi="Times New Roman"/>
          <w:sz w:val="24"/>
          <w:szCs w:val="24"/>
        </w:rPr>
        <w:t>w</w:t>
      </w:r>
      <w:r w:rsidRPr="7263E2D9" w:rsidR="00682739">
        <w:rPr>
          <w:rFonts w:ascii="Times New Roman" w:eastAsia="Times New Roman" w:hAnsi="Times New Roman"/>
          <w:sz w:val="24"/>
          <w:szCs w:val="24"/>
        </w:rPr>
        <w:t>ill be</w:t>
      </w:r>
      <w:r w:rsidRPr="7263E2D9">
        <w:rPr>
          <w:rFonts w:ascii="Times New Roman" w:eastAsia="Times New Roman" w:hAnsi="Times New Roman"/>
          <w:sz w:val="24"/>
          <w:szCs w:val="24"/>
        </w:rPr>
        <w:t xml:space="preserve"> offered a $</w:t>
      </w:r>
      <w:r w:rsidRPr="7263E2D9" w:rsidR="00977B51">
        <w:rPr>
          <w:rFonts w:ascii="Times New Roman" w:eastAsia="Times New Roman" w:hAnsi="Times New Roman"/>
          <w:sz w:val="24"/>
          <w:szCs w:val="24"/>
        </w:rPr>
        <w:t>3</w:t>
      </w:r>
      <w:r w:rsidR="00E36761">
        <w:rPr>
          <w:rFonts w:ascii="Times New Roman" w:eastAsia="Times New Roman" w:hAnsi="Times New Roman"/>
          <w:sz w:val="24"/>
          <w:szCs w:val="24"/>
        </w:rPr>
        <w:t>0</w:t>
      </w:r>
      <w:r w:rsidRPr="7263E2D9">
        <w:rPr>
          <w:rFonts w:ascii="Times New Roman" w:eastAsia="Times New Roman" w:hAnsi="Times New Roman"/>
          <w:sz w:val="24"/>
          <w:szCs w:val="24"/>
        </w:rPr>
        <w:t xml:space="preserve"> incentive to complete the survey during an early release period that </w:t>
      </w:r>
      <w:r w:rsidRPr="7263E2D9" w:rsidR="00805F04">
        <w:rPr>
          <w:rFonts w:ascii="Times New Roman" w:eastAsia="Times New Roman" w:hAnsi="Times New Roman"/>
          <w:sz w:val="24"/>
          <w:szCs w:val="24"/>
        </w:rPr>
        <w:t>will run</w:t>
      </w:r>
      <w:r w:rsidRPr="7263E2D9">
        <w:rPr>
          <w:rFonts w:ascii="Times New Roman" w:eastAsia="Times New Roman" w:hAnsi="Times New Roman"/>
          <w:sz w:val="24"/>
          <w:szCs w:val="24"/>
        </w:rPr>
        <w:t xml:space="preserve"> </w:t>
      </w:r>
      <w:r w:rsidRPr="7263E2D9" w:rsidR="00543E15">
        <w:rPr>
          <w:rFonts w:ascii="Times New Roman" w:eastAsia="Times New Roman" w:hAnsi="Times New Roman"/>
          <w:sz w:val="24"/>
          <w:szCs w:val="24"/>
        </w:rPr>
        <w:t>for approximately three weeks</w:t>
      </w:r>
      <w:r w:rsidRPr="7263E2D9">
        <w:rPr>
          <w:rFonts w:ascii="Times New Roman" w:eastAsia="Times New Roman" w:hAnsi="Times New Roman"/>
          <w:sz w:val="24"/>
          <w:szCs w:val="24"/>
        </w:rPr>
        <w:t xml:space="preserve">. Subsequently, youth respondents </w:t>
      </w:r>
      <w:r w:rsidRPr="7263E2D9" w:rsidR="00805F04">
        <w:rPr>
          <w:rFonts w:ascii="Times New Roman" w:eastAsia="Times New Roman" w:hAnsi="Times New Roman"/>
          <w:sz w:val="24"/>
          <w:szCs w:val="24"/>
        </w:rPr>
        <w:t>will be</w:t>
      </w:r>
      <w:r w:rsidRPr="7263E2D9">
        <w:rPr>
          <w:rFonts w:ascii="Times New Roman" w:eastAsia="Times New Roman" w:hAnsi="Times New Roman"/>
          <w:sz w:val="24"/>
          <w:szCs w:val="24"/>
        </w:rPr>
        <w:t xml:space="preserve"> offered a $</w:t>
      </w:r>
      <w:r w:rsidR="00E36761">
        <w:rPr>
          <w:rFonts w:ascii="Times New Roman" w:eastAsia="Times New Roman" w:hAnsi="Times New Roman"/>
          <w:sz w:val="24"/>
          <w:szCs w:val="24"/>
        </w:rPr>
        <w:t>25</w:t>
      </w:r>
      <w:r w:rsidRPr="7263E2D9">
        <w:rPr>
          <w:rFonts w:ascii="Times New Roman" w:eastAsia="Times New Roman" w:hAnsi="Times New Roman"/>
          <w:sz w:val="24"/>
          <w:szCs w:val="24"/>
        </w:rPr>
        <w:t xml:space="preserve"> incentive to complete the survey </w:t>
      </w:r>
      <w:r w:rsidRPr="7263E2D9" w:rsidR="00BE2153">
        <w:rPr>
          <w:rFonts w:ascii="Times New Roman" w:eastAsia="Times New Roman" w:hAnsi="Times New Roman"/>
          <w:sz w:val="24"/>
          <w:szCs w:val="24"/>
        </w:rPr>
        <w:t>after the early release period</w:t>
      </w:r>
      <w:r w:rsidRPr="7263E2D9">
        <w:rPr>
          <w:rFonts w:ascii="Times New Roman" w:eastAsia="Times New Roman" w:hAnsi="Times New Roman"/>
          <w:sz w:val="24"/>
          <w:szCs w:val="24"/>
        </w:rPr>
        <w:t xml:space="preserve">. </w:t>
      </w:r>
      <w:r w:rsidRPr="7263E2D9" w:rsidR="004C670B">
        <w:rPr>
          <w:rFonts w:ascii="Times New Roman" w:eastAsia="Times New Roman" w:hAnsi="Times New Roman"/>
          <w:sz w:val="24"/>
          <w:szCs w:val="24"/>
        </w:rPr>
        <w:t>For the supplemental baseline data collection, youth</w:t>
      </w:r>
      <w:r w:rsidRPr="7263E2D9" w:rsidR="003953A5">
        <w:rPr>
          <w:rFonts w:ascii="Times New Roman" w:eastAsia="Times New Roman" w:hAnsi="Times New Roman"/>
          <w:sz w:val="24"/>
          <w:szCs w:val="24"/>
        </w:rPr>
        <w:t xml:space="preserve"> will receive a $</w:t>
      </w:r>
      <w:r w:rsidR="00D804C7">
        <w:rPr>
          <w:rFonts w:ascii="Times New Roman" w:eastAsia="Times New Roman" w:hAnsi="Times New Roman"/>
          <w:sz w:val="24"/>
          <w:szCs w:val="24"/>
        </w:rPr>
        <w:t>25</w:t>
      </w:r>
      <w:r w:rsidRPr="7263E2D9" w:rsidR="003953A5">
        <w:rPr>
          <w:rFonts w:ascii="Times New Roman" w:eastAsia="Times New Roman" w:hAnsi="Times New Roman"/>
          <w:sz w:val="24"/>
          <w:szCs w:val="24"/>
        </w:rPr>
        <w:t xml:space="preserve"> incentive</w:t>
      </w:r>
      <w:r w:rsidRPr="7263E2D9" w:rsidR="006A7108">
        <w:rPr>
          <w:rFonts w:ascii="Times New Roman" w:eastAsia="Times New Roman" w:hAnsi="Times New Roman"/>
          <w:sz w:val="24"/>
          <w:szCs w:val="24"/>
        </w:rPr>
        <w:t>. Youth in the supplemental baseline data collection will participate in the main data collection at</w:t>
      </w:r>
      <w:r w:rsidRPr="7263E2D9" w:rsidR="00B47631">
        <w:rPr>
          <w:rFonts w:ascii="Times New Roman" w:eastAsia="Times New Roman" w:hAnsi="Times New Roman"/>
          <w:sz w:val="24"/>
          <w:szCs w:val="24"/>
        </w:rPr>
        <w:t xml:space="preserve"> follow-up and will receive a $3</w:t>
      </w:r>
      <w:r w:rsidR="00D804C7">
        <w:rPr>
          <w:rFonts w:ascii="Times New Roman" w:eastAsia="Times New Roman" w:hAnsi="Times New Roman"/>
          <w:sz w:val="24"/>
          <w:szCs w:val="24"/>
        </w:rPr>
        <w:t>0</w:t>
      </w:r>
      <w:r w:rsidRPr="7263E2D9" w:rsidR="00B47631">
        <w:rPr>
          <w:rFonts w:ascii="Times New Roman" w:eastAsia="Times New Roman" w:hAnsi="Times New Roman"/>
          <w:sz w:val="24"/>
          <w:szCs w:val="24"/>
        </w:rPr>
        <w:t xml:space="preserve"> incentive (or $</w:t>
      </w:r>
      <w:r w:rsidR="00D804C7">
        <w:rPr>
          <w:rFonts w:ascii="Times New Roman" w:eastAsia="Times New Roman" w:hAnsi="Times New Roman"/>
          <w:sz w:val="24"/>
          <w:szCs w:val="24"/>
        </w:rPr>
        <w:t>25</w:t>
      </w:r>
      <w:r w:rsidRPr="7263E2D9" w:rsidR="00854F18">
        <w:rPr>
          <w:rFonts w:ascii="Times New Roman" w:eastAsia="Times New Roman" w:hAnsi="Times New Roman"/>
          <w:sz w:val="24"/>
          <w:szCs w:val="24"/>
        </w:rPr>
        <w:t xml:space="preserve"> incentive if completed after 3 weeks of the start of the data collection wave). </w:t>
      </w:r>
      <w:r w:rsidRPr="7263E2D9">
        <w:rPr>
          <w:rFonts w:ascii="Times New Roman" w:eastAsia="Times New Roman" w:hAnsi="Times New Roman"/>
          <w:sz w:val="24"/>
          <w:szCs w:val="24"/>
        </w:rPr>
        <w:t xml:space="preserve">Studies suggest that this incentive approach can increase response rates and reduce costs and nonresponse. </w:t>
      </w:r>
      <w:r w:rsidRPr="7263E2D9">
        <w:rPr>
          <w:rFonts w:ascii="Times New Roman" w:eastAsia="Times New Roman" w:hAnsi="Times New Roman"/>
          <w:sz w:val="24"/>
          <w:szCs w:val="24"/>
        </w:rPr>
        <w:t xml:space="preserve">In addition, the study will use procedures designed to maximize respondent participation. </w:t>
      </w:r>
      <w:r w:rsidR="00B7010E">
        <w:rPr>
          <w:rFonts w:ascii="Times New Roman" w:eastAsia="Times New Roman" w:hAnsi="Times New Roman"/>
          <w:sz w:val="24"/>
          <w:szCs w:val="24"/>
        </w:rPr>
        <w:t>For example, e</w:t>
      </w:r>
      <w:r w:rsidRPr="7263E2D9" w:rsidR="00852F69">
        <w:rPr>
          <w:rFonts w:ascii="Times New Roman" w:eastAsia="Times New Roman" w:hAnsi="Times New Roman"/>
          <w:sz w:val="24"/>
          <w:szCs w:val="24"/>
        </w:rPr>
        <w:t xml:space="preserve">-mail reminders </w:t>
      </w:r>
      <w:r w:rsidRPr="7263E2D9" w:rsidR="00534BC4">
        <w:rPr>
          <w:rFonts w:ascii="Times New Roman" w:eastAsia="Times New Roman" w:hAnsi="Times New Roman"/>
          <w:sz w:val="24"/>
          <w:szCs w:val="24"/>
        </w:rPr>
        <w:t xml:space="preserve">and text messages </w:t>
      </w:r>
      <w:r w:rsidRPr="7263E2D9" w:rsidR="00852F69">
        <w:rPr>
          <w:rFonts w:ascii="Times New Roman" w:eastAsia="Times New Roman" w:hAnsi="Times New Roman"/>
          <w:sz w:val="24"/>
          <w:szCs w:val="24"/>
        </w:rPr>
        <w:t xml:space="preserve">will be sent to encourage </w:t>
      </w:r>
      <w:r w:rsidRPr="7263E2D9" w:rsidR="00423453">
        <w:rPr>
          <w:rFonts w:ascii="Times New Roman" w:eastAsia="Times New Roman" w:hAnsi="Times New Roman"/>
          <w:sz w:val="24"/>
          <w:szCs w:val="24"/>
        </w:rPr>
        <w:t>participants</w:t>
      </w:r>
      <w:r w:rsidRPr="7263E2D9" w:rsidR="00852F69">
        <w:rPr>
          <w:rFonts w:ascii="Times New Roman" w:eastAsia="Times New Roman" w:hAnsi="Times New Roman"/>
          <w:sz w:val="24"/>
          <w:szCs w:val="24"/>
        </w:rPr>
        <w:t xml:space="preserve"> to complete the survey</w:t>
      </w:r>
      <w:r w:rsidRPr="7263E2D9" w:rsidR="00B64ABB">
        <w:rPr>
          <w:rFonts w:ascii="Times New Roman" w:eastAsia="Times New Roman" w:hAnsi="Times New Roman"/>
          <w:sz w:val="24"/>
          <w:szCs w:val="24"/>
        </w:rPr>
        <w:t>.</w:t>
      </w:r>
      <w:r w:rsidR="006F540F">
        <w:rPr>
          <w:rFonts w:ascii="Times New Roman" w:eastAsia="Times New Roman" w:hAnsi="Times New Roman"/>
          <w:sz w:val="24"/>
          <w:szCs w:val="24"/>
        </w:rPr>
        <w:t xml:space="preserve"> We will direct respondents to a website that may be updated at each wave to </w:t>
      </w:r>
      <w:r w:rsidR="00B16ED2">
        <w:rPr>
          <w:rFonts w:ascii="Times New Roman" w:eastAsia="Times New Roman" w:hAnsi="Times New Roman"/>
          <w:sz w:val="24"/>
          <w:szCs w:val="24"/>
        </w:rPr>
        <w:t>show progress and encourage engagement</w:t>
      </w:r>
      <w:r w:rsidR="00061BBF">
        <w:rPr>
          <w:rFonts w:ascii="Times New Roman" w:eastAsia="Times New Roman" w:hAnsi="Times New Roman"/>
          <w:sz w:val="24"/>
          <w:szCs w:val="24"/>
        </w:rPr>
        <w:t>.</w:t>
      </w:r>
    </w:p>
    <w:p w:rsidR="00E93D1E" w:rsidP="00B7010E" w14:paraId="3FDA3757" w14:textId="77777777">
      <w:pPr>
        <w:spacing w:after="0" w:line="240" w:lineRule="auto"/>
        <w:ind w:left="720"/>
        <w:rPr>
          <w:rFonts w:ascii="Times New Roman" w:eastAsia="Times New Roman" w:hAnsi="Times New Roman"/>
          <w:sz w:val="24"/>
          <w:szCs w:val="24"/>
        </w:rPr>
      </w:pPr>
    </w:p>
    <w:p w:rsidR="0012382B" w:rsidP="00447CB7" w14:paraId="10452841" w14:textId="3F30D2B7">
      <w:pPr>
        <w:spacing w:after="0" w:line="240" w:lineRule="auto"/>
        <w:ind w:left="720"/>
        <w:rPr>
          <w:rFonts w:ascii="Times New Roman" w:eastAsia="Times New Roman" w:hAnsi="Times New Roman"/>
          <w:sz w:val="24"/>
          <w:szCs w:val="24"/>
        </w:rPr>
      </w:pPr>
      <w:r w:rsidRPr="00E93D1E">
        <w:rPr>
          <w:rFonts w:ascii="Times New Roman" w:eastAsia="Times New Roman" w:hAnsi="Times New Roman"/>
          <w:sz w:val="24"/>
          <w:szCs w:val="24"/>
        </w:rPr>
        <w:t>For longitudinal analyses, the sample is limited to those who have completed each wave. Probability weights are generated for the longitudinal sample as well as for the full sample in each wave and are calibrated to help mitigate non-response bias. Methods such as data imputation may also be used to maximize the data and address nonresponse bias</w:t>
      </w:r>
      <w:r w:rsidR="00367EC3">
        <w:rPr>
          <w:rFonts w:ascii="Times New Roman" w:eastAsia="Times New Roman" w:hAnsi="Times New Roman"/>
          <w:sz w:val="24"/>
          <w:szCs w:val="24"/>
        </w:rPr>
        <w:t>.</w:t>
      </w:r>
    </w:p>
    <w:p w:rsidR="00447CB7" w:rsidRPr="008A1193" w:rsidP="6EC21591" w14:paraId="6344DEAE"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008A1193">
        <w:rPr>
          <w:rFonts w:ascii="Times New Roman" w:eastAsia="Times New Roman" w:hAnsi="Times New Roman"/>
          <w:b/>
          <w:bCs/>
          <w:sz w:val="24"/>
          <w:szCs w:val="24"/>
          <w:u w:val="single"/>
        </w:rPr>
        <w:t>Test of Procedures or Methods to be Undertaken</w:t>
      </w:r>
    </w:p>
    <w:p w:rsidR="00731167" w:rsidP="00447CB7" w14:paraId="5477CCD0"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Prior to launching the baseline survey, we </w:t>
      </w:r>
      <w:r w:rsidR="00E20033">
        <w:rPr>
          <w:rFonts w:ascii="Times New Roman" w:eastAsia="Times New Roman" w:hAnsi="Times New Roman"/>
          <w:sz w:val="24"/>
          <w:szCs w:val="24"/>
        </w:rPr>
        <w:t xml:space="preserve">will </w:t>
      </w:r>
      <w:r w:rsidRPr="00447CB7">
        <w:rPr>
          <w:rFonts w:ascii="Times New Roman" w:eastAsia="Times New Roman" w:hAnsi="Times New Roman"/>
          <w:sz w:val="24"/>
          <w:szCs w:val="24"/>
        </w:rPr>
        <w:t xml:space="preserve">field a </w:t>
      </w:r>
      <w:r w:rsidR="00555741">
        <w:rPr>
          <w:rFonts w:ascii="Times New Roman" w:eastAsia="Times New Roman" w:hAnsi="Times New Roman"/>
          <w:sz w:val="24"/>
          <w:szCs w:val="24"/>
        </w:rPr>
        <w:t>nine</w:t>
      </w:r>
      <w:r w:rsidRPr="00447CB7">
        <w:rPr>
          <w:rFonts w:ascii="Times New Roman" w:eastAsia="Times New Roman" w:hAnsi="Times New Roman"/>
          <w:sz w:val="24"/>
          <w:szCs w:val="24"/>
        </w:rPr>
        <w:t xml:space="preserve">-case </w:t>
      </w:r>
      <w:r w:rsidR="00E20033">
        <w:rPr>
          <w:rFonts w:ascii="Times New Roman" w:eastAsia="Times New Roman" w:hAnsi="Times New Roman"/>
          <w:sz w:val="24"/>
          <w:szCs w:val="24"/>
        </w:rPr>
        <w:t>usability test</w:t>
      </w:r>
      <w:r w:rsidRPr="00447CB7">
        <w:rPr>
          <w:rFonts w:ascii="Times New Roman" w:eastAsia="Times New Roman" w:hAnsi="Times New Roman"/>
          <w:sz w:val="24"/>
          <w:szCs w:val="24"/>
        </w:rPr>
        <w:t xml:space="preserve"> of the s</w:t>
      </w:r>
      <w:r w:rsidR="00E20033">
        <w:rPr>
          <w:rFonts w:ascii="Times New Roman" w:eastAsia="Times New Roman" w:hAnsi="Times New Roman"/>
          <w:sz w:val="24"/>
          <w:szCs w:val="24"/>
        </w:rPr>
        <w:t>creening procedure and instrument</w:t>
      </w:r>
      <w:r w:rsidRPr="00447CB7">
        <w:rPr>
          <w:rFonts w:ascii="Times New Roman" w:eastAsia="Times New Roman" w:hAnsi="Times New Roman"/>
          <w:sz w:val="24"/>
          <w:szCs w:val="24"/>
        </w:rPr>
        <w:t xml:space="preserve">. This </w:t>
      </w:r>
      <w:r w:rsidR="004B7A0C">
        <w:rPr>
          <w:rFonts w:ascii="Times New Roman" w:eastAsia="Times New Roman" w:hAnsi="Times New Roman"/>
          <w:sz w:val="24"/>
          <w:szCs w:val="24"/>
        </w:rPr>
        <w:t>usability testing</w:t>
      </w:r>
      <w:r w:rsidR="00B53EB4">
        <w:rPr>
          <w:rFonts w:ascii="Times New Roman" w:eastAsia="Times New Roman" w:hAnsi="Times New Roman"/>
          <w:sz w:val="24"/>
          <w:szCs w:val="24"/>
        </w:rPr>
        <w:t xml:space="preserve"> will provide the study team with feedback from respondents </w:t>
      </w:r>
      <w:r w:rsidR="00B02D1E">
        <w:rPr>
          <w:rFonts w:ascii="Times New Roman" w:eastAsia="Times New Roman" w:hAnsi="Times New Roman"/>
          <w:sz w:val="24"/>
          <w:szCs w:val="24"/>
        </w:rPr>
        <w:t xml:space="preserve">who are similar to the target sample and help us understand if the procedure </w:t>
      </w:r>
      <w:r w:rsidR="00FB1505">
        <w:rPr>
          <w:rFonts w:ascii="Times New Roman" w:eastAsia="Times New Roman" w:hAnsi="Times New Roman"/>
          <w:sz w:val="24"/>
          <w:szCs w:val="24"/>
        </w:rPr>
        <w:t>needs to be adjusted to improve response rates for screening.</w:t>
      </w:r>
      <w:r w:rsidR="00026A1C">
        <w:rPr>
          <w:rFonts w:ascii="Times New Roman" w:eastAsia="Times New Roman" w:hAnsi="Times New Roman"/>
          <w:sz w:val="24"/>
          <w:szCs w:val="24"/>
        </w:rPr>
        <w:t xml:space="preserve"> We may add instructions to the screener or adjust how documents are presented </w:t>
      </w:r>
      <w:r w:rsidR="001C72CC">
        <w:rPr>
          <w:rFonts w:ascii="Times New Roman" w:eastAsia="Times New Roman" w:hAnsi="Times New Roman"/>
          <w:sz w:val="24"/>
          <w:szCs w:val="24"/>
        </w:rPr>
        <w:t>on the web based on this feedback.</w:t>
      </w:r>
      <w:r w:rsidRPr="00447CB7">
        <w:rPr>
          <w:rFonts w:ascii="Times New Roman" w:eastAsia="Times New Roman" w:hAnsi="Times New Roman"/>
          <w:sz w:val="24"/>
          <w:szCs w:val="24"/>
        </w:rPr>
        <w:t xml:space="preserve"> </w:t>
      </w:r>
    </w:p>
    <w:p w:rsidR="00731167" w:rsidP="00447CB7" w14:paraId="7A35A194" w14:textId="77777777">
      <w:pPr>
        <w:spacing w:after="0" w:line="240" w:lineRule="auto"/>
        <w:ind w:left="720"/>
        <w:rPr>
          <w:rFonts w:ascii="Times New Roman" w:eastAsia="Times New Roman" w:hAnsi="Times New Roman"/>
          <w:sz w:val="24"/>
          <w:szCs w:val="24"/>
        </w:rPr>
      </w:pPr>
    </w:p>
    <w:p w:rsidR="00E37D27" w:rsidP="00447CB7" w14:paraId="761C2499" w14:textId="2C86A5D2">
      <w:pPr>
        <w:spacing w:after="0" w:line="240" w:lineRule="auto"/>
        <w:ind w:left="720"/>
        <w:rPr>
          <w:rFonts w:ascii="Times New Roman" w:eastAsia="Times New Roman" w:hAnsi="Times New Roman"/>
          <w:sz w:val="24"/>
          <w:szCs w:val="24"/>
        </w:rPr>
      </w:pPr>
      <w:r w:rsidRPr="01908AE1">
        <w:rPr>
          <w:rFonts w:ascii="Times New Roman" w:eastAsia="Times New Roman" w:hAnsi="Times New Roman"/>
          <w:sz w:val="24"/>
          <w:szCs w:val="24"/>
        </w:rPr>
        <w:t xml:space="preserve">Additionally, </w:t>
      </w:r>
      <w:r w:rsidRPr="01908AE1" w:rsidR="5B95B935">
        <w:rPr>
          <w:rFonts w:ascii="Times New Roman" w:eastAsia="Times New Roman" w:hAnsi="Times New Roman"/>
          <w:sz w:val="24"/>
          <w:szCs w:val="24"/>
        </w:rPr>
        <w:t xml:space="preserve">with a </w:t>
      </w:r>
      <w:r w:rsidRPr="01908AE1" w:rsidR="4BD297CC">
        <w:rPr>
          <w:rFonts w:ascii="Times New Roman" w:eastAsia="Times New Roman" w:hAnsi="Times New Roman"/>
          <w:sz w:val="24"/>
          <w:szCs w:val="24"/>
        </w:rPr>
        <w:t>separate</w:t>
      </w:r>
      <w:r w:rsidRPr="01908AE1" w:rsidR="5B95B935">
        <w:rPr>
          <w:rFonts w:ascii="Times New Roman" w:eastAsia="Times New Roman" w:hAnsi="Times New Roman"/>
          <w:sz w:val="24"/>
          <w:szCs w:val="24"/>
        </w:rPr>
        <w:t xml:space="preserve"> sample, </w:t>
      </w:r>
      <w:r w:rsidRPr="01908AE1" w:rsidR="1503D6C0">
        <w:rPr>
          <w:rFonts w:ascii="Times New Roman" w:eastAsia="Times New Roman" w:hAnsi="Times New Roman"/>
          <w:sz w:val="24"/>
          <w:szCs w:val="24"/>
        </w:rPr>
        <w:t>we will field a nine-case</w:t>
      </w:r>
      <w:r w:rsidRPr="01908AE1" w:rsidR="6BB736B2">
        <w:rPr>
          <w:rFonts w:ascii="Times New Roman" w:eastAsia="Times New Roman" w:hAnsi="Times New Roman"/>
          <w:sz w:val="24"/>
          <w:szCs w:val="24"/>
        </w:rPr>
        <w:t xml:space="preserve"> cognitive interview pre-test of selected items from the survey</w:t>
      </w:r>
      <w:r w:rsidRPr="01908AE1" w:rsidR="53C14E6C">
        <w:rPr>
          <w:rFonts w:ascii="Times New Roman" w:eastAsia="Times New Roman" w:hAnsi="Times New Roman"/>
          <w:sz w:val="24"/>
          <w:szCs w:val="24"/>
        </w:rPr>
        <w:t xml:space="preserve"> instrument</w:t>
      </w:r>
      <w:r w:rsidRPr="01908AE1" w:rsidR="0D962BD5">
        <w:rPr>
          <w:rFonts w:ascii="Times New Roman" w:eastAsia="Times New Roman" w:hAnsi="Times New Roman"/>
          <w:sz w:val="24"/>
          <w:szCs w:val="24"/>
        </w:rPr>
        <w:t>,</w:t>
      </w:r>
      <w:r w:rsidRPr="01908AE1" w:rsidR="53C14E6C">
        <w:rPr>
          <w:rFonts w:ascii="Times New Roman" w:eastAsia="Times New Roman" w:hAnsi="Times New Roman"/>
          <w:sz w:val="24"/>
          <w:szCs w:val="24"/>
        </w:rPr>
        <w:t xml:space="preserve"> with the exception of a few additional </w:t>
      </w:r>
      <w:r w:rsidRPr="01908AE1" w:rsidR="4F9F2245">
        <w:rPr>
          <w:rFonts w:ascii="Times New Roman" w:eastAsia="Times New Roman" w:hAnsi="Times New Roman"/>
          <w:sz w:val="24"/>
          <w:szCs w:val="24"/>
        </w:rPr>
        <w:t xml:space="preserve">prompting </w:t>
      </w:r>
      <w:r w:rsidRPr="01908AE1" w:rsidR="53C14E6C">
        <w:rPr>
          <w:rFonts w:ascii="Times New Roman" w:eastAsia="Times New Roman" w:hAnsi="Times New Roman"/>
          <w:sz w:val="24"/>
          <w:szCs w:val="24"/>
        </w:rPr>
        <w:t>questions</w:t>
      </w:r>
      <w:r w:rsidR="00532DB0">
        <w:rPr>
          <w:rFonts w:ascii="Times New Roman" w:eastAsia="Times New Roman" w:hAnsi="Times New Roman"/>
          <w:sz w:val="24"/>
          <w:szCs w:val="24"/>
        </w:rPr>
        <w:t>,</w:t>
      </w:r>
      <w:r w:rsidRPr="01908AE1" w:rsidR="53C14E6C">
        <w:rPr>
          <w:rFonts w:ascii="Times New Roman" w:eastAsia="Times New Roman" w:hAnsi="Times New Roman"/>
          <w:sz w:val="24"/>
          <w:szCs w:val="24"/>
        </w:rPr>
        <w:t xml:space="preserve"> to assess overall clarity of instrument questions and respondents’ opinions on aspects of the survey that </w:t>
      </w:r>
      <w:r w:rsidRPr="01908AE1" w:rsidR="6F876F7B">
        <w:rPr>
          <w:rFonts w:ascii="Times New Roman" w:eastAsia="Times New Roman" w:hAnsi="Times New Roman"/>
          <w:sz w:val="24"/>
          <w:szCs w:val="24"/>
        </w:rPr>
        <w:t>are</w:t>
      </w:r>
      <w:r w:rsidRPr="01908AE1" w:rsidR="53C14E6C">
        <w:rPr>
          <w:rFonts w:ascii="Times New Roman" w:eastAsia="Times New Roman" w:hAnsi="Times New Roman"/>
          <w:sz w:val="24"/>
          <w:szCs w:val="24"/>
        </w:rPr>
        <w:t xml:space="preserve"> </w:t>
      </w:r>
      <w:r w:rsidRPr="01908AE1" w:rsidR="7F0350D8">
        <w:rPr>
          <w:rFonts w:ascii="Times New Roman" w:eastAsia="Times New Roman" w:hAnsi="Times New Roman"/>
          <w:sz w:val="24"/>
          <w:szCs w:val="24"/>
        </w:rPr>
        <w:t>un</w:t>
      </w:r>
      <w:r w:rsidRPr="01908AE1" w:rsidR="53C14E6C">
        <w:rPr>
          <w:rFonts w:ascii="Times New Roman" w:eastAsia="Times New Roman" w:hAnsi="Times New Roman"/>
          <w:sz w:val="24"/>
          <w:szCs w:val="24"/>
        </w:rPr>
        <w:t xml:space="preserve">clear. The purpose of the </w:t>
      </w:r>
      <w:r w:rsidRPr="01908AE1" w:rsidR="6F876F7B">
        <w:rPr>
          <w:rFonts w:ascii="Times New Roman" w:eastAsia="Times New Roman" w:hAnsi="Times New Roman"/>
          <w:sz w:val="24"/>
          <w:szCs w:val="24"/>
        </w:rPr>
        <w:t>cognitive interviews is</w:t>
      </w:r>
      <w:r w:rsidRPr="01908AE1" w:rsidR="43E2F05B">
        <w:rPr>
          <w:rFonts w:ascii="Times New Roman" w:eastAsia="Times New Roman" w:hAnsi="Times New Roman"/>
          <w:sz w:val="24"/>
          <w:szCs w:val="24"/>
        </w:rPr>
        <w:t xml:space="preserve"> </w:t>
      </w:r>
      <w:r w:rsidRPr="01908AE1" w:rsidR="53C14E6C">
        <w:rPr>
          <w:rFonts w:ascii="Times New Roman" w:eastAsia="Times New Roman" w:hAnsi="Times New Roman"/>
          <w:sz w:val="24"/>
          <w:szCs w:val="24"/>
        </w:rPr>
        <w:t xml:space="preserve">to </w:t>
      </w:r>
      <w:r w:rsidRPr="01908AE1" w:rsidR="43E2F05B">
        <w:rPr>
          <w:rFonts w:ascii="Times New Roman" w:eastAsia="Times New Roman" w:hAnsi="Times New Roman"/>
          <w:sz w:val="24"/>
          <w:szCs w:val="24"/>
        </w:rPr>
        <w:t>i</w:t>
      </w:r>
      <w:r w:rsidRPr="01908AE1" w:rsidR="53C14E6C">
        <w:rPr>
          <w:rFonts w:ascii="Times New Roman" w:eastAsia="Times New Roman" w:hAnsi="Times New Roman"/>
          <w:sz w:val="24"/>
          <w:szCs w:val="24"/>
        </w:rPr>
        <w:t xml:space="preserve">dentify areas of the survey that </w:t>
      </w:r>
      <w:r w:rsidRPr="01908AE1" w:rsidR="5B95B935">
        <w:rPr>
          <w:rFonts w:ascii="Times New Roman" w:eastAsia="Times New Roman" w:hAnsi="Times New Roman"/>
          <w:sz w:val="24"/>
          <w:szCs w:val="24"/>
        </w:rPr>
        <w:t>are</w:t>
      </w:r>
      <w:r w:rsidRPr="01908AE1" w:rsidR="53C14E6C">
        <w:rPr>
          <w:rFonts w:ascii="Times New Roman" w:eastAsia="Times New Roman" w:hAnsi="Times New Roman"/>
          <w:sz w:val="24"/>
          <w:szCs w:val="24"/>
        </w:rPr>
        <w:t xml:space="preserve"> either unclear or difficult to understand. </w:t>
      </w:r>
    </w:p>
    <w:p w:rsidR="00E37D27" w:rsidP="00447CB7" w14:paraId="28C5085B" w14:textId="77777777">
      <w:pPr>
        <w:spacing w:after="0" w:line="240" w:lineRule="auto"/>
        <w:ind w:left="720"/>
        <w:rPr>
          <w:rFonts w:ascii="Times New Roman" w:eastAsia="Times New Roman" w:hAnsi="Times New Roman"/>
          <w:sz w:val="24"/>
          <w:szCs w:val="24"/>
        </w:rPr>
      </w:pPr>
    </w:p>
    <w:p w:rsidR="00572F9E" w:rsidP="003C0F91" w14:paraId="15C43B5B" w14:textId="00065CFB">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w:t>
      </w:r>
      <w:r w:rsidR="00735721">
        <w:rPr>
          <w:rFonts w:ascii="Times New Roman" w:eastAsia="Times New Roman" w:hAnsi="Times New Roman"/>
          <w:sz w:val="24"/>
          <w:szCs w:val="24"/>
        </w:rPr>
        <w:t>usability testing and cognitive interviews</w:t>
      </w:r>
      <w:r w:rsidRPr="00447CB7">
        <w:rPr>
          <w:rFonts w:ascii="Times New Roman" w:eastAsia="Times New Roman" w:hAnsi="Times New Roman"/>
          <w:sz w:val="24"/>
          <w:szCs w:val="24"/>
        </w:rPr>
        <w:t xml:space="preserve">, RTI </w:t>
      </w:r>
      <w:r w:rsidR="00D25C56">
        <w:rPr>
          <w:rFonts w:ascii="Times New Roman" w:eastAsia="Times New Roman" w:hAnsi="Times New Roman"/>
          <w:sz w:val="24"/>
          <w:szCs w:val="24"/>
        </w:rPr>
        <w:t xml:space="preserve">staff </w:t>
      </w:r>
      <w:r w:rsidR="00140F72">
        <w:rPr>
          <w:rFonts w:ascii="Times New Roman" w:eastAsia="Times New Roman" w:hAnsi="Times New Roman"/>
          <w:sz w:val="24"/>
          <w:szCs w:val="24"/>
        </w:rPr>
        <w:t>will conduct</w:t>
      </w:r>
      <w:r w:rsidRPr="00447CB7">
        <w:rPr>
          <w:rFonts w:ascii="Times New Roman" w:eastAsia="Times New Roman" w:hAnsi="Times New Roman"/>
          <w:sz w:val="24"/>
          <w:szCs w:val="24"/>
        </w:rPr>
        <w:t xml:space="preserve"> rigorous internal testing of the </w:t>
      </w:r>
      <w:r w:rsidR="00842701">
        <w:rPr>
          <w:rFonts w:ascii="Times New Roman" w:eastAsia="Times New Roman" w:hAnsi="Times New Roman"/>
          <w:sz w:val="24"/>
          <w:szCs w:val="24"/>
        </w:rPr>
        <w:t xml:space="preserve">online screener and </w:t>
      </w:r>
      <w:r w:rsidRPr="00447CB7">
        <w:rPr>
          <w:rFonts w:ascii="Times New Roman" w:eastAsia="Times New Roman" w:hAnsi="Times New Roman"/>
          <w:sz w:val="24"/>
          <w:szCs w:val="24"/>
        </w:rPr>
        <w:t>survey instrument prior to fielding</w:t>
      </w:r>
      <w:r w:rsidR="00B55C9A">
        <w:rPr>
          <w:rFonts w:ascii="Times New Roman" w:eastAsia="Times New Roman" w:hAnsi="Times New Roman"/>
          <w:sz w:val="24"/>
          <w:szCs w:val="24"/>
        </w:rPr>
        <w:t xml:space="preserve"> </w:t>
      </w:r>
      <w:r w:rsidR="00842701">
        <w:rPr>
          <w:rFonts w:ascii="Times New Roman" w:eastAsia="Times New Roman" w:hAnsi="Times New Roman"/>
          <w:sz w:val="24"/>
          <w:szCs w:val="24"/>
        </w:rPr>
        <w:t>at baseline</w:t>
      </w:r>
      <w:r w:rsidRPr="00447CB7">
        <w:rPr>
          <w:rFonts w:ascii="Times New Roman" w:eastAsia="Times New Roman" w:hAnsi="Times New Roman"/>
          <w:sz w:val="24"/>
          <w:szCs w:val="24"/>
        </w:rPr>
        <w:t xml:space="preserve">. Evaluators </w:t>
      </w:r>
      <w:r w:rsidR="00842701">
        <w:rPr>
          <w:rFonts w:ascii="Times New Roman" w:eastAsia="Times New Roman" w:hAnsi="Times New Roman"/>
          <w:sz w:val="24"/>
          <w:szCs w:val="24"/>
        </w:rPr>
        <w:t xml:space="preserve">will review </w:t>
      </w:r>
      <w:r w:rsidRPr="00447CB7">
        <w:rPr>
          <w:rFonts w:ascii="Times New Roman" w:eastAsia="Times New Roman" w:hAnsi="Times New Roman"/>
          <w:sz w:val="24"/>
          <w:szCs w:val="24"/>
        </w:rPr>
        <w:t>the online test version of the instrument use</w:t>
      </w:r>
      <w:r w:rsidR="00B55C9A">
        <w:rPr>
          <w:rFonts w:ascii="Times New Roman" w:eastAsia="Times New Roman" w:hAnsi="Times New Roman"/>
          <w:sz w:val="24"/>
          <w:szCs w:val="24"/>
        </w:rPr>
        <w:t>d</w:t>
      </w:r>
      <w:r w:rsidRPr="00447CB7">
        <w:rPr>
          <w:rFonts w:ascii="Times New Roman" w:eastAsia="Times New Roman" w:hAnsi="Times New Roman"/>
          <w:sz w:val="24"/>
          <w:szCs w:val="24"/>
        </w:rPr>
        <w:t xml:space="preserve"> to verify that instrument skip patterns function properly, </w:t>
      </w:r>
      <w:r w:rsidR="009B137D">
        <w:rPr>
          <w:rFonts w:ascii="Times New Roman" w:eastAsia="Times New Roman" w:hAnsi="Times New Roman"/>
          <w:sz w:val="24"/>
          <w:szCs w:val="24"/>
        </w:rPr>
        <w:t>multimedia</w:t>
      </w:r>
      <w:r w:rsidRPr="00447CB7">
        <w:rPr>
          <w:rFonts w:ascii="Times New Roman" w:eastAsia="Times New Roman" w:hAnsi="Times New Roman"/>
          <w:sz w:val="24"/>
          <w:szCs w:val="24"/>
        </w:rPr>
        <w:t xml:space="preserve"> </w:t>
      </w:r>
      <w:r w:rsidR="009B137D">
        <w:rPr>
          <w:rFonts w:ascii="Times New Roman" w:eastAsia="Times New Roman" w:hAnsi="Times New Roman"/>
          <w:sz w:val="24"/>
          <w:szCs w:val="24"/>
        </w:rPr>
        <w:t>included in the survey</w:t>
      </w:r>
      <w:r w:rsidR="003C0F91">
        <w:rPr>
          <w:rFonts w:ascii="Times New Roman" w:eastAsia="Times New Roman" w:hAnsi="Times New Roman"/>
          <w:sz w:val="24"/>
          <w:szCs w:val="24"/>
        </w:rPr>
        <w:t xml:space="preserve"> is </w:t>
      </w:r>
      <w:r w:rsidR="009B137D">
        <w:rPr>
          <w:rFonts w:ascii="Times New Roman" w:eastAsia="Times New Roman" w:hAnsi="Times New Roman"/>
          <w:sz w:val="24"/>
          <w:szCs w:val="24"/>
        </w:rPr>
        <w:t>functioning</w:t>
      </w:r>
      <w:r w:rsidRPr="00447CB7">
        <w:rPr>
          <w:rFonts w:ascii="Times New Roman" w:eastAsia="Times New Roman" w:hAnsi="Times New Roman"/>
          <w:sz w:val="24"/>
          <w:szCs w:val="24"/>
        </w:rPr>
        <w:t xml:space="preserve"> properly, and all survey questions </w:t>
      </w:r>
      <w:r w:rsidR="003C0F91">
        <w:rPr>
          <w:rFonts w:ascii="Times New Roman" w:eastAsia="Times New Roman" w:hAnsi="Times New Roman"/>
          <w:sz w:val="24"/>
          <w:szCs w:val="24"/>
        </w:rPr>
        <w:t xml:space="preserve">are </w:t>
      </w:r>
      <w:r w:rsidRPr="00447CB7">
        <w:rPr>
          <w:rFonts w:ascii="Times New Roman" w:eastAsia="Times New Roman" w:hAnsi="Times New Roman"/>
          <w:sz w:val="24"/>
          <w:szCs w:val="24"/>
        </w:rPr>
        <w:t>worded correctly and in accordance with the instrument approved by OMB.</w:t>
      </w:r>
      <w:r w:rsidR="003C0F91">
        <w:rPr>
          <w:rFonts w:ascii="Times New Roman" w:eastAsia="Times New Roman" w:hAnsi="Times New Roman"/>
          <w:sz w:val="24"/>
          <w:szCs w:val="24"/>
        </w:rPr>
        <w:t xml:space="preserve"> </w:t>
      </w:r>
      <w:r w:rsidRPr="00447CB7" w:rsidR="003C0F91">
        <w:rPr>
          <w:rFonts w:ascii="Times New Roman" w:eastAsia="Times New Roman" w:hAnsi="Times New Roman"/>
          <w:sz w:val="24"/>
          <w:szCs w:val="24"/>
        </w:rPr>
        <w:t xml:space="preserve">We </w:t>
      </w:r>
      <w:r w:rsidR="003C0F91">
        <w:rPr>
          <w:rFonts w:ascii="Times New Roman" w:eastAsia="Times New Roman" w:hAnsi="Times New Roman"/>
          <w:sz w:val="24"/>
          <w:szCs w:val="24"/>
        </w:rPr>
        <w:t>will review</w:t>
      </w:r>
      <w:r w:rsidRPr="00447CB7" w:rsidR="003C0F91">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t>
      </w:r>
    </w:p>
    <w:p w:rsidR="00572F9E" w:rsidP="003C0F91" w14:paraId="595F9BB2" w14:textId="77777777">
      <w:pPr>
        <w:spacing w:after="0" w:line="240" w:lineRule="auto"/>
        <w:ind w:left="720"/>
        <w:rPr>
          <w:rFonts w:ascii="Times New Roman" w:eastAsia="Times New Roman" w:hAnsi="Times New Roman"/>
          <w:sz w:val="24"/>
          <w:szCs w:val="24"/>
        </w:rPr>
      </w:pPr>
    </w:p>
    <w:p w:rsidR="00447CB7" w:rsidRPr="00447CB7" w:rsidP="008A1193" w14:paraId="2A23B736" w14:textId="591F15B2">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Finally</w:t>
      </w:r>
      <w:r w:rsidRPr="355AA622" w:rsidR="00572F9E">
        <w:rPr>
          <w:rFonts w:ascii="Times New Roman" w:eastAsia="Times New Roman" w:hAnsi="Times New Roman"/>
          <w:sz w:val="24"/>
          <w:szCs w:val="24"/>
        </w:rPr>
        <w:t xml:space="preserve">, </w:t>
      </w:r>
      <w:r w:rsidR="00D51619">
        <w:rPr>
          <w:rFonts w:ascii="Times New Roman" w:eastAsia="Times New Roman" w:hAnsi="Times New Roman"/>
          <w:sz w:val="24"/>
          <w:szCs w:val="24"/>
        </w:rPr>
        <w:t>m</w:t>
      </w:r>
      <w:r w:rsidRPr="355AA622" w:rsidR="00D51619">
        <w:rPr>
          <w:rFonts w:ascii="Times New Roman" w:eastAsia="Times New Roman" w:hAnsi="Times New Roman"/>
          <w:sz w:val="24"/>
          <w:szCs w:val="24"/>
        </w:rPr>
        <w:t xml:space="preserve">inor revisions to the survey may be necessary given the media development process and possibility of changes in campaign implementation. </w:t>
      </w:r>
      <w:r w:rsidR="00D51619">
        <w:rPr>
          <w:rFonts w:ascii="Times New Roman" w:eastAsia="Times New Roman" w:hAnsi="Times New Roman"/>
          <w:sz w:val="24"/>
          <w:szCs w:val="24"/>
        </w:rPr>
        <w:t>W</w:t>
      </w:r>
      <w:r>
        <w:rPr>
          <w:rFonts w:ascii="Times New Roman" w:eastAsia="Times New Roman" w:hAnsi="Times New Roman"/>
          <w:sz w:val="24"/>
          <w:szCs w:val="24"/>
        </w:rPr>
        <w:t xml:space="preserve">e may remove a small number of </w:t>
      </w:r>
      <w:r w:rsidRPr="355AA622" w:rsidR="00572F9E">
        <w:rPr>
          <w:rFonts w:ascii="Times New Roman" w:eastAsia="Times New Roman" w:hAnsi="Times New Roman"/>
          <w:sz w:val="24"/>
          <w:szCs w:val="24"/>
        </w:rPr>
        <w:t>items or response options from the survey if we find they are no longer relevant at the time of data collection. For example, items pertaining to a particular ad that is no longer on air may be removed. Other examples include if a particular tobacco product is no longer on the market or if a particular type of streaming service is no longer available</w:t>
      </w:r>
      <w:r w:rsidR="00D061B7">
        <w:rPr>
          <w:rFonts w:ascii="Times New Roman" w:eastAsia="Times New Roman" w:hAnsi="Times New Roman"/>
          <w:sz w:val="24"/>
          <w:szCs w:val="24"/>
        </w:rPr>
        <w:t xml:space="preserve">; </w:t>
      </w:r>
      <w:r w:rsidRPr="355AA622" w:rsidR="00572F9E">
        <w:rPr>
          <w:rFonts w:ascii="Times New Roman" w:eastAsia="Times New Roman" w:hAnsi="Times New Roman"/>
          <w:sz w:val="24"/>
          <w:szCs w:val="24"/>
        </w:rPr>
        <w:t>these items would be removed from the survey as they are no longer relevant. However, every effort will be made to minimize changes to the survey.</w:t>
      </w:r>
    </w:p>
    <w:p w:rsidR="00447CB7" w:rsidRPr="003209BC" w:rsidP="008A1193" w14:paraId="37386D5B" w14:textId="18902542">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Individuals Consulted on Statistical Aspects and Individuals Collecting and/or Analyzing Data</w:t>
      </w:r>
    </w:p>
    <w:p w:rsidR="00447CB7" w:rsidRPr="00447CB7" w:rsidP="00447CB7" w14:paraId="0AC814A1"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447CB7" w:rsidP="00447CB7" w14:paraId="38CC0C6D" w14:textId="77777777">
      <w:pPr>
        <w:spacing w:after="0" w:line="240" w:lineRule="auto"/>
        <w:ind w:left="720"/>
        <w:rPr>
          <w:rFonts w:ascii="Times New Roman" w:eastAsia="Times New Roman" w:hAnsi="Times New Roman"/>
          <w:sz w:val="24"/>
          <w:szCs w:val="24"/>
        </w:rPr>
      </w:pPr>
    </w:p>
    <w:p w:rsidR="00231BB3" w:rsidP="00231BB3" w14:paraId="3EBC06E7" w14:textId="77777777">
      <w:pPr>
        <w:spacing w:after="0" w:line="240" w:lineRule="auto"/>
        <w:ind w:left="720"/>
        <w:rPr>
          <w:rFonts w:ascii="Times New Roman" w:hAnsi="Times New Roman"/>
          <w:sz w:val="24"/>
        </w:rPr>
      </w:pPr>
      <w:r w:rsidRPr="001768F2">
        <w:rPr>
          <w:rFonts w:ascii="Times New Roman" w:hAnsi="Times New Roman"/>
          <w:sz w:val="24"/>
        </w:rPr>
        <w:t>Debra Mekos</w:t>
      </w:r>
    </w:p>
    <w:p w:rsidR="00AC486C" w:rsidRPr="001768F2" w:rsidP="00231BB3" w14:paraId="33761AE4" w14:textId="7CE8AFC9">
      <w:pPr>
        <w:spacing w:after="0" w:line="240" w:lineRule="auto"/>
        <w:ind w:left="720"/>
        <w:rPr>
          <w:rFonts w:ascii="Times New Roman" w:hAnsi="Times New Roman"/>
          <w:sz w:val="24"/>
        </w:rPr>
      </w:pPr>
      <w:r>
        <w:rPr>
          <w:rFonts w:ascii="Times New Roman" w:hAnsi="Times New Roman"/>
          <w:sz w:val="24"/>
        </w:rPr>
        <w:t>Management Analyst</w:t>
      </w:r>
    </w:p>
    <w:p w:rsidR="00231BB3" w:rsidRPr="001768F2" w:rsidP="00231BB3" w14:paraId="4E61A9E1" w14:textId="77777777">
      <w:pPr>
        <w:spacing w:after="0" w:line="240" w:lineRule="auto"/>
        <w:ind w:left="720"/>
        <w:rPr>
          <w:rFonts w:ascii="Times New Roman" w:hAnsi="Times New Roman"/>
          <w:sz w:val="24"/>
        </w:rPr>
      </w:pPr>
      <w:bookmarkStart w:id="1" w:name="_Hlk13735736"/>
      <w:bookmarkStart w:id="2" w:name="_Hlk13735686"/>
      <w:r w:rsidRPr="001768F2">
        <w:rPr>
          <w:rFonts w:ascii="Times New Roman" w:hAnsi="Times New Roman"/>
          <w:sz w:val="24"/>
        </w:rPr>
        <w:t>Office of Health Communication &amp; Education</w:t>
      </w:r>
    </w:p>
    <w:p w:rsidR="00231BB3" w:rsidRPr="001768F2" w:rsidP="00231BB3" w14:paraId="13BEEE0A"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00231BB3" w:rsidRPr="001768F2" w:rsidP="00231BB3" w14:paraId="1EBEAC2F"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00231BB3" w:rsidRPr="001768F2" w:rsidP="00231BB3" w14:paraId="13E0438B"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00231BB3" w:rsidRPr="001768F2" w:rsidP="00231BB3" w14:paraId="1D8BF561"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bookmarkEnd w:id="1"/>
    </w:p>
    <w:p w:rsidR="00231BB3" w:rsidRPr="001768F2" w:rsidP="00231BB3" w14:paraId="1D514176" w14:textId="77777777">
      <w:pPr>
        <w:spacing w:after="0" w:line="240" w:lineRule="auto"/>
        <w:ind w:left="720"/>
        <w:rPr>
          <w:rFonts w:ascii="Times New Roman" w:hAnsi="Times New Roman"/>
          <w:sz w:val="24"/>
        </w:rPr>
      </w:pPr>
      <w:r w:rsidRPr="001768F2">
        <w:rPr>
          <w:rFonts w:ascii="Times New Roman" w:hAnsi="Times New Roman"/>
          <w:sz w:val="24"/>
        </w:rPr>
        <w:t>Phone: 301-796-8754</w:t>
      </w:r>
    </w:p>
    <w:p w:rsidR="00231BB3" w:rsidRPr="00B55C9A" w:rsidP="00231BB3" w14:paraId="514920AF" w14:textId="77777777">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8" w:history="1">
        <w:r w:rsidRPr="00B55C9A">
          <w:rPr>
            <w:rFonts w:ascii="Times New Roman" w:eastAsia="Times New Roman" w:hAnsi="Times New Roman"/>
            <w:color w:val="0000FF"/>
            <w:sz w:val="24"/>
            <w:szCs w:val="24"/>
            <w:u w:val="single"/>
          </w:rPr>
          <w:t>Debra.Mekos@fda.hhs.gov</w:t>
        </w:r>
      </w:hyperlink>
    </w:p>
    <w:bookmarkEnd w:id="2"/>
    <w:p w:rsidR="00231BB3" w:rsidP="00447CB7" w14:paraId="77B7124F" w14:textId="77777777">
      <w:pPr>
        <w:spacing w:after="0" w:line="240" w:lineRule="auto"/>
        <w:ind w:left="720"/>
        <w:rPr>
          <w:rFonts w:ascii="Times New Roman" w:eastAsia="Times New Roman" w:hAnsi="Times New Roman"/>
          <w:sz w:val="24"/>
          <w:szCs w:val="24"/>
        </w:rPr>
      </w:pPr>
    </w:p>
    <w:p w:rsidR="00231BB3" w:rsidP="00231BB3" w14:paraId="55930B32" w14:textId="77777777">
      <w:pPr>
        <w:spacing w:after="0" w:line="240" w:lineRule="auto"/>
        <w:ind w:left="720"/>
        <w:rPr>
          <w:rFonts w:ascii="Times New Roman" w:eastAsia="Times New Roman" w:hAnsi="Times New Roman"/>
          <w:sz w:val="24"/>
          <w:szCs w:val="24"/>
        </w:rPr>
      </w:pPr>
      <w:r w:rsidRPr="00DE058C">
        <w:rPr>
          <w:rFonts w:ascii="Times New Roman" w:eastAsia="Times New Roman" w:hAnsi="Times New Roman"/>
          <w:sz w:val="24"/>
          <w:szCs w:val="24"/>
        </w:rPr>
        <w:t xml:space="preserve">Morgane Bennett </w:t>
      </w:r>
    </w:p>
    <w:p w:rsidR="00AC486C" w:rsidP="00231BB3" w14:paraId="5D649A60" w14:textId="30F78836">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Social Scientist</w:t>
      </w:r>
    </w:p>
    <w:p w:rsidR="00231BB3" w:rsidRPr="001768F2" w:rsidP="00231BB3" w14:paraId="05214DB7" w14:textId="77777777">
      <w:pPr>
        <w:spacing w:after="0" w:line="240" w:lineRule="auto"/>
        <w:ind w:left="720"/>
        <w:rPr>
          <w:rFonts w:ascii="Times New Roman" w:hAnsi="Times New Roman"/>
          <w:sz w:val="24"/>
        </w:rPr>
      </w:pPr>
      <w:r>
        <w:rPr>
          <w:rFonts w:ascii="Times New Roman" w:eastAsia="Times New Roman" w:hAnsi="Times New Roman"/>
          <w:sz w:val="24"/>
          <w:szCs w:val="24"/>
        </w:rPr>
        <w:t>O</w:t>
      </w:r>
      <w:r w:rsidRPr="001768F2">
        <w:rPr>
          <w:rFonts w:ascii="Times New Roman" w:hAnsi="Times New Roman"/>
          <w:sz w:val="24"/>
        </w:rPr>
        <w:t>ffice of Health Communication &amp; Education</w:t>
      </w:r>
    </w:p>
    <w:p w:rsidR="00231BB3" w:rsidRPr="001768F2" w:rsidP="00231BB3" w14:paraId="69AF2312"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00231BB3" w:rsidRPr="001768F2" w:rsidP="00231BB3" w14:paraId="7EE14F37"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00231BB3" w:rsidRPr="001768F2" w:rsidP="00231BB3" w14:paraId="24A8DD7B"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00231BB3" w:rsidRPr="001768F2" w:rsidP="00231BB3" w14:paraId="7D456BC1"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p>
    <w:p w:rsidR="00231BB3" w:rsidRPr="00B55C9A" w:rsidP="00231BB3" w14:paraId="6B43D488" w14:textId="77777777">
      <w:pPr>
        <w:spacing w:after="0" w:line="240" w:lineRule="auto"/>
        <w:ind w:left="720"/>
        <w:rPr>
          <w:rFonts w:ascii="Times New Roman" w:eastAsia="Times New Roman" w:hAnsi="Times New Roman"/>
        </w:rPr>
      </w:pPr>
      <w:r w:rsidRPr="7DF3237D">
        <w:rPr>
          <w:rFonts w:ascii="Times New Roman" w:hAnsi="Times New Roman"/>
          <w:sz w:val="24"/>
          <w:szCs w:val="24"/>
        </w:rPr>
        <w:t xml:space="preserve">Phone: </w:t>
      </w:r>
      <w:r w:rsidRPr="7DF3237D">
        <w:rPr>
          <w:rFonts w:ascii="Times New Roman" w:eastAsia="Times New Roman" w:hAnsi="Times New Roman"/>
          <w:sz w:val="24"/>
          <w:szCs w:val="24"/>
        </w:rPr>
        <w:t>240-750-59961</w:t>
      </w:r>
    </w:p>
    <w:p w:rsidR="00231BB3" w:rsidRPr="001768F2" w:rsidP="00231BB3" w14:paraId="243D4458" w14:textId="77777777">
      <w:pPr>
        <w:spacing w:after="0" w:line="240" w:lineRule="auto"/>
        <w:ind w:left="720"/>
        <w:rPr>
          <w:rFonts w:ascii="Times New Roman" w:hAnsi="Times New Roman"/>
          <w:sz w:val="24"/>
        </w:rPr>
      </w:pPr>
      <w:r w:rsidRPr="001768F2">
        <w:rPr>
          <w:rFonts w:ascii="Times New Roman" w:hAnsi="Times New Roman"/>
          <w:sz w:val="24"/>
        </w:rPr>
        <w:t xml:space="preserve">E-mail: </w:t>
      </w:r>
      <w:r w:rsidRPr="00DE058C">
        <w:t xml:space="preserve"> </w:t>
      </w:r>
      <w:r w:rsidRPr="00DE058C">
        <w:rPr>
          <w:rFonts w:ascii="Times New Roman" w:hAnsi="Times New Roman"/>
          <w:color w:val="0000FF"/>
          <w:sz w:val="24"/>
        </w:rPr>
        <w:t>Morgane.Bennett@fda.hhs.gov</w:t>
      </w:r>
    </w:p>
    <w:p w:rsidR="00D870B2" w:rsidP="00447CB7" w14:paraId="56849214" w14:textId="77777777">
      <w:pPr>
        <w:spacing w:after="0" w:line="240" w:lineRule="auto"/>
        <w:ind w:left="720"/>
        <w:rPr>
          <w:rFonts w:ascii="Times New Roman" w:eastAsia="Times New Roman" w:hAnsi="Times New Roman"/>
          <w:sz w:val="24"/>
          <w:szCs w:val="24"/>
        </w:rPr>
      </w:pPr>
    </w:p>
    <w:p w:rsidR="00054986" w:rsidP="00447CB7" w14:paraId="0293B822" w14:textId="7951E9D5">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Erin O'Brien</w:t>
      </w:r>
    </w:p>
    <w:p w:rsidR="00AC486C" w:rsidP="00447CB7" w14:paraId="2C63DB00" w14:textId="3FB8D85B">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Supervisory Health Scientist</w:t>
      </w:r>
    </w:p>
    <w:p w:rsidR="00447CB7" w:rsidRPr="00447CB7" w:rsidP="00447CB7" w14:paraId="6FED482F" w14:textId="3798F8F6">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P="00447CB7" w14:paraId="7CF729C2"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P="00447CB7" w14:paraId="3109ECE4"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B55C9A" w:rsidRPr="00B55C9A" w:rsidP="00B55C9A" w14:paraId="3FB8102E" w14:textId="77777777">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w:t>
      </w:r>
    </w:p>
    <w:p w:rsidR="00B55C9A" w:rsidRPr="00B55C9A" w:rsidP="00B55C9A" w14:paraId="13519A64" w14:textId="77777777">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p w:rsidR="00447CB7" w:rsidRPr="00447CB7" w:rsidP="00447CB7" w14:paraId="5BBCCA1B" w14:textId="467A2C2D">
      <w:pPr>
        <w:spacing w:after="0" w:line="240" w:lineRule="auto"/>
        <w:ind w:left="720"/>
        <w:rPr>
          <w:rFonts w:ascii="Times New Roman" w:eastAsia="Times New Roman" w:hAnsi="Times New Roman"/>
        </w:rPr>
      </w:pPr>
      <w:r w:rsidRPr="00447CB7">
        <w:rPr>
          <w:rFonts w:ascii="Times New Roman" w:eastAsia="Times New Roman" w:hAnsi="Times New Roman"/>
          <w:sz w:val="24"/>
          <w:szCs w:val="24"/>
        </w:rPr>
        <w:t>Phone:</w:t>
      </w:r>
      <w:r>
        <w:tab/>
      </w:r>
      <w:r w:rsidRPr="7DF3237D" w:rsidR="43DB9EAB">
        <w:rPr>
          <w:rFonts w:ascii="Times New Roman" w:eastAsia="Times New Roman" w:hAnsi="Times New Roman"/>
          <w:sz w:val="24"/>
          <w:szCs w:val="24"/>
        </w:rPr>
        <w:t>240-402-2760</w:t>
      </w:r>
    </w:p>
    <w:p w:rsidR="00447CB7" w:rsidRPr="00447CB7" w:rsidP="00447CB7" w14:paraId="74A24EB0" w14:textId="57FD8FFD">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r w:rsidRPr="00054986" w:rsidR="00054986">
        <w:t xml:space="preserve"> </w:t>
      </w:r>
      <w:r w:rsidRPr="00054986" w:rsidR="00054986">
        <w:rPr>
          <w:rFonts w:ascii="Times New Roman" w:eastAsia="Times New Roman" w:hAnsi="Times New Roman"/>
          <w:color w:val="0000FF"/>
          <w:sz w:val="24"/>
          <w:szCs w:val="24"/>
          <w:u w:val="single"/>
        </w:rPr>
        <w:t>erin.obrien@fda.hhs.gov</w:t>
      </w:r>
    </w:p>
    <w:p w:rsidR="00447CB7" w:rsidRPr="00447CB7" w:rsidP="00447CB7" w14:paraId="11B1B0D3" w14:textId="77777777">
      <w:pPr>
        <w:spacing w:after="0" w:line="240" w:lineRule="auto"/>
        <w:ind w:left="720"/>
        <w:rPr>
          <w:rFonts w:ascii="Times New Roman" w:eastAsia="Times New Roman" w:hAnsi="Times New Roman"/>
          <w:sz w:val="24"/>
          <w:szCs w:val="24"/>
        </w:rPr>
      </w:pPr>
    </w:p>
    <w:p w:rsidR="00DE058C" w:rsidP="00E86828" w14:paraId="56009299" w14:textId="3589CE5A">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Lindsay Pitzer</w:t>
      </w:r>
    </w:p>
    <w:p w:rsidR="00AC486C" w:rsidP="00E86828" w14:paraId="0B8A9950" w14:textId="3BCE3AC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Social Scientist</w:t>
      </w:r>
    </w:p>
    <w:p w:rsidR="00E86828" w:rsidRPr="00E86828" w:rsidP="00E86828" w14:paraId="7DCE24D9" w14:textId="34D477B1">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rsidR="00E86828" w:rsidRPr="00E86828" w:rsidP="00E86828" w14:paraId="6868A1CC" w14:textId="6D4DFF11">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rsidR="00E86828" w:rsidRPr="00E86828" w:rsidP="00E86828" w14:paraId="111410D0" w14:textId="637A370E">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rsidR="00E86828" w:rsidRPr="00E86828" w:rsidP="00E86828" w14:paraId="49D5BF26" w14:textId="086D7401">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rsidR="00E86828" w:rsidRPr="00E86828" w:rsidP="00E86828" w14:paraId="2812E880" w14:textId="5DFD0D91">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rsidR="00E86828" w:rsidRPr="00E86828" w:rsidP="00E86828" w14:paraId="786E4C37" w14:textId="27CA7D3A">
      <w:pPr>
        <w:spacing w:after="0" w:line="240" w:lineRule="auto"/>
        <w:ind w:left="720"/>
        <w:rPr>
          <w:rFonts w:ascii="Times New Roman" w:eastAsia="Times New Roman" w:hAnsi="Times New Roman"/>
        </w:rPr>
      </w:pPr>
      <w:r w:rsidRPr="00E86828">
        <w:rPr>
          <w:rFonts w:ascii="Times New Roman" w:eastAsia="Times New Roman" w:hAnsi="Times New Roman"/>
          <w:sz w:val="24"/>
          <w:szCs w:val="24"/>
        </w:rPr>
        <w:t>Phone:</w:t>
      </w:r>
      <w:r w:rsidRPr="7DF3237D" w:rsidR="1C45E296">
        <w:rPr>
          <w:rFonts w:ascii="Times New Roman" w:eastAsia="Times New Roman" w:hAnsi="Times New Roman"/>
          <w:sz w:val="24"/>
          <w:szCs w:val="24"/>
        </w:rPr>
        <w:t>240-620-9526</w:t>
      </w:r>
    </w:p>
    <w:p w:rsidR="00B55C9A" w:rsidP="00B55C9A" w14:paraId="1DA9571D" w14:textId="11179A25">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t xml:space="preserve"> </w:t>
      </w:r>
      <w:hyperlink r:id="rId9" w:history="1">
        <w:r w:rsidRPr="00CE7D88" w:rsidR="00EB4866">
          <w:rPr>
            <w:rStyle w:val="Hyperlink"/>
            <w:rFonts w:ascii="Times New Roman" w:eastAsia="Times New Roman" w:hAnsi="Times New Roman"/>
            <w:sz w:val="24"/>
            <w:szCs w:val="24"/>
          </w:rPr>
          <w:t>lindsay.pitzer@fda.hhs.gov</w:t>
        </w:r>
      </w:hyperlink>
    </w:p>
    <w:p w:rsidR="001235E4" w:rsidP="00EB4866" w14:paraId="005CB164" w14:textId="77777777">
      <w:pPr>
        <w:spacing w:after="0" w:line="240" w:lineRule="auto"/>
        <w:ind w:left="720"/>
        <w:rPr>
          <w:rFonts w:ascii="Times New Roman" w:eastAsia="Times New Roman" w:hAnsi="Times New Roman"/>
          <w:sz w:val="24"/>
          <w:szCs w:val="24"/>
        </w:rPr>
      </w:pPr>
    </w:p>
    <w:p w:rsidR="00EB4866" w:rsidRPr="00EB4866" w:rsidP="00EB4866" w14:paraId="440B404B" w14:textId="28CDF5D5">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 xml:space="preserve">Hibist Astatke </w:t>
      </w:r>
    </w:p>
    <w:p w:rsidR="00EB4866" w:rsidRPr="00EB4866" w:rsidP="00EB4866" w14:paraId="7EAE47DF"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Social Scientist</w:t>
      </w:r>
    </w:p>
    <w:p w:rsidR="00EB4866" w:rsidRPr="00EB4866" w:rsidP="00EB4866" w14:paraId="7F0832EA"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Office of Health Communication &amp; Education</w:t>
      </w:r>
    </w:p>
    <w:p w:rsidR="00EB4866" w:rsidRPr="00EB4866" w:rsidP="00EB4866" w14:paraId="7896336A"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Center for Tobacco Products</w:t>
      </w:r>
    </w:p>
    <w:p w:rsidR="00EB4866" w:rsidRPr="00EB4866" w:rsidP="00EB4866" w14:paraId="353F65D1"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Food and Drug Administration</w:t>
      </w:r>
    </w:p>
    <w:p w:rsidR="00EB4866" w:rsidRPr="00EB4866" w:rsidP="00EB4866" w14:paraId="5C31C396"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10903 New Hampshire Ave</w:t>
      </w:r>
    </w:p>
    <w:p w:rsidR="00EB4866" w:rsidRPr="00EB4866" w:rsidP="00EB4866" w14:paraId="7C294853"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Silver Spring, MD 20993</w:t>
      </w:r>
    </w:p>
    <w:p w:rsidR="00EB4866" w:rsidRPr="00EB4866" w:rsidP="00EB4866" w14:paraId="56C89B80"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Phone: 301-796-1038</w:t>
      </w:r>
    </w:p>
    <w:p w:rsidR="00EB4866" w:rsidRPr="00EB4866" w:rsidP="00EB4866" w14:paraId="6902675F"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E-mail: Hibist.Astatke@fda.hhs.gov</w:t>
      </w:r>
    </w:p>
    <w:p w:rsidR="00123936" w:rsidRPr="00447CB7" w:rsidP="008A1193" w14:paraId="5D34603A" w14:textId="77777777">
      <w:pPr>
        <w:spacing w:after="0" w:line="240" w:lineRule="auto"/>
        <w:rPr>
          <w:rFonts w:ascii="Times New Roman" w:eastAsia="Times New Roman" w:hAnsi="Times New Roman"/>
          <w:sz w:val="24"/>
          <w:szCs w:val="24"/>
        </w:rPr>
      </w:pPr>
    </w:p>
    <w:p w:rsidR="00447CB7" w:rsidRPr="00447CB7" w:rsidP="00447CB7" w14:paraId="1F063169" w14:textId="340AB344">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following individuals outside the agency have been consulted on the </w:t>
      </w:r>
      <w:r w:rsidR="000E7FCA">
        <w:rPr>
          <w:rFonts w:ascii="Times New Roman" w:eastAsia="Times New Roman" w:hAnsi="Times New Roman"/>
          <w:sz w:val="24"/>
          <w:szCs w:val="24"/>
        </w:rPr>
        <w:t>survey</w:t>
      </w:r>
      <w:r w:rsidRPr="00447CB7">
        <w:rPr>
          <w:rFonts w:ascii="Times New Roman" w:eastAsia="Times New Roman" w:hAnsi="Times New Roman"/>
          <w:sz w:val="24"/>
          <w:szCs w:val="24"/>
        </w:rPr>
        <w:t xml:space="preserve"> development, statistical aspects of the design, plans for data analysis</w:t>
      </w:r>
      <w:r w:rsidR="000B2406">
        <w:rPr>
          <w:rFonts w:ascii="Times New Roman" w:eastAsia="Times New Roman" w:hAnsi="Times New Roman"/>
          <w:sz w:val="24"/>
          <w:szCs w:val="24"/>
        </w:rPr>
        <w:t>, and will conduct data collection and analysis</w:t>
      </w:r>
      <w:r w:rsidRPr="00447CB7">
        <w:rPr>
          <w:rFonts w:ascii="Times New Roman" w:eastAsia="Times New Roman" w:hAnsi="Times New Roman"/>
          <w:sz w:val="24"/>
          <w:szCs w:val="24"/>
        </w:rPr>
        <w:t>:</w:t>
      </w:r>
    </w:p>
    <w:p w:rsidR="00447CB7" w:rsidRPr="00447CB7" w:rsidP="008A1193" w14:paraId="6679ECC1" w14:textId="77777777">
      <w:pPr>
        <w:spacing w:after="0" w:line="240" w:lineRule="auto"/>
        <w:rPr>
          <w:rFonts w:ascii="Times New Roman" w:eastAsia="Times New Roman" w:hAnsi="Times New Roman"/>
          <w:sz w:val="24"/>
          <w:szCs w:val="24"/>
        </w:rPr>
      </w:pPr>
    </w:p>
    <w:p w:rsidR="00054986" w:rsidP="00054986" w14:paraId="333DE381"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Anna MacMonegle</w:t>
      </w:r>
    </w:p>
    <w:p w:rsidR="00AC486C" w:rsidRPr="00054986" w:rsidP="00054986" w14:paraId="49C2EE8B" w14:textId="6461CCB1">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w:t>
      </w:r>
      <w:r w:rsidR="00B800AC">
        <w:rPr>
          <w:rFonts w:ascii="Times New Roman" w:eastAsia="Times New Roman" w:hAnsi="Times New Roman"/>
          <w:sz w:val="24"/>
          <w:szCs w:val="24"/>
        </w:rPr>
        <w:t>ublic Health Manager</w:t>
      </w:r>
    </w:p>
    <w:p w:rsidR="00054986" w:rsidRPr="00054986" w:rsidP="00054986" w14:paraId="684D9EF5"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RTI International</w:t>
      </w:r>
    </w:p>
    <w:p w:rsidR="00054986" w:rsidRPr="00054986" w:rsidP="00054986" w14:paraId="04D807B5" w14:textId="784EDED6">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054986">
        <w:rPr>
          <w:rFonts w:ascii="Times New Roman" w:eastAsia="Times New Roman" w:hAnsi="Times New Roman"/>
          <w:sz w:val="24"/>
          <w:szCs w:val="24"/>
        </w:rPr>
        <w:t>Cornwallis Road</w:t>
      </w:r>
    </w:p>
    <w:p w:rsidR="00054986" w:rsidRPr="00054986" w:rsidP="00054986" w14:paraId="6EAC510A"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Research Triangle Park, NC 27709</w:t>
      </w:r>
    </w:p>
    <w:p w:rsidR="00054986" w:rsidRPr="00054986" w:rsidP="00054986" w14:paraId="63ADE5DD"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Phone: 919-990-8427</w:t>
      </w:r>
    </w:p>
    <w:p w:rsidR="00054986" w:rsidRPr="00054986" w:rsidP="00054986" w14:paraId="21584B98"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 xml:space="preserve">E-mail: </w:t>
      </w:r>
      <w:hyperlink r:id="rId10" w:history="1">
        <w:r w:rsidRPr="00054986">
          <w:rPr>
            <w:rFonts w:ascii="Times New Roman" w:eastAsia="Times New Roman" w:hAnsi="Times New Roman"/>
            <w:color w:val="0000FF"/>
            <w:sz w:val="24"/>
            <w:szCs w:val="24"/>
            <w:u w:val="single"/>
          </w:rPr>
          <w:t>amacmonegle@rti.org</w:t>
        </w:r>
      </w:hyperlink>
    </w:p>
    <w:p w:rsidR="000B2406" w:rsidP="00447CB7" w14:paraId="3D47909D" w14:textId="77777777">
      <w:pPr>
        <w:spacing w:after="0" w:line="240" w:lineRule="auto"/>
        <w:ind w:left="720"/>
        <w:rPr>
          <w:rFonts w:ascii="Times New Roman" w:eastAsia="Times New Roman" w:hAnsi="Times New Roman"/>
          <w:sz w:val="24"/>
          <w:szCs w:val="24"/>
        </w:rPr>
      </w:pPr>
    </w:p>
    <w:p w:rsidR="000B2406" w:rsidP="000B2406" w14:paraId="4936C8E0"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Nathaniel Taylor</w:t>
      </w:r>
    </w:p>
    <w:p w:rsidR="00B800AC" w:rsidRPr="00E50DDD" w:rsidP="000B2406" w14:paraId="0B106B37" w14:textId="6EAD4A26">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Research Economist</w:t>
      </w:r>
    </w:p>
    <w:p w:rsidR="000B2406" w:rsidRPr="00E50DDD" w:rsidP="000B2406" w14:paraId="55C50F9E"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RTI International</w:t>
      </w:r>
    </w:p>
    <w:p w:rsidR="000B2406" w:rsidRPr="00E50DDD" w:rsidP="000B2406" w14:paraId="03F4FCDD" w14:textId="4E3BF9C9">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E50DDD">
        <w:rPr>
          <w:rFonts w:ascii="Times New Roman" w:eastAsia="Times New Roman" w:hAnsi="Times New Roman"/>
          <w:sz w:val="24"/>
          <w:szCs w:val="24"/>
        </w:rPr>
        <w:t>Cornwallis Road</w:t>
      </w:r>
    </w:p>
    <w:p w:rsidR="000B2406" w:rsidRPr="00E50DDD" w:rsidP="000B2406" w14:paraId="6895634E"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Research Triangle Park, NC 27709</w:t>
      </w:r>
    </w:p>
    <w:p w:rsidR="000B2406" w:rsidRPr="00E50DDD" w:rsidP="000B2406" w14:paraId="460F89F1"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Phone: 919-316-3523</w:t>
      </w:r>
    </w:p>
    <w:p w:rsidR="000B2406" w:rsidRPr="00E50DDD" w:rsidP="000B2406" w14:paraId="5D2BBDE3"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Email: ntaylor@rti.org</w:t>
      </w:r>
    </w:p>
    <w:p w:rsidR="000B2406" w:rsidP="00447CB7" w14:paraId="7EC0BE03" w14:textId="77777777">
      <w:pPr>
        <w:spacing w:after="0" w:line="240" w:lineRule="auto"/>
        <w:ind w:left="720"/>
        <w:rPr>
          <w:rFonts w:ascii="Times New Roman" w:eastAsia="Times New Roman" w:hAnsi="Times New Roman"/>
          <w:sz w:val="24"/>
          <w:szCs w:val="24"/>
        </w:rPr>
      </w:pPr>
    </w:p>
    <w:p w:rsidR="00D16571" w:rsidP="00D16571" w14:paraId="5F877CFC"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LeTonya Chapman</w:t>
      </w:r>
    </w:p>
    <w:p w:rsidR="00B800AC" w:rsidRPr="00D16571" w:rsidP="00D16571" w14:paraId="4320009C" w14:textId="1F4779A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Research Public Health Analyst</w:t>
      </w:r>
    </w:p>
    <w:p w:rsidR="00D16571" w:rsidRPr="00D16571" w:rsidP="00D16571" w14:paraId="6BD2C1E3"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RTI International</w:t>
      </w:r>
    </w:p>
    <w:p w:rsidR="00D16571" w:rsidRPr="00D16571" w:rsidP="00D16571" w14:paraId="0F65025A" w14:textId="7FE84EC0">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D16571">
        <w:rPr>
          <w:rFonts w:ascii="Times New Roman" w:eastAsia="Times New Roman" w:hAnsi="Times New Roman"/>
          <w:sz w:val="24"/>
          <w:szCs w:val="24"/>
        </w:rPr>
        <w:t>Cornwallis Road</w:t>
      </w:r>
    </w:p>
    <w:p w:rsidR="00D16571" w:rsidRPr="00D16571" w:rsidP="00D16571" w14:paraId="3117E4ED"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Research Triangle Park, NC 27709</w:t>
      </w:r>
    </w:p>
    <w:p w:rsidR="00D16571" w:rsidRPr="00D16571" w:rsidP="00D16571" w14:paraId="7CB634B5" w14:textId="7369B822">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Tel: 770-407-4928</w:t>
      </w:r>
    </w:p>
    <w:p w:rsidR="00447CB7" w:rsidP="00D16571" w14:paraId="7369B342" w14:textId="39C9F2F4">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lchapman@rti.org</w:t>
      </w:r>
    </w:p>
    <w:p w:rsidR="00447CB7" w:rsidP="00447CB7" w14:paraId="101F99FF" w14:textId="77777777">
      <w:pPr>
        <w:spacing w:after="0" w:line="240" w:lineRule="auto"/>
        <w:ind w:left="720"/>
        <w:rPr>
          <w:rFonts w:ascii="Times New Roman" w:eastAsia="Times New Roman" w:hAnsi="Times New Roman"/>
          <w:sz w:val="24"/>
          <w:szCs w:val="24"/>
        </w:rPr>
      </w:pPr>
    </w:p>
    <w:p w:rsidR="001235E4" w:rsidP="77513626" w14:paraId="34E574CE" w14:textId="083D52D1">
      <w:pPr>
        <w:spacing w:after="0" w:line="240" w:lineRule="auto"/>
        <w:ind w:left="720"/>
        <w:rPr>
          <w:rFonts w:ascii="Times New Roman" w:eastAsia="Times New Roman" w:hAnsi="Times New Roman"/>
        </w:rPr>
      </w:pPr>
    </w:p>
    <w:p w:rsidR="00447CB7" w:rsidP="00447CB7" w14:paraId="276396A4" w14:textId="597D3EF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rsidR="00B800AC" w:rsidRPr="00447CB7" w:rsidP="00447CB7" w14:paraId="31760F52" w14:textId="68EB7DC5">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Research Economist</w:t>
      </w:r>
    </w:p>
    <w:p w:rsidR="00447CB7" w:rsidRPr="00447CB7" w:rsidP="00447CB7" w14:paraId="3296E49A"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P="00447CB7" w14:paraId="61CCA54F"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P="00447CB7" w14:paraId="02EEBED7"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P="00447CB7" w14:paraId="1C1BEA3E"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rsidR="00447CB7" w:rsidRPr="00E36761" w:rsidP="00447CB7" w14:paraId="718D1353" w14:textId="7454C984">
      <w:pPr>
        <w:spacing w:after="0" w:line="240" w:lineRule="auto"/>
        <w:ind w:left="720"/>
        <w:rPr>
          <w:rFonts w:ascii="Times New Roman" w:eastAsia="Times New Roman" w:hAnsi="Times New Roman"/>
          <w:color w:val="0000FF"/>
          <w:sz w:val="24"/>
          <w:szCs w:val="24"/>
          <w:u w:val="single"/>
          <w:lang w:val="es-MX"/>
        </w:rPr>
      </w:pPr>
      <w:r w:rsidRPr="00E36761">
        <w:rPr>
          <w:rFonts w:ascii="Times New Roman" w:eastAsia="Times New Roman" w:hAnsi="Times New Roman"/>
          <w:sz w:val="24"/>
          <w:szCs w:val="24"/>
          <w:lang w:val="es-MX"/>
        </w:rPr>
        <w:t>E-mail:</w:t>
      </w:r>
      <w:r w:rsidRPr="00E36761">
        <w:rPr>
          <w:rFonts w:ascii="Times New Roman" w:eastAsia="Times New Roman" w:hAnsi="Times New Roman"/>
          <w:sz w:val="24"/>
          <w:szCs w:val="24"/>
          <w:lang w:val="es-MX"/>
        </w:rPr>
        <w:tab/>
        <w:t xml:space="preserve"> </w:t>
      </w:r>
      <w:hyperlink r:id="rId11" w:history="1">
        <w:r w:rsidRPr="00E36761">
          <w:rPr>
            <w:rFonts w:ascii="Times New Roman" w:eastAsia="Times New Roman" w:hAnsi="Times New Roman"/>
            <w:color w:val="0000FF"/>
            <w:sz w:val="24"/>
            <w:szCs w:val="24"/>
            <w:u w:val="single"/>
            <w:lang w:val="es-MX"/>
          </w:rPr>
          <w:t>jnonnemaker@rti.org</w:t>
        </w:r>
      </w:hyperlink>
    </w:p>
    <w:p w:rsidR="00670A72" w:rsidRPr="00E36761" w:rsidP="00847A90" w14:paraId="54B50363" w14:textId="77777777">
      <w:pPr>
        <w:spacing w:after="0" w:line="240" w:lineRule="auto"/>
        <w:ind w:left="720"/>
        <w:rPr>
          <w:rFonts w:ascii="Times New Roman" w:eastAsia="Times New Roman" w:hAnsi="Times New Roman"/>
          <w:sz w:val="24"/>
          <w:szCs w:val="24"/>
          <w:lang w:val="es-MX"/>
        </w:rPr>
      </w:pPr>
    </w:p>
    <w:p w:rsidR="00847A90" w:rsidRPr="00E36761" w:rsidP="00847A90" w14:paraId="50B9E425" w14:textId="14D9F4B7">
      <w:pPr>
        <w:spacing w:after="0" w:line="240" w:lineRule="auto"/>
        <w:ind w:left="720"/>
        <w:rPr>
          <w:rFonts w:ascii="Times New Roman" w:eastAsia="Times New Roman" w:hAnsi="Times New Roman"/>
          <w:sz w:val="24"/>
          <w:szCs w:val="24"/>
          <w:lang w:val="es-MX"/>
        </w:rPr>
      </w:pPr>
      <w:r w:rsidRPr="00E36761">
        <w:rPr>
          <w:rFonts w:ascii="Times New Roman" w:eastAsia="Times New Roman" w:hAnsi="Times New Roman"/>
          <w:sz w:val="24"/>
          <w:szCs w:val="24"/>
          <w:lang w:val="es-MX"/>
        </w:rPr>
        <w:t>Chris Ellis</w:t>
      </w:r>
    </w:p>
    <w:p w:rsidR="00DE2BBF" w:rsidRPr="00847A90" w:rsidP="00847A90" w14:paraId="7F0B461F" w14:textId="35921C42">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Survey Director</w:t>
      </w:r>
    </w:p>
    <w:p w:rsidR="00847A90" w:rsidRPr="00847A90" w:rsidP="00847A90" w14:paraId="06724100"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68346381" w14:textId="5E0A7B10">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3CDA4925"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847A90" w14:paraId="1D34DEE5"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Tel: 919-541-6480</w:t>
      </w:r>
    </w:p>
    <w:p w:rsidR="00847A90" w:rsidRPr="00847A90" w:rsidP="00847A90" w14:paraId="1057B17D"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ellis@rti.org </w:t>
      </w:r>
    </w:p>
    <w:p w:rsidR="00847A90" w:rsidRPr="00847A90" w:rsidP="00847A90" w14:paraId="0F40C807" w14:textId="77777777">
      <w:pPr>
        <w:spacing w:after="0" w:line="240" w:lineRule="auto"/>
        <w:ind w:left="720"/>
        <w:rPr>
          <w:rFonts w:ascii="Times New Roman" w:eastAsia="Times New Roman" w:hAnsi="Times New Roman"/>
          <w:sz w:val="24"/>
          <w:szCs w:val="24"/>
        </w:rPr>
      </w:pPr>
    </w:p>
    <w:p w:rsidR="00847A90" w:rsidP="00847A90" w14:paraId="004AAB65"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Patty LeBaron</w:t>
      </w:r>
    </w:p>
    <w:p w:rsidR="00DE2BBF" w:rsidRPr="00847A90" w:rsidP="00847A90" w14:paraId="2293831D" w14:textId="1BAF40E1">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Survey Methodologist</w:t>
      </w:r>
    </w:p>
    <w:p w:rsidR="00847A90" w:rsidRPr="00847A90" w:rsidP="00847A90" w14:paraId="4B9DFFE2"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076E51CE" w14:textId="767A1734">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2E44FF63"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9C4A0A" w:rsidP="00847A90" w14:paraId="2806519B" w14:textId="77777777">
      <w:pPr>
        <w:spacing w:after="0" w:line="240" w:lineRule="auto"/>
        <w:ind w:left="720"/>
        <w:rPr>
          <w:rFonts w:ascii="Times New Roman" w:eastAsia="Times New Roman" w:hAnsi="Times New Roman"/>
          <w:sz w:val="24"/>
          <w:szCs w:val="24"/>
          <w:lang w:val="es-MX"/>
        </w:rPr>
      </w:pPr>
      <w:r w:rsidRPr="009C4A0A">
        <w:rPr>
          <w:rFonts w:ascii="Times New Roman" w:eastAsia="Times New Roman" w:hAnsi="Times New Roman"/>
          <w:sz w:val="24"/>
          <w:szCs w:val="24"/>
          <w:lang w:val="es-MX"/>
        </w:rPr>
        <w:t>Tel: 312-777-5204</w:t>
      </w:r>
    </w:p>
    <w:p w:rsidR="00847A90" w:rsidRPr="009C4A0A" w:rsidP="00847A90" w14:paraId="15757C94" w14:textId="77777777">
      <w:pPr>
        <w:spacing w:after="0" w:line="240" w:lineRule="auto"/>
        <w:ind w:left="720"/>
        <w:rPr>
          <w:rFonts w:ascii="Times New Roman" w:eastAsia="Times New Roman" w:hAnsi="Times New Roman"/>
          <w:sz w:val="24"/>
          <w:szCs w:val="24"/>
          <w:lang w:val="es-MX"/>
        </w:rPr>
      </w:pPr>
      <w:r w:rsidRPr="009C4A0A">
        <w:rPr>
          <w:rFonts w:ascii="Times New Roman" w:eastAsia="Times New Roman" w:hAnsi="Times New Roman"/>
          <w:sz w:val="24"/>
          <w:szCs w:val="24"/>
          <w:lang w:val="es-MX"/>
        </w:rPr>
        <w:t>plebaron@rti.org</w:t>
      </w:r>
    </w:p>
    <w:p w:rsidR="00847A90" w:rsidRPr="009C4A0A" w:rsidP="00847A90" w14:paraId="5739085D" w14:textId="77777777">
      <w:pPr>
        <w:spacing w:after="0" w:line="240" w:lineRule="auto"/>
        <w:ind w:left="720"/>
        <w:rPr>
          <w:rFonts w:ascii="Times New Roman" w:eastAsia="Times New Roman" w:hAnsi="Times New Roman"/>
          <w:sz w:val="24"/>
          <w:szCs w:val="24"/>
          <w:lang w:val="es-MX"/>
        </w:rPr>
      </w:pPr>
    </w:p>
    <w:p w:rsidR="00847A90" w:rsidRPr="009C4A0A" w:rsidP="00847A90" w14:paraId="7F8154F8" w14:textId="77777777">
      <w:pPr>
        <w:spacing w:after="0" w:line="240" w:lineRule="auto"/>
        <w:ind w:left="720"/>
        <w:rPr>
          <w:rFonts w:ascii="Times New Roman" w:eastAsia="Times New Roman" w:hAnsi="Times New Roman"/>
          <w:sz w:val="24"/>
          <w:szCs w:val="24"/>
          <w:lang w:val="es-MX"/>
        </w:rPr>
      </w:pPr>
      <w:r w:rsidRPr="009C4A0A">
        <w:rPr>
          <w:rFonts w:ascii="Times New Roman" w:eastAsia="Times New Roman" w:hAnsi="Times New Roman"/>
          <w:sz w:val="24"/>
          <w:szCs w:val="24"/>
          <w:lang w:val="es-MX"/>
        </w:rPr>
        <w:t>Joseph McMichael</w:t>
      </w:r>
    </w:p>
    <w:p w:rsidR="00B96B62" w:rsidRPr="00847A90" w:rsidP="00847A90" w14:paraId="6AA07922" w14:textId="429F43B4">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Research Statistician</w:t>
      </w:r>
    </w:p>
    <w:p w:rsidR="00847A90" w:rsidRPr="00847A90" w:rsidP="00847A90" w14:paraId="1FA5B737"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33727C0B" w14:textId="1200B78D">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4A0D7B47"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847A90" w14:paraId="023F1F00" w14:textId="408E4C6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Tel: 919-485-5519</w:t>
      </w:r>
    </w:p>
    <w:p w:rsidR="00847A90" w:rsidRPr="00447CB7" w:rsidP="00847A90" w14:paraId="46AFA47E" w14:textId="4A94EC0F">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mcmichael@rti.org</w:t>
      </w:r>
    </w:p>
    <w:p w:rsidR="00447CB7" w:rsidRPr="00847A90" w:rsidP="002B204E" w14:paraId="53D997CF" w14:textId="689567FB">
      <w:pPr>
        <w:spacing w:after="0" w:line="240" w:lineRule="auto"/>
        <w:rPr>
          <w:rFonts w:ascii="Times New Roman" w:hAnsi="Times New Roman"/>
          <w:b/>
          <w:bCs/>
          <w:sz w:val="24"/>
        </w:rPr>
      </w:pPr>
      <w:bookmarkStart w:id="3" w:name="_Toc361824168"/>
      <w:r w:rsidRPr="00447CB7">
        <w:rPr>
          <w:rFonts w:ascii="Times New Roman" w:eastAsia="Times New Roman" w:hAnsi="Times New Roman"/>
          <w:sz w:val="24"/>
          <w:szCs w:val="24"/>
        </w:rPr>
        <w:br w:type="page"/>
      </w:r>
      <w:bookmarkStart w:id="4" w:name="_Toc365037510"/>
      <w:r w:rsidRPr="00847A90">
        <w:rPr>
          <w:rFonts w:ascii="Times New Roman" w:eastAsia="Times New Roman" w:hAnsi="Times New Roman"/>
          <w:b/>
          <w:bCs/>
          <w:sz w:val="24"/>
          <w:szCs w:val="24"/>
        </w:rPr>
        <w:t>References</w:t>
      </w:r>
      <w:bookmarkEnd w:id="3"/>
      <w:bookmarkEnd w:id="4"/>
    </w:p>
    <w:p w:rsidR="00447CB7" w:rsidRPr="001768F2" w:rsidP="001768F2" w14:paraId="5DA1B2C5" w14:textId="77777777">
      <w:pPr>
        <w:spacing w:after="0" w:line="240" w:lineRule="auto"/>
        <w:rPr>
          <w:rFonts w:ascii="Times New Roman" w:hAnsi="Times New Roman"/>
          <w:sz w:val="24"/>
        </w:rPr>
      </w:pPr>
    </w:p>
    <w:p w:rsidR="00447CB7" w:rsidRPr="00447CB7" w:rsidP="00447CB7" w14:paraId="6F79DB91"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rsidR="00447CB7" w:rsidRPr="00447CB7" w:rsidP="00447CB7" w14:paraId="30E94921"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rsidR="00447CB7" w:rsidRPr="00447CB7" w:rsidP="00447CB7" w14:paraId="2DAC6880" w14:textId="7777777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4"/>
        </w:rPr>
        <w:t>Centers for Disease Control and Prevention</w:t>
      </w:r>
      <w:r w:rsidRPr="00447CB7">
        <w:rPr>
          <w:rFonts w:ascii="Times New Roman" w:eastAsia="Times New Roman" w:hAnsi="Times New Roman"/>
          <w:sz w:val="24"/>
          <w:szCs w:val="20"/>
        </w:rPr>
        <w:t xml:space="preserve">.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rsidR="00447CB7" w:rsidRPr="00447CB7" w:rsidP="00447CB7" w14:paraId="4A31BCDC"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rsidR="00447CB7" w:rsidRPr="00067406" w:rsidP="00447CB7" w14:paraId="71271867" w14:textId="7777777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Uhrig, J., Bann, C., Rupert, D., &amp; Fraze, J. (2011). Exploring African American </w:t>
      </w:r>
      <w:r w:rsidRPr="00067406">
        <w:rPr>
          <w:rFonts w:ascii="Times New Roman" w:eastAsia="Times New Roman" w:hAnsi="Times New Roman"/>
          <w:sz w:val="24"/>
          <w:szCs w:val="24"/>
          <w:lang w:eastAsia="zh-CN"/>
        </w:rPr>
        <w:t xml:space="preserve">women’s perceptions of a social marketing campaign to promote HIV testing. </w:t>
      </w:r>
      <w:r w:rsidRPr="00067406">
        <w:rPr>
          <w:rFonts w:ascii="Times New Roman" w:eastAsia="Times New Roman" w:hAnsi="Times New Roman"/>
          <w:i/>
          <w:iCs/>
          <w:sz w:val="24"/>
          <w:szCs w:val="24"/>
          <w:lang w:eastAsia="zh-CN"/>
        </w:rPr>
        <w:t>Social Marketing Quarterly</w:t>
      </w:r>
      <w:r w:rsidRPr="00067406">
        <w:rPr>
          <w:rFonts w:ascii="Times New Roman" w:eastAsia="Times New Roman" w:hAnsi="Times New Roman"/>
          <w:sz w:val="24"/>
          <w:szCs w:val="24"/>
          <w:lang w:eastAsia="zh-CN"/>
        </w:rPr>
        <w:t xml:space="preserve">, </w:t>
      </w:r>
      <w:r w:rsidRPr="00067406">
        <w:rPr>
          <w:rFonts w:ascii="Times New Roman" w:eastAsia="Times New Roman" w:hAnsi="Times New Roman"/>
          <w:i/>
          <w:iCs/>
          <w:sz w:val="24"/>
          <w:szCs w:val="24"/>
          <w:lang w:eastAsia="zh-CN"/>
        </w:rPr>
        <w:t>17</w:t>
      </w:r>
      <w:r w:rsidRPr="00067406">
        <w:rPr>
          <w:rFonts w:ascii="Times New Roman" w:eastAsia="Times New Roman" w:hAnsi="Times New Roman"/>
          <w:sz w:val="24"/>
          <w:szCs w:val="24"/>
          <w:lang w:eastAsia="zh-CN"/>
        </w:rPr>
        <w:t>(3), 39–60.</w:t>
      </w:r>
    </w:p>
    <w:p w:rsidR="00D0782E" w:rsidRPr="004A3EBD" w:rsidP="00447CB7" w14:paraId="0A25B91D" w14:textId="7DAE0F7A">
      <w:pPr>
        <w:keepLines/>
        <w:spacing w:after="0" w:line="240" w:lineRule="auto"/>
        <w:ind w:left="720" w:hanging="720"/>
        <w:rPr>
          <w:rFonts w:ascii="Times New Roman" w:eastAsia="Times New Roman" w:hAnsi="Times New Roman"/>
          <w:sz w:val="24"/>
          <w:szCs w:val="24"/>
          <w:lang w:eastAsia="zh-CN"/>
        </w:rPr>
      </w:pPr>
      <w:r w:rsidRPr="00067406">
        <w:rPr>
          <w:rFonts w:ascii="Times New Roman" w:hAnsi="Times New Roman"/>
          <w:sz w:val="24"/>
          <w:szCs w:val="24"/>
        </w:rPr>
        <w:t xml:space="preserve">Duke, J.C., Farrelly, M.C., Alexander, T.N., et al. (2018). Effect of a national tobacco public education campaign on youth’s risk perceptions and beliefs about smoking. </w:t>
      </w:r>
      <w:r w:rsidRPr="00067406">
        <w:rPr>
          <w:rFonts w:ascii="Times New Roman" w:hAnsi="Times New Roman"/>
          <w:i/>
          <w:iCs/>
          <w:sz w:val="24"/>
          <w:szCs w:val="24"/>
        </w:rPr>
        <w:t xml:space="preserve">American </w:t>
      </w:r>
      <w:r w:rsidRPr="004A3EBD">
        <w:rPr>
          <w:rFonts w:ascii="Times New Roman" w:hAnsi="Times New Roman"/>
          <w:i/>
          <w:iCs/>
          <w:sz w:val="24"/>
          <w:szCs w:val="24"/>
        </w:rPr>
        <w:t xml:space="preserve">Journal of Health Promotion, </w:t>
      </w:r>
      <w:r w:rsidRPr="004A3EBD">
        <w:rPr>
          <w:rFonts w:ascii="Times New Roman" w:hAnsi="Times New Roman"/>
          <w:sz w:val="24"/>
          <w:szCs w:val="24"/>
        </w:rPr>
        <w:t>32(5), 1248-1256. Doi:10.1177/0890117117720745</w:t>
      </w:r>
    </w:p>
    <w:p w:rsidR="004A3EBD" w:rsidRPr="004A3EBD" w:rsidP="00447CB7" w14:paraId="05D430E8" w14:textId="77777777">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 xml:space="preserve">Duke, J. C., MacMonegle, A. J., Nonnemaker, J. M., et al. (2019). Impact of </w:t>
      </w:r>
      <w:r w:rsidRPr="004A3EBD">
        <w:rPr>
          <w:rFonts w:ascii="Times New Roman" w:hAnsi="Times New Roman"/>
          <w:i/>
          <w:iCs/>
          <w:sz w:val="24"/>
          <w:szCs w:val="24"/>
        </w:rPr>
        <w:t>The Real Cost</w:t>
      </w:r>
      <w:r w:rsidRPr="004A3EBD">
        <w:rPr>
          <w:rFonts w:ascii="Times New Roman" w:hAnsi="Times New Roman"/>
          <w:sz w:val="24"/>
          <w:szCs w:val="24"/>
        </w:rPr>
        <w:t xml:space="preserve"> media campaign on youth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57(5), 645-651. Doi:10.1016/j.amepre.2019.06.011</w:t>
      </w:r>
    </w:p>
    <w:p w:rsidR="00447CB7" w:rsidRPr="00447CB7" w:rsidP="00447CB7" w14:paraId="03E00CBA" w14:textId="77777777">
      <w:pPr>
        <w:keepLines/>
        <w:spacing w:after="0" w:line="240" w:lineRule="auto"/>
        <w:ind w:left="720" w:hanging="720"/>
        <w:rPr>
          <w:rFonts w:ascii="Times New Roman" w:eastAsia="Times New Roman" w:hAnsi="Times New Roman"/>
          <w:sz w:val="24"/>
          <w:szCs w:val="24"/>
          <w:lang w:eastAsia="zh-CN"/>
        </w:rPr>
      </w:pPr>
      <w:r w:rsidRPr="00067406">
        <w:rPr>
          <w:rFonts w:ascii="Times New Roman" w:eastAsia="Times New Roman" w:hAnsi="Times New Roman"/>
          <w:sz w:val="24"/>
          <w:szCs w:val="24"/>
          <w:lang w:eastAsia="zh-CN"/>
        </w:rPr>
        <w:t>Dillard, J. P., Shen, L., &amp; Vail, R. G. (2007).</w:t>
      </w:r>
      <w:r w:rsidRPr="00447CB7">
        <w:rPr>
          <w:rFonts w:ascii="Times New Roman" w:eastAsia="Times New Roman" w:hAnsi="Times New Roman"/>
          <w:sz w:val="24"/>
          <w:szCs w:val="24"/>
          <w:lang w:eastAsia="zh-CN"/>
        </w:rPr>
        <w:t xml:space="preserve">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rsidR="00447CB7" w:rsidRPr="00447CB7" w:rsidP="00447CB7" w14:paraId="4554DEDD" w14:textId="7777777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rsidR="00447CB7" w:rsidRPr="00447CB7" w:rsidP="00447CB7" w14:paraId="63F68CF7"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 xml:space="preserve">431. doi: </w:t>
      </w:r>
      <w:r w:rsidRPr="00447CB7">
        <w:rPr>
          <w:rFonts w:ascii="Times New Roman" w:eastAsia="Times New Roman" w:hAnsi="Times New Roman"/>
          <w:sz w:val="24"/>
          <w:szCs w:val="20"/>
        </w:rPr>
        <w:t>10.2105/AJPH.2004.049692</w:t>
      </w:r>
      <w:bookmarkStart w:id="5" w:name="_ENREF_1"/>
    </w:p>
    <w:p w:rsidR="004A3EBD" w:rsidRPr="004A3EBD" w:rsidP="00447CB7" w14:paraId="334E6FEC" w14:textId="7F1C680D">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 xml:space="preserve">Farrelly, M. C., Nonnemaker, J., Davis, K. C., et al. (2009). The influence of the national truth campaign on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36. 379-384. doi:10.1016/j.amepre.2009.01.019.</w:t>
      </w:r>
    </w:p>
    <w:p w:rsidR="004A3EBD" w:rsidRPr="004A3EBD" w:rsidP="00447CB7" w14:paraId="6C628481" w14:textId="556CBBC9">
      <w:pPr>
        <w:keepLines/>
        <w:spacing w:after="0" w:line="240" w:lineRule="auto"/>
        <w:ind w:left="720" w:hanging="720"/>
        <w:rPr>
          <w:rFonts w:ascii="Times New Roman" w:eastAsia="Times New Roman" w:hAnsi="Times New Roman"/>
          <w:noProof/>
          <w:sz w:val="24"/>
          <w:szCs w:val="24"/>
        </w:rPr>
      </w:pPr>
      <w:r w:rsidRPr="004A3EBD">
        <w:rPr>
          <w:rFonts w:ascii="Times New Roman" w:hAnsi="Times New Roman"/>
          <w:sz w:val="24"/>
          <w:szCs w:val="24"/>
        </w:rPr>
        <w:t xml:space="preserve">Farrelly, M. C., Duke, J. C., Nonnemaker, J., et al. (2017). Association between The Real Cost media campaign and smoking initiation among youths – United States, 2014-2016. </w:t>
      </w:r>
      <w:r w:rsidRPr="004A3EBD">
        <w:rPr>
          <w:rFonts w:ascii="Times New Roman" w:hAnsi="Times New Roman"/>
          <w:i/>
          <w:iCs/>
          <w:sz w:val="24"/>
          <w:szCs w:val="24"/>
        </w:rPr>
        <w:t>MMWR.</w:t>
      </w:r>
      <w:r w:rsidRPr="004A3EBD">
        <w:rPr>
          <w:rFonts w:ascii="Times New Roman" w:hAnsi="Times New Roman"/>
          <w:sz w:val="24"/>
          <w:szCs w:val="24"/>
        </w:rPr>
        <w:t>66(2).</w:t>
      </w:r>
    </w:p>
    <w:bookmarkEnd w:id="5"/>
    <w:p w:rsidR="00DE1D63" w:rsidP="00447CB7" w14:paraId="2A870405" w14:textId="046336E9">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The Human Rights Campaign Foundation (2018). 2018 LGBTQ Youth Report. Retrieved fr</w:t>
      </w:r>
      <w:r w:rsidRPr="00DE1D63">
        <w:rPr>
          <w:rFonts w:ascii="Times New Roman" w:hAnsi="Times New Roman"/>
          <w:sz w:val="24"/>
          <w:szCs w:val="24"/>
        </w:rPr>
        <w:t xml:space="preserve">om </w:t>
      </w:r>
      <w:r>
        <w:rPr>
          <w:rFonts w:ascii="Times New Roman" w:hAnsi="Times New Roman"/>
          <w:sz w:val="24"/>
          <w:szCs w:val="24"/>
        </w:rPr>
        <w:t>https://hrc-prod-requests.s3-us-west-2.amazonaws.com/files/assets/resources/2018-YouthReport-NoVid.pdf</w:t>
      </w:r>
    </w:p>
    <w:p w:rsidR="00447CB7" w:rsidRPr="00447CB7" w:rsidP="00447CB7" w14:paraId="048AC0EB" w14:textId="2DC99C89">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rsidR="00447CB7" w:rsidRPr="00A143BD" w:rsidP="00447CB7" w14:paraId="5A179B09" w14:textId="77777777">
      <w:pPr>
        <w:keepLines/>
        <w:spacing w:after="0" w:line="240" w:lineRule="auto"/>
        <w:ind w:left="720" w:hanging="720"/>
        <w:rPr>
          <w:rFonts w:ascii="Times New Roman" w:eastAsia="Times New Roman" w:hAnsi="Times New Roman"/>
          <w:sz w:val="24"/>
          <w:szCs w:val="24"/>
        </w:rPr>
      </w:pPr>
      <w:r w:rsidRPr="00447CB7">
        <w:rPr>
          <w:rFonts w:ascii="Times New Roman" w:eastAsia="Times New Roman" w:hAnsi="Times New Roman"/>
          <w:sz w:val="24"/>
          <w:szCs w:val="20"/>
        </w:rPr>
        <w:t xml:space="preserve">Janega, J. B., Murray, D. M., Varnell, S. P., Blitstein, J. L., Birnbaum, A. S., &amp; Lytle, L. A. (2004). Assessing the most powerful analysis method for schools intervention studies </w:t>
      </w:r>
      <w:r w:rsidRPr="00A143BD">
        <w:rPr>
          <w:rFonts w:ascii="Times New Roman" w:eastAsia="Times New Roman" w:hAnsi="Times New Roman"/>
          <w:sz w:val="24"/>
          <w:szCs w:val="24"/>
        </w:rPr>
        <w:t xml:space="preserve">with alcohol, tobacco, and other drug outcomes. </w:t>
      </w:r>
      <w:r w:rsidRPr="00A143BD">
        <w:rPr>
          <w:rFonts w:ascii="Times New Roman" w:eastAsia="Times New Roman" w:hAnsi="Times New Roman"/>
          <w:i/>
          <w:iCs/>
          <w:sz w:val="24"/>
          <w:szCs w:val="24"/>
        </w:rPr>
        <w:t>Addictive Behaviors</w:t>
      </w:r>
      <w:r w:rsidRPr="00A143BD">
        <w:rPr>
          <w:rFonts w:ascii="Times New Roman" w:eastAsia="Times New Roman" w:hAnsi="Times New Roman"/>
          <w:sz w:val="24"/>
          <w:szCs w:val="24"/>
        </w:rPr>
        <w:t>, 29(3), 595</w:t>
      </w:r>
      <w:r w:rsidRPr="00A143BD">
        <w:rPr>
          <w:rFonts w:ascii="Times New Roman" w:hAnsi="Times New Roman"/>
          <w:sz w:val="24"/>
          <w:szCs w:val="24"/>
        </w:rPr>
        <w:t>–</w:t>
      </w:r>
      <w:r w:rsidRPr="00A143BD">
        <w:rPr>
          <w:rFonts w:ascii="Times New Roman" w:eastAsia="Times New Roman" w:hAnsi="Times New Roman"/>
          <w:sz w:val="24"/>
          <w:szCs w:val="24"/>
        </w:rPr>
        <w:t>606.</w:t>
      </w:r>
      <w:bookmarkStart w:id="6" w:name="_ENREF_3"/>
    </w:p>
    <w:p w:rsidR="00A143BD" w:rsidRPr="00A143BD" w:rsidP="00447CB7" w14:paraId="18C5071E" w14:textId="77777777">
      <w:pPr>
        <w:keepLines/>
        <w:spacing w:after="0" w:line="240" w:lineRule="auto"/>
        <w:ind w:left="720" w:hanging="720"/>
        <w:rPr>
          <w:rFonts w:ascii="Times New Roman" w:hAnsi="Times New Roman"/>
          <w:sz w:val="24"/>
          <w:szCs w:val="24"/>
        </w:rPr>
      </w:pPr>
      <w:r w:rsidRPr="00A143BD">
        <w:rPr>
          <w:rFonts w:ascii="Times New Roman" w:hAnsi="Times New Roman"/>
          <w:sz w:val="24"/>
          <w:szCs w:val="24"/>
        </w:rPr>
        <w:t xml:space="preserve">MacMonegle, A. J., Smith, A. A., Duke, J., et al. (2022). Effects of a national campaign on youth beliefs and perceptions about electronic cigarettes and smoking. </w:t>
      </w:r>
      <w:r w:rsidRPr="00A143BD">
        <w:rPr>
          <w:rFonts w:ascii="Times New Roman" w:hAnsi="Times New Roman"/>
          <w:i/>
          <w:iCs/>
          <w:sz w:val="24"/>
          <w:szCs w:val="24"/>
        </w:rPr>
        <w:t xml:space="preserve">Preventing Chronic Disease. </w:t>
      </w:r>
      <w:r w:rsidRPr="00A143BD">
        <w:rPr>
          <w:rFonts w:ascii="Times New Roman" w:hAnsi="Times New Roman"/>
          <w:sz w:val="24"/>
          <w:szCs w:val="24"/>
        </w:rPr>
        <w:t>19(E16). Doi:10.5888/pcd19.210332.</w:t>
      </w:r>
    </w:p>
    <w:p w:rsidR="00DD3C1B" w:rsidP="00447CB7" w14:paraId="56A393CA" w14:textId="101F3871">
      <w:pPr>
        <w:keepLines/>
        <w:spacing w:after="0" w:line="240" w:lineRule="auto"/>
        <w:ind w:left="720" w:hanging="720"/>
        <w:rPr>
          <w:rFonts w:ascii="Times New Roman" w:eastAsia="Times New Roman" w:hAnsi="Times New Roman"/>
          <w:sz w:val="24"/>
          <w:szCs w:val="20"/>
        </w:rPr>
      </w:pPr>
      <w:r w:rsidRPr="00A143BD">
        <w:rPr>
          <w:rFonts w:ascii="Times New Roman" w:eastAsia="Times New Roman" w:hAnsi="Times New Roman"/>
          <w:sz w:val="24"/>
          <w:szCs w:val="24"/>
        </w:rPr>
        <w:t>McMichael, J., &amp; Chen, P. (2015). Using census public use microdata areas (PUMAs) as primary sampling units in area probability household surveys. In JSM Proceedings, Survey Research Methods</w:t>
      </w:r>
      <w:r w:rsidRPr="00DD3C1B">
        <w:rPr>
          <w:rFonts w:ascii="Times New Roman" w:eastAsia="Times New Roman" w:hAnsi="Times New Roman"/>
          <w:sz w:val="24"/>
          <w:szCs w:val="20"/>
        </w:rPr>
        <w:t xml:space="preserve"> Section, pp. 2281–2288. Alexandria: American Statistical Association.</w:t>
      </w:r>
    </w:p>
    <w:p w:rsidR="00447CB7" w:rsidRPr="00447CB7" w:rsidP="00447CB7" w14:paraId="5C699F52"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Blitstein,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7" w:name="_ENREF_4"/>
      <w:bookmarkEnd w:id="6"/>
    </w:p>
    <w:p w:rsidR="00447CB7" w:rsidRPr="00447CB7" w:rsidP="00447CB7" w14:paraId="5B11FF0E" w14:textId="7777777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7"/>
    </w:p>
    <w:p w:rsidR="00447CB7" w:rsidRPr="00447CB7" w:rsidP="00447CB7" w14:paraId="5C729600"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Shettle,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rsidR="00447CB7" w:rsidRPr="00447CB7" w:rsidP="00447CB7" w14:paraId="32F156A4"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8" w:name="_ENREF_5"/>
    </w:p>
    <w:p w:rsidR="00447CB7" w:rsidRPr="00447CB7" w:rsidP="00447CB7" w14:paraId="6F95A6D8"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Snyder, L. B., Hamilton, M. A., Mitchell, E. W., Kiwanuka-Tondo, J., Fleming-Milici, F., &amp; Proctor, D. (2004).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8"/>
    </w:p>
    <w:p w:rsidR="00447CB7" w:rsidRPr="00447CB7" w:rsidP="00447CB7" w14:paraId="5B2EA16E"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rsidR="00A64D82" w:rsidP="00447CB7" w14:paraId="7B07C322" w14:textId="513A4B6F">
      <w:pPr>
        <w:keepLines/>
        <w:spacing w:after="0" w:line="240" w:lineRule="auto"/>
        <w:ind w:left="720" w:hanging="720"/>
        <w:rPr>
          <w:rFonts w:ascii="Times New Roman" w:eastAsia="Times New Roman" w:hAnsi="Times New Roman"/>
          <w:noProof/>
          <w:sz w:val="24"/>
          <w:szCs w:val="20"/>
        </w:rPr>
      </w:pPr>
      <w:bookmarkStart w:id="9" w:name="_ENREF_2"/>
      <w:r w:rsidRPr="00A64D82">
        <w:rPr>
          <w:rFonts w:ascii="Times New Roman" w:eastAsia="Times New Roman" w:hAnsi="Times New Roman"/>
          <w:noProof/>
          <w:sz w:val="24"/>
          <w:szCs w:val="20"/>
        </w:rPr>
        <w:t>The Trevor Project (2020). National Survey on LGBTQ Youth Mental Health 2020. Retrieved from https://www.thetrevorproject.org/survey-2020/</w:t>
      </w:r>
    </w:p>
    <w:p w:rsidR="00447CB7" w:rsidRPr="00447CB7" w:rsidP="00447CB7" w14:paraId="26F3E7A2" w14:textId="20731C0C">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9"/>
    </w:p>
    <w:p w:rsidR="00447CB7" w:rsidP="00447CB7" w14:paraId="7609F030" w14:textId="77777777">
      <w:pPr>
        <w:keepLines/>
        <w:spacing w:after="0" w:line="240" w:lineRule="auto"/>
        <w:ind w:left="720" w:hanging="720"/>
        <w:rPr>
          <w:rFonts w:ascii="Times New Roman" w:eastAsia="Times New Roman" w:hAnsi="Times New Roman"/>
          <w:bCs/>
          <w:sz w:val="24"/>
          <w:szCs w:val="20"/>
        </w:rPr>
      </w:pPr>
      <w:r w:rsidRPr="00447CB7">
        <w:rPr>
          <w:rFonts w:ascii="Times New Roman" w:eastAsia="Times New Roman" w:hAnsi="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rsidR="00D35310" w:rsidRPr="00447CB7" w:rsidP="00447CB7" w14:paraId="7D454559" w14:textId="6CEE4025">
      <w:pPr>
        <w:keepLines/>
        <w:spacing w:after="0" w:line="240" w:lineRule="auto"/>
        <w:ind w:left="720" w:hanging="720"/>
        <w:rPr>
          <w:rFonts w:ascii="Times New Roman" w:eastAsia="Times New Roman" w:hAnsi="Times New Roman"/>
          <w:bCs/>
          <w:noProof/>
          <w:sz w:val="24"/>
          <w:szCs w:val="20"/>
        </w:rPr>
      </w:pPr>
      <w:r w:rsidRPr="00D35310">
        <w:rPr>
          <w:rFonts w:ascii="Times New Roman" w:eastAsia="Times New Roman" w:hAnsi="Times New Roman"/>
          <w:bCs/>
          <w:noProof/>
          <w:sz w:val="24"/>
          <w:szCs w:val="20"/>
        </w:rPr>
        <w:t>The White House. (2022). Executive Order on Advancing Equality for Lesbian, Gay, Bisexual, Transgender, Queer, and Intersex Individuals.  Retrieved from https://www.whitehouse.gov/briefing-room/presidential-actions/2022/06/15/executive-order-on-advancing-equality-for-lesbian-gay-bisexual-transgender-queer-and-intersex-individuals/</w:t>
      </w:r>
    </w:p>
    <w:p w:rsidR="00447CB7" w:rsidRPr="00847A90" w:rsidP="00847A90" w14:paraId="7650666F" w14:textId="77777777">
      <w:r w:rsidRPr="00447CB7">
        <w:t xml:space="preserve"> </w:t>
      </w:r>
    </w:p>
    <w:p w:rsidR="00447CB7" w:rsidRPr="00447CB7" w:rsidP="00447CB7" w14:paraId="05769A0D" w14:textId="77777777">
      <w:pPr>
        <w:spacing w:after="0" w:line="240" w:lineRule="auto"/>
        <w:ind w:left="720"/>
        <w:rPr>
          <w:rFonts w:ascii="Times New Roman" w:eastAsia="Times New Roman" w:hAnsi="Times New Roman"/>
          <w:b/>
          <w:sz w:val="24"/>
          <w:szCs w:val="24"/>
        </w:rPr>
      </w:pPr>
    </w:p>
    <w:p w:rsidR="00E8050D" w14:paraId="1F540FDA" w14:textId="00A74FC8"/>
    <w:sectPr w:rsidSect="00E8050D">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51C242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7CC" w14:paraId="2481A972" w14:textId="77777777">
    <w:pPr>
      <w:pStyle w:val="Footer"/>
    </w:pPr>
  </w:p>
  <w:p w:rsidR="00D567CC" w:rsidP="00E8050D" w14:paraId="1D4E47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487221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14:paraId="5D8875CA" w14:textId="77777777">
    <w:pPr>
      <w:pStyle w:val="Footer"/>
    </w:pPr>
  </w:p>
  <w:p w:rsidR="00D567CC" w:rsidP="00E8050D" w14:paraId="571BB3E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C22" w:rsidRPr="00BC0C22" w:rsidP="005655BA" w14:paraId="76BA5A8B" w14:textId="5DB608D1">
    <w:pPr>
      <w:tabs>
        <w:tab w:val="center" w:pos="4680"/>
        <w:tab w:val="right" w:pos="9360"/>
      </w:tabs>
      <w:spacing w:after="0" w:line="240" w:lineRule="auto"/>
      <w:contextualSpacing/>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D12375"/>
    <w:multiLevelType w:val="hybridMultilevel"/>
    <w:tmpl w:val="FCB0A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DAE25E2"/>
    <w:multiLevelType w:val="hybridMultilevel"/>
    <w:tmpl w:val="052E0D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CD2608"/>
    <w:multiLevelType w:val="hybridMultilevel"/>
    <w:tmpl w:val="8FFE7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4B1F9F"/>
    <w:multiLevelType w:val="hybridMultilevel"/>
    <w:tmpl w:val="E3E0A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BAE1E2"/>
    <w:multiLevelType w:val="hybridMultilevel"/>
    <w:tmpl w:val="599C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9A7D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3D19B7"/>
    <w:multiLevelType w:val="hybridMultilevel"/>
    <w:tmpl w:val="624469C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9416959">
    <w:abstractNumId w:val="8"/>
  </w:num>
  <w:num w:numId="2" w16cid:durableId="1724719747">
    <w:abstractNumId w:val="5"/>
  </w:num>
  <w:num w:numId="3" w16cid:durableId="1679848015">
    <w:abstractNumId w:val="7"/>
  </w:num>
  <w:num w:numId="4" w16cid:durableId="548299083">
    <w:abstractNumId w:val="0"/>
  </w:num>
  <w:num w:numId="5" w16cid:durableId="1137643332">
    <w:abstractNumId w:val="1"/>
  </w:num>
  <w:num w:numId="6" w16cid:durableId="242178723">
    <w:abstractNumId w:val="2"/>
  </w:num>
  <w:num w:numId="7" w16cid:durableId="234097748">
    <w:abstractNumId w:val="9"/>
  </w:num>
  <w:num w:numId="8" w16cid:durableId="574166003">
    <w:abstractNumId w:val="4"/>
  </w:num>
  <w:num w:numId="9" w16cid:durableId="1141534296">
    <w:abstractNumId w:val="3"/>
  </w:num>
  <w:num w:numId="10" w16cid:durableId="59836215">
    <w:abstractNumId w:val="10"/>
  </w:num>
  <w:num w:numId="11" w16cid:durableId="987124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69E"/>
    <w:rsid w:val="00005063"/>
    <w:rsid w:val="00005E59"/>
    <w:rsid w:val="000069F7"/>
    <w:rsid w:val="000075C5"/>
    <w:rsid w:val="0001078F"/>
    <w:rsid w:val="000142B8"/>
    <w:rsid w:val="00015178"/>
    <w:rsid w:val="00016C9C"/>
    <w:rsid w:val="00023144"/>
    <w:rsid w:val="00024EF0"/>
    <w:rsid w:val="00026A1C"/>
    <w:rsid w:val="00027657"/>
    <w:rsid w:val="00027F8F"/>
    <w:rsid w:val="00032E55"/>
    <w:rsid w:val="00036A9D"/>
    <w:rsid w:val="000379F7"/>
    <w:rsid w:val="00037A5C"/>
    <w:rsid w:val="000408E4"/>
    <w:rsid w:val="00041DC0"/>
    <w:rsid w:val="00043CA6"/>
    <w:rsid w:val="0004425A"/>
    <w:rsid w:val="00047913"/>
    <w:rsid w:val="00052A01"/>
    <w:rsid w:val="00053DA7"/>
    <w:rsid w:val="00054986"/>
    <w:rsid w:val="00056837"/>
    <w:rsid w:val="00060730"/>
    <w:rsid w:val="00061A97"/>
    <w:rsid w:val="00061BBF"/>
    <w:rsid w:val="00062CAA"/>
    <w:rsid w:val="00066387"/>
    <w:rsid w:val="00067131"/>
    <w:rsid w:val="00067406"/>
    <w:rsid w:val="00067F3C"/>
    <w:rsid w:val="00071135"/>
    <w:rsid w:val="00074944"/>
    <w:rsid w:val="00075A01"/>
    <w:rsid w:val="00076DD8"/>
    <w:rsid w:val="00080203"/>
    <w:rsid w:val="00082BC3"/>
    <w:rsid w:val="00084EDC"/>
    <w:rsid w:val="00086FE6"/>
    <w:rsid w:val="0009615B"/>
    <w:rsid w:val="0009735D"/>
    <w:rsid w:val="000A12CF"/>
    <w:rsid w:val="000A2378"/>
    <w:rsid w:val="000A41BD"/>
    <w:rsid w:val="000A4DB2"/>
    <w:rsid w:val="000B2087"/>
    <w:rsid w:val="000B2406"/>
    <w:rsid w:val="000B3A5F"/>
    <w:rsid w:val="000B3D60"/>
    <w:rsid w:val="000B54AC"/>
    <w:rsid w:val="000C2EDC"/>
    <w:rsid w:val="000C52EE"/>
    <w:rsid w:val="000C5B36"/>
    <w:rsid w:val="000C6CA7"/>
    <w:rsid w:val="000D2937"/>
    <w:rsid w:val="000E0429"/>
    <w:rsid w:val="000E757B"/>
    <w:rsid w:val="000E7A92"/>
    <w:rsid w:val="000E7FCA"/>
    <w:rsid w:val="000F0959"/>
    <w:rsid w:val="000F1550"/>
    <w:rsid w:val="000F4025"/>
    <w:rsid w:val="000F4C4C"/>
    <w:rsid w:val="00103B3B"/>
    <w:rsid w:val="001047B9"/>
    <w:rsid w:val="0010489C"/>
    <w:rsid w:val="00104B91"/>
    <w:rsid w:val="00110166"/>
    <w:rsid w:val="001116EA"/>
    <w:rsid w:val="00115AAC"/>
    <w:rsid w:val="00117B5F"/>
    <w:rsid w:val="00117CCB"/>
    <w:rsid w:val="00120518"/>
    <w:rsid w:val="001207C7"/>
    <w:rsid w:val="001229F6"/>
    <w:rsid w:val="001235E4"/>
    <w:rsid w:val="0012382B"/>
    <w:rsid w:val="00123936"/>
    <w:rsid w:val="00124DC4"/>
    <w:rsid w:val="001253EF"/>
    <w:rsid w:val="00126742"/>
    <w:rsid w:val="00136F94"/>
    <w:rsid w:val="00140F72"/>
    <w:rsid w:val="00144724"/>
    <w:rsid w:val="00151BEC"/>
    <w:rsid w:val="0015400A"/>
    <w:rsid w:val="001560E2"/>
    <w:rsid w:val="001569C9"/>
    <w:rsid w:val="00156A81"/>
    <w:rsid w:val="001571C5"/>
    <w:rsid w:val="00157654"/>
    <w:rsid w:val="0016019B"/>
    <w:rsid w:val="0016277E"/>
    <w:rsid w:val="00162810"/>
    <w:rsid w:val="00163A25"/>
    <w:rsid w:val="001642C9"/>
    <w:rsid w:val="001645DE"/>
    <w:rsid w:val="001653D7"/>
    <w:rsid w:val="00166FB8"/>
    <w:rsid w:val="00170A2B"/>
    <w:rsid w:val="0017368E"/>
    <w:rsid w:val="001741D9"/>
    <w:rsid w:val="001746CE"/>
    <w:rsid w:val="001768F2"/>
    <w:rsid w:val="00183FA2"/>
    <w:rsid w:val="00184ECB"/>
    <w:rsid w:val="00191CC2"/>
    <w:rsid w:val="00191EF6"/>
    <w:rsid w:val="001928CF"/>
    <w:rsid w:val="00195C1E"/>
    <w:rsid w:val="001A1AA1"/>
    <w:rsid w:val="001A1D9E"/>
    <w:rsid w:val="001A334B"/>
    <w:rsid w:val="001A36E3"/>
    <w:rsid w:val="001A3FB1"/>
    <w:rsid w:val="001A56F6"/>
    <w:rsid w:val="001B01C6"/>
    <w:rsid w:val="001B159F"/>
    <w:rsid w:val="001B3B31"/>
    <w:rsid w:val="001B47CB"/>
    <w:rsid w:val="001B4986"/>
    <w:rsid w:val="001B6F7B"/>
    <w:rsid w:val="001B7010"/>
    <w:rsid w:val="001B731B"/>
    <w:rsid w:val="001C08EA"/>
    <w:rsid w:val="001C3AC2"/>
    <w:rsid w:val="001C719E"/>
    <w:rsid w:val="001C72CC"/>
    <w:rsid w:val="001C7BB6"/>
    <w:rsid w:val="001D7515"/>
    <w:rsid w:val="001E2657"/>
    <w:rsid w:val="001E2A49"/>
    <w:rsid w:val="001E56F5"/>
    <w:rsid w:val="001E62B4"/>
    <w:rsid w:val="001E6630"/>
    <w:rsid w:val="001E6A68"/>
    <w:rsid w:val="001E7C88"/>
    <w:rsid w:val="001F2601"/>
    <w:rsid w:val="001F2A44"/>
    <w:rsid w:val="001F6510"/>
    <w:rsid w:val="001F6ACF"/>
    <w:rsid w:val="00202362"/>
    <w:rsid w:val="0020311A"/>
    <w:rsid w:val="00204782"/>
    <w:rsid w:val="002055EE"/>
    <w:rsid w:val="00206792"/>
    <w:rsid w:val="00207681"/>
    <w:rsid w:val="0021159C"/>
    <w:rsid w:val="00211998"/>
    <w:rsid w:val="00211B68"/>
    <w:rsid w:val="002134AC"/>
    <w:rsid w:val="00216261"/>
    <w:rsid w:val="00220194"/>
    <w:rsid w:val="002205BF"/>
    <w:rsid w:val="00224192"/>
    <w:rsid w:val="002262A7"/>
    <w:rsid w:val="00227106"/>
    <w:rsid w:val="00230E4B"/>
    <w:rsid w:val="00231BB3"/>
    <w:rsid w:val="00233BAB"/>
    <w:rsid w:val="00235922"/>
    <w:rsid w:val="002369E3"/>
    <w:rsid w:val="00237269"/>
    <w:rsid w:val="0025303E"/>
    <w:rsid w:val="0025356E"/>
    <w:rsid w:val="002547E2"/>
    <w:rsid w:val="0026154D"/>
    <w:rsid w:val="002616E8"/>
    <w:rsid w:val="002668B3"/>
    <w:rsid w:val="00267CB1"/>
    <w:rsid w:val="00270770"/>
    <w:rsid w:val="00271C62"/>
    <w:rsid w:val="002729E0"/>
    <w:rsid w:val="00273809"/>
    <w:rsid w:val="0027444A"/>
    <w:rsid w:val="00275C35"/>
    <w:rsid w:val="00277B6B"/>
    <w:rsid w:val="00277CD7"/>
    <w:rsid w:val="0028171C"/>
    <w:rsid w:val="00281EF5"/>
    <w:rsid w:val="0028295F"/>
    <w:rsid w:val="00286CE6"/>
    <w:rsid w:val="0028780C"/>
    <w:rsid w:val="0029247D"/>
    <w:rsid w:val="0029381D"/>
    <w:rsid w:val="002942C7"/>
    <w:rsid w:val="0029467E"/>
    <w:rsid w:val="0029611F"/>
    <w:rsid w:val="002A3869"/>
    <w:rsid w:val="002A3CB5"/>
    <w:rsid w:val="002A74EF"/>
    <w:rsid w:val="002B204E"/>
    <w:rsid w:val="002B3205"/>
    <w:rsid w:val="002B39E1"/>
    <w:rsid w:val="002B5E2B"/>
    <w:rsid w:val="002B71B5"/>
    <w:rsid w:val="002C1E83"/>
    <w:rsid w:val="002C1F92"/>
    <w:rsid w:val="002C2650"/>
    <w:rsid w:val="002C2733"/>
    <w:rsid w:val="002C48CA"/>
    <w:rsid w:val="002C4B29"/>
    <w:rsid w:val="002C4BAE"/>
    <w:rsid w:val="002C5C49"/>
    <w:rsid w:val="002D48D4"/>
    <w:rsid w:val="002D664F"/>
    <w:rsid w:val="002E13D5"/>
    <w:rsid w:val="002E36CC"/>
    <w:rsid w:val="002E4037"/>
    <w:rsid w:val="002E6D56"/>
    <w:rsid w:val="002E701B"/>
    <w:rsid w:val="002E7ED1"/>
    <w:rsid w:val="002F08E4"/>
    <w:rsid w:val="002F26E3"/>
    <w:rsid w:val="002F2E02"/>
    <w:rsid w:val="002F44B7"/>
    <w:rsid w:val="002F470E"/>
    <w:rsid w:val="002F489C"/>
    <w:rsid w:val="002F512B"/>
    <w:rsid w:val="002F57D2"/>
    <w:rsid w:val="002F7616"/>
    <w:rsid w:val="00306E7D"/>
    <w:rsid w:val="00307228"/>
    <w:rsid w:val="0030728A"/>
    <w:rsid w:val="00310036"/>
    <w:rsid w:val="00310C01"/>
    <w:rsid w:val="003126F4"/>
    <w:rsid w:val="00313A20"/>
    <w:rsid w:val="003209BC"/>
    <w:rsid w:val="0032127A"/>
    <w:rsid w:val="003238E9"/>
    <w:rsid w:val="003273B8"/>
    <w:rsid w:val="0033051B"/>
    <w:rsid w:val="00332207"/>
    <w:rsid w:val="00334642"/>
    <w:rsid w:val="00335864"/>
    <w:rsid w:val="0033765C"/>
    <w:rsid w:val="00344EB4"/>
    <w:rsid w:val="003479F5"/>
    <w:rsid w:val="003507FC"/>
    <w:rsid w:val="00352F30"/>
    <w:rsid w:val="00353723"/>
    <w:rsid w:val="003556CF"/>
    <w:rsid w:val="0035B15B"/>
    <w:rsid w:val="003648A9"/>
    <w:rsid w:val="00364EED"/>
    <w:rsid w:val="003671D8"/>
    <w:rsid w:val="00367EC3"/>
    <w:rsid w:val="003756B4"/>
    <w:rsid w:val="00382F96"/>
    <w:rsid w:val="003870FC"/>
    <w:rsid w:val="00392C0E"/>
    <w:rsid w:val="003953A5"/>
    <w:rsid w:val="003963DF"/>
    <w:rsid w:val="00397D4D"/>
    <w:rsid w:val="00397DFC"/>
    <w:rsid w:val="003A6336"/>
    <w:rsid w:val="003B3591"/>
    <w:rsid w:val="003B487A"/>
    <w:rsid w:val="003B5ADC"/>
    <w:rsid w:val="003B5B58"/>
    <w:rsid w:val="003B6AA5"/>
    <w:rsid w:val="003B7FF4"/>
    <w:rsid w:val="003C07BC"/>
    <w:rsid w:val="003C0F91"/>
    <w:rsid w:val="003C182D"/>
    <w:rsid w:val="003C26C1"/>
    <w:rsid w:val="003C3A25"/>
    <w:rsid w:val="003C6178"/>
    <w:rsid w:val="003C7C4B"/>
    <w:rsid w:val="003C7DC1"/>
    <w:rsid w:val="003D0D0C"/>
    <w:rsid w:val="003D48CB"/>
    <w:rsid w:val="003E001A"/>
    <w:rsid w:val="003E4A1F"/>
    <w:rsid w:val="003E6C6E"/>
    <w:rsid w:val="003F5413"/>
    <w:rsid w:val="003F58B6"/>
    <w:rsid w:val="003F77A7"/>
    <w:rsid w:val="00400727"/>
    <w:rsid w:val="004016F5"/>
    <w:rsid w:val="0040274D"/>
    <w:rsid w:val="00403988"/>
    <w:rsid w:val="00404DAF"/>
    <w:rsid w:val="00412156"/>
    <w:rsid w:val="004202A4"/>
    <w:rsid w:val="00420799"/>
    <w:rsid w:val="00423453"/>
    <w:rsid w:val="00424EDA"/>
    <w:rsid w:val="004333F7"/>
    <w:rsid w:val="004342BF"/>
    <w:rsid w:val="00436869"/>
    <w:rsid w:val="004411DD"/>
    <w:rsid w:val="00441384"/>
    <w:rsid w:val="00446AC2"/>
    <w:rsid w:val="00447CB7"/>
    <w:rsid w:val="004600D6"/>
    <w:rsid w:val="00461783"/>
    <w:rsid w:val="004620A8"/>
    <w:rsid w:val="0046463A"/>
    <w:rsid w:val="00465959"/>
    <w:rsid w:val="0046697A"/>
    <w:rsid w:val="00472319"/>
    <w:rsid w:val="00472867"/>
    <w:rsid w:val="004767D7"/>
    <w:rsid w:val="00477994"/>
    <w:rsid w:val="00480486"/>
    <w:rsid w:val="004831A4"/>
    <w:rsid w:val="00483D99"/>
    <w:rsid w:val="00496896"/>
    <w:rsid w:val="00497E1A"/>
    <w:rsid w:val="004A05BC"/>
    <w:rsid w:val="004A0627"/>
    <w:rsid w:val="004A0D84"/>
    <w:rsid w:val="004A3EBD"/>
    <w:rsid w:val="004A5351"/>
    <w:rsid w:val="004B06FF"/>
    <w:rsid w:val="004B0DAB"/>
    <w:rsid w:val="004B1BD2"/>
    <w:rsid w:val="004B4B31"/>
    <w:rsid w:val="004B7326"/>
    <w:rsid w:val="004B7A0C"/>
    <w:rsid w:val="004C670B"/>
    <w:rsid w:val="004C7B7B"/>
    <w:rsid w:val="004D2AC8"/>
    <w:rsid w:val="004D7B53"/>
    <w:rsid w:val="004E022D"/>
    <w:rsid w:val="004E6D70"/>
    <w:rsid w:val="004E6D84"/>
    <w:rsid w:val="004E7FBD"/>
    <w:rsid w:val="004F062F"/>
    <w:rsid w:val="004F11EC"/>
    <w:rsid w:val="004F2309"/>
    <w:rsid w:val="004F2AC4"/>
    <w:rsid w:val="004F3879"/>
    <w:rsid w:val="004F763B"/>
    <w:rsid w:val="00504414"/>
    <w:rsid w:val="00504B0C"/>
    <w:rsid w:val="00507158"/>
    <w:rsid w:val="00511E16"/>
    <w:rsid w:val="00513955"/>
    <w:rsid w:val="00514EFC"/>
    <w:rsid w:val="00516B53"/>
    <w:rsid w:val="00517107"/>
    <w:rsid w:val="00521C45"/>
    <w:rsid w:val="00523C4E"/>
    <w:rsid w:val="00526AD0"/>
    <w:rsid w:val="00526EBF"/>
    <w:rsid w:val="00527350"/>
    <w:rsid w:val="00530210"/>
    <w:rsid w:val="00530BC1"/>
    <w:rsid w:val="00531C49"/>
    <w:rsid w:val="00532DB0"/>
    <w:rsid w:val="00533893"/>
    <w:rsid w:val="00533CAD"/>
    <w:rsid w:val="00534BC4"/>
    <w:rsid w:val="00535AB0"/>
    <w:rsid w:val="00535DF5"/>
    <w:rsid w:val="00542E66"/>
    <w:rsid w:val="00543E15"/>
    <w:rsid w:val="005519F0"/>
    <w:rsid w:val="00552725"/>
    <w:rsid w:val="00554AB6"/>
    <w:rsid w:val="00555741"/>
    <w:rsid w:val="00556E0C"/>
    <w:rsid w:val="005604B9"/>
    <w:rsid w:val="00563825"/>
    <w:rsid w:val="005646BF"/>
    <w:rsid w:val="005647F2"/>
    <w:rsid w:val="005655BA"/>
    <w:rsid w:val="005656CB"/>
    <w:rsid w:val="00571844"/>
    <w:rsid w:val="00572F9E"/>
    <w:rsid w:val="005775ED"/>
    <w:rsid w:val="0058191D"/>
    <w:rsid w:val="00581BAF"/>
    <w:rsid w:val="0058528B"/>
    <w:rsid w:val="00585ADD"/>
    <w:rsid w:val="00587925"/>
    <w:rsid w:val="005903CA"/>
    <w:rsid w:val="005908A6"/>
    <w:rsid w:val="005916F6"/>
    <w:rsid w:val="00592A22"/>
    <w:rsid w:val="0059400A"/>
    <w:rsid w:val="005A40EF"/>
    <w:rsid w:val="005A468F"/>
    <w:rsid w:val="005B120C"/>
    <w:rsid w:val="005B15E5"/>
    <w:rsid w:val="005B349D"/>
    <w:rsid w:val="005C0FF0"/>
    <w:rsid w:val="005C10A6"/>
    <w:rsid w:val="005C2A6A"/>
    <w:rsid w:val="005C4EED"/>
    <w:rsid w:val="005C7704"/>
    <w:rsid w:val="005D2D66"/>
    <w:rsid w:val="005D3F45"/>
    <w:rsid w:val="005D4D5D"/>
    <w:rsid w:val="005D7782"/>
    <w:rsid w:val="005E2EB5"/>
    <w:rsid w:val="005E79AC"/>
    <w:rsid w:val="005F0D65"/>
    <w:rsid w:val="005F247F"/>
    <w:rsid w:val="005F2965"/>
    <w:rsid w:val="005F2FCE"/>
    <w:rsid w:val="005F4BA2"/>
    <w:rsid w:val="006009B1"/>
    <w:rsid w:val="0060284D"/>
    <w:rsid w:val="00604CED"/>
    <w:rsid w:val="00606053"/>
    <w:rsid w:val="006062C8"/>
    <w:rsid w:val="00614CEA"/>
    <w:rsid w:val="00615FF8"/>
    <w:rsid w:val="006172E8"/>
    <w:rsid w:val="006208D0"/>
    <w:rsid w:val="00620DFC"/>
    <w:rsid w:val="0062235F"/>
    <w:rsid w:val="006230F7"/>
    <w:rsid w:val="00624EDC"/>
    <w:rsid w:val="006251EF"/>
    <w:rsid w:val="0062556E"/>
    <w:rsid w:val="00627328"/>
    <w:rsid w:val="006276D7"/>
    <w:rsid w:val="006306FF"/>
    <w:rsid w:val="00630ADC"/>
    <w:rsid w:val="006312A9"/>
    <w:rsid w:val="0063159E"/>
    <w:rsid w:val="006331AA"/>
    <w:rsid w:val="00633823"/>
    <w:rsid w:val="00633D34"/>
    <w:rsid w:val="0063460D"/>
    <w:rsid w:val="00635C63"/>
    <w:rsid w:val="00636238"/>
    <w:rsid w:val="00636526"/>
    <w:rsid w:val="00636E63"/>
    <w:rsid w:val="006423B7"/>
    <w:rsid w:val="0064420D"/>
    <w:rsid w:val="00645887"/>
    <w:rsid w:val="006474B2"/>
    <w:rsid w:val="00647D16"/>
    <w:rsid w:val="00653765"/>
    <w:rsid w:val="006537A1"/>
    <w:rsid w:val="00656CDE"/>
    <w:rsid w:val="006577E1"/>
    <w:rsid w:val="0066183F"/>
    <w:rsid w:val="00662140"/>
    <w:rsid w:val="00662F47"/>
    <w:rsid w:val="00664FC2"/>
    <w:rsid w:val="00665B2F"/>
    <w:rsid w:val="0066623F"/>
    <w:rsid w:val="00670A72"/>
    <w:rsid w:val="006715AC"/>
    <w:rsid w:val="00675AA5"/>
    <w:rsid w:val="00675EBA"/>
    <w:rsid w:val="00682739"/>
    <w:rsid w:val="00682FDC"/>
    <w:rsid w:val="00684361"/>
    <w:rsid w:val="006843DB"/>
    <w:rsid w:val="0069665C"/>
    <w:rsid w:val="006A0837"/>
    <w:rsid w:val="006A3E78"/>
    <w:rsid w:val="006A4FFB"/>
    <w:rsid w:val="006A7108"/>
    <w:rsid w:val="006A73F8"/>
    <w:rsid w:val="006B09BC"/>
    <w:rsid w:val="006B49DC"/>
    <w:rsid w:val="006B565A"/>
    <w:rsid w:val="006C189D"/>
    <w:rsid w:val="006C4057"/>
    <w:rsid w:val="006C59E6"/>
    <w:rsid w:val="006C7DBD"/>
    <w:rsid w:val="006D02DB"/>
    <w:rsid w:val="006D1C37"/>
    <w:rsid w:val="006D6972"/>
    <w:rsid w:val="006D7030"/>
    <w:rsid w:val="006E1502"/>
    <w:rsid w:val="006E29E0"/>
    <w:rsid w:val="006E2CCE"/>
    <w:rsid w:val="006E3BF9"/>
    <w:rsid w:val="006E3FF1"/>
    <w:rsid w:val="006E5538"/>
    <w:rsid w:val="006E59A6"/>
    <w:rsid w:val="006E6911"/>
    <w:rsid w:val="006E7C67"/>
    <w:rsid w:val="006E7D26"/>
    <w:rsid w:val="006E7E05"/>
    <w:rsid w:val="006F101A"/>
    <w:rsid w:val="006F32FC"/>
    <w:rsid w:val="006F540F"/>
    <w:rsid w:val="006F5DB0"/>
    <w:rsid w:val="006F700F"/>
    <w:rsid w:val="00702B78"/>
    <w:rsid w:val="007046F3"/>
    <w:rsid w:val="00704BD0"/>
    <w:rsid w:val="00706977"/>
    <w:rsid w:val="007076C6"/>
    <w:rsid w:val="007078B7"/>
    <w:rsid w:val="007108C6"/>
    <w:rsid w:val="00711573"/>
    <w:rsid w:val="00713320"/>
    <w:rsid w:val="00713934"/>
    <w:rsid w:val="00714212"/>
    <w:rsid w:val="00724CA0"/>
    <w:rsid w:val="00726167"/>
    <w:rsid w:val="00730C90"/>
    <w:rsid w:val="00731167"/>
    <w:rsid w:val="0073128C"/>
    <w:rsid w:val="00731E23"/>
    <w:rsid w:val="007335CD"/>
    <w:rsid w:val="007335D5"/>
    <w:rsid w:val="00735721"/>
    <w:rsid w:val="00743AB7"/>
    <w:rsid w:val="00744946"/>
    <w:rsid w:val="00747E3C"/>
    <w:rsid w:val="00750B46"/>
    <w:rsid w:val="00752834"/>
    <w:rsid w:val="00753D9C"/>
    <w:rsid w:val="00756191"/>
    <w:rsid w:val="0076046E"/>
    <w:rsid w:val="007613B6"/>
    <w:rsid w:val="00761D50"/>
    <w:rsid w:val="0076325D"/>
    <w:rsid w:val="007674B3"/>
    <w:rsid w:val="00767FBD"/>
    <w:rsid w:val="00767FDF"/>
    <w:rsid w:val="007711C5"/>
    <w:rsid w:val="00772028"/>
    <w:rsid w:val="00773655"/>
    <w:rsid w:val="00780ABC"/>
    <w:rsid w:val="0078532D"/>
    <w:rsid w:val="007910DB"/>
    <w:rsid w:val="007927E8"/>
    <w:rsid w:val="00794B4B"/>
    <w:rsid w:val="0079536B"/>
    <w:rsid w:val="00797146"/>
    <w:rsid w:val="007A192F"/>
    <w:rsid w:val="007A235B"/>
    <w:rsid w:val="007A24D4"/>
    <w:rsid w:val="007A3348"/>
    <w:rsid w:val="007A33D8"/>
    <w:rsid w:val="007A6810"/>
    <w:rsid w:val="007B34DD"/>
    <w:rsid w:val="007B639B"/>
    <w:rsid w:val="007B79F5"/>
    <w:rsid w:val="007C0B33"/>
    <w:rsid w:val="007C1925"/>
    <w:rsid w:val="007C1EFA"/>
    <w:rsid w:val="007C3D0A"/>
    <w:rsid w:val="007C5533"/>
    <w:rsid w:val="007C6B67"/>
    <w:rsid w:val="007C738A"/>
    <w:rsid w:val="007D3E9C"/>
    <w:rsid w:val="007D45C4"/>
    <w:rsid w:val="007D62D3"/>
    <w:rsid w:val="007D6903"/>
    <w:rsid w:val="007D70D6"/>
    <w:rsid w:val="007E29E4"/>
    <w:rsid w:val="007E34A4"/>
    <w:rsid w:val="007E3A77"/>
    <w:rsid w:val="007E59D9"/>
    <w:rsid w:val="007F4F43"/>
    <w:rsid w:val="007F65F7"/>
    <w:rsid w:val="0080207B"/>
    <w:rsid w:val="008052E3"/>
    <w:rsid w:val="00805F04"/>
    <w:rsid w:val="00806F8B"/>
    <w:rsid w:val="00815A41"/>
    <w:rsid w:val="008171FD"/>
    <w:rsid w:val="0082356C"/>
    <w:rsid w:val="00826144"/>
    <w:rsid w:val="00832059"/>
    <w:rsid w:val="008327A7"/>
    <w:rsid w:val="008327C1"/>
    <w:rsid w:val="0083498B"/>
    <w:rsid w:val="00834D52"/>
    <w:rsid w:val="00841736"/>
    <w:rsid w:val="00842701"/>
    <w:rsid w:val="00847A90"/>
    <w:rsid w:val="0085011D"/>
    <w:rsid w:val="00852DFF"/>
    <w:rsid w:val="00852F69"/>
    <w:rsid w:val="00854F18"/>
    <w:rsid w:val="00854FB7"/>
    <w:rsid w:val="008568AE"/>
    <w:rsid w:val="00857652"/>
    <w:rsid w:val="008576BB"/>
    <w:rsid w:val="00862C4B"/>
    <w:rsid w:val="00863AD7"/>
    <w:rsid w:val="00866B44"/>
    <w:rsid w:val="00866D85"/>
    <w:rsid w:val="00871C6D"/>
    <w:rsid w:val="00873412"/>
    <w:rsid w:val="00873B9C"/>
    <w:rsid w:val="00874130"/>
    <w:rsid w:val="00876209"/>
    <w:rsid w:val="00881685"/>
    <w:rsid w:val="00884F6F"/>
    <w:rsid w:val="00886E76"/>
    <w:rsid w:val="008918FA"/>
    <w:rsid w:val="00891CA1"/>
    <w:rsid w:val="00891EC7"/>
    <w:rsid w:val="008951FC"/>
    <w:rsid w:val="008A0ED7"/>
    <w:rsid w:val="008A1193"/>
    <w:rsid w:val="008A3E3B"/>
    <w:rsid w:val="008A58C0"/>
    <w:rsid w:val="008B134D"/>
    <w:rsid w:val="008B2B48"/>
    <w:rsid w:val="008B33B5"/>
    <w:rsid w:val="008B5D56"/>
    <w:rsid w:val="008B7206"/>
    <w:rsid w:val="008C115B"/>
    <w:rsid w:val="008C3211"/>
    <w:rsid w:val="008C3D03"/>
    <w:rsid w:val="008C762E"/>
    <w:rsid w:val="008D04B6"/>
    <w:rsid w:val="008D1A91"/>
    <w:rsid w:val="008D3ADF"/>
    <w:rsid w:val="008D7E20"/>
    <w:rsid w:val="008E47DF"/>
    <w:rsid w:val="008E4CE3"/>
    <w:rsid w:val="008E6E97"/>
    <w:rsid w:val="008F02C8"/>
    <w:rsid w:val="008F21FC"/>
    <w:rsid w:val="008F2D43"/>
    <w:rsid w:val="008F70E2"/>
    <w:rsid w:val="009005DD"/>
    <w:rsid w:val="00900AA0"/>
    <w:rsid w:val="0090259D"/>
    <w:rsid w:val="00903BBA"/>
    <w:rsid w:val="00907682"/>
    <w:rsid w:val="009113D0"/>
    <w:rsid w:val="009122BA"/>
    <w:rsid w:val="00914DFB"/>
    <w:rsid w:val="00920850"/>
    <w:rsid w:val="00920AB8"/>
    <w:rsid w:val="009231E7"/>
    <w:rsid w:val="00924015"/>
    <w:rsid w:val="00924CCA"/>
    <w:rsid w:val="009264B9"/>
    <w:rsid w:val="00933753"/>
    <w:rsid w:val="00934491"/>
    <w:rsid w:val="009407DB"/>
    <w:rsid w:val="00942713"/>
    <w:rsid w:val="009430CA"/>
    <w:rsid w:val="0094333B"/>
    <w:rsid w:val="009446FB"/>
    <w:rsid w:val="009448A1"/>
    <w:rsid w:val="00944ABF"/>
    <w:rsid w:val="00950C2E"/>
    <w:rsid w:val="00951A83"/>
    <w:rsid w:val="009547D6"/>
    <w:rsid w:val="0095527B"/>
    <w:rsid w:val="00955B73"/>
    <w:rsid w:val="00962CA2"/>
    <w:rsid w:val="0096598C"/>
    <w:rsid w:val="00970C45"/>
    <w:rsid w:val="00973AE7"/>
    <w:rsid w:val="0097402D"/>
    <w:rsid w:val="009768D0"/>
    <w:rsid w:val="00977B51"/>
    <w:rsid w:val="009808D1"/>
    <w:rsid w:val="0098777E"/>
    <w:rsid w:val="00993298"/>
    <w:rsid w:val="009940BA"/>
    <w:rsid w:val="00996A12"/>
    <w:rsid w:val="00997418"/>
    <w:rsid w:val="009A0373"/>
    <w:rsid w:val="009A1CE8"/>
    <w:rsid w:val="009A4EB1"/>
    <w:rsid w:val="009A7D82"/>
    <w:rsid w:val="009B137D"/>
    <w:rsid w:val="009C00B3"/>
    <w:rsid w:val="009C12B0"/>
    <w:rsid w:val="009C4A0A"/>
    <w:rsid w:val="009C5CEC"/>
    <w:rsid w:val="009C79E7"/>
    <w:rsid w:val="009C7ACB"/>
    <w:rsid w:val="009D0313"/>
    <w:rsid w:val="009D0502"/>
    <w:rsid w:val="009D0BAC"/>
    <w:rsid w:val="009D2437"/>
    <w:rsid w:val="009D2668"/>
    <w:rsid w:val="009D5250"/>
    <w:rsid w:val="009E0DF9"/>
    <w:rsid w:val="009E17B3"/>
    <w:rsid w:val="009E1BD4"/>
    <w:rsid w:val="009E3723"/>
    <w:rsid w:val="009E4E41"/>
    <w:rsid w:val="009E6962"/>
    <w:rsid w:val="009E7A8F"/>
    <w:rsid w:val="009F2749"/>
    <w:rsid w:val="009F334A"/>
    <w:rsid w:val="009F3B2F"/>
    <w:rsid w:val="009F5991"/>
    <w:rsid w:val="00A052A6"/>
    <w:rsid w:val="00A053AF"/>
    <w:rsid w:val="00A076FC"/>
    <w:rsid w:val="00A10BFD"/>
    <w:rsid w:val="00A123CE"/>
    <w:rsid w:val="00A1406A"/>
    <w:rsid w:val="00A143BD"/>
    <w:rsid w:val="00A162CF"/>
    <w:rsid w:val="00A23D56"/>
    <w:rsid w:val="00A24C0C"/>
    <w:rsid w:val="00A279B4"/>
    <w:rsid w:val="00A30E5D"/>
    <w:rsid w:val="00A30FE4"/>
    <w:rsid w:val="00A41E50"/>
    <w:rsid w:val="00A44738"/>
    <w:rsid w:val="00A475CD"/>
    <w:rsid w:val="00A50751"/>
    <w:rsid w:val="00A5082C"/>
    <w:rsid w:val="00A634E0"/>
    <w:rsid w:val="00A63BD1"/>
    <w:rsid w:val="00A64747"/>
    <w:rsid w:val="00A64D82"/>
    <w:rsid w:val="00A66D17"/>
    <w:rsid w:val="00A72311"/>
    <w:rsid w:val="00A73439"/>
    <w:rsid w:val="00A74EC8"/>
    <w:rsid w:val="00A75116"/>
    <w:rsid w:val="00A75CEB"/>
    <w:rsid w:val="00A76D19"/>
    <w:rsid w:val="00A770DF"/>
    <w:rsid w:val="00A7754F"/>
    <w:rsid w:val="00A84671"/>
    <w:rsid w:val="00A84D80"/>
    <w:rsid w:val="00A8553A"/>
    <w:rsid w:val="00A85974"/>
    <w:rsid w:val="00A930E9"/>
    <w:rsid w:val="00A95280"/>
    <w:rsid w:val="00AA2C7E"/>
    <w:rsid w:val="00AA3530"/>
    <w:rsid w:val="00AA3863"/>
    <w:rsid w:val="00AA3E07"/>
    <w:rsid w:val="00AA4662"/>
    <w:rsid w:val="00AB05A0"/>
    <w:rsid w:val="00AB0970"/>
    <w:rsid w:val="00AB21BC"/>
    <w:rsid w:val="00AB3ED6"/>
    <w:rsid w:val="00AC0C0E"/>
    <w:rsid w:val="00AC486C"/>
    <w:rsid w:val="00AC5AB6"/>
    <w:rsid w:val="00AC5B5D"/>
    <w:rsid w:val="00AC5E75"/>
    <w:rsid w:val="00AC6D65"/>
    <w:rsid w:val="00AD0F60"/>
    <w:rsid w:val="00AD36A7"/>
    <w:rsid w:val="00AD64AC"/>
    <w:rsid w:val="00AD659D"/>
    <w:rsid w:val="00AE1505"/>
    <w:rsid w:val="00AE2487"/>
    <w:rsid w:val="00AE280C"/>
    <w:rsid w:val="00AE434A"/>
    <w:rsid w:val="00AE7492"/>
    <w:rsid w:val="00AF00AC"/>
    <w:rsid w:val="00B003A7"/>
    <w:rsid w:val="00B0131B"/>
    <w:rsid w:val="00B02D1E"/>
    <w:rsid w:val="00B126D8"/>
    <w:rsid w:val="00B13368"/>
    <w:rsid w:val="00B14229"/>
    <w:rsid w:val="00B16ED2"/>
    <w:rsid w:val="00B20904"/>
    <w:rsid w:val="00B20D70"/>
    <w:rsid w:val="00B20EBE"/>
    <w:rsid w:val="00B23983"/>
    <w:rsid w:val="00B2426F"/>
    <w:rsid w:val="00B2503C"/>
    <w:rsid w:val="00B25115"/>
    <w:rsid w:val="00B25137"/>
    <w:rsid w:val="00B314D3"/>
    <w:rsid w:val="00B32176"/>
    <w:rsid w:val="00B32408"/>
    <w:rsid w:val="00B356EE"/>
    <w:rsid w:val="00B37737"/>
    <w:rsid w:val="00B37C4C"/>
    <w:rsid w:val="00B4538E"/>
    <w:rsid w:val="00B459A6"/>
    <w:rsid w:val="00B47631"/>
    <w:rsid w:val="00B50570"/>
    <w:rsid w:val="00B513BB"/>
    <w:rsid w:val="00B5150D"/>
    <w:rsid w:val="00B53EB4"/>
    <w:rsid w:val="00B543DC"/>
    <w:rsid w:val="00B55C9A"/>
    <w:rsid w:val="00B64ABB"/>
    <w:rsid w:val="00B64D62"/>
    <w:rsid w:val="00B6597B"/>
    <w:rsid w:val="00B66971"/>
    <w:rsid w:val="00B66C5A"/>
    <w:rsid w:val="00B7010E"/>
    <w:rsid w:val="00B70177"/>
    <w:rsid w:val="00B76501"/>
    <w:rsid w:val="00B800AC"/>
    <w:rsid w:val="00B806A1"/>
    <w:rsid w:val="00B80735"/>
    <w:rsid w:val="00B8100B"/>
    <w:rsid w:val="00B862BF"/>
    <w:rsid w:val="00B86993"/>
    <w:rsid w:val="00B87C41"/>
    <w:rsid w:val="00B91933"/>
    <w:rsid w:val="00B96B62"/>
    <w:rsid w:val="00BA0302"/>
    <w:rsid w:val="00BA2EC9"/>
    <w:rsid w:val="00BA4AC7"/>
    <w:rsid w:val="00BA5305"/>
    <w:rsid w:val="00BA5E2D"/>
    <w:rsid w:val="00BA7597"/>
    <w:rsid w:val="00BA7AE7"/>
    <w:rsid w:val="00BA7F9F"/>
    <w:rsid w:val="00BB2C35"/>
    <w:rsid w:val="00BB30BE"/>
    <w:rsid w:val="00BB3494"/>
    <w:rsid w:val="00BB4D4A"/>
    <w:rsid w:val="00BB6BAA"/>
    <w:rsid w:val="00BC0C22"/>
    <w:rsid w:val="00BC1B4F"/>
    <w:rsid w:val="00BC2CCC"/>
    <w:rsid w:val="00BC66DD"/>
    <w:rsid w:val="00BC6C9A"/>
    <w:rsid w:val="00BC7EBF"/>
    <w:rsid w:val="00BD0086"/>
    <w:rsid w:val="00BD2E40"/>
    <w:rsid w:val="00BD3395"/>
    <w:rsid w:val="00BD3892"/>
    <w:rsid w:val="00BD7CFA"/>
    <w:rsid w:val="00BE2153"/>
    <w:rsid w:val="00BE451E"/>
    <w:rsid w:val="00BE69A0"/>
    <w:rsid w:val="00BE6D45"/>
    <w:rsid w:val="00BF0018"/>
    <w:rsid w:val="00BF0BBE"/>
    <w:rsid w:val="00BF1736"/>
    <w:rsid w:val="00BF4D07"/>
    <w:rsid w:val="00BF4E87"/>
    <w:rsid w:val="00BF5ABC"/>
    <w:rsid w:val="00C032F5"/>
    <w:rsid w:val="00C03352"/>
    <w:rsid w:val="00C04BF9"/>
    <w:rsid w:val="00C10FF2"/>
    <w:rsid w:val="00C1506D"/>
    <w:rsid w:val="00C164F3"/>
    <w:rsid w:val="00C17060"/>
    <w:rsid w:val="00C17733"/>
    <w:rsid w:val="00C2023B"/>
    <w:rsid w:val="00C304F8"/>
    <w:rsid w:val="00C30958"/>
    <w:rsid w:val="00C31413"/>
    <w:rsid w:val="00C331B9"/>
    <w:rsid w:val="00C34D14"/>
    <w:rsid w:val="00C351E1"/>
    <w:rsid w:val="00C35E75"/>
    <w:rsid w:val="00C36F95"/>
    <w:rsid w:val="00C44500"/>
    <w:rsid w:val="00C565EC"/>
    <w:rsid w:val="00C572B7"/>
    <w:rsid w:val="00C57695"/>
    <w:rsid w:val="00C67401"/>
    <w:rsid w:val="00C67B42"/>
    <w:rsid w:val="00C7634C"/>
    <w:rsid w:val="00C76B94"/>
    <w:rsid w:val="00C80C98"/>
    <w:rsid w:val="00C82525"/>
    <w:rsid w:val="00C86EF6"/>
    <w:rsid w:val="00C8732B"/>
    <w:rsid w:val="00C90115"/>
    <w:rsid w:val="00C90739"/>
    <w:rsid w:val="00C910B7"/>
    <w:rsid w:val="00C934FD"/>
    <w:rsid w:val="00C947B5"/>
    <w:rsid w:val="00C96D0E"/>
    <w:rsid w:val="00C974A6"/>
    <w:rsid w:val="00C975D6"/>
    <w:rsid w:val="00CA0B70"/>
    <w:rsid w:val="00CA12EB"/>
    <w:rsid w:val="00CA194B"/>
    <w:rsid w:val="00CA2D24"/>
    <w:rsid w:val="00CA53D7"/>
    <w:rsid w:val="00CB1AE2"/>
    <w:rsid w:val="00CB280F"/>
    <w:rsid w:val="00CB293A"/>
    <w:rsid w:val="00CB2B93"/>
    <w:rsid w:val="00CB4051"/>
    <w:rsid w:val="00CB4099"/>
    <w:rsid w:val="00CB4FA1"/>
    <w:rsid w:val="00CB566D"/>
    <w:rsid w:val="00CB56C8"/>
    <w:rsid w:val="00CB5911"/>
    <w:rsid w:val="00CB7A3A"/>
    <w:rsid w:val="00CC1162"/>
    <w:rsid w:val="00CC1778"/>
    <w:rsid w:val="00CC1FF5"/>
    <w:rsid w:val="00CC6193"/>
    <w:rsid w:val="00CD1984"/>
    <w:rsid w:val="00CD49CD"/>
    <w:rsid w:val="00CD501F"/>
    <w:rsid w:val="00CD5461"/>
    <w:rsid w:val="00CD567C"/>
    <w:rsid w:val="00CD5DE5"/>
    <w:rsid w:val="00CD66A7"/>
    <w:rsid w:val="00CD77D5"/>
    <w:rsid w:val="00CE26A4"/>
    <w:rsid w:val="00CE341C"/>
    <w:rsid w:val="00CE4D8E"/>
    <w:rsid w:val="00CE7D88"/>
    <w:rsid w:val="00CF04A1"/>
    <w:rsid w:val="00CF34EB"/>
    <w:rsid w:val="00CF5637"/>
    <w:rsid w:val="00CF5A76"/>
    <w:rsid w:val="00D01232"/>
    <w:rsid w:val="00D01ABA"/>
    <w:rsid w:val="00D0356E"/>
    <w:rsid w:val="00D04B16"/>
    <w:rsid w:val="00D04E20"/>
    <w:rsid w:val="00D061B7"/>
    <w:rsid w:val="00D0782E"/>
    <w:rsid w:val="00D12A51"/>
    <w:rsid w:val="00D14249"/>
    <w:rsid w:val="00D14280"/>
    <w:rsid w:val="00D15B89"/>
    <w:rsid w:val="00D16571"/>
    <w:rsid w:val="00D173B3"/>
    <w:rsid w:val="00D20DBB"/>
    <w:rsid w:val="00D22724"/>
    <w:rsid w:val="00D25C56"/>
    <w:rsid w:val="00D279DB"/>
    <w:rsid w:val="00D30A0F"/>
    <w:rsid w:val="00D32836"/>
    <w:rsid w:val="00D3473F"/>
    <w:rsid w:val="00D34B81"/>
    <w:rsid w:val="00D3509D"/>
    <w:rsid w:val="00D35310"/>
    <w:rsid w:val="00D35732"/>
    <w:rsid w:val="00D357C4"/>
    <w:rsid w:val="00D36547"/>
    <w:rsid w:val="00D365D7"/>
    <w:rsid w:val="00D36F87"/>
    <w:rsid w:val="00D37067"/>
    <w:rsid w:val="00D37B4D"/>
    <w:rsid w:val="00D4089E"/>
    <w:rsid w:val="00D42C44"/>
    <w:rsid w:val="00D43192"/>
    <w:rsid w:val="00D43C61"/>
    <w:rsid w:val="00D4691F"/>
    <w:rsid w:val="00D503F7"/>
    <w:rsid w:val="00D50EE0"/>
    <w:rsid w:val="00D51619"/>
    <w:rsid w:val="00D53643"/>
    <w:rsid w:val="00D55BF3"/>
    <w:rsid w:val="00D5624C"/>
    <w:rsid w:val="00D567CC"/>
    <w:rsid w:val="00D56D3A"/>
    <w:rsid w:val="00D62BA8"/>
    <w:rsid w:val="00D62BC6"/>
    <w:rsid w:val="00D63662"/>
    <w:rsid w:val="00D67219"/>
    <w:rsid w:val="00D705C6"/>
    <w:rsid w:val="00D71183"/>
    <w:rsid w:val="00D748D1"/>
    <w:rsid w:val="00D762BE"/>
    <w:rsid w:val="00D804C7"/>
    <w:rsid w:val="00D81D27"/>
    <w:rsid w:val="00D84587"/>
    <w:rsid w:val="00D870B2"/>
    <w:rsid w:val="00D93165"/>
    <w:rsid w:val="00DA23F8"/>
    <w:rsid w:val="00DA56E6"/>
    <w:rsid w:val="00DA7886"/>
    <w:rsid w:val="00DB0943"/>
    <w:rsid w:val="00DB1636"/>
    <w:rsid w:val="00DB1A18"/>
    <w:rsid w:val="00DB23A7"/>
    <w:rsid w:val="00DB472E"/>
    <w:rsid w:val="00DB4C85"/>
    <w:rsid w:val="00DB523B"/>
    <w:rsid w:val="00DB78D4"/>
    <w:rsid w:val="00DC0A22"/>
    <w:rsid w:val="00DC100E"/>
    <w:rsid w:val="00DC12FC"/>
    <w:rsid w:val="00DD3ACE"/>
    <w:rsid w:val="00DD3C1B"/>
    <w:rsid w:val="00DD4D16"/>
    <w:rsid w:val="00DD6485"/>
    <w:rsid w:val="00DD7BF4"/>
    <w:rsid w:val="00DE000E"/>
    <w:rsid w:val="00DE058C"/>
    <w:rsid w:val="00DE1D63"/>
    <w:rsid w:val="00DE26C4"/>
    <w:rsid w:val="00DE2BBF"/>
    <w:rsid w:val="00DE71A7"/>
    <w:rsid w:val="00DE74EF"/>
    <w:rsid w:val="00DE7FA0"/>
    <w:rsid w:val="00DF1644"/>
    <w:rsid w:val="00DF1DB0"/>
    <w:rsid w:val="00DF6396"/>
    <w:rsid w:val="00DF72FA"/>
    <w:rsid w:val="00DF740F"/>
    <w:rsid w:val="00DF756E"/>
    <w:rsid w:val="00E04830"/>
    <w:rsid w:val="00E04D26"/>
    <w:rsid w:val="00E06218"/>
    <w:rsid w:val="00E13294"/>
    <w:rsid w:val="00E20033"/>
    <w:rsid w:val="00E202D0"/>
    <w:rsid w:val="00E21351"/>
    <w:rsid w:val="00E21FDD"/>
    <w:rsid w:val="00E224B1"/>
    <w:rsid w:val="00E2262C"/>
    <w:rsid w:val="00E24D60"/>
    <w:rsid w:val="00E25A1F"/>
    <w:rsid w:val="00E26C1A"/>
    <w:rsid w:val="00E36761"/>
    <w:rsid w:val="00E37D27"/>
    <w:rsid w:val="00E412D8"/>
    <w:rsid w:val="00E41AE4"/>
    <w:rsid w:val="00E41C9B"/>
    <w:rsid w:val="00E42224"/>
    <w:rsid w:val="00E42C6E"/>
    <w:rsid w:val="00E42E68"/>
    <w:rsid w:val="00E47225"/>
    <w:rsid w:val="00E50790"/>
    <w:rsid w:val="00E50DDD"/>
    <w:rsid w:val="00E520ED"/>
    <w:rsid w:val="00E57282"/>
    <w:rsid w:val="00E61262"/>
    <w:rsid w:val="00E617CE"/>
    <w:rsid w:val="00E65107"/>
    <w:rsid w:val="00E66978"/>
    <w:rsid w:val="00E7718D"/>
    <w:rsid w:val="00E776CE"/>
    <w:rsid w:val="00E77D43"/>
    <w:rsid w:val="00E8006E"/>
    <w:rsid w:val="00E8050D"/>
    <w:rsid w:val="00E8129F"/>
    <w:rsid w:val="00E85C7B"/>
    <w:rsid w:val="00E86828"/>
    <w:rsid w:val="00E87337"/>
    <w:rsid w:val="00E9026C"/>
    <w:rsid w:val="00E93D1E"/>
    <w:rsid w:val="00E9515D"/>
    <w:rsid w:val="00E9640A"/>
    <w:rsid w:val="00EA1A2A"/>
    <w:rsid w:val="00EA24F3"/>
    <w:rsid w:val="00EA436D"/>
    <w:rsid w:val="00EA59A5"/>
    <w:rsid w:val="00EA5DC1"/>
    <w:rsid w:val="00EA7FA7"/>
    <w:rsid w:val="00EB1915"/>
    <w:rsid w:val="00EB2FAE"/>
    <w:rsid w:val="00EB4866"/>
    <w:rsid w:val="00EB674B"/>
    <w:rsid w:val="00EB6E6C"/>
    <w:rsid w:val="00EC248B"/>
    <w:rsid w:val="00EC6875"/>
    <w:rsid w:val="00EC6C3C"/>
    <w:rsid w:val="00ED167F"/>
    <w:rsid w:val="00ED48CC"/>
    <w:rsid w:val="00EE0AC3"/>
    <w:rsid w:val="00EE2A0C"/>
    <w:rsid w:val="00EE30FB"/>
    <w:rsid w:val="00EE4CE1"/>
    <w:rsid w:val="00EE51A9"/>
    <w:rsid w:val="00EE561E"/>
    <w:rsid w:val="00EE648E"/>
    <w:rsid w:val="00EE7BB4"/>
    <w:rsid w:val="00EF117B"/>
    <w:rsid w:val="00EF1594"/>
    <w:rsid w:val="00EF564B"/>
    <w:rsid w:val="00EF62C9"/>
    <w:rsid w:val="00F0241A"/>
    <w:rsid w:val="00F02AA3"/>
    <w:rsid w:val="00F04416"/>
    <w:rsid w:val="00F06EC6"/>
    <w:rsid w:val="00F10535"/>
    <w:rsid w:val="00F1301A"/>
    <w:rsid w:val="00F17118"/>
    <w:rsid w:val="00F31574"/>
    <w:rsid w:val="00F34C89"/>
    <w:rsid w:val="00F41D34"/>
    <w:rsid w:val="00F425D1"/>
    <w:rsid w:val="00F46A74"/>
    <w:rsid w:val="00F470E7"/>
    <w:rsid w:val="00F471F2"/>
    <w:rsid w:val="00F50A69"/>
    <w:rsid w:val="00F52864"/>
    <w:rsid w:val="00F562F3"/>
    <w:rsid w:val="00F60871"/>
    <w:rsid w:val="00F6167D"/>
    <w:rsid w:val="00F63EE7"/>
    <w:rsid w:val="00F64053"/>
    <w:rsid w:val="00F70C6D"/>
    <w:rsid w:val="00F71EFB"/>
    <w:rsid w:val="00F7232B"/>
    <w:rsid w:val="00F73210"/>
    <w:rsid w:val="00F73BF2"/>
    <w:rsid w:val="00F75CEC"/>
    <w:rsid w:val="00F76391"/>
    <w:rsid w:val="00F76D91"/>
    <w:rsid w:val="00F8066C"/>
    <w:rsid w:val="00F81A13"/>
    <w:rsid w:val="00F82802"/>
    <w:rsid w:val="00F85D47"/>
    <w:rsid w:val="00FA2861"/>
    <w:rsid w:val="00FA2B05"/>
    <w:rsid w:val="00FA3A38"/>
    <w:rsid w:val="00FA3B2E"/>
    <w:rsid w:val="00FA4BED"/>
    <w:rsid w:val="00FA6369"/>
    <w:rsid w:val="00FA73DB"/>
    <w:rsid w:val="00FB1505"/>
    <w:rsid w:val="00FB5A87"/>
    <w:rsid w:val="00FB6089"/>
    <w:rsid w:val="00FC0284"/>
    <w:rsid w:val="00FC0777"/>
    <w:rsid w:val="00FC269A"/>
    <w:rsid w:val="00FC2B2B"/>
    <w:rsid w:val="00FC3136"/>
    <w:rsid w:val="00FC77C8"/>
    <w:rsid w:val="00FD09B2"/>
    <w:rsid w:val="00FD30A6"/>
    <w:rsid w:val="00FD3D01"/>
    <w:rsid w:val="00FD4BD3"/>
    <w:rsid w:val="00FD5B59"/>
    <w:rsid w:val="00FD6D18"/>
    <w:rsid w:val="00FD7A00"/>
    <w:rsid w:val="00FE1144"/>
    <w:rsid w:val="00FE30A2"/>
    <w:rsid w:val="00FE33C9"/>
    <w:rsid w:val="00FE35B2"/>
    <w:rsid w:val="00FE45C2"/>
    <w:rsid w:val="00FE659B"/>
    <w:rsid w:val="00FE7E74"/>
    <w:rsid w:val="00FF0F9C"/>
    <w:rsid w:val="00FF1464"/>
    <w:rsid w:val="00FF2717"/>
    <w:rsid w:val="00FF4E89"/>
    <w:rsid w:val="00FF5DE7"/>
    <w:rsid w:val="00FF7677"/>
    <w:rsid w:val="00FF7F3C"/>
    <w:rsid w:val="01908AE1"/>
    <w:rsid w:val="01A7E510"/>
    <w:rsid w:val="0339E628"/>
    <w:rsid w:val="03ACCA00"/>
    <w:rsid w:val="0422D47C"/>
    <w:rsid w:val="05CA43C5"/>
    <w:rsid w:val="05EC6408"/>
    <w:rsid w:val="067186EA"/>
    <w:rsid w:val="078A4F5A"/>
    <w:rsid w:val="07D9695D"/>
    <w:rsid w:val="07DE2BDF"/>
    <w:rsid w:val="0822A135"/>
    <w:rsid w:val="08DD9D7D"/>
    <w:rsid w:val="08FBDB36"/>
    <w:rsid w:val="0AC1F01C"/>
    <w:rsid w:val="0C7C0B2A"/>
    <w:rsid w:val="0CBABA5B"/>
    <w:rsid w:val="0CE2F9F8"/>
    <w:rsid w:val="0D81FC82"/>
    <w:rsid w:val="0D962BD5"/>
    <w:rsid w:val="0DAC5BB0"/>
    <w:rsid w:val="0F5DBABA"/>
    <w:rsid w:val="104DBF5A"/>
    <w:rsid w:val="10FB7008"/>
    <w:rsid w:val="11821886"/>
    <w:rsid w:val="120DCFEE"/>
    <w:rsid w:val="127479B8"/>
    <w:rsid w:val="12801E87"/>
    <w:rsid w:val="12C9B788"/>
    <w:rsid w:val="131FC2F7"/>
    <w:rsid w:val="137CFCF5"/>
    <w:rsid w:val="13E5AA77"/>
    <w:rsid w:val="13F9497A"/>
    <w:rsid w:val="1433936C"/>
    <w:rsid w:val="14EAC06E"/>
    <w:rsid w:val="1503D6C0"/>
    <w:rsid w:val="158F5BB0"/>
    <w:rsid w:val="169A4C9B"/>
    <w:rsid w:val="175E49DA"/>
    <w:rsid w:val="17693294"/>
    <w:rsid w:val="17DC1791"/>
    <w:rsid w:val="185C5E0F"/>
    <w:rsid w:val="18D23D7F"/>
    <w:rsid w:val="1988A17C"/>
    <w:rsid w:val="1BEC9533"/>
    <w:rsid w:val="1C263BDF"/>
    <w:rsid w:val="1C45E296"/>
    <w:rsid w:val="1C9725DA"/>
    <w:rsid w:val="1D89785A"/>
    <w:rsid w:val="1DFB7A67"/>
    <w:rsid w:val="1F614DD2"/>
    <w:rsid w:val="1FEDB971"/>
    <w:rsid w:val="2049B0C8"/>
    <w:rsid w:val="21B92284"/>
    <w:rsid w:val="2336739C"/>
    <w:rsid w:val="24AB3466"/>
    <w:rsid w:val="26644962"/>
    <w:rsid w:val="26D42894"/>
    <w:rsid w:val="27921DF5"/>
    <w:rsid w:val="27997EF7"/>
    <w:rsid w:val="2AB3621D"/>
    <w:rsid w:val="2AB4AEB8"/>
    <w:rsid w:val="2AE2CC86"/>
    <w:rsid w:val="2B0B6D16"/>
    <w:rsid w:val="2C3AABB7"/>
    <w:rsid w:val="2DD04AC8"/>
    <w:rsid w:val="2E0C0E48"/>
    <w:rsid w:val="308734FF"/>
    <w:rsid w:val="31265B48"/>
    <w:rsid w:val="322650A5"/>
    <w:rsid w:val="328F1B53"/>
    <w:rsid w:val="32AAAB2D"/>
    <w:rsid w:val="34552B28"/>
    <w:rsid w:val="3474238C"/>
    <w:rsid w:val="350ED496"/>
    <w:rsid w:val="354C27F3"/>
    <w:rsid w:val="355AA622"/>
    <w:rsid w:val="35FAAA03"/>
    <w:rsid w:val="394794AF"/>
    <w:rsid w:val="3A63E10E"/>
    <w:rsid w:val="3BB7648D"/>
    <w:rsid w:val="3BD64497"/>
    <w:rsid w:val="3CB05E50"/>
    <w:rsid w:val="3DFE07AE"/>
    <w:rsid w:val="3E01DD75"/>
    <w:rsid w:val="40083DE0"/>
    <w:rsid w:val="40C9275B"/>
    <w:rsid w:val="4196F307"/>
    <w:rsid w:val="41CC953F"/>
    <w:rsid w:val="421BF90B"/>
    <w:rsid w:val="425CE2B5"/>
    <w:rsid w:val="42603279"/>
    <w:rsid w:val="42D54E98"/>
    <w:rsid w:val="43D76F0A"/>
    <w:rsid w:val="43DB9EAB"/>
    <w:rsid w:val="43E2F05B"/>
    <w:rsid w:val="443BA7EE"/>
    <w:rsid w:val="445BA12C"/>
    <w:rsid w:val="44681F2E"/>
    <w:rsid w:val="44BEA3E9"/>
    <w:rsid w:val="4729E25B"/>
    <w:rsid w:val="49070AEB"/>
    <w:rsid w:val="491101C2"/>
    <w:rsid w:val="4A421ACA"/>
    <w:rsid w:val="4B170267"/>
    <w:rsid w:val="4B55F7CA"/>
    <w:rsid w:val="4BD297CC"/>
    <w:rsid w:val="4C38CE81"/>
    <w:rsid w:val="4CCD988B"/>
    <w:rsid w:val="4F9F2245"/>
    <w:rsid w:val="50A81907"/>
    <w:rsid w:val="5141BE8A"/>
    <w:rsid w:val="51703B84"/>
    <w:rsid w:val="52927572"/>
    <w:rsid w:val="53C14E6C"/>
    <w:rsid w:val="5500FE88"/>
    <w:rsid w:val="55A9467B"/>
    <w:rsid w:val="55AC5588"/>
    <w:rsid w:val="55B261F6"/>
    <w:rsid w:val="562AF63B"/>
    <w:rsid w:val="56AAAF96"/>
    <w:rsid w:val="56D2E545"/>
    <w:rsid w:val="572E7F30"/>
    <w:rsid w:val="5731DDF6"/>
    <w:rsid w:val="57679E7F"/>
    <w:rsid w:val="58E01C6B"/>
    <w:rsid w:val="59D06148"/>
    <w:rsid w:val="59E02364"/>
    <w:rsid w:val="5A191745"/>
    <w:rsid w:val="5A4BA5C7"/>
    <w:rsid w:val="5B5FB64E"/>
    <w:rsid w:val="5B95B935"/>
    <w:rsid w:val="5C67BD59"/>
    <w:rsid w:val="5CE5C4E2"/>
    <w:rsid w:val="5CFBA905"/>
    <w:rsid w:val="5E50718D"/>
    <w:rsid w:val="5ECA84BE"/>
    <w:rsid w:val="5FE373A5"/>
    <w:rsid w:val="6080A069"/>
    <w:rsid w:val="60A864DD"/>
    <w:rsid w:val="61501DB5"/>
    <w:rsid w:val="61FC405A"/>
    <w:rsid w:val="62EE4BF6"/>
    <w:rsid w:val="6321CEC2"/>
    <w:rsid w:val="634F0590"/>
    <w:rsid w:val="635B82D7"/>
    <w:rsid w:val="6360D639"/>
    <w:rsid w:val="659AA8CA"/>
    <w:rsid w:val="66228C3E"/>
    <w:rsid w:val="66BA8DAE"/>
    <w:rsid w:val="686544A2"/>
    <w:rsid w:val="68F34C41"/>
    <w:rsid w:val="6905ABD3"/>
    <w:rsid w:val="6AEAF8B3"/>
    <w:rsid w:val="6BABE128"/>
    <w:rsid w:val="6BB736B2"/>
    <w:rsid w:val="6BD6645B"/>
    <w:rsid w:val="6C217B30"/>
    <w:rsid w:val="6DB58333"/>
    <w:rsid w:val="6DDE8420"/>
    <w:rsid w:val="6EC21591"/>
    <w:rsid w:val="6F876F7B"/>
    <w:rsid w:val="6FD429D9"/>
    <w:rsid w:val="71A1CDF7"/>
    <w:rsid w:val="71D3C065"/>
    <w:rsid w:val="72503F8A"/>
    <w:rsid w:val="7263E2D9"/>
    <w:rsid w:val="73599364"/>
    <w:rsid w:val="7370D8A8"/>
    <w:rsid w:val="74A5818E"/>
    <w:rsid w:val="760DA715"/>
    <w:rsid w:val="77513626"/>
    <w:rsid w:val="775475F9"/>
    <w:rsid w:val="787C6D61"/>
    <w:rsid w:val="7A85F70A"/>
    <w:rsid w:val="7AB9B486"/>
    <w:rsid w:val="7AEB9C2F"/>
    <w:rsid w:val="7B660BE8"/>
    <w:rsid w:val="7B6EB588"/>
    <w:rsid w:val="7CE199CC"/>
    <w:rsid w:val="7D526384"/>
    <w:rsid w:val="7DC3F31F"/>
    <w:rsid w:val="7DF3237D"/>
    <w:rsid w:val="7E667504"/>
    <w:rsid w:val="7F0350D8"/>
    <w:rsid w:val="7F700E14"/>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3B1A0204-FD55-4C8A-A76E-6609A01A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unhideWhenUsed/>
    <w:qFormat/>
    <w:rsid w:val="001A3FB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4Char">
    <w:name w:val="Heading 4 Char"/>
    <w:basedOn w:val="DefaultParagraphFont"/>
    <w:link w:val="Heading4"/>
    <w:uiPriority w:val="9"/>
    <w:rsid w:val="001A3FB1"/>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EB4866"/>
    <w:rPr>
      <w:color w:val="605E5C"/>
      <w:shd w:val="clear" w:color="auto" w:fill="E1DFDD"/>
    </w:rPr>
  </w:style>
  <w:style w:type="character" w:customStyle="1" w:styleId="normaltextrun">
    <w:name w:val="normaltextrun"/>
    <w:basedOn w:val="DefaultParagraphFont"/>
    <w:rsid w:val="0091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acmonegle@rti.org" TargetMode="External" /><Relationship Id="rId11" Type="http://schemas.openxmlformats.org/officeDocument/2006/relationships/hyperlink" Target="mailto:jnonnemaker@rti.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bra.Mekos@fda.hhs.gov" TargetMode="External" /><Relationship Id="rId9" Type="http://schemas.openxmlformats.org/officeDocument/2006/relationships/hyperlink" Target="mailto:lindsay.pitz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DF18CBACF8F44BB362A70CED92359" ma:contentTypeVersion="8" ma:contentTypeDescription="Create a new document." ma:contentTypeScope="" ma:versionID="45de788515dde770e74ef39cebd96aba">
  <xsd:schema xmlns:xsd="http://www.w3.org/2001/XMLSchema" xmlns:xs="http://www.w3.org/2001/XMLSchema" xmlns:p="http://schemas.microsoft.com/office/2006/metadata/properties" xmlns:ns2="9206978e-b6fc-4785-87fe-3ce6cebe4288" xmlns:ns3="35db9192-74ff-4a9a-9ebb-ed1d85996c3d" targetNamespace="http://schemas.microsoft.com/office/2006/metadata/properties" ma:root="true" ma:fieldsID="2aee7c0310e4c5b499918c24a2803756" ns2:_="" ns3:_="">
    <xsd:import namespace="9206978e-b6fc-4785-87fe-3ce6cebe4288"/>
    <xsd:import namespace="35db9192-74ff-4a9a-9ebb-ed1d85996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6978e-b6fc-4785-87fe-3ce6cebe4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b9192-74ff-4a9a-9ebb-ed1d85996c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5C18-4F26-4735-B9E1-58860073B2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6B6B1-2DA4-46BC-9BFC-C51F4DC1FFA9}">
  <ds:schemaRefs>
    <ds:schemaRef ds:uri="http://schemas.microsoft.com/sharepoint/v3/contenttype/forms"/>
  </ds:schemaRefs>
</ds:datastoreItem>
</file>

<file path=customXml/itemProps3.xml><?xml version="1.0" encoding="utf-8"?>
<ds:datastoreItem xmlns:ds="http://schemas.openxmlformats.org/officeDocument/2006/customXml" ds:itemID="{B6C4A98C-0CFE-45EE-ADD9-631E7DF72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6978e-b6fc-4785-87fe-3ce6cebe4288"/>
    <ds:schemaRef ds:uri="35db9192-74ff-4a9a-9ebb-ed1d85996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4422</Words>
  <Characters>25212</Characters>
  <Application>Microsoft Office Word</Application>
  <DocSecurity>0</DocSecurity>
  <Lines>210</Lines>
  <Paragraphs>59</Paragraphs>
  <ScaleCrop>false</ScaleCrop>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MacMonegle (She/Her), Anna</dc:creator>
  <cp:lastModifiedBy>Agency PRA</cp:lastModifiedBy>
  <cp:revision>2</cp:revision>
  <dcterms:created xsi:type="dcterms:W3CDTF">2023-05-30T16:57:00Z</dcterms:created>
  <dcterms:modified xsi:type="dcterms:W3CDTF">2023-05-30T16:57:00Z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0x0101003C2DF18CBACF8F44BB362A70CED92359</vt:lpwstr>
  </property>
  <property fmtid="{D5CDD505-2E9C-101B-9397-08002B2CF9AE}" pid="4" name="MediaServiceImageTags">
    <vt:lpwstr/>
  </property>
  <property fmtid="{D5CDD505-2E9C-101B-9397-08002B2CF9AE}" pid="5" name="Order">
    <vt:r8>940400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