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3B1F" w:rsidRPr="00775F83" w:rsidP="00AC38E6" w14:paraId="2CE70BFE" w14:textId="1E9FCADC">
      <w:pPr>
        <w:pStyle w:val="BodyText"/>
        <w:contextualSpacing/>
        <w:jc w:val="center"/>
        <w:rPr>
          <w:b/>
          <w:bCs/>
          <w:sz w:val="24"/>
          <w:szCs w:val="24"/>
        </w:rPr>
      </w:pPr>
      <w:r w:rsidRPr="00775F83">
        <w:rPr>
          <w:b/>
          <w:bCs/>
          <w:sz w:val="24"/>
          <w:szCs w:val="24"/>
        </w:rPr>
        <w:t xml:space="preserve">Provider Relief Fund </w:t>
      </w:r>
      <w:r w:rsidRPr="00775F83" w:rsidR="00440C25">
        <w:rPr>
          <w:b/>
          <w:bCs/>
          <w:sz w:val="24"/>
          <w:szCs w:val="24"/>
        </w:rPr>
        <w:t>Distribution</w:t>
      </w:r>
      <w:r w:rsidRPr="00775F83" w:rsidR="00E54BA8">
        <w:rPr>
          <w:b/>
          <w:bCs/>
          <w:sz w:val="24"/>
          <w:szCs w:val="24"/>
        </w:rPr>
        <w:t>s</w:t>
      </w:r>
      <w:r w:rsidRPr="00775F83">
        <w:rPr>
          <w:b/>
          <w:bCs/>
          <w:sz w:val="24"/>
          <w:szCs w:val="24"/>
        </w:rPr>
        <w:t xml:space="preserve"> and </w:t>
      </w:r>
      <w:r w:rsidRPr="00775F83" w:rsidR="00986AC2">
        <w:rPr>
          <w:b/>
          <w:bCs/>
          <w:sz w:val="24"/>
          <w:szCs w:val="24"/>
        </w:rPr>
        <w:t>American Rescue Plan Rural</w:t>
      </w:r>
      <w:r w:rsidRPr="00775F83">
        <w:rPr>
          <w:b/>
          <w:bCs/>
          <w:sz w:val="24"/>
          <w:szCs w:val="24"/>
        </w:rPr>
        <w:t xml:space="preserve"> Distribution</w:t>
      </w:r>
    </w:p>
    <w:p w:rsidR="00743B1F" w:rsidRPr="00775F83" w:rsidP="00AC38E6" w14:paraId="36C3E90A" w14:textId="77777777">
      <w:pPr>
        <w:pStyle w:val="BodyText"/>
        <w:contextualSpacing/>
        <w:jc w:val="center"/>
        <w:rPr>
          <w:b/>
          <w:sz w:val="24"/>
          <w:szCs w:val="24"/>
        </w:rPr>
      </w:pPr>
    </w:p>
    <w:p w:rsidR="004057EF" w:rsidRPr="00775F83" w:rsidP="00AC38E6" w14:paraId="507AA6BF" w14:textId="25230AB8">
      <w:pPr>
        <w:pStyle w:val="BodyText"/>
        <w:contextualSpacing/>
        <w:jc w:val="center"/>
        <w:rPr>
          <w:b/>
          <w:bCs/>
          <w:sz w:val="24"/>
          <w:szCs w:val="24"/>
        </w:rPr>
      </w:pPr>
      <w:r w:rsidRPr="00775F83">
        <w:rPr>
          <w:b/>
          <w:bCs/>
          <w:sz w:val="24"/>
          <w:szCs w:val="24"/>
        </w:rPr>
        <w:t>Post-Payment</w:t>
      </w:r>
      <w:r w:rsidRPr="00775F83">
        <w:rPr>
          <w:b/>
          <w:sz w:val="24"/>
          <w:szCs w:val="24"/>
        </w:rPr>
        <w:t xml:space="preserve"> </w:t>
      </w:r>
      <w:r w:rsidRPr="00775F83">
        <w:rPr>
          <w:b/>
          <w:bCs/>
          <w:sz w:val="24"/>
          <w:szCs w:val="24"/>
        </w:rPr>
        <w:t>Notice</w:t>
      </w:r>
      <w:r w:rsidRPr="00775F83">
        <w:rPr>
          <w:b/>
          <w:sz w:val="24"/>
          <w:szCs w:val="24"/>
        </w:rPr>
        <w:t xml:space="preserve"> </w:t>
      </w:r>
      <w:r w:rsidRPr="00775F83">
        <w:rPr>
          <w:b/>
          <w:bCs/>
          <w:sz w:val="24"/>
          <w:szCs w:val="24"/>
        </w:rPr>
        <w:t>of</w:t>
      </w:r>
      <w:r w:rsidRPr="00775F83">
        <w:rPr>
          <w:b/>
          <w:sz w:val="24"/>
          <w:szCs w:val="24"/>
        </w:rPr>
        <w:t xml:space="preserve"> </w:t>
      </w:r>
      <w:r w:rsidRPr="00775F83">
        <w:rPr>
          <w:b/>
          <w:bCs/>
          <w:sz w:val="24"/>
          <w:szCs w:val="24"/>
        </w:rPr>
        <w:t>Reporting</w:t>
      </w:r>
      <w:r w:rsidRPr="00775F83">
        <w:rPr>
          <w:b/>
          <w:sz w:val="24"/>
          <w:szCs w:val="24"/>
        </w:rPr>
        <w:t xml:space="preserve"> </w:t>
      </w:r>
      <w:r w:rsidRPr="00775F83">
        <w:rPr>
          <w:b/>
          <w:bCs/>
          <w:sz w:val="24"/>
          <w:szCs w:val="24"/>
        </w:rPr>
        <w:t>Requirements</w:t>
      </w:r>
    </w:p>
    <w:p w:rsidR="00743B1F" w:rsidRPr="00775F83" w:rsidP="00AC38E6" w14:paraId="14D00658" w14:textId="77777777">
      <w:pPr>
        <w:pStyle w:val="BodyText"/>
        <w:ind w:left="180"/>
        <w:contextualSpacing/>
        <w:jc w:val="center"/>
        <w:rPr>
          <w:b/>
          <w:sz w:val="24"/>
          <w:szCs w:val="24"/>
        </w:rPr>
      </w:pPr>
    </w:p>
    <w:p w:rsidR="0007117F" w:rsidRPr="00775F83" w:rsidP="005F45A1" w14:paraId="5DAE6B42" w14:textId="7B0BA364">
      <w:pPr>
        <w:pStyle w:val="BodyText"/>
        <w:ind w:left="2880" w:firstLine="720"/>
        <w:contextualSpacing/>
        <w:rPr>
          <w:b/>
          <w:bCs/>
          <w:sz w:val="24"/>
          <w:szCs w:val="24"/>
        </w:rPr>
      </w:pPr>
      <w:r>
        <w:rPr>
          <w:b/>
          <w:bCs/>
          <w:sz w:val="24"/>
          <w:szCs w:val="24"/>
        </w:rPr>
        <w:t>April 7,</w:t>
      </w:r>
      <w:r w:rsidRPr="00775F83" w:rsidR="00AD4CAA">
        <w:rPr>
          <w:b/>
          <w:bCs/>
          <w:sz w:val="24"/>
          <w:szCs w:val="24"/>
        </w:rPr>
        <w:t xml:space="preserve"> 2023 </w:t>
      </w:r>
    </w:p>
    <w:p w:rsidR="004057EF" w:rsidRPr="00775F83" w:rsidP="00075773" w14:paraId="507AA6C1" w14:textId="77777777">
      <w:pPr>
        <w:pStyle w:val="BodyText"/>
        <w:contextualSpacing/>
        <w:rPr>
          <w:b/>
        </w:rPr>
      </w:pPr>
    </w:p>
    <w:p w:rsidR="00F2440B" w:rsidRPr="00775F83" w:rsidP="00997E9F" w14:paraId="302B1D66" w14:textId="2660BAAD">
      <w:pPr>
        <w:pStyle w:val="Heading1"/>
        <w:ind w:left="0"/>
      </w:pPr>
      <w:bookmarkStart w:id="0" w:name="Purpose"/>
      <w:bookmarkEnd w:id="0"/>
      <w:r w:rsidRPr="00775F83">
        <w:t>Purpose</w:t>
      </w:r>
    </w:p>
    <w:p w:rsidR="00734679" w:rsidRPr="00775F83" w:rsidP="00075773" w14:paraId="237A2BDC" w14:textId="77777777">
      <w:pPr>
        <w:contextualSpacing/>
      </w:pPr>
    </w:p>
    <w:p w:rsidR="002D0A2C" w:rsidRPr="00775F83" w:rsidP="002D0A2C" w14:paraId="3249FA94" w14:textId="00877CA3">
      <w:r w:rsidRPr="00775F83">
        <w:t xml:space="preserve">The purpose of this Notice is to inform the Health Resources and Services Administration (HRSA) Provider Relief Fund (PRF) </w:t>
      </w:r>
      <w:r w:rsidRPr="00775F83" w:rsidR="00356750">
        <w:t>and American Rescue Plan (ARP) Rural</w:t>
      </w:r>
      <w:r w:rsidRPr="00775F83">
        <w:t xml:space="preserve"> recipients of the data elements that they are required to report as part of the post-</w:t>
      </w:r>
      <w:r w:rsidRPr="00775F83" w:rsidR="007F3E6C">
        <w:t>payment reporting</w:t>
      </w:r>
      <w:r w:rsidRPr="00775F83">
        <w:t xml:space="preserve"> process. </w:t>
      </w:r>
      <w:bookmarkStart w:id="1" w:name="_Hlk114650400"/>
      <w:r w:rsidRPr="00775F83" w:rsidR="00D34B1F">
        <w:t xml:space="preserve"> </w:t>
      </w:r>
      <w:bookmarkEnd w:id="1"/>
      <w:r w:rsidRPr="00775F83" w:rsidR="0078011A">
        <w:t xml:space="preserve">This Notice supersedes the Post-Payment Notice of Reporting Requirements released on </w:t>
      </w:r>
      <w:r w:rsidRPr="00775F83" w:rsidR="00F93427">
        <w:t>October 27, 2022</w:t>
      </w:r>
      <w:r w:rsidRPr="00775F83" w:rsidR="0078011A">
        <w:t xml:space="preserve">.  </w:t>
      </w:r>
      <w:r w:rsidRPr="00775F83" w:rsidR="00244D96">
        <w:t xml:space="preserve">Specifically, the reporting requirements are updated to include Period 8 (i.e., payment received period from July 1, 2023, to December 31, 2023) and Period 9 (i.e., payment received period from January 1, 2024, to June 30, 2024), as well as updating the associated Periods of Availability of Funds and Reporting Time Periods for Periods 8 and 9. </w:t>
      </w:r>
      <w:r w:rsidRPr="00775F83" w:rsidR="00A670F3">
        <w:t xml:space="preserve"> </w:t>
      </w:r>
      <w:r w:rsidRPr="00775F83" w:rsidR="0045330E">
        <w:t xml:space="preserve">It also includes </w:t>
      </w:r>
      <w:r w:rsidRPr="00775F83" w:rsidR="00962356">
        <w:t>clarifying</w:t>
      </w:r>
      <w:r w:rsidRPr="00775F83" w:rsidR="0045330E">
        <w:t xml:space="preserve"> </w:t>
      </w:r>
      <w:r w:rsidRPr="00775F83" w:rsidR="00020AE6">
        <w:t>information</w:t>
      </w:r>
      <w:r w:rsidRPr="00775F83" w:rsidR="0045330E">
        <w:t xml:space="preserve"> regarding </w:t>
      </w:r>
      <w:r w:rsidRPr="00775F83" w:rsidR="00BD32E9">
        <w:t xml:space="preserve">the use of PRF and ARP Rural payments for lost revenues </w:t>
      </w:r>
      <w:r w:rsidRPr="00775F83" w:rsidR="00E5062E">
        <w:t>after</w:t>
      </w:r>
      <w:r w:rsidRPr="00775F83" w:rsidR="00583B8D">
        <w:t xml:space="preserve"> the </w:t>
      </w:r>
      <w:r w:rsidRPr="00775F83" w:rsidR="00BD32E9">
        <w:t>COVID-19 Public Health Emergency</w:t>
      </w:r>
      <w:r w:rsidRPr="00775F83" w:rsidR="00583B8D">
        <w:t xml:space="preserve"> ends</w:t>
      </w:r>
      <w:r w:rsidRPr="00775F83" w:rsidR="00BD32E9">
        <w:t>.</w:t>
      </w:r>
      <w:r w:rsidRPr="00775F83" w:rsidR="009471F9">
        <w:t xml:space="preserve"> </w:t>
      </w:r>
      <w:r w:rsidRPr="00775F83" w:rsidR="00A471E7">
        <w:t xml:space="preserve"> </w:t>
      </w:r>
      <w:r w:rsidRPr="00775F83" w:rsidR="00556850">
        <w:t>The COVID-19 Public Health Emergency will end on May 11, 2023.</w:t>
      </w:r>
      <w:r>
        <w:rPr>
          <w:rStyle w:val="FootnoteReference"/>
        </w:rPr>
        <w:footnoteReference w:id="3"/>
      </w:r>
      <w:r w:rsidRPr="00775F83" w:rsidR="00556850">
        <w:t xml:space="preserve"> </w:t>
      </w:r>
    </w:p>
    <w:p w:rsidR="00583B8D" w:rsidRPr="00775F83" w:rsidP="00997E9F" w14:paraId="60DAC68B" w14:textId="77777777">
      <w:pPr>
        <w:contextualSpacing/>
      </w:pPr>
    </w:p>
    <w:p w:rsidR="008A35D4" w:rsidRPr="00775F83" w:rsidP="00997E9F" w14:paraId="08D07092" w14:textId="4B8C5734">
      <w:pPr>
        <w:contextualSpacing/>
      </w:pPr>
      <w:r w:rsidRPr="00775F83">
        <w:t>Recipients who received</w:t>
      </w:r>
      <w:r w:rsidR="00F738FD">
        <w:t xml:space="preserve"> and retained</w:t>
      </w:r>
      <w:r w:rsidRPr="00775F83">
        <w:t xml:space="preserve"> one or more </w:t>
      </w:r>
      <w:r w:rsidRPr="00775F83" w:rsidR="00767A96">
        <w:t>General</w:t>
      </w:r>
      <w:r w:rsidRPr="00775F83" w:rsidR="00440C25">
        <w:t xml:space="preserve"> and </w:t>
      </w:r>
      <w:r w:rsidRPr="00775F83" w:rsidR="00767A96">
        <w:t>Targeted</w:t>
      </w:r>
      <w:r w:rsidRPr="00775F83" w:rsidR="00440C25">
        <w:t xml:space="preserve"> Distributions</w:t>
      </w:r>
      <w:r w:rsidRPr="00775F83" w:rsidR="00767A96">
        <w:t xml:space="preserve"> and</w:t>
      </w:r>
      <w:r w:rsidRPr="00775F83" w:rsidR="00BD5F34">
        <w:t>/or</w:t>
      </w:r>
      <w:r w:rsidRPr="00775F83" w:rsidR="00767A96">
        <w:t xml:space="preserve"> ARP Rural</w:t>
      </w:r>
      <w:r w:rsidRPr="00775F83" w:rsidR="005620BE">
        <w:t xml:space="preserve"> Distribution</w:t>
      </w:r>
      <w:r w:rsidRPr="00775F83">
        <w:t xml:space="preserve"> payments exceeding $10,000 in the aggregate during a </w:t>
      </w:r>
      <w:hyperlink w:anchor="_bookmark3" w:history="1">
        <w:r w:rsidRPr="00775F83">
          <w:rPr>
            <w:color w:val="0000FF"/>
            <w:u w:val="single" w:color="0000FF"/>
          </w:rPr>
          <w:t>Payment Received Period</w:t>
        </w:r>
        <w:r w:rsidRPr="00775F83">
          <w:rPr>
            <w:color w:val="0000FF"/>
          </w:rPr>
          <w:t xml:space="preserve"> </w:t>
        </w:r>
      </w:hyperlink>
      <w:r w:rsidRPr="00775F83">
        <w:t xml:space="preserve">are required to report in each applicable </w:t>
      </w:r>
      <w:hyperlink w:anchor="_Reporting_Time_Periods" w:history="1">
        <w:r w:rsidRPr="00775F83">
          <w:rPr>
            <w:color w:val="0000FF"/>
            <w:u w:val="single" w:color="0000FF"/>
          </w:rPr>
          <w:t>Reporting Time Period</w:t>
        </w:r>
      </w:hyperlink>
      <w:r w:rsidRPr="00775F83">
        <w:t xml:space="preserve">. </w:t>
      </w:r>
      <w:r w:rsidRPr="00775F83" w:rsidR="0010102D">
        <w:t xml:space="preserve"> </w:t>
      </w:r>
      <w:r w:rsidRPr="00775F83">
        <w:t>The reporting requirements outlined in this Notice apply to all past and future PRF</w:t>
      </w:r>
      <w:r w:rsidRPr="00775F83" w:rsidR="00B9192D">
        <w:t xml:space="preserve"> and ARP Rural</w:t>
      </w:r>
      <w:r w:rsidRPr="00775F83">
        <w:t xml:space="preserve"> payments made under the </w:t>
      </w:r>
      <w:r w:rsidRPr="00775F83">
        <w:rPr>
          <w:spacing w:val="-1"/>
        </w:rPr>
        <w:t>legal</w:t>
      </w:r>
      <w:r w:rsidRPr="00775F83">
        <w:t xml:space="preserve"> </w:t>
      </w:r>
      <w:r w:rsidRPr="00775F83">
        <w:rPr>
          <w:spacing w:val="-1"/>
        </w:rPr>
        <w:t>authorities</w:t>
      </w:r>
      <w:r w:rsidRPr="00775F83">
        <w:t xml:space="preserve"> </w:t>
      </w:r>
      <w:r w:rsidRPr="00775F83">
        <w:rPr>
          <w:spacing w:val="-1"/>
        </w:rPr>
        <w:t>outlined</w:t>
      </w:r>
      <w:r w:rsidRPr="00775F83">
        <w:t xml:space="preserve"> </w:t>
      </w:r>
      <w:r w:rsidRPr="00775F83">
        <w:rPr>
          <w:spacing w:val="-1"/>
        </w:rPr>
        <w:t>in</w:t>
      </w:r>
      <w:r w:rsidRPr="00775F83">
        <w:t xml:space="preserve"> </w:t>
      </w:r>
      <w:r w:rsidRPr="00775F83">
        <w:rPr>
          <w:spacing w:val="-1"/>
        </w:rPr>
        <w:t>the</w:t>
      </w:r>
      <w:r w:rsidRPr="00775F83">
        <w:t xml:space="preserve"> </w:t>
      </w:r>
      <w:r w:rsidRPr="00775F83">
        <w:rPr>
          <w:spacing w:val="-1"/>
        </w:rPr>
        <w:t>section</w:t>
      </w:r>
      <w:r w:rsidRPr="00775F83">
        <w:t xml:space="preserve"> </w:t>
      </w:r>
      <w:hyperlink w:anchor="_Overview_of_Legal" w:history="1">
        <w:r w:rsidRPr="00775F83">
          <w:rPr>
            <w:color w:val="0000FF"/>
            <w:spacing w:val="-1"/>
            <w:u w:val="single" w:color="0000FF"/>
          </w:rPr>
          <w:t>Overview</w:t>
        </w:r>
        <w:r w:rsidRPr="00775F83">
          <w:rPr>
            <w:color w:val="0000FF"/>
            <w:spacing w:val="7"/>
            <w:u w:val="single" w:color="0000FF"/>
          </w:rPr>
          <w:t xml:space="preserve"> </w:t>
        </w:r>
        <w:r w:rsidRPr="00775F83">
          <w:rPr>
            <w:color w:val="0000FF"/>
            <w:spacing w:val="-1"/>
            <w:u w:val="single" w:color="0000FF"/>
          </w:rPr>
          <w:t>of</w:t>
        </w:r>
        <w:r w:rsidRPr="00775F83">
          <w:rPr>
            <w:color w:val="0000FF"/>
            <w:spacing w:val="-2"/>
            <w:u w:val="single" w:color="0000FF"/>
          </w:rPr>
          <w:t xml:space="preserve"> </w:t>
        </w:r>
        <w:r w:rsidRPr="00775F83">
          <w:rPr>
            <w:color w:val="0000FF"/>
            <w:spacing w:val="-1"/>
            <w:u w:val="single" w:color="0000FF"/>
          </w:rPr>
          <w:t>Legal</w:t>
        </w:r>
        <w:r w:rsidRPr="00775F83">
          <w:rPr>
            <w:color w:val="0000FF"/>
            <w:spacing w:val="-22"/>
            <w:u w:val="single" w:color="0000FF"/>
          </w:rPr>
          <w:t xml:space="preserve"> </w:t>
        </w:r>
        <w:r w:rsidRPr="00775F83">
          <w:rPr>
            <w:color w:val="0000FF"/>
            <w:u w:val="single" w:color="0000FF"/>
          </w:rPr>
          <w:t>Requirements</w:t>
        </w:r>
        <w:r w:rsidRPr="00775F83">
          <w:rPr>
            <w:color w:val="0000FF"/>
            <w:spacing w:val="1"/>
            <w:u w:val="single" w:color="0000FF"/>
          </w:rPr>
          <w:t xml:space="preserve"> </w:t>
        </w:r>
        <w:r w:rsidRPr="00775F83">
          <w:rPr>
            <w:color w:val="0000FF"/>
            <w:u w:val="single" w:color="0000FF"/>
          </w:rPr>
          <w:t>for</w:t>
        </w:r>
        <w:r w:rsidRPr="00775F83">
          <w:rPr>
            <w:color w:val="0000FF"/>
            <w:spacing w:val="-1"/>
            <w:u w:val="single" w:color="0000FF"/>
          </w:rPr>
          <w:t xml:space="preserve"> </w:t>
        </w:r>
        <w:r w:rsidRPr="00775F83">
          <w:rPr>
            <w:color w:val="0000FF"/>
            <w:u w:val="single" w:color="0000FF"/>
          </w:rPr>
          <w:t>Reporting</w:t>
        </w:r>
      </w:hyperlink>
      <w:r w:rsidRPr="00775F83">
        <w:t>.</w:t>
      </w:r>
    </w:p>
    <w:p w:rsidR="003D6620" w:rsidRPr="00775F83" w:rsidP="00997E9F" w14:paraId="523AFCE1" w14:textId="4E5AC50A">
      <w:pPr>
        <w:contextualSpacing/>
      </w:pPr>
    </w:p>
    <w:p w:rsidR="0053057A" w:rsidRPr="00834CC3" w:rsidP="00C13986" w14:paraId="5A86FA9C" w14:textId="77777777">
      <w:pPr>
        <w:contextualSpacing/>
      </w:pPr>
      <w:r w:rsidRPr="00775F83">
        <w:t xml:space="preserve">These reporting requirements apply to </w:t>
      </w:r>
      <w:r w:rsidRPr="00775F83" w:rsidR="008342C0">
        <w:t>the following</w:t>
      </w:r>
      <w:r w:rsidRPr="00775F83" w:rsidR="00FC7829">
        <w:t xml:space="preserve"> distributions</w:t>
      </w:r>
      <w:r w:rsidRPr="00775F83" w:rsidR="008342C0">
        <w:t>:</w:t>
      </w:r>
      <w:r w:rsidRPr="00775F83" w:rsidR="002F5FC7">
        <w:t xml:space="preserve"> </w:t>
      </w:r>
      <w:r w:rsidRPr="00775F83" w:rsidR="00D34B1F">
        <w:t xml:space="preserve"> </w:t>
      </w:r>
    </w:p>
    <w:p w:rsidR="008342C0" w:rsidRPr="00775F83" w:rsidP="00997E9F" w14:paraId="06F28006" w14:textId="3B40E45B">
      <w:pPr>
        <w:pStyle w:val="ListParagraph"/>
        <w:numPr>
          <w:ilvl w:val="0"/>
          <w:numId w:val="22"/>
        </w:numPr>
        <w:ind w:left="720"/>
        <w:contextualSpacing/>
        <w:rPr>
          <w:rStyle w:val="CommentReference"/>
        </w:rPr>
      </w:pPr>
      <w:r w:rsidRPr="00775F83">
        <w:t>PRF General</w:t>
      </w:r>
      <w:r w:rsidRPr="00775F83">
        <w:rPr>
          <w:spacing w:val="13"/>
        </w:rPr>
        <w:t xml:space="preserve"> and</w:t>
      </w:r>
      <w:r w:rsidRPr="00775F83">
        <w:t xml:space="preserve"> Targeted Distribution</w:t>
      </w:r>
      <w:r w:rsidRPr="00775F83" w:rsidR="00EE1011">
        <w:t xml:space="preserve"> payment</w:t>
      </w:r>
      <w:r w:rsidRPr="00775F83">
        <w:t xml:space="preserve">s (including the Nursing Home Infection Control </w:t>
      </w:r>
      <w:r w:rsidRPr="00775F83" w:rsidR="009E3D31">
        <w:t xml:space="preserve">(NHIC) </w:t>
      </w:r>
      <w:r w:rsidRPr="00775F83">
        <w:t xml:space="preserve">Distribution (formally known as the </w:t>
      </w:r>
      <w:hyperlink r:id="rId10" w:history="1">
        <w:r w:rsidRPr="00775F83" w:rsidR="00731D03">
          <w:rPr>
            <w:rStyle w:val="Hyperlink"/>
          </w:rPr>
          <w:t>Skilled Nursing Facility and Nursing Home Infection Control Distribution</w:t>
        </w:r>
      </w:hyperlink>
      <w:hyperlink r:id="rId11">
        <w:r w:rsidRPr="00775F83">
          <w:t>)</w:t>
        </w:r>
        <w:r>
          <w:rPr>
            <w:rStyle w:val="FootnoteReference"/>
            <w:spacing w:val="-1"/>
          </w:rPr>
          <w:footnoteReference w:id="4"/>
        </w:r>
        <w:r w:rsidR="00B13D73">
          <w:t>,</w:t>
        </w:r>
        <w:r w:rsidR="007D2569">
          <w:t xml:space="preserve"> and</w:t>
        </w:r>
        <w:r w:rsidRPr="00775F83">
          <w:t xml:space="preserve"> </w:t>
        </w:r>
      </w:hyperlink>
    </w:p>
    <w:p w:rsidR="008342C0" w:rsidRPr="00775F83" w:rsidP="00997E9F" w14:paraId="1743974A" w14:textId="0F76EB47">
      <w:pPr>
        <w:pStyle w:val="ListParagraph"/>
        <w:numPr>
          <w:ilvl w:val="0"/>
          <w:numId w:val="22"/>
        </w:numPr>
        <w:ind w:left="720"/>
        <w:contextualSpacing/>
      </w:pPr>
      <w:r w:rsidRPr="00775F83">
        <w:t xml:space="preserve">ARP </w:t>
      </w:r>
      <w:r w:rsidRPr="00775F83" w:rsidR="008A4F2A">
        <w:t>Rural</w:t>
      </w:r>
      <w:r w:rsidRPr="00775F83" w:rsidR="0014384B">
        <w:t xml:space="preserve"> </w:t>
      </w:r>
      <w:r w:rsidRPr="00775F83" w:rsidR="00513CC8">
        <w:t xml:space="preserve">Distribution </w:t>
      </w:r>
      <w:r w:rsidRPr="00775F83" w:rsidR="0098551D">
        <w:t>p</w:t>
      </w:r>
      <w:r w:rsidRPr="00775F83" w:rsidR="0014384B">
        <w:t>ayments</w:t>
      </w:r>
      <w:r w:rsidRPr="00775F83" w:rsidR="00730440">
        <w:t>.</w:t>
      </w:r>
      <w:r w:rsidRPr="00775F83" w:rsidR="00473190">
        <w:t xml:space="preserve"> </w:t>
      </w:r>
    </w:p>
    <w:p w:rsidR="003D6620" w:rsidRPr="00775F83" w:rsidP="00997E9F" w14:paraId="602CCB8C" w14:textId="77777777">
      <w:pPr>
        <w:ind w:firstLine="40"/>
        <w:contextualSpacing/>
      </w:pPr>
    </w:p>
    <w:p w:rsidR="003D6620" w:rsidRPr="00775F83" w:rsidP="00997E9F" w14:paraId="53AF9760" w14:textId="08BA2F7C">
      <w:pPr>
        <w:contextualSpacing/>
        <w:rPr>
          <w:sz w:val="16"/>
          <w:szCs w:val="16"/>
        </w:rPr>
      </w:pPr>
      <w:r w:rsidRPr="00775F83">
        <w:rPr>
          <w:b/>
          <w:bCs/>
          <w:i/>
          <w:iCs/>
        </w:rPr>
        <w:t>Note</w:t>
      </w:r>
      <w:r w:rsidRPr="00775F83">
        <w:t xml:space="preserve">: </w:t>
      </w:r>
      <w:r w:rsidRPr="00775F83" w:rsidR="00D34B1F">
        <w:t xml:space="preserve"> </w:t>
      </w:r>
      <w:r w:rsidRPr="00775F83" w:rsidR="00473190">
        <w:t>These reporting requirements do not apply to the</w:t>
      </w:r>
      <w:r w:rsidRPr="00775F83">
        <w:t xml:space="preserve"> </w:t>
      </w:r>
      <w:r w:rsidRPr="00775F83" w:rsidR="00473190">
        <w:t xml:space="preserve">Rural Health Clinic </w:t>
      </w:r>
      <w:r w:rsidRPr="00775F83" w:rsidR="00D34B1F">
        <w:t>Coronavirus Disease 2019 (</w:t>
      </w:r>
      <w:r w:rsidRPr="00775F83" w:rsidR="00473190">
        <w:t>COVID-19</w:t>
      </w:r>
      <w:r w:rsidRPr="00775F83" w:rsidR="00D34B1F">
        <w:t>)</w:t>
      </w:r>
      <w:r w:rsidRPr="00775F83" w:rsidR="00473190">
        <w:t xml:space="preserve"> Testing </w:t>
      </w:r>
      <w:r w:rsidRPr="00775F83" w:rsidR="00655D30">
        <w:t xml:space="preserve">and Mitigation </w:t>
      </w:r>
      <w:r w:rsidRPr="00775F83" w:rsidR="00473190">
        <w:t>Program</w:t>
      </w:r>
      <w:r w:rsidRPr="00775F83" w:rsidR="00655D30">
        <w:t xml:space="preserve"> and </w:t>
      </w:r>
      <w:r w:rsidRPr="00775F83" w:rsidR="00473190">
        <w:t>the Rural Health Clinic COVID-19 Testing Program</w:t>
      </w:r>
      <w:r>
        <w:rPr>
          <w:rStyle w:val="FootnoteReference"/>
        </w:rPr>
        <w:footnoteReference w:id="5"/>
      </w:r>
      <w:r w:rsidRPr="00775F83" w:rsidR="00473190">
        <w:rPr>
          <w:position w:val="6"/>
          <w:sz w:val="14"/>
          <w:szCs w:val="14"/>
        </w:rPr>
        <w:t xml:space="preserve"> </w:t>
      </w:r>
      <w:r w:rsidRPr="00775F83">
        <w:t>or c</w:t>
      </w:r>
      <w:r w:rsidRPr="00775F83" w:rsidR="00473190">
        <w:t>laims reimbursements from the HRSA COVID-19 Uninsured Program and the HRSA COVID-19 Coverage Assistance Fund.</w:t>
      </w:r>
      <w:r>
        <w:rPr>
          <w:rStyle w:val="FootnoteReference"/>
        </w:rPr>
        <w:footnoteReference w:id="6"/>
      </w:r>
    </w:p>
    <w:p w:rsidR="003D6620" w:rsidRPr="00775F83" w:rsidP="00997E9F" w14:paraId="325737BD" w14:textId="77777777">
      <w:pPr>
        <w:contextualSpacing/>
      </w:pPr>
    </w:p>
    <w:p w:rsidR="00734679" w:rsidRPr="00775F83" w:rsidP="00997E9F" w14:paraId="5B1925BF" w14:textId="67B4681B">
      <w:pPr>
        <w:pStyle w:val="Heading1"/>
        <w:ind w:left="0"/>
      </w:pPr>
      <w:bookmarkStart w:id="2" w:name="_Overview_of_Legal"/>
      <w:bookmarkEnd w:id="2"/>
      <w:r w:rsidRPr="00775F83">
        <w:t>Overview of Legal Requirements for Reporting</w:t>
      </w:r>
    </w:p>
    <w:p w:rsidR="007558BE" w:rsidRPr="00775F83" w:rsidP="003D6620" w14:paraId="4C8B7406" w14:textId="77777777">
      <w:pPr>
        <w:pStyle w:val="BodyText"/>
        <w:ind w:left="216" w:right="317"/>
        <w:contextualSpacing/>
      </w:pPr>
    </w:p>
    <w:p w:rsidR="005B4021" w:rsidRPr="00775F83" w:rsidP="00997E9F" w14:paraId="4BEFDB90" w14:textId="3ABDC2FE">
      <w:pPr>
        <w:pStyle w:val="BodyText"/>
        <w:ind w:right="317"/>
        <w:contextualSpacing/>
      </w:pPr>
      <w:r w:rsidRPr="00775F83">
        <w:t xml:space="preserve">The Coronavirus Aid, Relief, and Economic Security (CARES) Act (P.L. 116-136), the Paycheck Protection Program (PPP) and Health Care Enhancement Act (P.L. 116-139), the Coronavirus Response and Relief </w:t>
      </w:r>
      <w:r w:rsidRPr="00775F83">
        <w:rPr>
          <w:spacing w:val="-1"/>
        </w:rPr>
        <w:t xml:space="preserve">Supplemental </w:t>
      </w:r>
      <w:r w:rsidRPr="00775F83">
        <w:t>Appropriations (CRRSA) Act (P.L. 116-</w:t>
      </w:r>
      <w:r w:rsidRPr="00775F83" w:rsidR="00535F1B">
        <w:t>260</w:t>
      </w:r>
      <w:r w:rsidRPr="00775F83">
        <w:t>)</w:t>
      </w:r>
      <w:r w:rsidRPr="00775F83" w:rsidR="004F5645">
        <w:t xml:space="preserve">, and the </w:t>
      </w:r>
      <w:r w:rsidRPr="00775F83" w:rsidR="0010102D">
        <w:t>ARP</w:t>
      </w:r>
      <w:r w:rsidRPr="00775F83" w:rsidR="004F5645">
        <w:t xml:space="preserve"> Act of 2021 (P.L. 117-2) </w:t>
      </w:r>
      <w:r w:rsidRPr="00775F83">
        <w:t xml:space="preserve">appropriated funds to reimburse eligible health care providers for health care-related expenses or lost revenues attributable to </w:t>
      </w:r>
      <w:r w:rsidRPr="00775F83" w:rsidR="00745DC0">
        <w:t>COVID-19</w:t>
      </w:r>
      <w:r w:rsidRPr="00775F83">
        <w:t xml:space="preserve">. </w:t>
      </w:r>
      <w:r w:rsidRPr="00775F83" w:rsidR="00FE0E74">
        <w:t xml:space="preserve"> </w:t>
      </w:r>
      <w:r w:rsidRPr="00775F83">
        <w:t>These funds</w:t>
      </w:r>
      <w:r w:rsidRPr="00775F83" w:rsidR="00535F1B">
        <w:t xml:space="preserve"> </w:t>
      </w:r>
      <w:r w:rsidRPr="00775F83">
        <w:t xml:space="preserve">were </w:t>
      </w:r>
      <w:r w:rsidRPr="00775F83" w:rsidR="00556850">
        <w:t xml:space="preserve">or will be </w:t>
      </w:r>
      <w:r w:rsidRPr="00775F83">
        <w:t xml:space="preserve">distributed by HRSA. </w:t>
      </w:r>
      <w:r w:rsidRPr="00775F83" w:rsidR="0010102D">
        <w:t xml:space="preserve"> </w:t>
      </w:r>
      <w:r w:rsidRPr="00775F83">
        <w:t xml:space="preserve">Recipients of these funds agreed to </w:t>
      </w:r>
      <w:hyperlink r:id="rId12" w:anchor="terms-and-conditions" w:history="1">
        <w:r w:rsidRPr="00775F83" w:rsidR="00631F81">
          <w:rPr>
            <w:rStyle w:val="Hyperlink"/>
          </w:rPr>
          <w:t>Terms and Conditions</w:t>
        </w:r>
      </w:hyperlink>
      <w:r w:rsidRPr="00775F83" w:rsidR="00631F81">
        <w:t xml:space="preserve">, </w:t>
      </w:r>
      <w:r w:rsidRPr="00775F83">
        <w:t xml:space="preserve">which require compliance with reporting requirements as specified by the </w:t>
      </w:r>
      <w:r w:rsidRPr="00775F83">
        <w:t xml:space="preserve">Secretary of </w:t>
      </w:r>
      <w:r w:rsidRPr="00775F83" w:rsidR="00892EB9">
        <w:rPr>
          <w:spacing w:val="1"/>
        </w:rPr>
        <w:t xml:space="preserve">the U.S. Department of </w:t>
      </w:r>
      <w:r w:rsidRPr="00775F83">
        <w:t>Health and Human Services (HHS).</w:t>
      </w:r>
      <w:r w:rsidRPr="00775F83" w:rsidR="0010102D">
        <w:t xml:space="preserve"> </w:t>
      </w:r>
      <w:r w:rsidRPr="00775F83">
        <w:t xml:space="preserve"> The reporting requirements outlined in this Notice apply to all past and </w:t>
      </w:r>
      <w:r w:rsidRPr="00775F83" w:rsidR="00556850">
        <w:t xml:space="preserve">future </w:t>
      </w:r>
      <w:r w:rsidRPr="00775F83">
        <w:t>PRF payments</w:t>
      </w:r>
      <w:r w:rsidRPr="00775F83" w:rsidR="00535F1B">
        <w:t xml:space="preserve">, as well as </w:t>
      </w:r>
      <w:r w:rsidRPr="00775F83" w:rsidR="000E7ABC">
        <w:t xml:space="preserve">to </w:t>
      </w:r>
      <w:r w:rsidRPr="00775F83" w:rsidR="00535F1B">
        <w:t>ARP Rural payments</w:t>
      </w:r>
      <w:r w:rsidRPr="00775F83" w:rsidR="002B7ED8">
        <w:t>.</w:t>
      </w:r>
      <w:r>
        <w:rPr>
          <w:rStyle w:val="FootnoteReference"/>
        </w:rPr>
        <w:footnoteReference w:id="7"/>
      </w:r>
    </w:p>
    <w:p w:rsidR="00BD32E9" w:rsidRPr="00775F83" w:rsidP="00997E9F" w14:paraId="3338EABC" w14:textId="77777777">
      <w:pPr>
        <w:pStyle w:val="BodyText"/>
        <w:ind w:right="317"/>
        <w:contextualSpacing/>
      </w:pPr>
    </w:p>
    <w:p w:rsidR="004057EF" w:rsidRPr="00775F83" w:rsidP="00997E9F" w14:paraId="507AA6CA" w14:textId="77777777">
      <w:pPr>
        <w:pStyle w:val="Heading1"/>
        <w:ind w:left="0"/>
      </w:pPr>
      <w:bookmarkStart w:id="3" w:name="Period_of_Availability_of_Funds"/>
      <w:bookmarkEnd w:id="3"/>
      <w:r w:rsidRPr="00775F83">
        <w:t>Period of Availability of Funds</w:t>
      </w:r>
    </w:p>
    <w:p w:rsidR="0021746C" w:rsidRPr="00775F83" w:rsidP="00075773" w14:paraId="6B190753" w14:textId="77777777">
      <w:pPr>
        <w:contextualSpacing/>
      </w:pPr>
    </w:p>
    <w:p w:rsidR="004057EF" w:rsidRPr="00775F83" w:rsidP="00997E9F" w14:paraId="507AA6CB" w14:textId="1BD51DB1">
      <w:pPr>
        <w:contextualSpacing/>
      </w:pPr>
      <w:r w:rsidRPr="00775F83">
        <w:t>The period of availability of funds applies to all past</w:t>
      </w:r>
      <w:r w:rsidRPr="00775F83" w:rsidR="00556850">
        <w:t xml:space="preserve"> and future </w:t>
      </w:r>
      <w:r w:rsidRPr="00775F83">
        <w:t xml:space="preserve">PRF </w:t>
      </w:r>
      <w:r w:rsidRPr="00775F83" w:rsidR="00555CC4">
        <w:rPr>
          <w:spacing w:val="-5"/>
        </w:rPr>
        <w:t xml:space="preserve">and ARP Rural </w:t>
      </w:r>
      <w:r w:rsidRPr="00775F83">
        <w:t>payments</w:t>
      </w:r>
      <w:r w:rsidRPr="00775F83" w:rsidR="00EE6A5A">
        <w:t xml:space="preserve">, including </w:t>
      </w:r>
      <w:hyperlink r:id="rId13" w:history="1">
        <w:r w:rsidRPr="00775F83" w:rsidR="00EE6A5A">
          <w:rPr>
            <w:rStyle w:val="Hyperlink"/>
          </w:rPr>
          <w:t>reconsideration payments</w:t>
        </w:r>
      </w:hyperlink>
      <w:r w:rsidRPr="00775F83" w:rsidR="00320786">
        <w:t>.</w:t>
      </w:r>
    </w:p>
    <w:p w:rsidR="0021746C" w:rsidRPr="00775F83" w:rsidP="00997E9F" w14:paraId="1B5A655F" w14:textId="6357B0C7">
      <w:pPr>
        <w:contextualSpacing/>
      </w:pPr>
    </w:p>
    <w:p w:rsidR="00E059F4" w:rsidRPr="00775F83" w:rsidP="00997E9F" w14:paraId="38A97420" w14:textId="13E16B62">
      <w:pPr>
        <w:contextualSpacing/>
      </w:pPr>
      <w:r w:rsidRPr="00775F83">
        <w:t xml:space="preserve">PRF and ARP Rural recipients must use payments for eligible expenses, including services rendered during the period of availability, as outlined in Table 1 below.  </w:t>
      </w:r>
      <w:r w:rsidRPr="00775F83" w:rsidR="00B5091C">
        <w:t>PRF</w:t>
      </w:r>
      <w:r w:rsidRPr="00775F83" w:rsidR="00473190">
        <w:t xml:space="preserve"> and </w:t>
      </w:r>
      <w:r w:rsidRPr="00775F83" w:rsidR="00B5091C">
        <w:t xml:space="preserve">ARP Rural recipients may also use payments for </w:t>
      </w:r>
      <w:r w:rsidRPr="00775F83" w:rsidR="00473190">
        <w:t>lost revenues</w:t>
      </w:r>
      <w:r w:rsidRPr="00775F83" w:rsidR="00EB7BF6">
        <w:t xml:space="preserve"> </w:t>
      </w:r>
      <w:r w:rsidRPr="00775F83" w:rsidR="007908A0">
        <w:t xml:space="preserve">attributable to COVID-19 </w:t>
      </w:r>
      <w:r w:rsidRPr="00775F83" w:rsidR="00B5091C">
        <w:t xml:space="preserve">incurred </w:t>
      </w:r>
      <w:r w:rsidRPr="00775F83" w:rsidR="0084298B">
        <w:t>within</w:t>
      </w:r>
      <w:r w:rsidRPr="00775F83" w:rsidR="00B5091C">
        <w:t xml:space="preserve"> the period of availability, but</w:t>
      </w:r>
      <w:r w:rsidRPr="00775F83" w:rsidR="00D83301">
        <w:t xml:space="preserve"> only </w:t>
      </w:r>
      <w:r w:rsidRPr="00775F83" w:rsidR="00EB7BF6">
        <w:t>up to</w:t>
      </w:r>
      <w:r w:rsidRPr="00775F83" w:rsidR="00056DAF">
        <w:t xml:space="preserve"> June 30, 2023, </w:t>
      </w:r>
      <w:r w:rsidRPr="00775F83" w:rsidR="00EB7BF6">
        <w:t>the</w:t>
      </w:r>
      <w:r w:rsidRPr="00775F83" w:rsidR="00E25650">
        <w:t xml:space="preserve"> </w:t>
      </w:r>
      <w:r w:rsidRPr="00775F83" w:rsidR="00EE4CBE">
        <w:t xml:space="preserve">end of the </w:t>
      </w:r>
      <w:r w:rsidRPr="00775F83" w:rsidR="00E25650">
        <w:t>quarter in which</w:t>
      </w:r>
      <w:r w:rsidRPr="00775F83" w:rsidR="00EB7BF6">
        <w:t xml:space="preserve"> the </w:t>
      </w:r>
      <w:r w:rsidRPr="00775F83" w:rsidR="00020AE6">
        <w:t>COVID-19</w:t>
      </w:r>
      <w:r w:rsidRPr="00775F83" w:rsidR="00583B8D">
        <w:t xml:space="preserve"> </w:t>
      </w:r>
      <w:r w:rsidRPr="00775F83" w:rsidR="00EB7BF6">
        <w:t>Public Health Emergency</w:t>
      </w:r>
      <w:r w:rsidRPr="00775F83" w:rsidR="008E481B">
        <w:t xml:space="preserve"> </w:t>
      </w:r>
      <w:r w:rsidRPr="00775F83" w:rsidR="00E25650">
        <w:t>ends</w:t>
      </w:r>
      <w:r w:rsidRPr="00775F83" w:rsidR="001F0F38">
        <w:t>.</w:t>
      </w:r>
      <w:r w:rsidRPr="00775F83" w:rsidR="0010102D">
        <w:t xml:space="preserve"> </w:t>
      </w:r>
    </w:p>
    <w:p w:rsidR="00E059F4" w:rsidRPr="00775F83" w:rsidP="00997E9F" w14:paraId="318D9939" w14:textId="77777777">
      <w:pPr>
        <w:contextualSpacing/>
      </w:pPr>
    </w:p>
    <w:p w:rsidR="00F136AC" w:rsidRPr="00775F83" w:rsidP="00997E9F" w14:paraId="723D7AB5" w14:textId="0A59C487">
      <w:pPr>
        <w:contextualSpacing/>
      </w:pPr>
      <w:r w:rsidRPr="00775F83">
        <w:t>The period of availability of funds is</w:t>
      </w:r>
      <w:r w:rsidRPr="00775F83" w:rsidR="00056DAF">
        <w:t xml:space="preserve"> </w:t>
      </w:r>
      <w:r w:rsidRPr="00775F83">
        <w:t xml:space="preserve">based on the date the payment is received. </w:t>
      </w:r>
      <w:r w:rsidRPr="00775F83" w:rsidR="00FE0E74">
        <w:t xml:space="preserve"> </w:t>
      </w:r>
      <w:r w:rsidRPr="00775F83">
        <w:t xml:space="preserve">The payment is received on the deposit date for automated clearing house (ACH) payments or the check cashed date. </w:t>
      </w:r>
      <w:r w:rsidRPr="00775F83" w:rsidR="00A31DE8">
        <w:t xml:space="preserve"> </w:t>
      </w:r>
      <w:r w:rsidRPr="00775F83" w:rsidR="00EE6A5A">
        <w:t xml:space="preserve">For reconsideration payments, the period of availability of funds is based on the date the reconsideration payment is received. </w:t>
      </w:r>
      <w:r w:rsidRPr="00775F83" w:rsidR="00775F83">
        <w:t xml:space="preserve"> </w:t>
      </w:r>
      <w:r w:rsidRPr="00775F83">
        <w:t>Providers must follow their basis of accounting (e.g.</w:t>
      </w:r>
      <w:r w:rsidRPr="00775F83" w:rsidR="00DD2B12">
        <w:t>,</w:t>
      </w:r>
      <w:r w:rsidRPr="00775F83">
        <w:t xml:space="preserve"> cash, accrual</w:t>
      </w:r>
      <w:r w:rsidRPr="00775F83" w:rsidR="00477BF4">
        <w:t xml:space="preserve">, </w:t>
      </w:r>
      <w:r w:rsidRPr="00775F83" w:rsidR="000E7ABC">
        <w:t>or</w:t>
      </w:r>
      <w:r w:rsidRPr="00775F83" w:rsidR="00477BF4">
        <w:t xml:space="preserve"> modified accrual</w:t>
      </w:r>
      <w:r w:rsidRPr="00775F83">
        <w:t>) to determine expenses.</w:t>
      </w:r>
      <w:r w:rsidRPr="00775F83" w:rsidR="008921F7">
        <w:t xml:space="preserve"> </w:t>
      </w:r>
      <w:bookmarkStart w:id="4" w:name="_bookmark1"/>
      <w:bookmarkStart w:id="5" w:name="_bookmark2"/>
      <w:bookmarkEnd w:id="4"/>
      <w:bookmarkEnd w:id="5"/>
    </w:p>
    <w:p w:rsidR="001E45E8" w:rsidRPr="00775F83" w:rsidP="001E45E8" w14:paraId="540BBB3A" w14:textId="77777777">
      <w:pPr>
        <w:contextualSpacing/>
      </w:pPr>
      <w:bookmarkStart w:id="6" w:name="_Hlk129182523"/>
    </w:p>
    <w:p w:rsidR="001E45E8" w:rsidRPr="00775F83" w:rsidP="001E45E8" w14:paraId="06DACBE4" w14:textId="48F6B404">
      <w:pPr>
        <w:contextualSpacing/>
      </w:pPr>
      <w:r w:rsidRPr="00775F83">
        <w:t>If a provider receives both PRF and ARP Rural payments, the provider should apply their ARP Rural payment towards eligible health care expenses and lost revenues attributable to COVID-19 before using PRF payments to cover eligible health care expenses or lost revenues attributable to COVID-19.</w:t>
      </w:r>
      <w:r w:rsidRPr="00775F83" w:rsidR="00047225">
        <w:t xml:space="preserve">  The PRF Reporting Portal system is set up to </w:t>
      </w:r>
      <w:r w:rsidRPr="00775F83" w:rsidR="00D33E02">
        <w:t>require</w:t>
      </w:r>
      <w:r w:rsidRPr="00775F83" w:rsidR="00047225">
        <w:t xml:space="preserve"> providers to</w:t>
      </w:r>
      <w:r w:rsidRPr="00775F83" w:rsidR="00775F83">
        <w:t xml:space="preserve"> </w:t>
      </w:r>
      <w:r w:rsidRPr="00775F83" w:rsidR="00047225">
        <w:t>report</w:t>
      </w:r>
      <w:r w:rsidRPr="00775F83" w:rsidR="00775F83">
        <w:t xml:space="preserve"> first</w:t>
      </w:r>
      <w:r w:rsidRPr="00775F83" w:rsidR="00E6641A">
        <w:t xml:space="preserve"> </w:t>
      </w:r>
      <w:r w:rsidRPr="00775F83" w:rsidR="00047225">
        <w:t>on the use of ARP Rural payments</w:t>
      </w:r>
      <w:r w:rsidRPr="00775F83" w:rsidR="005A6A19">
        <w:t xml:space="preserve"> </w:t>
      </w:r>
      <w:r w:rsidRPr="00775F83" w:rsidR="00047225">
        <w:t>before PRF payments.</w:t>
      </w:r>
    </w:p>
    <w:bookmarkEnd w:id="6"/>
    <w:p w:rsidR="00C11A16" w:rsidRPr="00775F83" w:rsidP="00C11A16" w14:paraId="00C2030C" w14:textId="18612F49">
      <w:pPr>
        <w:contextualSpacing/>
      </w:pPr>
    </w:p>
    <w:p w:rsidR="00353C64" w:rsidRPr="00775F83" w:rsidP="00997E9F" w14:paraId="535350C4" w14:textId="56D10551">
      <w:pPr>
        <w:contextualSpacing/>
        <w:rPr>
          <w:i/>
          <w:iCs/>
        </w:rPr>
      </w:pPr>
      <w:r w:rsidRPr="00775F83">
        <w:rPr>
          <w:i/>
          <w:iCs/>
        </w:rPr>
        <w:t>Table</w:t>
      </w:r>
      <w:r w:rsidRPr="00775F83">
        <w:rPr>
          <w:i/>
        </w:rPr>
        <w:t xml:space="preserve"> </w:t>
      </w:r>
      <w:r w:rsidRPr="00775F83">
        <w:rPr>
          <w:i/>
          <w:iCs/>
        </w:rPr>
        <w:t>1:</w:t>
      </w:r>
      <w:r w:rsidRPr="00775F83">
        <w:rPr>
          <w:i/>
        </w:rPr>
        <w:t xml:space="preserve"> </w:t>
      </w:r>
      <w:r w:rsidRPr="00775F83" w:rsidR="006A730B">
        <w:rPr>
          <w:i/>
        </w:rPr>
        <w:t>Period of Availability for E</w:t>
      </w:r>
      <w:r w:rsidRPr="00775F83" w:rsidR="00661F58">
        <w:rPr>
          <w:i/>
        </w:rPr>
        <w:t>ligible E</w:t>
      </w:r>
      <w:r w:rsidRPr="00775F83" w:rsidR="006A730B">
        <w:rPr>
          <w:i/>
        </w:rPr>
        <w:t>xpenses</w:t>
      </w:r>
    </w:p>
    <w:p w:rsidR="003D6620" w:rsidRPr="00775F83" w:rsidP="00997E9F" w14:paraId="457459D7" w14:textId="77777777">
      <w:pPr>
        <w:contextualSpacing/>
        <w:jc w:val="center"/>
      </w:pPr>
    </w:p>
    <w:tbl>
      <w:tblPr>
        <w:tblW w:w="969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
        <w:gridCol w:w="1078"/>
        <w:gridCol w:w="4301"/>
        <w:gridCol w:w="4301"/>
        <w:gridCol w:w="10"/>
      </w:tblGrid>
      <w:tr w14:paraId="507AA6DB" w14:textId="77777777" w:rsidTr="005C2A90">
        <w:tblPrEx>
          <w:tblW w:w="969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gridAfter w:val="1"/>
          <w:wAfter w:w="10" w:type="dxa"/>
          <w:trHeight w:val="413"/>
        </w:trPr>
        <w:tc>
          <w:tcPr>
            <w:tcW w:w="1080" w:type="dxa"/>
            <w:gridSpan w:val="2"/>
            <w:tcBorders>
              <w:top w:val="single" w:sz="8" w:space="0" w:color="auto"/>
              <w:left w:val="single" w:sz="8" w:space="0" w:color="auto"/>
              <w:bottom w:val="single" w:sz="18" w:space="0" w:color="auto"/>
              <w:right w:val="single" w:sz="8" w:space="0" w:color="auto"/>
            </w:tcBorders>
            <w:vAlign w:val="center"/>
          </w:tcPr>
          <w:p w:rsidR="006E268E" w:rsidRPr="00775F83" w:rsidP="001813C0" w14:paraId="543B56BC" w14:textId="156635B3">
            <w:pPr>
              <w:pStyle w:val="TableParagraph"/>
              <w:spacing w:before="48"/>
              <w:ind w:left="0" w:hanging="80"/>
              <w:contextualSpacing/>
              <w:jc w:val="center"/>
              <w:rPr>
                <w:b/>
                <w:bCs/>
              </w:rPr>
            </w:pPr>
            <w:r w:rsidRPr="00775F83">
              <w:rPr>
                <w:b/>
                <w:bCs/>
              </w:rPr>
              <w:t>Period</w:t>
            </w:r>
          </w:p>
        </w:tc>
        <w:tc>
          <w:tcPr>
            <w:tcW w:w="4308" w:type="dxa"/>
            <w:tcBorders>
              <w:top w:val="single" w:sz="8" w:space="0" w:color="auto"/>
              <w:left w:val="single" w:sz="8" w:space="0" w:color="auto"/>
              <w:bottom w:val="single" w:sz="18" w:space="0" w:color="auto"/>
              <w:right w:val="single" w:sz="8" w:space="0" w:color="auto"/>
            </w:tcBorders>
            <w:vAlign w:val="center"/>
          </w:tcPr>
          <w:p w:rsidR="006E268E" w:rsidRPr="00775F83" w:rsidP="001813C0" w14:paraId="507AA6D9" w14:textId="17247DFD">
            <w:pPr>
              <w:pStyle w:val="TableParagraph"/>
              <w:spacing w:before="48"/>
              <w:ind w:left="0"/>
              <w:contextualSpacing/>
              <w:jc w:val="center"/>
              <w:rPr>
                <w:b/>
                <w:bCs/>
              </w:rPr>
            </w:pPr>
            <w:bookmarkStart w:id="7" w:name="_bookmark3"/>
            <w:bookmarkEnd w:id="7"/>
            <w:r w:rsidRPr="00775F83">
              <w:rPr>
                <w:b/>
                <w:bCs/>
              </w:rPr>
              <w:t>Payment</w:t>
            </w:r>
            <w:r w:rsidRPr="00775F83">
              <w:rPr>
                <w:b/>
                <w:bCs/>
                <w:spacing w:val="29"/>
              </w:rPr>
              <w:t xml:space="preserve"> </w:t>
            </w:r>
            <w:r w:rsidRPr="00775F83">
              <w:rPr>
                <w:b/>
                <w:bCs/>
              </w:rPr>
              <w:t>Received Period</w:t>
            </w:r>
          </w:p>
        </w:tc>
        <w:tc>
          <w:tcPr>
            <w:tcW w:w="4308" w:type="dxa"/>
            <w:tcBorders>
              <w:top w:val="single" w:sz="8" w:space="0" w:color="auto"/>
              <w:left w:val="single" w:sz="8" w:space="0" w:color="auto"/>
              <w:bottom w:val="single" w:sz="18" w:space="0" w:color="auto"/>
              <w:right w:val="single" w:sz="8" w:space="0" w:color="auto"/>
            </w:tcBorders>
            <w:vAlign w:val="center"/>
          </w:tcPr>
          <w:p w:rsidR="006E268E" w:rsidRPr="00775F83" w:rsidP="001813C0" w14:paraId="507AA6DA" w14:textId="3B65DEEE">
            <w:pPr>
              <w:pStyle w:val="TableParagraph"/>
              <w:spacing w:before="48"/>
              <w:ind w:left="0"/>
              <w:contextualSpacing/>
              <w:jc w:val="center"/>
              <w:rPr>
                <w:b/>
                <w:bCs/>
              </w:rPr>
            </w:pPr>
            <w:r w:rsidRPr="00775F83">
              <w:rPr>
                <w:b/>
                <w:bCs/>
              </w:rPr>
              <w:t>Period of Availability</w:t>
            </w:r>
            <w:r w:rsidRPr="00775F83" w:rsidR="008715C8">
              <w:rPr>
                <w:b/>
                <w:bCs/>
              </w:rPr>
              <w:t xml:space="preserve"> for </w:t>
            </w:r>
            <w:r w:rsidRPr="00775F83" w:rsidR="00337AE1">
              <w:rPr>
                <w:b/>
                <w:bCs/>
              </w:rPr>
              <w:t xml:space="preserve">Eligible </w:t>
            </w:r>
            <w:r w:rsidRPr="00775F83" w:rsidR="008715C8">
              <w:rPr>
                <w:b/>
                <w:bCs/>
              </w:rPr>
              <w:t>Expenses</w:t>
            </w:r>
          </w:p>
        </w:tc>
      </w:tr>
      <w:tr w14:paraId="507AA6DF" w14:textId="77777777" w:rsidTr="009A6A03">
        <w:tblPrEx>
          <w:tblW w:w="9696" w:type="dxa"/>
          <w:tblInd w:w="-10" w:type="dxa"/>
          <w:tblLayout w:type="fixed"/>
          <w:tblCellMar>
            <w:left w:w="0" w:type="dxa"/>
            <w:right w:w="0" w:type="dxa"/>
          </w:tblCellMar>
          <w:tblLook w:val="01E0"/>
        </w:tblPrEx>
        <w:trPr>
          <w:gridBefore w:val="1"/>
          <w:wBefore w:w="6" w:type="dxa"/>
          <w:trHeight w:val="267"/>
        </w:trPr>
        <w:tc>
          <w:tcPr>
            <w:tcW w:w="1080" w:type="dxa"/>
            <w:tcBorders>
              <w:top w:val="single" w:sz="18" w:space="0" w:color="auto"/>
            </w:tcBorders>
            <w:vAlign w:val="bottom"/>
          </w:tcPr>
          <w:p w:rsidR="006E268E" w:rsidRPr="00775F83" w:rsidP="00E37FF1" w14:paraId="758DDE9F" w14:textId="108A711F">
            <w:pPr>
              <w:pStyle w:val="TableParagraph"/>
              <w:spacing w:before="44"/>
              <w:ind w:left="0"/>
              <w:contextualSpacing/>
              <w:jc w:val="center"/>
            </w:pPr>
            <w:r w:rsidRPr="00775F83">
              <w:t>1</w:t>
            </w:r>
          </w:p>
        </w:tc>
        <w:tc>
          <w:tcPr>
            <w:tcW w:w="4308" w:type="dxa"/>
            <w:tcBorders>
              <w:top w:val="single" w:sz="18" w:space="0" w:color="auto"/>
            </w:tcBorders>
            <w:vAlign w:val="bottom"/>
          </w:tcPr>
          <w:p w:rsidR="006E268E" w:rsidRPr="00775F83" w:rsidP="001813C0" w14:paraId="507AA6DD" w14:textId="6F84F321">
            <w:pPr>
              <w:pStyle w:val="TableParagraph"/>
              <w:spacing w:before="44"/>
              <w:ind w:left="124"/>
              <w:contextualSpacing/>
            </w:pPr>
            <w:r w:rsidRPr="00775F83">
              <w:t>April 10, 2020</w:t>
            </w:r>
            <w:r w:rsidRPr="00775F83" w:rsidR="00A31DE8">
              <w:t>,</w:t>
            </w:r>
            <w:r w:rsidRPr="00775F83">
              <w:t xml:space="preserve"> to June 30, 2020</w:t>
            </w:r>
          </w:p>
        </w:tc>
        <w:tc>
          <w:tcPr>
            <w:tcW w:w="4308" w:type="dxa"/>
            <w:gridSpan w:val="2"/>
            <w:tcBorders>
              <w:top w:val="single" w:sz="18" w:space="0" w:color="auto"/>
            </w:tcBorders>
            <w:vAlign w:val="bottom"/>
          </w:tcPr>
          <w:p w:rsidR="006E268E" w:rsidRPr="00775F83" w:rsidP="001813C0" w14:paraId="507AA6DE" w14:textId="1E701720">
            <w:pPr>
              <w:pStyle w:val="TableParagraph"/>
              <w:spacing w:before="44"/>
              <w:ind w:left="0" w:firstLine="124"/>
              <w:contextualSpacing/>
            </w:pPr>
            <w:r w:rsidRPr="00775F83">
              <w:t>January 1, 2020</w:t>
            </w:r>
            <w:r w:rsidRPr="00775F83" w:rsidR="00A31DE8">
              <w:t>,</w:t>
            </w:r>
            <w:r w:rsidRPr="00775F83">
              <w:t xml:space="preserve"> to June 30, 2021</w:t>
            </w:r>
          </w:p>
        </w:tc>
      </w:tr>
      <w:tr w14:paraId="507AA6E3" w14:textId="77777777" w:rsidTr="009A6A03">
        <w:tblPrEx>
          <w:tblW w:w="9696" w:type="dxa"/>
          <w:tblInd w:w="-10" w:type="dxa"/>
          <w:tblLayout w:type="fixed"/>
          <w:tblCellMar>
            <w:left w:w="0" w:type="dxa"/>
            <w:right w:w="0" w:type="dxa"/>
          </w:tblCellMar>
          <w:tblLook w:val="01E0"/>
        </w:tblPrEx>
        <w:trPr>
          <w:gridBefore w:val="1"/>
          <w:wBefore w:w="6" w:type="dxa"/>
          <w:trHeight w:val="258"/>
        </w:trPr>
        <w:tc>
          <w:tcPr>
            <w:tcW w:w="1080" w:type="dxa"/>
            <w:vAlign w:val="bottom"/>
          </w:tcPr>
          <w:p w:rsidR="006E268E" w:rsidRPr="00775F83" w:rsidP="00E37FF1" w14:paraId="5C43028F" w14:textId="2A22655D">
            <w:pPr>
              <w:pStyle w:val="TableParagraph"/>
              <w:ind w:left="0"/>
              <w:contextualSpacing/>
              <w:jc w:val="center"/>
            </w:pPr>
            <w:r w:rsidRPr="00775F83">
              <w:t>2</w:t>
            </w:r>
          </w:p>
        </w:tc>
        <w:tc>
          <w:tcPr>
            <w:tcW w:w="4308" w:type="dxa"/>
            <w:vAlign w:val="bottom"/>
          </w:tcPr>
          <w:p w:rsidR="006E268E" w:rsidRPr="00775F83" w:rsidP="001813C0" w14:paraId="507AA6E1" w14:textId="5A703764">
            <w:pPr>
              <w:pStyle w:val="TableParagraph"/>
              <w:ind w:left="124"/>
              <w:contextualSpacing/>
            </w:pPr>
            <w:r w:rsidRPr="00775F83">
              <w:t>July 1, 2020</w:t>
            </w:r>
            <w:r w:rsidRPr="00775F83" w:rsidR="00A31DE8">
              <w:t>,</w:t>
            </w:r>
            <w:r w:rsidRPr="00775F83">
              <w:t xml:space="preserve"> to December 31, 2020</w:t>
            </w:r>
          </w:p>
        </w:tc>
        <w:tc>
          <w:tcPr>
            <w:tcW w:w="4308" w:type="dxa"/>
            <w:gridSpan w:val="2"/>
            <w:vAlign w:val="bottom"/>
          </w:tcPr>
          <w:p w:rsidR="006E268E" w:rsidRPr="00775F83" w:rsidP="001813C0" w14:paraId="507AA6E2" w14:textId="4D33D7A1">
            <w:pPr>
              <w:pStyle w:val="TableParagraph"/>
              <w:ind w:left="0" w:firstLine="124"/>
              <w:contextualSpacing/>
            </w:pPr>
            <w:r w:rsidRPr="00775F83">
              <w:t>January 1, 2020</w:t>
            </w:r>
            <w:r w:rsidRPr="00775F83" w:rsidR="00A31DE8">
              <w:t>,</w:t>
            </w:r>
            <w:r w:rsidRPr="00775F83">
              <w:t xml:space="preserve"> to December 31, 2021</w:t>
            </w:r>
          </w:p>
        </w:tc>
      </w:tr>
      <w:tr w14:paraId="507AA6E7" w14:textId="77777777" w:rsidTr="009A6A03">
        <w:tblPrEx>
          <w:tblW w:w="9696" w:type="dxa"/>
          <w:tblInd w:w="-10" w:type="dxa"/>
          <w:tblLayout w:type="fixed"/>
          <w:tblCellMar>
            <w:left w:w="0" w:type="dxa"/>
            <w:right w:w="0" w:type="dxa"/>
          </w:tblCellMar>
          <w:tblLook w:val="01E0"/>
        </w:tblPrEx>
        <w:trPr>
          <w:gridBefore w:val="1"/>
          <w:wBefore w:w="6" w:type="dxa"/>
          <w:trHeight w:val="258"/>
        </w:trPr>
        <w:tc>
          <w:tcPr>
            <w:tcW w:w="1080" w:type="dxa"/>
            <w:vAlign w:val="bottom"/>
          </w:tcPr>
          <w:p w:rsidR="006E268E" w:rsidRPr="00775F83" w:rsidP="00E37FF1" w14:paraId="7776F6BD" w14:textId="049775FC">
            <w:pPr>
              <w:pStyle w:val="TableParagraph"/>
              <w:ind w:left="0"/>
              <w:contextualSpacing/>
              <w:jc w:val="center"/>
            </w:pPr>
            <w:r w:rsidRPr="00775F83">
              <w:t>3</w:t>
            </w:r>
          </w:p>
        </w:tc>
        <w:tc>
          <w:tcPr>
            <w:tcW w:w="4308" w:type="dxa"/>
            <w:vAlign w:val="bottom"/>
          </w:tcPr>
          <w:p w:rsidR="006E268E" w:rsidRPr="00775F83" w:rsidP="001813C0" w14:paraId="507AA6E5" w14:textId="1E09E1A7">
            <w:pPr>
              <w:pStyle w:val="TableParagraph"/>
              <w:ind w:left="124"/>
              <w:contextualSpacing/>
            </w:pPr>
            <w:r w:rsidRPr="00775F83">
              <w:t>January 1, 2021</w:t>
            </w:r>
            <w:r w:rsidRPr="00775F83" w:rsidR="00A31DE8">
              <w:t>,</w:t>
            </w:r>
            <w:r w:rsidRPr="00775F83">
              <w:t xml:space="preserve"> to June 30, 2021</w:t>
            </w:r>
          </w:p>
        </w:tc>
        <w:tc>
          <w:tcPr>
            <w:tcW w:w="4308" w:type="dxa"/>
            <w:gridSpan w:val="2"/>
            <w:vAlign w:val="bottom"/>
          </w:tcPr>
          <w:p w:rsidR="006E268E" w:rsidRPr="00775F83" w:rsidP="001813C0" w14:paraId="507AA6E6" w14:textId="58E40D62">
            <w:pPr>
              <w:pStyle w:val="TableParagraph"/>
              <w:ind w:left="0" w:firstLine="124"/>
              <w:contextualSpacing/>
            </w:pPr>
            <w:r w:rsidRPr="00775F83">
              <w:t>January 1, 2020</w:t>
            </w:r>
            <w:r w:rsidRPr="00775F83" w:rsidR="00A31DE8">
              <w:t>,</w:t>
            </w:r>
            <w:r w:rsidRPr="00775F83">
              <w:t xml:space="preserve"> to June 30, 2022</w:t>
            </w:r>
          </w:p>
        </w:tc>
      </w:tr>
      <w:tr w14:paraId="507AA6EB" w14:textId="77777777" w:rsidTr="009A6A03">
        <w:tblPrEx>
          <w:tblW w:w="9696" w:type="dxa"/>
          <w:tblInd w:w="-10" w:type="dxa"/>
          <w:tblLayout w:type="fixed"/>
          <w:tblCellMar>
            <w:left w:w="0" w:type="dxa"/>
            <w:right w:w="0" w:type="dxa"/>
          </w:tblCellMar>
          <w:tblLook w:val="01E0"/>
        </w:tblPrEx>
        <w:trPr>
          <w:gridBefore w:val="1"/>
          <w:wBefore w:w="6" w:type="dxa"/>
          <w:trHeight w:val="245"/>
        </w:trPr>
        <w:tc>
          <w:tcPr>
            <w:tcW w:w="1080" w:type="dxa"/>
            <w:vAlign w:val="bottom"/>
          </w:tcPr>
          <w:p w:rsidR="006E268E" w:rsidRPr="00775F83" w:rsidP="00E37FF1" w14:paraId="2AFD49A7" w14:textId="4195E5D1">
            <w:pPr>
              <w:pStyle w:val="TableParagraph"/>
              <w:ind w:left="0"/>
              <w:contextualSpacing/>
              <w:jc w:val="center"/>
            </w:pPr>
            <w:r w:rsidRPr="00775F83">
              <w:t>4</w:t>
            </w:r>
          </w:p>
        </w:tc>
        <w:tc>
          <w:tcPr>
            <w:tcW w:w="4308" w:type="dxa"/>
            <w:vAlign w:val="bottom"/>
          </w:tcPr>
          <w:p w:rsidR="006E268E" w:rsidRPr="00775F83" w:rsidP="001813C0" w14:paraId="507AA6E9" w14:textId="7C2293D7">
            <w:pPr>
              <w:pStyle w:val="TableParagraph"/>
              <w:ind w:left="124"/>
              <w:contextualSpacing/>
            </w:pPr>
            <w:r w:rsidRPr="00775F83">
              <w:t>July 1, 2021</w:t>
            </w:r>
            <w:r w:rsidRPr="00775F83" w:rsidR="00A31DE8">
              <w:t>,</w:t>
            </w:r>
            <w:r w:rsidRPr="00775F83">
              <w:t xml:space="preserve"> to December 31, 2021</w:t>
            </w:r>
          </w:p>
        </w:tc>
        <w:tc>
          <w:tcPr>
            <w:tcW w:w="4308" w:type="dxa"/>
            <w:gridSpan w:val="2"/>
            <w:vAlign w:val="bottom"/>
          </w:tcPr>
          <w:p w:rsidR="006E268E" w:rsidRPr="00775F83" w:rsidP="001813C0" w14:paraId="507AA6EA" w14:textId="3FE256E5">
            <w:pPr>
              <w:pStyle w:val="TableParagraph"/>
              <w:ind w:left="0" w:firstLine="124"/>
              <w:contextualSpacing/>
            </w:pPr>
            <w:r w:rsidRPr="00775F83">
              <w:t>January 1, 2020</w:t>
            </w:r>
            <w:r w:rsidRPr="00775F83" w:rsidR="00A31DE8">
              <w:t>,</w:t>
            </w:r>
            <w:r w:rsidRPr="00775F83">
              <w:t xml:space="preserve"> to December 31, 2022</w:t>
            </w:r>
          </w:p>
        </w:tc>
      </w:tr>
      <w:tr w14:paraId="7343B47F" w14:textId="77777777" w:rsidTr="009A6A03">
        <w:tblPrEx>
          <w:tblW w:w="9696" w:type="dxa"/>
          <w:tblInd w:w="-10" w:type="dxa"/>
          <w:tblLayout w:type="fixed"/>
          <w:tblCellMar>
            <w:left w:w="0" w:type="dxa"/>
            <w:right w:w="0" w:type="dxa"/>
          </w:tblCellMar>
          <w:tblLook w:val="01E0"/>
        </w:tblPrEx>
        <w:trPr>
          <w:gridBefore w:val="1"/>
          <w:wBefore w:w="6" w:type="dxa"/>
          <w:trHeight w:val="245"/>
        </w:trPr>
        <w:tc>
          <w:tcPr>
            <w:tcW w:w="1080" w:type="dxa"/>
            <w:vAlign w:val="bottom"/>
          </w:tcPr>
          <w:p w:rsidR="006E268E" w:rsidRPr="00775F83" w:rsidP="00E37FF1" w14:paraId="424CAFB2" w14:textId="2E9E4F47">
            <w:pPr>
              <w:pStyle w:val="TableParagraph"/>
              <w:ind w:left="0"/>
              <w:contextualSpacing/>
              <w:jc w:val="center"/>
            </w:pPr>
            <w:r w:rsidRPr="00775F83">
              <w:t>5</w:t>
            </w:r>
          </w:p>
        </w:tc>
        <w:tc>
          <w:tcPr>
            <w:tcW w:w="4308" w:type="dxa"/>
            <w:vAlign w:val="bottom"/>
          </w:tcPr>
          <w:p w:rsidR="006E268E" w:rsidRPr="00775F83" w:rsidP="001813C0" w14:paraId="2B897B77" w14:textId="558E8695">
            <w:pPr>
              <w:pStyle w:val="TableParagraph"/>
              <w:ind w:left="124"/>
              <w:contextualSpacing/>
            </w:pPr>
            <w:r w:rsidRPr="00775F83">
              <w:t>January 1, 2022</w:t>
            </w:r>
            <w:r w:rsidRPr="00775F83" w:rsidR="00A31DE8">
              <w:t>,</w:t>
            </w:r>
            <w:r w:rsidRPr="00775F83">
              <w:t xml:space="preserve"> to June 30, 2022</w:t>
            </w:r>
          </w:p>
        </w:tc>
        <w:tc>
          <w:tcPr>
            <w:tcW w:w="4308" w:type="dxa"/>
            <w:gridSpan w:val="2"/>
            <w:vAlign w:val="bottom"/>
          </w:tcPr>
          <w:p w:rsidR="006E268E" w:rsidRPr="00775F83" w:rsidP="001813C0" w14:paraId="54524591" w14:textId="692C776A">
            <w:pPr>
              <w:pStyle w:val="TableParagraph"/>
              <w:ind w:left="0" w:firstLine="124"/>
              <w:contextualSpacing/>
            </w:pPr>
            <w:r w:rsidRPr="00775F83">
              <w:t>January 1, 2020</w:t>
            </w:r>
            <w:r w:rsidRPr="00775F83" w:rsidR="00A31DE8">
              <w:t>,</w:t>
            </w:r>
            <w:r w:rsidRPr="00775F83">
              <w:t xml:space="preserve"> to June 30, 2023</w:t>
            </w:r>
          </w:p>
        </w:tc>
      </w:tr>
      <w:tr w14:paraId="4DFCDC6A" w14:textId="77777777" w:rsidTr="009A6A03">
        <w:tblPrEx>
          <w:tblW w:w="9696" w:type="dxa"/>
          <w:tblInd w:w="-10" w:type="dxa"/>
          <w:tblLayout w:type="fixed"/>
          <w:tblCellMar>
            <w:left w:w="0" w:type="dxa"/>
            <w:right w:w="0" w:type="dxa"/>
          </w:tblCellMar>
          <w:tblLook w:val="01E0"/>
        </w:tblPrEx>
        <w:trPr>
          <w:gridBefore w:val="1"/>
          <w:wBefore w:w="6" w:type="dxa"/>
          <w:trHeight w:val="309"/>
        </w:trPr>
        <w:tc>
          <w:tcPr>
            <w:tcW w:w="1080" w:type="dxa"/>
            <w:vAlign w:val="bottom"/>
          </w:tcPr>
          <w:p w:rsidR="006E268E" w:rsidRPr="00775F83" w:rsidP="00E37FF1" w14:paraId="183444BA" w14:textId="0A543428">
            <w:pPr>
              <w:pStyle w:val="TableParagraph"/>
              <w:ind w:left="0"/>
              <w:contextualSpacing/>
              <w:jc w:val="center"/>
            </w:pPr>
            <w:r w:rsidRPr="00775F83">
              <w:t>6</w:t>
            </w:r>
          </w:p>
        </w:tc>
        <w:tc>
          <w:tcPr>
            <w:tcW w:w="4308" w:type="dxa"/>
            <w:vAlign w:val="bottom"/>
          </w:tcPr>
          <w:p w:rsidR="006E268E" w:rsidRPr="00775F83" w:rsidP="001813C0" w14:paraId="4F0F3B05" w14:textId="57CDD61F">
            <w:pPr>
              <w:pStyle w:val="TableParagraph"/>
              <w:ind w:left="124"/>
              <w:contextualSpacing/>
            </w:pPr>
            <w:r w:rsidRPr="00775F83">
              <w:t>July 1, 2022</w:t>
            </w:r>
            <w:r w:rsidRPr="00775F83" w:rsidR="00A31DE8">
              <w:t>,</w:t>
            </w:r>
            <w:r w:rsidRPr="00775F83">
              <w:t xml:space="preserve"> to December 31, 2022</w:t>
            </w:r>
          </w:p>
        </w:tc>
        <w:tc>
          <w:tcPr>
            <w:tcW w:w="4308" w:type="dxa"/>
            <w:gridSpan w:val="2"/>
            <w:vAlign w:val="bottom"/>
          </w:tcPr>
          <w:p w:rsidR="006E268E" w:rsidRPr="00775F83" w:rsidP="001813C0" w14:paraId="16582129" w14:textId="69EE10BF">
            <w:pPr>
              <w:pStyle w:val="TableParagraph"/>
              <w:ind w:left="0" w:firstLine="124"/>
              <w:contextualSpacing/>
            </w:pPr>
            <w:r w:rsidRPr="00775F83">
              <w:t>January 1, 2020</w:t>
            </w:r>
            <w:r w:rsidRPr="00775F83" w:rsidR="00A31DE8">
              <w:t>,</w:t>
            </w:r>
            <w:r w:rsidRPr="00775F83">
              <w:t xml:space="preserve"> to December 31, 2023</w:t>
            </w:r>
          </w:p>
        </w:tc>
      </w:tr>
      <w:tr w14:paraId="354E24FB" w14:textId="77777777" w:rsidTr="009A6A03">
        <w:tblPrEx>
          <w:tblW w:w="9696" w:type="dxa"/>
          <w:tblInd w:w="-10" w:type="dxa"/>
          <w:tblLayout w:type="fixed"/>
          <w:tblCellMar>
            <w:left w:w="0" w:type="dxa"/>
            <w:right w:w="0" w:type="dxa"/>
          </w:tblCellMar>
          <w:tblLook w:val="01E0"/>
        </w:tblPrEx>
        <w:trPr>
          <w:gridBefore w:val="1"/>
          <w:wBefore w:w="6" w:type="dxa"/>
          <w:trHeight w:val="180"/>
        </w:trPr>
        <w:tc>
          <w:tcPr>
            <w:tcW w:w="1080" w:type="dxa"/>
            <w:vAlign w:val="bottom"/>
          </w:tcPr>
          <w:p w:rsidR="006E268E" w:rsidRPr="00775F83" w:rsidP="00E37FF1" w14:paraId="1BB91E73" w14:textId="5B61A272">
            <w:pPr>
              <w:pStyle w:val="TableParagraph"/>
              <w:ind w:left="0"/>
              <w:contextualSpacing/>
              <w:jc w:val="center"/>
            </w:pPr>
            <w:r w:rsidRPr="00775F83">
              <w:t>7</w:t>
            </w:r>
          </w:p>
        </w:tc>
        <w:tc>
          <w:tcPr>
            <w:tcW w:w="4308" w:type="dxa"/>
            <w:vAlign w:val="bottom"/>
          </w:tcPr>
          <w:p w:rsidR="006E268E" w:rsidRPr="00775F83" w:rsidP="001813C0" w14:paraId="470C2D9D" w14:textId="0E9C54DB">
            <w:pPr>
              <w:pStyle w:val="TableParagraph"/>
              <w:ind w:left="124"/>
              <w:contextualSpacing/>
            </w:pPr>
            <w:r w:rsidRPr="00775F83">
              <w:t>January 1, 2023</w:t>
            </w:r>
            <w:r w:rsidRPr="00775F83" w:rsidR="00A31DE8">
              <w:t>,</w:t>
            </w:r>
            <w:r w:rsidRPr="00775F83">
              <w:t xml:space="preserve"> to June 30, 2023</w:t>
            </w:r>
          </w:p>
        </w:tc>
        <w:tc>
          <w:tcPr>
            <w:tcW w:w="4308" w:type="dxa"/>
            <w:gridSpan w:val="2"/>
            <w:vAlign w:val="bottom"/>
          </w:tcPr>
          <w:p w:rsidR="006E268E" w:rsidRPr="00775F83" w:rsidP="001813C0" w14:paraId="393EB262" w14:textId="3287B7D4">
            <w:pPr>
              <w:pStyle w:val="TableParagraph"/>
              <w:ind w:left="0" w:firstLine="124"/>
              <w:contextualSpacing/>
            </w:pPr>
            <w:r w:rsidRPr="00775F83">
              <w:t>January 1, 2020</w:t>
            </w:r>
            <w:r w:rsidRPr="00775F83" w:rsidR="00801E0A">
              <w:t>,</w:t>
            </w:r>
            <w:r w:rsidRPr="00775F83">
              <w:t xml:space="preserve"> to June 30, 2024</w:t>
            </w:r>
          </w:p>
        </w:tc>
      </w:tr>
      <w:tr w14:paraId="00318286" w14:textId="77777777" w:rsidTr="009A6A03">
        <w:tblPrEx>
          <w:tblW w:w="9696" w:type="dxa"/>
          <w:tblInd w:w="-10" w:type="dxa"/>
          <w:tblLayout w:type="fixed"/>
          <w:tblCellMar>
            <w:left w:w="0" w:type="dxa"/>
            <w:right w:w="0" w:type="dxa"/>
          </w:tblCellMar>
          <w:tblLook w:val="01E0"/>
        </w:tblPrEx>
        <w:trPr>
          <w:gridBefore w:val="1"/>
          <w:wBefore w:w="6" w:type="dxa"/>
          <w:trHeight w:val="180"/>
        </w:trPr>
        <w:tc>
          <w:tcPr>
            <w:tcW w:w="1080" w:type="dxa"/>
            <w:vAlign w:val="bottom"/>
          </w:tcPr>
          <w:p w:rsidR="00A52ACC" w:rsidRPr="00775F83" w:rsidP="0017734F" w14:paraId="71C364BA" w14:textId="3A95E8B1">
            <w:pPr>
              <w:pStyle w:val="TableParagraph"/>
              <w:ind w:left="0"/>
              <w:contextualSpacing/>
              <w:jc w:val="center"/>
            </w:pPr>
            <w:r w:rsidRPr="00775F83">
              <w:t>8</w:t>
            </w:r>
          </w:p>
        </w:tc>
        <w:tc>
          <w:tcPr>
            <w:tcW w:w="4308" w:type="dxa"/>
            <w:vAlign w:val="bottom"/>
          </w:tcPr>
          <w:p w:rsidR="00A52ACC" w:rsidRPr="00775F83" w:rsidP="00A52ACC" w14:paraId="6FFC1CFE" w14:textId="49FF2D4D">
            <w:pPr>
              <w:pStyle w:val="TableParagraph"/>
              <w:ind w:left="124"/>
              <w:contextualSpacing/>
            </w:pPr>
            <w:r w:rsidRPr="00775F83">
              <w:t>July 1, 2023, to December 31, 2023</w:t>
            </w:r>
          </w:p>
        </w:tc>
        <w:tc>
          <w:tcPr>
            <w:tcW w:w="4308" w:type="dxa"/>
            <w:gridSpan w:val="2"/>
            <w:vAlign w:val="bottom"/>
          </w:tcPr>
          <w:p w:rsidR="00A52ACC" w:rsidRPr="00775F83" w:rsidP="00A52ACC" w14:paraId="35F12BFE" w14:textId="2625BDC9">
            <w:pPr>
              <w:pStyle w:val="TableParagraph"/>
              <w:ind w:left="0" w:firstLine="124"/>
              <w:contextualSpacing/>
            </w:pPr>
            <w:r w:rsidRPr="00775F83">
              <w:t>January 1, 2020, to December 31, 2024</w:t>
            </w:r>
          </w:p>
        </w:tc>
      </w:tr>
      <w:tr w14:paraId="57A18963" w14:textId="77777777" w:rsidTr="009A6A03">
        <w:tblPrEx>
          <w:tblW w:w="9696" w:type="dxa"/>
          <w:tblInd w:w="-10" w:type="dxa"/>
          <w:tblLayout w:type="fixed"/>
          <w:tblCellMar>
            <w:left w:w="0" w:type="dxa"/>
            <w:right w:w="0" w:type="dxa"/>
          </w:tblCellMar>
          <w:tblLook w:val="01E0"/>
        </w:tblPrEx>
        <w:trPr>
          <w:gridBefore w:val="1"/>
          <w:wBefore w:w="6" w:type="dxa"/>
          <w:trHeight w:val="180"/>
        </w:trPr>
        <w:tc>
          <w:tcPr>
            <w:tcW w:w="1080" w:type="dxa"/>
            <w:vAlign w:val="bottom"/>
          </w:tcPr>
          <w:p w:rsidR="00A52ACC" w:rsidRPr="00775F83" w:rsidP="0017734F" w14:paraId="3AC264DC" w14:textId="5AAB72E3">
            <w:pPr>
              <w:pStyle w:val="TableParagraph"/>
              <w:ind w:left="0"/>
              <w:contextualSpacing/>
              <w:jc w:val="center"/>
            </w:pPr>
            <w:r w:rsidRPr="00775F83">
              <w:t>9</w:t>
            </w:r>
          </w:p>
        </w:tc>
        <w:tc>
          <w:tcPr>
            <w:tcW w:w="4308" w:type="dxa"/>
            <w:vAlign w:val="bottom"/>
          </w:tcPr>
          <w:p w:rsidR="00A52ACC" w:rsidRPr="00775F83" w:rsidP="00A52ACC" w14:paraId="4EA428E8" w14:textId="2459AD58">
            <w:pPr>
              <w:pStyle w:val="TableParagraph"/>
              <w:ind w:left="124"/>
              <w:contextualSpacing/>
            </w:pPr>
            <w:r w:rsidRPr="00775F83">
              <w:t>January 1, 2024, to June 30, 2024</w:t>
            </w:r>
          </w:p>
        </w:tc>
        <w:tc>
          <w:tcPr>
            <w:tcW w:w="4308" w:type="dxa"/>
            <w:gridSpan w:val="2"/>
            <w:vAlign w:val="bottom"/>
          </w:tcPr>
          <w:p w:rsidR="00A52ACC" w:rsidRPr="00775F83" w:rsidP="00A52ACC" w14:paraId="0AC23615" w14:textId="51D6A824">
            <w:pPr>
              <w:pStyle w:val="TableParagraph"/>
              <w:ind w:left="0" w:firstLine="124"/>
              <w:contextualSpacing/>
            </w:pPr>
            <w:r w:rsidRPr="00775F83">
              <w:t>January 1, 2020, to June 30, 2025</w:t>
            </w:r>
          </w:p>
        </w:tc>
      </w:tr>
    </w:tbl>
    <w:p w:rsidR="003D6620" w:rsidRPr="00775F83" w:rsidP="00997E9F" w14:paraId="0C4DFE5D" w14:textId="77777777">
      <w:pPr>
        <w:contextualSpacing/>
      </w:pPr>
    </w:p>
    <w:p w:rsidR="00592717" w:rsidRPr="00775F83" w:rsidP="00217961" w14:paraId="03F66F5C" w14:textId="3860DAC1">
      <w:pPr>
        <w:contextualSpacing/>
      </w:pPr>
      <w:r w:rsidRPr="00775F83">
        <w:t>PRF</w:t>
      </w:r>
      <w:r w:rsidRPr="00775F83" w:rsidR="005809DA">
        <w:t xml:space="preserve"> and ARP Rural</w:t>
      </w:r>
      <w:r w:rsidRPr="00775F83">
        <w:t xml:space="preserve"> recipients may use payments for eligible expenses incurred prior to receipt of those payments (i.e., pre-award costs) so long as they are to </w:t>
      </w:r>
      <w:r w:rsidRPr="00775F83">
        <w:rPr>
          <w:b/>
        </w:rPr>
        <w:t xml:space="preserve">prevent, prepare for, and respond to </w:t>
      </w:r>
      <w:r w:rsidRPr="00775F83" w:rsidR="005A4FC0">
        <w:rPr>
          <w:b/>
          <w:bCs/>
        </w:rPr>
        <w:t>COVID-19</w:t>
      </w:r>
      <w:r w:rsidRPr="00775F83">
        <w:t xml:space="preserve">. </w:t>
      </w:r>
      <w:r w:rsidRPr="00775F83" w:rsidR="00A31DE8">
        <w:t xml:space="preserve"> </w:t>
      </w:r>
    </w:p>
    <w:p w:rsidR="0066324C" w:rsidRPr="00775F83" w:rsidP="00217961" w14:paraId="76B4F57A" w14:textId="40653318">
      <w:pPr>
        <w:contextualSpacing/>
      </w:pPr>
    </w:p>
    <w:p w:rsidR="006E21D3" w:rsidRPr="00775F83" w:rsidP="00AE1039" w14:paraId="3F9401F7" w14:textId="377A768E">
      <w:pPr>
        <w:contextualSpacing/>
      </w:pPr>
      <w:r w:rsidRPr="00775F83">
        <w:t>As mentioned above, the</w:t>
      </w:r>
      <w:r w:rsidRPr="00775F83" w:rsidR="00467A4D">
        <w:t xml:space="preserve"> opportunity to apply PRF </w:t>
      </w:r>
      <w:r w:rsidRPr="00775F83" w:rsidR="00C07BDA">
        <w:t>payments (excluding</w:t>
      </w:r>
      <w:r w:rsidRPr="00775F83" w:rsidR="00016CDE">
        <w:t xml:space="preserve"> the</w:t>
      </w:r>
      <w:r w:rsidRPr="00775F83" w:rsidR="00C07BDA">
        <w:t xml:space="preserve"> </w:t>
      </w:r>
      <w:r w:rsidRPr="00775F83" w:rsidR="00D34B1F">
        <w:t>NHIC</w:t>
      </w:r>
      <w:r w:rsidRPr="00775F83" w:rsidR="00016CDE">
        <w:t xml:space="preserve"> Distribution</w:t>
      </w:r>
      <w:r w:rsidRPr="00775F83" w:rsidR="00C07BDA">
        <w:t xml:space="preserve">) and ARP Rural </w:t>
      </w:r>
      <w:r w:rsidRPr="00775F83" w:rsidR="00467A4D">
        <w:t xml:space="preserve">payments </w:t>
      </w:r>
      <w:r w:rsidRPr="00775F83" w:rsidR="00C07BDA">
        <w:t xml:space="preserve">for </w:t>
      </w:r>
      <w:r w:rsidRPr="00775F83" w:rsidR="00467A4D">
        <w:t xml:space="preserve">lost </w:t>
      </w:r>
      <w:r w:rsidRPr="00775F83">
        <w:t>revenue</w:t>
      </w:r>
      <w:r w:rsidRPr="00775F83" w:rsidR="003830D4">
        <w:t>s</w:t>
      </w:r>
      <w:r w:rsidRPr="00775F83" w:rsidR="00467A4D">
        <w:t xml:space="preserve"> will be available only</w:t>
      </w:r>
      <w:r w:rsidRPr="00775F83" w:rsidR="002A6081">
        <w:t xml:space="preserve"> from the beginning of the period of availability (e.g., January 1, 2020, for all Periods)</w:t>
      </w:r>
      <w:r w:rsidRPr="00775F83" w:rsidR="00467A4D">
        <w:t xml:space="preserve"> </w:t>
      </w:r>
      <w:r w:rsidRPr="00775F83" w:rsidR="00056DAF">
        <w:t>up to</w:t>
      </w:r>
      <w:r w:rsidRPr="00775F83" w:rsidR="00EE4CBE">
        <w:t xml:space="preserve"> </w:t>
      </w:r>
      <w:r w:rsidRPr="00775F83" w:rsidR="00324E8D">
        <w:t xml:space="preserve">June 30, 2023, the end </w:t>
      </w:r>
      <w:r w:rsidRPr="00775F83" w:rsidR="00467A4D">
        <w:t>of the</w:t>
      </w:r>
      <w:r w:rsidRPr="00775F83" w:rsidR="00EC7DF1">
        <w:t xml:space="preserve"> </w:t>
      </w:r>
      <w:r w:rsidRPr="00775F83" w:rsidR="00467A4D">
        <w:t>quarter in which the</w:t>
      </w:r>
      <w:r w:rsidRPr="00775F83" w:rsidR="00FE0E74">
        <w:t xml:space="preserve"> </w:t>
      </w:r>
      <w:r w:rsidRPr="00775F83" w:rsidR="00467A4D">
        <w:t xml:space="preserve">Public Health Emergency </w:t>
      </w:r>
      <w:r w:rsidRPr="00775F83" w:rsidR="00FE0E74">
        <w:t>ends</w:t>
      </w:r>
      <w:r w:rsidRPr="00775F83" w:rsidR="00F50BE3">
        <w:t>.</w:t>
      </w:r>
    </w:p>
    <w:p w:rsidR="00016227" w:rsidRPr="00075773" w:rsidP="00016227" w14:paraId="51728745" w14:textId="77777777">
      <w:pPr>
        <w:contextualSpacing/>
      </w:pPr>
    </w:p>
    <w:p w:rsidR="00016227" w:rsidRPr="00775F83" w:rsidP="00016227" w14:paraId="31BC51DC" w14:textId="77777777">
      <w:pPr>
        <w:contextualSpacing/>
        <w:rPr>
          <w:i/>
          <w:iCs/>
        </w:rPr>
      </w:pPr>
      <w:r w:rsidRPr="00775F83">
        <w:rPr>
          <w:i/>
          <w:iCs/>
        </w:rPr>
        <w:t>Table</w:t>
      </w:r>
      <w:r w:rsidRPr="00775F83">
        <w:rPr>
          <w:i/>
        </w:rPr>
        <w:t xml:space="preserve"> 2: Period of Availability for Lost Revenues</w:t>
      </w:r>
    </w:p>
    <w:p w:rsidR="00016227" w:rsidRPr="00775F83" w:rsidP="00016227" w14:paraId="209D3F10" w14:textId="77777777">
      <w:pPr>
        <w:contextualSpacing/>
      </w:pPr>
    </w:p>
    <w:tbl>
      <w:tblPr>
        <w:tblW w:w="969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
        <w:gridCol w:w="4308"/>
        <w:gridCol w:w="4308"/>
      </w:tblGrid>
      <w:tr w14:paraId="21585E60" w14:textId="77777777" w:rsidTr="007133C6">
        <w:tblPrEx>
          <w:tblW w:w="969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3"/>
        </w:trPr>
        <w:tc>
          <w:tcPr>
            <w:tcW w:w="1080" w:type="dxa"/>
            <w:tcBorders>
              <w:top w:val="single" w:sz="8" w:space="0" w:color="auto"/>
              <w:left w:val="single" w:sz="8" w:space="0" w:color="auto"/>
              <w:bottom w:val="single" w:sz="18" w:space="0" w:color="auto"/>
              <w:right w:val="single" w:sz="8" w:space="0" w:color="auto"/>
            </w:tcBorders>
            <w:vAlign w:val="center"/>
          </w:tcPr>
          <w:p w:rsidR="00016227" w:rsidRPr="00775F83" w:rsidP="007133C6" w14:paraId="4B890FFE" w14:textId="77777777">
            <w:pPr>
              <w:pStyle w:val="TableParagraph"/>
              <w:spacing w:before="48"/>
              <w:ind w:left="0" w:hanging="80"/>
              <w:contextualSpacing/>
              <w:jc w:val="center"/>
              <w:rPr>
                <w:b/>
                <w:bCs/>
              </w:rPr>
            </w:pPr>
            <w:r w:rsidRPr="00775F83">
              <w:rPr>
                <w:b/>
                <w:bCs/>
              </w:rPr>
              <w:t>Period</w:t>
            </w:r>
          </w:p>
        </w:tc>
        <w:tc>
          <w:tcPr>
            <w:tcW w:w="4308" w:type="dxa"/>
            <w:tcBorders>
              <w:top w:val="single" w:sz="8" w:space="0" w:color="auto"/>
              <w:left w:val="single" w:sz="8" w:space="0" w:color="auto"/>
              <w:bottom w:val="single" w:sz="18" w:space="0" w:color="auto"/>
              <w:right w:val="single" w:sz="8" w:space="0" w:color="auto"/>
            </w:tcBorders>
            <w:vAlign w:val="center"/>
          </w:tcPr>
          <w:p w:rsidR="00016227" w:rsidRPr="00775F83" w:rsidP="007133C6" w14:paraId="6437728A" w14:textId="77777777">
            <w:pPr>
              <w:pStyle w:val="TableParagraph"/>
              <w:spacing w:before="48"/>
              <w:ind w:left="0"/>
              <w:contextualSpacing/>
              <w:jc w:val="center"/>
              <w:rPr>
                <w:b/>
                <w:bCs/>
              </w:rPr>
            </w:pPr>
            <w:r w:rsidRPr="00775F83">
              <w:rPr>
                <w:b/>
                <w:bCs/>
              </w:rPr>
              <w:t>Payment</w:t>
            </w:r>
            <w:r w:rsidRPr="00775F83">
              <w:rPr>
                <w:b/>
                <w:bCs/>
                <w:spacing w:val="29"/>
              </w:rPr>
              <w:t xml:space="preserve"> </w:t>
            </w:r>
            <w:r w:rsidRPr="00775F83">
              <w:rPr>
                <w:b/>
                <w:bCs/>
              </w:rPr>
              <w:t>Received Period</w:t>
            </w:r>
          </w:p>
        </w:tc>
        <w:tc>
          <w:tcPr>
            <w:tcW w:w="4308" w:type="dxa"/>
            <w:tcBorders>
              <w:top w:val="single" w:sz="8" w:space="0" w:color="auto"/>
              <w:left w:val="single" w:sz="8" w:space="0" w:color="auto"/>
              <w:bottom w:val="single" w:sz="18" w:space="0" w:color="auto"/>
              <w:right w:val="single" w:sz="8" w:space="0" w:color="auto"/>
            </w:tcBorders>
            <w:vAlign w:val="center"/>
          </w:tcPr>
          <w:p w:rsidR="00016227" w:rsidRPr="00775F83" w:rsidP="007133C6" w14:paraId="3E320E38" w14:textId="77777777">
            <w:pPr>
              <w:pStyle w:val="TableParagraph"/>
              <w:spacing w:before="48"/>
              <w:ind w:left="0"/>
              <w:contextualSpacing/>
              <w:jc w:val="center"/>
              <w:rPr>
                <w:b/>
                <w:bCs/>
              </w:rPr>
            </w:pPr>
            <w:r w:rsidRPr="00775F83">
              <w:rPr>
                <w:b/>
                <w:bCs/>
              </w:rPr>
              <w:t>Period of Availability for Lost Revenues</w:t>
            </w:r>
          </w:p>
        </w:tc>
      </w:tr>
      <w:tr w14:paraId="6E225C40" w14:textId="77777777" w:rsidTr="007133C6">
        <w:tblPrEx>
          <w:tblW w:w="9696" w:type="dxa"/>
          <w:tblInd w:w="-10" w:type="dxa"/>
          <w:tblLayout w:type="fixed"/>
          <w:tblCellMar>
            <w:left w:w="0" w:type="dxa"/>
            <w:right w:w="0" w:type="dxa"/>
          </w:tblCellMar>
          <w:tblLook w:val="01E0"/>
        </w:tblPrEx>
        <w:trPr>
          <w:trHeight w:val="267"/>
        </w:trPr>
        <w:tc>
          <w:tcPr>
            <w:tcW w:w="1080" w:type="dxa"/>
            <w:tcBorders>
              <w:top w:val="single" w:sz="18" w:space="0" w:color="auto"/>
            </w:tcBorders>
            <w:vAlign w:val="bottom"/>
          </w:tcPr>
          <w:p w:rsidR="00016227" w:rsidRPr="00775F83" w:rsidP="007133C6" w14:paraId="56294F28" w14:textId="77777777">
            <w:pPr>
              <w:pStyle w:val="TableParagraph"/>
              <w:spacing w:before="44"/>
              <w:ind w:left="0"/>
              <w:contextualSpacing/>
              <w:jc w:val="center"/>
            </w:pPr>
            <w:r w:rsidRPr="00775F83">
              <w:t>1</w:t>
            </w:r>
          </w:p>
        </w:tc>
        <w:tc>
          <w:tcPr>
            <w:tcW w:w="4308" w:type="dxa"/>
            <w:tcBorders>
              <w:top w:val="single" w:sz="18" w:space="0" w:color="auto"/>
            </w:tcBorders>
            <w:vAlign w:val="bottom"/>
          </w:tcPr>
          <w:p w:rsidR="00016227" w:rsidRPr="00775F83" w:rsidP="007133C6" w14:paraId="09CE99E9" w14:textId="77777777">
            <w:pPr>
              <w:pStyle w:val="TableParagraph"/>
              <w:spacing w:before="44"/>
              <w:ind w:left="124"/>
              <w:contextualSpacing/>
            </w:pPr>
            <w:r w:rsidRPr="00775F83">
              <w:t>April 10, 2020, to June 30, 2020</w:t>
            </w:r>
          </w:p>
        </w:tc>
        <w:tc>
          <w:tcPr>
            <w:tcW w:w="4308" w:type="dxa"/>
            <w:tcBorders>
              <w:top w:val="single" w:sz="18" w:space="0" w:color="auto"/>
            </w:tcBorders>
            <w:vAlign w:val="bottom"/>
          </w:tcPr>
          <w:p w:rsidR="00016227" w:rsidRPr="00775F83" w:rsidP="007133C6" w14:paraId="55F33418" w14:textId="77777777">
            <w:pPr>
              <w:pStyle w:val="TableParagraph"/>
              <w:spacing w:before="44"/>
              <w:ind w:left="0" w:firstLine="124"/>
              <w:contextualSpacing/>
            </w:pPr>
            <w:r w:rsidRPr="00775F83">
              <w:t>January 1, 2020, to June 30, 2021</w:t>
            </w:r>
          </w:p>
        </w:tc>
      </w:tr>
      <w:tr w14:paraId="30DD4645" w14:textId="77777777" w:rsidTr="007133C6">
        <w:tblPrEx>
          <w:tblW w:w="9696" w:type="dxa"/>
          <w:tblInd w:w="-10" w:type="dxa"/>
          <w:tblLayout w:type="fixed"/>
          <w:tblCellMar>
            <w:left w:w="0" w:type="dxa"/>
            <w:right w:w="0" w:type="dxa"/>
          </w:tblCellMar>
          <w:tblLook w:val="01E0"/>
        </w:tblPrEx>
        <w:trPr>
          <w:trHeight w:val="258"/>
        </w:trPr>
        <w:tc>
          <w:tcPr>
            <w:tcW w:w="1080" w:type="dxa"/>
            <w:vAlign w:val="bottom"/>
          </w:tcPr>
          <w:p w:rsidR="00016227" w:rsidRPr="00775F83" w:rsidP="007133C6" w14:paraId="3739F3CB" w14:textId="77777777">
            <w:pPr>
              <w:pStyle w:val="TableParagraph"/>
              <w:ind w:left="0"/>
              <w:contextualSpacing/>
              <w:jc w:val="center"/>
            </w:pPr>
            <w:r w:rsidRPr="00775F83">
              <w:t>2</w:t>
            </w:r>
          </w:p>
        </w:tc>
        <w:tc>
          <w:tcPr>
            <w:tcW w:w="4308" w:type="dxa"/>
            <w:vAlign w:val="bottom"/>
          </w:tcPr>
          <w:p w:rsidR="00016227" w:rsidRPr="00775F83" w:rsidP="007133C6" w14:paraId="454A85FE" w14:textId="77777777">
            <w:pPr>
              <w:pStyle w:val="TableParagraph"/>
              <w:ind w:left="124"/>
              <w:contextualSpacing/>
            </w:pPr>
            <w:r w:rsidRPr="00775F83">
              <w:t>July 1, 2020, to December 31, 2020</w:t>
            </w:r>
          </w:p>
        </w:tc>
        <w:tc>
          <w:tcPr>
            <w:tcW w:w="4308" w:type="dxa"/>
            <w:vAlign w:val="bottom"/>
          </w:tcPr>
          <w:p w:rsidR="00016227" w:rsidRPr="00775F83" w:rsidP="007133C6" w14:paraId="5703338B" w14:textId="77777777">
            <w:pPr>
              <w:pStyle w:val="TableParagraph"/>
              <w:ind w:left="0" w:firstLine="124"/>
              <w:contextualSpacing/>
            </w:pPr>
            <w:r w:rsidRPr="00775F83">
              <w:t>January 1, 2020, to December 31, 2021</w:t>
            </w:r>
          </w:p>
        </w:tc>
      </w:tr>
      <w:tr w14:paraId="4520954D" w14:textId="77777777" w:rsidTr="007133C6">
        <w:tblPrEx>
          <w:tblW w:w="9696" w:type="dxa"/>
          <w:tblInd w:w="-10" w:type="dxa"/>
          <w:tblLayout w:type="fixed"/>
          <w:tblCellMar>
            <w:left w:w="0" w:type="dxa"/>
            <w:right w:w="0" w:type="dxa"/>
          </w:tblCellMar>
          <w:tblLook w:val="01E0"/>
        </w:tblPrEx>
        <w:trPr>
          <w:trHeight w:val="258"/>
        </w:trPr>
        <w:tc>
          <w:tcPr>
            <w:tcW w:w="1080" w:type="dxa"/>
            <w:vAlign w:val="bottom"/>
          </w:tcPr>
          <w:p w:rsidR="00016227" w:rsidRPr="00775F83" w:rsidP="007133C6" w14:paraId="33DD98B0" w14:textId="77777777">
            <w:pPr>
              <w:pStyle w:val="TableParagraph"/>
              <w:ind w:left="0"/>
              <w:contextualSpacing/>
              <w:jc w:val="center"/>
            </w:pPr>
            <w:r w:rsidRPr="00775F83">
              <w:t>3</w:t>
            </w:r>
          </w:p>
        </w:tc>
        <w:tc>
          <w:tcPr>
            <w:tcW w:w="4308" w:type="dxa"/>
            <w:vAlign w:val="bottom"/>
          </w:tcPr>
          <w:p w:rsidR="00016227" w:rsidRPr="00775F83" w:rsidP="007133C6" w14:paraId="573766B0" w14:textId="77777777">
            <w:pPr>
              <w:pStyle w:val="TableParagraph"/>
              <w:ind w:left="124"/>
              <w:contextualSpacing/>
            </w:pPr>
            <w:r w:rsidRPr="00775F83">
              <w:t>January 1, 2021, to June 30, 2021</w:t>
            </w:r>
          </w:p>
        </w:tc>
        <w:tc>
          <w:tcPr>
            <w:tcW w:w="4308" w:type="dxa"/>
            <w:vAlign w:val="bottom"/>
          </w:tcPr>
          <w:p w:rsidR="00016227" w:rsidRPr="00775F83" w:rsidP="007133C6" w14:paraId="036B441C" w14:textId="77777777">
            <w:pPr>
              <w:pStyle w:val="TableParagraph"/>
              <w:ind w:left="0" w:firstLine="124"/>
              <w:contextualSpacing/>
            </w:pPr>
            <w:r w:rsidRPr="00775F83">
              <w:t>January 1, 2020, to June 30, 2022</w:t>
            </w:r>
          </w:p>
        </w:tc>
      </w:tr>
      <w:tr w14:paraId="4512BDD2" w14:textId="77777777" w:rsidTr="007133C6">
        <w:tblPrEx>
          <w:tblW w:w="9696" w:type="dxa"/>
          <w:tblInd w:w="-10" w:type="dxa"/>
          <w:tblLayout w:type="fixed"/>
          <w:tblCellMar>
            <w:left w:w="0" w:type="dxa"/>
            <w:right w:w="0" w:type="dxa"/>
          </w:tblCellMar>
          <w:tblLook w:val="01E0"/>
        </w:tblPrEx>
        <w:trPr>
          <w:trHeight w:val="245"/>
        </w:trPr>
        <w:tc>
          <w:tcPr>
            <w:tcW w:w="1080" w:type="dxa"/>
            <w:vAlign w:val="bottom"/>
          </w:tcPr>
          <w:p w:rsidR="00016227" w:rsidRPr="00775F83" w:rsidP="007133C6" w14:paraId="0E0C8E7B" w14:textId="77777777">
            <w:pPr>
              <w:pStyle w:val="TableParagraph"/>
              <w:ind w:left="0"/>
              <w:contextualSpacing/>
              <w:jc w:val="center"/>
            </w:pPr>
            <w:r w:rsidRPr="00775F83">
              <w:t>4</w:t>
            </w:r>
          </w:p>
        </w:tc>
        <w:tc>
          <w:tcPr>
            <w:tcW w:w="4308" w:type="dxa"/>
            <w:vAlign w:val="bottom"/>
          </w:tcPr>
          <w:p w:rsidR="00016227" w:rsidRPr="00775F83" w:rsidP="007133C6" w14:paraId="12C2C08E" w14:textId="77777777">
            <w:pPr>
              <w:pStyle w:val="TableParagraph"/>
              <w:ind w:left="124"/>
              <w:contextualSpacing/>
            </w:pPr>
            <w:r w:rsidRPr="00775F83">
              <w:t>July 1, 2021, to December 31, 2021</w:t>
            </w:r>
          </w:p>
        </w:tc>
        <w:tc>
          <w:tcPr>
            <w:tcW w:w="4308" w:type="dxa"/>
            <w:vAlign w:val="bottom"/>
          </w:tcPr>
          <w:p w:rsidR="00016227" w:rsidRPr="00775F83" w:rsidP="007133C6" w14:paraId="5461C015" w14:textId="77777777">
            <w:pPr>
              <w:pStyle w:val="TableParagraph"/>
              <w:ind w:left="0" w:firstLine="124"/>
              <w:contextualSpacing/>
            </w:pPr>
            <w:r w:rsidRPr="00775F83">
              <w:t>January 1, 2020, to December 31, 2022</w:t>
            </w:r>
          </w:p>
        </w:tc>
      </w:tr>
      <w:tr w14:paraId="68DC456B" w14:textId="77777777" w:rsidTr="007133C6">
        <w:tblPrEx>
          <w:tblW w:w="9696" w:type="dxa"/>
          <w:tblInd w:w="-10" w:type="dxa"/>
          <w:tblLayout w:type="fixed"/>
          <w:tblCellMar>
            <w:left w:w="0" w:type="dxa"/>
            <w:right w:w="0" w:type="dxa"/>
          </w:tblCellMar>
          <w:tblLook w:val="01E0"/>
        </w:tblPrEx>
        <w:trPr>
          <w:trHeight w:val="245"/>
        </w:trPr>
        <w:tc>
          <w:tcPr>
            <w:tcW w:w="1080" w:type="dxa"/>
            <w:vAlign w:val="bottom"/>
          </w:tcPr>
          <w:p w:rsidR="00016227" w:rsidRPr="00775F83" w:rsidP="007133C6" w14:paraId="7B08F31C" w14:textId="77777777">
            <w:pPr>
              <w:pStyle w:val="TableParagraph"/>
              <w:ind w:left="0"/>
              <w:contextualSpacing/>
              <w:jc w:val="center"/>
            </w:pPr>
            <w:r w:rsidRPr="00775F83">
              <w:t>5</w:t>
            </w:r>
          </w:p>
        </w:tc>
        <w:tc>
          <w:tcPr>
            <w:tcW w:w="4308" w:type="dxa"/>
            <w:vAlign w:val="bottom"/>
          </w:tcPr>
          <w:p w:rsidR="00016227" w:rsidRPr="00775F83" w:rsidP="007133C6" w14:paraId="21636080" w14:textId="77777777">
            <w:pPr>
              <w:pStyle w:val="TableParagraph"/>
              <w:ind w:left="124"/>
              <w:contextualSpacing/>
            </w:pPr>
            <w:r w:rsidRPr="00775F83">
              <w:t>January 1, 2022, to June 30, 2022</w:t>
            </w:r>
          </w:p>
        </w:tc>
        <w:tc>
          <w:tcPr>
            <w:tcW w:w="4308" w:type="dxa"/>
            <w:vAlign w:val="bottom"/>
          </w:tcPr>
          <w:p w:rsidR="00016227" w:rsidRPr="00775F83" w:rsidP="007133C6" w14:paraId="7C79D48E" w14:textId="77777777">
            <w:pPr>
              <w:pStyle w:val="TableParagraph"/>
              <w:ind w:left="0" w:firstLine="124"/>
              <w:contextualSpacing/>
            </w:pPr>
            <w:r w:rsidRPr="00775F83">
              <w:t>January 1, 2020, to June 30, 2023</w:t>
            </w:r>
          </w:p>
        </w:tc>
      </w:tr>
      <w:tr w14:paraId="001D92A8" w14:textId="77777777" w:rsidTr="007133C6">
        <w:tblPrEx>
          <w:tblW w:w="9696" w:type="dxa"/>
          <w:tblInd w:w="-10" w:type="dxa"/>
          <w:tblLayout w:type="fixed"/>
          <w:tblCellMar>
            <w:left w:w="0" w:type="dxa"/>
            <w:right w:w="0" w:type="dxa"/>
          </w:tblCellMar>
          <w:tblLook w:val="01E0"/>
        </w:tblPrEx>
        <w:trPr>
          <w:trHeight w:val="309"/>
        </w:trPr>
        <w:tc>
          <w:tcPr>
            <w:tcW w:w="1080" w:type="dxa"/>
            <w:vAlign w:val="bottom"/>
          </w:tcPr>
          <w:p w:rsidR="00016227" w:rsidRPr="00775F83" w:rsidP="007133C6" w14:paraId="65600132" w14:textId="77777777">
            <w:pPr>
              <w:pStyle w:val="TableParagraph"/>
              <w:ind w:left="0"/>
              <w:contextualSpacing/>
              <w:jc w:val="center"/>
            </w:pPr>
            <w:r w:rsidRPr="00775F83">
              <w:t>6</w:t>
            </w:r>
          </w:p>
        </w:tc>
        <w:tc>
          <w:tcPr>
            <w:tcW w:w="4308" w:type="dxa"/>
            <w:vAlign w:val="bottom"/>
          </w:tcPr>
          <w:p w:rsidR="00016227" w:rsidRPr="00775F83" w:rsidP="007133C6" w14:paraId="2F1AC783" w14:textId="77777777">
            <w:pPr>
              <w:pStyle w:val="TableParagraph"/>
              <w:ind w:left="124"/>
              <w:contextualSpacing/>
            </w:pPr>
            <w:r w:rsidRPr="00775F83">
              <w:t>July 1, 2022, to December 31, 2022</w:t>
            </w:r>
          </w:p>
        </w:tc>
        <w:tc>
          <w:tcPr>
            <w:tcW w:w="4308" w:type="dxa"/>
            <w:vAlign w:val="bottom"/>
          </w:tcPr>
          <w:p w:rsidR="00016227" w:rsidRPr="00775F83" w:rsidP="007133C6" w14:paraId="3164B918" w14:textId="77777777">
            <w:pPr>
              <w:pStyle w:val="TableParagraph"/>
              <w:ind w:left="0" w:firstLine="124"/>
              <w:contextualSpacing/>
            </w:pPr>
            <w:r w:rsidRPr="00775F83">
              <w:t>January 1, 2020, to June 30, 2023</w:t>
            </w:r>
          </w:p>
        </w:tc>
      </w:tr>
      <w:tr w14:paraId="113176BB" w14:textId="77777777" w:rsidTr="007133C6">
        <w:tblPrEx>
          <w:tblW w:w="9696" w:type="dxa"/>
          <w:tblInd w:w="-10" w:type="dxa"/>
          <w:tblLayout w:type="fixed"/>
          <w:tblCellMar>
            <w:left w:w="0" w:type="dxa"/>
            <w:right w:w="0" w:type="dxa"/>
          </w:tblCellMar>
          <w:tblLook w:val="01E0"/>
        </w:tblPrEx>
        <w:trPr>
          <w:trHeight w:val="180"/>
        </w:trPr>
        <w:tc>
          <w:tcPr>
            <w:tcW w:w="1080" w:type="dxa"/>
            <w:vAlign w:val="bottom"/>
          </w:tcPr>
          <w:p w:rsidR="00016227" w:rsidRPr="00775F83" w:rsidP="007133C6" w14:paraId="098FEEB5" w14:textId="77777777">
            <w:pPr>
              <w:pStyle w:val="TableParagraph"/>
              <w:ind w:left="0"/>
              <w:contextualSpacing/>
              <w:jc w:val="center"/>
            </w:pPr>
            <w:r w:rsidRPr="00775F83">
              <w:t>7</w:t>
            </w:r>
          </w:p>
        </w:tc>
        <w:tc>
          <w:tcPr>
            <w:tcW w:w="4308" w:type="dxa"/>
            <w:vAlign w:val="bottom"/>
          </w:tcPr>
          <w:p w:rsidR="00016227" w:rsidRPr="00775F83" w:rsidP="007133C6" w14:paraId="71C547A8" w14:textId="77777777">
            <w:pPr>
              <w:pStyle w:val="TableParagraph"/>
              <w:ind w:left="124"/>
              <w:contextualSpacing/>
            </w:pPr>
            <w:r w:rsidRPr="00775F83">
              <w:t>January 1, 2023, to June 30, 2023</w:t>
            </w:r>
          </w:p>
        </w:tc>
        <w:tc>
          <w:tcPr>
            <w:tcW w:w="4308" w:type="dxa"/>
            <w:vAlign w:val="bottom"/>
          </w:tcPr>
          <w:p w:rsidR="00016227" w:rsidRPr="00775F83" w:rsidP="007133C6" w14:paraId="385ADF33" w14:textId="77777777">
            <w:pPr>
              <w:pStyle w:val="TableParagraph"/>
              <w:ind w:left="0" w:firstLine="124"/>
              <w:contextualSpacing/>
            </w:pPr>
            <w:r w:rsidRPr="00775F83">
              <w:t>January 1, 2020, to June 30, 2023</w:t>
            </w:r>
          </w:p>
        </w:tc>
      </w:tr>
      <w:tr w14:paraId="1254480C" w14:textId="77777777" w:rsidTr="007133C6">
        <w:tblPrEx>
          <w:tblW w:w="9696" w:type="dxa"/>
          <w:tblInd w:w="-10" w:type="dxa"/>
          <w:tblLayout w:type="fixed"/>
          <w:tblCellMar>
            <w:left w:w="0" w:type="dxa"/>
            <w:right w:w="0" w:type="dxa"/>
          </w:tblCellMar>
          <w:tblLook w:val="01E0"/>
        </w:tblPrEx>
        <w:trPr>
          <w:trHeight w:val="180"/>
        </w:trPr>
        <w:tc>
          <w:tcPr>
            <w:tcW w:w="1080" w:type="dxa"/>
            <w:vAlign w:val="bottom"/>
          </w:tcPr>
          <w:p w:rsidR="00016227" w:rsidRPr="00775F83" w:rsidP="007133C6" w14:paraId="31A49730" w14:textId="77777777">
            <w:pPr>
              <w:pStyle w:val="TableParagraph"/>
              <w:ind w:left="0"/>
              <w:contextualSpacing/>
              <w:jc w:val="center"/>
            </w:pPr>
            <w:r w:rsidRPr="00775F83">
              <w:t>8</w:t>
            </w:r>
          </w:p>
        </w:tc>
        <w:tc>
          <w:tcPr>
            <w:tcW w:w="4308" w:type="dxa"/>
            <w:vAlign w:val="bottom"/>
          </w:tcPr>
          <w:p w:rsidR="00016227" w:rsidRPr="00775F83" w:rsidP="007133C6" w14:paraId="1248C935" w14:textId="77777777">
            <w:pPr>
              <w:pStyle w:val="TableParagraph"/>
              <w:ind w:left="124"/>
              <w:contextualSpacing/>
            </w:pPr>
            <w:r w:rsidRPr="00775F83">
              <w:t>July 1, 2023, to December 31, 2023</w:t>
            </w:r>
          </w:p>
        </w:tc>
        <w:tc>
          <w:tcPr>
            <w:tcW w:w="4308" w:type="dxa"/>
            <w:vAlign w:val="bottom"/>
          </w:tcPr>
          <w:p w:rsidR="00016227" w:rsidRPr="00775F83" w:rsidP="007133C6" w14:paraId="0D5BB5A6" w14:textId="77777777">
            <w:pPr>
              <w:pStyle w:val="TableParagraph"/>
              <w:ind w:left="0" w:firstLine="124"/>
              <w:contextualSpacing/>
            </w:pPr>
            <w:r w:rsidRPr="00775F83">
              <w:t>January 1, 2020, to June 30, 2023</w:t>
            </w:r>
          </w:p>
        </w:tc>
      </w:tr>
      <w:tr w14:paraId="5B7AF966" w14:textId="77777777" w:rsidTr="007133C6">
        <w:tblPrEx>
          <w:tblW w:w="9696" w:type="dxa"/>
          <w:tblInd w:w="-10" w:type="dxa"/>
          <w:tblLayout w:type="fixed"/>
          <w:tblCellMar>
            <w:left w:w="0" w:type="dxa"/>
            <w:right w:w="0" w:type="dxa"/>
          </w:tblCellMar>
          <w:tblLook w:val="01E0"/>
        </w:tblPrEx>
        <w:trPr>
          <w:trHeight w:val="180"/>
        </w:trPr>
        <w:tc>
          <w:tcPr>
            <w:tcW w:w="1080" w:type="dxa"/>
            <w:vAlign w:val="bottom"/>
          </w:tcPr>
          <w:p w:rsidR="00016227" w:rsidRPr="00775F83" w:rsidP="007133C6" w14:paraId="465CA450" w14:textId="77777777">
            <w:pPr>
              <w:pStyle w:val="TableParagraph"/>
              <w:ind w:left="0"/>
              <w:contextualSpacing/>
              <w:jc w:val="center"/>
            </w:pPr>
            <w:r w:rsidRPr="00775F83">
              <w:t>9</w:t>
            </w:r>
          </w:p>
        </w:tc>
        <w:tc>
          <w:tcPr>
            <w:tcW w:w="4308" w:type="dxa"/>
            <w:vAlign w:val="bottom"/>
          </w:tcPr>
          <w:p w:rsidR="00016227" w:rsidRPr="00775F83" w:rsidP="007133C6" w14:paraId="6B18747D" w14:textId="77777777">
            <w:pPr>
              <w:pStyle w:val="TableParagraph"/>
              <w:ind w:left="124"/>
              <w:contextualSpacing/>
            </w:pPr>
            <w:r w:rsidRPr="00775F83">
              <w:t>January 1, 2024, to June 30, 2024</w:t>
            </w:r>
          </w:p>
        </w:tc>
        <w:tc>
          <w:tcPr>
            <w:tcW w:w="4308" w:type="dxa"/>
            <w:vAlign w:val="bottom"/>
          </w:tcPr>
          <w:p w:rsidR="00016227" w:rsidRPr="00775F83" w:rsidP="007133C6" w14:paraId="2439E10A" w14:textId="77777777">
            <w:pPr>
              <w:pStyle w:val="TableParagraph"/>
              <w:ind w:left="0" w:firstLine="124"/>
              <w:contextualSpacing/>
            </w:pPr>
            <w:r w:rsidRPr="00775F83">
              <w:t>January 1, 2020, to June 30, 2023</w:t>
            </w:r>
          </w:p>
        </w:tc>
      </w:tr>
    </w:tbl>
    <w:p w:rsidR="00016227" w:rsidRPr="00775F83" w:rsidP="00AE1039" w14:paraId="0B434D52" w14:textId="77777777">
      <w:pPr>
        <w:contextualSpacing/>
      </w:pPr>
    </w:p>
    <w:bookmarkStart w:id="8" w:name="_Reporting_Time_Periods"/>
    <w:bookmarkEnd w:id="8"/>
    <w:p w:rsidR="004057EF" w:rsidRPr="00775F83" w:rsidP="00997E9F" w14:paraId="507AA6EE" w14:textId="3E2A620F">
      <w:pPr>
        <w:pStyle w:val="Heading1"/>
        <w:ind w:left="0"/>
      </w:pPr>
      <w:r w:rsidRPr="00775F83">
        <w:fldChar w:fldCharType="begin"/>
      </w:r>
      <w:r w:rsidRPr="00775F83">
        <w:instrText xml:space="preserve"> HYPERLINK  \l "_Reporting_Time_Periods" </w:instrText>
      </w:r>
      <w:r w:rsidRPr="00775F83">
        <w:fldChar w:fldCharType="separate"/>
      </w:r>
      <w:r w:rsidRPr="00775F83" w:rsidR="00473190">
        <w:rPr>
          <w:rStyle w:val="Hyperlink"/>
        </w:rPr>
        <w:t>Reporting Time Periods</w:t>
      </w:r>
      <w:r w:rsidRPr="00775F83">
        <w:fldChar w:fldCharType="end"/>
      </w:r>
    </w:p>
    <w:p w:rsidR="003D6620" w:rsidRPr="00775F83" w:rsidP="00997E9F" w14:paraId="459E6C49" w14:textId="77777777">
      <w:pPr>
        <w:ind w:firstLine="115"/>
        <w:contextualSpacing/>
      </w:pPr>
    </w:p>
    <w:p w:rsidR="004057EF" w:rsidRPr="00775F83" w:rsidP="00997E9F" w14:paraId="507AA6EF" w14:textId="254B6BCA">
      <w:pPr>
        <w:contextualSpacing/>
      </w:pPr>
      <w:r w:rsidRPr="00775F83">
        <w:t xml:space="preserve">The reporting time periods apply to all past and </w:t>
      </w:r>
      <w:r w:rsidRPr="00775F83" w:rsidR="0092301F">
        <w:t>future</w:t>
      </w:r>
      <w:r w:rsidRPr="00775F83">
        <w:t xml:space="preserve"> PRF </w:t>
      </w:r>
      <w:r w:rsidRPr="00775F83" w:rsidR="005809DA">
        <w:rPr>
          <w:spacing w:val="-3"/>
        </w:rPr>
        <w:t xml:space="preserve">and ARP Rural </w:t>
      </w:r>
      <w:r w:rsidRPr="00775F83">
        <w:t>payments</w:t>
      </w:r>
      <w:r w:rsidRPr="00775F83" w:rsidR="000D486F">
        <w:t>.</w:t>
      </w:r>
      <w:r w:rsidRPr="00775F83">
        <w:t xml:space="preserve"> </w:t>
      </w:r>
    </w:p>
    <w:p w:rsidR="008A35D4" w:rsidRPr="00775F83" w:rsidP="00997E9F" w14:paraId="5034BC13" w14:textId="77777777">
      <w:pPr>
        <w:contextualSpacing/>
      </w:pPr>
    </w:p>
    <w:p w:rsidR="00AC38E6" w:rsidRPr="00775F83" w:rsidP="00997E9F" w14:paraId="5358D5AF" w14:textId="323492E1">
      <w:pPr>
        <w:contextualSpacing/>
      </w:pPr>
      <w:r w:rsidRPr="00775F83">
        <w:t xml:space="preserve">Recipients who received </w:t>
      </w:r>
      <w:r w:rsidRPr="00775F83" w:rsidR="002006D2">
        <w:t xml:space="preserve">and retained </w:t>
      </w:r>
      <w:r w:rsidRPr="00775F83">
        <w:t xml:space="preserve">one or more payments exceeding $10,000 in the aggregate during a </w:t>
      </w:r>
      <w:r w:rsidRPr="00D72475">
        <w:rPr>
          <w:bCs/>
        </w:rPr>
        <w:t>Payment</w:t>
      </w:r>
      <w:r w:rsidRPr="00D72475">
        <w:rPr>
          <w:bCs/>
          <w:spacing w:val="1"/>
        </w:rPr>
        <w:t xml:space="preserve"> </w:t>
      </w:r>
      <w:r w:rsidRPr="00D72475">
        <w:rPr>
          <w:bCs/>
        </w:rPr>
        <w:t>Received Period</w:t>
      </w:r>
      <w:r w:rsidRPr="00775F83">
        <w:t xml:space="preserve"> </w:t>
      </w:r>
      <w:r w:rsidRPr="00775F83" w:rsidR="00DA2991">
        <w:t xml:space="preserve">outlined below </w:t>
      </w:r>
      <w:r w:rsidRPr="00775F83">
        <w:t xml:space="preserve">are required to report in each applicable </w:t>
      </w:r>
      <w:r w:rsidRPr="00D72475">
        <w:rPr>
          <w:bCs/>
        </w:rPr>
        <w:t>Reporting Time Period</w:t>
      </w:r>
      <w:r w:rsidRPr="00775F83" w:rsidR="008715C8">
        <w:rPr>
          <w:bCs/>
        </w:rPr>
        <w:t>,</w:t>
      </w:r>
      <w:r w:rsidRPr="00775F83">
        <w:t xml:space="preserve"> as indicated in Table </w:t>
      </w:r>
      <w:r w:rsidRPr="00775F83" w:rsidR="008715C8">
        <w:t>3 below</w:t>
      </w:r>
      <w:r w:rsidRPr="00775F83">
        <w:t>.</w:t>
      </w:r>
      <w:r w:rsidRPr="00775F83" w:rsidR="00A31DE8">
        <w:t xml:space="preserve"> </w:t>
      </w:r>
      <w:r w:rsidRPr="00775F83">
        <w:t xml:space="preserve"> Reporting must be completed and submitted to HRSA by the last date of the reporting time period. </w:t>
      </w:r>
      <w:r w:rsidRPr="00775F83" w:rsidR="00A31DE8">
        <w:t xml:space="preserve"> </w:t>
      </w:r>
      <w:r w:rsidRPr="00775F83">
        <w:t xml:space="preserve">PRF </w:t>
      </w:r>
      <w:r w:rsidRPr="00775F83" w:rsidR="00B45E16">
        <w:rPr>
          <w:spacing w:val="1"/>
        </w:rPr>
        <w:t xml:space="preserve">and ARP Rural </w:t>
      </w:r>
      <w:r w:rsidRPr="00775F83">
        <w:t>recipients that do not report</w:t>
      </w:r>
      <w:r w:rsidRPr="00775F83" w:rsidR="002006D2">
        <w:t xml:space="preserve"> or return funds</w:t>
      </w:r>
      <w:r w:rsidRPr="00775F83">
        <w:t xml:space="preserve"> within the respective reporting time period are out of compliance with payment </w:t>
      </w:r>
      <w:hyperlink r:id="rId12" w:anchor="terms-and-conditions" w:history="1">
        <w:r w:rsidRPr="00775F83">
          <w:rPr>
            <w:rStyle w:val="Hyperlink"/>
          </w:rPr>
          <w:t>Terms and Conditions</w:t>
        </w:r>
      </w:hyperlink>
      <w:r w:rsidRPr="00775F83">
        <w:t xml:space="preserve"> and </w:t>
      </w:r>
      <w:r w:rsidRPr="00775F83" w:rsidR="00966975">
        <w:t>will</w:t>
      </w:r>
      <w:r w:rsidRPr="00775F83">
        <w:t xml:space="preserve"> be subject to </w:t>
      </w:r>
      <w:r w:rsidRPr="00775F83" w:rsidR="00703FC6">
        <w:t>repayment</w:t>
      </w:r>
      <w:r w:rsidRPr="00775F83" w:rsidR="00D32E36">
        <w:t>.</w:t>
      </w:r>
    </w:p>
    <w:p w:rsidR="00BD32E9" w:rsidRPr="00775F83" w:rsidP="00997E9F" w14:paraId="7961AB3A" w14:textId="77777777">
      <w:pPr>
        <w:contextualSpacing/>
      </w:pPr>
    </w:p>
    <w:p w:rsidR="004057EF" w:rsidRPr="00775F83" w:rsidP="00997E9F" w14:paraId="507AA6F1" w14:textId="25F38C4B">
      <w:pPr>
        <w:contextualSpacing/>
        <w:rPr>
          <w:i/>
          <w:iCs/>
        </w:rPr>
      </w:pPr>
      <w:r w:rsidRPr="00775F83">
        <w:rPr>
          <w:i/>
          <w:iCs/>
        </w:rPr>
        <w:t>Table</w:t>
      </w:r>
      <w:r w:rsidRPr="00775F83">
        <w:rPr>
          <w:i/>
          <w:iCs/>
          <w:spacing w:val="-5"/>
        </w:rPr>
        <w:t xml:space="preserve"> </w:t>
      </w:r>
      <w:r w:rsidRPr="00775F83" w:rsidR="0017734F">
        <w:rPr>
          <w:i/>
          <w:iCs/>
          <w:spacing w:val="-5"/>
        </w:rPr>
        <w:t>3</w:t>
      </w:r>
      <w:r w:rsidRPr="00775F83">
        <w:rPr>
          <w:i/>
          <w:iCs/>
        </w:rPr>
        <w:t>:</w:t>
      </w:r>
      <w:r w:rsidRPr="00775F83">
        <w:rPr>
          <w:i/>
          <w:iCs/>
          <w:spacing w:val="26"/>
        </w:rPr>
        <w:t xml:space="preserve"> </w:t>
      </w:r>
      <w:r w:rsidRPr="00775F83">
        <w:rPr>
          <w:i/>
          <w:iCs/>
        </w:rPr>
        <w:t>Reporting</w:t>
      </w:r>
      <w:r w:rsidRPr="00775F83">
        <w:rPr>
          <w:i/>
          <w:iCs/>
          <w:spacing w:val="-1"/>
        </w:rPr>
        <w:t xml:space="preserve"> </w:t>
      </w:r>
      <w:r w:rsidRPr="00775F83">
        <w:rPr>
          <w:i/>
          <w:iCs/>
        </w:rPr>
        <w:t>Time</w:t>
      </w:r>
      <w:r w:rsidRPr="00775F83">
        <w:rPr>
          <w:i/>
          <w:iCs/>
          <w:spacing w:val="-5"/>
        </w:rPr>
        <w:t xml:space="preserve"> </w:t>
      </w:r>
      <w:r w:rsidRPr="00775F83">
        <w:rPr>
          <w:i/>
          <w:iCs/>
        </w:rPr>
        <w:t>Periods</w:t>
      </w:r>
    </w:p>
    <w:p w:rsidR="003D6620" w:rsidRPr="00775F83" w:rsidP="00997E9F" w14:paraId="6AE9751C" w14:textId="77777777">
      <w:pPr>
        <w:contextualSpacing/>
      </w:pPr>
    </w:p>
    <w:tbl>
      <w:tblPr>
        <w:tblW w:w="968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
        <w:gridCol w:w="4310"/>
        <w:gridCol w:w="4290"/>
      </w:tblGrid>
      <w:tr w14:paraId="507AA6F9" w14:textId="77777777" w:rsidTr="00DF08CB">
        <w:tblPrEx>
          <w:tblW w:w="968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73"/>
        </w:trPr>
        <w:tc>
          <w:tcPr>
            <w:tcW w:w="1080" w:type="dxa"/>
            <w:tcBorders>
              <w:top w:val="single" w:sz="4" w:space="0" w:color="auto"/>
              <w:left w:val="single" w:sz="4" w:space="0" w:color="auto"/>
              <w:bottom w:val="single" w:sz="18" w:space="0" w:color="auto"/>
              <w:right w:val="single" w:sz="4" w:space="0" w:color="auto"/>
            </w:tcBorders>
          </w:tcPr>
          <w:p w:rsidR="004057EF" w:rsidRPr="00775F83" w:rsidP="009C34FA" w14:paraId="507AA6F3" w14:textId="77777777">
            <w:pPr>
              <w:pStyle w:val="TableParagraph"/>
              <w:spacing w:before="10"/>
              <w:ind w:left="0"/>
              <w:contextualSpacing/>
              <w:jc w:val="center"/>
              <w:rPr>
                <w:i/>
                <w:sz w:val="20"/>
              </w:rPr>
            </w:pPr>
          </w:p>
          <w:p w:rsidR="004057EF" w:rsidRPr="00775F83" w:rsidP="009C34FA" w14:paraId="507AA6F4" w14:textId="77777777">
            <w:pPr>
              <w:pStyle w:val="TableParagraph"/>
              <w:spacing w:before="0"/>
              <w:ind w:left="181"/>
              <w:contextualSpacing/>
              <w:jc w:val="center"/>
              <w:rPr>
                <w:b/>
                <w:bCs/>
              </w:rPr>
            </w:pPr>
            <w:r w:rsidRPr="00775F83">
              <w:rPr>
                <w:b/>
                <w:bCs/>
              </w:rPr>
              <w:t>Period</w:t>
            </w:r>
          </w:p>
        </w:tc>
        <w:tc>
          <w:tcPr>
            <w:tcW w:w="4310" w:type="dxa"/>
            <w:tcBorders>
              <w:top w:val="single" w:sz="4" w:space="0" w:color="auto"/>
              <w:left w:val="single" w:sz="4" w:space="0" w:color="auto"/>
              <w:bottom w:val="single" w:sz="18" w:space="0" w:color="auto"/>
              <w:right w:val="single" w:sz="4" w:space="0" w:color="auto"/>
            </w:tcBorders>
          </w:tcPr>
          <w:p w:rsidR="005B4021" w:rsidRPr="00775F83" w:rsidP="005B4021" w14:paraId="2D01A7C0" w14:textId="77777777">
            <w:pPr>
              <w:pStyle w:val="TableParagraph"/>
              <w:spacing w:before="0"/>
              <w:contextualSpacing/>
              <w:jc w:val="center"/>
              <w:rPr>
                <w:b/>
                <w:bCs/>
              </w:rPr>
            </w:pPr>
            <w:r w:rsidRPr="00775F83">
              <w:rPr>
                <w:b/>
                <w:bCs/>
              </w:rPr>
              <w:t>Payment</w:t>
            </w:r>
            <w:r w:rsidRPr="00775F83">
              <w:rPr>
                <w:b/>
                <w:bCs/>
                <w:spacing w:val="15"/>
              </w:rPr>
              <w:t xml:space="preserve"> </w:t>
            </w:r>
            <w:r w:rsidRPr="00775F83">
              <w:rPr>
                <w:b/>
                <w:bCs/>
              </w:rPr>
              <w:t>Received</w:t>
            </w:r>
            <w:r w:rsidRPr="00775F83">
              <w:rPr>
                <w:b/>
                <w:bCs/>
                <w:spacing w:val="-9"/>
              </w:rPr>
              <w:t xml:space="preserve"> </w:t>
            </w:r>
            <w:r w:rsidRPr="00775F83">
              <w:rPr>
                <w:b/>
                <w:bCs/>
              </w:rPr>
              <w:t>Period</w:t>
            </w:r>
          </w:p>
          <w:p w:rsidR="004057EF" w:rsidRPr="00775F83" w:rsidP="005B4021" w14:paraId="507AA6F6" w14:textId="44EEE27C">
            <w:pPr>
              <w:pStyle w:val="TableParagraph"/>
              <w:spacing w:before="0"/>
              <w:contextualSpacing/>
              <w:jc w:val="center"/>
              <w:rPr>
                <w:b/>
                <w:bCs/>
              </w:rPr>
            </w:pPr>
          </w:p>
        </w:tc>
        <w:tc>
          <w:tcPr>
            <w:tcW w:w="4290" w:type="dxa"/>
            <w:tcBorders>
              <w:top w:val="single" w:sz="4" w:space="0" w:color="auto"/>
              <w:left w:val="single" w:sz="4" w:space="0" w:color="auto"/>
              <w:bottom w:val="single" w:sz="18" w:space="0" w:color="auto"/>
              <w:right w:val="single" w:sz="4" w:space="0" w:color="auto"/>
            </w:tcBorders>
          </w:tcPr>
          <w:p w:rsidR="004057EF" w:rsidRPr="00775F83" w:rsidP="00AC38E6" w14:paraId="507AA6F7" w14:textId="77777777">
            <w:pPr>
              <w:pStyle w:val="TableParagraph"/>
              <w:spacing w:before="10"/>
              <w:ind w:left="0"/>
              <w:contextualSpacing/>
              <w:rPr>
                <w:i/>
                <w:sz w:val="20"/>
              </w:rPr>
            </w:pPr>
          </w:p>
          <w:p w:rsidR="004057EF" w:rsidRPr="00775F83" w:rsidP="005A3670" w14:paraId="507AA6F8" w14:textId="77777777">
            <w:pPr>
              <w:pStyle w:val="TableParagraph"/>
              <w:spacing w:before="0"/>
              <w:ind w:left="111" w:right="158"/>
              <w:contextualSpacing/>
              <w:jc w:val="center"/>
              <w:rPr>
                <w:b/>
                <w:bCs/>
              </w:rPr>
            </w:pPr>
            <w:r w:rsidRPr="00775F83">
              <w:rPr>
                <w:b/>
                <w:bCs/>
              </w:rPr>
              <w:t>Reporting</w:t>
            </w:r>
            <w:r w:rsidRPr="00775F83">
              <w:rPr>
                <w:b/>
                <w:bCs/>
                <w:spacing w:val="-2"/>
              </w:rPr>
              <w:t xml:space="preserve"> </w:t>
            </w:r>
            <w:r w:rsidRPr="00775F83">
              <w:rPr>
                <w:b/>
                <w:bCs/>
              </w:rPr>
              <w:t>Time</w:t>
            </w:r>
            <w:r w:rsidRPr="00775F83">
              <w:rPr>
                <w:b/>
                <w:bCs/>
                <w:spacing w:val="12"/>
              </w:rPr>
              <w:t xml:space="preserve"> </w:t>
            </w:r>
            <w:r w:rsidRPr="00775F83">
              <w:rPr>
                <w:b/>
                <w:bCs/>
              </w:rPr>
              <w:t>Period</w:t>
            </w:r>
          </w:p>
        </w:tc>
      </w:tr>
      <w:tr w14:paraId="507AA6FD" w14:textId="77777777" w:rsidTr="006D42FD">
        <w:tblPrEx>
          <w:tblW w:w="9680" w:type="dxa"/>
          <w:tblInd w:w="-5" w:type="dxa"/>
          <w:tblLayout w:type="fixed"/>
          <w:tblCellMar>
            <w:left w:w="0" w:type="dxa"/>
            <w:right w:w="0" w:type="dxa"/>
          </w:tblCellMar>
          <w:tblLook w:val="01E0"/>
        </w:tblPrEx>
        <w:trPr>
          <w:trHeight w:val="343"/>
        </w:trPr>
        <w:tc>
          <w:tcPr>
            <w:tcW w:w="1080" w:type="dxa"/>
            <w:tcBorders>
              <w:top w:val="single" w:sz="18" w:space="0" w:color="auto"/>
            </w:tcBorders>
            <w:vAlign w:val="bottom"/>
          </w:tcPr>
          <w:p w:rsidR="004057EF" w:rsidRPr="00775F83" w:rsidP="00D72475" w14:paraId="507AA6FA" w14:textId="1859784C">
            <w:pPr>
              <w:pStyle w:val="TableParagraph"/>
              <w:spacing w:before="44"/>
              <w:ind w:left="134"/>
              <w:contextualSpacing/>
              <w:jc w:val="center"/>
            </w:pPr>
            <w:r w:rsidRPr="00775F83">
              <w:t>1</w:t>
            </w:r>
          </w:p>
        </w:tc>
        <w:tc>
          <w:tcPr>
            <w:tcW w:w="4310" w:type="dxa"/>
            <w:tcBorders>
              <w:top w:val="single" w:sz="18" w:space="0" w:color="auto"/>
            </w:tcBorders>
            <w:vAlign w:val="bottom"/>
          </w:tcPr>
          <w:p w:rsidR="004057EF" w:rsidRPr="00775F83" w:rsidP="00AC38E6" w14:paraId="507AA6FB" w14:textId="3FCB73D6">
            <w:pPr>
              <w:pStyle w:val="TableParagraph"/>
              <w:spacing w:before="44"/>
              <w:ind w:left="118"/>
              <w:contextualSpacing/>
            </w:pPr>
            <w:r w:rsidRPr="00775F83">
              <w:t>April 10, 2020</w:t>
            </w:r>
            <w:r w:rsidRPr="00775F83" w:rsidR="00A31DE8">
              <w:t>,</w:t>
            </w:r>
            <w:r w:rsidRPr="00775F83">
              <w:t xml:space="preserve"> to June 30, 2020</w:t>
            </w:r>
          </w:p>
        </w:tc>
        <w:tc>
          <w:tcPr>
            <w:tcW w:w="4290" w:type="dxa"/>
            <w:tcBorders>
              <w:top w:val="single" w:sz="18" w:space="0" w:color="auto"/>
            </w:tcBorders>
            <w:vAlign w:val="bottom"/>
          </w:tcPr>
          <w:p w:rsidR="004057EF" w:rsidRPr="00775F83" w:rsidP="00AC38E6" w14:paraId="507AA6FC" w14:textId="2C2E765D">
            <w:pPr>
              <w:pStyle w:val="TableParagraph"/>
              <w:spacing w:before="44"/>
              <w:ind w:left="202" w:right="171"/>
              <w:contextualSpacing/>
            </w:pPr>
            <w:r w:rsidRPr="00775F83">
              <w:t>July 1, 2021</w:t>
            </w:r>
            <w:r w:rsidRPr="00775F83" w:rsidR="00A31DE8">
              <w:t>,</w:t>
            </w:r>
            <w:r w:rsidRPr="00775F83">
              <w:t xml:space="preserve"> to September 30, 2021</w:t>
            </w:r>
          </w:p>
        </w:tc>
      </w:tr>
      <w:tr w14:paraId="507AA701" w14:textId="77777777" w:rsidTr="006D42FD">
        <w:tblPrEx>
          <w:tblW w:w="9680" w:type="dxa"/>
          <w:tblInd w:w="-5" w:type="dxa"/>
          <w:tblLayout w:type="fixed"/>
          <w:tblCellMar>
            <w:left w:w="0" w:type="dxa"/>
            <w:right w:w="0" w:type="dxa"/>
          </w:tblCellMar>
          <w:tblLook w:val="01E0"/>
        </w:tblPrEx>
        <w:trPr>
          <w:trHeight w:val="332"/>
        </w:trPr>
        <w:tc>
          <w:tcPr>
            <w:tcW w:w="1080" w:type="dxa"/>
            <w:vAlign w:val="bottom"/>
          </w:tcPr>
          <w:p w:rsidR="004057EF" w:rsidRPr="00775F83" w:rsidP="00D72475" w14:paraId="507AA6FE" w14:textId="3B68BB4D">
            <w:pPr>
              <w:pStyle w:val="TableParagraph"/>
              <w:ind w:left="134"/>
              <w:contextualSpacing/>
              <w:jc w:val="center"/>
            </w:pPr>
            <w:r w:rsidRPr="00775F83">
              <w:t>2</w:t>
            </w:r>
          </w:p>
        </w:tc>
        <w:tc>
          <w:tcPr>
            <w:tcW w:w="4310" w:type="dxa"/>
            <w:vAlign w:val="bottom"/>
          </w:tcPr>
          <w:p w:rsidR="004057EF" w:rsidRPr="00775F83" w:rsidP="00AC38E6" w14:paraId="507AA6FF" w14:textId="7B27A2FE">
            <w:pPr>
              <w:pStyle w:val="TableParagraph"/>
              <w:ind w:left="118"/>
              <w:contextualSpacing/>
            </w:pPr>
            <w:r w:rsidRPr="00775F83">
              <w:t>July 1, 2020</w:t>
            </w:r>
            <w:r w:rsidRPr="00775F83" w:rsidR="00A31DE8">
              <w:t>,</w:t>
            </w:r>
            <w:r w:rsidRPr="00775F83">
              <w:t xml:space="preserve"> to December 31, 2020</w:t>
            </w:r>
          </w:p>
        </w:tc>
        <w:tc>
          <w:tcPr>
            <w:tcW w:w="4290" w:type="dxa"/>
            <w:vAlign w:val="bottom"/>
          </w:tcPr>
          <w:p w:rsidR="004057EF" w:rsidRPr="00775F83" w:rsidP="00AC38E6" w14:paraId="507AA700" w14:textId="0D7FA06F">
            <w:pPr>
              <w:pStyle w:val="TableParagraph"/>
              <w:ind w:left="171" w:right="171"/>
              <w:contextualSpacing/>
            </w:pPr>
            <w:r w:rsidRPr="00775F83">
              <w:t>January 1, 2022</w:t>
            </w:r>
            <w:r w:rsidRPr="00775F83" w:rsidR="00A31DE8">
              <w:t>,</w:t>
            </w:r>
            <w:r w:rsidRPr="00775F83">
              <w:t xml:space="preserve"> to March 31, 2022</w:t>
            </w:r>
          </w:p>
        </w:tc>
      </w:tr>
      <w:tr w14:paraId="507AA705" w14:textId="77777777" w:rsidTr="006D42FD">
        <w:tblPrEx>
          <w:tblW w:w="9680" w:type="dxa"/>
          <w:tblInd w:w="-5" w:type="dxa"/>
          <w:tblLayout w:type="fixed"/>
          <w:tblCellMar>
            <w:left w:w="0" w:type="dxa"/>
            <w:right w:w="0" w:type="dxa"/>
          </w:tblCellMar>
          <w:tblLook w:val="01E0"/>
        </w:tblPrEx>
        <w:trPr>
          <w:trHeight w:val="316"/>
        </w:trPr>
        <w:tc>
          <w:tcPr>
            <w:tcW w:w="1080" w:type="dxa"/>
            <w:vAlign w:val="bottom"/>
          </w:tcPr>
          <w:p w:rsidR="004057EF" w:rsidRPr="00775F83" w:rsidP="00D72475" w14:paraId="507AA702" w14:textId="3BE63B96">
            <w:pPr>
              <w:pStyle w:val="TableParagraph"/>
              <w:ind w:left="134"/>
              <w:contextualSpacing/>
              <w:jc w:val="center"/>
            </w:pPr>
            <w:r w:rsidRPr="00775F83">
              <w:t>3</w:t>
            </w:r>
          </w:p>
        </w:tc>
        <w:tc>
          <w:tcPr>
            <w:tcW w:w="4310" w:type="dxa"/>
            <w:vAlign w:val="bottom"/>
          </w:tcPr>
          <w:p w:rsidR="004057EF" w:rsidRPr="00775F83" w:rsidP="00AC38E6" w14:paraId="507AA703" w14:textId="3AA4EAB4">
            <w:pPr>
              <w:pStyle w:val="TableParagraph"/>
              <w:ind w:left="118"/>
              <w:contextualSpacing/>
            </w:pPr>
            <w:r w:rsidRPr="00775F83">
              <w:t>January 1, 2021</w:t>
            </w:r>
            <w:r w:rsidRPr="00775F83" w:rsidR="00A31DE8">
              <w:t>,</w:t>
            </w:r>
            <w:r w:rsidRPr="00775F83">
              <w:t xml:space="preserve"> to June 30, 2021</w:t>
            </w:r>
          </w:p>
        </w:tc>
        <w:tc>
          <w:tcPr>
            <w:tcW w:w="4290" w:type="dxa"/>
            <w:vAlign w:val="bottom"/>
          </w:tcPr>
          <w:p w:rsidR="004057EF" w:rsidRPr="00775F83" w:rsidP="00AC38E6" w14:paraId="507AA704" w14:textId="743A8336">
            <w:pPr>
              <w:pStyle w:val="TableParagraph"/>
              <w:ind w:left="202" w:right="171"/>
              <w:contextualSpacing/>
            </w:pPr>
            <w:r w:rsidRPr="00775F83">
              <w:t>July 1, 2022</w:t>
            </w:r>
            <w:r w:rsidRPr="00775F83" w:rsidR="00A31DE8">
              <w:t>,</w:t>
            </w:r>
            <w:r w:rsidRPr="00775F83">
              <w:t xml:space="preserve"> to September 30, 2022</w:t>
            </w:r>
          </w:p>
        </w:tc>
      </w:tr>
      <w:tr w14:paraId="507AA709" w14:textId="77777777" w:rsidTr="006D42FD">
        <w:tblPrEx>
          <w:tblW w:w="9680" w:type="dxa"/>
          <w:tblInd w:w="-5" w:type="dxa"/>
          <w:tblLayout w:type="fixed"/>
          <w:tblCellMar>
            <w:left w:w="0" w:type="dxa"/>
            <w:right w:w="0" w:type="dxa"/>
          </w:tblCellMar>
          <w:tblLook w:val="01E0"/>
        </w:tblPrEx>
        <w:trPr>
          <w:trHeight w:val="331"/>
        </w:trPr>
        <w:tc>
          <w:tcPr>
            <w:tcW w:w="1080" w:type="dxa"/>
            <w:vAlign w:val="bottom"/>
          </w:tcPr>
          <w:p w:rsidR="004057EF" w:rsidRPr="00775F83" w:rsidP="00D72475" w14:paraId="507AA706" w14:textId="0A88AF54">
            <w:pPr>
              <w:pStyle w:val="TableParagraph"/>
              <w:spacing w:before="48"/>
              <w:ind w:left="134"/>
              <w:contextualSpacing/>
              <w:jc w:val="center"/>
            </w:pPr>
            <w:r w:rsidRPr="00775F83">
              <w:t>4</w:t>
            </w:r>
          </w:p>
        </w:tc>
        <w:tc>
          <w:tcPr>
            <w:tcW w:w="4310" w:type="dxa"/>
            <w:vAlign w:val="bottom"/>
          </w:tcPr>
          <w:p w:rsidR="004057EF" w:rsidRPr="00775F83" w:rsidP="00AC38E6" w14:paraId="507AA707" w14:textId="3394E460">
            <w:pPr>
              <w:pStyle w:val="TableParagraph"/>
              <w:spacing w:before="48"/>
              <w:ind w:left="118"/>
              <w:contextualSpacing/>
            </w:pPr>
            <w:r w:rsidRPr="00775F83">
              <w:t>July 1, 2021</w:t>
            </w:r>
            <w:r w:rsidRPr="00775F83" w:rsidR="00A31DE8">
              <w:t>,</w:t>
            </w:r>
            <w:r w:rsidRPr="00775F83">
              <w:t xml:space="preserve"> to December 31, 2021</w:t>
            </w:r>
          </w:p>
        </w:tc>
        <w:tc>
          <w:tcPr>
            <w:tcW w:w="4290" w:type="dxa"/>
            <w:vAlign w:val="bottom"/>
          </w:tcPr>
          <w:p w:rsidR="004057EF" w:rsidRPr="00775F83" w:rsidP="00AC38E6" w14:paraId="507AA708" w14:textId="03C89400">
            <w:pPr>
              <w:pStyle w:val="TableParagraph"/>
              <w:spacing w:before="48"/>
              <w:ind w:left="171" w:right="171"/>
              <w:contextualSpacing/>
            </w:pPr>
            <w:r w:rsidRPr="00775F83">
              <w:t>January 1, 2023</w:t>
            </w:r>
            <w:r w:rsidRPr="00775F83" w:rsidR="00A31DE8">
              <w:t>,</w:t>
            </w:r>
            <w:r w:rsidRPr="00775F83">
              <w:t xml:space="preserve"> to March 31, 2023</w:t>
            </w:r>
          </w:p>
        </w:tc>
      </w:tr>
      <w:tr w14:paraId="3182705D" w14:textId="77777777" w:rsidTr="006D42FD">
        <w:tblPrEx>
          <w:tblW w:w="9680" w:type="dxa"/>
          <w:tblInd w:w="-5" w:type="dxa"/>
          <w:tblLayout w:type="fixed"/>
          <w:tblCellMar>
            <w:left w:w="0" w:type="dxa"/>
            <w:right w:w="0" w:type="dxa"/>
          </w:tblCellMar>
          <w:tblLook w:val="01E0"/>
        </w:tblPrEx>
        <w:trPr>
          <w:trHeight w:val="331"/>
        </w:trPr>
        <w:tc>
          <w:tcPr>
            <w:tcW w:w="1080" w:type="dxa"/>
            <w:vAlign w:val="bottom"/>
          </w:tcPr>
          <w:p w:rsidR="00747607" w:rsidRPr="00775F83" w:rsidP="00D72475" w14:paraId="7AB50F4D" w14:textId="38BAE815">
            <w:pPr>
              <w:pStyle w:val="TableParagraph"/>
              <w:spacing w:before="48"/>
              <w:ind w:left="134"/>
              <w:contextualSpacing/>
              <w:jc w:val="center"/>
            </w:pPr>
            <w:r w:rsidRPr="00775F83">
              <w:t>5</w:t>
            </w:r>
          </w:p>
        </w:tc>
        <w:tc>
          <w:tcPr>
            <w:tcW w:w="4310" w:type="dxa"/>
            <w:vAlign w:val="bottom"/>
          </w:tcPr>
          <w:p w:rsidR="00747607" w:rsidRPr="00775F83" w:rsidP="00AC38E6" w14:paraId="0F190951" w14:textId="7209F8CF">
            <w:pPr>
              <w:pStyle w:val="TableParagraph"/>
              <w:spacing w:before="48"/>
              <w:ind w:left="118"/>
              <w:contextualSpacing/>
            </w:pPr>
            <w:r w:rsidRPr="00775F83">
              <w:t>January 1, 2022</w:t>
            </w:r>
            <w:r w:rsidRPr="00775F83" w:rsidR="00A31DE8">
              <w:t>,</w:t>
            </w:r>
            <w:r w:rsidRPr="00775F83">
              <w:t xml:space="preserve"> to June 30, 2022</w:t>
            </w:r>
          </w:p>
        </w:tc>
        <w:tc>
          <w:tcPr>
            <w:tcW w:w="4290" w:type="dxa"/>
            <w:vAlign w:val="bottom"/>
          </w:tcPr>
          <w:p w:rsidR="00747607" w:rsidRPr="00775F83" w:rsidP="00AC38E6" w14:paraId="4E872425" w14:textId="40E26E56">
            <w:pPr>
              <w:pStyle w:val="TableParagraph"/>
              <w:spacing w:before="48"/>
              <w:ind w:left="171" w:right="171"/>
              <w:contextualSpacing/>
            </w:pPr>
            <w:r w:rsidRPr="00775F83">
              <w:t>July</w:t>
            </w:r>
            <w:r w:rsidRPr="00775F83">
              <w:rPr>
                <w:spacing w:val="-4"/>
              </w:rPr>
              <w:t xml:space="preserve"> 1</w:t>
            </w:r>
            <w:r w:rsidRPr="00775F83">
              <w:t>, 2023</w:t>
            </w:r>
            <w:r w:rsidRPr="00775F83" w:rsidR="00A31DE8">
              <w:t>,</w:t>
            </w:r>
            <w:r w:rsidRPr="00775F83">
              <w:t xml:space="preserve"> to September 30, </w:t>
            </w:r>
            <w:r w:rsidRPr="00775F83">
              <w:t>2023</w:t>
            </w:r>
            <w:r w:rsidRPr="00775F83">
              <w:t xml:space="preserve"> </w:t>
            </w:r>
          </w:p>
        </w:tc>
      </w:tr>
      <w:tr w14:paraId="03079BDC" w14:textId="77777777" w:rsidTr="006D42FD">
        <w:tblPrEx>
          <w:tblW w:w="9680" w:type="dxa"/>
          <w:tblInd w:w="-5" w:type="dxa"/>
          <w:tblLayout w:type="fixed"/>
          <w:tblCellMar>
            <w:left w:w="0" w:type="dxa"/>
            <w:right w:w="0" w:type="dxa"/>
          </w:tblCellMar>
          <w:tblLook w:val="01E0"/>
        </w:tblPrEx>
        <w:trPr>
          <w:trHeight w:val="331"/>
        </w:trPr>
        <w:tc>
          <w:tcPr>
            <w:tcW w:w="1080" w:type="dxa"/>
            <w:vAlign w:val="bottom"/>
          </w:tcPr>
          <w:p w:rsidR="00747607" w:rsidRPr="00775F83" w:rsidP="00D72475" w14:paraId="45E20716" w14:textId="75663ACD">
            <w:pPr>
              <w:pStyle w:val="TableParagraph"/>
              <w:spacing w:before="48"/>
              <w:ind w:left="134"/>
              <w:contextualSpacing/>
              <w:jc w:val="center"/>
            </w:pPr>
            <w:r w:rsidRPr="00775F83">
              <w:t>6</w:t>
            </w:r>
          </w:p>
        </w:tc>
        <w:tc>
          <w:tcPr>
            <w:tcW w:w="4310" w:type="dxa"/>
            <w:vAlign w:val="bottom"/>
          </w:tcPr>
          <w:p w:rsidR="00747607" w:rsidRPr="00775F83" w:rsidP="00AC38E6" w14:paraId="0B36A140" w14:textId="039B1769">
            <w:pPr>
              <w:pStyle w:val="TableParagraph"/>
              <w:spacing w:before="48"/>
              <w:ind w:left="118"/>
              <w:contextualSpacing/>
            </w:pPr>
            <w:r w:rsidRPr="00775F83">
              <w:t>July 1, 2022</w:t>
            </w:r>
            <w:r w:rsidRPr="00775F83" w:rsidR="00A31DE8">
              <w:t>,</w:t>
            </w:r>
            <w:r w:rsidRPr="00775F83">
              <w:t xml:space="preserve"> to December 31, 2022</w:t>
            </w:r>
          </w:p>
        </w:tc>
        <w:tc>
          <w:tcPr>
            <w:tcW w:w="4290" w:type="dxa"/>
            <w:vAlign w:val="bottom"/>
          </w:tcPr>
          <w:p w:rsidR="00747607" w:rsidRPr="00775F83" w:rsidP="00AC38E6" w14:paraId="49D4C7F3" w14:textId="49AFA4C5">
            <w:pPr>
              <w:pStyle w:val="TableParagraph"/>
              <w:spacing w:before="48"/>
              <w:ind w:left="171" w:right="171"/>
              <w:contextualSpacing/>
            </w:pPr>
            <w:r w:rsidRPr="00775F83">
              <w:t>January 1, 2024</w:t>
            </w:r>
            <w:r w:rsidRPr="00775F83" w:rsidR="00A31DE8">
              <w:t>,</w:t>
            </w:r>
            <w:r w:rsidRPr="00775F83">
              <w:t xml:space="preserve"> to March 31, 202</w:t>
            </w:r>
            <w:r w:rsidRPr="00775F83" w:rsidR="004817D8">
              <w:t>4</w:t>
            </w:r>
          </w:p>
        </w:tc>
      </w:tr>
      <w:tr w14:paraId="7ED5D562" w14:textId="77777777" w:rsidTr="006D42FD">
        <w:tblPrEx>
          <w:tblW w:w="9680" w:type="dxa"/>
          <w:tblInd w:w="-5" w:type="dxa"/>
          <w:tblLayout w:type="fixed"/>
          <w:tblCellMar>
            <w:left w:w="0" w:type="dxa"/>
            <w:right w:w="0" w:type="dxa"/>
          </w:tblCellMar>
          <w:tblLook w:val="01E0"/>
        </w:tblPrEx>
        <w:trPr>
          <w:trHeight w:val="178"/>
        </w:trPr>
        <w:tc>
          <w:tcPr>
            <w:tcW w:w="1080" w:type="dxa"/>
            <w:vAlign w:val="bottom"/>
          </w:tcPr>
          <w:p w:rsidR="00620A2D" w:rsidRPr="00775F83" w:rsidP="00D72475" w14:paraId="7E209D5A" w14:textId="6DEACE1F">
            <w:pPr>
              <w:pStyle w:val="TableParagraph"/>
              <w:spacing w:before="48"/>
              <w:ind w:left="134"/>
              <w:contextualSpacing/>
              <w:jc w:val="center"/>
            </w:pPr>
            <w:r w:rsidRPr="00775F83">
              <w:t>7</w:t>
            </w:r>
          </w:p>
        </w:tc>
        <w:tc>
          <w:tcPr>
            <w:tcW w:w="4310" w:type="dxa"/>
            <w:vAlign w:val="bottom"/>
          </w:tcPr>
          <w:p w:rsidR="00620A2D" w:rsidRPr="00775F83" w:rsidP="00AC38E6" w14:paraId="44417A35" w14:textId="6FDDD482">
            <w:pPr>
              <w:pStyle w:val="TableParagraph"/>
              <w:spacing w:before="48"/>
              <w:ind w:left="118"/>
              <w:contextualSpacing/>
            </w:pPr>
            <w:r w:rsidRPr="00775F83">
              <w:t>January 1, 2023</w:t>
            </w:r>
            <w:r w:rsidRPr="00775F83" w:rsidR="00A31DE8">
              <w:t>,</w:t>
            </w:r>
            <w:r w:rsidRPr="00775F83">
              <w:t xml:space="preserve"> to June 30, 2023</w:t>
            </w:r>
          </w:p>
        </w:tc>
        <w:tc>
          <w:tcPr>
            <w:tcW w:w="4290" w:type="dxa"/>
            <w:vAlign w:val="bottom"/>
          </w:tcPr>
          <w:p w:rsidR="00620A2D" w:rsidRPr="00775F83" w:rsidP="00AC38E6" w14:paraId="1EFA2E7B" w14:textId="2A63BBF6">
            <w:pPr>
              <w:pStyle w:val="TableParagraph"/>
              <w:spacing w:before="48"/>
              <w:ind w:left="171" w:right="171"/>
              <w:contextualSpacing/>
            </w:pPr>
            <w:r w:rsidRPr="00775F83">
              <w:t>July 1, 2024</w:t>
            </w:r>
            <w:r w:rsidRPr="00775F83" w:rsidR="00A31DE8">
              <w:t>,</w:t>
            </w:r>
            <w:r w:rsidRPr="00775F83">
              <w:t xml:space="preserve"> to September </w:t>
            </w:r>
            <w:r w:rsidRPr="00775F83" w:rsidR="002D3686">
              <w:t>3</w:t>
            </w:r>
            <w:r w:rsidRPr="00775F83">
              <w:t>0, 2024</w:t>
            </w:r>
          </w:p>
        </w:tc>
      </w:tr>
      <w:tr w14:paraId="40B5042F" w14:textId="77777777" w:rsidTr="006D42FD">
        <w:tblPrEx>
          <w:tblW w:w="9680" w:type="dxa"/>
          <w:tblInd w:w="-5" w:type="dxa"/>
          <w:tblLayout w:type="fixed"/>
          <w:tblCellMar>
            <w:left w:w="0" w:type="dxa"/>
            <w:right w:w="0" w:type="dxa"/>
          </w:tblCellMar>
          <w:tblLook w:val="01E0"/>
        </w:tblPrEx>
        <w:trPr>
          <w:trHeight w:val="178"/>
        </w:trPr>
        <w:tc>
          <w:tcPr>
            <w:tcW w:w="1080" w:type="dxa"/>
            <w:vAlign w:val="bottom"/>
          </w:tcPr>
          <w:p w:rsidR="00BD32E9" w:rsidRPr="00775F83" w:rsidP="0017734F" w14:paraId="6A07B204" w14:textId="2F2DF717">
            <w:pPr>
              <w:pStyle w:val="TableParagraph"/>
              <w:spacing w:before="48"/>
              <w:ind w:left="134"/>
              <w:contextualSpacing/>
              <w:jc w:val="center"/>
            </w:pPr>
            <w:r w:rsidRPr="00775F83">
              <w:t>8</w:t>
            </w:r>
          </w:p>
        </w:tc>
        <w:tc>
          <w:tcPr>
            <w:tcW w:w="4310" w:type="dxa"/>
            <w:vAlign w:val="bottom"/>
          </w:tcPr>
          <w:p w:rsidR="00BD32E9" w:rsidRPr="00775F83" w:rsidP="00BD32E9" w14:paraId="4445211D" w14:textId="3A8BF418">
            <w:pPr>
              <w:pStyle w:val="TableParagraph"/>
              <w:spacing w:before="48"/>
              <w:ind w:left="118"/>
              <w:contextualSpacing/>
            </w:pPr>
            <w:r w:rsidRPr="00775F83">
              <w:t>July 1, 2023, to December 31, 2023</w:t>
            </w:r>
          </w:p>
        </w:tc>
        <w:tc>
          <w:tcPr>
            <w:tcW w:w="4290" w:type="dxa"/>
            <w:vAlign w:val="bottom"/>
          </w:tcPr>
          <w:p w:rsidR="00BD32E9" w:rsidRPr="00775F83" w:rsidP="00BD32E9" w14:paraId="2B143153" w14:textId="170267C0">
            <w:pPr>
              <w:pStyle w:val="TableParagraph"/>
              <w:spacing w:before="48"/>
              <w:ind w:left="171" w:right="171"/>
              <w:contextualSpacing/>
            </w:pPr>
            <w:r w:rsidRPr="00775F83">
              <w:t>January 1, 2025, to March 31, 2025</w:t>
            </w:r>
          </w:p>
        </w:tc>
      </w:tr>
      <w:tr w14:paraId="75E1FF53" w14:textId="77777777" w:rsidTr="006D42FD">
        <w:tblPrEx>
          <w:tblW w:w="9680" w:type="dxa"/>
          <w:tblInd w:w="-5" w:type="dxa"/>
          <w:tblLayout w:type="fixed"/>
          <w:tblCellMar>
            <w:left w:w="0" w:type="dxa"/>
            <w:right w:w="0" w:type="dxa"/>
          </w:tblCellMar>
          <w:tblLook w:val="01E0"/>
        </w:tblPrEx>
        <w:trPr>
          <w:trHeight w:val="178"/>
        </w:trPr>
        <w:tc>
          <w:tcPr>
            <w:tcW w:w="1080" w:type="dxa"/>
            <w:vAlign w:val="bottom"/>
          </w:tcPr>
          <w:p w:rsidR="00BD32E9" w:rsidRPr="00775F83" w:rsidP="0017734F" w14:paraId="52BF6056" w14:textId="1D0F18C6">
            <w:pPr>
              <w:pStyle w:val="TableParagraph"/>
              <w:spacing w:before="48"/>
              <w:ind w:left="134"/>
              <w:contextualSpacing/>
              <w:jc w:val="center"/>
            </w:pPr>
            <w:r w:rsidRPr="00775F83">
              <w:t>9</w:t>
            </w:r>
          </w:p>
        </w:tc>
        <w:tc>
          <w:tcPr>
            <w:tcW w:w="4310" w:type="dxa"/>
            <w:vAlign w:val="bottom"/>
          </w:tcPr>
          <w:p w:rsidR="00BD32E9" w:rsidRPr="00775F83" w:rsidP="00BD32E9" w14:paraId="12DF9225" w14:textId="2620191B">
            <w:pPr>
              <w:pStyle w:val="TableParagraph"/>
              <w:spacing w:before="48"/>
              <w:ind w:left="118"/>
              <w:contextualSpacing/>
            </w:pPr>
            <w:r w:rsidRPr="00775F83">
              <w:t>January 1, 2024, to June 30, 2024</w:t>
            </w:r>
          </w:p>
        </w:tc>
        <w:tc>
          <w:tcPr>
            <w:tcW w:w="4290" w:type="dxa"/>
            <w:vAlign w:val="bottom"/>
          </w:tcPr>
          <w:p w:rsidR="00BD32E9" w:rsidRPr="00775F83" w:rsidP="00BD32E9" w14:paraId="25F6532F" w14:textId="5252DF0E">
            <w:pPr>
              <w:pStyle w:val="TableParagraph"/>
              <w:spacing w:before="48"/>
              <w:ind w:left="171" w:right="171"/>
              <w:contextualSpacing/>
            </w:pPr>
            <w:r w:rsidRPr="00775F83">
              <w:t>July 1, 2025, to September 30, 2025</w:t>
            </w:r>
          </w:p>
        </w:tc>
      </w:tr>
    </w:tbl>
    <w:p w:rsidR="003D6620" w:rsidRPr="00775F83" w:rsidP="003D6620" w14:paraId="0ED6FEEC" w14:textId="77777777">
      <w:pPr>
        <w:ind w:left="230"/>
        <w:contextualSpacing/>
      </w:pPr>
    </w:p>
    <w:p w:rsidR="004057EF" w:rsidRPr="00775F83" w:rsidP="00997E9F" w14:paraId="507AA70D" w14:textId="5A908851">
      <w:pPr>
        <w:pStyle w:val="Heading1"/>
        <w:ind w:left="0"/>
      </w:pPr>
      <w:r w:rsidRPr="00775F83">
        <w:t>Summary of Reporting Requirements</w:t>
      </w:r>
    </w:p>
    <w:p w:rsidR="003D6620" w:rsidRPr="00775F83" w:rsidP="00997E9F" w14:paraId="382A03FF" w14:textId="77777777">
      <w:pPr>
        <w:contextualSpacing/>
      </w:pPr>
    </w:p>
    <w:p w:rsidR="002272B1" w:rsidRPr="00775F83" w14:paraId="47EBF594" w14:textId="1B738EE2">
      <w:pPr>
        <w:contextualSpacing/>
      </w:pPr>
      <w:r w:rsidRPr="00775F83">
        <w:t xml:space="preserve">Table </w:t>
      </w:r>
      <w:r w:rsidRPr="00775F83" w:rsidR="0017734F">
        <w:t>4</w:t>
      </w:r>
      <w:r w:rsidRPr="00775F83">
        <w:t xml:space="preserve"> summarizes how the </w:t>
      </w:r>
      <w:r w:rsidRPr="00D72475">
        <w:rPr>
          <w:b/>
          <w:bCs/>
        </w:rPr>
        <w:t>Payment Received Period</w:t>
      </w:r>
      <w:r w:rsidRPr="00D72475" w:rsidR="005A4FC0">
        <w:rPr>
          <w:b/>
          <w:bCs/>
        </w:rPr>
        <w:t>s</w:t>
      </w:r>
      <w:r w:rsidRPr="00775F83">
        <w:t xml:space="preserve"> align with the </w:t>
      </w:r>
      <w:r w:rsidRPr="00D72475" w:rsidR="002A204C">
        <w:rPr>
          <w:b/>
          <w:bCs/>
        </w:rPr>
        <w:t>Period</w:t>
      </w:r>
      <w:r w:rsidRPr="00D72475" w:rsidR="00C37DA1">
        <w:rPr>
          <w:b/>
          <w:bCs/>
        </w:rPr>
        <w:t>s</w:t>
      </w:r>
      <w:r w:rsidRPr="00D72475" w:rsidR="002A204C">
        <w:rPr>
          <w:b/>
          <w:bCs/>
        </w:rPr>
        <w:t xml:space="preserve"> of</w:t>
      </w:r>
      <w:r w:rsidRPr="00D72475" w:rsidR="001F2C7C">
        <w:rPr>
          <w:b/>
          <w:bCs/>
        </w:rPr>
        <w:t xml:space="preserve"> </w:t>
      </w:r>
      <w:r w:rsidRPr="00D72475" w:rsidR="002A204C">
        <w:rPr>
          <w:b/>
          <w:bCs/>
        </w:rPr>
        <w:t>Availability</w:t>
      </w:r>
      <w:r w:rsidRPr="00775F83" w:rsidR="008715C8">
        <w:t xml:space="preserve"> for</w:t>
      </w:r>
      <w:r w:rsidRPr="00775F83" w:rsidR="00661F58">
        <w:t xml:space="preserve"> </w:t>
      </w:r>
      <w:r w:rsidRPr="00775F83" w:rsidR="001D7060">
        <w:t xml:space="preserve">eligible </w:t>
      </w:r>
      <w:r w:rsidRPr="00775F83" w:rsidR="0071308C">
        <w:t>e</w:t>
      </w:r>
      <w:r w:rsidRPr="00775F83" w:rsidR="008715C8">
        <w:t xml:space="preserve">xpenses and </w:t>
      </w:r>
      <w:r w:rsidRPr="00775F83" w:rsidR="0071308C">
        <w:t>l</w:t>
      </w:r>
      <w:r w:rsidRPr="00775F83" w:rsidR="008715C8">
        <w:t xml:space="preserve">ost </w:t>
      </w:r>
      <w:r w:rsidRPr="00775F83" w:rsidR="0071308C">
        <w:t>r</w:t>
      </w:r>
      <w:r w:rsidRPr="00775F83" w:rsidR="008715C8">
        <w:t>evenues</w:t>
      </w:r>
      <w:r w:rsidRPr="00775F83">
        <w:t xml:space="preserve"> and the </w:t>
      </w:r>
      <w:r w:rsidRPr="00D72475">
        <w:rPr>
          <w:b/>
          <w:bCs/>
        </w:rPr>
        <w:t xml:space="preserve">Reporting Time </w:t>
      </w:r>
      <w:r w:rsidRPr="00D72475" w:rsidR="001F2C7C">
        <w:rPr>
          <w:b/>
          <w:bCs/>
        </w:rPr>
        <w:t>Period</w:t>
      </w:r>
      <w:r w:rsidRPr="00D72475" w:rsidR="005A4FC0">
        <w:rPr>
          <w:b/>
          <w:bCs/>
        </w:rPr>
        <w:t>s</w:t>
      </w:r>
      <w:r w:rsidRPr="00775F83" w:rsidR="001F2C7C">
        <w:t>.</w:t>
      </w:r>
    </w:p>
    <w:p w:rsidR="003D6620" w:rsidRPr="00775F83" w:rsidP="00997E9F" w14:paraId="29393010" w14:textId="77777777">
      <w:pPr>
        <w:contextualSpacing/>
      </w:pPr>
    </w:p>
    <w:p w:rsidR="004057EF" w:rsidRPr="00775F83" w:rsidP="00997E9F" w14:paraId="507AA711" w14:textId="3B3D33CB">
      <w:pPr>
        <w:contextualSpacing/>
        <w:rPr>
          <w:i/>
          <w:iCs/>
        </w:rPr>
      </w:pPr>
      <w:r w:rsidRPr="00775F83">
        <w:rPr>
          <w:i/>
          <w:iCs/>
        </w:rPr>
        <w:t>Table</w:t>
      </w:r>
      <w:r w:rsidRPr="00775F83">
        <w:rPr>
          <w:i/>
          <w:iCs/>
          <w:spacing w:val="-5"/>
        </w:rPr>
        <w:t xml:space="preserve"> </w:t>
      </w:r>
      <w:r w:rsidRPr="00775F83" w:rsidR="0017734F">
        <w:rPr>
          <w:i/>
          <w:iCs/>
          <w:spacing w:val="-5"/>
        </w:rPr>
        <w:t>4</w:t>
      </w:r>
      <w:r w:rsidRPr="00775F83">
        <w:rPr>
          <w:i/>
          <w:iCs/>
        </w:rPr>
        <w:t>:</w:t>
      </w:r>
      <w:r w:rsidRPr="00775F83">
        <w:rPr>
          <w:i/>
          <w:iCs/>
          <w:spacing w:val="5"/>
        </w:rPr>
        <w:t xml:space="preserve"> </w:t>
      </w:r>
      <w:r w:rsidRPr="00775F83">
        <w:rPr>
          <w:i/>
          <w:iCs/>
        </w:rPr>
        <w:t>Summary</w:t>
      </w:r>
      <w:r w:rsidRPr="00775F83">
        <w:rPr>
          <w:i/>
          <w:iCs/>
          <w:spacing w:val="-5"/>
        </w:rPr>
        <w:t xml:space="preserve"> </w:t>
      </w:r>
      <w:r w:rsidRPr="00775F83">
        <w:rPr>
          <w:i/>
          <w:iCs/>
        </w:rPr>
        <w:t>of</w:t>
      </w:r>
      <w:r w:rsidRPr="00775F83">
        <w:rPr>
          <w:i/>
          <w:iCs/>
          <w:spacing w:val="19"/>
        </w:rPr>
        <w:t xml:space="preserve"> </w:t>
      </w:r>
      <w:r w:rsidRPr="00775F83">
        <w:rPr>
          <w:i/>
          <w:iCs/>
        </w:rPr>
        <w:t>Reporting</w:t>
      </w:r>
      <w:r w:rsidRPr="00775F83">
        <w:rPr>
          <w:i/>
          <w:iCs/>
          <w:spacing w:val="-1"/>
        </w:rPr>
        <w:t xml:space="preserve"> </w:t>
      </w:r>
      <w:r w:rsidRPr="00775F83">
        <w:rPr>
          <w:i/>
          <w:iCs/>
        </w:rPr>
        <w:t>Requirements</w:t>
      </w:r>
    </w:p>
    <w:p w:rsidR="003D6620" w:rsidRPr="00775F83" w:rsidP="00997E9F" w14:paraId="31634755" w14:textId="77777777">
      <w:pPr>
        <w:contextualSpacing/>
        <w:rPr>
          <w:i/>
          <w:iCs/>
        </w:rPr>
      </w:pPr>
    </w:p>
    <w:tbl>
      <w:tblPr>
        <w:tblW w:w="97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2"/>
        <w:gridCol w:w="2148"/>
        <w:gridCol w:w="2148"/>
        <w:gridCol w:w="2148"/>
        <w:gridCol w:w="2194"/>
      </w:tblGrid>
      <w:tr w14:paraId="507AA71A" w14:textId="77777777" w:rsidTr="00636AE6">
        <w:tblPrEx>
          <w:tblW w:w="97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304"/>
        </w:trPr>
        <w:tc>
          <w:tcPr>
            <w:tcW w:w="1082" w:type="dxa"/>
            <w:tcBorders>
              <w:top w:val="single" w:sz="4" w:space="0" w:color="auto"/>
              <w:left w:val="single" w:sz="4" w:space="0" w:color="auto"/>
              <w:bottom w:val="single" w:sz="18" w:space="0" w:color="auto"/>
              <w:right w:val="single" w:sz="4" w:space="0" w:color="auto"/>
            </w:tcBorders>
          </w:tcPr>
          <w:p w:rsidR="004057EF" w:rsidRPr="00775F83" w:rsidP="00997E9F" w14:paraId="507AA713" w14:textId="77777777">
            <w:pPr>
              <w:pStyle w:val="TableParagraph"/>
              <w:spacing w:before="10"/>
              <w:ind w:left="0"/>
              <w:contextualSpacing/>
            </w:pPr>
            <w:bookmarkStart w:id="9" w:name="_Hlk127265516"/>
          </w:p>
          <w:p w:rsidR="004057EF" w:rsidRPr="00775F83" w:rsidP="00997E9F" w14:paraId="507AA714" w14:textId="77777777">
            <w:pPr>
              <w:pStyle w:val="TableParagraph"/>
              <w:spacing w:before="0"/>
              <w:ind w:left="0" w:right="55"/>
              <w:contextualSpacing/>
              <w:jc w:val="center"/>
              <w:rPr>
                <w:b/>
                <w:bCs/>
              </w:rPr>
            </w:pPr>
            <w:r w:rsidRPr="00775F83">
              <w:rPr>
                <w:b/>
                <w:bCs/>
              </w:rPr>
              <w:t>Period</w:t>
            </w:r>
          </w:p>
        </w:tc>
        <w:tc>
          <w:tcPr>
            <w:tcW w:w="2148" w:type="dxa"/>
            <w:tcBorders>
              <w:top w:val="single" w:sz="4" w:space="0" w:color="auto"/>
              <w:left w:val="single" w:sz="4" w:space="0" w:color="auto"/>
              <w:bottom w:val="single" w:sz="18" w:space="0" w:color="auto"/>
              <w:right w:val="single" w:sz="4" w:space="0" w:color="auto"/>
            </w:tcBorders>
          </w:tcPr>
          <w:p w:rsidR="004057EF" w:rsidRPr="00775F83" w:rsidP="00A91600" w14:paraId="507AA715" w14:textId="1CC380D6">
            <w:pPr>
              <w:pStyle w:val="TableParagraph"/>
              <w:spacing w:before="0"/>
              <w:ind w:left="0" w:right="170"/>
              <w:contextualSpacing/>
              <w:jc w:val="center"/>
              <w:rPr>
                <w:b/>
                <w:bCs/>
              </w:rPr>
            </w:pPr>
            <w:r w:rsidRPr="00775F83">
              <w:rPr>
                <w:b/>
                <w:bCs/>
              </w:rPr>
              <w:t>Payment</w:t>
            </w:r>
            <w:r w:rsidRPr="00775F83">
              <w:rPr>
                <w:b/>
                <w:bCs/>
                <w:spacing w:val="15"/>
              </w:rPr>
              <w:t xml:space="preserve"> </w:t>
            </w:r>
            <w:r w:rsidRPr="00775F83">
              <w:rPr>
                <w:b/>
                <w:bCs/>
              </w:rPr>
              <w:t>Received</w:t>
            </w:r>
            <w:r w:rsidRPr="00775F83">
              <w:rPr>
                <w:b/>
                <w:bCs/>
                <w:spacing w:val="-9"/>
              </w:rPr>
              <w:t xml:space="preserve"> </w:t>
            </w:r>
            <w:r w:rsidRPr="00775F83">
              <w:rPr>
                <w:b/>
                <w:bCs/>
              </w:rPr>
              <w:t>Period</w:t>
            </w:r>
          </w:p>
          <w:p w:rsidR="004057EF" w:rsidRPr="00775F83" w:rsidP="00302184" w14:paraId="507AA716" w14:textId="2657CF61">
            <w:pPr>
              <w:pStyle w:val="TableParagraph"/>
              <w:spacing w:before="0"/>
              <w:ind w:left="0" w:right="170"/>
              <w:contextualSpacing/>
              <w:jc w:val="center"/>
              <w:rPr>
                <w:b/>
                <w:bCs/>
                <w:spacing w:val="-52"/>
                <w:sz w:val="20"/>
                <w:szCs w:val="20"/>
              </w:rPr>
            </w:pPr>
          </w:p>
        </w:tc>
        <w:tc>
          <w:tcPr>
            <w:tcW w:w="2148" w:type="dxa"/>
            <w:tcBorders>
              <w:top w:val="single" w:sz="4" w:space="0" w:color="auto"/>
              <w:left w:val="single" w:sz="4" w:space="0" w:color="auto"/>
              <w:bottom w:val="single" w:sz="18" w:space="0" w:color="auto"/>
              <w:right w:val="single" w:sz="4" w:space="0" w:color="auto"/>
            </w:tcBorders>
            <w:vAlign w:val="center"/>
          </w:tcPr>
          <w:p w:rsidR="004057EF" w:rsidRPr="00775F83" w:rsidP="00997E9F" w14:paraId="507AA717" w14:textId="098C4D21">
            <w:pPr>
              <w:pStyle w:val="TableParagraph"/>
              <w:spacing w:before="112"/>
              <w:ind w:left="0" w:hanging="10"/>
              <w:contextualSpacing/>
              <w:jc w:val="center"/>
              <w:rPr>
                <w:b/>
                <w:bCs/>
              </w:rPr>
            </w:pPr>
            <w:r w:rsidRPr="00775F83">
              <w:rPr>
                <w:b/>
                <w:bCs/>
              </w:rPr>
              <w:t>Period of Availability</w:t>
            </w:r>
            <w:r w:rsidRPr="00775F83" w:rsidR="008715C8">
              <w:rPr>
                <w:b/>
                <w:bCs/>
              </w:rPr>
              <w:t xml:space="preserve"> for </w:t>
            </w:r>
            <w:r w:rsidRPr="00775F83" w:rsidR="00337AE1">
              <w:rPr>
                <w:b/>
                <w:bCs/>
              </w:rPr>
              <w:t xml:space="preserve">Eligible </w:t>
            </w:r>
            <w:r w:rsidRPr="00775F83" w:rsidR="008715C8">
              <w:rPr>
                <w:b/>
                <w:bCs/>
              </w:rPr>
              <w:t>Expenses</w:t>
            </w:r>
          </w:p>
        </w:tc>
        <w:tc>
          <w:tcPr>
            <w:tcW w:w="2148" w:type="dxa"/>
            <w:tcBorders>
              <w:top w:val="single" w:sz="4" w:space="0" w:color="auto"/>
              <w:left w:val="single" w:sz="4" w:space="0" w:color="auto"/>
              <w:bottom w:val="single" w:sz="18" w:space="0" w:color="auto"/>
              <w:right w:val="single" w:sz="4" w:space="0" w:color="auto"/>
            </w:tcBorders>
            <w:vAlign w:val="center"/>
          </w:tcPr>
          <w:p w:rsidR="00117AF1" w:rsidRPr="00775F83" w:rsidP="00117AF1" w14:paraId="16EF2D34" w14:textId="4503FC44">
            <w:pPr>
              <w:pStyle w:val="TableParagraph"/>
              <w:spacing w:before="0"/>
              <w:ind w:left="0"/>
              <w:contextualSpacing/>
              <w:jc w:val="center"/>
              <w:rPr>
                <w:b/>
                <w:bCs/>
              </w:rPr>
            </w:pPr>
            <w:r w:rsidRPr="00775F83">
              <w:rPr>
                <w:b/>
                <w:bCs/>
              </w:rPr>
              <w:t>Period of Availability for Lost Revenues</w:t>
            </w:r>
          </w:p>
        </w:tc>
        <w:tc>
          <w:tcPr>
            <w:tcW w:w="2194" w:type="dxa"/>
            <w:tcBorders>
              <w:top w:val="single" w:sz="4" w:space="0" w:color="auto"/>
              <w:left w:val="single" w:sz="4" w:space="0" w:color="auto"/>
              <w:bottom w:val="single" w:sz="18" w:space="0" w:color="auto"/>
              <w:right w:val="single" w:sz="4" w:space="0" w:color="auto"/>
            </w:tcBorders>
            <w:vAlign w:val="center"/>
          </w:tcPr>
          <w:p w:rsidR="004057EF" w:rsidRPr="00775F83" w:rsidP="008F5895" w14:paraId="507AA719" w14:textId="4FBADCD5">
            <w:pPr>
              <w:pStyle w:val="TableParagraph"/>
              <w:spacing w:before="0"/>
              <w:ind w:left="0"/>
              <w:contextualSpacing/>
              <w:jc w:val="center"/>
              <w:rPr>
                <w:b/>
                <w:bCs/>
              </w:rPr>
            </w:pPr>
            <w:r w:rsidRPr="00775F83">
              <w:rPr>
                <w:b/>
                <w:bCs/>
              </w:rPr>
              <w:t>Reporting</w:t>
            </w:r>
            <w:r w:rsidRPr="00775F83">
              <w:rPr>
                <w:b/>
                <w:bCs/>
                <w:spacing w:val="-2"/>
              </w:rPr>
              <w:t xml:space="preserve"> </w:t>
            </w:r>
            <w:r w:rsidRPr="00775F83">
              <w:rPr>
                <w:b/>
                <w:bCs/>
              </w:rPr>
              <w:t>Time</w:t>
            </w:r>
            <w:r w:rsidRPr="00775F83">
              <w:rPr>
                <w:b/>
                <w:bCs/>
                <w:spacing w:val="12"/>
              </w:rPr>
              <w:t xml:space="preserve"> </w:t>
            </w:r>
            <w:r w:rsidRPr="00775F83">
              <w:rPr>
                <w:b/>
                <w:bCs/>
              </w:rPr>
              <w:t>Period</w:t>
            </w:r>
          </w:p>
        </w:tc>
      </w:tr>
      <w:tr w14:paraId="507AA71F" w14:textId="77777777" w:rsidTr="00636AE6">
        <w:tblPrEx>
          <w:tblW w:w="9720" w:type="dxa"/>
          <w:tblInd w:w="-5" w:type="dxa"/>
          <w:tblLayout w:type="fixed"/>
          <w:tblCellMar>
            <w:left w:w="0" w:type="dxa"/>
            <w:right w:w="0" w:type="dxa"/>
          </w:tblCellMar>
          <w:tblLook w:val="01E0"/>
        </w:tblPrEx>
        <w:trPr>
          <w:trHeight w:val="551"/>
        </w:trPr>
        <w:tc>
          <w:tcPr>
            <w:tcW w:w="1082" w:type="dxa"/>
            <w:tcBorders>
              <w:top w:val="single" w:sz="18" w:space="0" w:color="auto"/>
            </w:tcBorders>
          </w:tcPr>
          <w:p w:rsidR="004057EF" w:rsidRPr="00775F83" w:rsidP="00997E9F" w14:paraId="507AA71B" w14:textId="638C4E9F">
            <w:pPr>
              <w:pStyle w:val="TableParagraph"/>
              <w:spacing w:before="44"/>
              <w:ind w:left="0" w:right="84"/>
              <w:contextualSpacing/>
              <w:jc w:val="center"/>
              <w:rPr>
                <w:sz w:val="20"/>
                <w:szCs w:val="20"/>
              </w:rPr>
            </w:pPr>
            <w:r w:rsidRPr="00775F83">
              <w:rPr>
                <w:sz w:val="20"/>
                <w:szCs w:val="20"/>
              </w:rPr>
              <w:t>1</w:t>
            </w:r>
          </w:p>
        </w:tc>
        <w:tc>
          <w:tcPr>
            <w:tcW w:w="2148" w:type="dxa"/>
            <w:tcBorders>
              <w:top w:val="single" w:sz="18" w:space="0" w:color="auto"/>
            </w:tcBorders>
          </w:tcPr>
          <w:p w:rsidR="004057EF" w:rsidRPr="00775F83" w:rsidP="00DB5F06" w14:paraId="507AA71C" w14:textId="2720A83F">
            <w:pPr>
              <w:pStyle w:val="TableParagraph"/>
              <w:spacing w:before="44"/>
              <w:ind w:left="159" w:right="165"/>
              <w:contextualSpacing/>
              <w:rPr>
                <w:sz w:val="20"/>
                <w:szCs w:val="20"/>
              </w:rPr>
            </w:pPr>
            <w:r w:rsidRPr="00775F83">
              <w:rPr>
                <w:sz w:val="20"/>
                <w:szCs w:val="20"/>
              </w:rPr>
              <w:t>April</w:t>
            </w:r>
            <w:r w:rsidRPr="00775F83">
              <w:rPr>
                <w:spacing w:val="14"/>
                <w:sz w:val="20"/>
                <w:szCs w:val="20"/>
              </w:rPr>
              <w:t xml:space="preserve"> </w:t>
            </w:r>
            <w:r w:rsidRPr="00775F83">
              <w:rPr>
                <w:sz w:val="20"/>
                <w:szCs w:val="20"/>
              </w:rPr>
              <w:t>10,</w:t>
            </w:r>
            <w:r w:rsidRPr="00775F83">
              <w:rPr>
                <w:spacing w:val="4"/>
                <w:sz w:val="20"/>
                <w:szCs w:val="20"/>
              </w:rPr>
              <w:t xml:space="preserve"> </w:t>
            </w:r>
            <w:r w:rsidRPr="00775F83">
              <w:rPr>
                <w:sz w:val="20"/>
                <w:szCs w:val="20"/>
              </w:rPr>
              <w:t>2020</w:t>
            </w:r>
            <w:r w:rsidRPr="00775F83" w:rsidR="00A31DE8">
              <w:rPr>
                <w:sz w:val="20"/>
                <w:szCs w:val="20"/>
              </w:rPr>
              <w:t>,</w:t>
            </w:r>
            <w:r w:rsidRPr="00775F83">
              <w:rPr>
                <w:spacing w:val="-5"/>
                <w:sz w:val="20"/>
                <w:szCs w:val="20"/>
              </w:rPr>
              <w:t xml:space="preserve"> </w:t>
            </w:r>
            <w:r w:rsidRPr="00775F83">
              <w:rPr>
                <w:sz w:val="20"/>
                <w:szCs w:val="20"/>
              </w:rPr>
              <w:t>to</w:t>
            </w:r>
            <w:r w:rsidRPr="00775F83">
              <w:rPr>
                <w:spacing w:val="-5"/>
                <w:sz w:val="20"/>
                <w:szCs w:val="20"/>
              </w:rPr>
              <w:t xml:space="preserve"> </w:t>
            </w:r>
            <w:r w:rsidRPr="00775F83">
              <w:rPr>
                <w:sz w:val="20"/>
                <w:szCs w:val="20"/>
              </w:rPr>
              <w:t>June</w:t>
            </w:r>
            <w:r w:rsidRPr="00775F83">
              <w:rPr>
                <w:spacing w:val="-8"/>
                <w:sz w:val="20"/>
                <w:szCs w:val="20"/>
              </w:rPr>
              <w:t xml:space="preserve"> </w:t>
            </w:r>
            <w:r w:rsidRPr="00775F83">
              <w:rPr>
                <w:sz w:val="20"/>
                <w:szCs w:val="20"/>
              </w:rPr>
              <w:t>30,</w:t>
            </w:r>
            <w:r w:rsidRPr="00775F83">
              <w:rPr>
                <w:spacing w:val="3"/>
                <w:sz w:val="20"/>
                <w:szCs w:val="20"/>
              </w:rPr>
              <w:t xml:space="preserve"> </w:t>
            </w:r>
            <w:r w:rsidRPr="00775F83">
              <w:rPr>
                <w:sz w:val="20"/>
                <w:szCs w:val="20"/>
              </w:rPr>
              <w:t>2020</w:t>
            </w:r>
          </w:p>
        </w:tc>
        <w:tc>
          <w:tcPr>
            <w:tcW w:w="2148" w:type="dxa"/>
            <w:tcBorders>
              <w:top w:val="single" w:sz="18" w:space="0" w:color="auto"/>
            </w:tcBorders>
          </w:tcPr>
          <w:p w:rsidR="004057EF" w:rsidRPr="00775F83" w:rsidP="00DB5F06" w14:paraId="507AA71D" w14:textId="2B7F18CB">
            <w:pPr>
              <w:pStyle w:val="TableParagraph"/>
              <w:spacing w:before="44"/>
              <w:ind w:left="173" w:right="150"/>
              <w:contextualSpacing/>
              <w:rPr>
                <w:sz w:val="20"/>
                <w:szCs w:val="20"/>
              </w:rPr>
            </w:pPr>
            <w:r w:rsidRPr="00775F83">
              <w:rPr>
                <w:sz w:val="20"/>
                <w:szCs w:val="20"/>
              </w:rPr>
              <w:t>January 1, 2020</w:t>
            </w:r>
            <w:r w:rsidRPr="00775F83" w:rsidR="00A31DE8">
              <w:rPr>
                <w:sz w:val="20"/>
                <w:szCs w:val="20"/>
              </w:rPr>
              <w:t>,</w:t>
            </w:r>
            <w:r w:rsidRPr="00775F83">
              <w:rPr>
                <w:sz w:val="20"/>
                <w:szCs w:val="20"/>
              </w:rPr>
              <w:t xml:space="preserve"> to </w:t>
            </w:r>
            <w:r w:rsidRPr="00775F83" w:rsidR="00473190">
              <w:rPr>
                <w:sz w:val="20"/>
                <w:szCs w:val="20"/>
              </w:rPr>
              <w:t>June</w:t>
            </w:r>
            <w:r w:rsidRPr="00775F83" w:rsidR="00473190">
              <w:rPr>
                <w:spacing w:val="-4"/>
                <w:sz w:val="20"/>
                <w:szCs w:val="20"/>
              </w:rPr>
              <w:t xml:space="preserve"> </w:t>
            </w:r>
            <w:r w:rsidRPr="00775F83" w:rsidR="00473190">
              <w:rPr>
                <w:sz w:val="20"/>
                <w:szCs w:val="20"/>
              </w:rPr>
              <w:t>30,</w:t>
            </w:r>
            <w:r w:rsidRPr="00775F83" w:rsidR="00473190">
              <w:rPr>
                <w:spacing w:val="9"/>
                <w:sz w:val="20"/>
                <w:szCs w:val="20"/>
              </w:rPr>
              <w:t xml:space="preserve"> </w:t>
            </w:r>
            <w:r w:rsidRPr="00775F83" w:rsidR="00473190">
              <w:rPr>
                <w:sz w:val="20"/>
                <w:szCs w:val="20"/>
              </w:rPr>
              <w:t>2021</w:t>
            </w:r>
          </w:p>
        </w:tc>
        <w:tc>
          <w:tcPr>
            <w:tcW w:w="2148" w:type="dxa"/>
            <w:tcBorders>
              <w:top w:val="single" w:sz="18" w:space="0" w:color="auto"/>
            </w:tcBorders>
          </w:tcPr>
          <w:p w:rsidR="00117AF1" w:rsidRPr="00775F83" w:rsidP="00117AF1" w14:paraId="51B68429" w14:textId="77628061">
            <w:pPr>
              <w:pStyle w:val="TableParagraph"/>
              <w:spacing w:before="44"/>
              <w:ind w:left="200" w:right="136"/>
              <w:contextualSpacing/>
              <w:rPr>
                <w:sz w:val="20"/>
                <w:szCs w:val="20"/>
              </w:rPr>
            </w:pPr>
            <w:r w:rsidRPr="00775F83">
              <w:rPr>
                <w:sz w:val="20"/>
                <w:szCs w:val="20"/>
              </w:rPr>
              <w:t>January 1, 202</w:t>
            </w:r>
            <w:r w:rsidRPr="00775F83" w:rsidR="00BE372D">
              <w:rPr>
                <w:sz w:val="20"/>
                <w:szCs w:val="20"/>
              </w:rPr>
              <w:t>0, to</w:t>
            </w:r>
            <w:r w:rsidRPr="00775F83">
              <w:rPr>
                <w:sz w:val="20"/>
                <w:szCs w:val="20"/>
              </w:rPr>
              <w:t xml:space="preserve"> June 30, 2021</w:t>
            </w:r>
          </w:p>
        </w:tc>
        <w:tc>
          <w:tcPr>
            <w:tcW w:w="2194" w:type="dxa"/>
            <w:tcBorders>
              <w:top w:val="single" w:sz="18" w:space="0" w:color="auto"/>
            </w:tcBorders>
          </w:tcPr>
          <w:p w:rsidR="004057EF" w:rsidRPr="00775F83" w:rsidP="00DB5F06" w14:paraId="507AA71E" w14:textId="5EF91A3F">
            <w:pPr>
              <w:pStyle w:val="TableParagraph"/>
              <w:spacing w:before="44"/>
              <w:ind w:left="200" w:right="136"/>
              <w:contextualSpacing/>
              <w:rPr>
                <w:sz w:val="20"/>
                <w:szCs w:val="20"/>
              </w:rPr>
            </w:pPr>
            <w:r w:rsidRPr="00775F83">
              <w:rPr>
                <w:sz w:val="20"/>
                <w:szCs w:val="20"/>
              </w:rPr>
              <w:t>July</w:t>
            </w:r>
            <w:r w:rsidRPr="00775F83">
              <w:rPr>
                <w:spacing w:val="-4"/>
                <w:sz w:val="20"/>
                <w:szCs w:val="20"/>
              </w:rPr>
              <w:t xml:space="preserve"> </w:t>
            </w:r>
            <w:r w:rsidRPr="00775F83">
              <w:rPr>
                <w:sz w:val="20"/>
                <w:szCs w:val="20"/>
              </w:rPr>
              <w:t>1,</w:t>
            </w:r>
            <w:r w:rsidRPr="00775F83">
              <w:rPr>
                <w:spacing w:val="6"/>
                <w:sz w:val="20"/>
                <w:szCs w:val="20"/>
              </w:rPr>
              <w:t xml:space="preserve"> </w:t>
            </w:r>
            <w:r w:rsidRPr="00775F83">
              <w:rPr>
                <w:sz w:val="20"/>
                <w:szCs w:val="20"/>
              </w:rPr>
              <w:t>2021</w:t>
            </w:r>
            <w:r w:rsidRPr="00775F83" w:rsidR="00A31DE8">
              <w:rPr>
                <w:sz w:val="20"/>
                <w:szCs w:val="20"/>
              </w:rPr>
              <w:t>,</w:t>
            </w:r>
            <w:r w:rsidRPr="00775F83">
              <w:rPr>
                <w:spacing w:val="-2"/>
                <w:sz w:val="20"/>
                <w:szCs w:val="20"/>
              </w:rPr>
              <w:t xml:space="preserve"> </w:t>
            </w:r>
            <w:r w:rsidRPr="00775F83">
              <w:rPr>
                <w:sz w:val="20"/>
                <w:szCs w:val="20"/>
              </w:rPr>
              <w:t>to</w:t>
            </w:r>
            <w:r w:rsidRPr="00775F83">
              <w:rPr>
                <w:spacing w:val="-4"/>
                <w:sz w:val="20"/>
                <w:szCs w:val="20"/>
              </w:rPr>
              <w:t xml:space="preserve"> </w:t>
            </w:r>
            <w:r w:rsidRPr="00775F83">
              <w:rPr>
                <w:sz w:val="20"/>
                <w:szCs w:val="20"/>
              </w:rPr>
              <w:t>September</w:t>
            </w:r>
            <w:r w:rsidRPr="00775F83">
              <w:rPr>
                <w:spacing w:val="4"/>
                <w:sz w:val="20"/>
                <w:szCs w:val="20"/>
              </w:rPr>
              <w:t xml:space="preserve"> </w:t>
            </w:r>
            <w:r w:rsidRPr="00775F83">
              <w:rPr>
                <w:sz w:val="20"/>
                <w:szCs w:val="20"/>
              </w:rPr>
              <w:t>30,</w:t>
            </w:r>
            <w:r w:rsidRPr="00775F83">
              <w:rPr>
                <w:spacing w:val="5"/>
                <w:sz w:val="20"/>
                <w:szCs w:val="20"/>
              </w:rPr>
              <w:t xml:space="preserve"> </w:t>
            </w:r>
            <w:r w:rsidRPr="00775F83">
              <w:rPr>
                <w:sz w:val="20"/>
                <w:szCs w:val="20"/>
              </w:rPr>
              <w:t>2021</w:t>
            </w:r>
          </w:p>
        </w:tc>
      </w:tr>
      <w:tr w14:paraId="507AA724" w14:textId="77777777" w:rsidTr="00636AE6">
        <w:tblPrEx>
          <w:tblW w:w="9720" w:type="dxa"/>
          <w:tblInd w:w="-5" w:type="dxa"/>
          <w:tblLayout w:type="fixed"/>
          <w:tblCellMar>
            <w:left w:w="0" w:type="dxa"/>
            <w:right w:w="0" w:type="dxa"/>
          </w:tblCellMar>
          <w:tblLook w:val="01E0"/>
        </w:tblPrEx>
        <w:trPr>
          <w:trHeight w:val="551"/>
        </w:trPr>
        <w:tc>
          <w:tcPr>
            <w:tcW w:w="1082" w:type="dxa"/>
          </w:tcPr>
          <w:p w:rsidR="004057EF" w:rsidRPr="00775F83" w:rsidP="00997E9F" w14:paraId="507AA720" w14:textId="5B28CE01">
            <w:pPr>
              <w:pStyle w:val="TableParagraph"/>
              <w:ind w:left="0" w:right="84"/>
              <w:contextualSpacing/>
              <w:jc w:val="center"/>
              <w:rPr>
                <w:sz w:val="20"/>
                <w:szCs w:val="20"/>
              </w:rPr>
            </w:pPr>
            <w:r w:rsidRPr="00775F83">
              <w:rPr>
                <w:sz w:val="20"/>
                <w:szCs w:val="20"/>
              </w:rPr>
              <w:t>2</w:t>
            </w:r>
          </w:p>
        </w:tc>
        <w:tc>
          <w:tcPr>
            <w:tcW w:w="2148" w:type="dxa"/>
          </w:tcPr>
          <w:p w:rsidR="004057EF" w:rsidRPr="00775F83" w:rsidP="00DB5F06" w14:paraId="507AA721" w14:textId="2AE34C6F">
            <w:pPr>
              <w:pStyle w:val="TableParagraph"/>
              <w:ind w:left="159" w:right="165"/>
              <w:contextualSpacing/>
              <w:rPr>
                <w:sz w:val="20"/>
                <w:szCs w:val="20"/>
              </w:rPr>
            </w:pPr>
            <w:r w:rsidRPr="00775F83">
              <w:rPr>
                <w:sz w:val="20"/>
                <w:szCs w:val="20"/>
              </w:rPr>
              <w:t>July</w:t>
            </w:r>
            <w:r w:rsidRPr="00775F83">
              <w:rPr>
                <w:spacing w:val="-3"/>
                <w:sz w:val="20"/>
                <w:szCs w:val="20"/>
              </w:rPr>
              <w:t xml:space="preserve"> </w:t>
            </w:r>
            <w:r w:rsidRPr="00775F83">
              <w:rPr>
                <w:sz w:val="20"/>
                <w:szCs w:val="20"/>
              </w:rPr>
              <w:t>1,</w:t>
            </w:r>
            <w:r w:rsidRPr="00775F83">
              <w:rPr>
                <w:spacing w:val="6"/>
                <w:sz w:val="20"/>
                <w:szCs w:val="20"/>
              </w:rPr>
              <w:t xml:space="preserve"> </w:t>
            </w:r>
            <w:r w:rsidRPr="00775F83">
              <w:rPr>
                <w:sz w:val="20"/>
                <w:szCs w:val="20"/>
              </w:rPr>
              <w:t>2020</w:t>
            </w:r>
            <w:r w:rsidRPr="00775F83" w:rsidR="00A31DE8">
              <w:rPr>
                <w:sz w:val="20"/>
                <w:szCs w:val="20"/>
              </w:rPr>
              <w:t>,</w:t>
            </w:r>
            <w:r w:rsidRPr="00775F83">
              <w:rPr>
                <w:spacing w:val="-2"/>
                <w:sz w:val="20"/>
                <w:szCs w:val="20"/>
              </w:rPr>
              <w:t xml:space="preserve"> </w:t>
            </w:r>
            <w:r w:rsidRPr="00775F83">
              <w:rPr>
                <w:sz w:val="20"/>
                <w:szCs w:val="20"/>
              </w:rPr>
              <w:t>to</w:t>
            </w:r>
            <w:r w:rsidRPr="00775F83">
              <w:rPr>
                <w:spacing w:val="-3"/>
                <w:sz w:val="20"/>
                <w:szCs w:val="20"/>
              </w:rPr>
              <w:t xml:space="preserve"> </w:t>
            </w:r>
            <w:r w:rsidRPr="00775F83">
              <w:rPr>
                <w:sz w:val="20"/>
                <w:szCs w:val="20"/>
              </w:rPr>
              <w:t>December</w:t>
            </w:r>
            <w:r w:rsidRPr="00775F83">
              <w:rPr>
                <w:spacing w:val="4"/>
                <w:sz w:val="20"/>
                <w:szCs w:val="20"/>
              </w:rPr>
              <w:t xml:space="preserve"> </w:t>
            </w:r>
            <w:r w:rsidRPr="00775F83">
              <w:rPr>
                <w:sz w:val="20"/>
                <w:szCs w:val="20"/>
              </w:rPr>
              <w:t>31,</w:t>
            </w:r>
            <w:r w:rsidRPr="00775F83">
              <w:rPr>
                <w:spacing w:val="6"/>
                <w:sz w:val="20"/>
                <w:szCs w:val="20"/>
              </w:rPr>
              <w:t xml:space="preserve"> </w:t>
            </w:r>
            <w:r w:rsidRPr="00775F83">
              <w:rPr>
                <w:sz w:val="20"/>
                <w:szCs w:val="20"/>
              </w:rPr>
              <w:t>2020</w:t>
            </w:r>
          </w:p>
        </w:tc>
        <w:tc>
          <w:tcPr>
            <w:tcW w:w="2148" w:type="dxa"/>
          </w:tcPr>
          <w:p w:rsidR="004057EF" w:rsidRPr="00775F83" w:rsidP="00DB5F06" w14:paraId="507AA722" w14:textId="61FECEB0">
            <w:pPr>
              <w:pStyle w:val="TableParagraph"/>
              <w:ind w:left="173" w:right="150"/>
              <w:contextualSpacing/>
              <w:rPr>
                <w:sz w:val="20"/>
                <w:szCs w:val="20"/>
              </w:rPr>
            </w:pPr>
            <w:r w:rsidRPr="00775F83">
              <w:rPr>
                <w:sz w:val="20"/>
                <w:szCs w:val="20"/>
              </w:rPr>
              <w:t>January 1, 2020</w:t>
            </w:r>
            <w:r w:rsidRPr="00775F83" w:rsidR="00A31DE8">
              <w:rPr>
                <w:sz w:val="20"/>
                <w:szCs w:val="20"/>
              </w:rPr>
              <w:t>,</w:t>
            </w:r>
            <w:r w:rsidRPr="00775F83">
              <w:rPr>
                <w:sz w:val="20"/>
                <w:szCs w:val="20"/>
              </w:rPr>
              <w:t xml:space="preserve"> to </w:t>
            </w:r>
            <w:r w:rsidRPr="00775F83" w:rsidR="00473190">
              <w:rPr>
                <w:sz w:val="20"/>
                <w:szCs w:val="20"/>
              </w:rPr>
              <w:t>December</w:t>
            </w:r>
            <w:r w:rsidRPr="00775F83" w:rsidR="00473190">
              <w:rPr>
                <w:spacing w:val="8"/>
                <w:sz w:val="20"/>
                <w:szCs w:val="20"/>
              </w:rPr>
              <w:t xml:space="preserve"> </w:t>
            </w:r>
            <w:r w:rsidRPr="00775F83" w:rsidR="00473190">
              <w:rPr>
                <w:sz w:val="20"/>
                <w:szCs w:val="20"/>
              </w:rPr>
              <w:t>31,</w:t>
            </w:r>
            <w:r w:rsidRPr="00775F83" w:rsidR="00473190">
              <w:rPr>
                <w:spacing w:val="10"/>
                <w:sz w:val="20"/>
                <w:szCs w:val="20"/>
              </w:rPr>
              <w:t xml:space="preserve"> </w:t>
            </w:r>
            <w:r w:rsidRPr="00775F83" w:rsidR="00473190">
              <w:rPr>
                <w:sz w:val="20"/>
                <w:szCs w:val="20"/>
              </w:rPr>
              <w:t>2021</w:t>
            </w:r>
          </w:p>
        </w:tc>
        <w:tc>
          <w:tcPr>
            <w:tcW w:w="2148" w:type="dxa"/>
          </w:tcPr>
          <w:p w:rsidR="00117AF1" w:rsidRPr="00775F83" w:rsidP="00117AF1" w14:paraId="7074766E" w14:textId="59F23220">
            <w:pPr>
              <w:pStyle w:val="TableParagraph"/>
              <w:ind w:left="200" w:right="136"/>
              <w:contextualSpacing/>
              <w:rPr>
                <w:sz w:val="20"/>
                <w:szCs w:val="20"/>
              </w:rPr>
            </w:pPr>
            <w:r w:rsidRPr="00775F83">
              <w:rPr>
                <w:sz w:val="20"/>
                <w:szCs w:val="20"/>
              </w:rPr>
              <w:t>January 1, 2020</w:t>
            </w:r>
            <w:r w:rsidRPr="00775F83" w:rsidR="00BE372D">
              <w:rPr>
                <w:sz w:val="20"/>
                <w:szCs w:val="20"/>
              </w:rPr>
              <w:t xml:space="preserve">, to </w:t>
            </w:r>
            <w:r w:rsidRPr="00775F83">
              <w:rPr>
                <w:sz w:val="20"/>
                <w:szCs w:val="20"/>
              </w:rPr>
              <w:t>December 31, 2021</w:t>
            </w:r>
          </w:p>
        </w:tc>
        <w:tc>
          <w:tcPr>
            <w:tcW w:w="2194" w:type="dxa"/>
          </w:tcPr>
          <w:p w:rsidR="004057EF" w:rsidRPr="00775F83" w:rsidP="00DB5F06" w14:paraId="507AA723" w14:textId="67DC179E">
            <w:pPr>
              <w:pStyle w:val="TableParagraph"/>
              <w:ind w:left="200" w:right="136"/>
              <w:contextualSpacing/>
              <w:rPr>
                <w:sz w:val="20"/>
                <w:szCs w:val="20"/>
              </w:rPr>
            </w:pPr>
            <w:r w:rsidRPr="00775F83">
              <w:rPr>
                <w:sz w:val="20"/>
                <w:szCs w:val="20"/>
              </w:rPr>
              <w:t>January</w:t>
            </w:r>
            <w:r w:rsidRPr="00775F83">
              <w:rPr>
                <w:spacing w:val="-1"/>
                <w:sz w:val="20"/>
                <w:szCs w:val="20"/>
              </w:rPr>
              <w:t xml:space="preserve"> </w:t>
            </w:r>
            <w:r w:rsidRPr="00775F83">
              <w:rPr>
                <w:sz w:val="20"/>
                <w:szCs w:val="20"/>
              </w:rPr>
              <w:t>1,</w:t>
            </w:r>
            <w:r w:rsidRPr="00775F83">
              <w:rPr>
                <w:spacing w:val="9"/>
                <w:sz w:val="20"/>
                <w:szCs w:val="20"/>
              </w:rPr>
              <w:t xml:space="preserve"> </w:t>
            </w:r>
            <w:r w:rsidRPr="00775F83">
              <w:rPr>
                <w:sz w:val="20"/>
                <w:szCs w:val="20"/>
              </w:rPr>
              <w:t>2022</w:t>
            </w:r>
            <w:r w:rsidRPr="00775F83" w:rsidR="00A31DE8">
              <w:rPr>
                <w:sz w:val="20"/>
                <w:szCs w:val="20"/>
              </w:rPr>
              <w:t>,</w:t>
            </w:r>
            <w:r w:rsidRPr="00775F83">
              <w:rPr>
                <w:spacing w:val="1"/>
                <w:sz w:val="20"/>
                <w:szCs w:val="20"/>
              </w:rPr>
              <w:t xml:space="preserve"> </w:t>
            </w:r>
            <w:r w:rsidRPr="00775F83">
              <w:rPr>
                <w:sz w:val="20"/>
                <w:szCs w:val="20"/>
              </w:rPr>
              <w:t>to March</w:t>
            </w:r>
            <w:r w:rsidRPr="00775F83">
              <w:rPr>
                <w:spacing w:val="-1"/>
                <w:sz w:val="20"/>
                <w:szCs w:val="20"/>
              </w:rPr>
              <w:t xml:space="preserve"> </w:t>
            </w:r>
            <w:r w:rsidRPr="00775F83">
              <w:rPr>
                <w:sz w:val="20"/>
                <w:szCs w:val="20"/>
              </w:rPr>
              <w:t>31,</w:t>
            </w:r>
            <w:r w:rsidRPr="00775F83">
              <w:rPr>
                <w:spacing w:val="9"/>
                <w:sz w:val="20"/>
                <w:szCs w:val="20"/>
              </w:rPr>
              <w:t xml:space="preserve"> </w:t>
            </w:r>
            <w:r w:rsidRPr="00775F83">
              <w:rPr>
                <w:sz w:val="20"/>
                <w:szCs w:val="20"/>
              </w:rPr>
              <w:t>2022</w:t>
            </w:r>
          </w:p>
        </w:tc>
      </w:tr>
      <w:tr w14:paraId="507AA729" w14:textId="77777777" w:rsidTr="00636AE6">
        <w:tblPrEx>
          <w:tblW w:w="9720" w:type="dxa"/>
          <w:tblInd w:w="-5" w:type="dxa"/>
          <w:tblLayout w:type="fixed"/>
          <w:tblCellMar>
            <w:left w:w="0" w:type="dxa"/>
            <w:right w:w="0" w:type="dxa"/>
          </w:tblCellMar>
          <w:tblLook w:val="01E0"/>
        </w:tblPrEx>
        <w:trPr>
          <w:trHeight w:val="551"/>
        </w:trPr>
        <w:tc>
          <w:tcPr>
            <w:tcW w:w="1082" w:type="dxa"/>
          </w:tcPr>
          <w:p w:rsidR="004057EF" w:rsidRPr="00775F83" w:rsidP="00997E9F" w14:paraId="507AA725" w14:textId="41100485">
            <w:pPr>
              <w:pStyle w:val="TableParagraph"/>
              <w:ind w:left="0" w:right="84"/>
              <w:contextualSpacing/>
              <w:jc w:val="center"/>
              <w:rPr>
                <w:sz w:val="20"/>
                <w:szCs w:val="20"/>
              </w:rPr>
            </w:pPr>
            <w:r w:rsidRPr="00775F83">
              <w:rPr>
                <w:sz w:val="20"/>
                <w:szCs w:val="20"/>
              </w:rPr>
              <w:t>3</w:t>
            </w:r>
          </w:p>
        </w:tc>
        <w:tc>
          <w:tcPr>
            <w:tcW w:w="2148" w:type="dxa"/>
          </w:tcPr>
          <w:p w:rsidR="004057EF" w:rsidRPr="00775F83" w:rsidP="00DB5F06" w14:paraId="507AA726" w14:textId="6CF8061A">
            <w:pPr>
              <w:pStyle w:val="TableParagraph"/>
              <w:ind w:left="159" w:right="165"/>
              <w:contextualSpacing/>
              <w:rPr>
                <w:sz w:val="20"/>
                <w:szCs w:val="20"/>
              </w:rPr>
            </w:pPr>
            <w:r w:rsidRPr="00775F83">
              <w:rPr>
                <w:sz w:val="20"/>
                <w:szCs w:val="20"/>
              </w:rPr>
              <w:t>January</w:t>
            </w:r>
            <w:r w:rsidRPr="00775F83">
              <w:rPr>
                <w:spacing w:val="-1"/>
                <w:sz w:val="20"/>
                <w:szCs w:val="20"/>
              </w:rPr>
              <w:t xml:space="preserve"> </w:t>
            </w:r>
            <w:r w:rsidRPr="00775F83">
              <w:rPr>
                <w:sz w:val="20"/>
                <w:szCs w:val="20"/>
              </w:rPr>
              <w:t>1,</w:t>
            </w:r>
            <w:r w:rsidRPr="00775F83">
              <w:rPr>
                <w:spacing w:val="9"/>
                <w:sz w:val="20"/>
                <w:szCs w:val="20"/>
              </w:rPr>
              <w:t xml:space="preserve"> </w:t>
            </w:r>
            <w:r w:rsidRPr="00775F83">
              <w:rPr>
                <w:sz w:val="20"/>
                <w:szCs w:val="20"/>
              </w:rPr>
              <w:t>2021</w:t>
            </w:r>
            <w:r w:rsidRPr="00775F83" w:rsidR="00A31DE8">
              <w:rPr>
                <w:sz w:val="20"/>
                <w:szCs w:val="20"/>
              </w:rPr>
              <w:t>,</w:t>
            </w:r>
            <w:r w:rsidRPr="00775F83">
              <w:rPr>
                <w:sz w:val="20"/>
                <w:szCs w:val="20"/>
              </w:rPr>
              <w:t xml:space="preserve"> to June</w:t>
            </w:r>
            <w:r w:rsidRPr="00775F83">
              <w:rPr>
                <w:spacing w:val="-4"/>
                <w:sz w:val="20"/>
                <w:szCs w:val="20"/>
              </w:rPr>
              <w:t xml:space="preserve"> </w:t>
            </w:r>
            <w:r w:rsidRPr="00775F83">
              <w:rPr>
                <w:sz w:val="20"/>
                <w:szCs w:val="20"/>
              </w:rPr>
              <w:t>30,</w:t>
            </w:r>
            <w:r w:rsidRPr="00775F83">
              <w:rPr>
                <w:spacing w:val="9"/>
                <w:sz w:val="20"/>
                <w:szCs w:val="20"/>
              </w:rPr>
              <w:t xml:space="preserve"> </w:t>
            </w:r>
            <w:r w:rsidRPr="00775F83">
              <w:rPr>
                <w:sz w:val="20"/>
                <w:szCs w:val="20"/>
              </w:rPr>
              <w:t>2021</w:t>
            </w:r>
          </w:p>
        </w:tc>
        <w:tc>
          <w:tcPr>
            <w:tcW w:w="2148" w:type="dxa"/>
          </w:tcPr>
          <w:p w:rsidR="004057EF" w:rsidRPr="00775F83" w:rsidP="00DB5F06" w14:paraId="507AA727" w14:textId="239952C0">
            <w:pPr>
              <w:pStyle w:val="TableParagraph"/>
              <w:ind w:left="173" w:right="150"/>
              <w:contextualSpacing/>
              <w:rPr>
                <w:sz w:val="20"/>
                <w:szCs w:val="20"/>
              </w:rPr>
            </w:pPr>
            <w:r w:rsidRPr="00775F83">
              <w:rPr>
                <w:sz w:val="20"/>
                <w:szCs w:val="20"/>
              </w:rPr>
              <w:t>January 1, 2020</w:t>
            </w:r>
            <w:r w:rsidRPr="00775F83" w:rsidR="00A31DE8">
              <w:rPr>
                <w:sz w:val="20"/>
                <w:szCs w:val="20"/>
              </w:rPr>
              <w:t>,</w:t>
            </w:r>
            <w:r w:rsidRPr="00775F83">
              <w:rPr>
                <w:sz w:val="20"/>
                <w:szCs w:val="20"/>
              </w:rPr>
              <w:t xml:space="preserve"> to </w:t>
            </w:r>
            <w:r w:rsidRPr="00775F83" w:rsidR="00473190">
              <w:rPr>
                <w:sz w:val="20"/>
                <w:szCs w:val="20"/>
              </w:rPr>
              <w:t>June</w:t>
            </w:r>
            <w:r w:rsidRPr="00775F83" w:rsidR="00473190">
              <w:rPr>
                <w:spacing w:val="-4"/>
                <w:sz w:val="20"/>
                <w:szCs w:val="20"/>
              </w:rPr>
              <w:t xml:space="preserve"> </w:t>
            </w:r>
            <w:r w:rsidRPr="00775F83" w:rsidR="00473190">
              <w:rPr>
                <w:sz w:val="20"/>
                <w:szCs w:val="20"/>
              </w:rPr>
              <w:t>30,</w:t>
            </w:r>
            <w:r w:rsidRPr="00775F83" w:rsidR="00473190">
              <w:rPr>
                <w:spacing w:val="9"/>
                <w:sz w:val="20"/>
                <w:szCs w:val="20"/>
              </w:rPr>
              <w:t xml:space="preserve"> </w:t>
            </w:r>
            <w:r w:rsidRPr="00775F83" w:rsidR="00473190">
              <w:rPr>
                <w:sz w:val="20"/>
                <w:szCs w:val="20"/>
              </w:rPr>
              <w:t>2022</w:t>
            </w:r>
          </w:p>
        </w:tc>
        <w:tc>
          <w:tcPr>
            <w:tcW w:w="2148" w:type="dxa"/>
          </w:tcPr>
          <w:p w:rsidR="00117AF1" w:rsidRPr="00775F83" w:rsidP="00117AF1" w14:paraId="03AF0FCD" w14:textId="74C778CD">
            <w:pPr>
              <w:pStyle w:val="TableParagraph"/>
              <w:ind w:left="200" w:right="136"/>
              <w:contextualSpacing/>
              <w:rPr>
                <w:sz w:val="20"/>
                <w:szCs w:val="20"/>
              </w:rPr>
            </w:pPr>
            <w:r w:rsidRPr="00775F83">
              <w:rPr>
                <w:sz w:val="20"/>
                <w:szCs w:val="20"/>
              </w:rPr>
              <w:t>January 1, 2020</w:t>
            </w:r>
            <w:r w:rsidRPr="00775F83" w:rsidR="00BE372D">
              <w:rPr>
                <w:sz w:val="20"/>
                <w:szCs w:val="20"/>
              </w:rPr>
              <w:t xml:space="preserve">, to </w:t>
            </w:r>
            <w:r w:rsidRPr="00775F83">
              <w:rPr>
                <w:sz w:val="20"/>
                <w:szCs w:val="20"/>
              </w:rPr>
              <w:t>June 30, 2022</w:t>
            </w:r>
          </w:p>
        </w:tc>
        <w:tc>
          <w:tcPr>
            <w:tcW w:w="2194" w:type="dxa"/>
          </w:tcPr>
          <w:p w:rsidR="004057EF" w:rsidRPr="00775F83" w:rsidP="00DB5F06" w14:paraId="507AA728" w14:textId="19FFAB67">
            <w:pPr>
              <w:pStyle w:val="TableParagraph"/>
              <w:ind w:left="200" w:right="136"/>
              <w:contextualSpacing/>
              <w:rPr>
                <w:sz w:val="20"/>
                <w:szCs w:val="20"/>
              </w:rPr>
            </w:pPr>
            <w:r w:rsidRPr="00775F83">
              <w:rPr>
                <w:sz w:val="20"/>
                <w:szCs w:val="20"/>
              </w:rPr>
              <w:t>July</w:t>
            </w:r>
            <w:r w:rsidRPr="00775F83">
              <w:rPr>
                <w:spacing w:val="-4"/>
                <w:sz w:val="20"/>
                <w:szCs w:val="20"/>
              </w:rPr>
              <w:t xml:space="preserve"> </w:t>
            </w:r>
            <w:r w:rsidRPr="00775F83">
              <w:rPr>
                <w:sz w:val="20"/>
                <w:szCs w:val="20"/>
              </w:rPr>
              <w:t>1,</w:t>
            </w:r>
            <w:r w:rsidRPr="00775F83">
              <w:rPr>
                <w:spacing w:val="6"/>
                <w:sz w:val="20"/>
                <w:szCs w:val="20"/>
              </w:rPr>
              <w:t xml:space="preserve"> </w:t>
            </w:r>
            <w:r w:rsidRPr="00775F83">
              <w:rPr>
                <w:sz w:val="20"/>
                <w:szCs w:val="20"/>
              </w:rPr>
              <w:t>2022</w:t>
            </w:r>
            <w:r w:rsidRPr="00775F83" w:rsidR="00A31DE8">
              <w:rPr>
                <w:sz w:val="20"/>
                <w:szCs w:val="20"/>
              </w:rPr>
              <w:t>,</w:t>
            </w:r>
            <w:r w:rsidRPr="00775F83">
              <w:rPr>
                <w:spacing w:val="-2"/>
                <w:sz w:val="20"/>
                <w:szCs w:val="20"/>
              </w:rPr>
              <w:t xml:space="preserve"> </w:t>
            </w:r>
            <w:r w:rsidRPr="00775F83">
              <w:rPr>
                <w:sz w:val="20"/>
                <w:szCs w:val="20"/>
              </w:rPr>
              <w:t>to</w:t>
            </w:r>
            <w:r w:rsidRPr="00775F83">
              <w:rPr>
                <w:spacing w:val="-4"/>
                <w:sz w:val="20"/>
                <w:szCs w:val="20"/>
              </w:rPr>
              <w:t xml:space="preserve"> </w:t>
            </w:r>
            <w:r w:rsidRPr="00775F83">
              <w:rPr>
                <w:sz w:val="20"/>
                <w:szCs w:val="20"/>
              </w:rPr>
              <w:t>September</w:t>
            </w:r>
            <w:r w:rsidRPr="00775F83">
              <w:rPr>
                <w:spacing w:val="4"/>
                <w:sz w:val="20"/>
                <w:szCs w:val="20"/>
              </w:rPr>
              <w:t xml:space="preserve"> </w:t>
            </w:r>
            <w:r w:rsidRPr="00775F83">
              <w:rPr>
                <w:sz w:val="20"/>
                <w:szCs w:val="20"/>
              </w:rPr>
              <w:t>30,</w:t>
            </w:r>
            <w:r w:rsidRPr="00775F83">
              <w:rPr>
                <w:spacing w:val="5"/>
                <w:sz w:val="20"/>
                <w:szCs w:val="20"/>
              </w:rPr>
              <w:t xml:space="preserve"> </w:t>
            </w:r>
            <w:r w:rsidRPr="00775F83">
              <w:rPr>
                <w:sz w:val="20"/>
                <w:szCs w:val="20"/>
              </w:rPr>
              <w:t>2022</w:t>
            </w:r>
          </w:p>
        </w:tc>
      </w:tr>
      <w:tr w14:paraId="507AA72E" w14:textId="77777777" w:rsidTr="00636AE6">
        <w:tblPrEx>
          <w:tblW w:w="9720" w:type="dxa"/>
          <w:tblInd w:w="-5" w:type="dxa"/>
          <w:tblLayout w:type="fixed"/>
          <w:tblCellMar>
            <w:left w:w="0" w:type="dxa"/>
            <w:right w:w="0" w:type="dxa"/>
          </w:tblCellMar>
          <w:tblLook w:val="01E0"/>
        </w:tblPrEx>
        <w:trPr>
          <w:trHeight w:val="551"/>
        </w:trPr>
        <w:tc>
          <w:tcPr>
            <w:tcW w:w="1082" w:type="dxa"/>
          </w:tcPr>
          <w:p w:rsidR="004057EF" w:rsidRPr="00775F83" w:rsidP="00997E9F" w14:paraId="507AA72A" w14:textId="39B0EB01">
            <w:pPr>
              <w:pStyle w:val="TableParagraph"/>
              <w:ind w:left="0" w:right="84"/>
              <w:contextualSpacing/>
              <w:jc w:val="center"/>
              <w:rPr>
                <w:sz w:val="20"/>
                <w:szCs w:val="20"/>
              </w:rPr>
            </w:pPr>
            <w:r w:rsidRPr="00775F83">
              <w:rPr>
                <w:sz w:val="20"/>
                <w:szCs w:val="20"/>
              </w:rPr>
              <w:t>4</w:t>
            </w:r>
          </w:p>
        </w:tc>
        <w:tc>
          <w:tcPr>
            <w:tcW w:w="2148" w:type="dxa"/>
          </w:tcPr>
          <w:p w:rsidR="004057EF" w:rsidRPr="00775F83" w:rsidP="00DB5F06" w14:paraId="507AA72B" w14:textId="020F141A">
            <w:pPr>
              <w:pStyle w:val="TableParagraph"/>
              <w:ind w:left="159" w:right="165"/>
              <w:contextualSpacing/>
              <w:rPr>
                <w:sz w:val="20"/>
                <w:szCs w:val="20"/>
              </w:rPr>
            </w:pPr>
            <w:r w:rsidRPr="00775F83">
              <w:rPr>
                <w:sz w:val="20"/>
                <w:szCs w:val="20"/>
              </w:rPr>
              <w:t>July</w:t>
            </w:r>
            <w:r w:rsidRPr="00775F83">
              <w:rPr>
                <w:spacing w:val="-3"/>
                <w:sz w:val="20"/>
                <w:szCs w:val="20"/>
              </w:rPr>
              <w:t xml:space="preserve"> </w:t>
            </w:r>
            <w:r w:rsidRPr="00775F83">
              <w:rPr>
                <w:sz w:val="20"/>
                <w:szCs w:val="20"/>
              </w:rPr>
              <w:t>1,</w:t>
            </w:r>
            <w:r w:rsidRPr="00775F83">
              <w:rPr>
                <w:spacing w:val="6"/>
                <w:sz w:val="20"/>
                <w:szCs w:val="20"/>
              </w:rPr>
              <w:t xml:space="preserve"> </w:t>
            </w:r>
            <w:r w:rsidRPr="00775F83">
              <w:rPr>
                <w:sz w:val="20"/>
                <w:szCs w:val="20"/>
              </w:rPr>
              <w:t>2021</w:t>
            </w:r>
            <w:r w:rsidRPr="00775F83" w:rsidR="00A31DE8">
              <w:rPr>
                <w:sz w:val="20"/>
                <w:szCs w:val="20"/>
              </w:rPr>
              <w:t>,</w:t>
            </w:r>
            <w:r w:rsidRPr="00775F83">
              <w:rPr>
                <w:spacing w:val="-2"/>
                <w:sz w:val="20"/>
                <w:szCs w:val="20"/>
              </w:rPr>
              <w:t xml:space="preserve"> </w:t>
            </w:r>
            <w:r w:rsidRPr="00775F83">
              <w:rPr>
                <w:sz w:val="20"/>
                <w:szCs w:val="20"/>
              </w:rPr>
              <w:t>to</w:t>
            </w:r>
            <w:r w:rsidRPr="00775F83">
              <w:rPr>
                <w:spacing w:val="-3"/>
                <w:sz w:val="20"/>
                <w:szCs w:val="20"/>
              </w:rPr>
              <w:t xml:space="preserve"> </w:t>
            </w:r>
            <w:r w:rsidRPr="00775F83">
              <w:rPr>
                <w:sz w:val="20"/>
                <w:szCs w:val="20"/>
              </w:rPr>
              <w:t>December</w:t>
            </w:r>
            <w:r w:rsidRPr="00775F83">
              <w:rPr>
                <w:spacing w:val="4"/>
                <w:sz w:val="20"/>
                <w:szCs w:val="20"/>
              </w:rPr>
              <w:t xml:space="preserve"> </w:t>
            </w:r>
            <w:r w:rsidRPr="00775F83">
              <w:rPr>
                <w:sz w:val="20"/>
                <w:szCs w:val="20"/>
              </w:rPr>
              <w:t>31,</w:t>
            </w:r>
            <w:r w:rsidRPr="00775F83">
              <w:rPr>
                <w:spacing w:val="6"/>
                <w:sz w:val="20"/>
                <w:szCs w:val="20"/>
              </w:rPr>
              <w:t xml:space="preserve"> </w:t>
            </w:r>
            <w:r w:rsidRPr="00775F83">
              <w:rPr>
                <w:sz w:val="20"/>
                <w:szCs w:val="20"/>
              </w:rPr>
              <w:t>2021</w:t>
            </w:r>
          </w:p>
        </w:tc>
        <w:tc>
          <w:tcPr>
            <w:tcW w:w="2148" w:type="dxa"/>
          </w:tcPr>
          <w:p w:rsidR="004057EF" w:rsidRPr="00775F83" w:rsidP="00DB5F06" w14:paraId="507AA72C" w14:textId="7199A4E2">
            <w:pPr>
              <w:pStyle w:val="TableParagraph"/>
              <w:ind w:left="173" w:right="150"/>
              <w:contextualSpacing/>
              <w:rPr>
                <w:sz w:val="20"/>
                <w:szCs w:val="20"/>
              </w:rPr>
            </w:pPr>
            <w:r w:rsidRPr="00775F83">
              <w:rPr>
                <w:sz w:val="20"/>
                <w:szCs w:val="20"/>
              </w:rPr>
              <w:t>January 1, 2020</w:t>
            </w:r>
            <w:r w:rsidRPr="00775F83" w:rsidR="00A31DE8">
              <w:rPr>
                <w:sz w:val="20"/>
                <w:szCs w:val="20"/>
              </w:rPr>
              <w:t>,</w:t>
            </w:r>
            <w:r w:rsidRPr="00775F83">
              <w:rPr>
                <w:sz w:val="20"/>
                <w:szCs w:val="20"/>
              </w:rPr>
              <w:t xml:space="preserve"> to </w:t>
            </w:r>
            <w:r w:rsidRPr="00775F83" w:rsidR="00473190">
              <w:rPr>
                <w:sz w:val="20"/>
                <w:szCs w:val="20"/>
              </w:rPr>
              <w:t>December</w:t>
            </w:r>
            <w:r w:rsidRPr="00775F83" w:rsidR="00473190">
              <w:rPr>
                <w:spacing w:val="8"/>
                <w:sz w:val="20"/>
                <w:szCs w:val="20"/>
              </w:rPr>
              <w:t xml:space="preserve"> </w:t>
            </w:r>
            <w:r w:rsidRPr="00775F83" w:rsidR="00473190">
              <w:rPr>
                <w:sz w:val="20"/>
                <w:szCs w:val="20"/>
              </w:rPr>
              <w:t>31,</w:t>
            </w:r>
            <w:r w:rsidRPr="00775F83" w:rsidR="00594FAD">
              <w:rPr>
                <w:spacing w:val="10"/>
                <w:sz w:val="20"/>
                <w:szCs w:val="20"/>
              </w:rPr>
              <w:t xml:space="preserve"> </w:t>
            </w:r>
            <w:r w:rsidRPr="00775F83" w:rsidR="00473190">
              <w:rPr>
                <w:sz w:val="20"/>
                <w:szCs w:val="20"/>
              </w:rPr>
              <w:t>2022</w:t>
            </w:r>
          </w:p>
        </w:tc>
        <w:tc>
          <w:tcPr>
            <w:tcW w:w="2148" w:type="dxa"/>
          </w:tcPr>
          <w:p w:rsidR="00117AF1" w:rsidRPr="00775F83" w:rsidP="00117AF1" w14:paraId="28FFCA1C" w14:textId="011D6E81">
            <w:pPr>
              <w:pStyle w:val="TableParagraph"/>
              <w:ind w:left="200" w:right="136"/>
              <w:contextualSpacing/>
              <w:rPr>
                <w:sz w:val="20"/>
                <w:szCs w:val="20"/>
              </w:rPr>
            </w:pPr>
            <w:r w:rsidRPr="00775F83">
              <w:rPr>
                <w:sz w:val="20"/>
                <w:szCs w:val="20"/>
              </w:rPr>
              <w:t>January 1, 2020</w:t>
            </w:r>
            <w:r w:rsidRPr="00775F83" w:rsidR="00BE372D">
              <w:rPr>
                <w:sz w:val="20"/>
                <w:szCs w:val="20"/>
              </w:rPr>
              <w:t xml:space="preserve">, to </w:t>
            </w:r>
            <w:r w:rsidRPr="00775F83">
              <w:rPr>
                <w:sz w:val="20"/>
                <w:szCs w:val="20"/>
              </w:rPr>
              <w:t>December 31, 2022</w:t>
            </w:r>
          </w:p>
        </w:tc>
        <w:tc>
          <w:tcPr>
            <w:tcW w:w="2194" w:type="dxa"/>
          </w:tcPr>
          <w:p w:rsidR="004057EF" w:rsidRPr="00775F83" w:rsidP="00DB5F06" w14:paraId="507AA72D" w14:textId="44931A48">
            <w:pPr>
              <w:pStyle w:val="TableParagraph"/>
              <w:ind w:left="200" w:right="136"/>
              <w:contextualSpacing/>
              <w:rPr>
                <w:sz w:val="20"/>
                <w:szCs w:val="20"/>
              </w:rPr>
            </w:pPr>
            <w:r w:rsidRPr="00775F83">
              <w:rPr>
                <w:sz w:val="20"/>
                <w:szCs w:val="20"/>
              </w:rPr>
              <w:t>January</w:t>
            </w:r>
            <w:r w:rsidRPr="00775F83">
              <w:rPr>
                <w:spacing w:val="-1"/>
                <w:sz w:val="20"/>
                <w:szCs w:val="20"/>
              </w:rPr>
              <w:t xml:space="preserve"> </w:t>
            </w:r>
            <w:r w:rsidRPr="00775F83">
              <w:rPr>
                <w:sz w:val="20"/>
                <w:szCs w:val="20"/>
              </w:rPr>
              <w:t>1,</w:t>
            </w:r>
            <w:r w:rsidRPr="00775F83">
              <w:rPr>
                <w:spacing w:val="9"/>
                <w:sz w:val="20"/>
                <w:szCs w:val="20"/>
              </w:rPr>
              <w:t xml:space="preserve"> </w:t>
            </w:r>
            <w:r w:rsidRPr="00775F83">
              <w:rPr>
                <w:sz w:val="20"/>
                <w:szCs w:val="20"/>
              </w:rPr>
              <w:t>2023</w:t>
            </w:r>
            <w:r w:rsidRPr="00775F83" w:rsidR="00A31DE8">
              <w:rPr>
                <w:sz w:val="20"/>
                <w:szCs w:val="20"/>
              </w:rPr>
              <w:t>,</w:t>
            </w:r>
            <w:r w:rsidRPr="00775F83">
              <w:rPr>
                <w:spacing w:val="1"/>
                <w:sz w:val="20"/>
                <w:szCs w:val="20"/>
              </w:rPr>
              <w:t xml:space="preserve"> </w:t>
            </w:r>
            <w:r w:rsidRPr="00775F83">
              <w:rPr>
                <w:sz w:val="20"/>
                <w:szCs w:val="20"/>
              </w:rPr>
              <w:t>to March</w:t>
            </w:r>
            <w:r w:rsidRPr="00775F83">
              <w:rPr>
                <w:spacing w:val="-1"/>
                <w:sz w:val="20"/>
                <w:szCs w:val="20"/>
              </w:rPr>
              <w:t xml:space="preserve"> </w:t>
            </w:r>
            <w:r w:rsidRPr="00775F83">
              <w:rPr>
                <w:sz w:val="20"/>
                <w:szCs w:val="20"/>
              </w:rPr>
              <w:t>31,</w:t>
            </w:r>
            <w:r w:rsidRPr="00775F83">
              <w:rPr>
                <w:spacing w:val="9"/>
                <w:sz w:val="20"/>
                <w:szCs w:val="20"/>
              </w:rPr>
              <w:t xml:space="preserve"> </w:t>
            </w:r>
            <w:r w:rsidRPr="00775F83">
              <w:rPr>
                <w:sz w:val="20"/>
                <w:szCs w:val="20"/>
              </w:rPr>
              <w:t>2023</w:t>
            </w:r>
          </w:p>
        </w:tc>
      </w:tr>
      <w:tr w14:paraId="670B6FD9" w14:textId="77777777" w:rsidTr="00636AE6">
        <w:tblPrEx>
          <w:tblW w:w="9720" w:type="dxa"/>
          <w:tblInd w:w="-5" w:type="dxa"/>
          <w:tblLayout w:type="fixed"/>
          <w:tblCellMar>
            <w:left w:w="0" w:type="dxa"/>
            <w:right w:w="0" w:type="dxa"/>
          </w:tblCellMar>
          <w:tblLook w:val="01E0"/>
        </w:tblPrEx>
        <w:trPr>
          <w:trHeight w:val="551"/>
        </w:trPr>
        <w:tc>
          <w:tcPr>
            <w:tcW w:w="1082" w:type="dxa"/>
          </w:tcPr>
          <w:p w:rsidR="00160155" w:rsidRPr="00775F83" w:rsidP="00997E9F" w14:paraId="0305839B" w14:textId="197D535A">
            <w:pPr>
              <w:pStyle w:val="TableParagraph"/>
              <w:ind w:left="0" w:right="84"/>
              <w:contextualSpacing/>
              <w:jc w:val="center"/>
              <w:rPr>
                <w:sz w:val="20"/>
                <w:szCs w:val="20"/>
              </w:rPr>
            </w:pPr>
            <w:r w:rsidRPr="00775F83">
              <w:rPr>
                <w:sz w:val="20"/>
                <w:szCs w:val="20"/>
              </w:rPr>
              <w:t>5</w:t>
            </w:r>
          </w:p>
        </w:tc>
        <w:tc>
          <w:tcPr>
            <w:tcW w:w="2148" w:type="dxa"/>
          </w:tcPr>
          <w:p w:rsidR="00160155" w:rsidRPr="00775F83" w:rsidP="00DB5F06" w14:paraId="059681CB" w14:textId="1782D847">
            <w:pPr>
              <w:pStyle w:val="TableParagraph"/>
              <w:ind w:left="159" w:right="165"/>
              <w:contextualSpacing/>
              <w:rPr>
                <w:sz w:val="20"/>
                <w:szCs w:val="20"/>
              </w:rPr>
            </w:pPr>
            <w:r w:rsidRPr="00775F83">
              <w:rPr>
                <w:sz w:val="20"/>
                <w:szCs w:val="20"/>
              </w:rPr>
              <w:t>January</w:t>
            </w:r>
            <w:r w:rsidRPr="00775F83">
              <w:rPr>
                <w:spacing w:val="-1"/>
                <w:sz w:val="20"/>
                <w:szCs w:val="20"/>
              </w:rPr>
              <w:t xml:space="preserve"> </w:t>
            </w:r>
            <w:r w:rsidRPr="00775F83">
              <w:rPr>
                <w:sz w:val="20"/>
                <w:szCs w:val="20"/>
              </w:rPr>
              <w:t>1,</w:t>
            </w:r>
            <w:r w:rsidRPr="00775F83">
              <w:rPr>
                <w:spacing w:val="9"/>
                <w:sz w:val="20"/>
                <w:szCs w:val="20"/>
              </w:rPr>
              <w:t xml:space="preserve"> </w:t>
            </w:r>
            <w:r w:rsidRPr="00775F83">
              <w:rPr>
                <w:sz w:val="20"/>
                <w:szCs w:val="20"/>
              </w:rPr>
              <w:t>2022</w:t>
            </w:r>
            <w:r w:rsidRPr="00775F83" w:rsidR="00A31DE8">
              <w:rPr>
                <w:sz w:val="20"/>
                <w:szCs w:val="20"/>
              </w:rPr>
              <w:t>,</w:t>
            </w:r>
            <w:r w:rsidRPr="00775F83">
              <w:rPr>
                <w:sz w:val="20"/>
                <w:szCs w:val="20"/>
              </w:rPr>
              <w:t xml:space="preserve"> to June</w:t>
            </w:r>
            <w:r w:rsidRPr="00775F83">
              <w:rPr>
                <w:spacing w:val="-4"/>
                <w:sz w:val="20"/>
                <w:szCs w:val="20"/>
              </w:rPr>
              <w:t xml:space="preserve"> </w:t>
            </w:r>
            <w:r w:rsidRPr="00775F83">
              <w:rPr>
                <w:sz w:val="20"/>
                <w:szCs w:val="20"/>
              </w:rPr>
              <w:t>30,</w:t>
            </w:r>
            <w:r w:rsidRPr="00775F83">
              <w:rPr>
                <w:spacing w:val="9"/>
                <w:sz w:val="20"/>
                <w:szCs w:val="20"/>
              </w:rPr>
              <w:t xml:space="preserve"> </w:t>
            </w:r>
            <w:r w:rsidRPr="00775F83">
              <w:rPr>
                <w:sz w:val="20"/>
                <w:szCs w:val="20"/>
              </w:rPr>
              <w:t>2022</w:t>
            </w:r>
          </w:p>
        </w:tc>
        <w:tc>
          <w:tcPr>
            <w:tcW w:w="2148" w:type="dxa"/>
          </w:tcPr>
          <w:p w:rsidR="00160155" w:rsidRPr="00775F83" w:rsidP="00DB5F06" w14:paraId="79FDE9DD" w14:textId="2014AABC">
            <w:pPr>
              <w:pStyle w:val="TableParagraph"/>
              <w:ind w:left="173" w:right="150"/>
              <w:contextualSpacing/>
              <w:rPr>
                <w:sz w:val="20"/>
                <w:szCs w:val="20"/>
              </w:rPr>
            </w:pPr>
            <w:r w:rsidRPr="00775F83">
              <w:rPr>
                <w:sz w:val="20"/>
                <w:szCs w:val="20"/>
              </w:rPr>
              <w:t>January 1, 2020</w:t>
            </w:r>
            <w:r w:rsidRPr="00775F83" w:rsidR="00A31DE8">
              <w:rPr>
                <w:sz w:val="20"/>
                <w:szCs w:val="20"/>
              </w:rPr>
              <w:t>,</w:t>
            </w:r>
            <w:r w:rsidRPr="00775F83">
              <w:rPr>
                <w:sz w:val="20"/>
                <w:szCs w:val="20"/>
              </w:rPr>
              <w:t xml:space="preserve"> to June 30, 2023</w:t>
            </w:r>
          </w:p>
        </w:tc>
        <w:tc>
          <w:tcPr>
            <w:tcW w:w="2148" w:type="dxa"/>
          </w:tcPr>
          <w:p w:rsidR="00117AF1" w:rsidRPr="00775F83" w:rsidP="00117AF1" w14:paraId="28F40C2A" w14:textId="21EF7B02">
            <w:pPr>
              <w:pStyle w:val="TableParagraph"/>
              <w:ind w:left="200" w:right="136"/>
              <w:contextualSpacing/>
              <w:rPr>
                <w:sz w:val="20"/>
                <w:szCs w:val="20"/>
              </w:rPr>
            </w:pPr>
            <w:r w:rsidRPr="00775F83">
              <w:rPr>
                <w:sz w:val="20"/>
                <w:szCs w:val="20"/>
              </w:rPr>
              <w:t>January 1, 2020</w:t>
            </w:r>
            <w:r w:rsidRPr="00775F83" w:rsidR="00BE372D">
              <w:rPr>
                <w:sz w:val="20"/>
                <w:szCs w:val="20"/>
              </w:rPr>
              <w:t xml:space="preserve">, to </w:t>
            </w:r>
            <w:r w:rsidRPr="00775F83">
              <w:rPr>
                <w:sz w:val="20"/>
                <w:szCs w:val="20"/>
              </w:rPr>
              <w:t>June 30, 2023</w:t>
            </w:r>
          </w:p>
        </w:tc>
        <w:tc>
          <w:tcPr>
            <w:tcW w:w="2194" w:type="dxa"/>
          </w:tcPr>
          <w:p w:rsidR="00160155" w:rsidRPr="00775F83" w:rsidP="00DB5F06" w14:paraId="1D01BF0F" w14:textId="70867359">
            <w:pPr>
              <w:pStyle w:val="TableParagraph"/>
              <w:ind w:left="200" w:right="136"/>
              <w:contextualSpacing/>
              <w:rPr>
                <w:sz w:val="20"/>
                <w:szCs w:val="20"/>
              </w:rPr>
            </w:pPr>
            <w:r w:rsidRPr="00775F83">
              <w:rPr>
                <w:sz w:val="20"/>
                <w:szCs w:val="20"/>
              </w:rPr>
              <w:t>July 1, 2023</w:t>
            </w:r>
            <w:r w:rsidRPr="00775F83" w:rsidR="00A31DE8">
              <w:rPr>
                <w:sz w:val="20"/>
                <w:szCs w:val="20"/>
              </w:rPr>
              <w:t>,</w:t>
            </w:r>
            <w:r w:rsidRPr="00775F83">
              <w:rPr>
                <w:sz w:val="20"/>
                <w:szCs w:val="20"/>
              </w:rPr>
              <w:t xml:space="preserve"> to September 30, 2023</w:t>
            </w:r>
          </w:p>
        </w:tc>
      </w:tr>
      <w:tr w14:paraId="0243D3A6" w14:textId="77777777" w:rsidTr="00636AE6">
        <w:tblPrEx>
          <w:tblW w:w="9720" w:type="dxa"/>
          <w:tblInd w:w="-5" w:type="dxa"/>
          <w:tblLayout w:type="fixed"/>
          <w:tblCellMar>
            <w:left w:w="0" w:type="dxa"/>
            <w:right w:w="0" w:type="dxa"/>
          </w:tblCellMar>
          <w:tblLook w:val="01E0"/>
        </w:tblPrEx>
        <w:trPr>
          <w:trHeight w:val="551"/>
        </w:trPr>
        <w:tc>
          <w:tcPr>
            <w:tcW w:w="1082" w:type="dxa"/>
          </w:tcPr>
          <w:p w:rsidR="00467A4D" w:rsidRPr="00775F83" w:rsidP="00997E9F" w14:paraId="5B631DB2" w14:textId="77F3676D">
            <w:pPr>
              <w:pStyle w:val="TableParagraph"/>
              <w:ind w:left="0" w:right="84"/>
              <w:contextualSpacing/>
              <w:jc w:val="center"/>
              <w:rPr>
                <w:sz w:val="20"/>
                <w:szCs w:val="20"/>
              </w:rPr>
            </w:pPr>
            <w:r w:rsidRPr="00775F83">
              <w:rPr>
                <w:sz w:val="20"/>
                <w:szCs w:val="20"/>
              </w:rPr>
              <w:t>6</w:t>
            </w:r>
          </w:p>
        </w:tc>
        <w:tc>
          <w:tcPr>
            <w:tcW w:w="2148" w:type="dxa"/>
          </w:tcPr>
          <w:p w:rsidR="00467A4D" w:rsidRPr="00775F83" w:rsidP="00DB5F06" w14:paraId="04772E01" w14:textId="11AFE36E">
            <w:pPr>
              <w:pStyle w:val="TableParagraph"/>
              <w:ind w:left="159" w:right="165"/>
              <w:contextualSpacing/>
              <w:rPr>
                <w:sz w:val="20"/>
                <w:szCs w:val="20"/>
              </w:rPr>
            </w:pPr>
            <w:r w:rsidRPr="00775F83">
              <w:rPr>
                <w:sz w:val="20"/>
                <w:szCs w:val="20"/>
              </w:rPr>
              <w:t>July 1, 2022</w:t>
            </w:r>
            <w:r w:rsidRPr="00775F83" w:rsidR="00A31DE8">
              <w:rPr>
                <w:sz w:val="20"/>
                <w:szCs w:val="20"/>
              </w:rPr>
              <w:t>,</w:t>
            </w:r>
            <w:r w:rsidRPr="00775F83">
              <w:rPr>
                <w:sz w:val="20"/>
                <w:szCs w:val="20"/>
              </w:rPr>
              <w:t xml:space="preserve"> to December 31, 2022</w:t>
            </w:r>
          </w:p>
        </w:tc>
        <w:tc>
          <w:tcPr>
            <w:tcW w:w="2148" w:type="dxa"/>
          </w:tcPr>
          <w:p w:rsidR="00467A4D" w:rsidRPr="00775F83" w:rsidP="00DB5F06" w14:paraId="6B2C84E6" w14:textId="3E7ED1DA">
            <w:pPr>
              <w:pStyle w:val="TableParagraph"/>
              <w:ind w:left="173" w:right="150"/>
              <w:contextualSpacing/>
              <w:rPr>
                <w:sz w:val="20"/>
                <w:szCs w:val="20"/>
              </w:rPr>
            </w:pPr>
            <w:r w:rsidRPr="00775F83">
              <w:rPr>
                <w:sz w:val="20"/>
                <w:szCs w:val="20"/>
              </w:rPr>
              <w:t>January 1, 2020</w:t>
            </w:r>
            <w:r w:rsidRPr="00775F83" w:rsidR="00A31DE8">
              <w:rPr>
                <w:sz w:val="20"/>
                <w:szCs w:val="20"/>
              </w:rPr>
              <w:t>,</w:t>
            </w:r>
            <w:r w:rsidRPr="00775F83">
              <w:rPr>
                <w:sz w:val="20"/>
                <w:szCs w:val="20"/>
              </w:rPr>
              <w:t xml:space="preserve"> to December 31, 202</w:t>
            </w:r>
            <w:r w:rsidRPr="00775F83" w:rsidR="006F02C3">
              <w:rPr>
                <w:sz w:val="20"/>
                <w:szCs w:val="20"/>
              </w:rPr>
              <w:t>3</w:t>
            </w:r>
          </w:p>
        </w:tc>
        <w:tc>
          <w:tcPr>
            <w:tcW w:w="2148" w:type="dxa"/>
          </w:tcPr>
          <w:p w:rsidR="00BE372D" w:rsidRPr="00775F83" w:rsidP="00BE372D" w14:paraId="10502893" w14:textId="4FA780FF">
            <w:pPr>
              <w:pStyle w:val="TableParagraph"/>
              <w:ind w:left="200" w:right="136"/>
              <w:contextualSpacing/>
              <w:rPr>
                <w:sz w:val="20"/>
                <w:szCs w:val="20"/>
              </w:rPr>
            </w:pPr>
            <w:r w:rsidRPr="00775F83">
              <w:rPr>
                <w:sz w:val="20"/>
                <w:szCs w:val="20"/>
              </w:rPr>
              <w:t>January 1, 2020, to June 30, 2023</w:t>
            </w:r>
          </w:p>
        </w:tc>
        <w:tc>
          <w:tcPr>
            <w:tcW w:w="2194" w:type="dxa"/>
          </w:tcPr>
          <w:p w:rsidR="00467A4D" w:rsidRPr="00775F83" w:rsidP="00DB5F06" w14:paraId="25F34FA9" w14:textId="11C2F39F">
            <w:pPr>
              <w:pStyle w:val="TableParagraph"/>
              <w:ind w:left="200" w:right="136"/>
              <w:contextualSpacing/>
              <w:rPr>
                <w:sz w:val="20"/>
                <w:szCs w:val="20"/>
              </w:rPr>
            </w:pPr>
            <w:r w:rsidRPr="00775F83">
              <w:rPr>
                <w:sz w:val="20"/>
                <w:szCs w:val="20"/>
              </w:rPr>
              <w:t>J</w:t>
            </w:r>
            <w:r w:rsidRPr="00775F83" w:rsidR="004817D8">
              <w:rPr>
                <w:sz w:val="20"/>
                <w:szCs w:val="20"/>
              </w:rPr>
              <w:t>anuary 1, 2024</w:t>
            </w:r>
            <w:r w:rsidRPr="00775F83" w:rsidR="00A31DE8">
              <w:rPr>
                <w:sz w:val="20"/>
                <w:szCs w:val="20"/>
              </w:rPr>
              <w:t>,</w:t>
            </w:r>
            <w:r w:rsidRPr="00775F83" w:rsidR="004817D8">
              <w:rPr>
                <w:sz w:val="20"/>
                <w:szCs w:val="20"/>
              </w:rPr>
              <w:t xml:space="preserve"> to March 31, 2024</w:t>
            </w:r>
          </w:p>
        </w:tc>
      </w:tr>
      <w:tr w14:paraId="56C7A2FC" w14:textId="77777777" w:rsidTr="00636AE6">
        <w:tblPrEx>
          <w:tblW w:w="9720" w:type="dxa"/>
          <w:tblInd w:w="-5" w:type="dxa"/>
          <w:tblLayout w:type="fixed"/>
          <w:tblCellMar>
            <w:left w:w="0" w:type="dxa"/>
            <w:right w:w="0" w:type="dxa"/>
          </w:tblCellMar>
          <w:tblLook w:val="01E0"/>
        </w:tblPrEx>
        <w:trPr>
          <w:trHeight w:val="551"/>
        </w:trPr>
        <w:tc>
          <w:tcPr>
            <w:tcW w:w="1082" w:type="dxa"/>
          </w:tcPr>
          <w:p w:rsidR="00620A2D" w:rsidRPr="00775F83" w:rsidP="00997E9F" w14:paraId="15F05840" w14:textId="4FD3C898">
            <w:pPr>
              <w:pStyle w:val="TableParagraph"/>
              <w:ind w:left="0" w:right="84"/>
              <w:contextualSpacing/>
              <w:jc w:val="center"/>
              <w:rPr>
                <w:sz w:val="20"/>
                <w:szCs w:val="20"/>
              </w:rPr>
            </w:pPr>
            <w:r w:rsidRPr="00775F83">
              <w:rPr>
                <w:sz w:val="20"/>
                <w:szCs w:val="20"/>
              </w:rPr>
              <w:t>7</w:t>
            </w:r>
          </w:p>
        </w:tc>
        <w:tc>
          <w:tcPr>
            <w:tcW w:w="2148" w:type="dxa"/>
          </w:tcPr>
          <w:p w:rsidR="00620A2D" w:rsidRPr="00775F83" w:rsidP="00DB5F06" w14:paraId="40764C3E" w14:textId="23B4AFF4">
            <w:pPr>
              <w:pStyle w:val="TableParagraph"/>
              <w:ind w:left="159" w:right="165"/>
              <w:contextualSpacing/>
              <w:rPr>
                <w:sz w:val="20"/>
                <w:szCs w:val="20"/>
              </w:rPr>
            </w:pPr>
            <w:r w:rsidRPr="00775F83">
              <w:rPr>
                <w:sz w:val="20"/>
                <w:szCs w:val="20"/>
              </w:rPr>
              <w:t xml:space="preserve">January </w:t>
            </w:r>
            <w:r w:rsidRPr="00775F83">
              <w:rPr>
                <w:sz w:val="20"/>
                <w:szCs w:val="20"/>
              </w:rPr>
              <w:t>1, 202</w:t>
            </w:r>
            <w:r w:rsidRPr="00775F83">
              <w:rPr>
                <w:sz w:val="20"/>
                <w:szCs w:val="20"/>
              </w:rPr>
              <w:t>3</w:t>
            </w:r>
            <w:r w:rsidRPr="00775F83" w:rsidR="00A31DE8">
              <w:rPr>
                <w:sz w:val="20"/>
                <w:szCs w:val="20"/>
              </w:rPr>
              <w:t>,</w:t>
            </w:r>
            <w:r w:rsidRPr="00775F83">
              <w:rPr>
                <w:sz w:val="20"/>
                <w:szCs w:val="20"/>
              </w:rPr>
              <w:t xml:space="preserve"> to </w:t>
            </w:r>
            <w:r w:rsidRPr="00775F83">
              <w:rPr>
                <w:sz w:val="20"/>
                <w:szCs w:val="20"/>
              </w:rPr>
              <w:t>June 30, 2023</w:t>
            </w:r>
          </w:p>
        </w:tc>
        <w:tc>
          <w:tcPr>
            <w:tcW w:w="2148" w:type="dxa"/>
          </w:tcPr>
          <w:p w:rsidR="00620A2D" w:rsidRPr="00775F83" w:rsidP="00DB5F06" w14:paraId="1557BAD2" w14:textId="496DDA63">
            <w:pPr>
              <w:pStyle w:val="TableParagraph"/>
              <w:ind w:left="173" w:right="150"/>
              <w:contextualSpacing/>
              <w:rPr>
                <w:sz w:val="20"/>
                <w:szCs w:val="20"/>
              </w:rPr>
            </w:pPr>
            <w:r w:rsidRPr="00775F83">
              <w:rPr>
                <w:sz w:val="20"/>
                <w:szCs w:val="20"/>
              </w:rPr>
              <w:t>January 1, 2020</w:t>
            </w:r>
            <w:r w:rsidRPr="00775F83" w:rsidR="00A31DE8">
              <w:rPr>
                <w:sz w:val="20"/>
                <w:szCs w:val="20"/>
              </w:rPr>
              <w:t>,</w:t>
            </w:r>
            <w:r w:rsidRPr="00775F83">
              <w:rPr>
                <w:sz w:val="20"/>
                <w:szCs w:val="20"/>
              </w:rPr>
              <w:t xml:space="preserve"> to June 30, 202</w:t>
            </w:r>
            <w:r w:rsidRPr="00775F83" w:rsidR="006F02C3">
              <w:rPr>
                <w:sz w:val="20"/>
                <w:szCs w:val="20"/>
              </w:rPr>
              <w:t>4</w:t>
            </w:r>
          </w:p>
        </w:tc>
        <w:tc>
          <w:tcPr>
            <w:tcW w:w="2148" w:type="dxa"/>
          </w:tcPr>
          <w:p w:rsidR="00BE372D" w:rsidRPr="00775F83" w:rsidP="00BE372D" w14:paraId="4EF0B3E0" w14:textId="476B0ED5">
            <w:pPr>
              <w:pStyle w:val="TableParagraph"/>
              <w:ind w:left="200" w:right="136"/>
              <w:contextualSpacing/>
              <w:rPr>
                <w:sz w:val="20"/>
                <w:szCs w:val="20"/>
              </w:rPr>
            </w:pPr>
            <w:r w:rsidRPr="00775F83">
              <w:rPr>
                <w:sz w:val="20"/>
                <w:szCs w:val="20"/>
              </w:rPr>
              <w:t>January 1, 2020, to June 30, 2023</w:t>
            </w:r>
          </w:p>
        </w:tc>
        <w:tc>
          <w:tcPr>
            <w:tcW w:w="2194" w:type="dxa"/>
          </w:tcPr>
          <w:p w:rsidR="00620A2D" w:rsidRPr="00775F83" w:rsidP="00DB5F06" w14:paraId="61A6CB06" w14:textId="2FA794EE">
            <w:pPr>
              <w:pStyle w:val="TableParagraph"/>
              <w:ind w:left="200" w:right="136"/>
              <w:contextualSpacing/>
              <w:rPr>
                <w:sz w:val="20"/>
                <w:szCs w:val="20"/>
              </w:rPr>
            </w:pPr>
            <w:r w:rsidRPr="00775F83">
              <w:rPr>
                <w:sz w:val="20"/>
                <w:szCs w:val="20"/>
              </w:rPr>
              <w:t>July 1, 2024</w:t>
            </w:r>
            <w:r w:rsidRPr="00775F83" w:rsidR="00A31DE8">
              <w:rPr>
                <w:sz w:val="20"/>
                <w:szCs w:val="20"/>
              </w:rPr>
              <w:t>,</w:t>
            </w:r>
            <w:r w:rsidRPr="00775F83">
              <w:rPr>
                <w:sz w:val="20"/>
                <w:szCs w:val="20"/>
              </w:rPr>
              <w:t xml:space="preserve"> to September 30, 202</w:t>
            </w:r>
            <w:r w:rsidRPr="00775F83" w:rsidR="00346B3B">
              <w:rPr>
                <w:sz w:val="20"/>
                <w:szCs w:val="20"/>
              </w:rPr>
              <w:t>4</w:t>
            </w:r>
          </w:p>
        </w:tc>
      </w:tr>
      <w:tr w14:paraId="2EE288A3" w14:textId="77777777" w:rsidTr="00636AE6">
        <w:tblPrEx>
          <w:tblW w:w="9720" w:type="dxa"/>
          <w:tblInd w:w="-5" w:type="dxa"/>
          <w:tblLayout w:type="fixed"/>
          <w:tblCellMar>
            <w:left w:w="0" w:type="dxa"/>
            <w:right w:w="0" w:type="dxa"/>
          </w:tblCellMar>
          <w:tblLook w:val="01E0"/>
        </w:tblPrEx>
        <w:trPr>
          <w:trHeight w:val="551"/>
        </w:trPr>
        <w:tc>
          <w:tcPr>
            <w:tcW w:w="1082" w:type="dxa"/>
          </w:tcPr>
          <w:p w:rsidR="00BE372D" w:rsidRPr="00775F83" w:rsidP="00BE372D" w14:paraId="711B2CDA" w14:textId="71E68C33">
            <w:pPr>
              <w:pStyle w:val="TableParagraph"/>
              <w:ind w:left="0" w:right="84"/>
              <w:contextualSpacing/>
              <w:jc w:val="center"/>
              <w:rPr>
                <w:sz w:val="20"/>
                <w:szCs w:val="20"/>
              </w:rPr>
            </w:pPr>
            <w:r w:rsidRPr="00775F83">
              <w:rPr>
                <w:sz w:val="20"/>
                <w:szCs w:val="20"/>
              </w:rPr>
              <w:t>8</w:t>
            </w:r>
          </w:p>
        </w:tc>
        <w:tc>
          <w:tcPr>
            <w:tcW w:w="2148" w:type="dxa"/>
          </w:tcPr>
          <w:p w:rsidR="00BE372D" w:rsidRPr="00775F83" w:rsidP="00BE372D" w14:paraId="3A94ABAB" w14:textId="381FF3D5">
            <w:pPr>
              <w:pStyle w:val="TableParagraph"/>
              <w:ind w:left="159" w:right="165"/>
              <w:contextualSpacing/>
              <w:rPr>
                <w:sz w:val="20"/>
                <w:szCs w:val="20"/>
              </w:rPr>
            </w:pPr>
            <w:r w:rsidRPr="00775F83">
              <w:rPr>
                <w:sz w:val="20"/>
                <w:szCs w:val="20"/>
              </w:rPr>
              <w:t>July 1, 2023, to December 31, 2023</w:t>
            </w:r>
          </w:p>
        </w:tc>
        <w:tc>
          <w:tcPr>
            <w:tcW w:w="2148" w:type="dxa"/>
          </w:tcPr>
          <w:p w:rsidR="0081222C" w:rsidRPr="00775F83" w:rsidP="00BE372D" w14:paraId="224E6785" w14:textId="77777777">
            <w:pPr>
              <w:pStyle w:val="TableParagraph"/>
              <w:ind w:left="173" w:right="150"/>
              <w:contextualSpacing/>
              <w:rPr>
                <w:sz w:val="20"/>
                <w:szCs w:val="20"/>
              </w:rPr>
            </w:pPr>
            <w:r w:rsidRPr="00775F83">
              <w:rPr>
                <w:sz w:val="20"/>
                <w:szCs w:val="20"/>
              </w:rPr>
              <w:t xml:space="preserve">January 1, 2020, to </w:t>
            </w:r>
          </w:p>
          <w:p w:rsidR="0081222C" w:rsidRPr="00775F83" w:rsidP="009A6A03" w14:paraId="748A9E5A" w14:textId="1960FDD9">
            <w:pPr>
              <w:pStyle w:val="TableParagraph"/>
              <w:ind w:left="173" w:right="150"/>
              <w:contextualSpacing/>
              <w:rPr>
                <w:sz w:val="20"/>
                <w:szCs w:val="20"/>
              </w:rPr>
            </w:pPr>
            <w:r w:rsidRPr="00775F83">
              <w:rPr>
                <w:sz w:val="20"/>
                <w:szCs w:val="20"/>
              </w:rPr>
              <w:t>December 31, 2024</w:t>
            </w:r>
          </w:p>
        </w:tc>
        <w:tc>
          <w:tcPr>
            <w:tcW w:w="2148" w:type="dxa"/>
          </w:tcPr>
          <w:p w:rsidR="00BE372D" w:rsidRPr="00775F83" w:rsidP="00BE372D" w14:paraId="6AD50820" w14:textId="30732891">
            <w:pPr>
              <w:pStyle w:val="TableParagraph"/>
              <w:ind w:left="200" w:right="136"/>
              <w:contextualSpacing/>
              <w:rPr>
                <w:sz w:val="20"/>
                <w:szCs w:val="20"/>
              </w:rPr>
            </w:pPr>
            <w:r w:rsidRPr="00775F83">
              <w:rPr>
                <w:sz w:val="20"/>
                <w:szCs w:val="20"/>
              </w:rPr>
              <w:t>January 1, 2020, to June 30, 2023</w:t>
            </w:r>
          </w:p>
        </w:tc>
        <w:tc>
          <w:tcPr>
            <w:tcW w:w="2194" w:type="dxa"/>
          </w:tcPr>
          <w:p w:rsidR="00BE372D" w:rsidRPr="00775F83" w:rsidP="00BE372D" w14:paraId="04E9DDBB" w14:textId="09DDB192">
            <w:pPr>
              <w:pStyle w:val="TableParagraph"/>
              <w:ind w:left="200" w:right="136"/>
              <w:contextualSpacing/>
              <w:rPr>
                <w:sz w:val="20"/>
                <w:szCs w:val="20"/>
              </w:rPr>
            </w:pPr>
            <w:r w:rsidRPr="00775F83">
              <w:rPr>
                <w:sz w:val="20"/>
                <w:szCs w:val="20"/>
              </w:rPr>
              <w:t>January 1, 2025, to March 31, 2025</w:t>
            </w:r>
          </w:p>
        </w:tc>
      </w:tr>
      <w:tr w14:paraId="2FDAA5A5" w14:textId="77777777" w:rsidTr="00636AE6">
        <w:tblPrEx>
          <w:tblW w:w="9720" w:type="dxa"/>
          <w:tblInd w:w="-5" w:type="dxa"/>
          <w:tblLayout w:type="fixed"/>
          <w:tblCellMar>
            <w:left w:w="0" w:type="dxa"/>
            <w:right w:w="0" w:type="dxa"/>
          </w:tblCellMar>
          <w:tblLook w:val="01E0"/>
        </w:tblPrEx>
        <w:trPr>
          <w:trHeight w:val="551"/>
        </w:trPr>
        <w:tc>
          <w:tcPr>
            <w:tcW w:w="1082" w:type="dxa"/>
          </w:tcPr>
          <w:p w:rsidR="00BE372D" w:rsidRPr="00775F83" w:rsidP="00AE487A" w14:paraId="48501255" w14:textId="03BA4BA8">
            <w:pPr>
              <w:pStyle w:val="TableParagraph"/>
              <w:tabs>
                <w:tab w:val="center" w:pos="491"/>
              </w:tabs>
              <w:ind w:left="0" w:right="84"/>
              <w:contextualSpacing/>
              <w:rPr>
                <w:sz w:val="20"/>
                <w:szCs w:val="20"/>
              </w:rPr>
            </w:pPr>
            <w:r w:rsidRPr="00775F83">
              <w:rPr>
                <w:sz w:val="20"/>
                <w:szCs w:val="20"/>
              </w:rPr>
              <w:tab/>
            </w:r>
            <w:r w:rsidRPr="00775F83">
              <w:rPr>
                <w:sz w:val="20"/>
                <w:szCs w:val="20"/>
              </w:rPr>
              <w:t>9</w:t>
            </w:r>
          </w:p>
        </w:tc>
        <w:tc>
          <w:tcPr>
            <w:tcW w:w="2148" w:type="dxa"/>
          </w:tcPr>
          <w:p w:rsidR="00BE372D" w:rsidRPr="00775F83" w:rsidP="00BE372D" w14:paraId="42DC2AFC" w14:textId="7F72B141">
            <w:pPr>
              <w:pStyle w:val="TableParagraph"/>
              <w:ind w:left="159" w:right="165"/>
              <w:contextualSpacing/>
              <w:rPr>
                <w:sz w:val="20"/>
                <w:szCs w:val="20"/>
              </w:rPr>
            </w:pPr>
            <w:r w:rsidRPr="00775F83">
              <w:rPr>
                <w:sz w:val="20"/>
                <w:szCs w:val="20"/>
              </w:rPr>
              <w:t>January 1, 2024, to June 30, 2024</w:t>
            </w:r>
          </w:p>
        </w:tc>
        <w:tc>
          <w:tcPr>
            <w:tcW w:w="2148" w:type="dxa"/>
          </w:tcPr>
          <w:p w:rsidR="0081222C" w:rsidRPr="00775F83" w:rsidP="0081222C" w14:paraId="1369D2CD" w14:textId="512BB5D4">
            <w:pPr>
              <w:pStyle w:val="TableParagraph"/>
              <w:ind w:left="173" w:right="150"/>
              <w:contextualSpacing/>
              <w:rPr>
                <w:sz w:val="20"/>
                <w:szCs w:val="20"/>
              </w:rPr>
            </w:pPr>
            <w:r w:rsidRPr="00775F83">
              <w:rPr>
                <w:sz w:val="20"/>
                <w:szCs w:val="20"/>
              </w:rPr>
              <w:t>January 1, 2020, to June 30, 2025</w:t>
            </w:r>
          </w:p>
        </w:tc>
        <w:tc>
          <w:tcPr>
            <w:tcW w:w="2148" w:type="dxa"/>
          </w:tcPr>
          <w:p w:rsidR="00BE372D" w:rsidRPr="00775F83" w:rsidP="00BE372D" w14:paraId="5978AD17" w14:textId="7BEBF00A">
            <w:pPr>
              <w:pStyle w:val="TableParagraph"/>
              <w:ind w:left="200" w:right="136"/>
              <w:contextualSpacing/>
              <w:rPr>
                <w:sz w:val="20"/>
                <w:szCs w:val="20"/>
              </w:rPr>
            </w:pPr>
            <w:r w:rsidRPr="00775F83">
              <w:rPr>
                <w:sz w:val="20"/>
                <w:szCs w:val="20"/>
              </w:rPr>
              <w:t>January 1, 2020, to June 30, 2023</w:t>
            </w:r>
          </w:p>
        </w:tc>
        <w:tc>
          <w:tcPr>
            <w:tcW w:w="2194" w:type="dxa"/>
          </w:tcPr>
          <w:p w:rsidR="00BE372D" w:rsidRPr="00775F83" w:rsidP="00BE372D" w14:paraId="5DC8C05D" w14:textId="4DDBBB08">
            <w:pPr>
              <w:pStyle w:val="TableParagraph"/>
              <w:ind w:left="200" w:right="136"/>
              <w:contextualSpacing/>
              <w:rPr>
                <w:sz w:val="20"/>
                <w:szCs w:val="20"/>
              </w:rPr>
            </w:pPr>
            <w:r w:rsidRPr="00775F83">
              <w:rPr>
                <w:sz w:val="20"/>
                <w:szCs w:val="20"/>
              </w:rPr>
              <w:t>July 1, 2025, to September 30, 2025</w:t>
            </w:r>
          </w:p>
        </w:tc>
      </w:tr>
      <w:bookmarkEnd w:id="9"/>
    </w:tbl>
    <w:p w:rsidR="003D6620" w:rsidRPr="00775F83" w:rsidP="00997E9F" w14:paraId="3825B950" w14:textId="77777777">
      <w:pPr>
        <w:contextualSpacing/>
      </w:pPr>
    </w:p>
    <w:p w:rsidR="004057EF" w:rsidRPr="00775F83" w:rsidP="00997E9F" w14:paraId="507AA730" w14:textId="77777777">
      <w:pPr>
        <w:pStyle w:val="Heading1"/>
        <w:ind w:left="0"/>
      </w:pPr>
      <w:bookmarkStart w:id="10" w:name="Responsibility_for_Reporting"/>
      <w:bookmarkEnd w:id="10"/>
      <w:r w:rsidRPr="00775F83">
        <w:t>Responsibility for Reporting</w:t>
      </w:r>
    </w:p>
    <w:p w:rsidR="003D6620" w:rsidRPr="00775F83" w:rsidP="00997E9F" w14:paraId="7A853B55" w14:textId="77777777">
      <w:pPr>
        <w:contextualSpacing/>
      </w:pPr>
    </w:p>
    <w:p w:rsidR="006E2102" w:rsidRPr="00775F83" w:rsidP="00997E9F" w14:paraId="590151AB" w14:textId="52101CDA">
      <w:pPr>
        <w:contextualSpacing/>
      </w:pPr>
      <w:r w:rsidRPr="00775F83">
        <w:t xml:space="preserve">Reporting </w:t>
      </w:r>
      <w:r w:rsidRPr="00775F83" w:rsidR="00734FA8">
        <w:t>e</w:t>
      </w:r>
      <w:r w:rsidRPr="00775F83">
        <w:t xml:space="preserve">ntities will complete and submit required reports for PRF and ARP Rural payments in the PRF Reporting Portal. </w:t>
      </w:r>
      <w:r w:rsidRPr="00775F83" w:rsidR="00A31DE8">
        <w:t xml:space="preserve"> </w:t>
      </w:r>
      <w:r w:rsidRPr="00775F83">
        <w:t>The</w:t>
      </w:r>
      <w:r w:rsidRPr="00775F83" w:rsidR="00473190">
        <w:t xml:space="preserve"> </w:t>
      </w:r>
      <w:r w:rsidRPr="00775F83" w:rsidR="00D5415E">
        <w:t>r</w:t>
      </w:r>
      <w:r w:rsidRPr="00775F83" w:rsidR="00473190">
        <w:t xml:space="preserve">eporting </w:t>
      </w:r>
      <w:r w:rsidRPr="00775F83" w:rsidR="00734FA8">
        <w:t>e</w:t>
      </w:r>
      <w:r w:rsidRPr="00775F83" w:rsidR="00473190">
        <w:t>ntity</w:t>
      </w:r>
      <w:r w:rsidRPr="00775F83" w:rsidR="005D5D39">
        <w:t xml:space="preserve"> may differ by type of payment but generally, </w:t>
      </w:r>
      <w:r w:rsidRPr="00775F83" w:rsidR="00BF26C4">
        <w:t>HRSA defines this</w:t>
      </w:r>
      <w:r w:rsidRPr="00775F83" w:rsidR="005D5D39">
        <w:t xml:space="preserve"> as</w:t>
      </w:r>
      <w:r w:rsidRPr="00775F83" w:rsidR="00473190">
        <w:t xml:space="preserve"> the entity that registers its Tax Identification Number (TIN) and reports on payments received by that TIN and/or its subsidiary TINs</w:t>
      </w:r>
      <w:r w:rsidRPr="00775F83" w:rsidR="00734679">
        <w:t xml:space="preserve"> as indicated in Table </w:t>
      </w:r>
      <w:r w:rsidRPr="00775F83" w:rsidR="0081222C">
        <w:t>5</w:t>
      </w:r>
      <w:r w:rsidRPr="00775F83" w:rsidR="00473190">
        <w:t xml:space="preserve">. </w:t>
      </w:r>
    </w:p>
    <w:p w:rsidR="003D6620" w:rsidRPr="00775F83" w:rsidP="00997E9F" w14:paraId="14452FC5" w14:textId="77777777">
      <w:pPr>
        <w:contextualSpacing/>
      </w:pPr>
    </w:p>
    <w:p w:rsidR="0017734F" w:rsidRPr="00775F83" w:rsidP="00997E9F" w14:paraId="3DD09A42" w14:textId="77777777">
      <w:pPr>
        <w:contextualSpacing/>
      </w:pPr>
      <w:r w:rsidRPr="00775F83">
        <w:rPr>
          <w:b/>
          <w:bCs/>
          <w:i/>
          <w:iCs/>
        </w:rPr>
        <w:t>Note:</w:t>
      </w:r>
      <w:r w:rsidRPr="00775F83">
        <w:t xml:space="preserve"> </w:t>
      </w:r>
      <w:r w:rsidRPr="00775F83" w:rsidR="00BF26C4">
        <w:t>HRSA requires e</w:t>
      </w:r>
      <w:r w:rsidRPr="00775F83">
        <w:t>ntities to report if the total Targeted Distribution, General Distribution</w:t>
      </w:r>
      <w:r w:rsidRPr="00775F83" w:rsidR="00F9653B">
        <w:t>, and ARP Rural payments</w:t>
      </w:r>
      <w:r w:rsidRPr="00775F83">
        <w:t xml:space="preserve"> received and retained</w:t>
      </w:r>
      <w:r w:rsidRPr="00775F83" w:rsidR="00F9653B">
        <w:t xml:space="preserve"> exceed $10,000</w:t>
      </w:r>
      <w:r w:rsidRPr="00775F83">
        <w:t xml:space="preserve"> </w:t>
      </w:r>
      <w:r w:rsidRPr="00775F83" w:rsidR="00F9653B">
        <w:t>in the aggregate</w:t>
      </w:r>
      <w:r w:rsidRPr="00775F83" w:rsidR="00E868B7">
        <w:t xml:space="preserve"> in a Payment Received Period</w:t>
      </w:r>
      <w:r w:rsidRPr="00775F83" w:rsidR="00F9653B">
        <w:t>.</w:t>
      </w:r>
    </w:p>
    <w:p w:rsidR="0017734F" w:rsidRPr="00775F83" w:rsidP="00997E9F" w14:paraId="417C47AB" w14:textId="77777777">
      <w:pPr>
        <w:contextualSpacing/>
      </w:pPr>
    </w:p>
    <w:p w:rsidR="003D6620" w:rsidRPr="00775F83" w:rsidP="00997E9F" w14:paraId="1A362960" w14:textId="06BAA5EE">
      <w:pPr>
        <w:contextualSpacing/>
        <w:rPr>
          <w:i/>
          <w:iCs/>
        </w:rPr>
      </w:pPr>
      <w:r w:rsidRPr="00775F83">
        <w:rPr>
          <w:i/>
          <w:iCs/>
        </w:rPr>
        <w:t>Table</w:t>
      </w:r>
      <w:r w:rsidRPr="00775F83">
        <w:rPr>
          <w:i/>
          <w:iCs/>
          <w:spacing w:val="-5"/>
        </w:rPr>
        <w:t xml:space="preserve"> </w:t>
      </w:r>
      <w:r w:rsidRPr="00775F83" w:rsidR="0081222C">
        <w:rPr>
          <w:i/>
          <w:iCs/>
          <w:spacing w:val="-5"/>
        </w:rPr>
        <w:t>5</w:t>
      </w:r>
      <w:r w:rsidRPr="00775F83">
        <w:rPr>
          <w:i/>
          <w:iCs/>
        </w:rPr>
        <w:t>:</w:t>
      </w:r>
      <w:r w:rsidRPr="00775F83">
        <w:rPr>
          <w:i/>
          <w:iCs/>
          <w:spacing w:val="5"/>
        </w:rPr>
        <w:t xml:space="preserve"> Responsibility for Reporting</w:t>
      </w:r>
    </w:p>
    <w:p w:rsidR="003D6620" w:rsidRPr="00775F83" w:rsidP="00997E9F" w14:paraId="707E5689" w14:textId="77777777">
      <w:pPr>
        <w:contextualSpacing/>
      </w:pPr>
    </w:p>
    <w:tbl>
      <w:tblPr>
        <w:tblpPr w:leftFromText="180" w:rightFromText="180" w:vertAnchor="text" w:tblpX="40" w:tblpY="1"/>
        <w:tblOverlap w:val="neve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840"/>
        <w:gridCol w:w="4840"/>
      </w:tblGrid>
      <w:tr w14:paraId="507AA736" w14:textId="77777777" w:rsidTr="00D72475">
        <w:tblPrEx>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617"/>
        </w:trPr>
        <w:tc>
          <w:tcPr>
            <w:tcW w:w="4840" w:type="dxa"/>
            <w:tcBorders>
              <w:bottom w:val="single" w:sz="18" w:space="0" w:color="auto"/>
            </w:tcBorders>
            <w:vAlign w:val="center"/>
          </w:tcPr>
          <w:p w:rsidR="004057EF" w:rsidRPr="00775F83" w:rsidP="00F27EB2" w14:paraId="507AA734" w14:textId="0AC33CC6">
            <w:pPr>
              <w:pStyle w:val="TableParagraph"/>
              <w:spacing w:before="0"/>
              <w:ind w:left="90" w:right="180"/>
              <w:contextualSpacing/>
              <w:rPr>
                <w:b/>
                <w:bCs/>
              </w:rPr>
            </w:pPr>
            <w:r w:rsidRPr="00775F83">
              <w:rPr>
                <w:b/>
                <w:bCs/>
                <w:i/>
                <w:iCs/>
              </w:rPr>
              <w:t>Type</w:t>
            </w:r>
            <w:r w:rsidRPr="00775F83">
              <w:rPr>
                <w:b/>
                <w:bCs/>
                <w:i/>
                <w:iCs/>
                <w:spacing w:val="-6"/>
              </w:rPr>
              <w:t xml:space="preserve"> </w:t>
            </w:r>
            <w:r w:rsidRPr="00775F83">
              <w:rPr>
                <w:b/>
                <w:bCs/>
                <w:i/>
                <w:iCs/>
              </w:rPr>
              <w:t>of</w:t>
            </w:r>
            <w:r w:rsidRPr="00775F83">
              <w:rPr>
                <w:b/>
                <w:bCs/>
                <w:i/>
                <w:iCs/>
                <w:spacing w:val="4"/>
              </w:rPr>
              <w:t xml:space="preserve"> </w:t>
            </w:r>
            <w:r w:rsidRPr="00775F83">
              <w:rPr>
                <w:b/>
                <w:bCs/>
                <w:i/>
                <w:iCs/>
              </w:rPr>
              <w:t>PRF</w:t>
            </w:r>
            <w:r w:rsidRPr="00775F83">
              <w:rPr>
                <w:b/>
                <w:bCs/>
                <w:i/>
                <w:iCs/>
                <w:spacing w:val="-7"/>
              </w:rPr>
              <w:t xml:space="preserve"> </w:t>
            </w:r>
            <w:r w:rsidRPr="00775F83" w:rsidR="00FA4195">
              <w:rPr>
                <w:b/>
                <w:bCs/>
                <w:i/>
                <w:iCs/>
                <w:spacing w:val="-7"/>
              </w:rPr>
              <w:t>R</w:t>
            </w:r>
            <w:r w:rsidRPr="00775F83">
              <w:rPr>
                <w:b/>
                <w:bCs/>
                <w:i/>
                <w:iCs/>
              </w:rPr>
              <w:t>ecipient(s)</w:t>
            </w:r>
            <w:r w:rsidRPr="00775F83">
              <w:rPr>
                <w:b/>
                <w:bCs/>
                <w:i/>
                <w:iCs/>
                <w:spacing w:val="-32"/>
              </w:rPr>
              <w:t xml:space="preserve"> </w:t>
            </w:r>
            <w:r>
              <w:rPr>
                <w:rStyle w:val="FootnoteReference"/>
                <w:b/>
                <w:bCs/>
                <w:i/>
                <w:iCs/>
                <w:spacing w:val="-32"/>
              </w:rPr>
              <w:footnoteReference w:id="8"/>
            </w:r>
          </w:p>
        </w:tc>
        <w:tc>
          <w:tcPr>
            <w:tcW w:w="4840" w:type="dxa"/>
            <w:tcBorders>
              <w:bottom w:val="single" w:sz="18" w:space="0" w:color="auto"/>
            </w:tcBorders>
            <w:vAlign w:val="center"/>
          </w:tcPr>
          <w:p w:rsidR="004057EF" w:rsidRPr="00775F83" w:rsidP="00F27EB2" w14:paraId="507AA735" w14:textId="1E2E2696">
            <w:pPr>
              <w:pStyle w:val="TableParagraph"/>
              <w:spacing w:before="0"/>
              <w:ind w:left="109" w:right="166"/>
              <w:contextualSpacing/>
              <w:rPr>
                <w:b/>
                <w:bCs/>
                <w:i/>
                <w:iCs/>
              </w:rPr>
            </w:pPr>
            <w:r w:rsidRPr="00775F83">
              <w:rPr>
                <w:b/>
                <w:bCs/>
              </w:rPr>
              <w:t xml:space="preserve">Required to </w:t>
            </w:r>
            <w:r w:rsidRPr="00775F83" w:rsidR="00AF1343">
              <w:rPr>
                <w:b/>
                <w:bCs/>
              </w:rPr>
              <w:t>R</w:t>
            </w:r>
            <w:r w:rsidRPr="00775F83">
              <w:rPr>
                <w:b/>
                <w:bCs/>
              </w:rPr>
              <w:t xml:space="preserve">eport </w:t>
            </w:r>
            <w:r w:rsidRPr="00775F83" w:rsidR="00AF1343">
              <w:rPr>
                <w:b/>
                <w:bCs/>
              </w:rPr>
              <w:t>B</w:t>
            </w:r>
            <w:r w:rsidRPr="00775F83">
              <w:rPr>
                <w:b/>
                <w:bCs/>
              </w:rPr>
              <w:t>ecause</w:t>
            </w:r>
            <w:r w:rsidRPr="00775F83" w:rsidR="003A3F9D">
              <w:rPr>
                <w:b/>
                <w:bCs/>
              </w:rPr>
              <w:t>…</w:t>
            </w:r>
          </w:p>
        </w:tc>
      </w:tr>
      <w:tr w14:paraId="507AA73A" w14:textId="77777777" w:rsidTr="00DB5F06">
        <w:tblPrEx>
          <w:tblW w:w="9680" w:type="dxa"/>
          <w:tblLayout w:type="fixed"/>
          <w:tblCellMar>
            <w:left w:w="0" w:type="dxa"/>
            <w:right w:w="0" w:type="dxa"/>
          </w:tblCellMar>
          <w:tblLook w:val="01E0"/>
        </w:tblPrEx>
        <w:trPr>
          <w:trHeight w:val="840"/>
        </w:trPr>
        <w:tc>
          <w:tcPr>
            <w:tcW w:w="4840" w:type="dxa"/>
            <w:tcBorders>
              <w:top w:val="single" w:sz="18" w:space="0" w:color="auto"/>
            </w:tcBorders>
          </w:tcPr>
          <w:p w:rsidR="004057EF" w:rsidRPr="00775F83" w:rsidP="00F27EB2" w14:paraId="507AA737" w14:textId="45CABB42">
            <w:pPr>
              <w:pStyle w:val="TableParagraph"/>
              <w:spacing w:before="11"/>
              <w:ind w:left="180" w:right="180"/>
              <w:contextualSpacing/>
            </w:pPr>
            <w:r w:rsidRPr="00775F83">
              <w:t xml:space="preserve">General Distribution recipient that received payment in </w:t>
            </w:r>
            <w:r w:rsidRPr="00775F83" w:rsidR="004F039E">
              <w:t>Phase 1</w:t>
            </w:r>
            <w:r w:rsidRPr="00775F83" w:rsidR="007A5521">
              <w:t xml:space="preserve"> only</w:t>
            </w:r>
          </w:p>
        </w:tc>
        <w:tc>
          <w:tcPr>
            <w:tcW w:w="4840" w:type="dxa"/>
            <w:tcBorders>
              <w:top w:val="single" w:sz="18" w:space="0" w:color="auto"/>
            </w:tcBorders>
          </w:tcPr>
          <w:p w:rsidR="004057EF" w:rsidRPr="00775F83" w:rsidP="004801EF" w14:paraId="507AA739" w14:textId="4DC3A5F3">
            <w:pPr>
              <w:pStyle w:val="TableParagraph"/>
              <w:spacing w:before="11"/>
              <w:ind w:left="109" w:right="229"/>
              <w:contextualSpacing/>
            </w:pPr>
            <w:r w:rsidRPr="00775F83">
              <w:t xml:space="preserve">Entity that received </w:t>
            </w:r>
            <w:r w:rsidR="00F738FD">
              <w:t xml:space="preserve">and retained </w:t>
            </w:r>
            <w:r w:rsidRPr="00775F83">
              <w:t>Phase 1 General Distribution payments totaling more than</w:t>
            </w:r>
            <w:r w:rsidRPr="00775F83" w:rsidR="00F2440B">
              <w:t xml:space="preserve"> </w:t>
            </w:r>
            <w:r w:rsidRPr="00775F83">
              <w:t>$10,000 in</w:t>
            </w:r>
            <w:r w:rsidR="00F738FD">
              <w:t xml:space="preserve"> the</w:t>
            </w:r>
            <w:r w:rsidRPr="00775F83">
              <w:t xml:space="preserve"> aggregate in a Payment Received Period.</w:t>
            </w:r>
          </w:p>
        </w:tc>
      </w:tr>
      <w:tr w14:paraId="507AA73E" w14:textId="77777777" w:rsidTr="00DB5F06">
        <w:tblPrEx>
          <w:tblW w:w="9680" w:type="dxa"/>
          <w:tblLayout w:type="fixed"/>
          <w:tblCellMar>
            <w:left w:w="0" w:type="dxa"/>
            <w:right w:w="0" w:type="dxa"/>
          </w:tblCellMar>
          <w:tblLook w:val="01E0"/>
        </w:tblPrEx>
        <w:trPr>
          <w:trHeight w:val="803"/>
        </w:trPr>
        <w:tc>
          <w:tcPr>
            <w:tcW w:w="4840" w:type="dxa"/>
          </w:tcPr>
          <w:p w:rsidR="004057EF" w:rsidRPr="00775F83" w:rsidP="00F27EB2" w14:paraId="507AA73B" w14:textId="332D963B">
            <w:pPr>
              <w:pStyle w:val="TableParagraph"/>
              <w:tabs>
                <w:tab w:val="left" w:pos="3812"/>
              </w:tabs>
              <w:spacing w:before="2"/>
              <w:ind w:left="180" w:right="180"/>
              <w:contextualSpacing/>
            </w:pPr>
            <w:r w:rsidRPr="00775F83">
              <w:t xml:space="preserve">General Distribution recipient with no parent organization or subsidiaries </w:t>
            </w:r>
          </w:p>
        </w:tc>
        <w:tc>
          <w:tcPr>
            <w:tcW w:w="4840" w:type="dxa"/>
          </w:tcPr>
          <w:p w:rsidR="004057EF" w:rsidRPr="00775F83" w:rsidP="00F27EB2" w14:paraId="507AA73D" w14:textId="3B0B3249">
            <w:pPr>
              <w:pStyle w:val="TableParagraph"/>
              <w:spacing w:before="11"/>
              <w:ind w:left="109"/>
              <w:contextualSpacing/>
            </w:pPr>
            <w:r w:rsidRPr="00775F83">
              <w:t>Entity [at the TIN level] that received</w:t>
            </w:r>
            <w:r w:rsidR="00F738FD">
              <w:t xml:space="preserve"> and retained</w:t>
            </w:r>
            <w:r w:rsidRPr="00775F83">
              <w:t xml:space="preserve"> one or more</w:t>
            </w:r>
            <w:r w:rsidRPr="00775F83" w:rsidR="007A5521">
              <w:t xml:space="preserve"> </w:t>
            </w:r>
            <w:r w:rsidRPr="00775F83">
              <w:t>General Distribution payments totaling more than</w:t>
            </w:r>
            <w:r w:rsidRPr="00775F83" w:rsidR="00F2440B">
              <w:t xml:space="preserve"> </w:t>
            </w:r>
            <w:r w:rsidRPr="00775F83">
              <w:t xml:space="preserve">$10,000 in </w:t>
            </w:r>
            <w:r w:rsidR="00F738FD">
              <w:t xml:space="preserve">the </w:t>
            </w:r>
            <w:r w:rsidRPr="00775F83">
              <w:t xml:space="preserve">aggregate in a Payment </w:t>
            </w:r>
            <w:r w:rsidRPr="00775F83">
              <w:t>Received Period.</w:t>
            </w:r>
          </w:p>
        </w:tc>
      </w:tr>
      <w:tr w14:paraId="507AA745" w14:textId="77777777" w:rsidTr="004801EF">
        <w:tblPrEx>
          <w:tblW w:w="9680" w:type="dxa"/>
          <w:tblLayout w:type="fixed"/>
          <w:tblCellMar>
            <w:left w:w="0" w:type="dxa"/>
            <w:right w:w="0" w:type="dxa"/>
          </w:tblCellMar>
          <w:tblLook w:val="01E0"/>
        </w:tblPrEx>
        <w:trPr>
          <w:trHeight w:val="2607"/>
        </w:trPr>
        <w:tc>
          <w:tcPr>
            <w:tcW w:w="4840" w:type="dxa"/>
          </w:tcPr>
          <w:p w:rsidR="004057EF" w:rsidRPr="00775F83" w:rsidP="00F27EB2" w14:paraId="507AA740" w14:textId="69D663DC">
            <w:pPr>
              <w:pStyle w:val="TableParagraph"/>
              <w:spacing w:before="0"/>
              <w:ind w:left="180" w:right="180"/>
              <w:contextualSpacing/>
            </w:pPr>
            <w:r w:rsidRPr="00775F83">
              <w:t>General Distribution recipient with one or</w:t>
            </w:r>
            <w:r w:rsidRPr="00775F83" w:rsidR="004817D8">
              <w:t xml:space="preserve"> more subsidiaries that received payments in </w:t>
            </w:r>
            <w:r w:rsidRPr="00775F83" w:rsidR="00F83E5E">
              <w:t xml:space="preserve">Funding </w:t>
            </w:r>
            <w:hyperlink r:id="rId14" w:history="1">
              <w:r w:rsidRPr="00775F83" w:rsidR="004817D8">
                <w:rPr>
                  <w:rStyle w:val="Hyperlink"/>
                </w:rPr>
                <w:t xml:space="preserve">Phases 1 to </w:t>
              </w:r>
              <w:r w:rsidRPr="00775F83" w:rsidR="00F83E5E">
                <w:rPr>
                  <w:rStyle w:val="Hyperlink"/>
                </w:rPr>
                <w:t>4</w:t>
              </w:r>
            </w:hyperlink>
            <w:r w:rsidRPr="00775F83" w:rsidR="00712FE4">
              <w:t xml:space="preserve"> </w:t>
            </w:r>
          </w:p>
        </w:tc>
        <w:tc>
          <w:tcPr>
            <w:tcW w:w="4840" w:type="dxa"/>
          </w:tcPr>
          <w:p w:rsidR="004057EF" w:rsidRPr="00775F83" w:rsidP="00F27EB2" w14:paraId="507AA741" w14:textId="77777777">
            <w:pPr>
              <w:pStyle w:val="TableParagraph"/>
              <w:spacing w:before="0"/>
              <w:ind w:left="109" w:right="166"/>
              <w:contextualSpacing/>
            </w:pPr>
            <w:r w:rsidRPr="00775F83">
              <w:t>Entity that meets the following three criteria:</w:t>
            </w:r>
          </w:p>
          <w:p w:rsidR="004625F9" w:rsidRPr="00775F83" w:rsidP="004625F9" w14:paraId="0FE3E5ED" w14:textId="727D7A06">
            <w:pPr>
              <w:pStyle w:val="TableParagraph"/>
              <w:numPr>
                <w:ilvl w:val="0"/>
                <w:numId w:val="32"/>
              </w:numPr>
              <w:tabs>
                <w:tab w:val="left" w:pos="379"/>
              </w:tabs>
              <w:spacing w:before="7"/>
              <w:ind w:left="559" w:right="166" w:hanging="270"/>
              <w:contextualSpacing/>
            </w:pPr>
            <w:r w:rsidRPr="00775F83">
              <w:t xml:space="preserve">is the parent of one or more subsidiary billing TINs that received General Distribution payments in Phases 1 to </w:t>
            </w:r>
            <w:r w:rsidRPr="00775F83" w:rsidR="00877527">
              <w:t>4</w:t>
            </w:r>
            <w:r w:rsidRPr="00775F83" w:rsidR="00734FA8">
              <w:t>;</w:t>
            </w:r>
          </w:p>
          <w:p w:rsidR="004625F9" w:rsidRPr="00775F83" w:rsidP="004625F9" w14:paraId="2DE98418" w14:textId="52BF2FEA">
            <w:pPr>
              <w:pStyle w:val="TableParagraph"/>
              <w:numPr>
                <w:ilvl w:val="0"/>
                <w:numId w:val="32"/>
              </w:numPr>
              <w:tabs>
                <w:tab w:val="left" w:pos="379"/>
              </w:tabs>
              <w:spacing w:before="7"/>
              <w:ind w:left="559" w:right="166" w:hanging="270"/>
              <w:contextualSpacing/>
            </w:pPr>
            <w:r w:rsidRPr="00775F83">
              <w:t>has associated providers that were providing diagnoses, testing, or treatment for individuals with possible or actual cases of COVID-19 on or after January 31, 2020</w:t>
            </w:r>
            <w:r w:rsidRPr="00775F83" w:rsidR="00734FA8">
              <w:t>;</w:t>
            </w:r>
            <w:r w:rsidRPr="00775F83">
              <w:t xml:space="preserve"> and</w:t>
            </w:r>
          </w:p>
          <w:p w:rsidR="004057EF" w:rsidRPr="00775F83" w:rsidP="004625F9" w14:paraId="507AA744" w14:textId="6007A02E">
            <w:pPr>
              <w:pStyle w:val="TableParagraph"/>
              <w:numPr>
                <w:ilvl w:val="0"/>
                <w:numId w:val="32"/>
              </w:numPr>
              <w:tabs>
                <w:tab w:val="left" w:pos="379"/>
              </w:tabs>
              <w:spacing w:before="7"/>
              <w:ind w:left="559" w:right="166" w:hanging="270"/>
              <w:contextualSpacing/>
            </w:pPr>
            <w:r w:rsidRPr="00775F83">
              <w:t>can otherwise attest to the</w:t>
            </w:r>
            <w:r w:rsidRPr="00775F83">
              <w:rPr>
                <w:color w:val="0000FF"/>
                <w:spacing w:val="2"/>
              </w:rPr>
              <w:t xml:space="preserve"> </w:t>
            </w:r>
            <w:hyperlink r:id="rId12" w:anchor="terms-and-conditions">
              <w:r w:rsidRPr="00775F83" w:rsidR="00631F81">
                <w:rPr>
                  <w:color w:val="0000FF"/>
                  <w:u w:val="single"/>
                </w:rPr>
                <w:t>Terms and Conditions</w:t>
              </w:r>
            </w:hyperlink>
            <w:r w:rsidRPr="00775F83">
              <w:t>.</w:t>
            </w:r>
          </w:p>
        </w:tc>
      </w:tr>
      <w:tr w14:paraId="507AA74A" w14:textId="77777777" w:rsidTr="00DB5F06">
        <w:tblPrEx>
          <w:tblW w:w="9680" w:type="dxa"/>
          <w:tblLayout w:type="fixed"/>
          <w:tblCellMar>
            <w:left w:w="0" w:type="dxa"/>
            <w:right w:w="0" w:type="dxa"/>
          </w:tblCellMar>
          <w:tblLook w:val="01E0"/>
        </w:tblPrEx>
        <w:trPr>
          <w:trHeight w:val="803"/>
        </w:trPr>
        <w:tc>
          <w:tcPr>
            <w:tcW w:w="4840" w:type="dxa"/>
          </w:tcPr>
          <w:p w:rsidR="004057EF" w:rsidRPr="00775F83" w:rsidP="00F27EB2" w14:paraId="507AA747" w14:textId="0B9E080A">
            <w:pPr>
              <w:pStyle w:val="TableParagraph"/>
              <w:spacing w:before="0"/>
              <w:ind w:left="180" w:right="180"/>
              <w:contextualSpacing/>
            </w:pPr>
            <w:r w:rsidRPr="00775F83">
              <w:t>Targeted Distribution recipient (includes</w:t>
            </w:r>
            <w:r w:rsidRPr="00775F83" w:rsidR="005B4021">
              <w:t xml:space="preserve"> </w:t>
            </w:r>
            <w:r w:rsidRPr="00775F83" w:rsidR="00D34B1F">
              <w:t>NHIC</w:t>
            </w:r>
            <w:r w:rsidRPr="00775F83">
              <w:t xml:space="preserve"> Distribution payments)</w:t>
            </w:r>
          </w:p>
        </w:tc>
        <w:tc>
          <w:tcPr>
            <w:tcW w:w="4840" w:type="dxa"/>
          </w:tcPr>
          <w:p w:rsidR="004057EF" w:rsidRPr="00775F83" w:rsidP="00F27EB2" w14:paraId="507AA749" w14:textId="3B8746B4">
            <w:pPr>
              <w:pStyle w:val="TableParagraph"/>
              <w:spacing w:before="0"/>
              <w:ind w:left="109" w:right="166"/>
              <w:contextualSpacing/>
            </w:pPr>
            <w:r w:rsidRPr="00775F83">
              <w:t xml:space="preserve">Entity (at the TIN level) that received </w:t>
            </w:r>
            <w:r w:rsidR="00F738FD">
              <w:t xml:space="preserve">and retained </w:t>
            </w:r>
            <w:r w:rsidRPr="00775F83">
              <w:t>Targeted</w:t>
            </w:r>
            <w:r w:rsidRPr="00775F83" w:rsidR="008B79AE">
              <w:t xml:space="preserve"> </w:t>
            </w:r>
            <w:r w:rsidRPr="00775F83">
              <w:t>Distribution</w:t>
            </w:r>
            <w:r w:rsidRPr="00775F83" w:rsidR="008B79AE">
              <w:t xml:space="preserve"> </w:t>
            </w:r>
            <w:r w:rsidRPr="00775F83">
              <w:t>payments totaling more than $10,000 in</w:t>
            </w:r>
            <w:r w:rsidRPr="00775F83" w:rsidR="00614387">
              <w:t xml:space="preserve"> </w:t>
            </w:r>
            <w:r w:rsidR="00F738FD">
              <w:t xml:space="preserve">the </w:t>
            </w:r>
            <w:r w:rsidRPr="00775F83" w:rsidR="00614387">
              <w:t>aggregate</w:t>
            </w:r>
            <w:r w:rsidRPr="00775F83">
              <w:t xml:space="preserve"> </w:t>
            </w:r>
            <w:r w:rsidRPr="00775F83" w:rsidR="00614387">
              <w:t xml:space="preserve">in a </w:t>
            </w:r>
            <w:r w:rsidRPr="00775F83">
              <w:t>Payment Received Period.</w:t>
            </w:r>
          </w:p>
        </w:tc>
      </w:tr>
      <w:tr w14:paraId="190C0179" w14:textId="77777777" w:rsidTr="004801EF">
        <w:tblPrEx>
          <w:tblW w:w="9680" w:type="dxa"/>
          <w:tblLayout w:type="fixed"/>
          <w:tblCellMar>
            <w:left w:w="0" w:type="dxa"/>
            <w:right w:w="0" w:type="dxa"/>
          </w:tblCellMar>
          <w:tblLook w:val="01E0"/>
        </w:tblPrEx>
        <w:trPr>
          <w:trHeight w:val="4119"/>
        </w:trPr>
        <w:tc>
          <w:tcPr>
            <w:tcW w:w="4840" w:type="dxa"/>
          </w:tcPr>
          <w:p w:rsidR="00856999" w:rsidRPr="00775F83" w:rsidP="00F27EB2" w14:paraId="140BB630" w14:textId="77777777">
            <w:pPr>
              <w:pStyle w:val="TableParagraph"/>
              <w:spacing w:before="0"/>
              <w:ind w:left="180" w:right="180"/>
              <w:contextualSpacing/>
            </w:pPr>
            <w:r w:rsidRPr="00775F83">
              <w:t>ARP Rural</w:t>
            </w:r>
            <w:r w:rsidRPr="00775F83" w:rsidR="00C702EB">
              <w:t xml:space="preserve"> Distribution</w:t>
            </w:r>
            <w:r w:rsidRPr="00775F83">
              <w:t xml:space="preserve"> recipient</w:t>
            </w:r>
          </w:p>
        </w:tc>
        <w:tc>
          <w:tcPr>
            <w:tcW w:w="4840" w:type="dxa"/>
          </w:tcPr>
          <w:p w:rsidR="00E276AA" w:rsidRPr="00775F83" w:rsidP="00F27EB2" w14:paraId="5F71B863" w14:textId="0D7EA434">
            <w:pPr>
              <w:pStyle w:val="TableParagraph"/>
              <w:spacing w:before="0"/>
              <w:ind w:left="109" w:right="166"/>
              <w:contextualSpacing/>
            </w:pPr>
            <w:r w:rsidRPr="00775F83">
              <w:t xml:space="preserve">Entity (at the </w:t>
            </w:r>
            <w:r w:rsidRPr="00775F83" w:rsidR="007F3455">
              <w:t xml:space="preserve">filing </w:t>
            </w:r>
            <w:r w:rsidRPr="00775F83">
              <w:t xml:space="preserve">TIN level) that received </w:t>
            </w:r>
            <w:r w:rsidR="00F738FD">
              <w:t xml:space="preserve">and retained </w:t>
            </w:r>
            <w:r w:rsidRPr="00775F83" w:rsidR="008A4F2A">
              <w:t>ARP</w:t>
            </w:r>
            <w:r w:rsidRPr="00775F83" w:rsidR="00F6132C">
              <w:t xml:space="preserve"> Rural</w:t>
            </w:r>
            <w:r w:rsidRPr="00775F83" w:rsidR="009E72E2">
              <w:t xml:space="preserve"> </w:t>
            </w:r>
            <w:r w:rsidRPr="00775F83" w:rsidR="00797CD6">
              <w:t>D</w:t>
            </w:r>
            <w:r w:rsidRPr="00775F83" w:rsidR="00F6132C">
              <w:t>istribution</w:t>
            </w:r>
            <w:r w:rsidRPr="00775F83">
              <w:t xml:space="preserve"> payments </w:t>
            </w:r>
            <w:r w:rsidRPr="00775F83" w:rsidR="001558B2">
              <w:t xml:space="preserve">and other PRF payments </w:t>
            </w:r>
            <w:r w:rsidRPr="00775F83">
              <w:t xml:space="preserve">totaling more than $10,000 </w:t>
            </w:r>
            <w:r w:rsidR="00F738FD">
              <w:t xml:space="preserve">in the aggregate </w:t>
            </w:r>
            <w:r w:rsidRPr="00775F83" w:rsidR="002B62E7">
              <w:t>during</w:t>
            </w:r>
            <w:r w:rsidRPr="00775F83">
              <w:t xml:space="preserve"> the </w:t>
            </w:r>
            <w:r w:rsidRPr="00775F83" w:rsidR="00F0357D">
              <w:t>Payment Received</w:t>
            </w:r>
            <w:r w:rsidRPr="00775F83">
              <w:t xml:space="preserve"> Period.</w:t>
            </w:r>
          </w:p>
          <w:p w:rsidR="004625F9" w:rsidRPr="00775F83" w:rsidP="004625F9" w14:paraId="2F9BF9E5" w14:textId="505F3FA6">
            <w:pPr>
              <w:pStyle w:val="TableParagraph"/>
              <w:numPr>
                <w:ilvl w:val="0"/>
                <w:numId w:val="33"/>
              </w:numPr>
              <w:tabs>
                <w:tab w:val="left" w:pos="379"/>
              </w:tabs>
              <w:spacing w:before="7"/>
              <w:ind w:right="166"/>
              <w:contextualSpacing/>
            </w:pPr>
            <w:r w:rsidRPr="00775F83">
              <w:t xml:space="preserve">Regardless of whether a parent was obligated to distribute payments to its subsidiaries who qualified for ARP </w:t>
            </w:r>
            <w:r w:rsidRPr="00775F83" w:rsidR="006E1F2C">
              <w:t xml:space="preserve">Rural </w:t>
            </w:r>
            <w:r w:rsidRPr="00775F83">
              <w:t xml:space="preserve">payments, </w:t>
            </w:r>
            <w:r w:rsidRPr="00775F83" w:rsidR="00734FA8">
              <w:rPr>
                <w:b/>
                <w:bCs/>
              </w:rPr>
              <w:t xml:space="preserve">HRSA requires </w:t>
            </w:r>
            <w:r w:rsidRPr="00775F83">
              <w:rPr>
                <w:b/>
              </w:rPr>
              <w:t xml:space="preserve">parent entities to report on ARP </w:t>
            </w:r>
            <w:r w:rsidRPr="00775F83" w:rsidR="006E1F2C">
              <w:rPr>
                <w:b/>
              </w:rPr>
              <w:t xml:space="preserve">Rural </w:t>
            </w:r>
            <w:r w:rsidRPr="00775F83">
              <w:rPr>
                <w:b/>
              </w:rPr>
              <w:t xml:space="preserve">payments they received from </w:t>
            </w:r>
            <w:r w:rsidRPr="00775F83" w:rsidR="00734FA8">
              <w:rPr>
                <w:b/>
              </w:rPr>
              <w:t>the agency</w:t>
            </w:r>
            <w:r w:rsidRPr="00775F83">
              <w:t>.</w:t>
            </w:r>
            <w:r w:rsidRPr="00775F83" w:rsidR="00595214">
              <w:t xml:space="preserve"> </w:t>
            </w:r>
          </w:p>
          <w:p w:rsidR="00856999" w:rsidRPr="00775F83" w:rsidP="004625F9" w14:paraId="0D4B33B9" w14:textId="6F2DF88B">
            <w:pPr>
              <w:pStyle w:val="TableParagraph"/>
              <w:numPr>
                <w:ilvl w:val="0"/>
                <w:numId w:val="33"/>
              </w:numPr>
              <w:tabs>
                <w:tab w:val="left" w:pos="379"/>
              </w:tabs>
              <w:spacing w:before="7"/>
              <w:ind w:right="166"/>
              <w:contextualSpacing/>
            </w:pPr>
            <w:r w:rsidRPr="00775F83">
              <w:t xml:space="preserve">The qualifying </w:t>
            </w:r>
            <w:r w:rsidRPr="00775F83" w:rsidR="003237E5">
              <w:t>r</w:t>
            </w:r>
            <w:r w:rsidRPr="00775F83" w:rsidR="00E276AA">
              <w:t xml:space="preserve">ecipient </w:t>
            </w:r>
            <w:r w:rsidRPr="00775F83">
              <w:t>of a</w:t>
            </w:r>
            <w:r w:rsidRPr="00775F83" w:rsidR="00F10B01">
              <w:t>n</w:t>
            </w:r>
            <w:r w:rsidRPr="00775F83">
              <w:t xml:space="preserve"> ARP </w:t>
            </w:r>
            <w:r w:rsidRPr="00775F83" w:rsidR="006E1F2C">
              <w:t xml:space="preserve">Rural </w:t>
            </w:r>
            <w:r w:rsidRPr="00775F83" w:rsidR="00D536D2">
              <w:t>D</w:t>
            </w:r>
            <w:r w:rsidRPr="00775F83">
              <w:t xml:space="preserve">istribution </w:t>
            </w:r>
            <w:r w:rsidRPr="00775F83" w:rsidR="00E276AA">
              <w:t>will not transfer and/or allocate the payment to another entity</w:t>
            </w:r>
            <w:r w:rsidRPr="00775F83" w:rsidR="00F10B01">
              <w:t xml:space="preserve">. </w:t>
            </w:r>
            <w:r w:rsidRPr="00775F83" w:rsidR="00734FA8">
              <w:t xml:space="preserve"> </w:t>
            </w:r>
            <w:r w:rsidRPr="00775F83" w:rsidR="00F10B01">
              <w:t>(</w:t>
            </w:r>
            <w:r w:rsidRPr="00775F83" w:rsidR="00F10B01">
              <w:rPr>
                <w:b/>
                <w:bCs/>
                <w:i/>
                <w:iCs/>
              </w:rPr>
              <w:t>Note:</w:t>
            </w:r>
            <w:r w:rsidRPr="00775F83" w:rsidR="00734FA8">
              <w:rPr>
                <w:b/>
                <w:bCs/>
                <w:i/>
                <w:iCs/>
              </w:rPr>
              <w:t xml:space="preserve"> </w:t>
            </w:r>
            <w:r w:rsidRPr="00775F83" w:rsidR="00F10B01">
              <w:t xml:space="preserve"> This does not include the initial transfer </w:t>
            </w:r>
            <w:r w:rsidRPr="00775F83" w:rsidR="001B04DF">
              <w:t>of</w:t>
            </w:r>
            <w:r w:rsidRPr="00775F83" w:rsidR="001969B0">
              <w:t xml:space="preserve"> an</w:t>
            </w:r>
            <w:r w:rsidRPr="00775F83" w:rsidR="001B04DF">
              <w:t xml:space="preserve"> ARP</w:t>
            </w:r>
            <w:r w:rsidRPr="00775F83" w:rsidR="006E1F2C">
              <w:t xml:space="preserve"> Rural</w:t>
            </w:r>
            <w:r w:rsidRPr="00775F83" w:rsidR="001B04DF">
              <w:t xml:space="preserve"> payment </w:t>
            </w:r>
            <w:r w:rsidRPr="00775F83" w:rsidR="00F10B01">
              <w:t xml:space="preserve">from the </w:t>
            </w:r>
            <w:r w:rsidRPr="00775F83" w:rsidR="008E41BB">
              <w:t>p</w:t>
            </w:r>
            <w:r w:rsidRPr="00775F83" w:rsidR="00B37D3B">
              <w:t>arent</w:t>
            </w:r>
            <w:r w:rsidRPr="00775F83" w:rsidR="00F10B01">
              <w:t xml:space="preserve"> TIN to the qualifying TIN</w:t>
            </w:r>
            <w:r w:rsidRPr="00775F83" w:rsidR="00CC09A6">
              <w:t>.</w:t>
            </w:r>
            <w:r w:rsidRPr="00775F83" w:rsidR="00F10B01">
              <w:t>)</w:t>
            </w:r>
          </w:p>
        </w:tc>
      </w:tr>
    </w:tbl>
    <w:p w:rsidR="00734679" w:rsidRPr="00775F83" w:rsidP="00997E9F" w14:paraId="25180035" w14:textId="77777777">
      <w:pPr>
        <w:pStyle w:val="BodyText"/>
        <w:ind w:right="43"/>
        <w:contextualSpacing/>
      </w:pPr>
    </w:p>
    <w:p w:rsidR="007E0F89" w:rsidRPr="00775F83" w:rsidP="00997E9F" w14:paraId="3454C3F5" w14:textId="6CCC7EF9">
      <w:pPr>
        <w:pStyle w:val="Heading1"/>
        <w:ind w:left="0"/>
      </w:pPr>
      <w:r w:rsidRPr="00775F83">
        <w:t xml:space="preserve">Parent </w:t>
      </w:r>
      <w:r w:rsidRPr="00775F83" w:rsidR="00B31041">
        <w:t>Reporting</w:t>
      </w:r>
      <w:r w:rsidRPr="00775F83">
        <w:t xml:space="preserve"> by </w:t>
      </w:r>
      <w:r w:rsidRPr="00775F83" w:rsidR="00B31041">
        <w:t>P</w:t>
      </w:r>
      <w:r w:rsidRPr="00775F83">
        <w:t xml:space="preserve">ayment </w:t>
      </w:r>
      <w:r w:rsidRPr="00775F83" w:rsidR="00B31041">
        <w:t>T</w:t>
      </w:r>
      <w:r w:rsidRPr="00775F83">
        <w:t>ype</w:t>
      </w:r>
    </w:p>
    <w:p w:rsidR="007E0F89" w:rsidRPr="00775F83" w:rsidP="00997E9F" w14:paraId="2E7C5624" w14:textId="55507707">
      <w:pPr>
        <w:pStyle w:val="BodyText"/>
        <w:ind w:right="43"/>
        <w:contextualSpacing/>
      </w:pPr>
    </w:p>
    <w:p w:rsidR="002F5FC7" w:rsidRPr="00775F83" w:rsidP="00997E9F" w14:paraId="07BE9448" w14:textId="0F98A6D8">
      <w:pPr>
        <w:pStyle w:val="BodyText"/>
        <w:numPr>
          <w:ilvl w:val="0"/>
          <w:numId w:val="23"/>
        </w:numPr>
        <w:spacing w:before="66"/>
        <w:ind w:left="720" w:right="50"/>
        <w:contextualSpacing/>
      </w:pPr>
      <w:r w:rsidRPr="00775F83">
        <w:rPr>
          <w:b/>
        </w:rPr>
        <w:t>General Distribution Payments:</w:t>
      </w:r>
      <w:r w:rsidRPr="00775F83">
        <w:t xml:space="preserve"> </w:t>
      </w:r>
      <w:r w:rsidRPr="00775F83" w:rsidR="00734FA8">
        <w:t xml:space="preserve"> </w:t>
      </w:r>
      <w:r w:rsidRPr="00775F83" w:rsidR="00473190">
        <w:t xml:space="preserve">A parent entity may report on its subsidiaries’ General Distribution payments regardless of whether the subsidiary TINs received the General Distribution payments directly from HRSA or whether General Distribution payments were transferred to them by the parent entity. </w:t>
      </w:r>
      <w:r w:rsidRPr="00775F83" w:rsidR="00734FA8">
        <w:t xml:space="preserve"> </w:t>
      </w:r>
      <w:r w:rsidRPr="00775F83" w:rsidR="00473190">
        <w:t xml:space="preserve">The parent entity may report on these General Distribution payments regardless of whether the parent or the subsidiary attested to the </w:t>
      </w:r>
      <w:hyperlink r:id="rId12" w:anchor="terms-and-conditions">
        <w:r w:rsidRPr="00775F83" w:rsidR="00587A1C">
          <w:t>Terms and Conditions</w:t>
        </w:r>
      </w:hyperlink>
      <w:r w:rsidRPr="00775F83" w:rsidR="00587A1C">
        <w:t>.</w:t>
      </w:r>
    </w:p>
    <w:p w:rsidR="00734679" w:rsidRPr="00775F83" w:rsidP="00997E9F" w14:paraId="3915FA07" w14:textId="77777777">
      <w:pPr>
        <w:pStyle w:val="BodyText"/>
        <w:spacing w:before="66"/>
        <w:ind w:left="720" w:right="50"/>
        <w:contextualSpacing/>
      </w:pPr>
    </w:p>
    <w:p w:rsidR="002F5FC7" w:rsidRPr="00775F83" w:rsidP="00997E9F" w14:paraId="4571DFB6" w14:textId="7E2A080C">
      <w:pPr>
        <w:pStyle w:val="BodyText"/>
        <w:numPr>
          <w:ilvl w:val="0"/>
          <w:numId w:val="23"/>
        </w:numPr>
        <w:spacing w:before="66"/>
        <w:ind w:left="720" w:right="50"/>
        <w:contextualSpacing/>
      </w:pPr>
      <w:r w:rsidRPr="00775F83">
        <w:rPr>
          <w:b/>
        </w:rPr>
        <w:t>Targeted Distribution Payments:</w:t>
      </w:r>
      <w:r w:rsidRPr="00775F83" w:rsidR="00734FA8">
        <w:rPr>
          <w:bCs/>
        </w:rPr>
        <w:t xml:space="preserve"> </w:t>
      </w:r>
      <w:r w:rsidRPr="00775F83">
        <w:t xml:space="preserve"> A parent entity may not report on its subsidiaries’ Targeted Distribution</w:t>
      </w:r>
      <w:r w:rsidRPr="00775F83" w:rsidR="0045330E">
        <w:t xml:space="preserve"> payments</w:t>
      </w:r>
      <w:r w:rsidRPr="00775F83">
        <w:t>.</w:t>
      </w:r>
      <w:r w:rsidRPr="00775F83" w:rsidR="00734FA8">
        <w:t xml:space="preserve"> </w:t>
      </w:r>
      <w:r w:rsidRPr="00775F83">
        <w:t xml:space="preserve"> The TIN that qualified for Targeted Distribution payments must report on the use of funds in accordance with the CRRSA Act.</w:t>
      </w:r>
      <w:r w:rsidRPr="00775F83" w:rsidR="00734FA8">
        <w:t xml:space="preserve"> </w:t>
      </w:r>
      <w:r w:rsidRPr="00775F83">
        <w:t xml:space="preserve"> This is required regardless of whether the qualifying recipient or its parent subsequently transferred the payment. </w:t>
      </w:r>
      <w:r w:rsidRPr="00775F83" w:rsidR="00734FA8">
        <w:t xml:space="preserve"> </w:t>
      </w:r>
      <w:r w:rsidRPr="00775F83">
        <w:t xml:space="preserve">A </w:t>
      </w:r>
      <w:r w:rsidRPr="00775F83" w:rsidR="00D5415E">
        <w:t>r</w:t>
      </w:r>
      <w:r w:rsidRPr="00775F83">
        <w:t xml:space="preserve">eporting </w:t>
      </w:r>
      <w:r w:rsidRPr="00775F83" w:rsidR="00734FA8">
        <w:t>e</w:t>
      </w:r>
      <w:r w:rsidRPr="00775F83">
        <w:t xml:space="preserve">ntity that is a subsidiary must indicate the payment amount of any of the Targeted Distributions it received that were transferred to/by the parent entity, if applicable. </w:t>
      </w:r>
    </w:p>
    <w:p w:rsidR="00734679" w:rsidRPr="00775F83" w:rsidP="00997E9F" w14:paraId="612CDE82" w14:textId="77777777">
      <w:pPr>
        <w:pStyle w:val="ListParagraph"/>
        <w:ind w:left="720"/>
      </w:pPr>
    </w:p>
    <w:p w:rsidR="004057EF" w:rsidRPr="00775F83" w:rsidP="00997E9F" w14:paraId="507AA750" w14:textId="51A4DC5D">
      <w:pPr>
        <w:pStyle w:val="BodyText"/>
        <w:numPr>
          <w:ilvl w:val="0"/>
          <w:numId w:val="23"/>
        </w:numPr>
        <w:spacing w:before="66"/>
        <w:ind w:left="720" w:right="50" w:hanging="330"/>
        <w:contextualSpacing/>
      </w:pPr>
      <w:r w:rsidRPr="00775F83">
        <w:rPr>
          <w:b/>
        </w:rPr>
        <w:t>ARP Rural Payments:</w:t>
      </w:r>
      <w:r w:rsidRPr="00775F83">
        <w:t xml:space="preserve"> </w:t>
      </w:r>
      <w:r w:rsidRPr="00775F83" w:rsidR="00734FA8">
        <w:t xml:space="preserve"> </w:t>
      </w:r>
      <w:r w:rsidRPr="00775F83">
        <w:t xml:space="preserve">As outlined in </w:t>
      </w:r>
      <w:r w:rsidRPr="00775F83" w:rsidR="0081222C">
        <w:t>Table 5</w:t>
      </w:r>
      <w:r w:rsidRPr="00775F83" w:rsidR="00E83FE7">
        <w:t xml:space="preserve"> above, </w:t>
      </w:r>
      <w:r w:rsidRPr="00775F83" w:rsidR="00F55E4E">
        <w:rPr>
          <w:b/>
          <w:bCs/>
        </w:rPr>
        <w:t>HRSA requires</w:t>
      </w:r>
      <w:r w:rsidRPr="00775F83" w:rsidR="00F55E4E">
        <w:t xml:space="preserve"> </w:t>
      </w:r>
      <w:r w:rsidRPr="00775F83" w:rsidR="00734FA8">
        <w:t>p</w:t>
      </w:r>
      <w:r w:rsidRPr="00775F83">
        <w:t>arent entities to report on its subsidiaries’ use of ARP Rural payments</w:t>
      </w:r>
      <w:r w:rsidRPr="00775F83" w:rsidR="00F50BE3">
        <w:t xml:space="preserve">. </w:t>
      </w:r>
      <w:r w:rsidRPr="00775F83" w:rsidR="00734FA8">
        <w:t xml:space="preserve"> </w:t>
      </w:r>
      <w:r w:rsidRPr="00775F83" w:rsidR="00396408">
        <w:t xml:space="preserve">In accordance with the payment </w:t>
      </w:r>
      <w:hyperlink r:id="rId12" w:anchor="terms-and-conditions" w:history="1">
        <w:r w:rsidRPr="00775F83" w:rsidR="00396408">
          <w:rPr>
            <w:rStyle w:val="Hyperlink"/>
          </w:rPr>
          <w:t>Terms and Conditions</w:t>
        </w:r>
      </w:hyperlink>
      <w:r w:rsidRPr="00775F83" w:rsidR="00396408">
        <w:t xml:space="preserve">, the </w:t>
      </w:r>
      <w:r w:rsidRPr="00775F83" w:rsidR="00396408">
        <w:t xml:space="preserve">TIN that qualified for </w:t>
      </w:r>
      <w:r w:rsidRPr="00775F83" w:rsidR="00CC09A6">
        <w:t xml:space="preserve">the ARP Rural Distribution payment </w:t>
      </w:r>
      <w:r w:rsidRPr="00775F83" w:rsidR="00CC09A6">
        <w:rPr>
          <w:b/>
        </w:rPr>
        <w:t>must use</w:t>
      </w:r>
      <w:r w:rsidRPr="00775F83" w:rsidR="00CC09A6">
        <w:t xml:space="preserve"> the payment for </w:t>
      </w:r>
      <w:r w:rsidRPr="00775F83" w:rsidR="00661F58">
        <w:t>eligible</w:t>
      </w:r>
      <w:r w:rsidRPr="00775F83" w:rsidR="00CC09A6">
        <w:t xml:space="preserve"> expenses and/or lost revenues. </w:t>
      </w:r>
      <w:r w:rsidRPr="00775F83" w:rsidR="00734FA8">
        <w:t xml:space="preserve"> HRSA does not permit p</w:t>
      </w:r>
      <w:r w:rsidRPr="00775F83" w:rsidR="00F861A1">
        <w:t>arent</w:t>
      </w:r>
      <w:r w:rsidRPr="00775F83" w:rsidR="00734FA8">
        <w:t xml:space="preserve"> entitie</w:t>
      </w:r>
      <w:r w:rsidRPr="00775F83" w:rsidR="00F861A1">
        <w:t xml:space="preserve">s to use these payments. </w:t>
      </w:r>
      <w:r w:rsidRPr="00775F83" w:rsidR="0045330E">
        <w:t xml:space="preserve"> </w:t>
      </w:r>
      <w:r w:rsidRPr="00775F83" w:rsidR="000D46BC">
        <w:t>Parent entities will be required to attest that payments were allo</w:t>
      </w:r>
      <w:r w:rsidRPr="00775F83" w:rsidR="005E417F">
        <w:t>cated in accordance with the information p</w:t>
      </w:r>
      <w:r w:rsidRPr="00775F83" w:rsidR="000D46BC">
        <w:t>rovided in the payment letter.</w:t>
      </w:r>
      <w:bookmarkStart w:id="11" w:name="_bookmark5"/>
      <w:bookmarkEnd w:id="11"/>
    </w:p>
    <w:p w:rsidR="00734679" w:rsidRPr="00775F83" w:rsidP="005C2567" w14:paraId="1CAB249C" w14:textId="77777777">
      <w:pPr>
        <w:ind w:left="216"/>
        <w:contextualSpacing/>
      </w:pPr>
    </w:p>
    <w:p w:rsidR="00734679" w:rsidRPr="00775F83" w:rsidP="00997E9F" w14:paraId="3616E75E" w14:textId="3CA6BCF8">
      <w:pPr>
        <w:contextualSpacing/>
      </w:pPr>
      <w:r w:rsidRPr="00775F83">
        <w:t>R</w:t>
      </w:r>
      <w:r w:rsidRPr="00775F83" w:rsidR="008E3565">
        <w:t>ecipients who report a</w:t>
      </w:r>
      <w:r w:rsidRPr="00775F83" w:rsidR="004D4E20">
        <w:t>n</w:t>
      </w:r>
      <w:r w:rsidRPr="00775F83" w:rsidR="008E3565">
        <w:t xml:space="preserve"> </w:t>
      </w:r>
      <w:r w:rsidRPr="00775F83" w:rsidR="004D4E20">
        <w:t>acquisition/divestiture/merger</w:t>
      </w:r>
      <w:r w:rsidRPr="00775F83" w:rsidR="008E3565">
        <w:t xml:space="preserve"> </w:t>
      </w:r>
      <w:r w:rsidRPr="00775F83">
        <w:t>or entities who transfer Targeted Distribution payments</w:t>
      </w:r>
      <w:r w:rsidRPr="00775F83" w:rsidR="000C25A5">
        <w:t xml:space="preserve"> </w:t>
      </w:r>
      <w:r w:rsidRPr="00775F83" w:rsidR="00841E71">
        <w:t>are</w:t>
      </w:r>
      <w:r w:rsidRPr="00775F83" w:rsidR="008E3565">
        <w:t xml:space="preserve"> more likely to be audited, consistent with an overall risk-based audit strategy. </w:t>
      </w:r>
    </w:p>
    <w:p w:rsidR="00734679" w:rsidRPr="00775F83" w:rsidP="00734679" w14:paraId="13306642" w14:textId="77777777">
      <w:pPr>
        <w:ind w:left="220"/>
        <w:contextualSpacing/>
      </w:pPr>
    </w:p>
    <w:p w:rsidR="004057EF" w:rsidRPr="00775F83" w:rsidP="00997E9F" w14:paraId="507AA752" w14:textId="5E29BBE4">
      <w:pPr>
        <w:pStyle w:val="Heading1"/>
        <w:ind w:left="0"/>
      </w:pPr>
      <w:bookmarkStart w:id="12" w:name="Steps_for_Reporting_on_Use_of_Funds"/>
      <w:bookmarkStart w:id="13" w:name="_bookmark6"/>
      <w:bookmarkEnd w:id="12"/>
      <w:bookmarkEnd w:id="13"/>
      <w:r w:rsidRPr="00775F83">
        <w:t>Steps for Reporting on Use of Funds</w:t>
      </w:r>
    </w:p>
    <w:p w:rsidR="005C2567" w:rsidRPr="00775F83" w:rsidP="00997E9F" w14:paraId="30F0484F" w14:textId="77777777">
      <w:pPr>
        <w:contextualSpacing/>
      </w:pPr>
    </w:p>
    <w:p w:rsidR="005C2567" w:rsidRPr="00775F83" w:rsidP="00997E9F" w14:paraId="71A76BC8" w14:textId="53E141DD">
      <w:pPr>
        <w:contextualSpacing/>
      </w:pPr>
      <w:r w:rsidRPr="00775F83">
        <w:t>Reporting entities will report on their use of funds using their normal basis of accounting (e.g.</w:t>
      </w:r>
      <w:r w:rsidRPr="00775F83" w:rsidR="007B0BA5">
        <w:t>,</w:t>
      </w:r>
      <w:r w:rsidRPr="00775F83">
        <w:t xml:space="preserve"> cash basis, accrual basis</w:t>
      </w:r>
      <w:r w:rsidRPr="00775F83" w:rsidR="005610C3">
        <w:t>, and modified accrual</w:t>
      </w:r>
      <w:r w:rsidRPr="00775F83">
        <w:t xml:space="preserve">). </w:t>
      </w:r>
      <w:r w:rsidRPr="00775F83" w:rsidR="00734FA8">
        <w:t xml:space="preserve"> </w:t>
      </w:r>
      <w:r w:rsidRPr="00775F83">
        <w:t xml:space="preserve">Reporting </w:t>
      </w:r>
      <w:r w:rsidRPr="00775F83" w:rsidR="00734FA8">
        <w:t>e</w:t>
      </w:r>
      <w:r w:rsidRPr="00775F83">
        <w:t xml:space="preserve">ntities will submit consolidated reports. </w:t>
      </w:r>
      <w:r w:rsidRPr="00775F83" w:rsidR="00734FA8">
        <w:t xml:space="preserve"> </w:t>
      </w:r>
      <w:r w:rsidRPr="00775F83">
        <w:t xml:space="preserve">The reporting requirements outlined in this section apply to all past and future PRF </w:t>
      </w:r>
      <w:r w:rsidRPr="00775F83" w:rsidR="00D3772E">
        <w:t xml:space="preserve">and ARP Rural </w:t>
      </w:r>
      <w:r w:rsidRPr="00775F83">
        <w:t>payments</w:t>
      </w:r>
      <w:r w:rsidRPr="00775F83" w:rsidR="009E3CC5">
        <w:t>.</w:t>
      </w:r>
      <w:r w:rsidRPr="00775F83">
        <w:t xml:space="preserve"> </w:t>
      </w:r>
    </w:p>
    <w:p w:rsidR="005C2567" w:rsidRPr="00775F83" w:rsidP="00997E9F" w14:paraId="04261A9B" w14:textId="77777777">
      <w:pPr>
        <w:contextualSpacing/>
      </w:pPr>
    </w:p>
    <w:p w:rsidR="00734679" w:rsidRPr="00775F83" w:rsidP="00997E9F" w14:paraId="115290D6" w14:textId="0D76DF3B">
      <w:pPr>
        <w:contextualSpacing/>
      </w:pPr>
      <w:r w:rsidRPr="00775F83">
        <w:t>Recipients will report data in the following order:</w:t>
      </w:r>
    </w:p>
    <w:p w:rsidR="005C2567" w:rsidRPr="00775F83" w:rsidP="005C2567" w14:paraId="245E8871" w14:textId="77777777">
      <w:pPr>
        <w:ind w:left="220"/>
        <w:contextualSpacing/>
      </w:pPr>
    </w:p>
    <w:p w:rsidR="00F50BE3" w:rsidRPr="00775F83" w:rsidP="002513AB" w14:paraId="1890507C" w14:textId="77777777">
      <w:pPr>
        <w:pStyle w:val="ListParagraph"/>
        <w:numPr>
          <w:ilvl w:val="0"/>
          <w:numId w:val="7"/>
        </w:numPr>
        <w:ind w:left="720"/>
        <w:contextualSpacing/>
      </w:pPr>
      <w:r w:rsidRPr="00775F83">
        <w:rPr>
          <w:b/>
        </w:rPr>
        <w:t xml:space="preserve">Interest Earned on PRF </w:t>
      </w:r>
      <w:r w:rsidRPr="00775F83">
        <w:rPr>
          <w:b/>
          <w:bCs/>
        </w:rPr>
        <w:t>Payments</w:t>
      </w:r>
      <w:r w:rsidRPr="00775F83" w:rsidR="00201CE2">
        <w:rPr>
          <w:b/>
          <w:bCs/>
        </w:rPr>
        <w:t xml:space="preserve"> (prior to Phase 4</w:t>
      </w:r>
      <w:r w:rsidRPr="00775F83">
        <w:rPr>
          <w:b/>
        </w:rPr>
        <w:t>)</w:t>
      </w:r>
    </w:p>
    <w:p w:rsidR="00F50BE3" w:rsidRPr="00775F83" w:rsidP="00F50BE3" w14:paraId="35949B74" w14:textId="38CD2CDB">
      <w:pPr>
        <w:pStyle w:val="ListParagraph"/>
        <w:ind w:left="720" w:firstLine="0"/>
        <w:contextualSpacing/>
      </w:pPr>
      <w:r w:rsidRPr="00775F83">
        <w:t xml:space="preserve">Reporting </w:t>
      </w:r>
      <w:r w:rsidRPr="00775F83" w:rsidR="00734FA8">
        <w:t>e</w:t>
      </w:r>
      <w:r w:rsidRPr="00775F83">
        <w:t xml:space="preserve">ntities </w:t>
      </w:r>
      <w:r w:rsidRPr="00775F83" w:rsidR="00734FA8">
        <w:t xml:space="preserve">must report the dollar value of interest earned on </w:t>
      </w:r>
      <w:r w:rsidRPr="00775F83">
        <w:t xml:space="preserve">PRF payment(s) </w:t>
      </w:r>
      <w:r w:rsidRPr="00775F83" w:rsidR="00AE1AF8">
        <w:t>it holds</w:t>
      </w:r>
      <w:r w:rsidRPr="00775F83" w:rsidR="00734FA8">
        <w:t xml:space="preserve"> </w:t>
      </w:r>
      <w:r w:rsidRPr="00775F83">
        <w:t xml:space="preserve">in an interest-bearing account. </w:t>
      </w:r>
      <w:r w:rsidRPr="00775F83" w:rsidR="00734FA8">
        <w:t xml:space="preserve"> </w:t>
      </w:r>
      <w:r w:rsidRPr="00775F83">
        <w:t xml:space="preserve">The total reportable use of PRF payments will include the interest earned on those PRF payments. </w:t>
      </w:r>
      <w:r w:rsidRPr="00775F83" w:rsidR="00AE1AF8">
        <w:t xml:space="preserve"> Reporting entities will report separately i</w:t>
      </w:r>
      <w:r w:rsidRPr="00775F83">
        <w:t xml:space="preserve">nterest earned on </w:t>
      </w:r>
      <w:r w:rsidRPr="00775F83" w:rsidR="00D34B1F">
        <w:t xml:space="preserve">NHIC </w:t>
      </w:r>
      <w:r w:rsidRPr="00775F83">
        <w:t>Distribution payments and interest earned on other PRF payments.</w:t>
      </w:r>
    </w:p>
    <w:p w:rsidR="00F50BE3" w:rsidRPr="00775F83" w:rsidP="00F50BE3" w14:paraId="5D9401CC" w14:textId="77777777">
      <w:pPr>
        <w:pStyle w:val="ListParagraph"/>
        <w:ind w:left="720" w:firstLine="0"/>
        <w:contextualSpacing/>
      </w:pPr>
    </w:p>
    <w:p w:rsidR="00F50BE3" w:rsidRPr="00775F83" w:rsidP="002513AB" w14:paraId="7B428FFB" w14:textId="77777777">
      <w:pPr>
        <w:pStyle w:val="ListParagraph"/>
        <w:numPr>
          <w:ilvl w:val="0"/>
          <w:numId w:val="7"/>
        </w:numPr>
        <w:ind w:left="720"/>
        <w:contextualSpacing/>
      </w:pPr>
      <w:r w:rsidRPr="00775F83">
        <w:rPr>
          <w:b/>
          <w:bCs/>
        </w:rPr>
        <w:t xml:space="preserve">Interest Earned on </w:t>
      </w:r>
      <w:r w:rsidRPr="00775F83" w:rsidR="00201CE2">
        <w:rPr>
          <w:b/>
          <w:bCs/>
        </w:rPr>
        <w:t xml:space="preserve">Phase 4 and </w:t>
      </w:r>
      <w:r w:rsidRPr="00775F83">
        <w:rPr>
          <w:b/>
          <w:bCs/>
        </w:rPr>
        <w:t>ARP Rural Payments</w:t>
      </w:r>
      <w:r w:rsidRPr="00775F83" w:rsidR="003F17AF">
        <w:rPr>
          <w:b/>
          <w:bCs/>
        </w:rPr>
        <w:t xml:space="preserve"> (if applicable)</w:t>
      </w:r>
    </w:p>
    <w:p w:rsidR="00F50BE3" w:rsidRPr="00775F83" w:rsidP="00F50BE3" w14:paraId="49F97E55" w14:textId="68FD073F">
      <w:pPr>
        <w:pStyle w:val="ListParagraph"/>
        <w:ind w:left="720" w:firstLine="0"/>
        <w:contextualSpacing/>
      </w:pPr>
      <w:r w:rsidRPr="00775F83">
        <w:t>HRSA requires r</w:t>
      </w:r>
      <w:r w:rsidRPr="00775F83" w:rsidR="00E6504F">
        <w:t xml:space="preserve">ecipients of ARP Rural </w:t>
      </w:r>
      <w:r w:rsidRPr="00775F83" w:rsidR="00201CE2">
        <w:t xml:space="preserve">and PRF Phase 4 </w:t>
      </w:r>
      <w:r w:rsidRPr="00775F83" w:rsidR="00E6504F">
        <w:t xml:space="preserve">payments to hold those payments in an interest-bearing account. </w:t>
      </w:r>
      <w:r w:rsidRPr="00775F83">
        <w:t xml:space="preserve"> </w:t>
      </w:r>
      <w:r w:rsidRPr="00775F83" w:rsidR="00E6504F">
        <w:t xml:space="preserve">Reporting </w:t>
      </w:r>
      <w:r w:rsidRPr="00775F83">
        <w:t>e</w:t>
      </w:r>
      <w:r w:rsidRPr="00775F83" w:rsidR="00E6504F">
        <w:t xml:space="preserve">ntities </w:t>
      </w:r>
      <w:r w:rsidRPr="00775F83" w:rsidR="00201CE2">
        <w:t>must</w:t>
      </w:r>
      <w:r w:rsidRPr="00775F83" w:rsidR="00E6504F">
        <w:t xml:space="preserve"> report on the dollar value of interest earned on all retained ARP Rural payments separately from </w:t>
      </w:r>
      <w:r w:rsidRPr="00775F83" w:rsidR="0006271B">
        <w:t xml:space="preserve">PRF </w:t>
      </w:r>
      <w:r w:rsidRPr="00775F83" w:rsidR="00E6504F">
        <w:t xml:space="preserve">Distributions. </w:t>
      </w:r>
      <w:r w:rsidRPr="00775F83">
        <w:t xml:space="preserve"> </w:t>
      </w:r>
      <w:r w:rsidRPr="00775F83" w:rsidR="00E6504F">
        <w:t>The total reportable amount of ARP Rural</w:t>
      </w:r>
      <w:r w:rsidRPr="00775F83" w:rsidR="00201CE2">
        <w:t xml:space="preserve"> and PRF payments</w:t>
      </w:r>
      <w:r w:rsidRPr="00775F83" w:rsidR="00E6504F">
        <w:t xml:space="preserve"> will include the interest earned. </w:t>
      </w:r>
    </w:p>
    <w:p w:rsidR="00F50BE3" w:rsidRPr="00775F83" w:rsidP="00F50BE3" w14:paraId="0B6D9051" w14:textId="77777777">
      <w:pPr>
        <w:pStyle w:val="ListParagraph"/>
        <w:ind w:left="720" w:firstLine="0"/>
        <w:contextualSpacing/>
      </w:pPr>
    </w:p>
    <w:p w:rsidR="00F50BE3" w:rsidRPr="00775F83" w:rsidP="002513AB" w14:paraId="6B40BA18" w14:textId="77777777">
      <w:pPr>
        <w:pStyle w:val="ListParagraph"/>
        <w:numPr>
          <w:ilvl w:val="0"/>
          <w:numId w:val="7"/>
        </w:numPr>
        <w:ind w:left="720"/>
        <w:contextualSpacing/>
      </w:pPr>
      <w:r w:rsidRPr="00775F83">
        <w:rPr>
          <w:b/>
        </w:rPr>
        <w:t>Other</w:t>
      </w:r>
      <w:r w:rsidRPr="00775F83">
        <w:rPr>
          <w:b/>
          <w:spacing w:val="-2"/>
        </w:rPr>
        <w:t xml:space="preserve"> </w:t>
      </w:r>
      <w:r w:rsidRPr="00775F83">
        <w:rPr>
          <w:b/>
        </w:rPr>
        <w:t>Assistance</w:t>
      </w:r>
      <w:r w:rsidRPr="00775F83">
        <w:rPr>
          <w:b/>
          <w:spacing w:val="18"/>
        </w:rPr>
        <w:t xml:space="preserve"> </w:t>
      </w:r>
      <w:r w:rsidRPr="00775F83">
        <w:rPr>
          <w:b/>
        </w:rPr>
        <w:t>Received</w:t>
      </w:r>
    </w:p>
    <w:p w:rsidR="00F50BE3" w:rsidRPr="00775F83" w:rsidP="00F50BE3" w14:paraId="2363899D" w14:textId="280EBBA1">
      <w:pPr>
        <w:pStyle w:val="ListParagraph"/>
        <w:ind w:left="720" w:firstLine="0"/>
        <w:contextualSpacing/>
      </w:pPr>
      <w:r w:rsidRPr="00775F83">
        <w:t xml:space="preserve">The </w:t>
      </w:r>
      <w:r w:rsidRPr="00775F83" w:rsidR="003C335C">
        <w:t>r</w:t>
      </w:r>
      <w:r w:rsidRPr="00775F83">
        <w:t xml:space="preserve">eporting </w:t>
      </w:r>
      <w:r w:rsidRPr="00775F83" w:rsidR="00A92712">
        <w:t>e</w:t>
      </w:r>
      <w:r w:rsidRPr="00775F83">
        <w:t>ntity will report on other assistance received by quarter during the period of availability.</w:t>
      </w:r>
      <w:r w:rsidRPr="00775F83" w:rsidR="0045330E">
        <w:t xml:space="preserve"> </w:t>
      </w:r>
      <w:r w:rsidRPr="00775F83">
        <w:t xml:space="preserve"> Other Assistance Received is further defined within the </w:t>
      </w:r>
      <w:hyperlink w:anchor="_bookmark9" w:history="1">
        <w:r w:rsidRPr="00775F83">
          <w:rPr>
            <w:color w:val="0000FF"/>
            <w:u w:val="single" w:color="0000FF"/>
          </w:rPr>
          <w:t>Data</w:t>
        </w:r>
        <w:r w:rsidRPr="00775F83">
          <w:rPr>
            <w:color w:val="0000FF"/>
            <w:spacing w:val="-12"/>
            <w:u w:val="single" w:color="0000FF"/>
          </w:rPr>
          <w:t xml:space="preserve"> </w:t>
        </w:r>
        <w:r w:rsidRPr="00775F83">
          <w:rPr>
            <w:color w:val="0000FF"/>
            <w:u w:val="single" w:color="0000FF"/>
          </w:rPr>
          <w:t>Elements</w:t>
        </w:r>
        <w:r w:rsidRPr="00775F83">
          <w:rPr>
            <w:color w:val="0000FF"/>
            <w:spacing w:val="15"/>
          </w:rPr>
          <w:t xml:space="preserve"> </w:t>
        </w:r>
      </w:hyperlink>
      <w:r w:rsidRPr="00775F83">
        <w:t xml:space="preserve">section below. </w:t>
      </w:r>
      <w:r w:rsidRPr="00775F83" w:rsidR="00AB7218">
        <w:t xml:space="preserve"> </w:t>
      </w:r>
      <w:r w:rsidRPr="00775F83">
        <w:t xml:space="preserve">If the </w:t>
      </w:r>
      <w:r w:rsidRPr="00775F83" w:rsidR="00D5415E">
        <w:t>r</w:t>
      </w:r>
      <w:r w:rsidRPr="00775F83">
        <w:t xml:space="preserve">eporting </w:t>
      </w:r>
      <w:r w:rsidRPr="00775F83" w:rsidR="00C02CE6">
        <w:t>e</w:t>
      </w:r>
      <w:r w:rsidRPr="00775F83">
        <w:t>ntity is reporting on behalf of subsidiaries, the assistance received for each category must be aggregated across each of the subsidiaries included in the report.</w:t>
      </w:r>
      <w:r w:rsidRPr="00775F83" w:rsidR="00C02CE6">
        <w:t xml:space="preserve"> </w:t>
      </w:r>
      <w:r w:rsidRPr="00775F83" w:rsidR="00CF357D">
        <w:t xml:space="preserve"> </w:t>
      </w:r>
      <w:r w:rsidRPr="00775F83" w:rsidR="00C02CE6">
        <w:t xml:space="preserve">HRSA will not use the reported </w:t>
      </w:r>
      <w:r w:rsidRPr="00775F83" w:rsidR="004A14CB">
        <w:t>Other Assistance Received in the calculation of expenses</w:t>
      </w:r>
      <w:r w:rsidRPr="00775F83" w:rsidR="00D55511">
        <w:t xml:space="preserve"> or lost revenues </w:t>
      </w:r>
      <w:r w:rsidRPr="00775F83" w:rsidR="004A14CB">
        <w:t xml:space="preserve">applied to </w:t>
      </w:r>
      <w:r w:rsidRPr="00775F83" w:rsidR="00D55511">
        <w:t>PRF and ARP Rural</w:t>
      </w:r>
      <w:r w:rsidRPr="00775F83" w:rsidR="004A14CB">
        <w:t xml:space="preserve"> payments.</w:t>
      </w:r>
    </w:p>
    <w:p w:rsidR="00F50BE3" w:rsidRPr="00775F83" w:rsidP="00F50BE3" w14:paraId="594A270C" w14:textId="77777777">
      <w:pPr>
        <w:pStyle w:val="ListParagraph"/>
        <w:ind w:left="720" w:firstLine="0"/>
        <w:contextualSpacing/>
      </w:pPr>
    </w:p>
    <w:p w:rsidR="00F50BE3" w:rsidRPr="00775F83" w:rsidP="002513AB" w14:paraId="470F03B6" w14:textId="77777777">
      <w:pPr>
        <w:pStyle w:val="ListParagraph"/>
        <w:numPr>
          <w:ilvl w:val="0"/>
          <w:numId w:val="7"/>
        </w:numPr>
        <w:ind w:left="720"/>
        <w:contextualSpacing/>
      </w:pPr>
      <w:r w:rsidRPr="00775F83">
        <w:rPr>
          <w:b/>
          <w:bCs/>
        </w:rPr>
        <w:t>Use of ARP Rural Distribution Payments (if applicable)</w:t>
      </w:r>
      <w:r w:rsidRPr="00775F83" w:rsidR="001B41ED">
        <w:rPr>
          <w:b/>
          <w:bCs/>
        </w:rPr>
        <w:t xml:space="preserve"> for Eligible Expenses</w:t>
      </w:r>
    </w:p>
    <w:p w:rsidR="00F50BE3" w:rsidRPr="00775F83" w:rsidP="00F50BE3" w14:paraId="62AA32BB" w14:textId="1BB94FE8">
      <w:pPr>
        <w:pStyle w:val="ListParagraph"/>
        <w:ind w:left="720" w:firstLine="0"/>
        <w:contextualSpacing/>
      </w:pPr>
      <w:r w:rsidRPr="00775F83">
        <w:t xml:space="preserve">The </w:t>
      </w:r>
      <w:r w:rsidRPr="00775F83" w:rsidR="003C335C">
        <w:t>r</w:t>
      </w:r>
      <w:r w:rsidRPr="00775F83">
        <w:t xml:space="preserve">eporting </w:t>
      </w:r>
      <w:r w:rsidRPr="00775F83" w:rsidR="003C335C">
        <w:t>e</w:t>
      </w:r>
      <w:r w:rsidRPr="00775F83">
        <w:t xml:space="preserve">ntity will report on expenses paid for with ARP Rural payments (including any interest earned). </w:t>
      </w:r>
      <w:r w:rsidRPr="00775F83" w:rsidR="003C335C">
        <w:t xml:space="preserve"> </w:t>
      </w:r>
      <w:r w:rsidRPr="00775F83">
        <w:t xml:space="preserve">Expense categories will include General and Administrative and/or other Health Care-Related Expenses by calendar year quarter (further defined within the </w:t>
      </w:r>
      <w:r w:rsidRPr="00775F83" w:rsidR="00BB4A67">
        <w:t xml:space="preserve">Data Elements </w:t>
      </w:r>
      <w:r w:rsidRPr="00775F83">
        <w:t>section below)</w:t>
      </w:r>
      <w:r w:rsidRPr="00775F83">
        <w:t xml:space="preserve">. </w:t>
      </w:r>
    </w:p>
    <w:p w:rsidR="00F50BE3" w:rsidRPr="00775F83" w:rsidP="00F50BE3" w14:paraId="778338C5" w14:textId="77777777">
      <w:pPr>
        <w:pStyle w:val="ListParagraph"/>
        <w:ind w:left="720" w:firstLine="0"/>
        <w:contextualSpacing/>
      </w:pPr>
    </w:p>
    <w:p w:rsidR="00F50BE3" w:rsidRPr="00775F83" w:rsidP="002513AB" w14:paraId="2C1101BE" w14:textId="77777777">
      <w:pPr>
        <w:pStyle w:val="ListParagraph"/>
        <w:numPr>
          <w:ilvl w:val="0"/>
          <w:numId w:val="7"/>
        </w:numPr>
        <w:ind w:left="720"/>
        <w:contextualSpacing/>
      </w:pPr>
      <w:r w:rsidRPr="00775F83">
        <w:rPr>
          <w:b/>
        </w:rPr>
        <w:t>Use</w:t>
      </w:r>
      <w:r w:rsidRPr="00775F83">
        <w:rPr>
          <w:b/>
          <w:bCs/>
        </w:rPr>
        <w:t xml:space="preserve"> of ARP Rural Distribution Payments (if applicable) for Lost Revenues </w:t>
      </w:r>
    </w:p>
    <w:p w:rsidR="00F50BE3" w:rsidRPr="00775F83" w:rsidP="00F84AEF" w14:paraId="0A77AEAD" w14:textId="291F7FAD">
      <w:pPr>
        <w:pStyle w:val="ListParagraph"/>
        <w:ind w:left="720" w:firstLine="0"/>
        <w:contextualSpacing/>
      </w:pPr>
      <w:r w:rsidRPr="00775F83">
        <w:t xml:space="preserve">Reporting entities may apply </w:t>
      </w:r>
      <w:r w:rsidRPr="00775F83" w:rsidR="001B41ED">
        <w:t>ARP Rural amounts not fully expended on health care-related expenses attributable to</w:t>
      </w:r>
      <w:r w:rsidRPr="00775F83" w:rsidR="00EC6F49">
        <w:t xml:space="preserve"> </w:t>
      </w:r>
      <w:r w:rsidRPr="00775F83" w:rsidR="001B41ED">
        <w:t xml:space="preserve">COVID-19 to patient care lost revenues </w:t>
      </w:r>
      <w:r w:rsidRPr="00775F83" w:rsidR="00BF50C5">
        <w:t>incurred within the period of availability,</w:t>
      </w:r>
      <w:r w:rsidRPr="00775F83" w:rsidR="001B41ED">
        <w:t xml:space="preserve"> up to</w:t>
      </w:r>
      <w:r w:rsidRPr="00775F83" w:rsidR="006D1716">
        <w:t xml:space="preserve"> June 30, 2023,</w:t>
      </w:r>
      <w:r w:rsidRPr="00775F83" w:rsidR="001B41ED">
        <w:t xml:space="preserve"> the end of the quarter in which the Public Health Emergency</w:t>
      </w:r>
      <w:r w:rsidRPr="00775F83" w:rsidR="008E481B">
        <w:t xml:space="preserve"> </w:t>
      </w:r>
      <w:r w:rsidRPr="00775F83" w:rsidR="001B41ED">
        <w:t>end</w:t>
      </w:r>
      <w:r w:rsidR="00D72475">
        <w:t>s</w:t>
      </w:r>
      <w:r w:rsidRPr="00775F83" w:rsidR="001B41ED">
        <w:t>, if applicable</w:t>
      </w:r>
      <w:r w:rsidRPr="00775F83">
        <w:t xml:space="preserve">. </w:t>
      </w:r>
      <w:r w:rsidRPr="00775F83" w:rsidR="00F41EC3">
        <w:t xml:space="preserve"> </w:t>
      </w:r>
      <w:r w:rsidRPr="00775F83" w:rsidR="001B41ED">
        <w:t xml:space="preserve">Documentation requirements for lost revenues calculations are further defined within the Data Elements section below. </w:t>
      </w:r>
      <w:r w:rsidRPr="00775F83">
        <w:t xml:space="preserve"> </w:t>
      </w:r>
      <w:r w:rsidRPr="00775F83" w:rsidR="001B41ED">
        <w:t>Recipients may choose to apply ARP Rural payments toward lost revenues using one of three options, up to the amount:</w:t>
      </w:r>
    </w:p>
    <w:p w:rsidR="00FD7765" w:rsidRPr="00775F83" w:rsidP="00F84AEF" w14:paraId="461D9903" w14:textId="77777777">
      <w:pPr>
        <w:pStyle w:val="ListParagraph"/>
        <w:ind w:left="720" w:firstLine="0"/>
        <w:contextualSpacing/>
      </w:pPr>
    </w:p>
    <w:p w:rsidR="001E69FC" w:rsidRPr="00775F83" w:rsidP="002513AB" w14:paraId="39525FCB" w14:textId="2754F592">
      <w:pPr>
        <w:pStyle w:val="ListParagraph"/>
        <w:numPr>
          <w:ilvl w:val="0"/>
          <w:numId w:val="26"/>
        </w:numPr>
        <w:contextualSpacing/>
      </w:pPr>
      <w:r w:rsidRPr="00775F83">
        <w:rPr>
          <w:b/>
        </w:rPr>
        <w:t>Option i:</w:t>
      </w:r>
      <w:r w:rsidRPr="00775F83">
        <w:t xml:space="preserve"> </w:t>
      </w:r>
      <w:r w:rsidRPr="00775F83" w:rsidR="003C335C">
        <w:t xml:space="preserve"> </w:t>
      </w:r>
      <w:r w:rsidRPr="00775F83">
        <w:t>of the difference between actual patient care revenues.</w:t>
      </w:r>
    </w:p>
    <w:p w:rsidR="001E69FC" w:rsidRPr="00775F83" w:rsidP="002513AB" w14:paraId="09495EB9" w14:textId="015D9B5D">
      <w:pPr>
        <w:pStyle w:val="ListParagraph"/>
        <w:numPr>
          <w:ilvl w:val="0"/>
          <w:numId w:val="26"/>
        </w:numPr>
        <w:contextualSpacing/>
      </w:pPr>
      <w:r w:rsidRPr="00775F83">
        <w:rPr>
          <w:b/>
        </w:rPr>
        <w:t>Option ii:</w:t>
      </w:r>
      <w:r w:rsidRPr="00775F83">
        <w:t xml:space="preserve"> </w:t>
      </w:r>
      <w:r w:rsidRPr="00775F83" w:rsidR="003C335C">
        <w:t xml:space="preserve"> </w:t>
      </w:r>
      <w:r w:rsidRPr="00775F83">
        <w:t>of the difference between budgeted (approved prior to March 27, 2020) and actual patient care revenues.</w:t>
      </w:r>
    </w:p>
    <w:p w:rsidR="001B41ED" w:rsidRPr="00775F83" w:rsidP="002513AB" w14:paraId="4BE858F2" w14:textId="7F1DF089">
      <w:pPr>
        <w:pStyle w:val="ListParagraph"/>
        <w:numPr>
          <w:ilvl w:val="0"/>
          <w:numId w:val="26"/>
        </w:numPr>
        <w:contextualSpacing/>
      </w:pPr>
      <w:r w:rsidRPr="00775F83">
        <w:rPr>
          <w:b/>
        </w:rPr>
        <w:t>Option iii:</w:t>
      </w:r>
      <w:r w:rsidRPr="00775F83">
        <w:t xml:space="preserve"> </w:t>
      </w:r>
      <w:r w:rsidRPr="00775F83" w:rsidR="003C335C">
        <w:t xml:space="preserve"> </w:t>
      </w:r>
      <w:r w:rsidRPr="00775F83">
        <w:t>calculated by any reasonable method of estimating revenues.</w:t>
      </w:r>
    </w:p>
    <w:p w:rsidR="001B41ED" w:rsidRPr="00775F83" w:rsidP="00AC38E6" w14:paraId="770AB5DE" w14:textId="5D789F48">
      <w:pPr>
        <w:ind w:left="696"/>
        <w:contextualSpacing/>
      </w:pPr>
    </w:p>
    <w:p w:rsidR="00F50BE3" w:rsidRPr="00775F83" w:rsidP="002513AB" w14:paraId="2940AA49" w14:textId="7165B2D7">
      <w:pPr>
        <w:pStyle w:val="ListParagraph"/>
        <w:numPr>
          <w:ilvl w:val="0"/>
          <w:numId w:val="7"/>
        </w:numPr>
        <w:ind w:left="720"/>
        <w:contextualSpacing/>
      </w:pPr>
      <w:r w:rsidRPr="00775F83">
        <w:rPr>
          <w:b/>
        </w:rPr>
        <w:t>Use</w:t>
      </w:r>
      <w:r w:rsidRPr="00775F83">
        <w:rPr>
          <w:b/>
          <w:spacing w:val="11"/>
        </w:rPr>
        <w:t xml:space="preserve"> </w:t>
      </w:r>
      <w:r w:rsidRPr="00775F83">
        <w:rPr>
          <w:b/>
        </w:rPr>
        <w:t>of</w:t>
      </w:r>
      <w:hyperlink r:id="rId11">
        <w:r w:rsidRPr="00775F83" w:rsidR="0073681F">
          <w:t xml:space="preserve"> </w:t>
        </w:r>
        <w:r w:rsidRPr="00775F83" w:rsidR="00D34B1F">
          <w:rPr>
            <w:b/>
            <w:color w:val="0000FF"/>
            <w:u w:val="single" w:color="0000FF"/>
          </w:rPr>
          <w:t>NHIC</w:t>
        </w:r>
        <w:r w:rsidRPr="00775F83">
          <w:rPr>
            <w:b/>
            <w:color w:val="0000FF"/>
            <w:spacing w:val="-19"/>
            <w:u w:val="single" w:color="0000FF"/>
          </w:rPr>
          <w:t xml:space="preserve"> </w:t>
        </w:r>
        <w:r w:rsidRPr="00775F83">
          <w:rPr>
            <w:b/>
            <w:color w:val="0000FF"/>
            <w:u w:val="single" w:color="0000FF"/>
          </w:rPr>
          <w:t>Distribution</w:t>
        </w:r>
        <w:r w:rsidRPr="00775F83">
          <w:rPr>
            <w:b/>
            <w:color w:val="0000FF"/>
            <w:spacing w:val="1"/>
          </w:rPr>
          <w:t xml:space="preserve"> </w:t>
        </w:r>
      </w:hyperlink>
      <w:r w:rsidRPr="00775F83">
        <w:rPr>
          <w:b/>
        </w:rPr>
        <w:t>Payments</w:t>
      </w:r>
      <w:r w:rsidRPr="00775F83">
        <w:rPr>
          <w:b/>
          <w:spacing w:val="-11"/>
        </w:rPr>
        <w:t xml:space="preserve"> </w:t>
      </w:r>
      <w:r w:rsidRPr="00775F83">
        <w:rPr>
          <w:b/>
        </w:rPr>
        <w:t>(if</w:t>
      </w:r>
      <w:r w:rsidRPr="00775F83">
        <w:rPr>
          <w:b/>
          <w:spacing w:val="4"/>
        </w:rPr>
        <w:t xml:space="preserve"> </w:t>
      </w:r>
      <w:r w:rsidRPr="00775F83">
        <w:rPr>
          <w:b/>
        </w:rPr>
        <w:t>applicable)</w:t>
      </w:r>
    </w:p>
    <w:p w:rsidR="00F50BE3" w:rsidRPr="00775F83" w:rsidP="00F50BE3" w14:paraId="1705DF28" w14:textId="749961C6">
      <w:pPr>
        <w:pStyle w:val="ListParagraph"/>
        <w:ind w:left="720" w:firstLine="0"/>
        <w:contextualSpacing/>
      </w:pPr>
      <w:r w:rsidRPr="00775F83">
        <w:t xml:space="preserve">The </w:t>
      </w:r>
      <w:r w:rsidRPr="00775F83" w:rsidR="003C335C">
        <w:t>r</w:t>
      </w:r>
      <w:r w:rsidRPr="00775F83">
        <w:t xml:space="preserve">eporting </w:t>
      </w:r>
      <w:r w:rsidRPr="00775F83" w:rsidR="003C335C">
        <w:t>e</w:t>
      </w:r>
      <w:r w:rsidRPr="00775F83">
        <w:t xml:space="preserve">ntity </w:t>
      </w:r>
      <w:r w:rsidRPr="00775F83">
        <w:t>will</w:t>
      </w:r>
      <w:r w:rsidRPr="00775F83">
        <w:t xml:space="preserve"> report on infection control expenses paid for with </w:t>
      </w:r>
      <w:r w:rsidRPr="00775F83" w:rsidR="00D34B1F">
        <w:t>NHIC</w:t>
      </w:r>
      <w:r w:rsidRPr="00775F83">
        <w:t xml:space="preserve"> Distribution payments (including any interest earned) if the entity received funds from this Distribution. </w:t>
      </w:r>
      <w:r w:rsidRPr="00775F83" w:rsidR="003C335C">
        <w:t xml:space="preserve"> </w:t>
      </w:r>
      <w:r w:rsidRPr="00775F83">
        <w:t xml:space="preserve">Expenses must be those that another source has not reimbursed and is not obligated to </w:t>
      </w:r>
      <w:r w:rsidRPr="00775F83">
        <w:rPr>
          <w:spacing w:val="-1"/>
        </w:rPr>
        <w:t>reimburse.</w:t>
      </w:r>
      <w:r w:rsidRPr="00775F83">
        <w:t xml:space="preserve"> </w:t>
      </w:r>
      <w:r w:rsidRPr="00775F83" w:rsidR="003C335C">
        <w:t xml:space="preserve"> </w:t>
      </w:r>
      <w:r w:rsidRPr="00775F83">
        <w:rPr>
          <w:spacing w:val="-1"/>
        </w:rPr>
        <w:t xml:space="preserve">Expense categories will include General </w:t>
      </w:r>
      <w:r w:rsidRPr="00775F83">
        <w:t xml:space="preserve">and Administrative and/or other Health Care-Related Expenses by </w:t>
      </w:r>
      <w:r w:rsidRPr="00775F83" w:rsidR="00657CBE">
        <w:t>c</w:t>
      </w:r>
      <w:r w:rsidRPr="00775F83" w:rsidR="00AC6ADF">
        <w:t xml:space="preserve">alendar </w:t>
      </w:r>
      <w:r w:rsidRPr="00775F83" w:rsidR="00657CBE">
        <w:t>y</w:t>
      </w:r>
      <w:r w:rsidRPr="00775F83" w:rsidR="00AC6ADF">
        <w:t>ear</w:t>
      </w:r>
      <w:r w:rsidRPr="00775F83">
        <w:t xml:space="preserve"> quarter (further defined within the </w:t>
      </w:r>
      <w:hyperlink w:anchor="_bookmark9" w:history="1">
        <w:r w:rsidRPr="00775F83">
          <w:rPr>
            <w:color w:val="0000FF"/>
            <w:u w:val="single" w:color="0000FF"/>
          </w:rPr>
          <w:t>Data</w:t>
        </w:r>
        <w:r w:rsidRPr="00775F83">
          <w:rPr>
            <w:color w:val="0000FF"/>
            <w:spacing w:val="-11"/>
            <w:u w:val="single" w:color="0000FF"/>
          </w:rPr>
          <w:t xml:space="preserve"> </w:t>
        </w:r>
        <w:r w:rsidRPr="00775F83">
          <w:rPr>
            <w:color w:val="0000FF"/>
            <w:u w:val="single" w:color="0000FF"/>
          </w:rPr>
          <w:t>Elements</w:t>
        </w:r>
        <w:r w:rsidRPr="00775F83">
          <w:rPr>
            <w:color w:val="0000FF"/>
            <w:spacing w:val="3"/>
          </w:rPr>
          <w:t xml:space="preserve"> </w:t>
        </w:r>
      </w:hyperlink>
      <w:r w:rsidRPr="00775F83">
        <w:t>section below).</w:t>
      </w:r>
    </w:p>
    <w:p w:rsidR="00F50BE3" w:rsidRPr="00775F83" w:rsidP="00F50BE3" w14:paraId="5B552307" w14:textId="77777777">
      <w:pPr>
        <w:pStyle w:val="ListParagraph"/>
        <w:ind w:left="720" w:firstLine="0"/>
        <w:contextualSpacing/>
      </w:pPr>
    </w:p>
    <w:p w:rsidR="00F50BE3" w:rsidRPr="00775F83" w:rsidP="002513AB" w14:paraId="5DCFDF57" w14:textId="1427F0FF">
      <w:pPr>
        <w:pStyle w:val="ListParagraph"/>
        <w:numPr>
          <w:ilvl w:val="0"/>
          <w:numId w:val="7"/>
        </w:numPr>
        <w:ind w:left="720"/>
        <w:contextualSpacing/>
      </w:pPr>
      <w:r w:rsidRPr="00775F83">
        <w:rPr>
          <w:b/>
        </w:rPr>
        <w:t>Use</w:t>
      </w:r>
      <w:r w:rsidRPr="00775F83">
        <w:rPr>
          <w:b/>
          <w:spacing w:val="21"/>
        </w:rPr>
        <w:t xml:space="preserve"> </w:t>
      </w:r>
      <w:r w:rsidRPr="00775F83">
        <w:rPr>
          <w:b/>
        </w:rPr>
        <w:t>of</w:t>
      </w:r>
      <w:r w:rsidRPr="00775F83">
        <w:rPr>
          <w:b/>
          <w:spacing w:val="13"/>
        </w:rPr>
        <w:t xml:space="preserve"> </w:t>
      </w:r>
      <w:r w:rsidRPr="00775F83">
        <w:rPr>
          <w:b/>
        </w:rPr>
        <w:t>General</w:t>
      </w:r>
      <w:r w:rsidRPr="00775F83">
        <w:rPr>
          <w:b/>
          <w:spacing w:val="8"/>
        </w:rPr>
        <w:t xml:space="preserve"> </w:t>
      </w:r>
      <w:r w:rsidRPr="00775F83">
        <w:rPr>
          <w:b/>
        </w:rPr>
        <w:t>and</w:t>
      </w:r>
      <w:r w:rsidRPr="00775F83">
        <w:rPr>
          <w:b/>
          <w:spacing w:val="-11"/>
        </w:rPr>
        <w:t xml:space="preserve"> </w:t>
      </w:r>
      <w:r w:rsidRPr="00775F83">
        <w:rPr>
          <w:b/>
        </w:rPr>
        <w:t>Other</w:t>
      </w:r>
      <w:r w:rsidRPr="00775F83">
        <w:rPr>
          <w:b/>
          <w:spacing w:val="2"/>
        </w:rPr>
        <w:t xml:space="preserve"> </w:t>
      </w:r>
      <w:r w:rsidRPr="00775F83">
        <w:rPr>
          <w:b/>
        </w:rPr>
        <w:t>Targeted</w:t>
      </w:r>
      <w:r w:rsidRPr="00775F83">
        <w:rPr>
          <w:b/>
          <w:spacing w:val="-11"/>
        </w:rPr>
        <w:t xml:space="preserve"> </w:t>
      </w:r>
      <w:r w:rsidRPr="00775F83">
        <w:rPr>
          <w:b/>
        </w:rPr>
        <w:t>Distribution</w:t>
      </w:r>
      <w:r w:rsidRPr="00775F83">
        <w:rPr>
          <w:b/>
          <w:spacing w:val="-10"/>
        </w:rPr>
        <w:t xml:space="preserve"> </w:t>
      </w:r>
      <w:r w:rsidRPr="00775F83">
        <w:rPr>
          <w:b/>
        </w:rPr>
        <w:t>Payments</w:t>
      </w:r>
      <w:r w:rsidRPr="00775F83" w:rsidR="001B41ED">
        <w:rPr>
          <w:b/>
        </w:rPr>
        <w:t xml:space="preserve"> for Eligible Expenses</w:t>
      </w:r>
    </w:p>
    <w:p w:rsidR="00F50BE3" w:rsidRPr="00775F83" w:rsidP="00F50BE3" w14:paraId="17994095" w14:textId="79095864">
      <w:pPr>
        <w:pStyle w:val="ListParagraph"/>
        <w:ind w:left="720" w:firstLine="0"/>
        <w:contextualSpacing/>
      </w:pPr>
      <w:r w:rsidRPr="00775F83">
        <w:t xml:space="preserve">The </w:t>
      </w:r>
      <w:r w:rsidRPr="00775F83" w:rsidR="003C335C">
        <w:t>r</w:t>
      </w:r>
      <w:r w:rsidRPr="00775F83">
        <w:t xml:space="preserve">eporting </w:t>
      </w:r>
      <w:r w:rsidRPr="00775F83" w:rsidR="003C335C">
        <w:t>e</w:t>
      </w:r>
      <w:r w:rsidRPr="00775F83">
        <w:t xml:space="preserve">ntity will report on expenses paid for with payments received through the General and Targeted Distribution payments (excluding </w:t>
      </w:r>
      <w:r w:rsidRPr="00775F83" w:rsidR="00D34B1F">
        <w:t>NHIC</w:t>
      </w:r>
      <w:r w:rsidRPr="00775F83">
        <w:t xml:space="preserve"> Distribution payments). </w:t>
      </w:r>
      <w:r w:rsidRPr="00775F83" w:rsidR="003C335C">
        <w:t xml:space="preserve"> </w:t>
      </w:r>
      <w:r w:rsidRPr="00775F83">
        <w:t xml:space="preserve">Expenses must be those that another source has not reimbursed and is not obligated to </w:t>
      </w:r>
      <w:r w:rsidRPr="00775F83">
        <w:rPr>
          <w:spacing w:val="-1"/>
        </w:rPr>
        <w:t>reimburse.</w:t>
      </w:r>
      <w:r w:rsidRPr="00775F83">
        <w:t xml:space="preserve"> </w:t>
      </w:r>
      <w:r w:rsidRPr="00775F83" w:rsidR="003C335C">
        <w:t xml:space="preserve"> </w:t>
      </w:r>
      <w:r w:rsidRPr="00775F83">
        <w:rPr>
          <w:spacing w:val="-1"/>
        </w:rPr>
        <w:t xml:space="preserve">Expense categories will include General </w:t>
      </w:r>
      <w:r w:rsidRPr="00775F83">
        <w:t xml:space="preserve">and Administrative and/or other Health Care-Related Expenses by </w:t>
      </w:r>
      <w:r w:rsidRPr="00775F83" w:rsidR="00A21CE7">
        <w:t>c</w:t>
      </w:r>
      <w:r w:rsidRPr="00775F83" w:rsidR="00AC6ADF">
        <w:t xml:space="preserve">alendar </w:t>
      </w:r>
      <w:r w:rsidRPr="00775F83" w:rsidR="00A21CE7">
        <w:t>year</w:t>
      </w:r>
      <w:r w:rsidRPr="00775F83">
        <w:t xml:space="preserve"> quarter (further defined within the </w:t>
      </w:r>
      <w:hyperlink w:anchor="_bookmark9" w:history="1">
        <w:r w:rsidRPr="00775F83">
          <w:rPr>
            <w:color w:val="0000FF"/>
            <w:u w:val="single" w:color="0000FF"/>
          </w:rPr>
          <w:t>Data</w:t>
        </w:r>
        <w:r w:rsidRPr="00775F83">
          <w:rPr>
            <w:color w:val="0000FF"/>
            <w:spacing w:val="-11"/>
            <w:u w:val="single" w:color="0000FF"/>
          </w:rPr>
          <w:t xml:space="preserve"> </w:t>
        </w:r>
        <w:r w:rsidRPr="00775F83">
          <w:rPr>
            <w:color w:val="0000FF"/>
            <w:u w:val="single" w:color="0000FF"/>
          </w:rPr>
          <w:t>Elements</w:t>
        </w:r>
        <w:r w:rsidRPr="00775F83">
          <w:rPr>
            <w:color w:val="0000FF"/>
            <w:spacing w:val="3"/>
          </w:rPr>
          <w:t xml:space="preserve"> </w:t>
        </w:r>
      </w:hyperlink>
      <w:r w:rsidRPr="00775F83">
        <w:t>section below)</w:t>
      </w:r>
      <w:r w:rsidRPr="00775F83">
        <w:t>.</w:t>
      </w:r>
    </w:p>
    <w:p w:rsidR="00F50BE3" w:rsidRPr="00775F83" w:rsidP="00F50BE3" w14:paraId="198B682B" w14:textId="77777777">
      <w:pPr>
        <w:pStyle w:val="ListParagraph"/>
        <w:ind w:left="720" w:firstLine="0"/>
        <w:contextualSpacing/>
      </w:pPr>
    </w:p>
    <w:p w:rsidR="00F50BE3" w:rsidRPr="00775F83" w:rsidP="00FF0A6F" w14:paraId="2980E5C9" w14:textId="1CE4AAD1">
      <w:pPr>
        <w:pStyle w:val="ListParagraph"/>
        <w:ind w:left="720" w:firstLine="0"/>
        <w:contextualSpacing/>
      </w:pPr>
      <w:r w:rsidRPr="00775F83">
        <w:t>HRSA considers u</w:t>
      </w:r>
      <w:r w:rsidRPr="00775F83" w:rsidR="00473190">
        <w:t xml:space="preserve">nreimbursed expenses attributable to </w:t>
      </w:r>
      <w:r w:rsidRPr="00775F83" w:rsidR="00EC6F49">
        <w:t>COVID-19</w:t>
      </w:r>
      <w:r w:rsidRPr="00775F83" w:rsidR="00473190">
        <w:t xml:space="preserve"> first in the overall use of funds calculation.</w:t>
      </w:r>
    </w:p>
    <w:p w:rsidR="0092731A" w:rsidRPr="00775F83" w:rsidP="0092731A" w14:paraId="1F56496C" w14:textId="596F3A93">
      <w:pPr>
        <w:pStyle w:val="BodyText"/>
        <w:spacing w:before="19"/>
        <w:ind w:right="422"/>
        <w:contextualSpacing/>
        <w:rPr>
          <w:b/>
        </w:rPr>
      </w:pPr>
    </w:p>
    <w:p w:rsidR="00FF0A6F" w:rsidRPr="00775F83" w:rsidP="002513AB" w14:paraId="76EB286E" w14:textId="1B26F052">
      <w:pPr>
        <w:pStyle w:val="ListParagraph"/>
        <w:numPr>
          <w:ilvl w:val="0"/>
          <w:numId w:val="7"/>
        </w:numPr>
        <w:contextualSpacing/>
      </w:pPr>
      <w:r w:rsidRPr="00775F83">
        <w:rPr>
          <w:b/>
        </w:rPr>
        <w:t>Use</w:t>
      </w:r>
      <w:r w:rsidRPr="00775F83">
        <w:rPr>
          <w:b/>
          <w:spacing w:val="21"/>
        </w:rPr>
        <w:t xml:space="preserve"> </w:t>
      </w:r>
      <w:r w:rsidRPr="00775F83">
        <w:rPr>
          <w:b/>
        </w:rPr>
        <w:t>of</w:t>
      </w:r>
      <w:r w:rsidRPr="00775F83">
        <w:rPr>
          <w:b/>
          <w:spacing w:val="13"/>
        </w:rPr>
        <w:t xml:space="preserve"> </w:t>
      </w:r>
      <w:r w:rsidRPr="00775F83">
        <w:rPr>
          <w:b/>
        </w:rPr>
        <w:t>General</w:t>
      </w:r>
      <w:r w:rsidRPr="00775F83">
        <w:rPr>
          <w:b/>
          <w:spacing w:val="8"/>
        </w:rPr>
        <w:t xml:space="preserve"> </w:t>
      </w:r>
      <w:r w:rsidRPr="00775F83">
        <w:rPr>
          <w:b/>
        </w:rPr>
        <w:t>and</w:t>
      </w:r>
      <w:r w:rsidRPr="00775F83">
        <w:rPr>
          <w:b/>
          <w:spacing w:val="-11"/>
        </w:rPr>
        <w:t xml:space="preserve"> </w:t>
      </w:r>
      <w:r w:rsidRPr="00775F83">
        <w:rPr>
          <w:b/>
        </w:rPr>
        <w:t>Other</w:t>
      </w:r>
      <w:r w:rsidRPr="00775F83">
        <w:rPr>
          <w:b/>
          <w:spacing w:val="2"/>
        </w:rPr>
        <w:t xml:space="preserve"> </w:t>
      </w:r>
      <w:r w:rsidRPr="00775F83">
        <w:rPr>
          <w:b/>
        </w:rPr>
        <w:t>Targeted</w:t>
      </w:r>
      <w:r w:rsidRPr="00775F83">
        <w:rPr>
          <w:b/>
          <w:spacing w:val="-11"/>
        </w:rPr>
        <w:t xml:space="preserve"> </w:t>
      </w:r>
      <w:r w:rsidRPr="00775F83">
        <w:rPr>
          <w:b/>
        </w:rPr>
        <w:t>Distribution</w:t>
      </w:r>
      <w:r w:rsidRPr="00775F83">
        <w:rPr>
          <w:b/>
          <w:spacing w:val="-10"/>
        </w:rPr>
        <w:t xml:space="preserve"> </w:t>
      </w:r>
      <w:r w:rsidRPr="00775F83">
        <w:rPr>
          <w:b/>
        </w:rPr>
        <w:t>Payments for Lost</w:t>
      </w:r>
      <w:r w:rsidRPr="00775F83">
        <w:rPr>
          <w:b/>
          <w:spacing w:val="15"/>
        </w:rPr>
        <w:t xml:space="preserve"> </w:t>
      </w:r>
      <w:r w:rsidRPr="00775F83">
        <w:rPr>
          <w:b/>
        </w:rPr>
        <w:t>Revenues</w:t>
      </w:r>
      <w:r w:rsidRPr="00775F83">
        <w:rPr>
          <w:b/>
          <w:spacing w:val="-2"/>
        </w:rPr>
        <w:t xml:space="preserve"> </w:t>
      </w:r>
    </w:p>
    <w:p w:rsidR="00074C58" w:rsidRPr="00775F83" w:rsidP="00FF0A6F" w14:paraId="11A0137D" w14:textId="23833876">
      <w:pPr>
        <w:ind w:left="696"/>
        <w:contextualSpacing/>
      </w:pPr>
      <w:r w:rsidRPr="00775F83">
        <w:t xml:space="preserve">PRF </w:t>
      </w:r>
      <w:r w:rsidRPr="00775F83" w:rsidR="00473190">
        <w:t xml:space="preserve">payment amounts (excluding </w:t>
      </w:r>
      <w:r w:rsidRPr="00775F83" w:rsidR="00D34B1F">
        <w:t>NHIC</w:t>
      </w:r>
      <w:r w:rsidRPr="00775F83" w:rsidR="00473190">
        <w:t xml:space="preserve"> Distribution payments) not fully expended on health care-related expenses attributable to </w:t>
      </w:r>
      <w:r w:rsidRPr="00775F83" w:rsidR="00EC6F49">
        <w:t>COVID-19</w:t>
      </w:r>
      <w:r w:rsidRPr="00775F83" w:rsidR="00473190">
        <w:t xml:space="preserve"> may be applied to patient care lost revenues</w:t>
      </w:r>
      <w:r w:rsidRPr="00775F83" w:rsidR="00EB7BF6">
        <w:t xml:space="preserve"> </w:t>
      </w:r>
      <w:r w:rsidRPr="00775F83" w:rsidR="000D5994">
        <w:t xml:space="preserve">incurred within the period of availability, </w:t>
      </w:r>
      <w:r w:rsidRPr="00775F83" w:rsidR="00EB7BF6">
        <w:t>up to</w:t>
      </w:r>
      <w:r w:rsidRPr="00775F83" w:rsidR="006D1716">
        <w:t xml:space="preserve"> June 30, 2023,</w:t>
      </w:r>
      <w:r w:rsidRPr="00775F83" w:rsidR="00EB7BF6">
        <w:t xml:space="preserve"> the end of the quarter in which the Public Health Emergency ends</w:t>
      </w:r>
      <w:r w:rsidRPr="00775F83" w:rsidR="00473190">
        <w:t>, if applicable.</w:t>
      </w:r>
      <w:r>
        <w:rPr>
          <w:rStyle w:val="FootnoteReference"/>
        </w:rPr>
        <w:footnoteReference w:id="9"/>
      </w:r>
      <w:r w:rsidRPr="00775F83" w:rsidR="00473190">
        <w:t xml:space="preserve"> </w:t>
      </w:r>
      <w:r w:rsidRPr="00775F83" w:rsidR="00F41EC3">
        <w:t xml:space="preserve"> </w:t>
      </w:r>
      <w:r w:rsidRPr="00775F83" w:rsidR="00473190">
        <w:t xml:space="preserve">Documentation requirements for lost revenues calculations are further defined within the </w:t>
      </w:r>
      <w:hyperlink w:anchor="_bookmark9" w:history="1">
        <w:r w:rsidRPr="00775F83" w:rsidR="00473190">
          <w:rPr>
            <w:color w:val="0000FF"/>
            <w:u w:val="single" w:color="0000FF"/>
          </w:rPr>
          <w:t>Data Elements</w:t>
        </w:r>
        <w:r w:rsidRPr="00775F83" w:rsidR="00473190">
          <w:rPr>
            <w:color w:val="0000FF"/>
          </w:rPr>
          <w:t xml:space="preserve"> </w:t>
        </w:r>
      </w:hyperlink>
      <w:r w:rsidRPr="00775F83" w:rsidR="00473190">
        <w:t xml:space="preserve">section below. </w:t>
      </w:r>
      <w:r w:rsidRPr="00775F83" w:rsidR="00F41EC3">
        <w:t xml:space="preserve"> </w:t>
      </w:r>
      <w:r w:rsidRPr="00775F83" w:rsidR="00473190">
        <w:t>Recipients may choose to apply PRF payments toward lost revenues using</w:t>
      </w:r>
      <w:r w:rsidRPr="00775F83" w:rsidR="00A9017D">
        <w:t xml:space="preserve"> either the same option they selected for ARP Rural payment (if applicable) or</w:t>
      </w:r>
      <w:r w:rsidRPr="00775F83" w:rsidR="00473190">
        <w:t xml:space="preserve"> one of three options, up to the amount:</w:t>
      </w:r>
    </w:p>
    <w:p w:rsidR="005C2567" w:rsidRPr="00775F83" w:rsidP="005C2567" w14:paraId="7AED4512" w14:textId="12098FBE">
      <w:pPr>
        <w:ind w:left="720"/>
        <w:contextualSpacing/>
      </w:pPr>
    </w:p>
    <w:p w:rsidR="00074C58" w:rsidRPr="00775F83" w:rsidP="00670618" w14:paraId="5577EB09" w14:textId="3BE1BADF">
      <w:pPr>
        <w:pStyle w:val="ListParagraph"/>
        <w:numPr>
          <w:ilvl w:val="2"/>
          <w:numId w:val="27"/>
        </w:numPr>
        <w:contextualSpacing/>
      </w:pPr>
      <w:r w:rsidRPr="00775F83">
        <w:rPr>
          <w:b/>
          <w:bCs/>
        </w:rPr>
        <w:t>Option</w:t>
      </w:r>
      <w:r w:rsidRPr="00775F83">
        <w:rPr>
          <w:b/>
          <w:bCs/>
          <w:spacing w:val="7"/>
        </w:rPr>
        <w:t xml:space="preserve"> </w:t>
      </w:r>
      <w:r w:rsidRPr="00775F83">
        <w:rPr>
          <w:b/>
          <w:bCs/>
        </w:rPr>
        <w:t>i:</w:t>
      </w:r>
      <w:r w:rsidRPr="00775F83">
        <w:rPr>
          <w:spacing w:val="10"/>
        </w:rPr>
        <w:t xml:space="preserve"> </w:t>
      </w:r>
      <w:r w:rsidRPr="00775F83" w:rsidR="00C10C9B">
        <w:rPr>
          <w:spacing w:val="10"/>
        </w:rPr>
        <w:t xml:space="preserve"> </w:t>
      </w:r>
      <w:r w:rsidRPr="00775F83">
        <w:t>of the difference between actual patient care revenues</w:t>
      </w:r>
      <w:r w:rsidRPr="00775F83">
        <w:t>.</w:t>
      </w:r>
    </w:p>
    <w:p w:rsidR="005C2567" w:rsidRPr="00775F83" w:rsidP="002513AB" w14:paraId="2B9E9EBC" w14:textId="5DCABF66">
      <w:pPr>
        <w:pStyle w:val="ListParagraph"/>
        <w:numPr>
          <w:ilvl w:val="2"/>
          <w:numId w:val="27"/>
        </w:numPr>
        <w:contextualSpacing/>
      </w:pPr>
      <w:r w:rsidRPr="00775F83">
        <w:rPr>
          <w:b/>
          <w:bCs/>
        </w:rPr>
        <w:t>Option ii:</w:t>
      </w:r>
      <w:r w:rsidRPr="00775F83" w:rsidR="00C10C9B">
        <w:t xml:space="preserve"> </w:t>
      </w:r>
      <w:r w:rsidRPr="00775F83">
        <w:t xml:space="preserve"> of the difference between budgeted (</w:t>
      </w:r>
      <w:r w:rsidRPr="00775F83" w:rsidR="00104C06">
        <w:t xml:space="preserve">approved </w:t>
      </w:r>
      <w:r w:rsidRPr="00775F83">
        <w:t xml:space="preserve">prior to March 27, 2020) and actual patient care </w:t>
      </w:r>
      <w:bookmarkStart w:id="14" w:name="_bookmark8"/>
      <w:bookmarkEnd w:id="14"/>
      <w:r w:rsidRPr="00775F83">
        <w:t>revenues.</w:t>
      </w:r>
    </w:p>
    <w:p w:rsidR="004057EF" w:rsidRPr="00775F83" w:rsidP="002513AB" w14:paraId="507AA76B" w14:textId="461D8359">
      <w:pPr>
        <w:pStyle w:val="ListParagraph"/>
        <w:numPr>
          <w:ilvl w:val="2"/>
          <w:numId w:val="27"/>
        </w:numPr>
        <w:contextualSpacing/>
      </w:pPr>
      <w:r w:rsidRPr="00775F83">
        <w:rPr>
          <w:b/>
          <w:bCs/>
        </w:rPr>
        <w:t>Option iii:</w:t>
      </w:r>
      <w:r w:rsidRPr="00775F83">
        <w:rPr>
          <w:spacing w:val="2"/>
        </w:rPr>
        <w:t xml:space="preserve"> </w:t>
      </w:r>
      <w:r w:rsidRPr="00775F83" w:rsidR="00C10C9B">
        <w:rPr>
          <w:spacing w:val="2"/>
        </w:rPr>
        <w:t xml:space="preserve"> </w:t>
      </w:r>
      <w:r w:rsidRPr="00775F83">
        <w:t>calculated by any reasonable method of estimating revenues.</w:t>
      </w:r>
    </w:p>
    <w:p w:rsidR="005C2567" w:rsidRPr="00775F83" w:rsidP="005C2567" w14:paraId="71458D98" w14:textId="77777777">
      <w:pPr>
        <w:pStyle w:val="ListParagraph"/>
        <w:ind w:left="720" w:firstLine="0"/>
        <w:contextualSpacing/>
      </w:pPr>
    </w:p>
    <w:p w:rsidR="0092731A" w:rsidRPr="00775F83" w:rsidP="002513AB" w14:paraId="09F1BB3F" w14:textId="1A80A11A">
      <w:pPr>
        <w:pStyle w:val="ListParagraph"/>
        <w:numPr>
          <w:ilvl w:val="0"/>
          <w:numId w:val="7"/>
        </w:numPr>
        <w:contextualSpacing/>
      </w:pPr>
      <w:r w:rsidRPr="00775F83">
        <w:rPr>
          <w:b/>
        </w:rPr>
        <w:t>Net Unreimbursed</w:t>
      </w:r>
      <w:r w:rsidRPr="00775F83">
        <w:rPr>
          <w:b/>
          <w:spacing w:val="-14"/>
        </w:rPr>
        <w:t xml:space="preserve"> </w:t>
      </w:r>
      <w:r w:rsidRPr="00775F83">
        <w:rPr>
          <w:b/>
        </w:rPr>
        <w:t>Expenses</w:t>
      </w:r>
      <w:r w:rsidRPr="00775F83">
        <w:rPr>
          <w:b/>
          <w:spacing w:val="9"/>
        </w:rPr>
        <w:t xml:space="preserve"> </w:t>
      </w:r>
      <w:r w:rsidRPr="00775F83">
        <w:rPr>
          <w:b/>
        </w:rPr>
        <w:t>Attributable</w:t>
      </w:r>
      <w:r w:rsidRPr="00775F83">
        <w:rPr>
          <w:b/>
          <w:spacing w:val="14"/>
        </w:rPr>
        <w:t xml:space="preserve"> </w:t>
      </w:r>
      <w:r w:rsidRPr="00775F83">
        <w:rPr>
          <w:b/>
        </w:rPr>
        <w:t>to</w:t>
      </w:r>
      <w:r w:rsidRPr="00775F83">
        <w:rPr>
          <w:b/>
          <w:spacing w:val="-1"/>
        </w:rPr>
        <w:t xml:space="preserve"> </w:t>
      </w:r>
      <w:r w:rsidRPr="00775F83" w:rsidR="00D8304C">
        <w:rPr>
          <w:b/>
        </w:rPr>
        <w:t>COVID-19</w:t>
      </w:r>
    </w:p>
    <w:p w:rsidR="00C34B8D" w:rsidRPr="00775F83" w:rsidP="00D8304C" w14:paraId="7BE6489B" w14:textId="76D04AB1">
      <w:pPr>
        <w:pStyle w:val="ListParagraph"/>
        <w:ind w:left="696" w:firstLine="0"/>
        <w:contextualSpacing/>
      </w:pPr>
      <w:r w:rsidRPr="00775F83">
        <w:t xml:space="preserve">The </w:t>
      </w:r>
      <w:r w:rsidRPr="00775F83" w:rsidR="00C10C9B">
        <w:t>r</w:t>
      </w:r>
      <w:r w:rsidRPr="00775F83">
        <w:t xml:space="preserve">eporting </w:t>
      </w:r>
      <w:r w:rsidRPr="00775F83" w:rsidR="00C10C9B">
        <w:t>e</w:t>
      </w:r>
      <w:r w:rsidRPr="00775F83">
        <w:t xml:space="preserve">ntity will report on unreimbursed expenses attributable to </w:t>
      </w:r>
      <w:r w:rsidRPr="00775F83" w:rsidR="00EC6F49">
        <w:t xml:space="preserve">COVID-19 </w:t>
      </w:r>
      <w:r w:rsidRPr="00775F83">
        <w:t xml:space="preserve">(net after other assistance received and PRF/ARP Rural payments are applied) by quarter for the period of availability, broken out as General and Administrative and/or other Health Care-Related Expenses. </w:t>
      </w:r>
      <w:r w:rsidRPr="00775F83" w:rsidR="00C10C9B">
        <w:t xml:space="preserve"> </w:t>
      </w:r>
      <w:r w:rsidRPr="00775F83" w:rsidR="00B46EAD">
        <w:t>HRSA is gathering t</w:t>
      </w:r>
      <w:r w:rsidRPr="00775F83">
        <w:t xml:space="preserve">his data for informational purposes only and will have no impact on other calculations in the report. </w:t>
      </w:r>
      <w:r w:rsidRPr="00775F83" w:rsidR="00B46EAD">
        <w:t xml:space="preserve"> </w:t>
      </w:r>
      <w:r w:rsidRPr="00775F83">
        <w:t xml:space="preserve">However, legislation stipulates that organizations use PRF funds for expenses that have not been reimbursed and are not obligated to reimburse by another source. </w:t>
      </w:r>
      <w:r w:rsidRPr="00775F83" w:rsidR="00B46EAD">
        <w:t xml:space="preserve"> </w:t>
      </w:r>
      <w:r w:rsidRPr="00775F83">
        <w:t xml:space="preserve">As a result, </w:t>
      </w:r>
      <w:r w:rsidRPr="00775F83" w:rsidR="00B46EAD">
        <w:t xml:space="preserve">HRSA expects </w:t>
      </w:r>
      <w:r w:rsidRPr="00775F83">
        <w:t xml:space="preserve">organizations to determine if there are net unreimbursed expenses attributable to </w:t>
      </w:r>
      <w:r w:rsidRPr="00775F83" w:rsidR="00EC6F49">
        <w:t>COVID-19</w:t>
      </w:r>
      <w:r w:rsidRPr="00775F83">
        <w:t xml:space="preserve"> after applying Other Assistance Received and all PRF and ARP Rural payments.</w:t>
      </w:r>
      <w:r w:rsidRPr="00775F83">
        <w:t xml:space="preserve"> </w:t>
      </w:r>
    </w:p>
    <w:p w:rsidR="005C2567" w:rsidRPr="00775F83" w:rsidP="005C2567" w14:paraId="48AAD417" w14:textId="77777777">
      <w:pPr>
        <w:ind w:left="180"/>
        <w:contextualSpacing/>
        <w:rPr>
          <w:spacing w:val="-1"/>
        </w:rPr>
      </w:pPr>
    </w:p>
    <w:p w:rsidR="004057EF" w:rsidRPr="00775F83" w:rsidP="00997E9F" w14:paraId="507AA76D" w14:textId="77777777">
      <w:pPr>
        <w:pStyle w:val="Heading1"/>
        <w:ind w:left="0"/>
      </w:pPr>
      <w:bookmarkStart w:id="15" w:name="Data_Elements"/>
      <w:bookmarkStart w:id="16" w:name="_bookmark9"/>
      <w:bookmarkEnd w:id="15"/>
      <w:bookmarkEnd w:id="16"/>
      <w:r w:rsidRPr="00775F83">
        <w:t>Data Elements</w:t>
      </w:r>
    </w:p>
    <w:p w:rsidR="005C2567" w:rsidRPr="00775F83" w:rsidP="00AC38E6" w14:paraId="5BF58BA9" w14:textId="77777777">
      <w:pPr>
        <w:ind w:left="180"/>
        <w:contextualSpacing/>
        <w:rPr>
          <w:spacing w:val="-1"/>
        </w:rPr>
      </w:pPr>
    </w:p>
    <w:p w:rsidR="004057EF" w:rsidRPr="00775F83" w:rsidP="00997E9F" w14:paraId="507AA76E" w14:textId="3B8DC329">
      <w:pPr>
        <w:contextualSpacing/>
      </w:pPr>
      <w:r w:rsidRPr="00775F83">
        <w:rPr>
          <w:spacing w:val="-1"/>
        </w:rPr>
        <w:t xml:space="preserve">The following data </w:t>
      </w:r>
      <w:r w:rsidRPr="00775F83">
        <w:t>elements in the PRF Reporting Portal will allow HRSA to assess how recipients used PRF General</w:t>
      </w:r>
      <w:r w:rsidRPr="00775F83">
        <w:rPr>
          <w:spacing w:val="-5"/>
        </w:rPr>
        <w:t xml:space="preserve"> and</w:t>
      </w:r>
      <w:r w:rsidRPr="00775F83">
        <w:t xml:space="preserve"> Targeted </w:t>
      </w:r>
      <w:r w:rsidRPr="00775F83" w:rsidR="00074C58">
        <w:t>Distributions</w:t>
      </w:r>
      <w:r w:rsidRPr="00775F83" w:rsidR="00FB10A0">
        <w:t>,</w:t>
      </w:r>
      <w:r w:rsidRPr="00775F83" w:rsidR="005610C3">
        <w:t xml:space="preserve"> and ARP Rural</w:t>
      </w:r>
      <w:r w:rsidRPr="00775F83">
        <w:t xml:space="preserve"> Distribution payments, consistent with the </w:t>
      </w:r>
      <w:hyperlink r:id="rId12" w:anchor="terms-and-conditions">
        <w:r w:rsidRPr="00775F83">
          <w:rPr>
            <w:color w:val="0000FF"/>
            <w:u w:val="single" w:color="0000FF"/>
          </w:rPr>
          <w:t>Terms</w:t>
        </w:r>
        <w:r w:rsidRPr="00775F83">
          <w:rPr>
            <w:color w:val="0000FF"/>
            <w:spacing w:val="-13"/>
            <w:u w:val="single" w:color="0000FF"/>
          </w:rPr>
          <w:t xml:space="preserve"> </w:t>
        </w:r>
        <w:r w:rsidRPr="00775F83">
          <w:rPr>
            <w:color w:val="0000FF"/>
            <w:u w:val="single" w:color="0000FF"/>
          </w:rPr>
          <w:t>and</w:t>
        </w:r>
        <w:r w:rsidRPr="00775F83">
          <w:rPr>
            <w:color w:val="0000FF"/>
            <w:spacing w:val="-6"/>
            <w:u w:val="single" w:color="0000FF"/>
          </w:rPr>
          <w:t xml:space="preserve"> </w:t>
        </w:r>
        <w:r w:rsidRPr="00775F83">
          <w:rPr>
            <w:color w:val="0000FF"/>
            <w:u w:val="single" w:color="0000FF"/>
          </w:rPr>
          <w:t>Conditions</w:t>
        </w:r>
        <w:r w:rsidRPr="00775F83">
          <w:rPr>
            <w:color w:val="0000FF"/>
            <w:spacing w:val="6"/>
          </w:rPr>
          <w:t xml:space="preserve"> </w:t>
        </w:r>
      </w:hyperlink>
      <w:r w:rsidRPr="00775F83">
        <w:t xml:space="preserve">associated with payment. </w:t>
      </w:r>
    </w:p>
    <w:p w:rsidR="005C2567" w:rsidRPr="00775F83" w:rsidP="00AC38E6" w14:paraId="5CDC35AE" w14:textId="77777777">
      <w:pPr>
        <w:ind w:left="180"/>
        <w:contextualSpacing/>
      </w:pPr>
    </w:p>
    <w:p w:rsidR="004057EF" w:rsidRPr="00775F83" w:rsidP="006D3313" w14:paraId="507AA770" w14:textId="7C9BB5E4">
      <w:pPr>
        <w:pStyle w:val="ListParagraph"/>
        <w:numPr>
          <w:ilvl w:val="0"/>
          <w:numId w:val="8"/>
        </w:numPr>
        <w:ind w:left="720" w:hanging="360"/>
        <w:contextualSpacing/>
      </w:pPr>
      <w:bookmarkStart w:id="17" w:name="1)_Reporting_Entity_Overview"/>
      <w:bookmarkEnd w:id="17"/>
      <w:r w:rsidRPr="00775F83">
        <w:rPr>
          <w:b/>
        </w:rPr>
        <w:t>Reporting</w:t>
      </w:r>
      <w:r w:rsidRPr="00775F83">
        <w:rPr>
          <w:b/>
          <w:spacing w:val="22"/>
        </w:rPr>
        <w:t xml:space="preserve"> </w:t>
      </w:r>
      <w:r w:rsidRPr="00775F83">
        <w:rPr>
          <w:b/>
        </w:rPr>
        <w:t>Entity</w:t>
      </w:r>
      <w:r w:rsidRPr="00775F83">
        <w:rPr>
          <w:b/>
          <w:spacing w:val="22"/>
        </w:rPr>
        <w:t xml:space="preserve"> </w:t>
      </w:r>
      <w:r w:rsidRPr="00775F83">
        <w:rPr>
          <w:b/>
        </w:rPr>
        <w:t>Overview</w:t>
      </w:r>
    </w:p>
    <w:p w:rsidR="004057EF" w:rsidRPr="00775F83" w:rsidP="006D3313" w14:paraId="507AA771" w14:textId="03E7A67B">
      <w:pPr>
        <w:pStyle w:val="ListParagraph"/>
        <w:numPr>
          <w:ilvl w:val="0"/>
          <w:numId w:val="13"/>
        </w:numPr>
        <w:contextualSpacing/>
      </w:pPr>
      <w:r w:rsidRPr="00775F83">
        <w:rPr>
          <w:b/>
          <w:bCs/>
        </w:rPr>
        <w:t>TIN:</w:t>
      </w:r>
      <w:r w:rsidRPr="00775F83" w:rsidR="00B46EAD">
        <w:t xml:space="preserve"> </w:t>
      </w:r>
      <w:r w:rsidRPr="00775F83">
        <w:rPr>
          <w:spacing w:val="12"/>
        </w:rPr>
        <w:t xml:space="preserve"> </w:t>
      </w:r>
      <w:r w:rsidRPr="00775F83">
        <w:t xml:space="preserve">The </w:t>
      </w:r>
      <w:r w:rsidRPr="00775F83" w:rsidR="00603BA3">
        <w:t>nine-digit</w:t>
      </w:r>
      <w:r w:rsidRPr="00775F83">
        <w:t xml:space="preserve"> TIN associated with the eligible health care provider that is filing the report. </w:t>
      </w:r>
      <w:r w:rsidRPr="00775F83" w:rsidR="00B46EAD">
        <w:t xml:space="preserve"> </w:t>
      </w:r>
      <w:r w:rsidRPr="00775F83">
        <w:t>For some recipients, this may be analogous to Social Security Number or Employer Identification Number.</w:t>
      </w:r>
    </w:p>
    <w:p w:rsidR="004057EF" w:rsidRPr="00775F83" w:rsidP="002513AB" w14:paraId="507AA772" w14:textId="03DDD215">
      <w:pPr>
        <w:pStyle w:val="ListParagraph"/>
        <w:numPr>
          <w:ilvl w:val="0"/>
          <w:numId w:val="13"/>
        </w:numPr>
        <w:contextualSpacing/>
      </w:pPr>
      <w:r w:rsidRPr="00775F83">
        <w:rPr>
          <w:b/>
          <w:bCs/>
        </w:rPr>
        <w:t>Business Name:</w:t>
      </w:r>
      <w:r w:rsidRPr="00775F83">
        <w:t xml:space="preserve"> </w:t>
      </w:r>
      <w:r w:rsidRPr="00775F83" w:rsidR="004F60B6">
        <w:t xml:space="preserve"> </w:t>
      </w:r>
      <w:r w:rsidRPr="00775F83">
        <w:t xml:space="preserve">The business name of the </w:t>
      </w:r>
      <w:r w:rsidRPr="00775F83" w:rsidR="00B46EAD">
        <w:t>r</w:t>
      </w:r>
      <w:r w:rsidRPr="00775F83">
        <w:t xml:space="preserve">eporting </w:t>
      </w:r>
      <w:r w:rsidRPr="00775F83" w:rsidR="00B46EAD">
        <w:t>e</w:t>
      </w:r>
      <w:r w:rsidRPr="00775F83">
        <w:t>ntity must be entered as it appears on Internal Revenue Service (IRS) Form W-9.</w:t>
      </w:r>
    </w:p>
    <w:p w:rsidR="004057EF" w:rsidRPr="00775F83" w:rsidP="002513AB" w14:paraId="507AA774" w14:textId="3E8F7F68">
      <w:pPr>
        <w:pStyle w:val="ListParagraph"/>
        <w:numPr>
          <w:ilvl w:val="0"/>
          <w:numId w:val="13"/>
        </w:numPr>
        <w:contextualSpacing/>
      </w:pPr>
      <w:r w:rsidRPr="00775F83">
        <w:rPr>
          <w:b/>
          <w:bCs/>
        </w:rPr>
        <w:t>Doing</w:t>
      </w:r>
      <w:r w:rsidRPr="00775F83">
        <w:rPr>
          <w:b/>
          <w:bCs/>
          <w:spacing w:val="-4"/>
        </w:rPr>
        <w:t xml:space="preserve"> </w:t>
      </w:r>
      <w:r w:rsidRPr="00775F83">
        <w:rPr>
          <w:b/>
          <w:bCs/>
        </w:rPr>
        <w:t>Business</w:t>
      </w:r>
      <w:r w:rsidRPr="00775F83">
        <w:rPr>
          <w:b/>
        </w:rPr>
        <w:t xml:space="preserve"> </w:t>
      </w:r>
      <w:r w:rsidRPr="00775F83">
        <w:rPr>
          <w:b/>
          <w:bCs/>
        </w:rPr>
        <w:t>As</w:t>
      </w:r>
      <w:r w:rsidRPr="00775F83">
        <w:rPr>
          <w:b/>
          <w:bCs/>
          <w:spacing w:val="7"/>
        </w:rPr>
        <w:t xml:space="preserve"> </w:t>
      </w:r>
      <w:r w:rsidRPr="00775F83">
        <w:rPr>
          <w:b/>
          <w:bCs/>
        </w:rPr>
        <w:t>Name</w:t>
      </w:r>
      <w:r w:rsidRPr="00775F83">
        <w:rPr>
          <w:b/>
          <w:bCs/>
          <w:spacing w:val="11"/>
        </w:rPr>
        <w:t xml:space="preserve"> </w:t>
      </w:r>
      <w:r w:rsidRPr="00775F83">
        <w:rPr>
          <w:b/>
          <w:bCs/>
          <w:i/>
          <w:iCs/>
        </w:rPr>
        <w:t>[optional]</w:t>
      </w:r>
      <w:r w:rsidRPr="00775F83">
        <w:rPr>
          <w:b/>
          <w:bCs/>
        </w:rPr>
        <w:t>:</w:t>
      </w:r>
      <w:r w:rsidRPr="00775F83">
        <w:rPr>
          <w:spacing w:val="3"/>
        </w:rPr>
        <w:t xml:space="preserve"> </w:t>
      </w:r>
      <w:r w:rsidRPr="00775F83" w:rsidR="004F60B6">
        <w:rPr>
          <w:spacing w:val="3"/>
        </w:rPr>
        <w:t xml:space="preserve"> </w:t>
      </w:r>
      <w:r w:rsidRPr="00775F83">
        <w:t xml:space="preserve">The </w:t>
      </w:r>
      <w:r w:rsidRPr="00775F83" w:rsidR="00B46EAD">
        <w:t xml:space="preserve">Doing Business As </w:t>
      </w:r>
      <w:r w:rsidRPr="00775F83">
        <w:t>name is any registered name that a</w:t>
      </w:r>
      <w:r w:rsidRPr="00775F83" w:rsidR="003133EB">
        <w:t xml:space="preserve"> </w:t>
      </w:r>
      <w:r w:rsidRPr="00775F83">
        <w:t>business operates under that is not its legal business name.</w:t>
      </w:r>
    </w:p>
    <w:p w:rsidR="004057EF" w:rsidRPr="00775F83" w:rsidP="002513AB" w14:paraId="507AA775" w14:textId="661F2DCF">
      <w:pPr>
        <w:pStyle w:val="ListParagraph"/>
        <w:numPr>
          <w:ilvl w:val="0"/>
          <w:numId w:val="13"/>
        </w:numPr>
        <w:contextualSpacing/>
      </w:pPr>
      <w:r w:rsidRPr="00775F83">
        <w:rPr>
          <w:b/>
          <w:bCs/>
        </w:rPr>
        <w:t xml:space="preserve">Address: </w:t>
      </w:r>
      <w:r w:rsidRPr="00775F83" w:rsidR="004F60B6">
        <w:rPr>
          <w:b/>
          <w:bCs/>
        </w:rPr>
        <w:t xml:space="preserve"> </w:t>
      </w:r>
      <w:r w:rsidRPr="00775F83">
        <w:t>The address must be entered as it appears on IRS Form W-9 and must include a street, city, state/territory, and ZIP code.</w:t>
      </w:r>
    </w:p>
    <w:p w:rsidR="004057EF" w:rsidRPr="00775F83" w:rsidP="002513AB" w14:paraId="507AA776" w14:textId="7B35E864">
      <w:pPr>
        <w:pStyle w:val="ListParagraph"/>
        <w:numPr>
          <w:ilvl w:val="0"/>
          <w:numId w:val="13"/>
        </w:numPr>
        <w:contextualSpacing/>
      </w:pPr>
      <w:r w:rsidRPr="00775F83">
        <w:rPr>
          <w:b/>
          <w:bCs/>
        </w:rPr>
        <w:t>Contact Information:</w:t>
      </w:r>
      <w:r w:rsidRPr="00775F83">
        <w:t xml:space="preserve"> </w:t>
      </w:r>
      <w:r w:rsidRPr="00775F83" w:rsidR="004F60B6">
        <w:t xml:space="preserve"> </w:t>
      </w:r>
      <w:r w:rsidRPr="00775F83">
        <w:t xml:space="preserve">The name, email, and phone number of the person responsible for submitting the report on behalf of the </w:t>
      </w:r>
      <w:r w:rsidRPr="00775F83" w:rsidR="00D5415E">
        <w:t>r</w:t>
      </w:r>
      <w:r w:rsidRPr="00775F83">
        <w:t xml:space="preserve">eporting </w:t>
      </w:r>
      <w:r w:rsidRPr="00775F83" w:rsidR="00D5415E">
        <w:t>e</w:t>
      </w:r>
      <w:r w:rsidRPr="00775F83">
        <w:t>ntity.</w:t>
      </w:r>
      <w:r w:rsidRPr="00775F83" w:rsidR="004F60B6">
        <w:t xml:space="preserve"> </w:t>
      </w:r>
      <w:r w:rsidRPr="00775F83">
        <w:t xml:space="preserve"> Entering a title is optional.</w:t>
      </w:r>
    </w:p>
    <w:p w:rsidR="004057EF" w:rsidRPr="00775F83" w:rsidP="002513AB" w14:paraId="507AA777" w14:textId="3BB3D993">
      <w:pPr>
        <w:pStyle w:val="ListParagraph"/>
        <w:numPr>
          <w:ilvl w:val="0"/>
          <w:numId w:val="13"/>
        </w:numPr>
        <w:contextualSpacing/>
      </w:pPr>
      <w:r w:rsidRPr="00775F83">
        <w:rPr>
          <w:b/>
          <w:bCs/>
        </w:rPr>
        <w:t>Provider Type:</w:t>
      </w:r>
      <w:r w:rsidRPr="00775F83">
        <w:t xml:space="preserve"> </w:t>
      </w:r>
      <w:r w:rsidRPr="00775F83" w:rsidR="004F60B6">
        <w:t xml:space="preserve"> </w:t>
      </w:r>
      <w:r w:rsidRPr="00775F83">
        <w:t xml:space="preserve">The provider type must be selected from a list of provider types that best describes the </w:t>
      </w:r>
      <w:r w:rsidRPr="00775F83" w:rsidR="00D5415E">
        <w:t>r</w:t>
      </w:r>
      <w:r w:rsidRPr="00775F83">
        <w:t xml:space="preserve">eporting </w:t>
      </w:r>
      <w:r w:rsidRPr="00775F83" w:rsidR="00D5415E">
        <w:t>e</w:t>
      </w:r>
      <w:r w:rsidRPr="00775F83">
        <w:t>ntity.</w:t>
      </w:r>
      <w:r w:rsidRPr="00775F83" w:rsidR="00C51A84">
        <w:t xml:space="preserve"> </w:t>
      </w:r>
    </w:p>
    <w:p w:rsidR="004057EF" w:rsidRPr="00775F83" w:rsidP="002513AB" w14:paraId="507AA77A" w14:textId="2ED50543">
      <w:pPr>
        <w:pStyle w:val="ListParagraph"/>
        <w:numPr>
          <w:ilvl w:val="0"/>
          <w:numId w:val="13"/>
        </w:numPr>
        <w:contextualSpacing/>
      </w:pPr>
      <w:r w:rsidRPr="00775F83">
        <w:rPr>
          <w:b/>
          <w:bCs/>
        </w:rPr>
        <w:t>Provider</w:t>
      </w:r>
      <w:r w:rsidRPr="00775F83">
        <w:rPr>
          <w:b/>
          <w:bCs/>
          <w:spacing w:val="-5"/>
        </w:rPr>
        <w:t xml:space="preserve"> </w:t>
      </w:r>
      <w:r w:rsidRPr="00775F83">
        <w:rPr>
          <w:b/>
          <w:bCs/>
        </w:rPr>
        <w:t>Subtype:</w:t>
      </w:r>
      <w:r w:rsidRPr="00775F83">
        <w:rPr>
          <w:spacing w:val="5"/>
        </w:rPr>
        <w:t xml:space="preserve"> </w:t>
      </w:r>
      <w:r w:rsidRPr="00775F83" w:rsidR="004F60B6">
        <w:rPr>
          <w:spacing w:val="5"/>
        </w:rPr>
        <w:t xml:space="preserve"> </w:t>
      </w:r>
      <w:r w:rsidRPr="00775F83">
        <w:t>The provider subtype must be selected from a list of provider subtypes that</w:t>
      </w:r>
      <w:r w:rsidRPr="00775F83" w:rsidR="003133EB">
        <w:t xml:space="preserve"> </w:t>
      </w:r>
      <w:r w:rsidRPr="00775F83">
        <w:t xml:space="preserve">best describes the </w:t>
      </w:r>
      <w:r w:rsidRPr="00775F83" w:rsidR="00D5415E">
        <w:t>r</w:t>
      </w:r>
      <w:r w:rsidRPr="00775F83">
        <w:t xml:space="preserve">eporting </w:t>
      </w:r>
      <w:r w:rsidRPr="00775F83" w:rsidR="00D5415E">
        <w:t>e</w:t>
      </w:r>
      <w:r w:rsidRPr="00775F83">
        <w:t>ntity.</w:t>
      </w:r>
    </w:p>
    <w:p w:rsidR="005C2567" w:rsidRPr="00775F83" w:rsidP="00AC38E6" w14:paraId="70817C2D" w14:textId="6067A7C7">
      <w:pPr>
        <w:pStyle w:val="BodyText"/>
        <w:spacing w:before="6"/>
        <w:contextualSpacing/>
      </w:pPr>
    </w:p>
    <w:p w:rsidR="006D3313" w:rsidRPr="00775F83" w:rsidP="006D3313" w14:paraId="1C88F9BC" w14:textId="77777777">
      <w:pPr>
        <w:pStyle w:val="BodyText"/>
        <w:numPr>
          <w:ilvl w:val="0"/>
          <w:numId w:val="8"/>
        </w:numPr>
        <w:spacing w:before="6"/>
        <w:ind w:left="720" w:hanging="450"/>
        <w:contextualSpacing/>
      </w:pPr>
      <w:bookmarkStart w:id="18" w:name="2)_Subsidiary_Questionnaire"/>
      <w:bookmarkEnd w:id="18"/>
      <w:r w:rsidRPr="00775F83">
        <w:rPr>
          <w:b/>
        </w:rPr>
        <w:t>Subsidiary</w:t>
      </w:r>
      <w:r w:rsidRPr="00775F83">
        <w:rPr>
          <w:b/>
          <w:spacing w:val="38"/>
        </w:rPr>
        <w:t xml:space="preserve"> </w:t>
      </w:r>
      <w:r w:rsidRPr="00775F83">
        <w:rPr>
          <w:b/>
        </w:rPr>
        <w:t>Questionnaire</w:t>
      </w:r>
    </w:p>
    <w:p w:rsidR="006D3313" w:rsidRPr="00775F83" w:rsidP="006D3313" w14:paraId="42C9C30B" w14:textId="6D1C6633">
      <w:pPr>
        <w:pStyle w:val="BodyText"/>
        <w:spacing w:before="6"/>
        <w:ind w:left="720"/>
        <w:contextualSpacing/>
      </w:pPr>
      <w:r w:rsidRPr="00775F83">
        <w:rPr>
          <w:spacing w:val="-1"/>
        </w:rPr>
        <w:t xml:space="preserve">This section applies to </w:t>
      </w:r>
      <w:r w:rsidRPr="00775F83" w:rsidR="004F60B6">
        <w:rPr>
          <w:spacing w:val="-1"/>
        </w:rPr>
        <w:t>r</w:t>
      </w:r>
      <w:r w:rsidRPr="00775F83">
        <w:rPr>
          <w:spacing w:val="-1"/>
        </w:rPr>
        <w:t>eporting</w:t>
      </w:r>
      <w:r w:rsidRPr="00775F83">
        <w:t xml:space="preserve"> </w:t>
      </w:r>
      <w:r w:rsidRPr="00775F83" w:rsidR="004F60B6">
        <w:t>e</w:t>
      </w:r>
      <w:r w:rsidRPr="00775F83">
        <w:t>ntities that have subsidiaries who received General Distribution payments in Phases 1, 2,</w:t>
      </w:r>
      <w:r w:rsidRPr="00775F83" w:rsidR="008E7F15">
        <w:t xml:space="preserve"> </w:t>
      </w:r>
      <w:r w:rsidRPr="00775F83">
        <w:t>3</w:t>
      </w:r>
      <w:r w:rsidRPr="00775F83" w:rsidR="004F60B6">
        <w:t>,</w:t>
      </w:r>
      <w:r w:rsidRPr="00775F83" w:rsidR="008E7F15">
        <w:t xml:space="preserve"> or 4</w:t>
      </w:r>
      <w:r w:rsidRPr="00775F83">
        <w:t>.</w:t>
      </w:r>
      <w:r w:rsidRPr="00775F83" w:rsidR="004F60B6">
        <w:t xml:space="preserve"> </w:t>
      </w:r>
      <w:r w:rsidRPr="00775F83">
        <w:t xml:space="preserve"> Refer to the ARP </w:t>
      </w:r>
      <w:r w:rsidRPr="00775F83" w:rsidR="000427C3">
        <w:t xml:space="preserve">Rural </w:t>
      </w:r>
      <w:r w:rsidRPr="00775F83" w:rsidR="00D46C99">
        <w:rPr>
          <w:bCs/>
        </w:rPr>
        <w:t xml:space="preserve">Distribution Payments </w:t>
      </w:r>
      <w:r w:rsidRPr="00775F83">
        <w:t>Subsidiary Attestation section</w:t>
      </w:r>
      <w:r w:rsidRPr="00775F83" w:rsidR="00AF240A">
        <w:t xml:space="preserve"> below</w:t>
      </w:r>
      <w:r w:rsidRPr="00775F83">
        <w:t xml:space="preserve"> for information on ARP </w:t>
      </w:r>
      <w:r w:rsidRPr="00775F83" w:rsidR="000427C3">
        <w:t xml:space="preserve">Rural </w:t>
      </w:r>
      <w:r w:rsidRPr="00775F83">
        <w:t xml:space="preserve">subsidiary reporting. </w:t>
      </w:r>
    </w:p>
    <w:p w:rsidR="006D3313" w:rsidRPr="00775F83" w:rsidP="006D3313" w14:paraId="00EC1985" w14:textId="77777777">
      <w:pPr>
        <w:pStyle w:val="BodyText"/>
        <w:spacing w:before="6"/>
        <w:ind w:left="720"/>
        <w:contextualSpacing/>
      </w:pPr>
    </w:p>
    <w:p w:rsidR="00F438B1" w:rsidRPr="00775F83" w:rsidP="006D3313" w14:paraId="0A0820AC" w14:textId="7667A32E">
      <w:pPr>
        <w:pStyle w:val="BodyText"/>
        <w:spacing w:before="6"/>
        <w:ind w:left="720"/>
        <w:contextualSpacing/>
      </w:pPr>
      <w:r w:rsidRPr="00775F83">
        <w:t>For this section t</w:t>
      </w:r>
      <w:r w:rsidRPr="00775F83">
        <w:t>he reporting entity will report the following information:</w:t>
      </w:r>
    </w:p>
    <w:p w:rsidR="00F438B1" w:rsidRPr="00775F83" w:rsidP="002513AB" w14:paraId="74DA1862" w14:textId="41DAE72D">
      <w:pPr>
        <w:pStyle w:val="ListParagraph"/>
        <w:numPr>
          <w:ilvl w:val="0"/>
          <w:numId w:val="14"/>
        </w:numPr>
        <w:ind w:left="1080"/>
        <w:contextualSpacing/>
      </w:pPr>
      <w:r w:rsidRPr="00775F83">
        <w:t>TINs of subsidiaries that are “eligible health care providers”</w:t>
      </w:r>
      <w:r>
        <w:rPr>
          <w:rStyle w:val="FootnoteReference"/>
        </w:rPr>
        <w:footnoteReference w:id="10"/>
      </w:r>
      <w:r w:rsidRPr="00775F83" w:rsidR="000D1287">
        <w:t xml:space="preserve"> </w:t>
      </w:r>
      <w:r w:rsidRPr="00775F83">
        <w:t xml:space="preserve">and an indication whether the </w:t>
      </w:r>
      <w:r w:rsidRPr="00775F83" w:rsidR="004F60B6">
        <w:t>r</w:t>
      </w:r>
      <w:r w:rsidRPr="00775F83">
        <w:t xml:space="preserve">eporting </w:t>
      </w:r>
      <w:r w:rsidRPr="00775F83" w:rsidR="004F60B6">
        <w:t>e</w:t>
      </w:r>
      <w:r w:rsidRPr="00775F83">
        <w:t xml:space="preserve">ntity is reporting on behalf of the subsidiary’s </w:t>
      </w:r>
      <w:r w:rsidRPr="00775F83">
        <w:rPr>
          <w:spacing w:val="2"/>
        </w:rPr>
        <w:t>PRF</w:t>
      </w:r>
      <w:r w:rsidRPr="00775F83">
        <w:t xml:space="preserve"> General Distribution payment(s).</w:t>
      </w:r>
    </w:p>
    <w:p w:rsidR="006D3313" w:rsidRPr="00775F83" w:rsidP="006D3313" w14:paraId="3EF6A600" w14:textId="63AC401F">
      <w:pPr>
        <w:pStyle w:val="ListParagraph"/>
        <w:numPr>
          <w:ilvl w:val="0"/>
          <w:numId w:val="14"/>
        </w:numPr>
        <w:ind w:left="1080"/>
        <w:contextualSpacing/>
      </w:pPr>
      <w:r w:rsidRPr="00775F83">
        <w:t>TINs of subsidiaries that are “eligible health care providers” and were acquired</w:t>
      </w:r>
      <w:r w:rsidRPr="00775F83" w:rsidR="009E3795">
        <w:t>,</w:t>
      </w:r>
      <w:r w:rsidRPr="00775F83">
        <w:t xml:space="preserve"> divested</w:t>
      </w:r>
      <w:r w:rsidRPr="00775F83" w:rsidR="009E3795">
        <w:t>, or merged</w:t>
      </w:r>
      <w:r w:rsidRPr="00775F83">
        <w:t xml:space="preserve"> during the period of availability. </w:t>
      </w:r>
      <w:bookmarkStart w:id="19" w:name="_bookmark10"/>
      <w:bookmarkStart w:id="20" w:name="_bookmark11"/>
      <w:bookmarkEnd w:id="19"/>
      <w:bookmarkEnd w:id="20"/>
    </w:p>
    <w:p w:rsidR="006D3313" w:rsidRPr="00775F83" w:rsidP="006D3313" w14:paraId="75208CCB" w14:textId="77777777">
      <w:pPr>
        <w:ind w:left="720"/>
        <w:contextualSpacing/>
      </w:pPr>
    </w:p>
    <w:p w:rsidR="00771080" w:rsidRPr="00775F83" w:rsidP="006D3313" w14:paraId="0C5FB667" w14:textId="45849614">
      <w:pPr>
        <w:ind w:left="720"/>
        <w:contextualSpacing/>
      </w:pPr>
      <w:r w:rsidRPr="00775F83">
        <w:t xml:space="preserve">For </w:t>
      </w:r>
      <w:r w:rsidRPr="00775F83" w:rsidR="004F60B6">
        <w:t>r</w:t>
      </w:r>
      <w:r w:rsidRPr="00775F83">
        <w:t xml:space="preserve">eporting </w:t>
      </w:r>
      <w:r w:rsidRPr="00775F83" w:rsidR="004F60B6">
        <w:t>e</w:t>
      </w:r>
      <w:r w:rsidRPr="00775F83">
        <w:t>ntities that are subsidiaries:</w:t>
      </w:r>
    </w:p>
    <w:p w:rsidR="0092731A" w:rsidRPr="00775F83" w:rsidP="002513AB" w14:paraId="69FCFD88" w14:textId="2E393D74">
      <w:pPr>
        <w:pStyle w:val="ListParagraph"/>
        <w:numPr>
          <w:ilvl w:val="0"/>
          <w:numId w:val="24"/>
        </w:numPr>
        <w:contextualSpacing/>
      </w:pPr>
      <w:r w:rsidRPr="00775F83">
        <w:t xml:space="preserve">TIN(s) of any parent entity reporting on behalf of the </w:t>
      </w:r>
      <w:r w:rsidRPr="00775F83" w:rsidR="004F60B6">
        <w:t>r</w:t>
      </w:r>
      <w:r w:rsidRPr="00775F83">
        <w:t xml:space="preserve">eporting </w:t>
      </w:r>
      <w:r w:rsidRPr="00775F83" w:rsidR="004F60B6">
        <w:t>e</w:t>
      </w:r>
      <w:r w:rsidRPr="00775F83">
        <w:t xml:space="preserve">ntity (for </w:t>
      </w:r>
      <w:r w:rsidRPr="00775F83" w:rsidR="00740595">
        <w:rPr>
          <w:spacing w:val="1"/>
        </w:rPr>
        <w:t xml:space="preserve">PRF </w:t>
      </w:r>
      <w:r w:rsidRPr="00775F83">
        <w:t>General Distribution payments only), if applicable.</w:t>
      </w:r>
    </w:p>
    <w:p w:rsidR="004057EF" w:rsidRPr="00775F83" w:rsidP="002513AB" w14:paraId="507AA786" w14:textId="25C74DB6">
      <w:pPr>
        <w:pStyle w:val="ListParagraph"/>
        <w:numPr>
          <w:ilvl w:val="0"/>
          <w:numId w:val="24"/>
        </w:numPr>
        <w:contextualSpacing/>
      </w:pPr>
      <w:r w:rsidRPr="00775F83">
        <w:t xml:space="preserve">Total dollar amount of </w:t>
      </w:r>
      <w:r w:rsidRPr="00775F83" w:rsidR="00740595">
        <w:t xml:space="preserve">PRF </w:t>
      </w:r>
      <w:r w:rsidRPr="00775F83">
        <w:t>Targeted Distribution payment(s) transferred to/by a parent entity, if applicable.</w:t>
      </w:r>
    </w:p>
    <w:p w:rsidR="006D3313" w:rsidRPr="00775F83" w:rsidP="006D3313" w14:paraId="462E2173" w14:textId="77777777">
      <w:pPr>
        <w:ind w:left="720"/>
        <w:contextualSpacing/>
        <w:rPr>
          <w:b/>
          <w:bCs/>
          <w:i/>
          <w:iCs/>
        </w:rPr>
      </w:pPr>
    </w:p>
    <w:p w:rsidR="00F95417" w:rsidRPr="00775F83" w:rsidP="006D3313" w14:paraId="444E7C80" w14:textId="124041EF">
      <w:pPr>
        <w:ind w:left="720"/>
        <w:contextualSpacing/>
      </w:pPr>
      <w:r w:rsidRPr="00775F83">
        <w:rPr>
          <w:b/>
          <w:bCs/>
          <w:i/>
          <w:iCs/>
        </w:rPr>
        <w:t>Note:</w:t>
      </w:r>
      <w:r w:rsidRPr="00775F83">
        <w:t xml:space="preserve"> Reporting </w:t>
      </w:r>
      <w:r w:rsidRPr="00775F83">
        <w:t>a transfer of some or all of a Targeted Distribution</w:t>
      </w:r>
      <w:r w:rsidRPr="00775F83" w:rsidR="007B0BA5">
        <w:t xml:space="preserve"> </w:t>
      </w:r>
      <w:r w:rsidRPr="00775F83">
        <w:t>payment does not satisfy the requirement</w:t>
      </w:r>
      <w:r w:rsidRPr="00775F83" w:rsidR="00C546F1">
        <w:t xml:space="preserve"> to report on the use of funds</w:t>
      </w:r>
      <w:r w:rsidRPr="00775F83">
        <w:t>.</w:t>
      </w:r>
    </w:p>
    <w:p w:rsidR="00931201" w:rsidRPr="00775F83" w:rsidP="00931201" w14:paraId="0DB19442" w14:textId="77777777">
      <w:pPr>
        <w:pStyle w:val="BodyText"/>
        <w:spacing w:before="6"/>
        <w:ind w:left="630"/>
        <w:contextualSpacing/>
      </w:pPr>
    </w:p>
    <w:p w:rsidR="00931201" w:rsidRPr="00775F83" w:rsidP="003E5D0B" w14:paraId="51E66A96" w14:textId="77777777">
      <w:pPr>
        <w:pStyle w:val="ListParagraph"/>
        <w:numPr>
          <w:ilvl w:val="0"/>
          <w:numId w:val="8"/>
        </w:numPr>
        <w:ind w:left="720"/>
        <w:contextualSpacing/>
      </w:pPr>
      <w:r w:rsidRPr="00775F83">
        <w:rPr>
          <w:b/>
        </w:rPr>
        <w:t xml:space="preserve">ARP Rural Distribution Payments Subsidiary Attestation </w:t>
      </w:r>
    </w:p>
    <w:p w:rsidR="00FA268A" w:rsidP="003E5D0B" w14:paraId="5E136100" w14:textId="3FC085E0">
      <w:pPr>
        <w:pStyle w:val="ListParagraph"/>
        <w:ind w:left="720" w:firstLine="0"/>
        <w:contextualSpacing/>
      </w:pPr>
      <w:r w:rsidRPr="00775F83">
        <w:t>Parent entities that received ARP Rural Distribution payments on behalf of their subsidiaries must report and attest to t</w:t>
      </w:r>
      <w:r w:rsidRPr="00775F83" w:rsidR="00C72BB9">
        <w:t>he following:</w:t>
      </w:r>
    </w:p>
    <w:p w:rsidR="00573CC1" w:rsidRPr="00775F83" w:rsidP="003E5D0B" w14:paraId="57DCA612" w14:textId="77777777">
      <w:pPr>
        <w:pStyle w:val="ListParagraph"/>
        <w:ind w:left="720" w:firstLine="0"/>
        <w:contextualSpacing/>
      </w:pPr>
    </w:p>
    <w:p w:rsidR="00C72BB9" w:rsidRPr="00775F83" w:rsidP="002513AB" w14:paraId="287D2EF8" w14:textId="447A7854">
      <w:pPr>
        <w:pStyle w:val="BodyText"/>
        <w:numPr>
          <w:ilvl w:val="1"/>
          <w:numId w:val="8"/>
        </w:numPr>
        <w:spacing w:before="6"/>
        <w:contextualSpacing/>
      </w:pPr>
      <w:r w:rsidRPr="00775F83">
        <w:t xml:space="preserve">The parent distributed ARP </w:t>
      </w:r>
      <w:r w:rsidRPr="00775F83" w:rsidR="006E1F2C">
        <w:t xml:space="preserve">Rural </w:t>
      </w:r>
      <w:r w:rsidRPr="00775F83">
        <w:t>payments in accordance with HRSA</w:t>
      </w:r>
      <w:r w:rsidRPr="00775F83" w:rsidR="003B12E4">
        <w:t>’</w:t>
      </w:r>
      <w:r w:rsidRPr="00775F83">
        <w:t>s instructions.</w:t>
      </w:r>
    </w:p>
    <w:p w:rsidR="00C72BB9" w:rsidRPr="00775F83" w:rsidP="002513AB" w14:paraId="657F9E22" w14:textId="07210C73">
      <w:pPr>
        <w:pStyle w:val="BodyText"/>
        <w:numPr>
          <w:ilvl w:val="1"/>
          <w:numId w:val="8"/>
        </w:numPr>
        <w:spacing w:before="6"/>
        <w:contextualSpacing/>
      </w:pPr>
      <w:r w:rsidRPr="00775F83">
        <w:t xml:space="preserve">The </w:t>
      </w:r>
      <w:r w:rsidRPr="00775F83" w:rsidR="003B12E4">
        <w:t xml:space="preserve">qualifying subsidiary used the </w:t>
      </w:r>
      <w:r w:rsidRPr="00775F83">
        <w:t>payments</w:t>
      </w:r>
      <w:r w:rsidRPr="00775F83" w:rsidR="00962F66">
        <w:t>.</w:t>
      </w:r>
    </w:p>
    <w:p w:rsidR="00C72BB9" w:rsidRPr="00775F83" w:rsidP="002513AB" w14:paraId="6BE26779" w14:textId="77777777">
      <w:pPr>
        <w:pStyle w:val="BodyText"/>
        <w:numPr>
          <w:ilvl w:val="1"/>
          <w:numId w:val="8"/>
        </w:numPr>
        <w:spacing w:before="6"/>
        <w:contextualSpacing/>
      </w:pPr>
      <w:r w:rsidRPr="00775F83">
        <w:t xml:space="preserve">The parent will provide a self-reported breakdown of each subsidiary TIN and the amount allocated to </w:t>
      </w:r>
      <w:r w:rsidRPr="00775F83">
        <w:t xml:space="preserve">that TIN. </w:t>
      </w:r>
    </w:p>
    <w:p w:rsidR="00C72BB9" w:rsidRPr="00775F83" w:rsidP="002513AB" w14:paraId="67A88717" w14:textId="19E75A2B">
      <w:pPr>
        <w:pStyle w:val="BodyText"/>
        <w:numPr>
          <w:ilvl w:val="1"/>
          <w:numId w:val="8"/>
        </w:numPr>
        <w:spacing w:before="6"/>
        <w:contextualSpacing/>
      </w:pPr>
      <w:r w:rsidRPr="00775F83">
        <w:t xml:space="preserve">The parent will complete a consolidated report on how </w:t>
      </w:r>
      <w:r w:rsidRPr="00775F83" w:rsidR="003B12E4">
        <w:t xml:space="preserve">it used </w:t>
      </w:r>
      <w:r w:rsidRPr="00775F83">
        <w:t>the payments.</w:t>
      </w:r>
    </w:p>
    <w:p w:rsidR="004057EF" w:rsidRPr="00775F83" w:rsidP="00AC38E6" w14:paraId="507AA787" w14:textId="77777777">
      <w:pPr>
        <w:pStyle w:val="BodyText"/>
        <w:spacing w:before="6"/>
        <w:contextualSpacing/>
      </w:pPr>
    </w:p>
    <w:p w:rsidR="00931201" w:rsidRPr="00775F83" w:rsidP="003E5D0B" w14:paraId="6F4949E9" w14:textId="26A8EB2D">
      <w:pPr>
        <w:pStyle w:val="ListParagraph"/>
        <w:numPr>
          <w:ilvl w:val="0"/>
          <w:numId w:val="8"/>
        </w:numPr>
        <w:ind w:left="720"/>
        <w:contextualSpacing/>
      </w:pPr>
      <w:bookmarkStart w:id="21" w:name="3)_Acquired/Divested_Subsidiaries"/>
      <w:bookmarkEnd w:id="21"/>
      <w:r w:rsidRPr="00775F83">
        <w:rPr>
          <w:b/>
        </w:rPr>
        <w:t>Acquired/Divested</w:t>
      </w:r>
      <w:r w:rsidRPr="00775F83" w:rsidR="00D078C2">
        <w:rPr>
          <w:b/>
        </w:rPr>
        <w:t>/Merged</w:t>
      </w:r>
      <w:r w:rsidRPr="00775F83">
        <w:rPr>
          <w:b/>
          <w:spacing w:val="32"/>
        </w:rPr>
        <w:t xml:space="preserve"> </w:t>
      </w:r>
      <w:r w:rsidRPr="00775F83">
        <w:rPr>
          <w:b/>
        </w:rPr>
        <w:t>Subsidiaries</w:t>
      </w:r>
    </w:p>
    <w:p w:rsidR="00931201" w:rsidRPr="00775F83" w:rsidP="003E5D0B" w14:paraId="26E01324" w14:textId="6224D0C8">
      <w:pPr>
        <w:pStyle w:val="ListParagraph"/>
        <w:ind w:left="720" w:firstLine="0"/>
        <w:contextualSpacing/>
      </w:pPr>
      <w:r w:rsidRPr="00775F83">
        <w:t xml:space="preserve">Reporting </w:t>
      </w:r>
      <w:r w:rsidRPr="00775F83" w:rsidR="003B12E4">
        <w:t>e</w:t>
      </w:r>
      <w:r w:rsidRPr="00775F83">
        <w:t xml:space="preserve">ntities that </w:t>
      </w:r>
      <w:r w:rsidRPr="00775F83" w:rsidR="00B93977">
        <w:t xml:space="preserve">received General Distribution payments in Phases 1, 2, or 3 </w:t>
      </w:r>
      <w:r w:rsidRPr="00775F83" w:rsidR="00DD37E8">
        <w:t xml:space="preserve">or a Targeted Distribution payment </w:t>
      </w:r>
      <w:r w:rsidRPr="00775F83" w:rsidR="00B93977">
        <w:t xml:space="preserve">who </w:t>
      </w:r>
      <w:r w:rsidRPr="00775F83">
        <w:t>acquired</w:t>
      </w:r>
      <w:r w:rsidRPr="00775F83" w:rsidR="001D6E46">
        <w:t>,</w:t>
      </w:r>
      <w:r w:rsidRPr="00775F83" w:rsidR="009E3795">
        <w:t xml:space="preserve"> </w:t>
      </w:r>
      <w:r w:rsidRPr="00775F83">
        <w:t>divested of</w:t>
      </w:r>
      <w:r w:rsidRPr="00775F83" w:rsidR="001D6E46">
        <w:t>, or merged with</w:t>
      </w:r>
      <w:r w:rsidRPr="00775F83">
        <w:t xml:space="preserve"> related subsidiaries (change of ownership) must indicate the change in ownership</w:t>
      </w:r>
      <w:r w:rsidRPr="00775F83" w:rsidR="00DD37E8">
        <w:t xml:space="preserve"> that occurred</w:t>
      </w:r>
      <w:r w:rsidRPr="00775F83">
        <w:t xml:space="preserve"> during </w:t>
      </w:r>
      <w:r w:rsidRPr="00775F83">
        <w:rPr>
          <w:b/>
        </w:rPr>
        <w:t>the period of availability</w:t>
      </w:r>
      <w:r w:rsidRPr="00775F83" w:rsidR="00DD37E8">
        <w:rPr>
          <w:b/>
        </w:rPr>
        <w:t>.</w:t>
      </w:r>
      <w:r w:rsidRPr="00775F83" w:rsidR="00DD37E8">
        <w:t xml:space="preserve"> </w:t>
      </w:r>
    </w:p>
    <w:p w:rsidR="00931201" w:rsidRPr="00775F83" w:rsidP="00814F7E" w14:paraId="45680C26" w14:textId="77777777">
      <w:pPr>
        <w:pStyle w:val="ListParagraph"/>
        <w:ind w:left="475" w:firstLine="0"/>
        <w:contextualSpacing/>
      </w:pPr>
    </w:p>
    <w:p w:rsidR="00931201" w:rsidRPr="00775F83" w:rsidP="003E5D0B" w14:paraId="738D8859" w14:textId="1238F027">
      <w:pPr>
        <w:pStyle w:val="ListParagraph"/>
        <w:ind w:left="720" w:firstLine="0"/>
        <w:contextualSpacing/>
      </w:pPr>
      <w:r w:rsidRPr="00775F83">
        <w:t xml:space="preserve">Reporting </w:t>
      </w:r>
      <w:r w:rsidRPr="00775F83" w:rsidR="003B12E4">
        <w:t>e</w:t>
      </w:r>
      <w:r w:rsidRPr="00775F83">
        <w:t>ntities that received a</w:t>
      </w:r>
      <w:r w:rsidRPr="00775F83" w:rsidR="009530D4">
        <w:t xml:space="preserve">n ARP Rural payment and/or Phase 4 General Distribution </w:t>
      </w:r>
      <w:r w:rsidRPr="00775F83" w:rsidR="001267F2">
        <w:t xml:space="preserve">payment </w:t>
      </w:r>
      <w:r w:rsidRPr="00775F83" w:rsidR="009530D4">
        <w:t>must</w:t>
      </w:r>
      <w:r w:rsidRPr="00775F83" w:rsidR="00473190">
        <w:t xml:space="preserve"> indicate </w:t>
      </w:r>
      <w:r w:rsidRPr="00775F83" w:rsidR="009530D4">
        <w:t xml:space="preserve">a </w:t>
      </w:r>
      <w:r w:rsidRPr="00775F83" w:rsidR="00473190">
        <w:t>change in ownership</w:t>
      </w:r>
      <w:r w:rsidRPr="00775F83" w:rsidR="009530D4">
        <w:t xml:space="preserve"> that occurred during</w:t>
      </w:r>
      <w:r w:rsidRPr="00775F83" w:rsidR="00473190">
        <w:t xml:space="preserve"> the </w:t>
      </w:r>
      <w:r w:rsidRPr="00775F83" w:rsidR="009530D4">
        <w:rPr>
          <w:b/>
        </w:rPr>
        <w:t>Payment Received Period.</w:t>
      </w:r>
      <w:r w:rsidRPr="00775F83" w:rsidR="00473190">
        <w:t xml:space="preserve"> </w:t>
      </w:r>
    </w:p>
    <w:p w:rsidR="00931201" w:rsidRPr="00775F83" w:rsidP="00931201" w14:paraId="09EA9785" w14:textId="77777777">
      <w:pPr>
        <w:pStyle w:val="ListParagraph"/>
        <w:ind w:left="479" w:firstLine="0"/>
        <w:contextualSpacing/>
      </w:pPr>
    </w:p>
    <w:p w:rsidR="006977A6" w:rsidRPr="00775F83" w:rsidP="003E5D0B" w14:paraId="27AAAE35" w14:textId="226C5E90">
      <w:pPr>
        <w:pStyle w:val="ListParagraph"/>
        <w:ind w:left="479" w:firstLine="241"/>
        <w:contextualSpacing/>
      </w:pPr>
      <w:r w:rsidRPr="00775F83">
        <w:t>HRSA requires t</w:t>
      </w:r>
      <w:r w:rsidRPr="00775F83" w:rsidR="00473190">
        <w:t xml:space="preserve">he following data </w:t>
      </w:r>
      <w:r w:rsidRPr="00775F83" w:rsidR="005A1C0D">
        <w:t>elements</w:t>
      </w:r>
      <w:r w:rsidRPr="00775F83" w:rsidR="00473190">
        <w:t xml:space="preserve"> for each relevant TIN:</w:t>
      </w:r>
    </w:p>
    <w:p w:rsidR="004057EF" w:rsidRPr="00775F83" w:rsidP="002513AB" w14:paraId="507AA78A" w14:textId="2CC69F94">
      <w:pPr>
        <w:pStyle w:val="ListParagraph"/>
        <w:numPr>
          <w:ilvl w:val="0"/>
          <w:numId w:val="15"/>
        </w:numPr>
        <w:contextualSpacing/>
      </w:pPr>
      <w:r w:rsidRPr="00775F83">
        <w:t>TIN(s) included in the acquisition/divestiture</w:t>
      </w:r>
      <w:r w:rsidRPr="00775F83" w:rsidR="00BF4459">
        <w:t>/merger</w:t>
      </w:r>
    </w:p>
    <w:p w:rsidR="004057EF" w:rsidRPr="00775F83" w:rsidP="002513AB" w14:paraId="507AA78B" w14:textId="7F98D2ED">
      <w:pPr>
        <w:pStyle w:val="ListParagraph"/>
        <w:numPr>
          <w:ilvl w:val="0"/>
          <w:numId w:val="15"/>
        </w:numPr>
        <w:contextualSpacing/>
      </w:pPr>
      <w:r w:rsidRPr="00775F83">
        <w:t>Effective date of acquisition/divestiture</w:t>
      </w:r>
      <w:r w:rsidRPr="00775F83" w:rsidR="00BF4459">
        <w:t>/merger</w:t>
      </w:r>
    </w:p>
    <w:p w:rsidR="004057EF" w:rsidRPr="00775F83" w:rsidP="002513AB" w14:paraId="507AA78C" w14:textId="0218BE1E">
      <w:pPr>
        <w:pStyle w:val="ListParagraph"/>
        <w:numPr>
          <w:ilvl w:val="0"/>
          <w:numId w:val="15"/>
        </w:numPr>
        <w:contextualSpacing/>
      </w:pPr>
      <w:r w:rsidRPr="00775F83">
        <w:t xml:space="preserve">PRF </w:t>
      </w:r>
      <w:r w:rsidRPr="00775F83" w:rsidR="00870C96">
        <w:rPr>
          <w:spacing w:val="4"/>
        </w:rPr>
        <w:t>and ARP Rural</w:t>
      </w:r>
      <w:r w:rsidRPr="00775F83">
        <w:t xml:space="preserve"> payment received for TIN acquired/divested</w:t>
      </w:r>
      <w:r w:rsidRPr="00775F83" w:rsidR="00BF4459">
        <w:t>/merged</w:t>
      </w:r>
    </w:p>
    <w:p w:rsidR="004057EF" w:rsidRPr="00775F83" w:rsidP="002513AB" w14:paraId="507AA78D" w14:textId="3CD1D470">
      <w:pPr>
        <w:pStyle w:val="ListParagraph"/>
        <w:numPr>
          <w:ilvl w:val="0"/>
          <w:numId w:val="15"/>
        </w:numPr>
        <w:contextualSpacing/>
      </w:pPr>
      <w:r w:rsidRPr="00775F83">
        <w:rPr>
          <w:spacing w:val="-1"/>
        </w:rPr>
        <w:t>Did/does</w:t>
      </w:r>
      <w:r w:rsidRPr="00775F83">
        <w:t xml:space="preserve"> </w:t>
      </w:r>
      <w:r w:rsidRPr="00775F83">
        <w:rPr>
          <w:spacing w:val="-1"/>
        </w:rPr>
        <w:t>the</w:t>
      </w:r>
      <w:r w:rsidRPr="00775F83">
        <w:t xml:space="preserve"> </w:t>
      </w:r>
      <w:r w:rsidRPr="00775F83" w:rsidR="003B12E4">
        <w:rPr>
          <w:spacing w:val="-1"/>
        </w:rPr>
        <w:t>r</w:t>
      </w:r>
      <w:r w:rsidRPr="00775F83">
        <w:rPr>
          <w:spacing w:val="-1"/>
        </w:rPr>
        <w:t>eporting</w:t>
      </w:r>
      <w:r w:rsidRPr="00775F83">
        <w:t xml:space="preserve"> </w:t>
      </w:r>
      <w:r w:rsidRPr="00775F83" w:rsidR="003B12E4">
        <w:rPr>
          <w:spacing w:val="-1"/>
        </w:rPr>
        <w:t>e</w:t>
      </w:r>
      <w:r w:rsidRPr="00775F83">
        <w:rPr>
          <w:spacing w:val="-1"/>
        </w:rPr>
        <w:t>ntity</w:t>
      </w:r>
      <w:r w:rsidRPr="00775F83">
        <w:t xml:space="preserve"> </w:t>
      </w:r>
      <w:r w:rsidRPr="00775F83">
        <w:rPr>
          <w:spacing w:val="-1"/>
        </w:rPr>
        <w:t>hold</w:t>
      </w:r>
      <w:r w:rsidRPr="00775F83">
        <w:t xml:space="preserve"> </w:t>
      </w:r>
      <w:r w:rsidRPr="00775F83">
        <w:rPr>
          <w:spacing w:val="-1"/>
        </w:rPr>
        <w:t>a</w:t>
      </w:r>
      <w:r w:rsidRPr="00775F83">
        <w:t xml:space="preserve"> controlling interest in this entity? (Y/N)</w:t>
      </w:r>
    </w:p>
    <w:p w:rsidR="004057EF" w:rsidRPr="00775F83" w:rsidP="002513AB" w14:paraId="507AA78E" w14:textId="141BD984">
      <w:pPr>
        <w:pStyle w:val="ListParagraph"/>
        <w:numPr>
          <w:ilvl w:val="0"/>
          <w:numId w:val="15"/>
        </w:numPr>
        <w:contextualSpacing/>
      </w:pPr>
      <w:r w:rsidRPr="00775F83">
        <w:t>Percent of ownership for acquisition/divestiture</w:t>
      </w:r>
      <w:r w:rsidRPr="00775F83" w:rsidR="00BF4459">
        <w:t>/merger</w:t>
      </w:r>
    </w:p>
    <w:p w:rsidR="004057EF" w:rsidRPr="00775F83" w:rsidP="002513AB" w14:paraId="507AA78F" w14:textId="77777777">
      <w:pPr>
        <w:pStyle w:val="ListParagraph"/>
        <w:numPr>
          <w:ilvl w:val="0"/>
          <w:numId w:val="15"/>
        </w:numPr>
        <w:contextualSpacing/>
      </w:pPr>
      <w:r w:rsidRPr="00775F83">
        <w:t>TIN of acquiring entity, if applicable</w:t>
      </w:r>
    </w:p>
    <w:p w:rsidR="004057EF" w:rsidRPr="00775F83" w:rsidP="00AC38E6" w14:paraId="507AA793" w14:textId="5983AEF5">
      <w:pPr>
        <w:pStyle w:val="BodyText"/>
        <w:spacing w:before="1"/>
        <w:contextualSpacing/>
      </w:pPr>
    </w:p>
    <w:p w:rsidR="004057EF" w:rsidRPr="00775F83" w:rsidP="003E5D0B" w14:paraId="507AA794" w14:textId="145C4FD8">
      <w:pPr>
        <w:pStyle w:val="ListParagraph"/>
        <w:numPr>
          <w:ilvl w:val="0"/>
          <w:numId w:val="8"/>
        </w:numPr>
        <w:ind w:left="720" w:hanging="360"/>
        <w:contextualSpacing/>
      </w:pPr>
      <w:r w:rsidRPr="00775F83">
        <w:rPr>
          <w:b/>
        </w:rPr>
        <w:t>Interest</w:t>
      </w:r>
      <w:r w:rsidRPr="00775F83">
        <w:rPr>
          <w:b/>
          <w:spacing w:val="14"/>
        </w:rPr>
        <w:t xml:space="preserve"> </w:t>
      </w:r>
      <w:r w:rsidRPr="00775F83">
        <w:rPr>
          <w:b/>
        </w:rPr>
        <w:t>Earned</w:t>
      </w:r>
      <w:r w:rsidRPr="00775F83">
        <w:rPr>
          <w:b/>
          <w:spacing w:val="-10"/>
        </w:rPr>
        <w:t xml:space="preserve"> </w:t>
      </w:r>
      <w:r w:rsidRPr="00775F83">
        <w:rPr>
          <w:b/>
        </w:rPr>
        <w:t>on</w:t>
      </w:r>
      <w:r w:rsidRPr="00775F83">
        <w:rPr>
          <w:b/>
          <w:spacing w:val="12"/>
        </w:rPr>
        <w:t xml:space="preserve"> </w:t>
      </w:r>
      <w:r w:rsidRPr="00775F83">
        <w:rPr>
          <w:b/>
        </w:rPr>
        <w:t>PRF</w:t>
      </w:r>
      <w:r w:rsidRPr="00775F83">
        <w:rPr>
          <w:b/>
          <w:spacing w:val="-4"/>
        </w:rPr>
        <w:t xml:space="preserve"> </w:t>
      </w:r>
      <w:r w:rsidRPr="00775F83">
        <w:rPr>
          <w:b/>
        </w:rPr>
        <w:t>Payment(s)</w:t>
      </w:r>
      <w:r w:rsidRPr="00775F83" w:rsidR="00062EA8">
        <w:t xml:space="preserve"> </w:t>
      </w:r>
      <w:r w:rsidRPr="00775F83" w:rsidR="00062EA8">
        <w:rPr>
          <w:b/>
          <w:bCs/>
        </w:rPr>
        <w:t>and/or ARP Rural Payment(s)</w:t>
      </w:r>
    </w:p>
    <w:p w:rsidR="007D6F73" w:rsidRPr="00775F83" w:rsidP="003E5D0B" w14:paraId="69C72887" w14:textId="2E239E06">
      <w:pPr>
        <w:pStyle w:val="BodyText"/>
        <w:spacing w:before="3"/>
        <w:ind w:left="720" w:right="324"/>
        <w:contextualSpacing/>
        <w:rPr>
          <w:spacing w:val="1"/>
        </w:rPr>
      </w:pPr>
      <w:r w:rsidRPr="00775F83">
        <w:t xml:space="preserve">Reporting </w:t>
      </w:r>
      <w:r w:rsidRPr="00775F83" w:rsidR="003B12E4">
        <w:t>e</w:t>
      </w:r>
      <w:r w:rsidRPr="00775F83">
        <w:t xml:space="preserve">ntities that held PRF </w:t>
      </w:r>
      <w:r w:rsidRPr="00775F83" w:rsidR="00062EA8">
        <w:t>payments</w:t>
      </w:r>
      <w:r w:rsidRPr="00775F83">
        <w:t xml:space="preserve"> in an interest-bearing account</w:t>
      </w:r>
      <w:r w:rsidRPr="00775F83" w:rsidR="009C557D">
        <w:t xml:space="preserve"> </w:t>
      </w:r>
      <w:r w:rsidRPr="00775F83" w:rsidR="00AA1FA4">
        <w:t xml:space="preserve">and </w:t>
      </w:r>
      <w:r w:rsidRPr="00775F83" w:rsidR="00683541">
        <w:t xml:space="preserve">PRF Phase 4 and </w:t>
      </w:r>
      <w:r w:rsidRPr="00775F83" w:rsidR="00AA1FA4">
        <w:t>ARP Rural recipients that are required to hold payments</w:t>
      </w:r>
      <w:r w:rsidRPr="00775F83" w:rsidR="008A55C1">
        <w:t xml:space="preserve"> separately</w:t>
      </w:r>
      <w:r w:rsidRPr="00775F83" w:rsidR="00AA1FA4">
        <w:t xml:space="preserve"> in an interest-bearing account must</w:t>
      </w:r>
      <w:r w:rsidRPr="00775F83" w:rsidR="009C557D">
        <w:t xml:space="preserve"> report</w:t>
      </w:r>
      <w:r w:rsidRPr="00775F83">
        <w:t xml:space="preserve"> the dollar value of interest earned on those payment(s</w:t>
      </w:r>
      <w:r w:rsidRPr="00775F83" w:rsidR="009C557D">
        <w:t xml:space="preserve">). </w:t>
      </w:r>
    </w:p>
    <w:p w:rsidR="007D6F73" w:rsidRPr="00775F83" w:rsidP="007D6F73" w14:paraId="5058B602" w14:textId="77777777">
      <w:pPr>
        <w:pStyle w:val="BodyText"/>
        <w:spacing w:before="3"/>
        <w:ind w:left="549" w:right="324"/>
        <w:contextualSpacing/>
        <w:rPr>
          <w:spacing w:val="1"/>
        </w:rPr>
      </w:pPr>
    </w:p>
    <w:p w:rsidR="003F1990" w:rsidRPr="00775F83" w:rsidP="003E5D0B" w14:paraId="3A41798A" w14:textId="27720BB9">
      <w:pPr>
        <w:pStyle w:val="BodyText"/>
        <w:spacing w:before="3"/>
        <w:ind w:left="720" w:right="324"/>
        <w:contextualSpacing/>
      </w:pPr>
      <w:r w:rsidRPr="00775F83">
        <w:t xml:space="preserve">The total reportable use of PRF </w:t>
      </w:r>
      <w:r w:rsidRPr="00775F83" w:rsidR="00507A44">
        <w:t>and ARP Rural</w:t>
      </w:r>
      <w:r w:rsidRPr="00775F83">
        <w:t xml:space="preserve"> Distributions will include the interest earned on those payments. </w:t>
      </w:r>
      <w:r w:rsidRPr="00775F83" w:rsidR="003B12E4">
        <w:t xml:space="preserve"> </w:t>
      </w:r>
      <w:r w:rsidRPr="00775F83">
        <w:t xml:space="preserve">Reporting </w:t>
      </w:r>
      <w:r w:rsidRPr="00775F83" w:rsidR="003B12E4">
        <w:t>e</w:t>
      </w:r>
      <w:r w:rsidRPr="00775F83">
        <w:t>ntities will provide:</w:t>
      </w:r>
    </w:p>
    <w:p w:rsidR="004057EF" w:rsidRPr="00775F83" w:rsidP="002513AB" w14:paraId="507AA796" w14:textId="5D386CE1">
      <w:pPr>
        <w:pStyle w:val="ListParagraph"/>
        <w:numPr>
          <w:ilvl w:val="0"/>
          <w:numId w:val="16"/>
        </w:numPr>
        <w:contextualSpacing/>
      </w:pPr>
      <w:r w:rsidRPr="00775F83">
        <w:t xml:space="preserve">Dollar amount of interest earned on </w:t>
      </w:r>
      <w:r w:rsidRPr="00775F83" w:rsidR="00D34B1F">
        <w:t>NHIC</w:t>
      </w:r>
      <w:r w:rsidRPr="00775F83" w:rsidR="001267F2">
        <w:t xml:space="preserve"> Distribution</w:t>
      </w:r>
      <w:r w:rsidRPr="00775F83" w:rsidR="003133EB">
        <w:t>,</w:t>
      </w:r>
      <w:r w:rsidRPr="00775F83">
        <w:t xml:space="preserve"> if</w:t>
      </w:r>
      <w:r w:rsidRPr="00775F83" w:rsidR="003133EB">
        <w:t xml:space="preserve"> any</w:t>
      </w:r>
    </w:p>
    <w:p w:rsidR="003F1990" w:rsidRPr="00775F83" w:rsidP="002513AB" w14:paraId="585E41BF" w14:textId="26361F02">
      <w:pPr>
        <w:pStyle w:val="ListParagraph"/>
        <w:numPr>
          <w:ilvl w:val="0"/>
          <w:numId w:val="16"/>
        </w:numPr>
        <w:contextualSpacing/>
      </w:pPr>
      <w:r w:rsidRPr="00775F83">
        <w:t>Dollar amount of interest earned on other PRF</w:t>
      </w:r>
      <w:r w:rsidRPr="00775F83">
        <w:t>, if any</w:t>
      </w:r>
    </w:p>
    <w:p w:rsidR="003E5D0B" w:rsidRPr="00775F83" w:rsidP="003E5D0B" w14:paraId="20A78EE3" w14:textId="259C7C0E">
      <w:pPr>
        <w:pStyle w:val="ListParagraph"/>
        <w:numPr>
          <w:ilvl w:val="0"/>
          <w:numId w:val="16"/>
        </w:numPr>
        <w:contextualSpacing/>
      </w:pPr>
      <w:r w:rsidRPr="00775F83">
        <w:t xml:space="preserve">Dollar amount of interest earned on </w:t>
      </w:r>
      <w:r w:rsidRPr="00775F83" w:rsidR="001757E0">
        <w:t>ARP Rural</w:t>
      </w:r>
      <w:r w:rsidRPr="00775F83" w:rsidR="00473190">
        <w:t xml:space="preserve"> payments</w:t>
      </w:r>
      <w:r w:rsidRPr="00775F83" w:rsidR="007D6F73">
        <w:t>.</w:t>
      </w:r>
    </w:p>
    <w:p w:rsidR="003E5D0B" w:rsidRPr="00775F83" w:rsidP="003E5D0B" w14:paraId="1B72BA30" w14:textId="77777777">
      <w:pPr>
        <w:ind w:left="720"/>
        <w:contextualSpacing/>
        <w:rPr>
          <w:b/>
          <w:bCs/>
          <w:i/>
          <w:iCs/>
        </w:rPr>
      </w:pPr>
    </w:p>
    <w:p w:rsidR="004057EF" w:rsidRPr="00775F83" w:rsidP="003E5D0B" w14:paraId="507AA79A" w14:textId="06EF8086">
      <w:pPr>
        <w:ind w:left="720"/>
        <w:contextualSpacing/>
      </w:pPr>
      <w:r w:rsidRPr="00775F83">
        <w:rPr>
          <w:b/>
          <w:bCs/>
          <w:i/>
          <w:iCs/>
        </w:rPr>
        <w:t xml:space="preserve">Note: </w:t>
      </w:r>
      <w:r w:rsidRPr="00775F83">
        <w:t xml:space="preserve">The interest earned on </w:t>
      </w:r>
      <w:r w:rsidRPr="00775F83" w:rsidR="00D34B1F">
        <w:t>NHIC</w:t>
      </w:r>
      <w:r w:rsidRPr="00775F83">
        <w:t xml:space="preserve"> </w:t>
      </w:r>
      <w:r w:rsidRPr="00775F83" w:rsidR="001267F2">
        <w:t xml:space="preserve">Distribution </w:t>
      </w:r>
      <w:r w:rsidRPr="00775F83" w:rsidR="00645E57">
        <w:t>and ARP</w:t>
      </w:r>
      <w:r w:rsidRPr="00775F83" w:rsidR="00AD3F9E">
        <w:t xml:space="preserve"> </w:t>
      </w:r>
      <w:r w:rsidRPr="00775F83" w:rsidR="009767D9">
        <w:t xml:space="preserve">Rural </w:t>
      </w:r>
      <w:r w:rsidRPr="00775F83">
        <w:t>payment</w:t>
      </w:r>
      <w:r w:rsidRPr="00775F83" w:rsidR="00603BA3">
        <w:t>(</w:t>
      </w:r>
      <w:r w:rsidRPr="00775F83">
        <w:t>s</w:t>
      </w:r>
      <w:r w:rsidRPr="00775F83" w:rsidR="00603BA3">
        <w:t>)</w:t>
      </w:r>
      <w:r w:rsidRPr="00775F83">
        <w:t xml:space="preserve"> must be reported separately from interest earned on other PRF payments.</w:t>
      </w:r>
      <w:r w:rsidRPr="00775F83" w:rsidR="007435A6">
        <w:t xml:space="preserve"> </w:t>
      </w:r>
      <w:r w:rsidRPr="00775F83" w:rsidR="0045330E">
        <w:t xml:space="preserve"> </w:t>
      </w:r>
      <w:r w:rsidRPr="00775F83" w:rsidR="003B12E4">
        <w:t>HRSA will permit t</w:t>
      </w:r>
      <w:r w:rsidRPr="00775F83" w:rsidR="007435A6">
        <w:t xml:space="preserve">he recipient to keep the interest earned if it </w:t>
      </w:r>
      <w:r w:rsidRPr="00775F83" w:rsidR="00931C6C">
        <w:t xml:space="preserve">was </w:t>
      </w:r>
      <w:r w:rsidRPr="00775F83" w:rsidR="007435A6">
        <w:t xml:space="preserve">used </w:t>
      </w:r>
      <w:r w:rsidRPr="00775F83" w:rsidR="00CA258B">
        <w:t>to prevent, prepare for, and respond to COV</w:t>
      </w:r>
      <w:r w:rsidRPr="00775F83" w:rsidR="001267F2">
        <w:t>I</w:t>
      </w:r>
      <w:r w:rsidRPr="00775F83" w:rsidR="00CA258B">
        <w:t>D-19.</w:t>
      </w:r>
      <w:r w:rsidRPr="00775F83" w:rsidR="003F1990">
        <w:t xml:space="preserve"> </w:t>
      </w:r>
    </w:p>
    <w:p w:rsidR="004057EF" w:rsidRPr="00775F83" w:rsidP="00AC38E6" w14:paraId="507AA79B" w14:textId="77777777">
      <w:pPr>
        <w:ind w:left="596"/>
        <w:contextualSpacing/>
      </w:pPr>
    </w:p>
    <w:p w:rsidR="004057EF" w:rsidRPr="00775F83" w:rsidP="003E5D0B" w14:paraId="507AA79C" w14:textId="77777777">
      <w:pPr>
        <w:pStyle w:val="ListParagraph"/>
        <w:numPr>
          <w:ilvl w:val="0"/>
          <w:numId w:val="8"/>
        </w:numPr>
        <w:ind w:left="720" w:hanging="360"/>
        <w:contextualSpacing/>
      </w:pPr>
      <w:bookmarkStart w:id="22" w:name="5)_Tax_and_Single_Audit_Information"/>
      <w:bookmarkEnd w:id="22"/>
      <w:r w:rsidRPr="00775F83">
        <w:rPr>
          <w:b/>
        </w:rPr>
        <w:t>Tax</w:t>
      </w:r>
      <w:r w:rsidRPr="00775F83">
        <w:rPr>
          <w:b/>
          <w:spacing w:val="20"/>
        </w:rPr>
        <w:t xml:space="preserve"> </w:t>
      </w:r>
      <w:r w:rsidRPr="00775F83">
        <w:rPr>
          <w:b/>
        </w:rPr>
        <w:t>and</w:t>
      </w:r>
      <w:r w:rsidRPr="00775F83">
        <w:rPr>
          <w:b/>
          <w:spacing w:val="4"/>
        </w:rPr>
        <w:t xml:space="preserve"> </w:t>
      </w:r>
      <w:r w:rsidRPr="00775F83">
        <w:rPr>
          <w:b/>
        </w:rPr>
        <w:t>Single</w:t>
      </w:r>
      <w:r w:rsidRPr="00775F83">
        <w:rPr>
          <w:b/>
          <w:spacing w:val="16"/>
        </w:rPr>
        <w:t xml:space="preserve"> </w:t>
      </w:r>
      <w:r w:rsidRPr="00775F83">
        <w:rPr>
          <w:b/>
        </w:rPr>
        <w:t>Audit</w:t>
      </w:r>
      <w:r w:rsidRPr="00775F83">
        <w:rPr>
          <w:b/>
          <w:spacing w:val="7"/>
        </w:rPr>
        <w:t xml:space="preserve"> </w:t>
      </w:r>
      <w:r w:rsidRPr="00775F83">
        <w:rPr>
          <w:b/>
        </w:rPr>
        <w:t>Information</w:t>
      </w:r>
    </w:p>
    <w:p w:rsidR="004057EF" w:rsidRPr="00775F83" w:rsidP="002513AB" w14:paraId="507AA79D" w14:textId="350ABECF">
      <w:pPr>
        <w:pStyle w:val="ListParagraph"/>
        <w:numPr>
          <w:ilvl w:val="0"/>
          <w:numId w:val="17"/>
        </w:numPr>
        <w:contextualSpacing/>
      </w:pPr>
      <w:r w:rsidRPr="00775F83">
        <w:rPr>
          <w:b/>
          <w:bCs/>
        </w:rPr>
        <w:t>Federal Tax Classification:</w:t>
      </w:r>
      <w:r w:rsidRPr="00775F83">
        <w:t xml:space="preserve"> </w:t>
      </w:r>
      <w:r w:rsidRPr="00775F83" w:rsidR="003B12E4">
        <w:t xml:space="preserve"> </w:t>
      </w:r>
      <w:r w:rsidRPr="00775F83">
        <w:t xml:space="preserve">Designated business type associated with the </w:t>
      </w:r>
      <w:r w:rsidRPr="00775F83" w:rsidR="003B12E4">
        <w:t>r</w:t>
      </w:r>
      <w:r w:rsidRPr="00775F83">
        <w:t xml:space="preserve">eporting </w:t>
      </w:r>
      <w:r w:rsidRPr="00775F83" w:rsidR="003B12E4">
        <w:t>e</w:t>
      </w:r>
      <w:r w:rsidRPr="00775F83">
        <w:t xml:space="preserve">ntity’s primary TIN used for filing taxes. </w:t>
      </w:r>
      <w:r w:rsidRPr="00775F83" w:rsidR="003B12E4">
        <w:t xml:space="preserve"> </w:t>
      </w:r>
      <w:r w:rsidRPr="00775F83">
        <w:t xml:space="preserve">Classifications include Individual/Sole Proprietor, Limited Liability Corporation, Partnership, C Corporation, S Corporation, Trust or Estate, or other. </w:t>
      </w:r>
      <w:r w:rsidRPr="00775F83" w:rsidR="003B12E4">
        <w:t xml:space="preserve"> </w:t>
      </w:r>
      <w:r w:rsidRPr="00775F83">
        <w:t>If other, the classification must be specified.</w:t>
      </w:r>
    </w:p>
    <w:p w:rsidR="004057EF" w:rsidRPr="00775F83" w:rsidP="002513AB" w14:paraId="507AA79E" w14:textId="66D27EEA">
      <w:pPr>
        <w:pStyle w:val="ListParagraph"/>
        <w:numPr>
          <w:ilvl w:val="0"/>
          <w:numId w:val="17"/>
        </w:numPr>
        <w:contextualSpacing/>
      </w:pPr>
      <w:r w:rsidRPr="00775F83">
        <w:rPr>
          <w:b/>
          <w:bCs/>
        </w:rPr>
        <w:t>Exempt</w:t>
      </w:r>
      <w:r w:rsidRPr="00775F83">
        <w:rPr>
          <w:b/>
          <w:bCs/>
          <w:spacing w:val="5"/>
        </w:rPr>
        <w:t xml:space="preserve"> </w:t>
      </w:r>
      <w:r w:rsidRPr="00775F83">
        <w:rPr>
          <w:b/>
          <w:bCs/>
        </w:rPr>
        <w:t>Payee</w:t>
      </w:r>
      <w:r w:rsidRPr="00775F83">
        <w:rPr>
          <w:b/>
          <w:bCs/>
          <w:spacing w:val="12"/>
        </w:rPr>
        <w:t xml:space="preserve"> </w:t>
      </w:r>
      <w:r w:rsidRPr="00775F83">
        <w:rPr>
          <w:b/>
          <w:bCs/>
        </w:rPr>
        <w:t>Code</w:t>
      </w:r>
      <w:r w:rsidRPr="00775F83">
        <w:rPr>
          <w:b/>
          <w:bCs/>
          <w:spacing w:val="13"/>
        </w:rPr>
        <w:t xml:space="preserve"> </w:t>
      </w:r>
      <w:r w:rsidRPr="00775F83">
        <w:rPr>
          <w:i/>
          <w:iCs/>
        </w:rPr>
        <w:t>[optional]</w:t>
      </w:r>
      <w:r w:rsidRPr="00775F83">
        <w:t xml:space="preserve">: </w:t>
      </w:r>
      <w:r w:rsidRPr="00775F83" w:rsidR="003B12E4">
        <w:t xml:space="preserve"> </w:t>
      </w:r>
      <w:r w:rsidRPr="00775F83">
        <w:t>Code as designated on IRS Form W-9.</w:t>
      </w:r>
    </w:p>
    <w:p w:rsidR="004057EF" w:rsidRPr="00775F83" w:rsidP="002513AB" w14:paraId="507AA79F" w14:textId="7846D287">
      <w:pPr>
        <w:pStyle w:val="ListParagraph"/>
        <w:numPr>
          <w:ilvl w:val="0"/>
          <w:numId w:val="17"/>
        </w:numPr>
        <w:contextualSpacing/>
      </w:pPr>
      <w:r w:rsidRPr="00775F83">
        <w:rPr>
          <w:b/>
          <w:bCs/>
        </w:rPr>
        <w:t>Exempt from Foreign</w:t>
      </w:r>
      <w:r w:rsidRPr="00775F83">
        <w:rPr>
          <w:b/>
          <w:bCs/>
          <w:spacing w:val="-2"/>
        </w:rPr>
        <w:t xml:space="preserve"> </w:t>
      </w:r>
      <w:r w:rsidRPr="00775F83">
        <w:rPr>
          <w:b/>
          <w:bCs/>
        </w:rPr>
        <w:t>Account</w:t>
      </w:r>
      <w:r w:rsidRPr="00775F83">
        <w:rPr>
          <w:b/>
          <w:bCs/>
          <w:spacing w:val="1"/>
        </w:rPr>
        <w:t xml:space="preserve"> </w:t>
      </w:r>
      <w:r w:rsidRPr="00775F83">
        <w:rPr>
          <w:b/>
          <w:bCs/>
        </w:rPr>
        <w:t>Tax</w:t>
      </w:r>
      <w:r w:rsidRPr="00775F83">
        <w:rPr>
          <w:b/>
          <w:bCs/>
          <w:spacing w:val="-6"/>
        </w:rPr>
        <w:t xml:space="preserve"> </w:t>
      </w:r>
      <w:r w:rsidRPr="00775F83">
        <w:rPr>
          <w:b/>
          <w:bCs/>
        </w:rPr>
        <w:t>Compliance</w:t>
      </w:r>
      <w:r w:rsidRPr="00775F83">
        <w:rPr>
          <w:b/>
          <w:bCs/>
          <w:spacing w:val="7"/>
        </w:rPr>
        <w:t xml:space="preserve"> </w:t>
      </w:r>
      <w:r w:rsidRPr="00775F83">
        <w:rPr>
          <w:b/>
          <w:bCs/>
        </w:rPr>
        <w:t>Act</w:t>
      </w:r>
      <w:r w:rsidRPr="00775F83">
        <w:rPr>
          <w:b/>
          <w:bCs/>
          <w:spacing w:val="1"/>
        </w:rPr>
        <w:t xml:space="preserve"> </w:t>
      </w:r>
      <w:r w:rsidRPr="00775F83">
        <w:rPr>
          <w:b/>
          <w:bCs/>
        </w:rPr>
        <w:t>Reporting</w:t>
      </w:r>
      <w:r w:rsidRPr="00775F83">
        <w:rPr>
          <w:b/>
          <w:bCs/>
          <w:spacing w:val="-6"/>
        </w:rPr>
        <w:t xml:space="preserve"> </w:t>
      </w:r>
      <w:r w:rsidRPr="00775F83">
        <w:rPr>
          <w:b/>
          <w:bCs/>
        </w:rPr>
        <w:t>Code</w:t>
      </w:r>
      <w:r w:rsidRPr="00775F83">
        <w:rPr>
          <w:b/>
          <w:bCs/>
          <w:spacing w:val="9"/>
        </w:rPr>
        <w:t xml:space="preserve"> </w:t>
      </w:r>
      <w:r w:rsidRPr="00775F83">
        <w:rPr>
          <w:i/>
          <w:iCs/>
        </w:rPr>
        <w:t>[optional]</w:t>
      </w:r>
      <w:r w:rsidRPr="00775F83">
        <w:t xml:space="preserve">: </w:t>
      </w:r>
      <w:r w:rsidRPr="00775F83" w:rsidR="003B12E4">
        <w:t xml:space="preserve"> </w:t>
      </w:r>
      <w:r w:rsidRPr="00775F83">
        <w:t>Code as designated on IRS Form W-9.</w:t>
      </w:r>
    </w:p>
    <w:p w:rsidR="004057EF" w:rsidRPr="00775F83" w:rsidP="002513AB" w14:paraId="507AA7A0" w14:textId="4B1C98CE">
      <w:pPr>
        <w:pStyle w:val="ListParagraph"/>
        <w:numPr>
          <w:ilvl w:val="0"/>
          <w:numId w:val="17"/>
        </w:numPr>
        <w:contextualSpacing/>
      </w:pPr>
      <w:r w:rsidRPr="00775F83">
        <w:rPr>
          <w:b/>
          <w:bCs/>
        </w:rPr>
        <w:t>Fiscal</w:t>
      </w:r>
      <w:r w:rsidRPr="00775F83">
        <w:rPr>
          <w:b/>
          <w:bCs/>
          <w:spacing w:val="-3"/>
        </w:rPr>
        <w:t xml:space="preserve"> </w:t>
      </w:r>
      <w:r w:rsidRPr="00775F83">
        <w:rPr>
          <w:b/>
          <w:bCs/>
        </w:rPr>
        <w:t>Year-End</w:t>
      </w:r>
      <w:r w:rsidRPr="00775F83">
        <w:rPr>
          <w:b/>
          <w:bCs/>
          <w:spacing w:val="-17"/>
        </w:rPr>
        <w:t xml:space="preserve"> </w:t>
      </w:r>
      <w:r w:rsidRPr="00775F83">
        <w:rPr>
          <w:b/>
          <w:bCs/>
        </w:rPr>
        <w:t>Date:</w:t>
      </w:r>
      <w:r w:rsidRPr="00775F83">
        <w:rPr>
          <w:spacing w:val="2"/>
        </w:rPr>
        <w:t xml:space="preserve"> </w:t>
      </w:r>
      <w:r w:rsidRPr="00775F83" w:rsidR="003B12E4">
        <w:rPr>
          <w:spacing w:val="2"/>
        </w:rPr>
        <w:t xml:space="preserve"> </w:t>
      </w:r>
      <w:r w:rsidRPr="00775F83">
        <w:t xml:space="preserve">Month in which the </w:t>
      </w:r>
      <w:r w:rsidRPr="00775F83" w:rsidR="003B12E4">
        <w:t>r</w:t>
      </w:r>
      <w:r w:rsidRPr="00775F83">
        <w:t xml:space="preserve">eporting </w:t>
      </w:r>
      <w:r w:rsidRPr="00775F83" w:rsidR="003B12E4">
        <w:t>e</w:t>
      </w:r>
      <w:r w:rsidRPr="00775F83">
        <w:t>ntity reports its fiscal year-end financial</w:t>
      </w:r>
      <w:r w:rsidRPr="00775F83" w:rsidR="003133EB">
        <w:t xml:space="preserve"> </w:t>
      </w:r>
      <w:r w:rsidRPr="00775F83">
        <w:t>results.</w:t>
      </w:r>
    </w:p>
    <w:p w:rsidR="00AC38E6" w:rsidRPr="00775F83" w:rsidP="002513AB" w14:paraId="72807AD7" w14:textId="231F0296">
      <w:pPr>
        <w:pStyle w:val="ListParagraph"/>
        <w:numPr>
          <w:ilvl w:val="0"/>
          <w:numId w:val="17"/>
        </w:numPr>
        <w:contextualSpacing/>
      </w:pPr>
      <w:r w:rsidRPr="00775F83">
        <w:rPr>
          <w:b/>
          <w:bCs/>
        </w:rPr>
        <w:t>Single Audit Status:</w:t>
      </w:r>
      <w:r w:rsidRPr="00775F83">
        <w:t xml:space="preserve"> </w:t>
      </w:r>
      <w:r w:rsidRPr="00775F83" w:rsidR="003B12E4">
        <w:t xml:space="preserve"> </w:t>
      </w:r>
      <w:r w:rsidRPr="00775F83">
        <w:t xml:space="preserve">Reporting </w:t>
      </w:r>
      <w:r w:rsidRPr="00775F83" w:rsidR="003B12E4">
        <w:t>e</w:t>
      </w:r>
      <w:r w:rsidRPr="00775F83">
        <w:t xml:space="preserve">ntities must indicate if they are subject to Single Audit requirements during 2019 through current fiscal years, and if yes, whether PRF </w:t>
      </w:r>
      <w:r w:rsidRPr="00775F83" w:rsidR="00870C96">
        <w:rPr>
          <w:spacing w:val="2"/>
        </w:rPr>
        <w:t xml:space="preserve">and ARP Rural </w:t>
      </w:r>
      <w:r w:rsidRPr="00775F83">
        <w:t>payments are included in the Single Audit.</w:t>
      </w:r>
    </w:p>
    <w:p w:rsidR="007D6F73" w:rsidRPr="00775F83" w:rsidP="007D6F73" w14:paraId="222FD746" w14:textId="59E4659A">
      <w:pPr>
        <w:ind w:firstLine="596"/>
        <w:contextualSpacing/>
        <w:rPr>
          <w:b/>
          <w:bCs/>
        </w:rPr>
      </w:pPr>
    </w:p>
    <w:p w:rsidR="003E5D0B" w:rsidRPr="00775F83" w:rsidP="003E5D0B" w14:paraId="09CE776B" w14:textId="6037FF9B">
      <w:pPr>
        <w:ind w:left="720"/>
        <w:contextualSpacing/>
      </w:pPr>
      <w:r w:rsidRPr="00775F83">
        <w:rPr>
          <w:b/>
          <w:bCs/>
          <w:i/>
          <w:iCs/>
        </w:rPr>
        <w:t>Note</w:t>
      </w:r>
      <w:r w:rsidRPr="00775F83">
        <w:t>:</w:t>
      </w:r>
      <w:r w:rsidRPr="00775F83" w:rsidR="00744549">
        <w:t xml:space="preserve"> </w:t>
      </w:r>
      <w:r w:rsidRPr="00775F83">
        <w:t xml:space="preserve"> Recipients that expend a total of $750,000 or more in federal funds (including PRF</w:t>
      </w:r>
      <w:r w:rsidRPr="00775F83" w:rsidR="00870C96">
        <w:t xml:space="preserve"> and ARP Rural</w:t>
      </w:r>
      <w:r w:rsidRPr="00775F83">
        <w:t xml:space="preserve"> payments and other federal financial assistance) during their fiscal year are subject to Single Audit requirements, as set forth in the regulations at 45 CFR </w:t>
      </w:r>
      <w:r w:rsidRPr="00775F83" w:rsidR="00D5043A">
        <w:t>§</w:t>
      </w:r>
      <w:r w:rsidRPr="00775F83">
        <w:t xml:space="preserve"> 75, Subpart F.</w:t>
      </w:r>
      <w:r w:rsidRPr="00775F83" w:rsidR="00810895">
        <w:t xml:space="preserve"> </w:t>
      </w:r>
      <w:r w:rsidRPr="00775F83" w:rsidR="003B12E4">
        <w:t xml:space="preserve"> </w:t>
      </w:r>
      <w:r w:rsidRPr="00775F83" w:rsidR="005337E2">
        <w:t>The</w:t>
      </w:r>
      <w:r w:rsidRPr="00775F83" w:rsidR="00683541">
        <w:t xml:space="preserve"> last day a provider can use the funds (end of the period of availability) </w:t>
      </w:r>
      <w:r w:rsidRPr="00775F83" w:rsidR="005337E2">
        <w:t>will</w:t>
      </w:r>
      <w:r w:rsidRPr="00775F83" w:rsidR="00683541">
        <w:t xml:space="preserve"> drive inclusion of the expenditures associated with PRF </w:t>
      </w:r>
      <w:r w:rsidRPr="00775F83" w:rsidR="00683541">
        <w:t>and ARP Rural payments on the Schedule of Expenditures for Federal Awards (SEFA) in a Single Audit report</w:t>
      </w:r>
      <w:r w:rsidRPr="00775F83" w:rsidR="00B47E0A">
        <w:t xml:space="preserve"> or equivalent schedule for a financial related audit</w:t>
      </w:r>
      <w:r w:rsidRPr="00775F83" w:rsidR="00683541">
        <w:t xml:space="preserve">. </w:t>
      </w:r>
      <w:r w:rsidRPr="00775F83" w:rsidR="003B12E4">
        <w:t xml:space="preserve"> HRSA considers b</w:t>
      </w:r>
      <w:r w:rsidRPr="00775F83" w:rsidR="001C4EE8">
        <w:t xml:space="preserve">oth expenses and lost revenues </w:t>
      </w:r>
      <w:r w:rsidRPr="00775F83" w:rsidR="003B12E4">
        <w:t>as</w:t>
      </w:r>
      <w:r w:rsidRPr="00775F83" w:rsidR="001C4EE8">
        <w:t xml:space="preserve"> expenditures for SEFA</w:t>
      </w:r>
      <w:r w:rsidRPr="00775F83" w:rsidR="00B47E0A">
        <w:t xml:space="preserve"> and equivalent schedule</w:t>
      </w:r>
      <w:r w:rsidRPr="00775F83" w:rsidR="001C4EE8">
        <w:t xml:space="preserve"> reporting purposes</w:t>
      </w:r>
      <w:r w:rsidRPr="00775F83" w:rsidR="006B7DF9">
        <w:t>.</w:t>
      </w:r>
    </w:p>
    <w:p w:rsidR="003E5D0B" w:rsidRPr="00775F83" w:rsidP="003E5D0B" w14:paraId="213DF075" w14:textId="77777777">
      <w:pPr>
        <w:ind w:left="720"/>
        <w:contextualSpacing/>
      </w:pPr>
    </w:p>
    <w:p w:rsidR="003E5D0B" w:rsidRPr="00775F83" w:rsidP="003E5D0B" w14:paraId="53B4106C" w14:textId="77777777">
      <w:pPr>
        <w:ind w:left="720"/>
        <w:contextualSpacing/>
      </w:pPr>
      <w:r w:rsidRPr="00775F83">
        <w:t xml:space="preserve">Non-federal entities must have a Single Audit conducted in accordance with 45 CFR </w:t>
      </w:r>
      <w:r w:rsidRPr="00775F83" w:rsidR="00846AB5">
        <w:rPr>
          <w:rStyle w:val="Strong"/>
          <w:color w:val="000000"/>
          <w:shd w:val="clear" w:color="auto" w:fill="FFFFFF"/>
        </w:rPr>
        <w:t>§</w:t>
      </w:r>
      <w:r w:rsidRPr="00775F83">
        <w:t xml:space="preserve">75.514 that must be submitted electronically to the </w:t>
      </w:r>
      <w:hyperlink r:id="rId15">
        <w:r w:rsidRPr="00775F83">
          <w:rPr>
            <w:color w:val="0000FF"/>
            <w:u w:val="single" w:color="0000FF"/>
          </w:rPr>
          <w:t>Federal</w:t>
        </w:r>
        <w:r w:rsidRPr="00775F83">
          <w:rPr>
            <w:color w:val="0000FF"/>
            <w:spacing w:val="-6"/>
            <w:u w:val="single" w:color="0000FF"/>
          </w:rPr>
          <w:t xml:space="preserve"> </w:t>
        </w:r>
        <w:r w:rsidRPr="00775F83">
          <w:rPr>
            <w:color w:val="0000FF"/>
            <w:u w:val="single" w:color="0000FF"/>
          </w:rPr>
          <w:t>Audit</w:t>
        </w:r>
        <w:r w:rsidRPr="00775F83">
          <w:rPr>
            <w:color w:val="0000FF"/>
            <w:spacing w:val="25"/>
            <w:u w:val="single" w:color="0000FF"/>
          </w:rPr>
          <w:t xml:space="preserve"> </w:t>
        </w:r>
        <w:r w:rsidRPr="00775F83">
          <w:rPr>
            <w:color w:val="0000FF"/>
            <w:u w:val="single" w:color="0000FF"/>
          </w:rPr>
          <w:t>Clearinghouse.</w:t>
        </w:r>
      </w:hyperlink>
    </w:p>
    <w:p w:rsidR="003E5D0B" w:rsidRPr="00775F83" w:rsidP="003E5D0B" w14:paraId="5D6D10B3" w14:textId="77777777">
      <w:pPr>
        <w:ind w:left="720"/>
        <w:contextualSpacing/>
      </w:pPr>
    </w:p>
    <w:p w:rsidR="00617423" w:rsidRPr="00775F83" w:rsidP="008A226B" w14:paraId="76881056" w14:textId="396A7B99">
      <w:pPr>
        <w:ind w:left="720"/>
        <w:contextualSpacing/>
      </w:pPr>
      <w:r w:rsidRPr="00775F83">
        <w:rPr>
          <w:color w:val="070606"/>
        </w:rPr>
        <w:t>Commercial</w:t>
      </w:r>
      <w:r w:rsidRPr="00775F83">
        <w:rPr>
          <w:color w:val="070606"/>
          <w:spacing w:val="-20"/>
        </w:rPr>
        <w:t xml:space="preserve"> </w:t>
      </w:r>
      <w:r w:rsidRPr="00775F83">
        <w:rPr>
          <w:color w:val="070606"/>
        </w:rPr>
        <w:t>organizations</w:t>
      </w:r>
      <w:r w:rsidRPr="00775F83">
        <w:rPr>
          <w:color w:val="070606"/>
          <w:spacing w:val="22"/>
        </w:rPr>
        <w:t xml:space="preserve"> </w:t>
      </w:r>
      <w:r w:rsidRPr="00775F83">
        <w:rPr>
          <w:color w:val="070606"/>
        </w:rPr>
        <w:t>have</w:t>
      </w:r>
      <w:r w:rsidRPr="00775F83">
        <w:rPr>
          <w:color w:val="070606"/>
          <w:spacing w:val="-7"/>
        </w:rPr>
        <w:t xml:space="preserve"> </w:t>
      </w:r>
      <w:r w:rsidRPr="00775F83">
        <w:rPr>
          <w:color w:val="070606"/>
        </w:rPr>
        <w:t>two</w:t>
      </w:r>
      <w:r w:rsidRPr="00775F83">
        <w:rPr>
          <w:color w:val="070606"/>
          <w:spacing w:val="-5"/>
        </w:rPr>
        <w:t xml:space="preserve"> </w:t>
      </w:r>
      <w:r w:rsidRPr="00775F83">
        <w:rPr>
          <w:color w:val="070606"/>
        </w:rPr>
        <w:t>options</w:t>
      </w:r>
      <w:r w:rsidRPr="00775F83">
        <w:rPr>
          <w:color w:val="070606"/>
          <w:spacing w:val="6"/>
        </w:rPr>
        <w:t xml:space="preserve"> </w:t>
      </w:r>
      <w:r w:rsidRPr="00775F83">
        <w:rPr>
          <w:color w:val="070606"/>
        </w:rPr>
        <w:t>under</w:t>
      </w:r>
      <w:r w:rsidRPr="00775F83">
        <w:rPr>
          <w:color w:val="070606"/>
          <w:spacing w:val="2"/>
        </w:rPr>
        <w:t xml:space="preserve"> </w:t>
      </w:r>
      <w:r w:rsidRPr="00775F83">
        <w:rPr>
          <w:color w:val="070606"/>
        </w:rPr>
        <w:t>45</w:t>
      </w:r>
      <w:r w:rsidRPr="00775F83">
        <w:rPr>
          <w:color w:val="070606"/>
          <w:spacing w:val="-5"/>
        </w:rPr>
        <w:t xml:space="preserve"> </w:t>
      </w:r>
      <w:r w:rsidRPr="00775F83">
        <w:rPr>
          <w:color w:val="070606"/>
        </w:rPr>
        <w:t xml:space="preserve">CFR </w:t>
      </w:r>
      <w:r w:rsidRPr="00775F83" w:rsidR="00B66995">
        <w:rPr>
          <w:color w:val="070606"/>
        </w:rPr>
        <w:t>§</w:t>
      </w:r>
      <w:r w:rsidRPr="00775F83">
        <w:rPr>
          <w:color w:val="070606"/>
        </w:rPr>
        <w:t>75.216(d)</w:t>
      </w:r>
      <w:r w:rsidRPr="00775F83">
        <w:rPr>
          <w:color w:val="070606"/>
          <w:spacing w:val="2"/>
        </w:rPr>
        <w:t xml:space="preserve"> </w:t>
      </w:r>
      <w:r w:rsidRPr="00775F83">
        <w:rPr>
          <w:color w:val="070606"/>
        </w:rPr>
        <w:t>and</w:t>
      </w:r>
      <w:r w:rsidRPr="00775F83">
        <w:rPr>
          <w:color w:val="070606"/>
          <w:spacing w:val="-4"/>
        </w:rPr>
        <w:t xml:space="preserve"> </w:t>
      </w:r>
      <w:r w:rsidRPr="00775F83" w:rsidR="00B66995">
        <w:rPr>
          <w:color w:val="070606"/>
          <w:spacing w:val="-4"/>
        </w:rPr>
        <w:t>§</w:t>
      </w:r>
      <w:r w:rsidRPr="00775F83">
        <w:rPr>
          <w:color w:val="070606"/>
        </w:rPr>
        <w:t>75.501(i)</w:t>
      </w:r>
      <w:r w:rsidRPr="00775F83">
        <w:rPr>
          <w:color w:val="070606"/>
        </w:rPr>
        <w:t>:</w:t>
      </w:r>
      <w:r w:rsidRPr="00775F83">
        <w:rPr>
          <w:color w:val="070606"/>
          <w:spacing w:val="-19"/>
        </w:rPr>
        <w:t xml:space="preserve"> </w:t>
      </w:r>
      <w:r w:rsidRPr="00775F83" w:rsidR="003B12E4">
        <w:rPr>
          <w:color w:val="070606"/>
          <w:spacing w:val="-19"/>
        </w:rPr>
        <w:t xml:space="preserve"> (</w:t>
      </w:r>
      <w:r w:rsidRPr="00775F83">
        <w:rPr>
          <w:color w:val="070606"/>
        </w:rPr>
        <w:t>1)</w:t>
      </w:r>
      <w:r w:rsidRPr="00775F83">
        <w:rPr>
          <w:color w:val="070606"/>
          <w:spacing w:val="2"/>
        </w:rPr>
        <w:t xml:space="preserve"> </w:t>
      </w:r>
      <w:r w:rsidRPr="00775F83">
        <w:rPr>
          <w:color w:val="070606"/>
        </w:rPr>
        <w:t>a</w:t>
      </w:r>
      <w:r w:rsidRPr="00775F83">
        <w:rPr>
          <w:color w:val="070606"/>
          <w:spacing w:val="-8"/>
        </w:rPr>
        <w:t xml:space="preserve"> </w:t>
      </w:r>
      <w:r w:rsidRPr="00775F83">
        <w:rPr>
          <w:color w:val="070606"/>
        </w:rPr>
        <w:t>financial</w:t>
      </w:r>
      <w:r w:rsidRPr="00775F83">
        <w:rPr>
          <w:color w:val="070606"/>
          <w:spacing w:val="-20"/>
        </w:rPr>
        <w:t xml:space="preserve"> </w:t>
      </w:r>
      <w:r w:rsidRPr="00775F83">
        <w:rPr>
          <w:color w:val="070606"/>
        </w:rPr>
        <w:t>related</w:t>
      </w:r>
      <w:r w:rsidRPr="00775F83">
        <w:rPr>
          <w:color w:val="070606"/>
          <w:spacing w:val="14"/>
        </w:rPr>
        <w:t xml:space="preserve"> </w:t>
      </w:r>
      <w:r w:rsidRPr="00775F83">
        <w:rPr>
          <w:color w:val="070606"/>
        </w:rPr>
        <w:t>audit</w:t>
      </w:r>
      <w:r w:rsidRPr="00775F83" w:rsidR="00914FA9">
        <w:rPr>
          <w:color w:val="070606"/>
        </w:rPr>
        <w:t xml:space="preserve"> </w:t>
      </w:r>
      <w:r w:rsidRPr="00775F83">
        <w:rPr>
          <w:color w:val="070606"/>
          <w:spacing w:val="-52"/>
        </w:rPr>
        <w:t xml:space="preserve"> </w:t>
      </w:r>
      <w:r w:rsidRPr="00775F83">
        <w:rPr>
          <w:color w:val="070606"/>
        </w:rPr>
        <w:t>of</w:t>
      </w:r>
      <w:r w:rsidRPr="00775F83">
        <w:rPr>
          <w:color w:val="070606"/>
          <w:spacing w:val="3"/>
        </w:rPr>
        <w:t xml:space="preserve"> </w:t>
      </w:r>
      <w:r w:rsidRPr="00775F83">
        <w:rPr>
          <w:color w:val="070606"/>
        </w:rPr>
        <w:t>the</w:t>
      </w:r>
      <w:r w:rsidRPr="00775F83">
        <w:rPr>
          <w:color w:val="070606"/>
          <w:spacing w:val="-6"/>
        </w:rPr>
        <w:t xml:space="preserve"> </w:t>
      </w:r>
      <w:r w:rsidRPr="00775F83">
        <w:rPr>
          <w:color w:val="070606"/>
        </w:rPr>
        <w:t>award</w:t>
      </w:r>
      <w:r w:rsidRPr="00775F83">
        <w:rPr>
          <w:color w:val="070606"/>
          <w:spacing w:val="-3"/>
        </w:rPr>
        <w:t xml:space="preserve"> </w:t>
      </w:r>
      <w:r w:rsidRPr="00775F83">
        <w:rPr>
          <w:color w:val="070606"/>
        </w:rPr>
        <w:t>or</w:t>
      </w:r>
      <w:r w:rsidRPr="00775F83">
        <w:rPr>
          <w:color w:val="070606"/>
          <w:spacing w:val="3"/>
        </w:rPr>
        <w:t xml:space="preserve"> </w:t>
      </w:r>
      <w:r w:rsidRPr="00775F83">
        <w:rPr>
          <w:color w:val="070606"/>
        </w:rPr>
        <w:t>awards</w:t>
      </w:r>
      <w:r w:rsidRPr="00775F83">
        <w:rPr>
          <w:color w:val="070606"/>
          <w:spacing w:val="7"/>
        </w:rPr>
        <w:t xml:space="preserve"> </w:t>
      </w:r>
      <w:r w:rsidRPr="00775F83">
        <w:rPr>
          <w:color w:val="070606"/>
        </w:rPr>
        <w:t>conducted</w:t>
      </w:r>
      <w:r w:rsidRPr="00775F83">
        <w:rPr>
          <w:color w:val="070606"/>
          <w:spacing w:val="-3"/>
        </w:rPr>
        <w:t xml:space="preserve"> </w:t>
      </w:r>
      <w:r w:rsidRPr="00775F83">
        <w:rPr>
          <w:color w:val="070606"/>
        </w:rPr>
        <w:t>in</w:t>
      </w:r>
      <w:r w:rsidRPr="00775F83">
        <w:rPr>
          <w:color w:val="070606"/>
          <w:spacing w:val="-3"/>
        </w:rPr>
        <w:t xml:space="preserve"> </w:t>
      </w:r>
      <w:r w:rsidRPr="00775F83">
        <w:rPr>
          <w:color w:val="070606"/>
        </w:rPr>
        <w:t>accordance</w:t>
      </w:r>
      <w:r w:rsidRPr="00775F83">
        <w:rPr>
          <w:color w:val="070606"/>
          <w:spacing w:val="-7"/>
        </w:rPr>
        <w:t xml:space="preserve"> </w:t>
      </w:r>
      <w:r w:rsidRPr="00775F83">
        <w:rPr>
          <w:color w:val="070606"/>
        </w:rPr>
        <w:t>with</w:t>
      </w:r>
      <w:r w:rsidRPr="00775F83">
        <w:rPr>
          <w:color w:val="070606"/>
          <w:spacing w:val="-3"/>
        </w:rPr>
        <w:t xml:space="preserve"> </w:t>
      </w:r>
      <w:r w:rsidRPr="00775F83">
        <w:rPr>
          <w:color w:val="070606"/>
        </w:rPr>
        <w:t>Generally</w:t>
      </w:r>
      <w:r w:rsidRPr="00775F83">
        <w:rPr>
          <w:color w:val="070606"/>
          <w:spacing w:val="-3"/>
        </w:rPr>
        <w:t xml:space="preserve"> </w:t>
      </w:r>
      <w:r w:rsidRPr="00775F83">
        <w:rPr>
          <w:color w:val="070606"/>
        </w:rPr>
        <w:t>Accepted</w:t>
      </w:r>
      <w:r w:rsidRPr="00775F83">
        <w:rPr>
          <w:color w:val="070606"/>
          <w:spacing w:val="-3"/>
        </w:rPr>
        <w:t xml:space="preserve"> </w:t>
      </w:r>
      <w:r w:rsidRPr="00775F83">
        <w:rPr>
          <w:color w:val="070606"/>
        </w:rPr>
        <w:t>Government</w:t>
      </w:r>
      <w:r w:rsidRPr="00775F83">
        <w:rPr>
          <w:color w:val="070606"/>
          <w:spacing w:val="-1"/>
        </w:rPr>
        <w:t xml:space="preserve"> </w:t>
      </w:r>
      <w:r w:rsidRPr="00775F83">
        <w:rPr>
          <w:color w:val="070606"/>
        </w:rPr>
        <w:t>Auditing</w:t>
      </w:r>
      <w:r w:rsidRPr="00775F83">
        <w:rPr>
          <w:color w:val="070606"/>
          <w:spacing w:val="-3"/>
        </w:rPr>
        <w:t xml:space="preserve"> </w:t>
      </w:r>
      <w:r w:rsidRPr="00775F83">
        <w:rPr>
          <w:color w:val="070606"/>
        </w:rPr>
        <w:t>Standards;</w:t>
      </w:r>
      <w:r w:rsidRPr="00775F83">
        <w:rPr>
          <w:color w:val="070606"/>
          <w:spacing w:val="-1"/>
        </w:rPr>
        <w:t xml:space="preserve"> </w:t>
      </w:r>
      <w:r w:rsidRPr="00775F83">
        <w:t>or</w:t>
      </w:r>
      <w:r w:rsidRPr="00775F83" w:rsidR="00992A11">
        <w:t xml:space="preserve"> </w:t>
      </w:r>
      <w:r w:rsidRPr="00775F83" w:rsidR="003B12E4">
        <w:t>(</w:t>
      </w:r>
      <w:r w:rsidRPr="00775F83" w:rsidR="00992A11">
        <w:t xml:space="preserve">2) </w:t>
      </w:r>
      <w:r w:rsidRPr="00775F83">
        <w:t xml:space="preserve">an audit in conformance with the requirements of 45 CFR </w:t>
      </w:r>
      <w:r w:rsidRPr="00775F83" w:rsidR="00B66995">
        <w:t>§</w:t>
      </w:r>
      <w:r w:rsidRPr="00775F83">
        <w:t xml:space="preserve">75.514 - Single Audit. </w:t>
      </w:r>
      <w:r w:rsidRPr="00775F83" w:rsidR="003B12E4">
        <w:t xml:space="preserve"> </w:t>
      </w:r>
      <w:r w:rsidRPr="00775F83">
        <w:t xml:space="preserve">Commercial organizations that have received PRF funding are highly encouraged to submit their audits electronically to the Commercial Audit Reporting Portal at </w:t>
      </w:r>
      <w:hyperlink r:id="rId16" w:history="1">
        <w:r w:rsidRPr="00775F83">
          <w:rPr>
            <w:rStyle w:val="Hyperlink"/>
          </w:rPr>
          <w:t>https://commercialaudit.hrsa.gov/s/login/</w:t>
        </w:r>
      </w:hyperlink>
      <w:r w:rsidRPr="00775F83">
        <w:t>.</w:t>
      </w:r>
      <w:r w:rsidRPr="00775F83" w:rsidR="008A226B">
        <w:t xml:space="preserve"> </w:t>
      </w:r>
      <w:r w:rsidRPr="00775F83" w:rsidR="005545FC">
        <w:t xml:space="preserve"> </w:t>
      </w:r>
      <w:r w:rsidRPr="00775F83" w:rsidR="008A226B">
        <w:t xml:space="preserve">Commercial organizations not registered in the PRF Reporting Portal must submit their audits via email to HRSA’s Division of Financial Integrity at </w:t>
      </w:r>
      <w:hyperlink r:id="rId17" w:history="1">
        <w:r w:rsidRPr="00775F83" w:rsidR="008A226B">
          <w:rPr>
            <w:rStyle w:val="Hyperlink"/>
          </w:rPr>
          <w:t>PRFaudits@hrsa.gov</w:t>
        </w:r>
      </w:hyperlink>
      <w:r w:rsidRPr="00775F83" w:rsidR="008A226B">
        <w:t>.</w:t>
      </w:r>
    </w:p>
    <w:p w:rsidR="001E69FC" w:rsidRPr="00775F83" w:rsidP="00195CF6" w14:paraId="49DA0701" w14:textId="77777777">
      <w:pPr>
        <w:contextualSpacing/>
      </w:pPr>
      <w:bookmarkStart w:id="23" w:name="6)_Other_Assistance_Received"/>
      <w:bookmarkEnd w:id="23"/>
    </w:p>
    <w:p w:rsidR="004057EF" w:rsidRPr="00775F83" w:rsidP="003E5D0B" w14:paraId="507AA7A9" w14:textId="2915F162">
      <w:pPr>
        <w:pStyle w:val="ListParagraph"/>
        <w:numPr>
          <w:ilvl w:val="0"/>
          <w:numId w:val="8"/>
        </w:numPr>
        <w:ind w:left="720" w:hanging="360"/>
        <w:contextualSpacing/>
      </w:pPr>
      <w:r w:rsidRPr="00775F83">
        <w:rPr>
          <w:b/>
        </w:rPr>
        <w:t>Other</w:t>
      </w:r>
      <w:r w:rsidRPr="00775F83">
        <w:rPr>
          <w:b/>
          <w:spacing w:val="5"/>
        </w:rPr>
        <w:t xml:space="preserve"> </w:t>
      </w:r>
      <w:r w:rsidRPr="00775F83">
        <w:rPr>
          <w:b/>
        </w:rPr>
        <w:t>Assistance</w:t>
      </w:r>
      <w:r w:rsidRPr="00775F83">
        <w:rPr>
          <w:b/>
          <w:spacing w:val="27"/>
        </w:rPr>
        <w:t xml:space="preserve"> </w:t>
      </w:r>
      <w:r w:rsidRPr="00775F83">
        <w:rPr>
          <w:b/>
        </w:rPr>
        <w:t>Received</w:t>
      </w:r>
    </w:p>
    <w:p w:rsidR="004057EF" w:rsidP="003E5D0B" w14:paraId="507AA7AB" w14:textId="0AD056ED">
      <w:pPr>
        <w:ind w:left="720"/>
        <w:contextualSpacing/>
      </w:pPr>
      <w:r w:rsidRPr="00775F83">
        <w:rPr>
          <w:color w:val="070606"/>
        </w:rPr>
        <w:t>The</w:t>
      </w:r>
      <w:r w:rsidRPr="00775F83">
        <w:rPr>
          <w:color w:val="070606"/>
          <w:spacing w:val="-12"/>
        </w:rPr>
        <w:t xml:space="preserve"> </w:t>
      </w:r>
      <w:r w:rsidRPr="00775F83" w:rsidR="003B12E4">
        <w:rPr>
          <w:color w:val="070606"/>
        </w:rPr>
        <w:t>r</w:t>
      </w:r>
      <w:r w:rsidRPr="00775F83">
        <w:rPr>
          <w:color w:val="070606"/>
        </w:rPr>
        <w:t>eporting</w:t>
      </w:r>
      <w:r w:rsidRPr="00775F83">
        <w:rPr>
          <w:color w:val="070606"/>
          <w:spacing w:val="-9"/>
        </w:rPr>
        <w:t xml:space="preserve"> </w:t>
      </w:r>
      <w:r w:rsidRPr="00775F83" w:rsidR="003B12E4">
        <w:rPr>
          <w:color w:val="070606"/>
        </w:rPr>
        <w:t>e</w:t>
      </w:r>
      <w:r w:rsidRPr="00775F83">
        <w:rPr>
          <w:color w:val="070606"/>
        </w:rPr>
        <w:t>ntity</w:t>
      </w:r>
      <w:r w:rsidRPr="00775F83">
        <w:rPr>
          <w:color w:val="070606"/>
          <w:spacing w:val="9"/>
        </w:rPr>
        <w:t xml:space="preserve"> </w:t>
      </w:r>
      <w:r w:rsidRPr="00775F83">
        <w:rPr>
          <w:color w:val="070606"/>
        </w:rPr>
        <w:t>must</w:t>
      </w:r>
      <w:r w:rsidRPr="00775F83">
        <w:rPr>
          <w:color w:val="070606"/>
          <w:spacing w:val="-7"/>
        </w:rPr>
        <w:t xml:space="preserve"> </w:t>
      </w:r>
      <w:r w:rsidRPr="00775F83">
        <w:rPr>
          <w:color w:val="070606"/>
        </w:rPr>
        <w:t>enter</w:t>
      </w:r>
      <w:r w:rsidRPr="00775F83">
        <w:rPr>
          <w:color w:val="070606"/>
          <w:spacing w:val="-3"/>
        </w:rPr>
        <w:t xml:space="preserve"> </w:t>
      </w:r>
      <w:r w:rsidRPr="00775F83">
        <w:rPr>
          <w:color w:val="070606"/>
        </w:rPr>
        <w:t>other</w:t>
      </w:r>
      <w:r w:rsidRPr="00775F83">
        <w:rPr>
          <w:color w:val="070606"/>
          <w:spacing w:val="-2"/>
        </w:rPr>
        <w:t xml:space="preserve"> </w:t>
      </w:r>
      <w:r w:rsidRPr="00775F83">
        <w:rPr>
          <w:color w:val="070606"/>
        </w:rPr>
        <w:t>assistance</w:t>
      </w:r>
      <w:r w:rsidRPr="00775F83">
        <w:rPr>
          <w:color w:val="070606"/>
          <w:spacing w:val="-12"/>
        </w:rPr>
        <w:t xml:space="preserve"> </w:t>
      </w:r>
      <w:r w:rsidRPr="00775F83">
        <w:rPr>
          <w:color w:val="070606"/>
        </w:rPr>
        <w:t>received</w:t>
      </w:r>
      <w:r w:rsidRPr="00775F83">
        <w:rPr>
          <w:color w:val="070606"/>
          <w:spacing w:val="-8"/>
        </w:rPr>
        <w:t xml:space="preserve"> </w:t>
      </w:r>
      <w:r w:rsidRPr="00775F83">
        <w:rPr>
          <w:color w:val="070606"/>
        </w:rPr>
        <w:t>by</w:t>
      </w:r>
      <w:r w:rsidRPr="00775F83">
        <w:rPr>
          <w:color w:val="070606"/>
          <w:spacing w:val="-9"/>
        </w:rPr>
        <w:t xml:space="preserve"> </w:t>
      </w:r>
      <w:r w:rsidRPr="00775F83">
        <w:rPr>
          <w:color w:val="070606"/>
        </w:rPr>
        <w:t>quarter</w:t>
      </w:r>
      <w:r w:rsidRPr="00775F83">
        <w:rPr>
          <w:color w:val="070606"/>
          <w:spacing w:val="-3"/>
        </w:rPr>
        <w:t xml:space="preserve"> </w:t>
      </w:r>
      <w:r w:rsidRPr="00775F83">
        <w:rPr>
          <w:color w:val="070606"/>
        </w:rPr>
        <w:t>during</w:t>
      </w:r>
      <w:r w:rsidRPr="00775F83">
        <w:rPr>
          <w:color w:val="070606"/>
          <w:spacing w:val="-8"/>
        </w:rPr>
        <w:t xml:space="preserve"> </w:t>
      </w:r>
      <w:r w:rsidRPr="00775F83">
        <w:rPr>
          <w:color w:val="070606"/>
        </w:rPr>
        <w:t>the</w:t>
      </w:r>
      <w:r w:rsidRPr="00775F83">
        <w:rPr>
          <w:color w:val="070606"/>
          <w:spacing w:val="-12"/>
        </w:rPr>
        <w:t xml:space="preserve"> </w:t>
      </w:r>
      <w:r w:rsidRPr="00775F83">
        <w:rPr>
          <w:color w:val="070606"/>
        </w:rPr>
        <w:t>period</w:t>
      </w:r>
      <w:r w:rsidRPr="00775F83">
        <w:rPr>
          <w:color w:val="070606"/>
          <w:spacing w:val="-8"/>
        </w:rPr>
        <w:t xml:space="preserve"> </w:t>
      </w:r>
      <w:r w:rsidRPr="00775F83">
        <w:rPr>
          <w:color w:val="070606"/>
        </w:rPr>
        <w:t>of</w:t>
      </w:r>
      <w:r w:rsidRPr="00775F83">
        <w:rPr>
          <w:color w:val="070606"/>
          <w:spacing w:val="-3"/>
        </w:rPr>
        <w:t xml:space="preserve"> </w:t>
      </w:r>
      <w:r w:rsidRPr="00775F83">
        <w:rPr>
          <w:color w:val="070606"/>
        </w:rPr>
        <w:t>availability.</w:t>
      </w:r>
      <w:r w:rsidRPr="00775F83" w:rsidR="003133EB">
        <w:t xml:space="preserve"> </w:t>
      </w:r>
      <w:r w:rsidRPr="00775F83" w:rsidR="003B12E4">
        <w:t xml:space="preserve"> </w:t>
      </w:r>
      <w:r w:rsidRPr="00775F83">
        <w:t xml:space="preserve">If the </w:t>
      </w:r>
      <w:r w:rsidRPr="00775F83" w:rsidR="003B12E4">
        <w:t>r</w:t>
      </w:r>
      <w:r w:rsidRPr="00775F83">
        <w:t xml:space="preserve">eporting </w:t>
      </w:r>
      <w:r w:rsidRPr="00775F83" w:rsidR="003B12E4">
        <w:t>e</w:t>
      </w:r>
      <w:r w:rsidRPr="00775F83">
        <w:t>ntity is reporting on behalf of subsidiaries, the assistance received for each category must be aggregated across each of the subsidiaries included in the report.</w:t>
      </w:r>
    </w:p>
    <w:p w:rsidR="00573CC1" w:rsidRPr="00775F83" w:rsidP="003E5D0B" w14:paraId="75A36623" w14:textId="77777777">
      <w:pPr>
        <w:ind w:left="720"/>
        <w:contextualSpacing/>
      </w:pPr>
    </w:p>
    <w:p w:rsidR="004057EF" w:rsidRPr="00775F83" w:rsidP="002513AB" w14:paraId="507AA7AD" w14:textId="05CB10E9">
      <w:pPr>
        <w:pStyle w:val="ListParagraph"/>
        <w:numPr>
          <w:ilvl w:val="0"/>
          <w:numId w:val="18"/>
        </w:numPr>
        <w:contextualSpacing/>
      </w:pPr>
      <w:r w:rsidRPr="00775F83">
        <w:rPr>
          <w:b/>
          <w:bCs/>
          <w:color w:val="070606"/>
        </w:rPr>
        <w:t>Department</w:t>
      </w:r>
      <w:r w:rsidRPr="00775F83">
        <w:rPr>
          <w:b/>
          <w:bCs/>
          <w:color w:val="070606"/>
          <w:spacing w:val="5"/>
        </w:rPr>
        <w:t xml:space="preserve"> </w:t>
      </w:r>
      <w:r w:rsidRPr="00775F83">
        <w:rPr>
          <w:b/>
          <w:bCs/>
          <w:color w:val="070606"/>
        </w:rPr>
        <w:t>of</w:t>
      </w:r>
      <w:r w:rsidRPr="00775F83">
        <w:rPr>
          <w:b/>
          <w:bCs/>
          <w:color w:val="070606"/>
          <w:spacing w:val="6"/>
        </w:rPr>
        <w:t xml:space="preserve"> </w:t>
      </w:r>
      <w:r w:rsidRPr="00775F83">
        <w:rPr>
          <w:b/>
          <w:bCs/>
          <w:color w:val="070606"/>
        </w:rPr>
        <w:t>the</w:t>
      </w:r>
      <w:r w:rsidRPr="00775F83">
        <w:rPr>
          <w:b/>
          <w:bCs/>
          <w:color w:val="070606"/>
          <w:spacing w:val="-5"/>
        </w:rPr>
        <w:t xml:space="preserve"> </w:t>
      </w:r>
      <w:r w:rsidRPr="00775F83">
        <w:rPr>
          <w:b/>
          <w:bCs/>
        </w:rPr>
        <w:t>Treasury</w:t>
      </w:r>
      <w:r w:rsidRPr="00775F83">
        <w:rPr>
          <w:b/>
          <w:bCs/>
          <w:spacing w:val="1"/>
        </w:rPr>
        <w:t xml:space="preserve"> </w:t>
      </w:r>
      <w:r w:rsidRPr="00775F83">
        <w:rPr>
          <w:b/>
          <w:bCs/>
        </w:rPr>
        <w:t>and/or</w:t>
      </w:r>
      <w:r w:rsidRPr="00775F83">
        <w:rPr>
          <w:b/>
          <w:bCs/>
          <w:spacing w:val="-5"/>
        </w:rPr>
        <w:t xml:space="preserve"> </w:t>
      </w:r>
      <w:r w:rsidRPr="00775F83">
        <w:rPr>
          <w:b/>
          <w:bCs/>
        </w:rPr>
        <w:t>Small</w:t>
      </w:r>
      <w:r w:rsidRPr="00775F83">
        <w:rPr>
          <w:b/>
          <w:bCs/>
          <w:spacing w:val="2"/>
        </w:rPr>
        <w:t xml:space="preserve"> </w:t>
      </w:r>
      <w:r w:rsidRPr="00775F83">
        <w:rPr>
          <w:b/>
          <w:bCs/>
        </w:rPr>
        <w:t>Business</w:t>
      </w:r>
      <w:r w:rsidRPr="00775F83">
        <w:rPr>
          <w:b/>
          <w:bCs/>
          <w:spacing w:val="9"/>
        </w:rPr>
        <w:t xml:space="preserve"> </w:t>
      </w:r>
      <w:r w:rsidRPr="00775F83">
        <w:rPr>
          <w:b/>
          <w:bCs/>
        </w:rPr>
        <w:t>Administration</w:t>
      </w:r>
      <w:r w:rsidRPr="00775F83">
        <w:rPr>
          <w:b/>
          <w:bCs/>
          <w:spacing w:val="3"/>
        </w:rPr>
        <w:t xml:space="preserve"> </w:t>
      </w:r>
      <w:r w:rsidRPr="00775F83">
        <w:rPr>
          <w:b/>
          <w:bCs/>
        </w:rPr>
        <w:t>Assistance:</w:t>
      </w:r>
      <w:r w:rsidRPr="00775F83">
        <w:t xml:space="preserve"> </w:t>
      </w:r>
      <w:r w:rsidRPr="00775F83" w:rsidR="003B12E4">
        <w:t xml:space="preserve"> </w:t>
      </w:r>
      <w:r w:rsidRPr="00775F83">
        <w:t xml:space="preserve">Total amount of </w:t>
      </w:r>
      <w:r w:rsidRPr="00775F83" w:rsidR="00D34B1F">
        <w:t>COVID-19</w:t>
      </w:r>
      <w:r w:rsidRPr="00775F83">
        <w:t xml:space="preserve">-related relief received from </w:t>
      </w:r>
      <w:r w:rsidRPr="00775F83" w:rsidR="003B12E4">
        <w:t xml:space="preserve">the Department of the </w:t>
      </w:r>
      <w:r w:rsidRPr="00775F83">
        <w:t xml:space="preserve">Treasury and/or </w:t>
      </w:r>
      <w:r w:rsidRPr="00775F83" w:rsidR="003B12E4">
        <w:t>the Small Business Administration</w:t>
      </w:r>
      <w:r w:rsidRPr="00775F83">
        <w:t xml:space="preserve">, including the Paycheck Protection Program, by the </w:t>
      </w:r>
      <w:r w:rsidRPr="00775F83" w:rsidR="003B12E4">
        <w:t>r</w:t>
      </w:r>
      <w:r w:rsidRPr="00775F83">
        <w:t xml:space="preserve">eporting </w:t>
      </w:r>
      <w:r w:rsidRPr="00775F83" w:rsidR="003B12E4">
        <w:t>e</w:t>
      </w:r>
      <w:r w:rsidRPr="00775F83">
        <w:t>ntity during the period of availability.</w:t>
      </w:r>
    </w:p>
    <w:p w:rsidR="004057EF" w:rsidRPr="00775F83" w:rsidP="002513AB" w14:paraId="507AA7AE" w14:textId="367553FB">
      <w:pPr>
        <w:pStyle w:val="ListParagraph"/>
        <w:numPr>
          <w:ilvl w:val="0"/>
          <w:numId w:val="18"/>
        </w:numPr>
        <w:contextualSpacing/>
      </w:pPr>
      <w:r w:rsidRPr="00775F83">
        <w:rPr>
          <w:b/>
          <w:bCs/>
        </w:rPr>
        <w:t>Federal</w:t>
      </w:r>
      <w:r w:rsidRPr="00775F83">
        <w:rPr>
          <w:b/>
          <w:bCs/>
          <w:spacing w:val="4"/>
        </w:rPr>
        <w:t xml:space="preserve"> </w:t>
      </w:r>
      <w:r w:rsidRPr="00775F83">
        <w:rPr>
          <w:b/>
          <w:bCs/>
        </w:rPr>
        <w:t>Emergency</w:t>
      </w:r>
      <w:r w:rsidRPr="00775F83">
        <w:rPr>
          <w:b/>
          <w:bCs/>
          <w:spacing w:val="2"/>
        </w:rPr>
        <w:t xml:space="preserve"> </w:t>
      </w:r>
      <w:r w:rsidRPr="00775F83">
        <w:rPr>
          <w:b/>
          <w:bCs/>
        </w:rPr>
        <w:t>Management</w:t>
      </w:r>
      <w:r w:rsidRPr="00775F83">
        <w:rPr>
          <w:b/>
          <w:bCs/>
          <w:spacing w:val="-10"/>
        </w:rPr>
        <w:t xml:space="preserve"> </w:t>
      </w:r>
      <w:r w:rsidRPr="00775F83">
        <w:rPr>
          <w:b/>
          <w:bCs/>
        </w:rPr>
        <w:t>Agency</w:t>
      </w:r>
      <w:r w:rsidRPr="00775F83">
        <w:rPr>
          <w:b/>
          <w:bCs/>
          <w:spacing w:val="2"/>
        </w:rPr>
        <w:t xml:space="preserve"> </w:t>
      </w:r>
      <w:r w:rsidRPr="00775F83">
        <w:rPr>
          <w:b/>
          <w:bCs/>
        </w:rPr>
        <w:t>Programs:</w:t>
      </w:r>
      <w:r w:rsidRPr="00775F83">
        <w:rPr>
          <w:spacing w:val="9"/>
        </w:rPr>
        <w:t xml:space="preserve"> </w:t>
      </w:r>
      <w:r w:rsidRPr="00775F83" w:rsidR="00A07EA5">
        <w:rPr>
          <w:spacing w:val="9"/>
        </w:rPr>
        <w:t xml:space="preserve"> </w:t>
      </w:r>
      <w:r w:rsidRPr="00775F83">
        <w:t xml:space="preserve">Total amount of </w:t>
      </w:r>
      <w:r w:rsidRPr="00775F83" w:rsidR="00D34B1F">
        <w:t>COVID-19</w:t>
      </w:r>
      <w:r w:rsidRPr="00775F83">
        <w:t xml:space="preserve">- </w:t>
      </w:r>
      <w:r w:rsidRPr="00775F83">
        <w:rPr>
          <w:spacing w:val="-2"/>
        </w:rPr>
        <w:t>related</w:t>
      </w:r>
      <w:r w:rsidRPr="00775F83">
        <w:t xml:space="preserve"> </w:t>
      </w:r>
      <w:r w:rsidRPr="00775F83">
        <w:rPr>
          <w:spacing w:val="-1"/>
        </w:rPr>
        <w:t>relief</w:t>
      </w:r>
      <w:r w:rsidRPr="00775F83">
        <w:t xml:space="preserve"> </w:t>
      </w:r>
      <w:r w:rsidRPr="00775F83">
        <w:rPr>
          <w:spacing w:val="-1"/>
        </w:rPr>
        <w:t>received</w:t>
      </w:r>
      <w:r w:rsidRPr="00775F83">
        <w:t xml:space="preserve"> </w:t>
      </w:r>
      <w:r w:rsidRPr="00775F83">
        <w:rPr>
          <w:spacing w:val="-1"/>
        </w:rPr>
        <w:t>from</w:t>
      </w:r>
      <w:r w:rsidRPr="00775F83">
        <w:t xml:space="preserve"> </w:t>
      </w:r>
      <w:r w:rsidRPr="00775F83" w:rsidR="00A07EA5">
        <w:rPr>
          <w:spacing w:val="-1"/>
        </w:rPr>
        <w:t>the Federal Emergency Management A</w:t>
      </w:r>
      <w:r w:rsidRPr="00775F83" w:rsidR="00D34B1F">
        <w:rPr>
          <w:spacing w:val="-1"/>
        </w:rPr>
        <w:t>g</w:t>
      </w:r>
      <w:r w:rsidRPr="00775F83" w:rsidR="00A07EA5">
        <w:rPr>
          <w:spacing w:val="-1"/>
        </w:rPr>
        <w:t>ency</w:t>
      </w:r>
      <w:r w:rsidRPr="00775F83" w:rsidR="00A07EA5">
        <w:t xml:space="preserve"> </w:t>
      </w:r>
      <w:r w:rsidRPr="00775F83">
        <w:rPr>
          <w:spacing w:val="-1"/>
        </w:rPr>
        <w:t>by</w:t>
      </w:r>
      <w:r w:rsidRPr="00775F83">
        <w:t xml:space="preserve"> </w:t>
      </w:r>
      <w:r w:rsidRPr="00775F83">
        <w:rPr>
          <w:spacing w:val="-1"/>
        </w:rPr>
        <w:t>the</w:t>
      </w:r>
      <w:r w:rsidRPr="00775F83">
        <w:t xml:space="preserve"> </w:t>
      </w:r>
      <w:r w:rsidRPr="00775F83" w:rsidR="00A07EA5">
        <w:rPr>
          <w:spacing w:val="-1"/>
        </w:rPr>
        <w:t>r</w:t>
      </w:r>
      <w:r w:rsidRPr="00775F83">
        <w:rPr>
          <w:spacing w:val="-1"/>
        </w:rPr>
        <w:t>eporting</w:t>
      </w:r>
      <w:r w:rsidRPr="00775F83">
        <w:t xml:space="preserve"> </w:t>
      </w:r>
      <w:r w:rsidRPr="00775F83" w:rsidR="00A07EA5">
        <w:t>e</w:t>
      </w:r>
      <w:r w:rsidRPr="00775F83">
        <w:rPr>
          <w:spacing w:val="-1"/>
        </w:rPr>
        <w:t>ntity</w:t>
      </w:r>
      <w:r w:rsidRPr="00775F83">
        <w:t xml:space="preserve"> </w:t>
      </w:r>
      <w:r w:rsidRPr="00775F83">
        <w:rPr>
          <w:spacing w:val="-1"/>
        </w:rPr>
        <w:t>during</w:t>
      </w:r>
      <w:r w:rsidRPr="00775F83">
        <w:t xml:space="preserve"> </w:t>
      </w:r>
      <w:r w:rsidRPr="00775F83">
        <w:rPr>
          <w:spacing w:val="-1"/>
        </w:rPr>
        <w:t>the</w:t>
      </w:r>
      <w:r w:rsidRPr="00775F83">
        <w:t xml:space="preserve"> </w:t>
      </w:r>
      <w:r w:rsidRPr="00775F83">
        <w:rPr>
          <w:spacing w:val="-1"/>
        </w:rPr>
        <w:t>period</w:t>
      </w:r>
      <w:r w:rsidRPr="00775F83">
        <w:t xml:space="preserve"> </w:t>
      </w:r>
      <w:r w:rsidRPr="00775F83">
        <w:rPr>
          <w:spacing w:val="-1"/>
        </w:rPr>
        <w:t>of</w:t>
      </w:r>
      <w:r w:rsidRPr="00775F83">
        <w:t xml:space="preserve"> </w:t>
      </w:r>
      <w:r w:rsidRPr="00775F83">
        <w:rPr>
          <w:spacing w:val="-1"/>
        </w:rPr>
        <w:t>availability.</w:t>
      </w:r>
    </w:p>
    <w:p w:rsidR="004057EF" w:rsidRPr="00775F83" w:rsidP="002513AB" w14:paraId="507AA7AF" w14:textId="79D74901">
      <w:pPr>
        <w:pStyle w:val="ListParagraph"/>
        <w:numPr>
          <w:ilvl w:val="0"/>
          <w:numId w:val="18"/>
        </w:numPr>
        <w:contextualSpacing/>
      </w:pPr>
      <w:r w:rsidRPr="00775F83">
        <w:rPr>
          <w:b/>
          <w:bCs/>
          <w:spacing w:val="-1"/>
        </w:rPr>
        <w:t>HHS</w:t>
      </w:r>
      <w:r w:rsidRPr="00775F83">
        <w:rPr>
          <w:b/>
          <w:bCs/>
          <w:spacing w:val="12"/>
        </w:rPr>
        <w:t xml:space="preserve"> </w:t>
      </w:r>
      <w:r w:rsidRPr="00775F83" w:rsidR="006D460F">
        <w:rPr>
          <w:b/>
          <w:bCs/>
          <w:spacing w:val="12"/>
        </w:rPr>
        <w:t>COVID</w:t>
      </w:r>
      <w:r w:rsidRPr="00775F83" w:rsidR="00801B91">
        <w:rPr>
          <w:b/>
          <w:bCs/>
          <w:spacing w:val="12"/>
        </w:rPr>
        <w:t>-19</w:t>
      </w:r>
      <w:r w:rsidRPr="00775F83" w:rsidR="006D460F">
        <w:rPr>
          <w:b/>
          <w:spacing w:val="12"/>
        </w:rPr>
        <w:t xml:space="preserve"> </w:t>
      </w:r>
      <w:r w:rsidRPr="00775F83">
        <w:rPr>
          <w:b/>
        </w:rPr>
        <w:t>Testing</w:t>
      </w:r>
      <w:r w:rsidRPr="00775F83">
        <w:t xml:space="preserve">: </w:t>
      </w:r>
      <w:r w:rsidRPr="00775F83" w:rsidR="00A07EA5">
        <w:t xml:space="preserve"> </w:t>
      </w:r>
      <w:r w:rsidRPr="00775F83">
        <w:t xml:space="preserve">Total amount of relief received from HHS by the </w:t>
      </w:r>
      <w:r w:rsidRPr="00775F83" w:rsidR="00A07EA5">
        <w:t>r</w:t>
      </w:r>
      <w:r w:rsidRPr="00775F83">
        <w:t xml:space="preserve">eporting </w:t>
      </w:r>
      <w:r w:rsidRPr="00775F83" w:rsidR="00A07EA5">
        <w:t>e</w:t>
      </w:r>
      <w:r w:rsidRPr="00775F83">
        <w:t xml:space="preserve">ntity for </w:t>
      </w:r>
      <w:r w:rsidRPr="00775F83" w:rsidR="00D34B1F">
        <w:t xml:space="preserve">COVID-19 </w:t>
      </w:r>
      <w:r w:rsidRPr="00775F83">
        <w:t>testing-related activities during the period of availability.</w:t>
      </w:r>
    </w:p>
    <w:p w:rsidR="004057EF" w:rsidRPr="00775F83" w:rsidP="002513AB" w14:paraId="507AA7B0" w14:textId="47D9580A">
      <w:pPr>
        <w:pStyle w:val="ListParagraph"/>
        <w:numPr>
          <w:ilvl w:val="0"/>
          <w:numId w:val="18"/>
        </w:numPr>
        <w:contextualSpacing/>
      </w:pPr>
      <w:r w:rsidRPr="00775F83">
        <w:rPr>
          <w:b/>
          <w:bCs/>
        </w:rPr>
        <w:t>Local, State, and Tribal Government Assistance:</w:t>
      </w:r>
      <w:r w:rsidRPr="00775F83">
        <w:t xml:space="preserve"> </w:t>
      </w:r>
      <w:r w:rsidRPr="00775F83" w:rsidR="00A07EA5">
        <w:t xml:space="preserve"> </w:t>
      </w:r>
      <w:r w:rsidRPr="00775F83">
        <w:t xml:space="preserve">Total amount of </w:t>
      </w:r>
      <w:r w:rsidRPr="00775F83" w:rsidR="00D34B1F">
        <w:t>COVID-19</w:t>
      </w:r>
      <w:r w:rsidRPr="00775F83">
        <w:t xml:space="preserve">-related relief received by the </w:t>
      </w:r>
      <w:r w:rsidRPr="00775F83" w:rsidR="00A07EA5">
        <w:t>r</w:t>
      </w:r>
      <w:r w:rsidRPr="00775F83">
        <w:t xml:space="preserve">eporting </w:t>
      </w:r>
      <w:r w:rsidRPr="00775F83" w:rsidR="00A07EA5">
        <w:t>e</w:t>
      </w:r>
      <w:r w:rsidRPr="00775F83">
        <w:t xml:space="preserve">ntity from other </w:t>
      </w:r>
      <w:r w:rsidRPr="00775F83" w:rsidR="00A07EA5">
        <w:t>l</w:t>
      </w:r>
      <w:r w:rsidRPr="00775F83">
        <w:t xml:space="preserve">ocal, </w:t>
      </w:r>
      <w:r w:rsidRPr="00775F83" w:rsidR="00A07EA5">
        <w:t>s</w:t>
      </w:r>
      <w:r w:rsidRPr="00775F83">
        <w:t xml:space="preserve">tate, or </w:t>
      </w:r>
      <w:r w:rsidRPr="00775F83" w:rsidR="00A07EA5">
        <w:t>t</w:t>
      </w:r>
      <w:r w:rsidRPr="00775F83">
        <w:t>ribal government sources during the period of availability.</w:t>
      </w:r>
    </w:p>
    <w:p w:rsidR="004057EF" w:rsidRPr="00775F83" w:rsidP="002513AB" w14:paraId="507AA7B1" w14:textId="252693D3">
      <w:pPr>
        <w:pStyle w:val="ListParagraph"/>
        <w:numPr>
          <w:ilvl w:val="0"/>
          <w:numId w:val="18"/>
        </w:numPr>
        <w:contextualSpacing/>
      </w:pPr>
      <w:r w:rsidRPr="00775F83">
        <w:rPr>
          <w:b/>
          <w:bCs/>
        </w:rPr>
        <w:t>Business Insurance:</w:t>
      </w:r>
      <w:r w:rsidRPr="00775F83" w:rsidR="00A07EA5">
        <w:t xml:space="preserve"> </w:t>
      </w:r>
      <w:r w:rsidRPr="00775F83">
        <w:t xml:space="preserve"> Paid claims against insurance policies intended to cover losses related to various types of health care business interruption during the period of availability.</w:t>
      </w:r>
    </w:p>
    <w:p w:rsidR="004057EF" w:rsidRPr="00775F83" w:rsidP="002513AB" w14:paraId="507AA7B2" w14:textId="72EB7CF5">
      <w:pPr>
        <w:pStyle w:val="ListParagraph"/>
        <w:numPr>
          <w:ilvl w:val="0"/>
          <w:numId w:val="18"/>
        </w:numPr>
        <w:contextualSpacing/>
      </w:pPr>
      <w:r w:rsidRPr="00775F83">
        <w:rPr>
          <w:b/>
          <w:bCs/>
        </w:rPr>
        <w:t>Other</w:t>
      </w:r>
      <w:r w:rsidRPr="00775F83">
        <w:rPr>
          <w:b/>
          <w:bCs/>
          <w:spacing w:val="-4"/>
        </w:rPr>
        <w:t xml:space="preserve"> </w:t>
      </w:r>
      <w:r w:rsidRPr="00775F83">
        <w:rPr>
          <w:b/>
          <w:bCs/>
        </w:rPr>
        <w:t>Assistance:</w:t>
      </w:r>
      <w:r w:rsidRPr="00775F83">
        <w:rPr>
          <w:b/>
          <w:bCs/>
          <w:spacing w:val="-11"/>
        </w:rPr>
        <w:t xml:space="preserve"> </w:t>
      </w:r>
      <w:r w:rsidRPr="00775F83">
        <w:t xml:space="preserve">Total amount of other federal and/or </w:t>
      </w:r>
      <w:r w:rsidRPr="00775F83" w:rsidR="00D34B1F">
        <w:t>COVID-19</w:t>
      </w:r>
      <w:r w:rsidRPr="00775F83">
        <w:t>-related assistance received by</w:t>
      </w:r>
      <w:r w:rsidRPr="00775F83" w:rsidR="003133EB">
        <w:t xml:space="preserve"> </w:t>
      </w:r>
      <w:r w:rsidRPr="00775F83">
        <w:t xml:space="preserve">the </w:t>
      </w:r>
      <w:r w:rsidRPr="00775F83" w:rsidR="00A07EA5">
        <w:t>r</w:t>
      </w:r>
      <w:r w:rsidRPr="00775F83">
        <w:t xml:space="preserve">eporting </w:t>
      </w:r>
      <w:r w:rsidRPr="00775F83" w:rsidR="00A07EA5">
        <w:t>e</w:t>
      </w:r>
      <w:r w:rsidRPr="00775F83">
        <w:t>ntity during the period of availability.</w:t>
      </w:r>
    </w:p>
    <w:p w:rsidR="00B801B9" w:rsidRPr="00775F83" w:rsidP="007D6F73" w14:paraId="019B51E2" w14:textId="77777777">
      <w:pPr>
        <w:pStyle w:val="ListParagraph"/>
        <w:ind w:left="589" w:firstLine="0"/>
        <w:contextualSpacing/>
        <w:rPr>
          <w:b/>
        </w:rPr>
      </w:pPr>
    </w:p>
    <w:p w:rsidR="007D6F73" w:rsidRPr="00775F83" w:rsidP="003E5D0B" w14:paraId="7AB8F440" w14:textId="05BE5403">
      <w:pPr>
        <w:pStyle w:val="ListParagraph"/>
        <w:numPr>
          <w:ilvl w:val="0"/>
          <w:numId w:val="8"/>
        </w:numPr>
        <w:ind w:left="720" w:hanging="360"/>
        <w:contextualSpacing/>
        <w:rPr>
          <w:b/>
        </w:rPr>
      </w:pPr>
      <w:r w:rsidRPr="00775F83">
        <w:rPr>
          <w:b/>
        </w:rPr>
        <w:t xml:space="preserve">Use of </w:t>
      </w:r>
      <w:r w:rsidRPr="00775F83">
        <w:rPr>
          <w:b/>
          <w:bCs/>
        </w:rPr>
        <w:t>ARP Rural</w:t>
      </w:r>
      <w:r w:rsidRPr="00775F83">
        <w:rPr>
          <w:b/>
        </w:rPr>
        <w:t xml:space="preserve"> Distribution Payments</w:t>
      </w:r>
      <w:bookmarkStart w:id="24" w:name="_bookmark12"/>
      <w:bookmarkEnd w:id="24"/>
      <w:r w:rsidRPr="00775F83" w:rsidR="00473190">
        <w:rPr>
          <w:b/>
          <w:bCs/>
        </w:rPr>
        <w:t xml:space="preserve"> and </w:t>
      </w:r>
      <w:r w:rsidRPr="00775F83" w:rsidR="00580F21">
        <w:rPr>
          <w:b/>
          <w:bCs/>
        </w:rPr>
        <w:t>R</w:t>
      </w:r>
      <w:r w:rsidRPr="00775F83" w:rsidR="007435A6">
        <w:rPr>
          <w:b/>
          <w:bCs/>
        </w:rPr>
        <w:t xml:space="preserve">elated </w:t>
      </w:r>
      <w:r w:rsidRPr="00775F83" w:rsidR="00580F21">
        <w:rPr>
          <w:b/>
          <w:bCs/>
        </w:rPr>
        <w:t>E</w:t>
      </w:r>
      <w:r w:rsidRPr="00775F83" w:rsidR="007435A6">
        <w:rPr>
          <w:b/>
          <w:bCs/>
        </w:rPr>
        <w:t xml:space="preserve">arned </w:t>
      </w:r>
      <w:r w:rsidRPr="00775F83" w:rsidR="00580F21">
        <w:rPr>
          <w:b/>
          <w:bCs/>
        </w:rPr>
        <w:t>I</w:t>
      </w:r>
      <w:r w:rsidRPr="00775F83" w:rsidR="007435A6">
        <w:rPr>
          <w:b/>
          <w:bCs/>
        </w:rPr>
        <w:t>nterest</w:t>
      </w:r>
      <w:r w:rsidRPr="00775F83">
        <w:rPr>
          <w:b/>
          <w:bCs/>
        </w:rPr>
        <w:t xml:space="preserve"> (if applicable)</w:t>
      </w:r>
      <w:r w:rsidRPr="00775F83" w:rsidR="00FE6701">
        <w:rPr>
          <w:b/>
          <w:bCs/>
        </w:rPr>
        <w:t xml:space="preserve"> on Eligible Expenses</w:t>
      </w:r>
    </w:p>
    <w:p w:rsidR="003E5D0B" w:rsidRPr="00775F83" w:rsidP="003E5D0B" w14:paraId="23291F65" w14:textId="62746317">
      <w:pPr>
        <w:pStyle w:val="ListParagraph"/>
        <w:ind w:left="720" w:firstLine="0"/>
        <w:contextualSpacing/>
      </w:pPr>
      <w:r w:rsidRPr="00775F83">
        <w:t>ARP Rural payments may be used for expenses outlined in the</w:t>
      </w:r>
      <w:r w:rsidRPr="00775F83">
        <w:rPr>
          <w:color w:val="0000FF"/>
          <w:spacing w:val="-12"/>
        </w:rPr>
        <w:t xml:space="preserve"> </w:t>
      </w:r>
      <w:hyperlink r:id="rId12" w:anchor="terms-and-conditions">
        <w:r w:rsidRPr="00775F83">
          <w:rPr>
            <w:color w:val="0000FF"/>
            <w:u w:val="single" w:color="0000FF"/>
          </w:rPr>
          <w:t>Terms</w:t>
        </w:r>
        <w:r w:rsidRPr="00775F83">
          <w:rPr>
            <w:color w:val="0000FF"/>
            <w:spacing w:val="1"/>
            <w:u w:val="single" w:color="0000FF"/>
          </w:rPr>
          <w:t xml:space="preserve"> </w:t>
        </w:r>
        <w:r w:rsidRPr="00775F83">
          <w:rPr>
            <w:color w:val="0000FF"/>
            <w:u w:val="single" w:color="0000FF"/>
          </w:rPr>
          <w:t>and</w:t>
        </w:r>
        <w:r w:rsidRPr="00775F83">
          <w:rPr>
            <w:color w:val="0000FF"/>
            <w:spacing w:val="-9"/>
            <w:u w:val="single" w:color="0000FF"/>
          </w:rPr>
          <w:t xml:space="preserve"> </w:t>
        </w:r>
        <w:r w:rsidRPr="00775F83">
          <w:rPr>
            <w:color w:val="0000FF"/>
            <w:u w:val="single" w:color="0000FF"/>
          </w:rPr>
          <w:t>Conditions</w:t>
        </w:r>
        <w:r w:rsidRPr="00775F83">
          <w:rPr>
            <w:color w:val="0000FF"/>
            <w:spacing w:val="2"/>
          </w:rPr>
          <w:t xml:space="preserve"> </w:t>
        </w:r>
      </w:hyperlink>
      <w:r w:rsidRPr="00775F83" w:rsidR="0029377A">
        <w:t>to prevent, prepare for, and respond to COVID-19</w:t>
      </w:r>
      <w:r w:rsidRPr="00775F83" w:rsidR="0020110E">
        <w:t xml:space="preserve"> by reimbursing</w:t>
      </w:r>
      <w:r w:rsidRPr="00775F83" w:rsidR="0029377A">
        <w:t xml:space="preserve"> the </w:t>
      </w:r>
      <w:r w:rsidRPr="00775F83" w:rsidR="0020110E">
        <w:t>r</w:t>
      </w:r>
      <w:r w:rsidRPr="00775F83" w:rsidR="0029377A">
        <w:t>ecipient for health care-related expenses or lost revenues that are attributable to</w:t>
      </w:r>
      <w:r w:rsidRPr="00775F83" w:rsidR="00EC6F49">
        <w:t xml:space="preserve"> </w:t>
      </w:r>
      <w:r w:rsidRPr="00775F83" w:rsidR="0029377A">
        <w:t>COVID-19</w:t>
      </w:r>
      <w:r w:rsidRPr="00775F83" w:rsidR="008D2BF6">
        <w:t>.</w:t>
      </w:r>
    </w:p>
    <w:p w:rsidR="003E5D0B" w:rsidRPr="00775F83" w:rsidP="003E5D0B" w14:paraId="31FD2BCE" w14:textId="77777777">
      <w:pPr>
        <w:pStyle w:val="ListParagraph"/>
        <w:ind w:left="720" w:firstLine="0"/>
        <w:contextualSpacing/>
      </w:pPr>
    </w:p>
    <w:p w:rsidR="003E5D0B" w:rsidRPr="00775F83" w:rsidP="003E5D0B" w14:paraId="093170D0" w14:textId="0C7F2128">
      <w:pPr>
        <w:pStyle w:val="ListParagraph"/>
        <w:ind w:left="720" w:firstLine="0"/>
        <w:contextualSpacing/>
      </w:pPr>
      <w:r w:rsidRPr="00775F83">
        <w:t xml:space="preserve">Expenses that </w:t>
      </w:r>
      <w:r w:rsidRPr="00775F83" w:rsidR="00DC0E7B">
        <w:t xml:space="preserve">reporting entities </w:t>
      </w:r>
      <w:r w:rsidRPr="00775F83">
        <w:t xml:space="preserve">paid </w:t>
      </w:r>
      <w:r w:rsidRPr="00775F83" w:rsidR="00473190">
        <w:t xml:space="preserve">with </w:t>
      </w:r>
      <w:r w:rsidRPr="00775F83">
        <w:t xml:space="preserve">ARP Rural Distribution </w:t>
      </w:r>
      <w:r w:rsidRPr="00775F83" w:rsidR="00473190">
        <w:t>payment</w:t>
      </w:r>
      <w:r w:rsidRPr="00775F83" w:rsidR="0074642A">
        <w:t>(</w:t>
      </w:r>
      <w:r w:rsidRPr="00775F83">
        <w:t>s</w:t>
      </w:r>
      <w:r w:rsidRPr="00775F83" w:rsidR="0074642A">
        <w:t>)</w:t>
      </w:r>
      <w:r w:rsidRPr="00775F83">
        <w:t xml:space="preserve"> must</w:t>
      </w:r>
      <w:r w:rsidRPr="00775F83" w:rsidR="008D2BF6">
        <w:t xml:space="preserve"> be those</w:t>
      </w:r>
      <w:r w:rsidRPr="00775F83">
        <w:t xml:space="preserve"> that are unreimbursed by other sources</w:t>
      </w:r>
      <w:r w:rsidRPr="00775F83" w:rsidR="00583F9F">
        <w:t>, including PRF payments,</w:t>
      </w:r>
      <w:r w:rsidRPr="00775F83">
        <w:t xml:space="preserve"> and that other sources are</w:t>
      </w:r>
      <w:r w:rsidRPr="00775F83" w:rsidR="00473190">
        <w:t xml:space="preserve"> not </w:t>
      </w:r>
      <w:r w:rsidRPr="00775F83">
        <w:t>obligated</w:t>
      </w:r>
      <w:r w:rsidRPr="00775F83" w:rsidR="00473190">
        <w:t xml:space="preserve"> to </w:t>
      </w:r>
      <w:r w:rsidRPr="00775F83">
        <w:t>reimburse.</w:t>
      </w:r>
      <w:r w:rsidRPr="00775F83" w:rsidR="00C95AF2">
        <w:t xml:space="preserve"> </w:t>
      </w:r>
      <w:r w:rsidRPr="00775F83" w:rsidR="00DC0E7B">
        <w:t xml:space="preserve"> </w:t>
      </w:r>
      <w:r w:rsidRPr="00775F83" w:rsidR="00C95AF2">
        <w:t xml:space="preserve">ARP Rural payments </w:t>
      </w:r>
      <w:r w:rsidRPr="00775F83" w:rsidR="00FB01A1">
        <w:t>must be fully expended on either eligible health care</w:t>
      </w:r>
      <w:r w:rsidRPr="00775F83" w:rsidR="00580F21">
        <w:t>-related</w:t>
      </w:r>
      <w:r w:rsidRPr="00775F83" w:rsidR="00FB01A1">
        <w:t xml:space="preserve"> expenses and/or lost revenues attributable to COVID-19 before PRF payments can be used on eligible expenses and/or lost revenues attributable to </w:t>
      </w:r>
      <w:r w:rsidRPr="00775F83" w:rsidR="00EC6F49">
        <w:t>COVID-19</w:t>
      </w:r>
      <w:r w:rsidRPr="00775F83" w:rsidR="00FB01A1">
        <w:t>.</w:t>
      </w:r>
    </w:p>
    <w:p w:rsidR="003E5D0B" w:rsidRPr="00775F83" w:rsidP="003E5D0B" w14:paraId="453D1CEF" w14:textId="77777777">
      <w:pPr>
        <w:pStyle w:val="ListParagraph"/>
        <w:ind w:left="720" w:firstLine="0"/>
        <w:contextualSpacing/>
      </w:pPr>
    </w:p>
    <w:p w:rsidR="003E5D0B" w:rsidRPr="00775F83" w:rsidP="003E5D0B" w14:paraId="51B0AD07" w14:textId="67004F09">
      <w:pPr>
        <w:pStyle w:val="ListParagraph"/>
        <w:ind w:left="720" w:firstLine="0"/>
        <w:contextualSpacing/>
      </w:pPr>
      <w:r w:rsidRPr="00775F83">
        <w:t xml:space="preserve">Reporting </w:t>
      </w:r>
      <w:r w:rsidRPr="00775F83" w:rsidR="00DC0E7B">
        <w:t>e</w:t>
      </w:r>
      <w:r w:rsidRPr="00775F83">
        <w:t>ntities that received</w:t>
      </w:r>
      <w:r w:rsidR="00311E81">
        <w:t xml:space="preserve"> and retained</w:t>
      </w:r>
      <w:r w:rsidRPr="00775F83">
        <w:t xml:space="preserve"> </w:t>
      </w:r>
      <w:r w:rsidRPr="00775F83">
        <w:rPr>
          <w:b/>
          <w:bCs/>
        </w:rPr>
        <w:t>between $10,001 and $499,999 in aggregated</w:t>
      </w:r>
      <w:r w:rsidRPr="00775F83" w:rsidR="00473190">
        <w:rPr>
          <w:b/>
          <w:bCs/>
        </w:rPr>
        <w:t xml:space="preserve"> PRF </w:t>
      </w:r>
      <w:r w:rsidRPr="00775F83" w:rsidR="0029377A">
        <w:rPr>
          <w:b/>
          <w:bCs/>
        </w:rPr>
        <w:t xml:space="preserve">and ARP Rural </w:t>
      </w:r>
      <w:r w:rsidRPr="00775F83">
        <w:rPr>
          <w:b/>
          <w:bCs/>
        </w:rPr>
        <w:t>payments during</w:t>
      </w:r>
      <w:r w:rsidRPr="00775F83">
        <w:rPr>
          <w:b/>
        </w:rPr>
        <w:t xml:space="preserve"> </w:t>
      </w:r>
      <w:r w:rsidRPr="00775F83">
        <w:rPr>
          <w:b/>
          <w:bCs/>
        </w:rPr>
        <w:t xml:space="preserve">each Payment Received Period </w:t>
      </w:r>
      <w:r w:rsidRPr="00775F83">
        <w:t xml:space="preserve">are required to report on the use of these </w:t>
      </w:r>
      <w:r w:rsidRPr="00775F83">
        <w:t>payments in two categories</w:t>
      </w:r>
      <w:r w:rsidRPr="00775F83">
        <w:t xml:space="preserve">: </w:t>
      </w:r>
      <w:r w:rsidRPr="00775F83" w:rsidR="006D18FE">
        <w:t xml:space="preserve"> </w:t>
      </w:r>
      <w:r w:rsidRPr="00775F83">
        <w:t>(</w:t>
      </w:r>
      <w:r w:rsidRPr="00775F83">
        <w:t>1) General and Administrative Expenses and (2) Health Care-Related Expenses.</w:t>
      </w:r>
    </w:p>
    <w:p w:rsidR="003E5D0B" w:rsidRPr="00775F83" w:rsidP="003E5D0B" w14:paraId="28DEE031" w14:textId="77777777">
      <w:pPr>
        <w:pStyle w:val="ListParagraph"/>
        <w:ind w:left="720" w:firstLine="0"/>
        <w:contextualSpacing/>
      </w:pPr>
    </w:p>
    <w:p w:rsidR="003E5D0B" w:rsidRPr="00775F83" w:rsidP="003E5D0B" w14:paraId="4729EC43" w14:textId="1BB80925">
      <w:pPr>
        <w:pStyle w:val="ListParagraph"/>
        <w:ind w:left="720" w:firstLine="0"/>
        <w:contextualSpacing/>
      </w:pPr>
      <w:r w:rsidRPr="00775F83">
        <w:t>HRSA requires r</w:t>
      </w:r>
      <w:r w:rsidRPr="00775F83" w:rsidR="00993737">
        <w:t xml:space="preserve">eporting </w:t>
      </w:r>
      <w:r w:rsidRPr="00775F83">
        <w:t>e</w:t>
      </w:r>
      <w:r w:rsidRPr="00775F83" w:rsidR="00993737">
        <w:t xml:space="preserve">ntities that received </w:t>
      </w:r>
      <w:r w:rsidR="00311E81">
        <w:t xml:space="preserve">and retained </w:t>
      </w:r>
      <w:r w:rsidRPr="00775F83" w:rsidR="00993737">
        <w:rPr>
          <w:b/>
          <w:bCs/>
        </w:rPr>
        <w:t xml:space="preserve">$500,000 or more in aggregated PRF </w:t>
      </w:r>
      <w:r w:rsidRPr="00775F83" w:rsidR="0029377A">
        <w:rPr>
          <w:b/>
          <w:bCs/>
        </w:rPr>
        <w:t xml:space="preserve">and ARP Rural </w:t>
      </w:r>
      <w:r w:rsidRPr="00775F83" w:rsidR="00993737">
        <w:rPr>
          <w:b/>
          <w:bCs/>
        </w:rPr>
        <w:t>payments during each</w:t>
      </w:r>
      <w:r w:rsidRPr="00775F83" w:rsidR="00993737">
        <w:rPr>
          <w:b/>
          <w:bCs/>
          <w:spacing w:val="1"/>
        </w:rPr>
        <w:t xml:space="preserve"> </w:t>
      </w:r>
      <w:r w:rsidRPr="00775F83" w:rsidR="00993737">
        <w:rPr>
          <w:b/>
          <w:bCs/>
        </w:rPr>
        <w:t xml:space="preserve">Payment Received Period </w:t>
      </w:r>
      <w:r w:rsidRPr="00775F83" w:rsidR="00993737">
        <w:t xml:space="preserve">to report on the use of these payments in </w:t>
      </w:r>
      <w:r w:rsidRPr="00775F83" w:rsidR="00993737">
        <w:rPr>
          <w:spacing w:val="-1"/>
        </w:rPr>
        <w:t xml:space="preserve">greater detail than the two categories </w:t>
      </w:r>
      <w:r w:rsidRPr="00775F83" w:rsidR="00993737">
        <w:t>of General and Administrative Expenses and Health Care-Related Expenses, according to the following sub-categories of expenses</w:t>
      </w:r>
      <w:r w:rsidRPr="00775F83" w:rsidR="00130E44">
        <w:t xml:space="preserve">: </w:t>
      </w:r>
    </w:p>
    <w:p w:rsidR="003E5D0B" w:rsidRPr="00775F83" w:rsidP="003E5D0B" w14:paraId="420EF79A" w14:textId="77777777">
      <w:pPr>
        <w:pStyle w:val="ListParagraph"/>
        <w:ind w:left="720" w:firstLine="0"/>
        <w:contextualSpacing/>
      </w:pPr>
    </w:p>
    <w:p w:rsidR="004057EF" w:rsidRPr="00775F83" w:rsidP="003E5D0B" w14:paraId="2513F9E5" w14:textId="2E59B203">
      <w:pPr>
        <w:pStyle w:val="ListParagraph"/>
        <w:ind w:left="720" w:firstLine="0"/>
        <w:contextualSpacing/>
      </w:pPr>
      <w:r w:rsidRPr="00775F83">
        <w:rPr>
          <w:b/>
          <w:bCs/>
        </w:rPr>
        <w:t>General</w:t>
      </w:r>
      <w:r w:rsidRPr="00775F83">
        <w:rPr>
          <w:b/>
          <w:bCs/>
          <w:spacing w:val="2"/>
        </w:rPr>
        <w:t xml:space="preserve"> </w:t>
      </w:r>
      <w:r w:rsidRPr="00775F83">
        <w:rPr>
          <w:b/>
          <w:bCs/>
        </w:rPr>
        <w:t>and</w:t>
      </w:r>
      <w:r w:rsidRPr="00775F83">
        <w:rPr>
          <w:b/>
          <w:bCs/>
          <w:spacing w:val="-14"/>
        </w:rPr>
        <w:t xml:space="preserve"> </w:t>
      </w:r>
      <w:r w:rsidRPr="00775F83">
        <w:rPr>
          <w:b/>
          <w:bCs/>
        </w:rPr>
        <w:t>Administrative</w:t>
      </w:r>
      <w:r w:rsidRPr="00775F83">
        <w:rPr>
          <w:b/>
          <w:bCs/>
          <w:spacing w:val="-4"/>
        </w:rPr>
        <w:t xml:space="preserve"> </w:t>
      </w:r>
      <w:r w:rsidRPr="00775F83">
        <w:rPr>
          <w:b/>
          <w:bCs/>
        </w:rPr>
        <w:t>Expenses</w:t>
      </w:r>
      <w:r w:rsidRPr="00775F83">
        <w:rPr>
          <w:b/>
          <w:bCs/>
          <w:spacing w:val="-8"/>
        </w:rPr>
        <w:t xml:space="preserve"> </w:t>
      </w:r>
      <w:r w:rsidRPr="00775F83">
        <w:rPr>
          <w:b/>
          <w:bCs/>
        </w:rPr>
        <w:t>for</w:t>
      </w:r>
      <w:r w:rsidRPr="00775F83">
        <w:rPr>
          <w:b/>
          <w:bCs/>
          <w:spacing w:val="-3"/>
        </w:rPr>
        <w:t xml:space="preserve"> </w:t>
      </w:r>
      <w:r w:rsidRPr="00775F83" w:rsidR="00715D16">
        <w:rPr>
          <w:b/>
          <w:bCs/>
        </w:rPr>
        <w:t>ARP Rural</w:t>
      </w:r>
      <w:r w:rsidRPr="00775F83">
        <w:rPr>
          <w:b/>
          <w:bCs/>
          <w:spacing w:val="3"/>
        </w:rPr>
        <w:t xml:space="preserve"> </w:t>
      </w:r>
      <w:r w:rsidRPr="00775F83">
        <w:rPr>
          <w:b/>
          <w:bCs/>
        </w:rPr>
        <w:t>Distribution</w:t>
      </w:r>
      <w:r w:rsidRPr="00775F83">
        <w:rPr>
          <w:b/>
          <w:bCs/>
          <w:spacing w:val="-14"/>
        </w:rPr>
        <w:t xml:space="preserve"> </w:t>
      </w:r>
      <w:r w:rsidRPr="00775F83">
        <w:rPr>
          <w:b/>
          <w:bCs/>
        </w:rPr>
        <w:t>Payments</w:t>
      </w:r>
    </w:p>
    <w:p w:rsidR="004057EF" w:rsidRPr="00775F83" w:rsidP="002513AB" w14:paraId="0A6679F8" w14:textId="58758D3F">
      <w:pPr>
        <w:pStyle w:val="ListParagraph"/>
        <w:numPr>
          <w:ilvl w:val="0"/>
          <w:numId w:val="9"/>
        </w:numPr>
        <w:contextualSpacing/>
      </w:pPr>
      <w:r w:rsidRPr="00775F83">
        <w:rPr>
          <w:b/>
          <w:bCs/>
        </w:rPr>
        <w:t>Mortgage/Rent:</w:t>
      </w:r>
      <w:r w:rsidRPr="00775F83">
        <w:rPr>
          <w:spacing w:val="1"/>
        </w:rPr>
        <w:t xml:space="preserve"> </w:t>
      </w:r>
      <w:r w:rsidRPr="00775F83" w:rsidR="00DC0E7B">
        <w:rPr>
          <w:spacing w:val="1"/>
        </w:rPr>
        <w:t xml:space="preserve"> </w:t>
      </w:r>
      <w:r w:rsidRPr="00775F83">
        <w:t>Payments related to mortgage or rent for a facility.</w:t>
      </w:r>
    </w:p>
    <w:p w:rsidR="004057EF" w:rsidRPr="00775F83" w:rsidP="002513AB" w14:paraId="1861E647" w14:textId="4CCC788C">
      <w:pPr>
        <w:pStyle w:val="ListParagraph"/>
        <w:numPr>
          <w:ilvl w:val="0"/>
          <w:numId w:val="9"/>
        </w:numPr>
        <w:contextualSpacing/>
      </w:pPr>
      <w:r w:rsidRPr="00775F83">
        <w:rPr>
          <w:b/>
          <w:bCs/>
        </w:rPr>
        <w:t>Insurance:</w:t>
      </w:r>
      <w:r w:rsidRPr="00775F83" w:rsidR="0078604B">
        <w:t xml:space="preserve">  </w:t>
      </w:r>
      <w:r w:rsidRPr="00775F83">
        <w:t>Premiums paid for property, malpractice, business insurance, or other insurance relevant to operations.</w:t>
      </w:r>
    </w:p>
    <w:p w:rsidR="00FE1C01" w:rsidRPr="00775F83" w:rsidP="002513AB" w14:paraId="7ECBFAB2" w14:textId="7B1DB47F">
      <w:pPr>
        <w:pStyle w:val="ListParagraph"/>
        <w:numPr>
          <w:ilvl w:val="0"/>
          <w:numId w:val="9"/>
        </w:numPr>
        <w:contextualSpacing/>
      </w:pPr>
      <w:r w:rsidRPr="00775F83">
        <w:rPr>
          <w:b/>
          <w:bCs/>
        </w:rPr>
        <w:t>Personnel:</w:t>
      </w:r>
      <w:r w:rsidRPr="00775F83">
        <w:rPr>
          <w:spacing w:val="5"/>
        </w:rPr>
        <w:t xml:space="preserve"> </w:t>
      </w:r>
      <w:r w:rsidRPr="00775F83" w:rsidR="00DC0E7B">
        <w:rPr>
          <w:spacing w:val="5"/>
        </w:rPr>
        <w:t xml:space="preserve"> </w:t>
      </w:r>
      <w:r w:rsidRPr="00775F83">
        <w:t>Workforce-related actual expenses paid to prevent, prepare for, or respond to</w:t>
      </w:r>
      <w:r w:rsidRPr="00775F83" w:rsidR="008D2BF6">
        <w:t xml:space="preserve"> COVID-</w:t>
      </w:r>
      <w:r w:rsidRPr="00775F83" w:rsidR="00580F21">
        <w:t xml:space="preserve">19 </w:t>
      </w:r>
      <w:r w:rsidRPr="00775F83">
        <w:t>during the reporting period, such as workforce training, staffing, temporary employee or contractor payroll, overhead employees, or security personnel.</w:t>
      </w:r>
      <w:r w:rsidRPr="00775F83" w:rsidR="001354D9">
        <w:t xml:space="preserve"> </w:t>
      </w:r>
    </w:p>
    <w:p w:rsidR="00FE1C01" w:rsidRPr="00775F83" w:rsidP="002513AB" w14:paraId="725D74C0" w14:textId="7BBBC537">
      <w:pPr>
        <w:pStyle w:val="ListParagraph"/>
        <w:numPr>
          <w:ilvl w:val="0"/>
          <w:numId w:val="9"/>
        </w:numPr>
        <w:contextualSpacing/>
      </w:pPr>
      <w:r w:rsidRPr="00775F83">
        <w:rPr>
          <w:b/>
          <w:bCs/>
        </w:rPr>
        <w:t>Fringe Benefits</w:t>
      </w:r>
      <w:r w:rsidRPr="00775F83">
        <w:t>:</w:t>
      </w:r>
      <w:r w:rsidRPr="00775F83" w:rsidR="00DC0E7B">
        <w:t xml:space="preserve"> </w:t>
      </w:r>
      <w:r w:rsidRPr="00775F83">
        <w:t xml:space="preserve"> Extra benefits supplementing an employee’s salary, which may include hazard pay, travel reimbursement, and employee health insurance.</w:t>
      </w:r>
    </w:p>
    <w:p w:rsidR="00FE1C01" w:rsidRPr="00775F83" w:rsidP="002513AB" w14:paraId="0654CDC8" w14:textId="6D89CC68">
      <w:pPr>
        <w:pStyle w:val="ListParagraph"/>
        <w:numPr>
          <w:ilvl w:val="0"/>
          <w:numId w:val="9"/>
        </w:numPr>
        <w:contextualSpacing/>
      </w:pPr>
      <w:r w:rsidRPr="00775F83">
        <w:rPr>
          <w:b/>
          <w:bCs/>
        </w:rPr>
        <w:t>Lease Payments:</w:t>
      </w:r>
      <w:r w:rsidRPr="00775F83">
        <w:t xml:space="preserve"> </w:t>
      </w:r>
      <w:r w:rsidRPr="00775F83" w:rsidR="00DC0E7B">
        <w:t xml:space="preserve"> </w:t>
      </w:r>
      <w:r w:rsidRPr="00775F83">
        <w:t>New equipment or software leases, such as fleet cars and medical equipment that is</w:t>
      </w:r>
      <w:r w:rsidRPr="00775F83" w:rsidR="003D6E1A">
        <w:t xml:space="preserve"> </w:t>
      </w:r>
      <w:r w:rsidRPr="00775F83">
        <w:t>not purchased and will be returned to the owner.</w:t>
      </w:r>
    </w:p>
    <w:p w:rsidR="00FE1C01" w:rsidRPr="00775F83" w:rsidP="002513AB" w14:paraId="7E673803" w14:textId="71A9A5FE">
      <w:pPr>
        <w:pStyle w:val="ListParagraph"/>
        <w:numPr>
          <w:ilvl w:val="0"/>
          <w:numId w:val="9"/>
        </w:numPr>
        <w:contextualSpacing/>
      </w:pPr>
      <w:r w:rsidRPr="00775F83">
        <w:rPr>
          <w:b/>
          <w:bCs/>
        </w:rPr>
        <w:t>Utilities/Operations</w:t>
      </w:r>
      <w:r w:rsidRPr="00775F83">
        <w:t>:</w:t>
      </w:r>
      <w:r w:rsidRPr="00775F83" w:rsidR="00DC0E7B">
        <w:t xml:space="preserve"> </w:t>
      </w:r>
      <w:r w:rsidRPr="00775F83">
        <w:t xml:space="preserve"> Lighting, cooling/ventilation, cleaning, or additional third</w:t>
      </w:r>
      <w:r w:rsidRPr="00775F83" w:rsidR="002D5ABE">
        <w:t>-</w:t>
      </w:r>
      <w:r w:rsidRPr="00775F83">
        <w:t>party vendor services not included in the “Personnel” sub-category.</w:t>
      </w:r>
    </w:p>
    <w:p w:rsidR="003E5D0B" w:rsidRPr="00775F83" w:rsidP="003E5D0B" w14:paraId="26E38932" w14:textId="23E75DA4">
      <w:pPr>
        <w:pStyle w:val="ListParagraph"/>
        <w:numPr>
          <w:ilvl w:val="0"/>
          <w:numId w:val="9"/>
        </w:numPr>
        <w:contextualSpacing/>
      </w:pPr>
      <w:r w:rsidRPr="00775F83">
        <w:rPr>
          <w:b/>
          <w:bCs/>
        </w:rPr>
        <w:t>Other</w:t>
      </w:r>
      <w:r w:rsidRPr="00775F83">
        <w:rPr>
          <w:b/>
          <w:bCs/>
          <w:spacing w:val="-4"/>
        </w:rPr>
        <w:t xml:space="preserve"> </w:t>
      </w:r>
      <w:r w:rsidRPr="00775F83">
        <w:rPr>
          <w:b/>
          <w:bCs/>
        </w:rPr>
        <w:t>General</w:t>
      </w:r>
      <w:r w:rsidRPr="00775F83">
        <w:rPr>
          <w:b/>
          <w:bCs/>
          <w:spacing w:val="2"/>
        </w:rPr>
        <w:t xml:space="preserve"> </w:t>
      </w:r>
      <w:r w:rsidRPr="00775F83">
        <w:rPr>
          <w:b/>
          <w:bCs/>
        </w:rPr>
        <w:t>and</w:t>
      </w:r>
      <w:r w:rsidRPr="00775F83">
        <w:rPr>
          <w:b/>
          <w:bCs/>
          <w:spacing w:val="-14"/>
        </w:rPr>
        <w:t xml:space="preserve"> </w:t>
      </w:r>
      <w:r w:rsidRPr="00775F83">
        <w:rPr>
          <w:b/>
          <w:bCs/>
        </w:rPr>
        <w:t>Administrative</w:t>
      </w:r>
      <w:r w:rsidRPr="00775F83">
        <w:rPr>
          <w:b/>
          <w:bCs/>
          <w:spacing w:val="16"/>
        </w:rPr>
        <w:t xml:space="preserve"> </w:t>
      </w:r>
      <w:r w:rsidRPr="00775F83">
        <w:rPr>
          <w:b/>
          <w:bCs/>
        </w:rPr>
        <w:t>Expenses:</w:t>
      </w:r>
      <w:r w:rsidRPr="00775F83">
        <w:rPr>
          <w:spacing w:val="7"/>
        </w:rPr>
        <w:t xml:space="preserve"> </w:t>
      </w:r>
      <w:r w:rsidRPr="00775F83" w:rsidR="00DC0E7B">
        <w:rPr>
          <w:spacing w:val="7"/>
        </w:rPr>
        <w:t xml:space="preserve"> </w:t>
      </w:r>
      <w:r w:rsidRPr="00775F83">
        <w:t>Expenses not captured above that are</w:t>
      </w:r>
      <w:r w:rsidRPr="00775F83" w:rsidR="008B03B8">
        <w:t xml:space="preserve"> </w:t>
      </w:r>
      <w:r w:rsidRPr="00775F83">
        <w:t>generally</w:t>
      </w:r>
      <w:r w:rsidRPr="00775F83" w:rsidR="003D6E1A">
        <w:t xml:space="preserve"> </w:t>
      </w:r>
      <w:r w:rsidRPr="00775F83">
        <w:t>considered part of general and administrative expenses.</w:t>
      </w:r>
    </w:p>
    <w:p w:rsidR="003E5D0B" w:rsidRPr="00775F83" w:rsidP="003E5D0B" w14:paraId="364A7379" w14:textId="77777777">
      <w:pPr>
        <w:ind w:left="720"/>
        <w:contextualSpacing/>
        <w:rPr>
          <w:b/>
        </w:rPr>
      </w:pPr>
    </w:p>
    <w:p w:rsidR="004057EF" w:rsidRPr="00775F83" w:rsidP="003E5D0B" w14:paraId="1A9B223A" w14:textId="4037C341">
      <w:pPr>
        <w:ind w:left="720"/>
        <w:contextualSpacing/>
      </w:pPr>
      <w:r w:rsidRPr="00775F83">
        <w:rPr>
          <w:b/>
        </w:rPr>
        <w:t>Health</w:t>
      </w:r>
      <w:r w:rsidRPr="00775F83">
        <w:rPr>
          <w:b/>
          <w:spacing w:val="11"/>
        </w:rPr>
        <w:t xml:space="preserve"> </w:t>
      </w:r>
      <w:r w:rsidRPr="00775F83">
        <w:rPr>
          <w:b/>
        </w:rPr>
        <w:t>Care-Related</w:t>
      </w:r>
      <w:r w:rsidRPr="00775F83">
        <w:rPr>
          <w:b/>
          <w:spacing w:val="-10"/>
        </w:rPr>
        <w:t xml:space="preserve"> </w:t>
      </w:r>
      <w:r w:rsidRPr="00775F83">
        <w:rPr>
          <w:b/>
        </w:rPr>
        <w:t>Expenses</w:t>
      </w:r>
      <w:r w:rsidRPr="00775F83">
        <w:rPr>
          <w:b/>
          <w:spacing w:val="-3"/>
        </w:rPr>
        <w:t xml:space="preserve"> </w:t>
      </w:r>
      <w:r w:rsidRPr="00775F83" w:rsidR="008D2BF6">
        <w:rPr>
          <w:b/>
          <w:bCs/>
          <w:spacing w:val="-3"/>
        </w:rPr>
        <w:t xml:space="preserve">for </w:t>
      </w:r>
      <w:r w:rsidRPr="00775F83" w:rsidR="00D66FD6">
        <w:rPr>
          <w:b/>
          <w:bCs/>
        </w:rPr>
        <w:t>ARP Rural Distribution Payments</w:t>
      </w:r>
    </w:p>
    <w:p w:rsidR="004057EF" w:rsidRPr="00775F83" w:rsidP="002513AB" w14:paraId="041675A2" w14:textId="457A6B2A">
      <w:pPr>
        <w:pStyle w:val="ListParagraph"/>
        <w:numPr>
          <w:ilvl w:val="0"/>
          <w:numId w:val="10"/>
        </w:numPr>
        <w:contextualSpacing/>
      </w:pPr>
      <w:r w:rsidRPr="00775F83">
        <w:rPr>
          <w:b/>
          <w:bCs/>
        </w:rPr>
        <w:t>Supplies</w:t>
      </w:r>
      <w:r w:rsidRPr="00775F83">
        <w:t xml:space="preserve">: </w:t>
      </w:r>
      <w:r w:rsidRPr="00775F83" w:rsidR="00DC0E7B">
        <w:t xml:space="preserve"> </w:t>
      </w:r>
      <w:r w:rsidRPr="00775F83">
        <w:t xml:space="preserve">Expenses paid for purchase of supplies (e.g., single use or reusable patient care devices, cleaning supplies, office supplies, etc.) used to prevent, prepare for, and/or respond to </w:t>
      </w:r>
      <w:r w:rsidRPr="00775F83" w:rsidR="008D2BF6">
        <w:t>COVID-19</w:t>
      </w:r>
      <w:r w:rsidRPr="00775F83" w:rsidR="00FE1C01">
        <w:t xml:space="preserve"> during the </w:t>
      </w:r>
      <w:r w:rsidRPr="00775F83" w:rsidR="00CA258B">
        <w:t xml:space="preserve">period of availability. </w:t>
      </w:r>
      <w:r w:rsidRPr="00775F83" w:rsidR="00EC78AA">
        <w:t xml:space="preserve"> </w:t>
      </w:r>
      <w:r w:rsidRPr="00775F83">
        <w:t xml:space="preserve">Such items may include </w:t>
      </w:r>
      <w:r w:rsidRPr="00775F83" w:rsidR="00EC78AA">
        <w:t>personal protective equipment (</w:t>
      </w:r>
      <w:r w:rsidRPr="00775F83">
        <w:t>PPE</w:t>
      </w:r>
      <w:r w:rsidRPr="00775F83" w:rsidR="00EC78AA">
        <w:t>)</w:t>
      </w:r>
      <w:r w:rsidRPr="00775F83">
        <w:t>, hand sanitizer, supplies for patient screening, or vaccination administration materials.</w:t>
      </w:r>
    </w:p>
    <w:p w:rsidR="004057EF" w:rsidRPr="00775F83" w:rsidP="002513AB" w14:paraId="6CAB842B" w14:textId="0E0FC8B2">
      <w:pPr>
        <w:pStyle w:val="ListParagraph"/>
        <w:numPr>
          <w:ilvl w:val="0"/>
          <w:numId w:val="10"/>
        </w:numPr>
        <w:contextualSpacing/>
      </w:pPr>
      <w:r w:rsidRPr="00775F83">
        <w:rPr>
          <w:b/>
          <w:bCs/>
        </w:rPr>
        <w:t>Equipment</w:t>
      </w:r>
      <w:r w:rsidRPr="00775F83">
        <w:t xml:space="preserve">: </w:t>
      </w:r>
      <w:r w:rsidRPr="00775F83" w:rsidR="00EC78AA">
        <w:t xml:space="preserve"> </w:t>
      </w:r>
      <w:r w:rsidRPr="00775F83">
        <w:t xml:space="preserve">Expenses paid for purchase of equipment, such as ventilators, refrigeration systems for COVID-19 vaccines, or updates to </w:t>
      </w:r>
      <w:r w:rsidRPr="00775F83" w:rsidR="00EC78AA">
        <w:t>heating, ventilation, and air conditioning (</w:t>
      </w:r>
      <w:r w:rsidRPr="00775F83">
        <w:t>HVAC</w:t>
      </w:r>
      <w:r w:rsidRPr="00775F83" w:rsidR="00EC78AA">
        <w:t>)</w:t>
      </w:r>
      <w:r w:rsidRPr="00775F83">
        <w:t xml:space="preserve"> systems.</w:t>
      </w:r>
    </w:p>
    <w:p w:rsidR="004057EF" w:rsidRPr="00775F83" w:rsidP="002513AB" w14:paraId="3EA634ED" w14:textId="0BA2D815">
      <w:pPr>
        <w:pStyle w:val="ListParagraph"/>
        <w:numPr>
          <w:ilvl w:val="0"/>
          <w:numId w:val="10"/>
        </w:numPr>
        <w:contextualSpacing/>
      </w:pPr>
      <w:r w:rsidRPr="00775F83">
        <w:rPr>
          <w:b/>
          <w:bCs/>
        </w:rPr>
        <w:t>Information Technology (</w:t>
      </w:r>
      <w:r w:rsidRPr="00775F83" w:rsidR="00FE1C01">
        <w:rPr>
          <w:b/>
          <w:bCs/>
        </w:rPr>
        <w:t>IT</w:t>
      </w:r>
      <w:r w:rsidRPr="00775F83">
        <w:rPr>
          <w:b/>
          <w:bCs/>
        </w:rPr>
        <w:t>)</w:t>
      </w:r>
      <w:r w:rsidRPr="00775F83" w:rsidR="00FE1C01">
        <w:t xml:space="preserve">: </w:t>
      </w:r>
      <w:r w:rsidRPr="00775F83">
        <w:t xml:space="preserve"> </w:t>
      </w:r>
      <w:r w:rsidRPr="00775F83" w:rsidR="00FE1C01">
        <w:t xml:space="preserve">Expenses paid for IT or interoperability systems to expand or preserve </w:t>
      </w:r>
      <w:r w:rsidRPr="00775F83" w:rsidR="00D34B1F">
        <w:t xml:space="preserve">COVID-19 </w:t>
      </w:r>
      <w:r w:rsidRPr="00775F83" w:rsidR="00FE1C01">
        <w:t xml:space="preserve">care delivery during the reporting period, such as electronic health record licensing fees, telehealth infrastructure, increased bandwidth, and teleworking to support </w:t>
      </w:r>
      <w:r w:rsidRPr="00775F83" w:rsidR="003B7CFB">
        <w:t xml:space="preserve">remote </w:t>
      </w:r>
      <w:r w:rsidRPr="00775F83" w:rsidR="00473190">
        <w:t>workforce.</w:t>
      </w:r>
    </w:p>
    <w:p w:rsidR="005349DD" w:rsidRPr="00775F83" w:rsidP="002513AB" w14:paraId="59960FD1" w14:textId="01485288">
      <w:pPr>
        <w:pStyle w:val="ListParagraph"/>
        <w:numPr>
          <w:ilvl w:val="0"/>
          <w:numId w:val="10"/>
        </w:numPr>
        <w:contextualSpacing/>
      </w:pPr>
      <w:r w:rsidRPr="00775F83">
        <w:rPr>
          <w:b/>
          <w:bCs/>
        </w:rPr>
        <w:t>Facilities</w:t>
      </w:r>
      <w:r w:rsidRPr="00775F83">
        <w:t xml:space="preserve">: </w:t>
      </w:r>
      <w:r w:rsidRPr="00775F83" w:rsidR="00EC78AA">
        <w:t xml:space="preserve"> </w:t>
      </w:r>
      <w:r w:rsidRPr="00775F83">
        <w:t xml:space="preserve">Expenses such as lease or purchase of permanent or temporary structures, or to retrofit facilities to accommodate revised patient treatment practices, used to prevent, prepare for, and/or respond to </w:t>
      </w:r>
      <w:r w:rsidRPr="00775F83" w:rsidR="008D2BF6">
        <w:t>COVID</w:t>
      </w:r>
      <w:r w:rsidRPr="00775F83" w:rsidR="00F55E4E">
        <w:t>-</w:t>
      </w:r>
      <w:r w:rsidRPr="00775F83" w:rsidR="008D2BF6">
        <w:t>19</w:t>
      </w:r>
      <w:r w:rsidRPr="00775F83" w:rsidR="00FE1C01">
        <w:t xml:space="preserve"> during the reporting period.</w:t>
      </w:r>
    </w:p>
    <w:p w:rsidR="00AF671E" w:rsidRPr="00775F83" w:rsidP="002513AB" w14:paraId="2B048A6E" w14:textId="5F216E72">
      <w:pPr>
        <w:pStyle w:val="ListParagraph"/>
        <w:numPr>
          <w:ilvl w:val="0"/>
          <w:numId w:val="10"/>
        </w:numPr>
        <w:contextualSpacing/>
      </w:pPr>
      <w:r w:rsidRPr="00775F83">
        <w:rPr>
          <w:b/>
          <w:bCs/>
        </w:rPr>
        <w:t>Other</w:t>
      </w:r>
      <w:r w:rsidRPr="00775F83">
        <w:rPr>
          <w:b/>
          <w:bCs/>
          <w:spacing w:val="-6"/>
        </w:rPr>
        <w:t xml:space="preserve"> </w:t>
      </w:r>
      <w:r w:rsidRPr="00775F83">
        <w:rPr>
          <w:b/>
          <w:bCs/>
        </w:rPr>
        <w:t>Health</w:t>
      </w:r>
      <w:r w:rsidRPr="00775F83">
        <w:rPr>
          <w:b/>
          <w:bCs/>
          <w:spacing w:val="2"/>
        </w:rPr>
        <w:t xml:space="preserve"> </w:t>
      </w:r>
      <w:r w:rsidRPr="00775F83">
        <w:rPr>
          <w:b/>
          <w:bCs/>
        </w:rPr>
        <w:t>Care-Related</w:t>
      </w:r>
      <w:r w:rsidRPr="00775F83">
        <w:rPr>
          <w:b/>
          <w:bCs/>
          <w:spacing w:val="-16"/>
        </w:rPr>
        <w:t xml:space="preserve"> </w:t>
      </w:r>
      <w:r w:rsidRPr="00775F83">
        <w:rPr>
          <w:b/>
          <w:bCs/>
        </w:rPr>
        <w:t>Expenses</w:t>
      </w:r>
      <w:r w:rsidRPr="00775F83">
        <w:t>:</w:t>
      </w:r>
      <w:r w:rsidRPr="00775F83" w:rsidR="00EC78AA">
        <w:t xml:space="preserve"> </w:t>
      </w:r>
      <w:r w:rsidRPr="00775F83">
        <w:t xml:space="preserve"> Expenses, not previously captured above, that were paid to prevent, prepare for, and/or respond to </w:t>
      </w:r>
      <w:r w:rsidRPr="00775F83" w:rsidR="008D2BF6">
        <w:t>COVID-19</w:t>
      </w:r>
      <w:r w:rsidRPr="00775F83">
        <w:t>.</w:t>
      </w:r>
    </w:p>
    <w:p w:rsidR="007D6F73" w:rsidRPr="00775F83" w:rsidP="007D6F73" w14:paraId="3742E3A4" w14:textId="77777777">
      <w:pPr>
        <w:pStyle w:val="ListParagraph"/>
        <w:ind w:left="1080" w:firstLine="0"/>
        <w:contextualSpacing/>
      </w:pPr>
    </w:p>
    <w:p w:rsidR="003B3E79" w:rsidRPr="00775F83" w:rsidP="003E5D0B" w14:paraId="376186DD" w14:textId="34159BEF">
      <w:pPr>
        <w:pStyle w:val="ListParagraph"/>
        <w:numPr>
          <w:ilvl w:val="0"/>
          <w:numId w:val="8"/>
        </w:numPr>
        <w:ind w:left="720"/>
        <w:contextualSpacing/>
        <w:rPr>
          <w:b/>
        </w:rPr>
      </w:pPr>
      <w:r w:rsidRPr="00775F83">
        <w:rPr>
          <w:rStyle w:val="Heading2Char"/>
          <w:sz w:val="22"/>
          <w:szCs w:val="22"/>
        </w:rPr>
        <w:t xml:space="preserve">Use </w:t>
      </w:r>
      <w:r w:rsidRPr="00775F83">
        <w:rPr>
          <w:b/>
        </w:rPr>
        <w:t xml:space="preserve">of </w:t>
      </w:r>
      <w:r w:rsidRPr="00775F83">
        <w:rPr>
          <w:b/>
          <w:bCs/>
        </w:rPr>
        <w:t>ARP Rural</w:t>
      </w:r>
      <w:r w:rsidRPr="00775F83">
        <w:rPr>
          <w:b/>
        </w:rPr>
        <w:t xml:space="preserve"> Distribution Payments</w:t>
      </w:r>
      <w:r w:rsidRPr="00775F83">
        <w:rPr>
          <w:b/>
          <w:bCs/>
        </w:rPr>
        <w:t xml:space="preserve"> and </w:t>
      </w:r>
      <w:r w:rsidRPr="00775F83" w:rsidR="00580F21">
        <w:rPr>
          <w:b/>
          <w:bCs/>
        </w:rPr>
        <w:t>R</w:t>
      </w:r>
      <w:r w:rsidRPr="00775F83">
        <w:rPr>
          <w:b/>
          <w:bCs/>
        </w:rPr>
        <w:t xml:space="preserve">elated </w:t>
      </w:r>
      <w:r w:rsidRPr="00775F83" w:rsidR="00580F21">
        <w:rPr>
          <w:b/>
          <w:bCs/>
        </w:rPr>
        <w:t>E</w:t>
      </w:r>
      <w:r w:rsidRPr="00775F83">
        <w:rPr>
          <w:b/>
          <w:bCs/>
        </w:rPr>
        <w:t xml:space="preserve">arned </w:t>
      </w:r>
      <w:r w:rsidRPr="00775F83" w:rsidR="00580F21">
        <w:rPr>
          <w:b/>
          <w:bCs/>
        </w:rPr>
        <w:t>I</w:t>
      </w:r>
      <w:r w:rsidRPr="00775F83">
        <w:rPr>
          <w:b/>
          <w:bCs/>
        </w:rPr>
        <w:t>nterest (if applicable) on Lost Revenues Attributable to</w:t>
      </w:r>
      <w:r w:rsidRPr="00775F83" w:rsidR="00EC6F49">
        <w:rPr>
          <w:b/>
          <w:bCs/>
        </w:rPr>
        <w:t xml:space="preserve"> </w:t>
      </w:r>
      <w:r w:rsidRPr="00775F83">
        <w:rPr>
          <w:b/>
          <w:bCs/>
        </w:rPr>
        <w:t>COVID-19</w:t>
      </w:r>
    </w:p>
    <w:p w:rsidR="00E526BB" w:rsidRPr="00775F83" w:rsidP="003E5D0B" w14:paraId="108AA165" w14:textId="37DEE872">
      <w:pPr>
        <w:pStyle w:val="ListParagraph"/>
        <w:ind w:left="720" w:firstLine="0"/>
        <w:contextualSpacing/>
      </w:pPr>
      <w:r w:rsidRPr="00775F83">
        <w:t xml:space="preserve">Reporting </w:t>
      </w:r>
      <w:r w:rsidRPr="00775F83" w:rsidR="00CD29E3">
        <w:t>e</w:t>
      </w:r>
      <w:r w:rsidRPr="00775F83">
        <w:t xml:space="preserve">ntities that expend all ARP Rural </w:t>
      </w:r>
      <w:r w:rsidRPr="00775F83" w:rsidR="005123E4">
        <w:t xml:space="preserve">payments </w:t>
      </w:r>
      <w:r w:rsidRPr="00775F83">
        <w:t xml:space="preserve">will not be able to select a lost revenues option. </w:t>
      </w:r>
      <w:r w:rsidRPr="00775F83" w:rsidR="00CD29E3">
        <w:t xml:space="preserve"> </w:t>
      </w:r>
      <w:r w:rsidRPr="00775F83">
        <w:t>Instead</w:t>
      </w:r>
      <w:r w:rsidRPr="00775F83" w:rsidR="00CD29E3">
        <w:t>,</w:t>
      </w:r>
      <w:r w:rsidRPr="00775F83">
        <w:t xml:space="preserve"> these entities will need to submit patient care revenues for the period of availability.</w:t>
      </w:r>
    </w:p>
    <w:p w:rsidR="00E526BB" w:rsidRPr="00775F83" w:rsidP="003E5D0B" w14:paraId="0E0D833D" w14:textId="77777777">
      <w:pPr>
        <w:pStyle w:val="ListParagraph"/>
        <w:ind w:left="720" w:firstLine="0"/>
        <w:contextualSpacing/>
      </w:pPr>
    </w:p>
    <w:p w:rsidR="00E526BB" w:rsidRPr="00775F83" w:rsidP="003E5D0B" w14:paraId="705FC19D" w14:textId="7BFE8E59">
      <w:pPr>
        <w:pStyle w:val="ListParagraph"/>
        <w:ind w:left="720" w:firstLine="0"/>
        <w:contextualSpacing/>
      </w:pPr>
      <w:r w:rsidRPr="00775F83">
        <w:t xml:space="preserve">Reporting </w:t>
      </w:r>
      <w:r w:rsidRPr="00775F83" w:rsidR="00CD29E3">
        <w:t>e</w:t>
      </w:r>
      <w:r w:rsidRPr="00775F83">
        <w:t xml:space="preserve">ntities using ARP Rural payments for lost revenues </w:t>
      </w:r>
      <w:r w:rsidRPr="00775F83" w:rsidR="005C196D">
        <w:t xml:space="preserve">incurred within the period of availability </w:t>
      </w:r>
      <w:r w:rsidRPr="00775F83">
        <w:t xml:space="preserve">will provide information used to calculate lost revenues attributable to COVID-19 from the beginning of the period of availability </w:t>
      </w:r>
      <w:r w:rsidRPr="00775F83" w:rsidR="00EE4CBE">
        <w:t xml:space="preserve">up to </w:t>
      </w:r>
      <w:r w:rsidRPr="00775F83" w:rsidR="006D1716">
        <w:t xml:space="preserve">June 30, 2023, </w:t>
      </w:r>
      <w:r w:rsidRPr="00775F83">
        <w:t>the end of the quarter in which the Public Health Emergency end</w:t>
      </w:r>
      <w:r w:rsidR="00D72475">
        <w:t>s</w:t>
      </w:r>
      <w:r w:rsidRPr="00775F83">
        <w:t xml:space="preserve">. </w:t>
      </w:r>
      <w:r w:rsidRPr="00775F83" w:rsidR="00CD29E3">
        <w:t xml:space="preserve"> </w:t>
      </w:r>
      <w:r w:rsidRPr="00775F83">
        <w:t xml:space="preserve">Reporting </w:t>
      </w:r>
      <w:r w:rsidRPr="00775F83" w:rsidR="00CD29E3">
        <w:t>e</w:t>
      </w:r>
      <w:r w:rsidRPr="00775F83">
        <w:t xml:space="preserve">ntities electing </w:t>
      </w:r>
      <w:r w:rsidRPr="00D72475">
        <w:rPr>
          <w:b/>
        </w:rPr>
        <w:t>Option i</w:t>
      </w:r>
      <w:r w:rsidRPr="00775F83">
        <w:rPr>
          <w:b/>
        </w:rPr>
        <w:t xml:space="preserve"> </w:t>
      </w:r>
      <w:r w:rsidRPr="00775F83">
        <w:t xml:space="preserve">or </w:t>
      </w:r>
      <w:r w:rsidRPr="00D72475">
        <w:rPr>
          <w:b/>
        </w:rPr>
        <w:t>Option ii</w:t>
      </w:r>
      <w:r w:rsidRPr="00775F83">
        <w:t xml:space="preserve"> (refer to Step </w:t>
      </w:r>
      <w:r w:rsidRPr="00775F83" w:rsidR="00F9198E">
        <w:t>5</w:t>
      </w:r>
      <w:r w:rsidRPr="00775F83">
        <w:t xml:space="preserve"> of </w:t>
      </w:r>
      <w:hyperlink w:anchor="_bookmark6" w:history="1">
        <w:r w:rsidRPr="00775F83">
          <w:rPr>
            <w:color w:val="0000FF"/>
            <w:u w:val="single" w:color="0000FF"/>
          </w:rPr>
          <w:t>Steps</w:t>
        </w:r>
        <w:r w:rsidRPr="00775F83">
          <w:rPr>
            <w:color w:val="0000FF"/>
            <w:spacing w:val="1"/>
            <w:u w:val="single" w:color="0000FF"/>
          </w:rPr>
          <w:t xml:space="preserve"> </w:t>
        </w:r>
        <w:r w:rsidRPr="00775F83">
          <w:rPr>
            <w:color w:val="0000FF"/>
            <w:u w:val="single" w:color="0000FF"/>
          </w:rPr>
          <w:t>for</w:t>
        </w:r>
        <w:r w:rsidRPr="00775F83">
          <w:rPr>
            <w:color w:val="0000FF"/>
            <w:spacing w:val="-2"/>
            <w:u w:val="single" w:color="0000FF"/>
          </w:rPr>
          <w:t xml:space="preserve"> </w:t>
        </w:r>
        <w:r w:rsidRPr="00775F83">
          <w:rPr>
            <w:color w:val="0000FF"/>
            <w:u w:val="single" w:color="0000FF"/>
          </w:rPr>
          <w:t>Reporting</w:t>
        </w:r>
        <w:r w:rsidRPr="00775F83">
          <w:rPr>
            <w:color w:val="0000FF"/>
            <w:spacing w:val="-7"/>
            <w:u w:val="single" w:color="0000FF"/>
          </w:rPr>
          <w:t xml:space="preserve"> </w:t>
        </w:r>
        <w:r w:rsidRPr="00775F83">
          <w:rPr>
            <w:color w:val="0000FF"/>
            <w:u w:val="single" w:color="0000FF"/>
          </w:rPr>
          <w:t>on</w:t>
        </w:r>
        <w:r w:rsidRPr="00775F83">
          <w:rPr>
            <w:color w:val="0000FF"/>
            <w:spacing w:val="-8"/>
            <w:u w:val="single" w:color="0000FF"/>
          </w:rPr>
          <w:t xml:space="preserve"> </w:t>
        </w:r>
        <w:r w:rsidRPr="00775F83">
          <w:rPr>
            <w:color w:val="0000FF"/>
            <w:u w:val="single" w:color="0000FF"/>
          </w:rPr>
          <w:t>Use</w:t>
        </w:r>
        <w:r w:rsidRPr="00775F83">
          <w:rPr>
            <w:color w:val="0000FF"/>
            <w:spacing w:val="-11"/>
            <w:u w:val="single" w:color="0000FF"/>
          </w:rPr>
          <w:t xml:space="preserve"> </w:t>
        </w:r>
        <w:r w:rsidRPr="00775F83">
          <w:rPr>
            <w:color w:val="0000FF"/>
            <w:u w:val="single" w:color="0000FF"/>
          </w:rPr>
          <w:t>of</w:t>
        </w:r>
        <w:r w:rsidRPr="00775F83">
          <w:rPr>
            <w:color w:val="0000FF"/>
            <w:spacing w:val="-1"/>
            <w:u w:val="single" w:color="0000FF"/>
          </w:rPr>
          <w:t xml:space="preserve"> </w:t>
        </w:r>
        <w:r w:rsidRPr="00775F83">
          <w:rPr>
            <w:color w:val="0000FF"/>
            <w:u w:val="single" w:color="0000FF"/>
          </w:rPr>
          <w:t>Funds</w:t>
        </w:r>
        <w:r w:rsidRPr="00775F83">
          <w:rPr>
            <w:color w:val="0000FF"/>
            <w:spacing w:val="1"/>
          </w:rPr>
          <w:t xml:space="preserve"> </w:t>
        </w:r>
      </w:hyperlink>
      <w:r w:rsidRPr="00775F83">
        <w:t>above) will provide the following:</w:t>
      </w:r>
    </w:p>
    <w:p w:rsidR="00E526BB" w:rsidRPr="00775F83" w:rsidP="003E5D0B" w14:paraId="4ACC3B0D" w14:textId="77777777">
      <w:pPr>
        <w:pStyle w:val="ListParagraph"/>
        <w:ind w:left="720" w:firstLine="0"/>
        <w:contextualSpacing/>
      </w:pPr>
    </w:p>
    <w:p w:rsidR="00E526BB" w:rsidRPr="00775F83" w:rsidP="003E5D0B" w14:paraId="38F9AA7E" w14:textId="256D3EC7">
      <w:pPr>
        <w:pStyle w:val="ListParagraph"/>
        <w:ind w:left="720" w:firstLine="0"/>
        <w:contextualSpacing/>
        <w:rPr>
          <w:b/>
        </w:rPr>
      </w:pPr>
      <w:r w:rsidRPr="00775F83">
        <w:rPr>
          <w:b/>
        </w:rPr>
        <w:t>Total</w:t>
      </w:r>
      <w:r w:rsidRPr="00775F83">
        <w:rPr>
          <w:b/>
          <w:spacing w:val="13"/>
        </w:rPr>
        <w:t xml:space="preserve"> </w:t>
      </w:r>
      <w:r w:rsidRPr="00775F83">
        <w:rPr>
          <w:b/>
        </w:rPr>
        <w:t>Revenues</w:t>
      </w:r>
      <w:r>
        <w:rPr>
          <w:rStyle w:val="FootnoteReference"/>
          <w:b/>
          <w:bCs/>
        </w:rPr>
        <w:footnoteReference w:id="11"/>
      </w:r>
      <w:r w:rsidRPr="00775F83">
        <w:rPr>
          <w:b/>
          <w:bCs/>
        </w:rPr>
        <w:t>/</w:t>
      </w:r>
      <w:r w:rsidRPr="00775F83">
        <w:rPr>
          <w:b/>
        </w:rPr>
        <w:t>Net</w:t>
      </w:r>
      <w:r w:rsidRPr="00775F83">
        <w:rPr>
          <w:b/>
          <w:spacing w:val="-3"/>
        </w:rPr>
        <w:t xml:space="preserve"> </w:t>
      </w:r>
      <w:r w:rsidRPr="00775F83">
        <w:rPr>
          <w:b/>
        </w:rPr>
        <w:t>Charges</w:t>
      </w:r>
      <w:r w:rsidRPr="00775F83">
        <w:rPr>
          <w:b/>
          <w:spacing w:val="1"/>
        </w:rPr>
        <w:t xml:space="preserve"> </w:t>
      </w:r>
      <w:r w:rsidRPr="00775F83">
        <w:rPr>
          <w:b/>
        </w:rPr>
        <w:t>from</w:t>
      </w:r>
      <w:r w:rsidRPr="00775F83">
        <w:rPr>
          <w:b/>
          <w:spacing w:val="20"/>
        </w:rPr>
        <w:t xml:space="preserve"> </w:t>
      </w:r>
      <w:r w:rsidRPr="00775F83">
        <w:rPr>
          <w:b/>
        </w:rPr>
        <w:t>Patient</w:t>
      </w:r>
      <w:r w:rsidRPr="00775F83">
        <w:rPr>
          <w:b/>
          <w:spacing w:val="-3"/>
        </w:rPr>
        <w:t xml:space="preserve"> </w:t>
      </w:r>
      <w:r w:rsidRPr="00775F83">
        <w:rPr>
          <w:b/>
        </w:rPr>
        <w:t>Care</w:t>
      </w:r>
      <w:r>
        <w:rPr>
          <w:rStyle w:val="FootnoteReference"/>
          <w:b/>
          <w:bCs/>
        </w:rPr>
        <w:footnoteReference w:id="12"/>
      </w:r>
      <w:hyperlink w:anchor="_bookmark15" w:history="1">
        <w:r w:rsidRPr="00775F83">
          <w:rPr>
            <w:b/>
            <w:spacing w:val="22"/>
          </w:rPr>
          <w:t xml:space="preserve"> </w:t>
        </w:r>
      </w:hyperlink>
      <w:r w:rsidRPr="00775F83">
        <w:rPr>
          <w:b/>
        </w:rPr>
        <w:t>Related</w:t>
      </w:r>
      <w:r w:rsidRPr="00775F83">
        <w:rPr>
          <w:b/>
          <w:spacing w:val="-6"/>
        </w:rPr>
        <w:t xml:space="preserve"> </w:t>
      </w:r>
      <w:r w:rsidRPr="00775F83">
        <w:rPr>
          <w:b/>
        </w:rPr>
        <w:t>Sources:</w:t>
      </w:r>
    </w:p>
    <w:p w:rsidR="00853EA2" w:rsidRPr="00775F83" w:rsidP="003E5D0B" w14:paraId="4E5FB255" w14:textId="6FA7F8E5">
      <w:pPr>
        <w:pStyle w:val="ListParagraph"/>
        <w:ind w:left="720" w:firstLine="0"/>
        <w:contextualSpacing/>
        <w:rPr>
          <w:b/>
        </w:rPr>
      </w:pPr>
      <w:r w:rsidRPr="00775F83">
        <w:t xml:space="preserve">Reporting </w:t>
      </w:r>
      <w:r w:rsidRPr="00775F83" w:rsidR="00CD29E3">
        <w:t>e</w:t>
      </w:r>
      <w:r w:rsidRPr="00775F83">
        <w:t xml:space="preserve">ntities will submit revenues/net charges from patient care (prior to netting with expenses) </w:t>
      </w:r>
      <w:r w:rsidRPr="00775F83" w:rsidR="00101F58">
        <w:t xml:space="preserve">incurred within the period of availability, </w:t>
      </w:r>
      <w:r w:rsidRPr="00775F83">
        <w:t xml:space="preserve">by payer mix (including out of pocket charges), and by quarter for each quarter during the period of </w:t>
      </w:r>
      <w:r w:rsidRPr="00775F83">
        <w:rPr>
          <w:spacing w:val="-2"/>
        </w:rPr>
        <w:t>availability</w:t>
      </w:r>
      <w:r w:rsidRPr="00775F83">
        <w:t xml:space="preserve"> </w:t>
      </w:r>
      <w:r w:rsidRPr="00775F83" w:rsidR="00EE4CBE">
        <w:t xml:space="preserve">up to </w:t>
      </w:r>
      <w:r w:rsidRPr="00775F83" w:rsidR="006D1716">
        <w:t xml:space="preserve">June 30, 2023, </w:t>
      </w:r>
      <w:r w:rsidRPr="00775F83">
        <w:t>the end of the quarter in which the Public Health Emergency end</w:t>
      </w:r>
      <w:r w:rsidR="00D72475">
        <w:t>s</w:t>
      </w:r>
      <w:r w:rsidRPr="00775F83">
        <w:t>.</w:t>
      </w:r>
      <w:r w:rsidRPr="00775F83" w:rsidR="00CD29E3">
        <w:t xml:space="preserve"> </w:t>
      </w:r>
      <w:r w:rsidRPr="00775F83">
        <w:t xml:space="preserve"> </w:t>
      </w:r>
      <w:r w:rsidRPr="00775F83">
        <w:rPr>
          <w:spacing w:val="-2"/>
        </w:rPr>
        <w:t xml:space="preserve">Reporting </w:t>
      </w:r>
      <w:r w:rsidRPr="00775F83" w:rsidR="00CD29E3">
        <w:rPr>
          <w:spacing w:val="-2"/>
        </w:rPr>
        <w:t>e</w:t>
      </w:r>
      <w:r w:rsidRPr="00775F83">
        <w:rPr>
          <w:spacing w:val="-2"/>
        </w:rPr>
        <w:t xml:space="preserve">ntities electing </w:t>
      </w:r>
      <w:r w:rsidRPr="00D72475">
        <w:rPr>
          <w:b/>
          <w:spacing w:val="-1"/>
        </w:rPr>
        <w:t>Option i</w:t>
      </w:r>
      <w:r w:rsidRPr="00775F83">
        <w:rPr>
          <w:spacing w:val="-1"/>
        </w:rPr>
        <w:t xml:space="preserve"> will provide actuals and </w:t>
      </w:r>
      <w:r w:rsidRPr="00775F83" w:rsidR="00CD29E3">
        <w:rPr>
          <w:spacing w:val="-1"/>
        </w:rPr>
        <w:t>r</w:t>
      </w:r>
      <w:r w:rsidRPr="00775F83">
        <w:rPr>
          <w:spacing w:val="-1"/>
        </w:rPr>
        <w:t xml:space="preserve">eporting </w:t>
      </w:r>
      <w:r w:rsidRPr="00775F83" w:rsidR="00CD29E3">
        <w:rPr>
          <w:spacing w:val="-1"/>
        </w:rPr>
        <w:t>e</w:t>
      </w:r>
      <w:r w:rsidRPr="00775F83">
        <w:rPr>
          <w:spacing w:val="-1"/>
        </w:rPr>
        <w:t>ntities</w:t>
      </w:r>
      <w:r w:rsidRPr="00775F83">
        <w:t xml:space="preserve"> </w:t>
      </w:r>
      <w:r w:rsidRPr="00775F83">
        <w:rPr>
          <w:spacing w:val="-1"/>
        </w:rPr>
        <w:t>electing</w:t>
      </w:r>
      <w:r w:rsidRPr="00775F83">
        <w:t xml:space="preserve"> </w:t>
      </w:r>
      <w:r w:rsidRPr="00D72475">
        <w:rPr>
          <w:b/>
        </w:rPr>
        <w:t>Option ii</w:t>
      </w:r>
      <w:r w:rsidRPr="00775F83">
        <w:t xml:space="preserve"> will provide both budgeted and actuals.</w:t>
      </w:r>
    </w:p>
    <w:p w:rsidR="00853EA2" w:rsidRPr="00775F83" w:rsidP="00AC38E6" w14:paraId="484934CE" w14:textId="6B9FF027">
      <w:pPr>
        <w:ind w:left="540"/>
        <w:contextualSpacing/>
        <w:jc w:val="both"/>
      </w:pPr>
    </w:p>
    <w:p w:rsidR="00FA4195" w:rsidRPr="00775F83" w:rsidP="00FA4195" w14:paraId="5BAE9C17" w14:textId="3A0C5A88">
      <w:pPr>
        <w:pStyle w:val="ListParagraph"/>
        <w:numPr>
          <w:ilvl w:val="0"/>
          <w:numId w:val="30"/>
        </w:numPr>
        <w:contextualSpacing/>
      </w:pPr>
      <w:r w:rsidRPr="00775F83">
        <w:rPr>
          <w:b/>
          <w:bCs/>
        </w:rPr>
        <w:t>Medicare Part A or B:</w:t>
      </w:r>
      <w:r w:rsidRPr="00775F83">
        <w:t xml:space="preserve"> </w:t>
      </w:r>
      <w:r w:rsidRPr="00775F83" w:rsidR="00CD29E3">
        <w:t xml:space="preserve"> R</w:t>
      </w:r>
      <w:r w:rsidRPr="00775F83">
        <w:t xml:space="preserve">evenues/net charges received from Medicare Part A or B for patient care. </w:t>
      </w:r>
    </w:p>
    <w:p w:rsidR="00FA4195" w:rsidRPr="00775F83" w:rsidP="00FA4195" w14:paraId="38CFBED2" w14:textId="2C150B53">
      <w:pPr>
        <w:pStyle w:val="ListParagraph"/>
        <w:numPr>
          <w:ilvl w:val="0"/>
          <w:numId w:val="30"/>
        </w:numPr>
        <w:contextualSpacing/>
      </w:pPr>
      <w:r w:rsidRPr="00775F83">
        <w:rPr>
          <w:b/>
          <w:bCs/>
        </w:rPr>
        <w:t>Medicare</w:t>
      </w:r>
      <w:r w:rsidRPr="00775F83">
        <w:rPr>
          <w:b/>
          <w:bCs/>
          <w:spacing w:val="8"/>
        </w:rPr>
        <w:t xml:space="preserve"> </w:t>
      </w:r>
      <w:r w:rsidRPr="00775F83">
        <w:rPr>
          <w:b/>
          <w:bCs/>
        </w:rPr>
        <w:t>Part</w:t>
      </w:r>
      <w:r w:rsidRPr="00775F83">
        <w:rPr>
          <w:b/>
          <w:bCs/>
          <w:spacing w:val="18"/>
        </w:rPr>
        <w:t xml:space="preserve"> </w:t>
      </w:r>
      <w:r w:rsidRPr="00775F83">
        <w:rPr>
          <w:b/>
          <w:bCs/>
        </w:rPr>
        <w:t>C</w:t>
      </w:r>
      <w:r w:rsidRPr="00775F83">
        <w:rPr>
          <w:b/>
          <w:bCs/>
          <w:spacing w:val="-6"/>
        </w:rPr>
        <w:t xml:space="preserve"> </w:t>
      </w:r>
      <w:r w:rsidRPr="00775F83">
        <w:rPr>
          <w:b/>
          <w:bCs/>
        </w:rPr>
        <w:t>(Medicare</w:t>
      </w:r>
      <w:r w:rsidRPr="00775F83">
        <w:rPr>
          <w:b/>
          <w:bCs/>
          <w:spacing w:val="9"/>
        </w:rPr>
        <w:t xml:space="preserve"> </w:t>
      </w:r>
      <w:r w:rsidRPr="00775F83">
        <w:rPr>
          <w:b/>
          <w:bCs/>
        </w:rPr>
        <w:t>Advantage):</w:t>
      </w:r>
      <w:r w:rsidRPr="00775F83">
        <w:rPr>
          <w:b/>
          <w:bCs/>
          <w:spacing w:val="1"/>
        </w:rPr>
        <w:t xml:space="preserve"> </w:t>
      </w:r>
      <w:r w:rsidRPr="00775F83" w:rsidR="00CD29E3">
        <w:rPr>
          <w:b/>
          <w:bCs/>
          <w:spacing w:val="1"/>
        </w:rPr>
        <w:t xml:space="preserve"> </w:t>
      </w:r>
      <w:r w:rsidRPr="00775F83">
        <w:t>revenues/net charges received from Medicare Part C for patient care.</w:t>
      </w:r>
    </w:p>
    <w:p w:rsidR="00FA4195" w:rsidRPr="00775F83" w:rsidP="00FA4195" w14:paraId="56E6CCAC" w14:textId="5641126F">
      <w:pPr>
        <w:pStyle w:val="ListParagraph"/>
        <w:numPr>
          <w:ilvl w:val="0"/>
          <w:numId w:val="30"/>
        </w:numPr>
        <w:contextualSpacing/>
      </w:pPr>
      <w:r w:rsidRPr="00775F83">
        <w:rPr>
          <w:b/>
          <w:bCs/>
        </w:rPr>
        <w:t>Medicaid/</w:t>
      </w:r>
      <w:r w:rsidRPr="00D72475" w:rsidR="00CD29E3">
        <w:rPr>
          <w:b/>
          <w:bCs/>
        </w:rPr>
        <w:t>Children’s Health Insurance Program</w:t>
      </w:r>
      <w:r w:rsidRPr="00775F83" w:rsidR="00CD29E3">
        <w:rPr>
          <w:b/>
          <w:bCs/>
        </w:rPr>
        <w:t xml:space="preserve"> (</w:t>
      </w:r>
      <w:r w:rsidRPr="00775F83">
        <w:rPr>
          <w:b/>
          <w:bCs/>
        </w:rPr>
        <w:t>CHIP</w:t>
      </w:r>
      <w:r w:rsidRPr="00775F83" w:rsidR="00CD29E3">
        <w:rPr>
          <w:b/>
          <w:bCs/>
        </w:rPr>
        <w:t>)</w:t>
      </w:r>
      <w:r w:rsidRPr="00775F83">
        <w:rPr>
          <w:b/>
          <w:bCs/>
        </w:rPr>
        <w:t>:</w:t>
      </w:r>
      <w:r w:rsidRPr="00775F83" w:rsidR="00CD29E3">
        <w:t xml:space="preserve"> </w:t>
      </w:r>
      <w:r w:rsidRPr="00775F83">
        <w:rPr>
          <w:spacing w:val="4"/>
        </w:rPr>
        <w:t xml:space="preserve"> </w:t>
      </w:r>
      <w:r w:rsidRPr="00775F83" w:rsidR="00CD29E3">
        <w:t>R</w:t>
      </w:r>
      <w:r w:rsidRPr="00775F83">
        <w:t>evenues/net charges received from Medicaid/CHIP for patient care.</w:t>
      </w:r>
    </w:p>
    <w:p w:rsidR="00FA4195" w:rsidRPr="00775F83" w:rsidP="00FA4195" w14:paraId="1C349D13" w14:textId="20E12603">
      <w:pPr>
        <w:pStyle w:val="ListParagraph"/>
        <w:numPr>
          <w:ilvl w:val="0"/>
          <w:numId w:val="30"/>
        </w:numPr>
        <w:contextualSpacing/>
      </w:pPr>
      <w:r w:rsidRPr="00775F83">
        <w:rPr>
          <w:b/>
          <w:bCs/>
        </w:rPr>
        <w:t>Commercial</w:t>
      </w:r>
      <w:r w:rsidRPr="00775F83">
        <w:rPr>
          <w:b/>
          <w:bCs/>
          <w:spacing w:val="-2"/>
        </w:rPr>
        <w:t xml:space="preserve"> </w:t>
      </w:r>
      <w:r w:rsidRPr="00775F83">
        <w:rPr>
          <w:b/>
          <w:bCs/>
        </w:rPr>
        <w:t>Insurance:</w:t>
      </w:r>
      <w:r w:rsidRPr="00775F83" w:rsidR="0078604B">
        <w:t xml:space="preserve">  </w:t>
      </w:r>
      <w:r w:rsidRPr="00775F83" w:rsidR="00CD29E3">
        <w:t>R</w:t>
      </w:r>
      <w:r w:rsidRPr="00775F83">
        <w:t>evenues/net charges from commercial insurance payers for patient care.</w:t>
      </w:r>
    </w:p>
    <w:p w:rsidR="00FA4195" w:rsidRPr="00775F83" w:rsidP="00FA4195" w14:paraId="5FEC3CBC" w14:textId="4A711B02">
      <w:pPr>
        <w:pStyle w:val="ListParagraph"/>
        <w:numPr>
          <w:ilvl w:val="0"/>
          <w:numId w:val="30"/>
        </w:numPr>
        <w:contextualSpacing/>
      </w:pPr>
      <w:r w:rsidRPr="00775F83">
        <w:rPr>
          <w:b/>
          <w:bCs/>
        </w:rPr>
        <w:t>Self-Pay (No Insurance):</w:t>
      </w:r>
      <w:r w:rsidRPr="00775F83">
        <w:t xml:space="preserve"> </w:t>
      </w:r>
      <w:r w:rsidRPr="00775F83" w:rsidR="00CD29E3">
        <w:t xml:space="preserve"> R</w:t>
      </w:r>
      <w:r w:rsidRPr="00775F83">
        <w:t>evenues/net charges received from self-pay patients, including the uninsured or individuals without insurance who bear the burden of paying for health care themselves.</w:t>
      </w:r>
    </w:p>
    <w:p w:rsidR="00853EA2" w:rsidRPr="00775F83" w:rsidP="00FA4195" w14:paraId="0D4481A9" w14:textId="7025F976">
      <w:pPr>
        <w:pStyle w:val="ListParagraph"/>
        <w:numPr>
          <w:ilvl w:val="0"/>
          <w:numId w:val="30"/>
        </w:numPr>
        <w:contextualSpacing/>
      </w:pPr>
      <w:r w:rsidRPr="00775F83">
        <w:rPr>
          <w:b/>
          <w:bCs/>
        </w:rPr>
        <w:t>Other:</w:t>
      </w:r>
      <w:r w:rsidRPr="00775F83">
        <w:rPr>
          <w:spacing w:val="2"/>
        </w:rPr>
        <w:t xml:space="preserve"> </w:t>
      </w:r>
      <w:r w:rsidRPr="00775F83" w:rsidR="00CD29E3">
        <w:rPr>
          <w:spacing w:val="2"/>
        </w:rPr>
        <w:t xml:space="preserve"> </w:t>
      </w:r>
      <w:r w:rsidRPr="00775F83" w:rsidR="00CD29E3">
        <w:t>R</w:t>
      </w:r>
      <w:r w:rsidRPr="00775F83">
        <w:t xml:space="preserve">evenues/net charges from other sources received for patient care services and not included </w:t>
      </w:r>
      <w:r w:rsidRPr="00775F83">
        <w:rPr>
          <w:spacing w:val="-1"/>
        </w:rPr>
        <w:t>in</w:t>
      </w:r>
      <w:r w:rsidRPr="00775F83">
        <w:t xml:space="preserve"> </w:t>
      </w:r>
      <w:r w:rsidRPr="00775F83">
        <w:rPr>
          <w:spacing w:val="-1"/>
        </w:rPr>
        <w:t>the</w:t>
      </w:r>
      <w:r w:rsidRPr="00775F83">
        <w:t xml:space="preserve"> </w:t>
      </w:r>
      <w:r w:rsidRPr="00775F83">
        <w:rPr>
          <w:spacing w:val="-1"/>
        </w:rPr>
        <w:t>list</w:t>
      </w:r>
      <w:r w:rsidRPr="00775F83">
        <w:t xml:space="preserve"> </w:t>
      </w:r>
      <w:r w:rsidRPr="00775F83">
        <w:rPr>
          <w:spacing w:val="-1"/>
        </w:rPr>
        <w:t>above.</w:t>
      </w:r>
    </w:p>
    <w:p w:rsidR="00853EA2" w:rsidRPr="00775F83" w:rsidP="00AC38E6" w14:paraId="182EDDBB" w14:textId="77777777">
      <w:pPr>
        <w:pStyle w:val="BodyText"/>
        <w:spacing w:before="6"/>
        <w:contextualSpacing/>
      </w:pPr>
    </w:p>
    <w:p w:rsidR="00853EA2" w:rsidRPr="00775F83" w:rsidP="00814F7E" w14:paraId="58FCFE49" w14:textId="77777777">
      <w:pPr>
        <w:ind w:left="770"/>
        <w:contextualSpacing/>
      </w:pPr>
      <w:r w:rsidRPr="00775F83">
        <w:rPr>
          <w:b/>
        </w:rPr>
        <w:t>Additional</w:t>
      </w:r>
      <w:r w:rsidRPr="00775F83">
        <w:rPr>
          <w:b/>
          <w:spacing w:val="22"/>
        </w:rPr>
        <w:t xml:space="preserve"> </w:t>
      </w:r>
      <w:r w:rsidRPr="00775F83">
        <w:rPr>
          <w:b/>
        </w:rPr>
        <w:t>Revenue</w:t>
      </w:r>
      <w:r w:rsidRPr="00775F83">
        <w:rPr>
          <w:b/>
          <w:spacing w:val="15"/>
        </w:rPr>
        <w:t xml:space="preserve"> </w:t>
      </w:r>
      <w:r w:rsidRPr="00775F83">
        <w:rPr>
          <w:b/>
        </w:rPr>
        <w:t>Information</w:t>
      </w:r>
    </w:p>
    <w:p w:rsidR="00853EA2" w:rsidRPr="00775F83" w:rsidP="00814F7E" w14:paraId="7CB42EED" w14:textId="3A28C352">
      <w:pPr>
        <w:ind w:left="770"/>
        <w:contextualSpacing/>
      </w:pPr>
      <w:r w:rsidRPr="00775F83">
        <w:t xml:space="preserve">In addition to providing patient care revenues, </w:t>
      </w:r>
      <w:r w:rsidRPr="00775F83" w:rsidR="00CD29E3">
        <w:t>r</w:t>
      </w:r>
      <w:r w:rsidRPr="00775F83">
        <w:t xml:space="preserve">eporting </w:t>
      </w:r>
      <w:r w:rsidRPr="00775F83" w:rsidR="00CD29E3">
        <w:t>e</w:t>
      </w:r>
      <w:r w:rsidRPr="00775F83">
        <w:t xml:space="preserve">ntities will need to provide documentation to substantiate the revenue information provided if </w:t>
      </w:r>
      <w:r w:rsidRPr="00D72475">
        <w:rPr>
          <w:b/>
        </w:rPr>
        <w:t>Option ii</w:t>
      </w:r>
      <w:r w:rsidRPr="00775F83">
        <w:t xml:space="preserve"> or </w:t>
      </w:r>
      <w:r w:rsidRPr="00D72475">
        <w:rPr>
          <w:b/>
        </w:rPr>
        <w:t>Option iii</w:t>
      </w:r>
      <w:r w:rsidRPr="00775F83">
        <w:t xml:space="preserve"> was used to calculate lost revenues attributable to COVID-19</w:t>
      </w:r>
      <w:r w:rsidRPr="00775F83" w:rsidR="009C107F">
        <w:t xml:space="preserve"> (r</w:t>
      </w:r>
      <w:r w:rsidRPr="00775F83">
        <w:t xml:space="preserve">efer to Step </w:t>
      </w:r>
      <w:r w:rsidRPr="00775F83" w:rsidR="00F9198E">
        <w:t>5</w:t>
      </w:r>
      <w:r w:rsidRPr="00775F83">
        <w:t xml:space="preserve"> of </w:t>
      </w:r>
      <w:hyperlink w:anchor="_bookmark6" w:history="1">
        <w:r w:rsidRPr="00775F83">
          <w:rPr>
            <w:color w:val="0000FF"/>
            <w:u w:val="single" w:color="0000FF"/>
          </w:rPr>
          <w:t>Steps</w:t>
        </w:r>
        <w:r w:rsidRPr="00775F83">
          <w:rPr>
            <w:color w:val="0000FF"/>
            <w:spacing w:val="3"/>
            <w:u w:val="single" w:color="0000FF"/>
          </w:rPr>
          <w:t xml:space="preserve"> </w:t>
        </w:r>
        <w:r w:rsidRPr="00775F83">
          <w:rPr>
            <w:color w:val="0000FF"/>
            <w:u w:val="single" w:color="0000FF"/>
          </w:rPr>
          <w:t>for Reporting</w:t>
        </w:r>
        <w:r w:rsidRPr="00775F83">
          <w:rPr>
            <w:color w:val="0000FF"/>
            <w:spacing w:val="-6"/>
            <w:u w:val="single" w:color="0000FF"/>
          </w:rPr>
          <w:t xml:space="preserve"> </w:t>
        </w:r>
        <w:r w:rsidRPr="00775F83">
          <w:rPr>
            <w:color w:val="0000FF"/>
            <w:u w:val="single" w:color="0000FF"/>
          </w:rPr>
          <w:t>on</w:t>
        </w:r>
        <w:r w:rsidRPr="00775F83">
          <w:rPr>
            <w:color w:val="0000FF"/>
            <w:spacing w:val="-7"/>
            <w:u w:val="single" w:color="0000FF"/>
          </w:rPr>
          <w:t xml:space="preserve"> </w:t>
        </w:r>
        <w:r w:rsidRPr="00775F83">
          <w:rPr>
            <w:color w:val="0000FF"/>
            <w:u w:val="single" w:color="0000FF"/>
          </w:rPr>
          <w:t>Use</w:t>
        </w:r>
        <w:r w:rsidRPr="00775F83">
          <w:rPr>
            <w:color w:val="0000FF"/>
            <w:spacing w:val="-9"/>
            <w:u w:val="single" w:color="0000FF"/>
          </w:rPr>
          <w:t xml:space="preserve"> </w:t>
        </w:r>
        <w:r w:rsidRPr="00775F83">
          <w:rPr>
            <w:color w:val="0000FF"/>
            <w:u w:val="single" w:color="0000FF"/>
          </w:rPr>
          <w:t>of Funds</w:t>
        </w:r>
        <w:r w:rsidRPr="00775F83">
          <w:rPr>
            <w:color w:val="0000FF"/>
            <w:spacing w:val="5"/>
          </w:rPr>
          <w:t xml:space="preserve"> </w:t>
        </w:r>
      </w:hyperlink>
      <w:r w:rsidRPr="00775F83">
        <w:t>above</w:t>
      </w:r>
      <w:r w:rsidRPr="00775F83" w:rsidR="009C107F">
        <w:t>)</w:t>
      </w:r>
      <w:r w:rsidRPr="00775F83">
        <w:t>.</w:t>
      </w:r>
    </w:p>
    <w:p w:rsidR="00853EA2" w:rsidRPr="00775F83" w:rsidP="00390CDC" w14:paraId="27793655" w14:textId="0F77B3C4">
      <w:pPr>
        <w:contextualSpacing/>
      </w:pPr>
    </w:p>
    <w:p w:rsidR="001E69FC" w:rsidP="006B7308" w14:paraId="5B81DAFF" w14:textId="3FBF0FE6">
      <w:pPr>
        <w:pStyle w:val="ListParagraph"/>
        <w:numPr>
          <w:ilvl w:val="0"/>
          <w:numId w:val="29"/>
        </w:numPr>
        <w:ind w:left="1440" w:hanging="310"/>
        <w:contextualSpacing/>
      </w:pPr>
      <w:r w:rsidRPr="00775F83">
        <w:rPr>
          <w:b/>
          <w:color w:val="0000FF"/>
          <w:u w:val="single" w:color="0000FF"/>
        </w:rPr>
        <w:t>Option</w:t>
      </w:r>
      <w:r w:rsidRPr="00775F83">
        <w:rPr>
          <w:b/>
          <w:color w:val="0000FF"/>
          <w:spacing w:val="12"/>
          <w:u w:val="single" w:color="0000FF"/>
        </w:rPr>
        <w:t xml:space="preserve"> </w:t>
      </w:r>
      <w:r w:rsidRPr="00775F83">
        <w:rPr>
          <w:b/>
          <w:color w:val="0000FF"/>
          <w:u w:val="single" w:color="0000FF"/>
        </w:rPr>
        <w:t>ii</w:t>
      </w:r>
      <w:r w:rsidRPr="00775F83">
        <w:t xml:space="preserve">: </w:t>
      </w:r>
      <w:r w:rsidRPr="00775F83">
        <w:rPr>
          <w:spacing w:val="30"/>
        </w:rPr>
        <w:t xml:space="preserve"> </w:t>
      </w:r>
      <w:r w:rsidRPr="00775F83" w:rsidR="00853EA2">
        <w:t xml:space="preserve">Reporting </w:t>
      </w:r>
      <w:r w:rsidRPr="00775F83" w:rsidR="00CD29E3">
        <w:t>e</w:t>
      </w:r>
      <w:r w:rsidRPr="00775F83" w:rsidR="00853EA2">
        <w:t>ntities must also submit</w:t>
      </w:r>
      <w:r w:rsidRPr="00775F83" w:rsidR="00853EA2">
        <w:t xml:space="preserve">: </w:t>
      </w:r>
      <w:r w:rsidRPr="00775F83" w:rsidR="008E41BB">
        <w:t xml:space="preserve"> </w:t>
      </w:r>
      <w:r w:rsidRPr="00775F83" w:rsidR="00CD29E3">
        <w:t>(</w:t>
      </w:r>
      <w:r w:rsidRPr="00775F83" w:rsidR="00853EA2">
        <w:t>1) a copy of a budget, which must have been approved before March 27, 2020</w:t>
      </w:r>
      <w:r w:rsidRPr="00775F83" w:rsidR="008E41BB">
        <w:t>;</w:t>
      </w:r>
      <w:r w:rsidRPr="00775F83" w:rsidR="00853EA2">
        <w:t xml:space="preserve"> and </w:t>
      </w:r>
      <w:r w:rsidRPr="00775F83" w:rsidR="00CD29E3">
        <w:t>(</w:t>
      </w:r>
      <w:r w:rsidRPr="00775F83" w:rsidR="00853EA2">
        <w:t xml:space="preserve">2) an attestation from the </w:t>
      </w:r>
      <w:r w:rsidRPr="00775F83" w:rsidR="00CD29E3">
        <w:t>r</w:t>
      </w:r>
      <w:r w:rsidRPr="00775F83" w:rsidR="00853EA2">
        <w:t xml:space="preserve">eporting </w:t>
      </w:r>
      <w:r w:rsidRPr="00775F83" w:rsidR="00CD29E3">
        <w:t>e</w:t>
      </w:r>
      <w:r w:rsidRPr="00775F83" w:rsidR="00853EA2">
        <w:t>ntity’s Chief Executive Officer, Chief Financial Officer, or similar responsible individual, attesting under 18 USC § 1001 that the exact budget being submitted was established and approved prior to March 27, 2020</w:t>
      </w:r>
      <w:r w:rsidRPr="00775F83" w:rsidR="008E41BB">
        <w:t>.</w:t>
      </w:r>
    </w:p>
    <w:p w:rsidR="00390CDC" w:rsidRPr="00390CDC" w:rsidP="00390CDC" w14:paraId="2AEF5BCE" w14:textId="77777777">
      <w:pPr>
        <w:pStyle w:val="ListParagraph"/>
        <w:ind w:left="1440" w:firstLine="0"/>
        <w:contextualSpacing/>
      </w:pPr>
    </w:p>
    <w:p w:rsidR="00BA4AAC" w:rsidRPr="00775F83" w:rsidP="00544C67" w14:paraId="6A4DA836" w14:textId="0A42421F">
      <w:pPr>
        <w:pStyle w:val="ListParagraph"/>
        <w:numPr>
          <w:ilvl w:val="0"/>
          <w:numId w:val="29"/>
        </w:numPr>
        <w:ind w:left="1440" w:hanging="310"/>
        <w:contextualSpacing/>
      </w:pPr>
      <w:r w:rsidRPr="00390CDC">
        <w:rPr>
          <w:b/>
          <w:color w:val="0000FF"/>
          <w:u w:val="single" w:color="0000FF"/>
        </w:rPr>
        <w:t>Option iii</w:t>
      </w:r>
      <w:r w:rsidRPr="00775F83">
        <w:t>:</w:t>
      </w:r>
      <w:r w:rsidRPr="00390CDC">
        <w:rPr>
          <w:spacing w:val="1"/>
        </w:rPr>
        <w:t xml:space="preserve"> </w:t>
      </w:r>
      <w:r w:rsidRPr="00390CDC" w:rsidR="00CD29E3">
        <w:rPr>
          <w:spacing w:val="1"/>
        </w:rPr>
        <w:t xml:space="preserve"> </w:t>
      </w:r>
      <w:r w:rsidRPr="00775F83" w:rsidR="00853EA2">
        <w:t xml:space="preserve">Alternate methodology for calculating lost revenues attributable to </w:t>
      </w:r>
      <w:r w:rsidRPr="00775F83" w:rsidR="00EC6F49">
        <w:t>COVID-19</w:t>
      </w:r>
      <w:r w:rsidRPr="00775F83" w:rsidR="00853EA2">
        <w:t xml:space="preserve">. Reporting </w:t>
      </w:r>
      <w:r w:rsidRPr="00775F83" w:rsidR="00CD29E3">
        <w:t>e</w:t>
      </w:r>
      <w:r w:rsidRPr="00775F83" w:rsidR="00853EA2">
        <w:t xml:space="preserve">ntities must submit: </w:t>
      </w:r>
      <w:r w:rsidRPr="00775F83" w:rsidR="00CD29E3">
        <w:t>(</w:t>
      </w:r>
      <w:r w:rsidRPr="00775F83" w:rsidR="00853EA2">
        <w:t xml:space="preserve">1) a narrative document describing methodology, an explanation of why the methodology is reasonable, and a description establishing how lost revenues were attributable to </w:t>
      </w:r>
      <w:r w:rsidRPr="00775F83" w:rsidR="00EC6F49">
        <w:t>COVID-19</w:t>
      </w:r>
      <w:r w:rsidRPr="00775F83" w:rsidR="00853EA2">
        <w:t xml:space="preserve">, as opposed to a loss caused by any other source; and </w:t>
      </w:r>
      <w:r w:rsidRPr="00775F83" w:rsidR="00CD29E3">
        <w:t>(</w:t>
      </w:r>
      <w:r w:rsidRPr="00775F83" w:rsidR="00853EA2">
        <w:t xml:space="preserve">2) a calculation of lost revenues attributable to </w:t>
      </w:r>
      <w:r w:rsidRPr="00775F83" w:rsidR="00EC6F49">
        <w:t xml:space="preserve">COVID-19 </w:t>
      </w:r>
      <w:r w:rsidRPr="00775F83" w:rsidR="00853EA2">
        <w:t xml:space="preserve">using the methodology described in the narrative document. </w:t>
      </w:r>
      <w:r w:rsidRPr="00775F83" w:rsidR="00CD29E3">
        <w:t xml:space="preserve"> </w:t>
      </w:r>
      <w:r w:rsidRPr="00775F83" w:rsidR="00853EA2">
        <w:t xml:space="preserve">All recipients seeking to use an alternate methodology face an increased likelihood of an audit by HRSA. </w:t>
      </w:r>
      <w:r w:rsidRPr="00775F83" w:rsidR="00CD29E3">
        <w:t xml:space="preserve"> </w:t>
      </w:r>
      <w:r w:rsidRPr="00775F83" w:rsidR="00853EA2">
        <w:t xml:space="preserve">HRSA will notify a recipient if their proposed methodology is not reasonable, including if it does not demonstrate with a reasonable certainty that </w:t>
      </w:r>
      <w:r w:rsidRPr="00775F83" w:rsidR="00D34B1F">
        <w:t>COVID-19</w:t>
      </w:r>
      <w:r w:rsidRPr="00775F83" w:rsidR="004048F0">
        <w:t xml:space="preserve"> caused the </w:t>
      </w:r>
      <w:r w:rsidRPr="00775F83" w:rsidR="00853EA2">
        <w:t>claimed lost revenues.</w:t>
      </w:r>
      <w:r w:rsidRPr="00775F83" w:rsidR="004048F0">
        <w:t xml:space="preserve"> </w:t>
      </w:r>
      <w:r w:rsidRPr="00775F83" w:rsidR="00853EA2">
        <w:t xml:space="preserve"> If HRSA determines that a recipient’s proposed alternate methodology is not reasonable, the recipient must resubmit its report within 30 days of notification using either </w:t>
      </w:r>
      <w:r w:rsidRPr="00390CDC" w:rsidR="00853EA2">
        <w:rPr>
          <w:b/>
        </w:rPr>
        <w:t>Option i</w:t>
      </w:r>
      <w:r w:rsidRPr="00775F83" w:rsidR="00853EA2">
        <w:t xml:space="preserve"> or </w:t>
      </w:r>
      <w:r w:rsidRPr="00390CDC" w:rsidR="00853EA2">
        <w:rPr>
          <w:b/>
        </w:rPr>
        <w:t>Option ii</w:t>
      </w:r>
      <w:r w:rsidRPr="00775F83" w:rsidR="00853EA2">
        <w:t xml:space="preserve"> to calculate lost revenues attributable to </w:t>
      </w:r>
      <w:r w:rsidRPr="00775F83" w:rsidR="00EC6F49">
        <w:t>COVID-19</w:t>
      </w:r>
      <w:r w:rsidRPr="00775F83" w:rsidR="00853EA2">
        <w:t>.</w:t>
      </w:r>
    </w:p>
    <w:p w:rsidR="00FE6701" w:rsidRPr="00775F83" w:rsidP="00AC38E6" w14:paraId="64E9D9BA" w14:textId="77777777">
      <w:pPr>
        <w:contextualSpacing/>
        <w:rPr>
          <w:rStyle w:val="Heading2Char"/>
          <w:sz w:val="22"/>
          <w:szCs w:val="22"/>
        </w:rPr>
      </w:pPr>
    </w:p>
    <w:p w:rsidR="00E526BB" w:rsidRPr="00775F83" w:rsidP="003E5D0B" w14:paraId="47A17627" w14:textId="29BE30E2">
      <w:pPr>
        <w:pStyle w:val="ListParagraph"/>
        <w:numPr>
          <w:ilvl w:val="0"/>
          <w:numId w:val="8"/>
        </w:numPr>
        <w:ind w:left="720" w:hanging="360"/>
        <w:contextualSpacing/>
        <w:rPr>
          <w:rStyle w:val="Heading2Char"/>
          <w:sz w:val="22"/>
          <w:szCs w:val="22"/>
        </w:rPr>
      </w:pPr>
      <w:r w:rsidRPr="00775F83">
        <w:rPr>
          <w:rStyle w:val="Heading2Char"/>
          <w:sz w:val="22"/>
          <w:szCs w:val="22"/>
        </w:rPr>
        <w:t xml:space="preserve">Use of </w:t>
      </w:r>
      <w:r w:rsidRPr="00775F83" w:rsidR="00D34B1F">
        <w:rPr>
          <w:rStyle w:val="Heading2Char"/>
          <w:sz w:val="22"/>
          <w:szCs w:val="22"/>
        </w:rPr>
        <w:t>NHIC</w:t>
      </w:r>
      <w:r w:rsidRPr="00775F83">
        <w:rPr>
          <w:rStyle w:val="Heading2Char"/>
          <w:sz w:val="22"/>
          <w:szCs w:val="22"/>
        </w:rPr>
        <w:t xml:space="preserve"> Distribution Payments (if applicable)</w:t>
      </w:r>
    </w:p>
    <w:p w:rsidR="00AF671E" w:rsidP="003E5D0B" w14:paraId="0E48B9F9" w14:textId="6CF17AC2">
      <w:pPr>
        <w:pStyle w:val="ListParagraph"/>
        <w:ind w:left="720" w:firstLine="0"/>
        <w:contextualSpacing/>
      </w:pPr>
      <w:r w:rsidRPr="00775F83">
        <w:t>NHIC</w:t>
      </w:r>
      <w:r w:rsidRPr="00775F83">
        <w:t xml:space="preserve"> Distribution payments may be used for infection control expenses limited to those outlined in the</w:t>
      </w:r>
      <w:r w:rsidRPr="00775F83">
        <w:rPr>
          <w:color w:val="0000FF"/>
          <w:spacing w:val="-12"/>
        </w:rPr>
        <w:t xml:space="preserve"> </w:t>
      </w:r>
      <w:hyperlink r:id="rId12" w:anchor="terms-and-conditions">
        <w:r w:rsidRPr="00775F83">
          <w:rPr>
            <w:color w:val="0000FF"/>
            <w:u w:val="single" w:color="0000FF"/>
          </w:rPr>
          <w:t>Terms</w:t>
        </w:r>
        <w:r w:rsidRPr="00775F83">
          <w:rPr>
            <w:color w:val="0000FF"/>
            <w:spacing w:val="1"/>
            <w:u w:val="single" w:color="0000FF"/>
          </w:rPr>
          <w:t xml:space="preserve"> </w:t>
        </w:r>
        <w:r w:rsidRPr="00775F83">
          <w:rPr>
            <w:color w:val="0000FF"/>
            <w:u w:val="single" w:color="0000FF"/>
          </w:rPr>
          <w:t>and</w:t>
        </w:r>
        <w:r w:rsidRPr="00775F83">
          <w:rPr>
            <w:color w:val="0000FF"/>
            <w:spacing w:val="-9"/>
            <w:u w:val="single" w:color="0000FF"/>
          </w:rPr>
          <w:t xml:space="preserve"> </w:t>
        </w:r>
        <w:r w:rsidRPr="00775F83">
          <w:rPr>
            <w:color w:val="0000FF"/>
            <w:u w:val="single" w:color="0000FF"/>
          </w:rPr>
          <w:t>Conditions</w:t>
        </w:r>
        <w:r w:rsidRPr="00775F83">
          <w:rPr>
            <w:color w:val="0000FF"/>
            <w:spacing w:val="2"/>
          </w:rPr>
          <w:t xml:space="preserve"> </w:t>
        </w:r>
      </w:hyperlink>
      <w:r w:rsidRPr="00775F83">
        <w:t>as follows:</w:t>
      </w:r>
    </w:p>
    <w:p w:rsidR="002A602B" w:rsidP="00390CDC" w14:paraId="1BA5303E" w14:textId="09CCF7A4">
      <w:pPr>
        <w:contextualSpacing/>
      </w:pPr>
    </w:p>
    <w:p w:rsidR="00AF671E" w:rsidRPr="00775F83" w:rsidP="002513AB" w14:paraId="17134945" w14:textId="590122E9">
      <w:pPr>
        <w:pStyle w:val="ListParagraph"/>
        <w:numPr>
          <w:ilvl w:val="0"/>
          <w:numId w:val="21"/>
        </w:numPr>
        <w:contextualSpacing/>
      </w:pPr>
      <w:r w:rsidRPr="00775F83">
        <w:t xml:space="preserve">costs associated with administering COVID-19 </w:t>
      </w:r>
      <w:r w:rsidRPr="00775F83">
        <w:t>testing;</w:t>
      </w:r>
    </w:p>
    <w:p w:rsidR="00AF671E" w:rsidRPr="00775F83" w:rsidP="002513AB" w14:paraId="59EE9E4D" w14:textId="77777777">
      <w:pPr>
        <w:pStyle w:val="ListParagraph"/>
        <w:numPr>
          <w:ilvl w:val="0"/>
          <w:numId w:val="21"/>
        </w:numPr>
        <w:contextualSpacing/>
      </w:pPr>
      <w:r w:rsidRPr="00775F83">
        <w:t xml:space="preserve">reporting COVID-19 test results to local, state, or federal </w:t>
      </w:r>
      <w:r w:rsidRPr="00775F83">
        <w:t>governments;</w:t>
      </w:r>
    </w:p>
    <w:p w:rsidR="00AF671E" w:rsidRPr="00775F83" w:rsidP="002513AB" w14:paraId="323BDFB1" w14:textId="77777777">
      <w:pPr>
        <w:pStyle w:val="ListParagraph"/>
        <w:numPr>
          <w:ilvl w:val="0"/>
          <w:numId w:val="21"/>
        </w:numPr>
        <w:contextualSpacing/>
      </w:pPr>
      <w:r w:rsidRPr="00775F83">
        <w:t xml:space="preserve">hiring staff to provide patient care or administrative </w:t>
      </w:r>
      <w:r w:rsidRPr="00775F83">
        <w:t>support;</w:t>
      </w:r>
    </w:p>
    <w:p w:rsidR="00AF671E" w:rsidRPr="00775F83" w:rsidP="002513AB" w14:paraId="3E015C79" w14:textId="77777777">
      <w:pPr>
        <w:pStyle w:val="ListParagraph"/>
        <w:numPr>
          <w:ilvl w:val="0"/>
          <w:numId w:val="21"/>
        </w:numPr>
        <w:contextualSpacing/>
      </w:pPr>
      <w:r w:rsidRPr="00775F83">
        <w:t xml:space="preserve">providing additional services to residents; </w:t>
      </w:r>
      <w:r w:rsidRPr="00775F83">
        <w:rPr>
          <w:spacing w:val="-5"/>
        </w:rPr>
        <w:t>or</w:t>
      </w:r>
      <w:r w:rsidRPr="00775F83">
        <w:t xml:space="preserve"> </w:t>
      </w:r>
    </w:p>
    <w:p w:rsidR="003E5D0B" w:rsidRPr="00775F83" w:rsidP="003E5D0B" w14:paraId="14C7AB3D" w14:textId="77777777">
      <w:pPr>
        <w:pStyle w:val="ListParagraph"/>
        <w:numPr>
          <w:ilvl w:val="0"/>
          <w:numId w:val="21"/>
        </w:numPr>
        <w:contextualSpacing/>
      </w:pPr>
      <w:r w:rsidRPr="00775F83">
        <w:t>other expense</w:t>
      </w:r>
      <w:r w:rsidRPr="00775F83">
        <w:rPr>
          <w:spacing w:val="10"/>
        </w:rPr>
        <w:t>s</w:t>
      </w:r>
      <w:r w:rsidRPr="00775F83">
        <w:t xml:space="preserve"> incurre</w:t>
      </w:r>
      <w:r w:rsidRPr="00775F83">
        <w:rPr>
          <w:spacing w:val="-2"/>
        </w:rPr>
        <w:t>d</w:t>
      </w:r>
      <w:r w:rsidRPr="00775F83">
        <w:t xml:space="preserve"> t</w:t>
      </w:r>
      <w:r w:rsidRPr="00775F83">
        <w:rPr>
          <w:spacing w:val="-1"/>
        </w:rPr>
        <w:t>o</w:t>
      </w:r>
      <w:r w:rsidRPr="00775F83">
        <w:t xml:space="preserve"> improv</w:t>
      </w:r>
      <w:r w:rsidRPr="00775F83">
        <w:rPr>
          <w:spacing w:val="-4"/>
        </w:rPr>
        <w:t>e</w:t>
      </w:r>
      <w:r w:rsidRPr="00775F83">
        <w:t xml:space="preserve"> infectio</w:t>
      </w:r>
      <w:r w:rsidRPr="00775F83">
        <w:rPr>
          <w:spacing w:val="-1"/>
        </w:rPr>
        <w:t>n</w:t>
      </w:r>
      <w:r w:rsidRPr="00775F83">
        <w:t xml:space="preserve"> control.</w:t>
      </w:r>
    </w:p>
    <w:p w:rsidR="003E5D0B" w:rsidRPr="00775F83" w:rsidP="00390CDC" w14:paraId="33339D22" w14:textId="77777777">
      <w:pPr>
        <w:ind w:left="720"/>
        <w:contextualSpacing/>
      </w:pPr>
    </w:p>
    <w:p w:rsidR="003E5D0B" w:rsidRPr="00775F83" w:rsidP="003E5D0B" w14:paraId="13544803" w14:textId="1FFFC3FA">
      <w:pPr>
        <w:ind w:left="720"/>
        <w:contextualSpacing/>
      </w:pPr>
      <w:r w:rsidRPr="00775F83">
        <w:t xml:space="preserve">Expenses that </w:t>
      </w:r>
      <w:r w:rsidRPr="00775F83" w:rsidR="004048F0">
        <w:t>reporting entiti</w:t>
      </w:r>
      <w:r w:rsidRPr="00775F83" w:rsidR="008E41BB">
        <w:t>e</w:t>
      </w:r>
      <w:r w:rsidRPr="00775F83" w:rsidR="004048F0">
        <w:t>s</w:t>
      </w:r>
      <w:r w:rsidRPr="00775F83">
        <w:t xml:space="preserve"> paid with </w:t>
      </w:r>
      <w:r w:rsidRPr="00775F83" w:rsidR="00D34B1F">
        <w:t>NHIC</w:t>
      </w:r>
      <w:r w:rsidRPr="00775F83">
        <w:t xml:space="preserve"> Distribution payments must be those that</w:t>
      </w:r>
      <w:r w:rsidRPr="00775F83" w:rsidR="004048F0">
        <w:t xml:space="preserve"> other sources do</w:t>
      </w:r>
      <w:r w:rsidRPr="00775F83">
        <w:t xml:space="preserve"> not reimburse and that other sources are not obligated to reimburse. </w:t>
      </w:r>
      <w:r w:rsidRPr="00775F83" w:rsidR="0045330E">
        <w:t xml:space="preserve"> </w:t>
      </w:r>
      <w:r w:rsidRPr="00775F83" w:rsidR="004048F0">
        <w:t>HRSA expects p</w:t>
      </w:r>
      <w:r w:rsidRPr="00775F83">
        <w:t>roviders to follow their basis of accounting when determining applicable expenses.</w:t>
      </w:r>
    </w:p>
    <w:p w:rsidR="003E5D0B" w:rsidRPr="00775F83" w:rsidP="003E5D0B" w14:paraId="04D2D4F5" w14:textId="77777777">
      <w:pPr>
        <w:ind w:left="720"/>
        <w:contextualSpacing/>
      </w:pPr>
    </w:p>
    <w:p w:rsidR="003E5D0B" w:rsidRPr="00775F83" w:rsidP="003E5D0B" w14:paraId="68375BE7" w14:textId="48D9FB9A">
      <w:pPr>
        <w:ind w:left="720"/>
        <w:contextualSpacing/>
      </w:pPr>
      <w:r w:rsidRPr="00775F83">
        <w:t xml:space="preserve">Reporting </w:t>
      </w:r>
      <w:r w:rsidRPr="00775F83" w:rsidR="004048F0">
        <w:t>e</w:t>
      </w:r>
      <w:r w:rsidRPr="00775F83">
        <w:t xml:space="preserve">ntities that received </w:t>
      </w:r>
      <w:r w:rsidR="00311E81">
        <w:t xml:space="preserve">and retained </w:t>
      </w:r>
      <w:r w:rsidRPr="00775F83">
        <w:rPr>
          <w:b/>
          <w:bCs/>
        </w:rPr>
        <w:t xml:space="preserve">between $10,001 and $499,999 in aggregated PRF and ARP Rural payments </w:t>
      </w:r>
      <w:r w:rsidRPr="00775F83">
        <w:t>during each Payment Received Period</w:t>
      </w:r>
      <w:r w:rsidRPr="00775F83">
        <w:rPr>
          <w:b/>
          <w:bCs/>
        </w:rPr>
        <w:t xml:space="preserve"> </w:t>
      </w:r>
      <w:r w:rsidRPr="00775F83">
        <w:t>are required to report on the use of these infection control payments in two categories</w:t>
      </w:r>
      <w:r w:rsidRPr="00775F83">
        <w:t xml:space="preserve">: </w:t>
      </w:r>
      <w:r w:rsidRPr="00775F83" w:rsidR="004048F0">
        <w:t xml:space="preserve"> </w:t>
      </w:r>
      <w:r w:rsidRPr="00775F83">
        <w:t>(</w:t>
      </w:r>
      <w:r w:rsidRPr="00775F83">
        <w:t xml:space="preserve">1) General and Administrative Expenses and (2) Health Care-Related Expenses. </w:t>
      </w:r>
      <w:r w:rsidRPr="00775F83" w:rsidR="004048F0">
        <w:t xml:space="preserve"> </w:t>
      </w:r>
      <w:r w:rsidRPr="00775F83">
        <w:t xml:space="preserve">Although </w:t>
      </w:r>
      <w:r w:rsidRPr="00775F83" w:rsidR="004048F0">
        <w:t xml:space="preserve">HRSA does not require </w:t>
      </w:r>
      <w:r w:rsidRPr="00775F83">
        <w:t>the same level of detail, providers may use the expenses categories as a basis for identifying General and Administrative and Health Care</w:t>
      </w:r>
      <w:r w:rsidRPr="00775F83" w:rsidR="002E660D">
        <w:t>-</w:t>
      </w:r>
      <w:r w:rsidRPr="00775F83">
        <w:t>Related expenses.</w:t>
      </w:r>
    </w:p>
    <w:p w:rsidR="003E5D0B" w:rsidRPr="00775F83" w:rsidP="003E5D0B" w14:paraId="1F865D54" w14:textId="77777777">
      <w:pPr>
        <w:ind w:left="720"/>
        <w:contextualSpacing/>
      </w:pPr>
    </w:p>
    <w:p w:rsidR="00474C2B" w:rsidRPr="00775F83" w:rsidP="003E5D0B" w14:paraId="18BE6B0E" w14:textId="033AED12">
      <w:pPr>
        <w:ind w:left="720"/>
        <w:contextualSpacing/>
      </w:pPr>
      <w:r w:rsidRPr="00775F83">
        <w:t xml:space="preserve">Reporting </w:t>
      </w:r>
      <w:r w:rsidRPr="00775F83" w:rsidR="004048F0">
        <w:t>e</w:t>
      </w:r>
      <w:r w:rsidRPr="00775F83">
        <w:t xml:space="preserve">ntities that received </w:t>
      </w:r>
      <w:r w:rsidR="00311E81">
        <w:t xml:space="preserve">and retained </w:t>
      </w:r>
      <w:r w:rsidRPr="00775F83">
        <w:rPr>
          <w:b/>
          <w:bCs/>
        </w:rPr>
        <w:t xml:space="preserve">$500,000 or more in aggregated PRF and ARP Rural payments </w:t>
      </w:r>
      <w:r w:rsidRPr="00775F83">
        <w:t>during each Payment Received Period are required to report on the use of these infection control payments in greater detail than the two categories of General and Administrative Expenses and Health Care-Related Expenses, according to the following sub-categories of expenses:</w:t>
      </w:r>
    </w:p>
    <w:p w:rsidR="00474C2B" w:rsidRPr="00775F83" w:rsidP="003E5D0B" w14:paraId="7A065C93" w14:textId="77777777">
      <w:pPr>
        <w:pStyle w:val="ListParagraph"/>
        <w:ind w:left="720" w:firstLine="0"/>
        <w:contextualSpacing/>
      </w:pPr>
    </w:p>
    <w:p w:rsidR="00AF671E" w:rsidRPr="00775F83" w:rsidP="003E5D0B" w14:paraId="71CB06F1" w14:textId="60A00AF0">
      <w:pPr>
        <w:pStyle w:val="ListParagraph"/>
        <w:tabs>
          <w:tab w:val="left" w:pos="550"/>
        </w:tabs>
        <w:ind w:left="720" w:firstLine="0"/>
        <w:contextualSpacing/>
      </w:pPr>
      <w:r w:rsidRPr="00775F83">
        <w:rPr>
          <w:b/>
        </w:rPr>
        <w:t>General</w:t>
      </w:r>
      <w:r w:rsidRPr="00775F83">
        <w:rPr>
          <w:b/>
          <w:spacing w:val="2"/>
        </w:rPr>
        <w:t xml:space="preserve"> </w:t>
      </w:r>
      <w:r w:rsidRPr="00775F83">
        <w:rPr>
          <w:b/>
        </w:rPr>
        <w:t>and</w:t>
      </w:r>
      <w:r w:rsidRPr="00775F83">
        <w:rPr>
          <w:b/>
          <w:spacing w:val="-14"/>
        </w:rPr>
        <w:t xml:space="preserve"> </w:t>
      </w:r>
      <w:r w:rsidRPr="00775F83">
        <w:rPr>
          <w:b/>
        </w:rPr>
        <w:t>Administrative</w:t>
      </w:r>
      <w:r w:rsidRPr="00775F83">
        <w:rPr>
          <w:b/>
          <w:spacing w:val="-4"/>
        </w:rPr>
        <w:t xml:space="preserve"> </w:t>
      </w:r>
      <w:r w:rsidRPr="00775F83">
        <w:rPr>
          <w:b/>
        </w:rPr>
        <w:t>Expenses</w:t>
      </w:r>
      <w:r w:rsidRPr="00775F83">
        <w:rPr>
          <w:b/>
          <w:spacing w:val="-8"/>
        </w:rPr>
        <w:t xml:space="preserve"> </w:t>
      </w:r>
      <w:r w:rsidRPr="00775F83">
        <w:rPr>
          <w:b/>
        </w:rPr>
        <w:t>for</w:t>
      </w:r>
      <w:r w:rsidRPr="00775F83">
        <w:rPr>
          <w:b/>
          <w:spacing w:val="-3"/>
        </w:rPr>
        <w:t xml:space="preserve"> </w:t>
      </w:r>
      <w:r w:rsidRPr="00775F83" w:rsidR="00D34B1F">
        <w:rPr>
          <w:b/>
        </w:rPr>
        <w:t>NHIC</w:t>
      </w:r>
      <w:r w:rsidRPr="00775F83">
        <w:rPr>
          <w:b/>
          <w:spacing w:val="3"/>
        </w:rPr>
        <w:t xml:space="preserve"> </w:t>
      </w:r>
      <w:r w:rsidRPr="00775F83">
        <w:rPr>
          <w:b/>
        </w:rPr>
        <w:t>Distribution</w:t>
      </w:r>
      <w:r w:rsidRPr="00775F83">
        <w:rPr>
          <w:b/>
          <w:spacing w:val="-14"/>
        </w:rPr>
        <w:t xml:space="preserve"> </w:t>
      </w:r>
      <w:r w:rsidRPr="00775F83">
        <w:rPr>
          <w:b/>
        </w:rPr>
        <w:t>Payments</w:t>
      </w:r>
    </w:p>
    <w:p w:rsidR="00AF671E" w:rsidRPr="00775F83" w:rsidP="002513AB" w14:paraId="14D62F22" w14:textId="676B48EE">
      <w:pPr>
        <w:pStyle w:val="ListParagraph"/>
        <w:numPr>
          <w:ilvl w:val="0"/>
          <w:numId w:val="19"/>
        </w:numPr>
        <w:contextualSpacing/>
      </w:pPr>
      <w:r w:rsidRPr="00775F83">
        <w:rPr>
          <w:b/>
          <w:bCs/>
        </w:rPr>
        <w:t>Mortgage/Rent:</w:t>
      </w:r>
      <w:r w:rsidRPr="00775F83">
        <w:rPr>
          <w:b/>
          <w:bCs/>
          <w:spacing w:val="1"/>
        </w:rPr>
        <w:t xml:space="preserve"> </w:t>
      </w:r>
      <w:r w:rsidRPr="00775F83" w:rsidR="004C7605">
        <w:rPr>
          <w:spacing w:val="1"/>
        </w:rPr>
        <w:t xml:space="preserve"> </w:t>
      </w:r>
      <w:r w:rsidRPr="00775F83">
        <w:t>Payments related to mortgage or rent for a facility specifically for infection control.</w:t>
      </w:r>
    </w:p>
    <w:p w:rsidR="00AF671E" w:rsidRPr="00775F83" w:rsidP="002513AB" w14:paraId="77DAEE42" w14:textId="19D9CF5E">
      <w:pPr>
        <w:pStyle w:val="ListParagraph"/>
        <w:numPr>
          <w:ilvl w:val="0"/>
          <w:numId w:val="19"/>
        </w:numPr>
        <w:contextualSpacing/>
      </w:pPr>
      <w:r w:rsidRPr="00775F83">
        <w:rPr>
          <w:b/>
          <w:bCs/>
        </w:rPr>
        <w:t>Insurance:</w:t>
      </w:r>
      <w:r w:rsidRPr="00775F83" w:rsidR="004C7605">
        <w:t xml:space="preserve"> </w:t>
      </w:r>
      <w:r w:rsidRPr="00775F83">
        <w:t xml:space="preserve"> Premiums paid for property, malpractice, business insurance, or other insurance relevant to operations for infection control.</w:t>
      </w:r>
    </w:p>
    <w:p w:rsidR="007D437A" w:rsidRPr="00775F83" w:rsidP="00783853" w14:paraId="54BEF33C" w14:textId="4450A163">
      <w:pPr>
        <w:pStyle w:val="ListParagraph"/>
        <w:numPr>
          <w:ilvl w:val="0"/>
          <w:numId w:val="19"/>
        </w:numPr>
        <w:contextualSpacing/>
      </w:pPr>
      <w:r w:rsidRPr="00775F83">
        <w:rPr>
          <w:b/>
          <w:bCs/>
        </w:rPr>
        <w:t>Personnel:</w:t>
      </w:r>
      <w:r w:rsidRPr="00775F83">
        <w:t xml:space="preserve"> </w:t>
      </w:r>
      <w:r w:rsidRPr="00775F83" w:rsidR="004C7605">
        <w:t xml:space="preserve"> </w:t>
      </w:r>
      <w:r w:rsidRPr="00775F83">
        <w:t xml:space="preserve">Workforce-related expenses as outlined in the </w:t>
      </w:r>
      <w:hyperlink r:id="rId12" w:anchor="terms-and-conditions" w:history="1">
        <w:r w:rsidRPr="00775F83" w:rsidR="00587A1C">
          <w:rPr>
            <w:rStyle w:val="Hyperlink"/>
          </w:rPr>
          <w:t>Terms and Conditions</w:t>
        </w:r>
      </w:hyperlink>
      <w:r w:rsidRPr="00775F83" w:rsidR="00587A1C">
        <w:t xml:space="preserve"> </w:t>
      </w:r>
      <w:r w:rsidRPr="00775F83">
        <w:t>such as personnel costs associated with administering COVID-19 testing; reporting COVID-19 test results to local, state, or federal governments; hiring staff to provide patient care or administrative support; providing additional services to residents; workforce training; and mentorship programs to improve infection control; or other personnel costs incurred for infection control.</w:t>
      </w:r>
      <w:r w:rsidRPr="00775F83" w:rsidR="004C7605">
        <w:t xml:space="preserve"> </w:t>
      </w:r>
      <w:r w:rsidRPr="00775F83">
        <w:t xml:space="preserve"> Staffing, including temporary employee or contractor payroll and overhead employees, is included.</w:t>
      </w:r>
    </w:p>
    <w:p w:rsidR="00AF671E" w:rsidRPr="00775F83" w:rsidP="00783853" w14:paraId="28053ACE" w14:textId="577D628A">
      <w:pPr>
        <w:pStyle w:val="ListParagraph"/>
        <w:numPr>
          <w:ilvl w:val="0"/>
          <w:numId w:val="19"/>
        </w:numPr>
        <w:contextualSpacing/>
      </w:pPr>
      <w:r w:rsidRPr="00775F83">
        <w:rPr>
          <w:b/>
          <w:bCs/>
        </w:rPr>
        <w:t>Fringe Benefits:</w:t>
      </w:r>
      <w:r w:rsidRPr="00775F83">
        <w:t xml:space="preserve"> </w:t>
      </w:r>
      <w:r w:rsidRPr="00775F83" w:rsidR="004C7605">
        <w:t xml:space="preserve"> </w:t>
      </w:r>
      <w:r w:rsidRPr="00775F83">
        <w:t xml:space="preserve">Extra benefits supplementing an employee’s salary, which may include hazard pay, travel reimbursement, and employee health insurance. </w:t>
      </w:r>
      <w:r w:rsidRPr="00775F83" w:rsidR="004C7605">
        <w:t xml:space="preserve"> </w:t>
      </w:r>
      <w:r w:rsidRPr="00775F83">
        <w:t>May only be charged in proportion to salary costs for infection control.</w:t>
      </w:r>
    </w:p>
    <w:p w:rsidR="00AF671E" w:rsidRPr="00775F83" w:rsidP="002513AB" w14:paraId="6BADBF82" w14:textId="2123B115">
      <w:pPr>
        <w:pStyle w:val="ListParagraph"/>
        <w:numPr>
          <w:ilvl w:val="0"/>
          <w:numId w:val="19"/>
        </w:numPr>
        <w:contextualSpacing/>
      </w:pPr>
      <w:r w:rsidRPr="00775F83">
        <w:rPr>
          <w:b/>
          <w:bCs/>
        </w:rPr>
        <w:t>Lease</w:t>
      </w:r>
      <w:r w:rsidRPr="00775F83">
        <w:rPr>
          <w:b/>
          <w:bCs/>
          <w:spacing w:val="9"/>
        </w:rPr>
        <w:t xml:space="preserve"> </w:t>
      </w:r>
      <w:r w:rsidRPr="00775F83">
        <w:rPr>
          <w:b/>
          <w:bCs/>
        </w:rPr>
        <w:t>Payments:</w:t>
      </w:r>
      <w:r w:rsidRPr="00775F83">
        <w:rPr>
          <w:spacing w:val="3"/>
        </w:rPr>
        <w:t xml:space="preserve"> </w:t>
      </w:r>
      <w:r w:rsidRPr="00775F83" w:rsidR="004C7605">
        <w:t xml:space="preserve"> </w:t>
      </w:r>
      <w:r w:rsidRPr="00775F83">
        <w:t>New equipment or software leases, fleet cars, and medical equipment that is not purchased and will be returned to its owner, so long as it is used for infection control.</w:t>
      </w:r>
    </w:p>
    <w:p w:rsidR="00AF671E" w:rsidRPr="00775F83" w:rsidP="004C7605" w14:paraId="0398D3CB" w14:textId="6D96227A">
      <w:pPr>
        <w:pStyle w:val="ListParagraph"/>
        <w:numPr>
          <w:ilvl w:val="0"/>
          <w:numId w:val="19"/>
        </w:numPr>
        <w:contextualSpacing/>
      </w:pPr>
      <w:r w:rsidRPr="00775F83">
        <w:rPr>
          <w:b/>
          <w:bCs/>
        </w:rPr>
        <w:t>Utilities/Operations:</w:t>
      </w:r>
      <w:r w:rsidRPr="00775F83">
        <w:t xml:space="preserve"> </w:t>
      </w:r>
      <w:r w:rsidRPr="00775F83" w:rsidR="004C7605">
        <w:t xml:space="preserve"> </w:t>
      </w:r>
      <w:r w:rsidRPr="00775F83">
        <w:t>Lighting, cooling/ventilation, cleaning, or additional third</w:t>
      </w:r>
      <w:r w:rsidRPr="00775F83" w:rsidR="002D5ABE">
        <w:t>-</w:t>
      </w:r>
      <w:r w:rsidRPr="00775F83">
        <w:t>party vendor services not included in the “Personnel” sub-category and whose purpose is for infection control.</w:t>
      </w:r>
    </w:p>
    <w:p w:rsidR="003E5D0B" w:rsidRPr="00775F83" w:rsidP="003E5D0B" w14:paraId="719CC11D" w14:textId="714D2B1F">
      <w:pPr>
        <w:pStyle w:val="ListParagraph"/>
        <w:numPr>
          <w:ilvl w:val="0"/>
          <w:numId w:val="19"/>
        </w:numPr>
        <w:contextualSpacing/>
        <w:jc w:val="both"/>
      </w:pPr>
      <w:r w:rsidRPr="00775F83">
        <w:rPr>
          <w:b/>
          <w:bCs/>
        </w:rPr>
        <w:t>Other General and Administrative Expenses:</w:t>
      </w:r>
      <w:r w:rsidRPr="00775F83" w:rsidR="004C7605">
        <w:t xml:space="preserve"> </w:t>
      </w:r>
      <w:r w:rsidRPr="00775F83">
        <w:t xml:space="preserve"> Expenses not captured above that are for infection control and generally considered part of general and administrative expenses.</w:t>
      </w:r>
    </w:p>
    <w:p w:rsidR="003E5D0B" w:rsidRPr="00775F83" w:rsidP="003E5D0B" w14:paraId="32CC2E6B" w14:textId="77777777">
      <w:pPr>
        <w:pStyle w:val="ListParagraph"/>
        <w:tabs>
          <w:tab w:val="left" w:pos="550"/>
        </w:tabs>
        <w:ind w:left="720" w:firstLine="0"/>
        <w:contextualSpacing/>
        <w:rPr>
          <w:b/>
        </w:rPr>
      </w:pPr>
    </w:p>
    <w:p w:rsidR="00AF671E" w:rsidRPr="00775F83" w:rsidP="003E5D0B" w14:paraId="6C8B70D8" w14:textId="004E2ADB">
      <w:pPr>
        <w:pStyle w:val="ListParagraph"/>
        <w:tabs>
          <w:tab w:val="left" w:pos="550"/>
        </w:tabs>
        <w:ind w:left="720" w:firstLine="0"/>
        <w:contextualSpacing/>
      </w:pPr>
      <w:r w:rsidRPr="00775F83">
        <w:rPr>
          <w:b/>
        </w:rPr>
        <w:t>Health</w:t>
      </w:r>
      <w:r w:rsidRPr="00775F83">
        <w:rPr>
          <w:b/>
          <w:spacing w:val="8"/>
        </w:rPr>
        <w:t xml:space="preserve"> </w:t>
      </w:r>
      <w:r w:rsidRPr="00775F83">
        <w:rPr>
          <w:b/>
        </w:rPr>
        <w:t>Care-Related</w:t>
      </w:r>
      <w:r w:rsidRPr="00775F83">
        <w:rPr>
          <w:b/>
          <w:spacing w:val="-11"/>
        </w:rPr>
        <w:t xml:space="preserve"> </w:t>
      </w:r>
      <w:r w:rsidRPr="00775F83">
        <w:rPr>
          <w:b/>
        </w:rPr>
        <w:t>Expenses</w:t>
      </w:r>
      <w:r w:rsidRPr="00775F83">
        <w:rPr>
          <w:b/>
          <w:spacing w:val="-5"/>
        </w:rPr>
        <w:t xml:space="preserve"> </w:t>
      </w:r>
      <w:r w:rsidRPr="00775F83">
        <w:rPr>
          <w:b/>
        </w:rPr>
        <w:t>for</w:t>
      </w:r>
      <w:r w:rsidRPr="00775F83">
        <w:rPr>
          <w:b/>
          <w:spacing w:val="1"/>
        </w:rPr>
        <w:t xml:space="preserve"> </w:t>
      </w:r>
      <w:r w:rsidRPr="00775F83" w:rsidR="00D34B1F">
        <w:rPr>
          <w:b/>
        </w:rPr>
        <w:t>NHIC</w:t>
      </w:r>
      <w:r w:rsidRPr="00775F83">
        <w:rPr>
          <w:b/>
          <w:spacing w:val="6"/>
        </w:rPr>
        <w:t xml:space="preserve"> </w:t>
      </w:r>
      <w:r w:rsidRPr="00775F83">
        <w:rPr>
          <w:b/>
        </w:rPr>
        <w:t>Distribution</w:t>
      </w:r>
      <w:r w:rsidRPr="00775F83">
        <w:rPr>
          <w:b/>
          <w:spacing w:val="9"/>
        </w:rPr>
        <w:t xml:space="preserve"> </w:t>
      </w:r>
      <w:r w:rsidRPr="00775F83">
        <w:rPr>
          <w:b/>
        </w:rPr>
        <w:t>Payments</w:t>
      </w:r>
    </w:p>
    <w:p w:rsidR="00AF671E" w:rsidRPr="00775F83" w:rsidP="002513AB" w14:paraId="3C750262" w14:textId="7FF96F20">
      <w:pPr>
        <w:pStyle w:val="ListParagraph"/>
        <w:numPr>
          <w:ilvl w:val="0"/>
          <w:numId w:val="20"/>
        </w:numPr>
        <w:contextualSpacing/>
      </w:pPr>
      <w:r w:rsidRPr="00775F83">
        <w:rPr>
          <w:b/>
          <w:bCs/>
        </w:rPr>
        <w:t>Supplies:</w:t>
      </w:r>
      <w:r w:rsidRPr="00775F83" w:rsidR="004C7605">
        <w:t xml:space="preserve"> </w:t>
      </w:r>
      <w:r w:rsidRPr="00775F83">
        <w:t xml:space="preserve"> Expenses paid for purchase of supplies (e.g., single use or reusable patient care devices, cleaning supplies, office supplies, etc.) used for the purpose of infection control during the period of performance. </w:t>
      </w:r>
      <w:r w:rsidRPr="00775F83" w:rsidR="004C7605">
        <w:t xml:space="preserve"> </w:t>
      </w:r>
      <w:r w:rsidRPr="00775F83">
        <w:t>Such items may include PPE, hand sanitizer, and supplies for patient or staff COVID-19 testing, or expenses associated with distribution of a COVID-19 vaccine licensed or authorized by the Food and Drug Administration.</w:t>
      </w:r>
    </w:p>
    <w:p w:rsidR="00AF671E" w:rsidRPr="00775F83" w:rsidP="002513AB" w14:paraId="6FE94370" w14:textId="46908831">
      <w:pPr>
        <w:pStyle w:val="ListParagraph"/>
        <w:numPr>
          <w:ilvl w:val="0"/>
          <w:numId w:val="20"/>
        </w:numPr>
        <w:contextualSpacing/>
      </w:pPr>
      <w:r w:rsidRPr="00775F83">
        <w:rPr>
          <w:b/>
          <w:bCs/>
        </w:rPr>
        <w:t>Equipment:</w:t>
      </w:r>
      <w:r w:rsidRPr="00775F83">
        <w:t xml:space="preserve"> </w:t>
      </w:r>
      <w:r w:rsidRPr="00775F83" w:rsidR="004C7605">
        <w:t xml:space="preserve"> </w:t>
      </w:r>
      <w:r w:rsidRPr="00775F83">
        <w:t>Expenses paid for purchase of equipment used for infection control, such as updates to HVAC systems or sanitizing equipment.</w:t>
      </w:r>
    </w:p>
    <w:p w:rsidR="00AF671E" w:rsidRPr="00775F83" w:rsidP="002513AB" w14:paraId="62CD17B9" w14:textId="050C99BC">
      <w:pPr>
        <w:pStyle w:val="ListParagraph"/>
        <w:numPr>
          <w:ilvl w:val="0"/>
          <w:numId w:val="20"/>
        </w:numPr>
        <w:contextualSpacing/>
      </w:pPr>
      <w:r w:rsidRPr="00775F83">
        <w:rPr>
          <w:b/>
          <w:bCs/>
        </w:rPr>
        <w:t>IT:</w:t>
      </w:r>
      <w:r w:rsidRPr="00775F83">
        <w:t xml:space="preserve"> </w:t>
      </w:r>
      <w:r w:rsidRPr="00775F83" w:rsidR="004C7605">
        <w:t xml:space="preserve"> </w:t>
      </w:r>
      <w:r w:rsidRPr="00775F83">
        <w:t xml:space="preserve">Expenses paid for IT or interoperability systems to expand or preserve infection control during </w:t>
      </w:r>
      <w:r w:rsidRPr="00775F83">
        <w:t>the reporting period, such as telehealth infrastructure, increased bandwidth, technology that permits residents to connect with their families, and teleworking to support remote workforce.</w:t>
      </w:r>
    </w:p>
    <w:p w:rsidR="00AF671E" w:rsidRPr="00775F83" w:rsidP="002513AB" w14:paraId="7113EDBE" w14:textId="36775E4B">
      <w:pPr>
        <w:pStyle w:val="ListParagraph"/>
        <w:numPr>
          <w:ilvl w:val="0"/>
          <w:numId w:val="20"/>
        </w:numPr>
        <w:contextualSpacing/>
      </w:pPr>
      <w:r w:rsidRPr="00775F83">
        <w:rPr>
          <w:b/>
          <w:bCs/>
          <w:spacing w:val="-1"/>
        </w:rPr>
        <w:t>Facilities</w:t>
      </w:r>
      <w:r w:rsidRPr="00775F83">
        <w:rPr>
          <w:b/>
          <w:bCs/>
        </w:rPr>
        <w:t>:</w:t>
      </w:r>
      <w:r w:rsidRPr="00775F83">
        <w:t xml:space="preserve"> </w:t>
      </w:r>
      <w:r w:rsidRPr="00775F83" w:rsidR="004C7605">
        <w:t xml:space="preserve"> </w:t>
      </w:r>
      <w:r w:rsidRPr="00775F83">
        <w:t>Expenses such as lease or purchase of permanent or temporary structures, or to retrofit facilities to accommodate revised patient treatment practices to support infection control during the period of performance.</w:t>
      </w:r>
    </w:p>
    <w:p w:rsidR="00AF671E" w:rsidRPr="00775F83" w:rsidP="002513AB" w14:paraId="2494948D" w14:textId="1C693479">
      <w:pPr>
        <w:pStyle w:val="ListParagraph"/>
        <w:numPr>
          <w:ilvl w:val="0"/>
          <w:numId w:val="20"/>
        </w:numPr>
        <w:contextualSpacing/>
      </w:pPr>
      <w:r w:rsidRPr="00775F83">
        <w:rPr>
          <w:b/>
          <w:bCs/>
        </w:rPr>
        <w:t>Other Health Care-Related Expenses:</w:t>
      </w:r>
      <w:r w:rsidRPr="00775F83" w:rsidR="004C7605">
        <w:t xml:space="preserve"> </w:t>
      </w:r>
      <w:r w:rsidRPr="00775F83">
        <w:t xml:space="preserve"> Expenses not captured above that are for infection control and are health care-related expenses.</w:t>
      </w:r>
    </w:p>
    <w:p w:rsidR="00810895" w:rsidRPr="00775F83" w:rsidP="00AC38E6" w14:paraId="5AFAE5AC" w14:textId="77777777">
      <w:pPr>
        <w:pStyle w:val="BodyText"/>
        <w:spacing w:before="7"/>
        <w:contextualSpacing/>
      </w:pPr>
    </w:p>
    <w:p w:rsidR="00E526BB" w:rsidRPr="00775F83" w:rsidP="003E5D0B" w14:paraId="43A66362" w14:textId="77777777">
      <w:pPr>
        <w:pStyle w:val="ListParagraph"/>
        <w:numPr>
          <w:ilvl w:val="0"/>
          <w:numId w:val="8"/>
        </w:numPr>
        <w:ind w:left="720" w:hanging="360"/>
        <w:contextualSpacing/>
      </w:pPr>
      <w:r w:rsidRPr="00775F83">
        <w:rPr>
          <w:b/>
          <w:bCs/>
        </w:rPr>
        <w:t xml:space="preserve">Use of </w:t>
      </w:r>
      <w:r w:rsidRPr="00775F83" w:rsidR="00A75607">
        <w:rPr>
          <w:b/>
          <w:bCs/>
        </w:rPr>
        <w:t xml:space="preserve">PRF </w:t>
      </w:r>
      <w:r w:rsidRPr="00775F83">
        <w:rPr>
          <w:b/>
          <w:bCs/>
        </w:rPr>
        <w:t xml:space="preserve">General and Other Targeted Distribution </w:t>
      </w:r>
      <w:r w:rsidRPr="00775F83" w:rsidR="001267F2">
        <w:rPr>
          <w:b/>
          <w:bCs/>
        </w:rPr>
        <w:t>Payments</w:t>
      </w:r>
      <w:r w:rsidRPr="00775F83" w:rsidR="00FE6701">
        <w:rPr>
          <w:b/>
          <w:bCs/>
        </w:rPr>
        <w:t xml:space="preserve"> on Eligible Expenses</w:t>
      </w:r>
    </w:p>
    <w:p w:rsidR="00474C2B" w:rsidRPr="00775F83" w:rsidP="003E5D0B" w14:paraId="42B75869" w14:textId="60F162AD">
      <w:pPr>
        <w:pStyle w:val="ListParagraph"/>
        <w:ind w:left="720" w:firstLine="0"/>
        <w:contextualSpacing/>
      </w:pPr>
      <w:r w:rsidRPr="00775F83">
        <w:t xml:space="preserve">This section explains reporting for General and Targeted </w:t>
      </w:r>
      <w:r w:rsidRPr="00775F83" w:rsidR="00AF4E7E">
        <w:t xml:space="preserve">Distribution </w:t>
      </w:r>
      <w:r w:rsidRPr="00775F83">
        <w:t xml:space="preserve">PRF payments excluding </w:t>
      </w:r>
      <w:r w:rsidRPr="00775F83" w:rsidR="00D34B1F">
        <w:t>NHIC</w:t>
      </w:r>
      <w:r w:rsidRPr="00775F83">
        <w:t xml:space="preserve"> Distribution payments</w:t>
      </w:r>
      <w:r w:rsidRPr="00775F83" w:rsidR="009C107F">
        <w:t xml:space="preserve"> (refer to </w:t>
      </w:r>
      <w:r w:rsidRPr="00775F83">
        <w:t xml:space="preserve">Section </w:t>
      </w:r>
      <w:r w:rsidRPr="00775F83" w:rsidR="00CA5BD3">
        <w:t>10</w:t>
      </w:r>
      <w:r w:rsidRPr="00775F83" w:rsidR="00891859">
        <w:t xml:space="preserve"> above</w:t>
      </w:r>
      <w:r w:rsidRPr="00775F83" w:rsidR="00AF4E7E">
        <w:t>)</w:t>
      </w:r>
      <w:r w:rsidRPr="00775F83">
        <w:t xml:space="preserve">. </w:t>
      </w:r>
      <w:r w:rsidRPr="00775F83" w:rsidR="006A099B">
        <w:t xml:space="preserve"> </w:t>
      </w:r>
      <w:r w:rsidRPr="00775F83" w:rsidR="00473190">
        <w:t xml:space="preserve">Expenses that </w:t>
      </w:r>
      <w:r w:rsidRPr="00775F83" w:rsidR="006A099B">
        <w:t>reporting entit</w:t>
      </w:r>
      <w:r w:rsidRPr="00775F83" w:rsidR="00D5415E">
        <w:t>ies</w:t>
      </w:r>
      <w:r w:rsidRPr="00775F83" w:rsidR="00473190">
        <w:t xml:space="preserve"> paid with PRF payments must be those that are unreimbursed by other sources and that other sources are not obligated to reimburse</w:t>
      </w:r>
      <w:r w:rsidRPr="00775F83" w:rsidR="00F50BE3">
        <w:t xml:space="preserve">. </w:t>
      </w:r>
      <w:r w:rsidRPr="00775F83" w:rsidR="006A099B">
        <w:t xml:space="preserve"> </w:t>
      </w:r>
      <w:r w:rsidRPr="00775F83" w:rsidR="004E5EC2">
        <w:t xml:space="preserve">Reporting </w:t>
      </w:r>
      <w:r w:rsidRPr="00775F83" w:rsidR="006A099B">
        <w:t>e</w:t>
      </w:r>
      <w:r w:rsidRPr="00775F83" w:rsidR="004E5EC2">
        <w:t xml:space="preserve">ntities that also received an ARP Rural payment must expend the ARP Rural funds on eligible expenses and/or lost revenues attributable to COVID-19 before PRF payments may be used on eligible expenses and/or lost revenues attributable to </w:t>
      </w:r>
      <w:r w:rsidRPr="00775F83" w:rsidR="00EC6F49">
        <w:t>COVID-19</w:t>
      </w:r>
      <w:r w:rsidRPr="00775F83" w:rsidR="00F50BE3">
        <w:t>.</w:t>
      </w:r>
    </w:p>
    <w:p w:rsidR="00474C2B" w:rsidRPr="00775F83" w:rsidP="003E5D0B" w14:paraId="158B31A8" w14:textId="77777777">
      <w:pPr>
        <w:pStyle w:val="ListParagraph"/>
        <w:ind w:left="720" w:firstLine="0"/>
        <w:contextualSpacing/>
      </w:pPr>
    </w:p>
    <w:p w:rsidR="00474C2B" w:rsidRPr="00775F83" w:rsidP="003E5D0B" w14:paraId="385F09AC" w14:textId="6E22B45C">
      <w:pPr>
        <w:pStyle w:val="ListParagraph"/>
        <w:ind w:left="720" w:firstLine="0"/>
        <w:contextualSpacing/>
      </w:pPr>
      <w:r w:rsidRPr="00775F83">
        <w:t xml:space="preserve">Reporting </w:t>
      </w:r>
      <w:r w:rsidRPr="00775F83" w:rsidR="006A099B">
        <w:t>e</w:t>
      </w:r>
      <w:r w:rsidRPr="00775F83">
        <w:t xml:space="preserve">ntities that received </w:t>
      </w:r>
      <w:r w:rsidR="00311E81">
        <w:t xml:space="preserve">and retained </w:t>
      </w:r>
      <w:r w:rsidRPr="00775F83">
        <w:t xml:space="preserve">between </w:t>
      </w:r>
      <w:r w:rsidRPr="00D72475">
        <w:rPr>
          <w:b/>
        </w:rPr>
        <w:t xml:space="preserve">$10,001 and $499,999 in aggregated PRF </w:t>
      </w:r>
      <w:r w:rsidRPr="00D72475" w:rsidR="0029377A">
        <w:rPr>
          <w:b/>
        </w:rPr>
        <w:t>and ARP Rural</w:t>
      </w:r>
      <w:r w:rsidRPr="00D72475">
        <w:rPr>
          <w:b/>
        </w:rPr>
        <w:t xml:space="preserve"> payments during each Payment Received Period</w:t>
      </w:r>
      <w:r w:rsidRPr="00775F83">
        <w:t xml:space="preserve"> are required to report on the use of General and Other Targeted PRF payments</w:t>
      </w:r>
      <w:r w:rsidRPr="00775F83" w:rsidR="00870C96">
        <w:t>, as well as ARP Rural payments,</w:t>
      </w:r>
      <w:r w:rsidRPr="00775F83">
        <w:t xml:space="preserve"> in two categories</w:t>
      </w:r>
      <w:r w:rsidRPr="00775F83">
        <w:t xml:space="preserve">: </w:t>
      </w:r>
      <w:r w:rsidRPr="00775F83" w:rsidR="006A099B">
        <w:t xml:space="preserve"> </w:t>
      </w:r>
      <w:r w:rsidRPr="00775F83">
        <w:t>(</w:t>
      </w:r>
      <w:r w:rsidRPr="00775F83">
        <w:t>1) General and Administrative Expenses and (2) Health Care-Related Expenses.</w:t>
      </w:r>
    </w:p>
    <w:p w:rsidR="00474C2B" w:rsidRPr="00775F83" w:rsidP="003E5D0B" w14:paraId="53F4178D" w14:textId="77777777">
      <w:pPr>
        <w:pStyle w:val="ListParagraph"/>
        <w:ind w:left="720" w:firstLine="0"/>
        <w:contextualSpacing/>
      </w:pPr>
    </w:p>
    <w:p w:rsidR="00814F7E" w:rsidRPr="00775F83" w:rsidP="00814F7E" w14:paraId="256E76B7" w14:textId="46C31B44">
      <w:pPr>
        <w:pStyle w:val="ListParagraph"/>
        <w:ind w:left="720" w:firstLine="0"/>
        <w:contextualSpacing/>
      </w:pPr>
      <w:r w:rsidRPr="00775F83">
        <w:t xml:space="preserve">Reporting </w:t>
      </w:r>
      <w:r w:rsidRPr="00775F83" w:rsidR="006A099B">
        <w:t>e</w:t>
      </w:r>
      <w:r w:rsidRPr="00775F83">
        <w:t xml:space="preserve">ntities that received </w:t>
      </w:r>
      <w:r w:rsidR="00311E81">
        <w:t xml:space="preserve">and retained </w:t>
      </w:r>
      <w:r w:rsidRPr="00775F83">
        <w:rPr>
          <w:b/>
          <w:bCs/>
        </w:rPr>
        <w:t xml:space="preserve">$500,000 or more in aggregated PRF </w:t>
      </w:r>
      <w:r w:rsidRPr="00775F83" w:rsidR="0029377A">
        <w:rPr>
          <w:b/>
          <w:bCs/>
        </w:rPr>
        <w:t>and ARP Rural</w:t>
      </w:r>
      <w:r w:rsidRPr="00775F83">
        <w:rPr>
          <w:b/>
          <w:bCs/>
        </w:rPr>
        <w:t xml:space="preserve"> payments during each</w:t>
      </w:r>
      <w:r w:rsidRPr="00775F83">
        <w:rPr>
          <w:b/>
          <w:bCs/>
          <w:spacing w:val="1"/>
        </w:rPr>
        <w:t xml:space="preserve"> </w:t>
      </w:r>
      <w:r w:rsidRPr="00775F83">
        <w:rPr>
          <w:b/>
          <w:bCs/>
        </w:rPr>
        <w:t xml:space="preserve">Payment Received Period </w:t>
      </w:r>
      <w:r w:rsidRPr="00775F83">
        <w:t xml:space="preserve">are required to report on the use of these General and Other Targeted </w:t>
      </w:r>
      <w:r w:rsidRPr="00775F83" w:rsidR="00607AD4">
        <w:t xml:space="preserve">Distribution </w:t>
      </w:r>
      <w:r w:rsidRPr="00775F83">
        <w:t>PRF payments</w:t>
      </w:r>
      <w:r w:rsidRPr="00775F83" w:rsidR="00870C96">
        <w:t xml:space="preserve">, </w:t>
      </w:r>
      <w:r w:rsidRPr="00775F83" w:rsidR="00870C96">
        <w:rPr>
          <w:spacing w:val="-1"/>
        </w:rPr>
        <w:t>as well as ARP Rural payments,</w:t>
      </w:r>
      <w:r w:rsidRPr="00775F83">
        <w:t xml:space="preserve"> in greater detail than the two categories of General and Administrative Expenses and Health Care-Related Expenses, according to the following sub- categories of expenses:</w:t>
      </w:r>
      <w:bookmarkStart w:id="25" w:name="General_and_Administrative_Expenses_Attr"/>
      <w:bookmarkEnd w:id="25"/>
    </w:p>
    <w:p w:rsidR="00814F7E" w:rsidRPr="00775F83" w:rsidP="00814F7E" w14:paraId="69CCBF70" w14:textId="77777777">
      <w:pPr>
        <w:pStyle w:val="ListParagraph"/>
        <w:ind w:left="720" w:firstLine="0"/>
        <w:contextualSpacing/>
      </w:pPr>
    </w:p>
    <w:p w:rsidR="004057EF" w:rsidRPr="00775F83" w:rsidP="00814F7E" w14:paraId="47A1C73E" w14:textId="2AF041EF">
      <w:pPr>
        <w:pStyle w:val="ListParagraph"/>
        <w:ind w:left="720" w:firstLine="0"/>
        <w:contextualSpacing/>
      </w:pPr>
      <w:r w:rsidRPr="00775F83">
        <w:rPr>
          <w:b/>
          <w:bCs/>
        </w:rPr>
        <w:t>General</w:t>
      </w:r>
      <w:r w:rsidRPr="00775F83">
        <w:rPr>
          <w:b/>
          <w:bCs/>
          <w:spacing w:val="6"/>
        </w:rPr>
        <w:t xml:space="preserve"> </w:t>
      </w:r>
      <w:r w:rsidRPr="00775F83">
        <w:rPr>
          <w:b/>
          <w:bCs/>
        </w:rPr>
        <w:t>and</w:t>
      </w:r>
      <w:r w:rsidRPr="00775F83">
        <w:rPr>
          <w:b/>
          <w:bCs/>
          <w:spacing w:val="-11"/>
        </w:rPr>
        <w:t xml:space="preserve"> </w:t>
      </w:r>
      <w:r w:rsidRPr="00775F83">
        <w:rPr>
          <w:b/>
          <w:bCs/>
        </w:rPr>
        <w:t>Administrative Expenses</w:t>
      </w:r>
      <w:r w:rsidRPr="00775F83">
        <w:rPr>
          <w:b/>
          <w:bCs/>
          <w:spacing w:val="-5"/>
        </w:rPr>
        <w:t xml:space="preserve"> </w:t>
      </w:r>
      <w:r w:rsidRPr="00775F83">
        <w:rPr>
          <w:b/>
          <w:bCs/>
        </w:rPr>
        <w:t>Attributable</w:t>
      </w:r>
      <w:r w:rsidRPr="00775F83">
        <w:rPr>
          <w:b/>
          <w:bCs/>
          <w:spacing w:val="20"/>
        </w:rPr>
        <w:t xml:space="preserve"> </w:t>
      </w:r>
      <w:r w:rsidRPr="00775F83">
        <w:rPr>
          <w:b/>
          <w:bCs/>
        </w:rPr>
        <w:t>to</w:t>
      </w:r>
      <w:r w:rsidRPr="00775F83">
        <w:rPr>
          <w:b/>
          <w:bCs/>
          <w:spacing w:val="4"/>
        </w:rPr>
        <w:t xml:space="preserve"> </w:t>
      </w:r>
      <w:r w:rsidRPr="00775F83" w:rsidR="002F0533">
        <w:rPr>
          <w:b/>
          <w:bCs/>
        </w:rPr>
        <w:t>COVID-19</w:t>
      </w:r>
    </w:p>
    <w:p w:rsidR="004057EF" w:rsidRPr="00775F83" w:rsidP="002513AB" w14:paraId="2465694C" w14:textId="72ADA5F0">
      <w:pPr>
        <w:pStyle w:val="ListParagraph"/>
        <w:numPr>
          <w:ilvl w:val="0"/>
          <w:numId w:val="11"/>
        </w:numPr>
        <w:contextualSpacing/>
      </w:pPr>
      <w:r w:rsidRPr="00775F83">
        <w:rPr>
          <w:b/>
          <w:bCs/>
        </w:rPr>
        <w:t>Mortgage/Rent:</w:t>
      </w:r>
      <w:r w:rsidRPr="00775F83">
        <w:rPr>
          <w:spacing w:val="1"/>
        </w:rPr>
        <w:t xml:space="preserve"> </w:t>
      </w:r>
      <w:r w:rsidRPr="00775F83" w:rsidR="006A099B">
        <w:rPr>
          <w:spacing w:val="1"/>
        </w:rPr>
        <w:t xml:space="preserve"> </w:t>
      </w:r>
      <w:r w:rsidRPr="00775F83">
        <w:t>Payments related to mortgage or rent for a facility.</w:t>
      </w:r>
    </w:p>
    <w:p w:rsidR="004057EF" w:rsidRPr="00775F83" w:rsidP="002513AB" w14:paraId="61853EEE" w14:textId="0AC3ED7D">
      <w:pPr>
        <w:pStyle w:val="ListParagraph"/>
        <w:numPr>
          <w:ilvl w:val="0"/>
          <w:numId w:val="11"/>
        </w:numPr>
        <w:contextualSpacing/>
      </w:pPr>
      <w:r w:rsidRPr="00775F83">
        <w:rPr>
          <w:b/>
          <w:bCs/>
        </w:rPr>
        <w:t>Insurance:</w:t>
      </w:r>
      <w:r w:rsidRPr="00775F83" w:rsidR="006A099B">
        <w:t xml:space="preserve"> </w:t>
      </w:r>
      <w:r w:rsidRPr="00775F83">
        <w:t xml:space="preserve"> Premiums paid for property, malpractice, business insurance, or </w:t>
      </w:r>
      <w:r w:rsidRPr="00775F83" w:rsidR="008B03B8">
        <w:rPr>
          <w:spacing w:val="4"/>
        </w:rPr>
        <w:t xml:space="preserve">other insurance </w:t>
      </w:r>
      <w:r w:rsidRPr="00775F83">
        <w:t>relevant to operations.</w:t>
      </w:r>
    </w:p>
    <w:p w:rsidR="004057EF" w:rsidRPr="00775F83" w:rsidP="002513AB" w14:paraId="507AA7E1" w14:textId="5E1E3FA5">
      <w:pPr>
        <w:pStyle w:val="ListParagraph"/>
        <w:numPr>
          <w:ilvl w:val="0"/>
          <w:numId w:val="11"/>
        </w:numPr>
        <w:contextualSpacing/>
      </w:pPr>
      <w:r w:rsidRPr="00775F83">
        <w:rPr>
          <w:b/>
          <w:bCs/>
        </w:rPr>
        <w:t>Personnel:</w:t>
      </w:r>
      <w:r w:rsidRPr="00775F83">
        <w:rPr>
          <w:spacing w:val="5"/>
        </w:rPr>
        <w:t xml:space="preserve"> </w:t>
      </w:r>
      <w:r w:rsidRPr="00775F83" w:rsidR="006A099B">
        <w:rPr>
          <w:spacing w:val="5"/>
        </w:rPr>
        <w:t xml:space="preserve"> </w:t>
      </w:r>
      <w:r w:rsidRPr="00775F83">
        <w:t xml:space="preserve">Workforce-related actual expenses paid to prevent, prepare for, or respond to </w:t>
      </w:r>
      <w:r w:rsidRPr="00775F83" w:rsidR="006A099B">
        <w:t xml:space="preserve">COVID-19 </w:t>
      </w:r>
      <w:r w:rsidRPr="00775F83">
        <w:t>during the reporting period, such as workforce training, staffing, temporary employee or contractor payroll, overhead employees, or security personnel.</w:t>
      </w:r>
    </w:p>
    <w:p w:rsidR="004057EF" w:rsidRPr="00775F83" w:rsidP="002513AB" w14:paraId="507AA7E2" w14:textId="0D8AD7D4">
      <w:pPr>
        <w:pStyle w:val="ListParagraph"/>
        <w:numPr>
          <w:ilvl w:val="0"/>
          <w:numId w:val="11"/>
        </w:numPr>
        <w:contextualSpacing/>
      </w:pPr>
      <w:r w:rsidRPr="00775F83">
        <w:rPr>
          <w:b/>
          <w:bCs/>
        </w:rPr>
        <w:t>Fringe Benefits:</w:t>
      </w:r>
      <w:r w:rsidRPr="00775F83">
        <w:t xml:space="preserve"> </w:t>
      </w:r>
      <w:r w:rsidRPr="00775F83" w:rsidR="006A099B">
        <w:t xml:space="preserve"> </w:t>
      </w:r>
      <w:r w:rsidRPr="00775F83">
        <w:t>Extra benefits supplementing an employee’s salary, which may include hazard pay, travel reimbursement, and employee health insurance.</w:t>
      </w:r>
    </w:p>
    <w:p w:rsidR="004057EF" w:rsidRPr="00775F83" w:rsidP="002513AB" w14:paraId="507AA7E3" w14:textId="22869D3C">
      <w:pPr>
        <w:pStyle w:val="ListParagraph"/>
        <w:numPr>
          <w:ilvl w:val="0"/>
          <w:numId w:val="11"/>
        </w:numPr>
        <w:contextualSpacing/>
      </w:pPr>
      <w:r w:rsidRPr="00775F83">
        <w:rPr>
          <w:b/>
          <w:bCs/>
        </w:rPr>
        <w:t>Lease Payments:</w:t>
      </w:r>
      <w:r w:rsidRPr="00775F83">
        <w:t xml:space="preserve"> </w:t>
      </w:r>
      <w:r w:rsidRPr="00775F83" w:rsidR="006A099B">
        <w:t xml:space="preserve"> </w:t>
      </w:r>
      <w:r w:rsidRPr="00775F83">
        <w:t>New equipment or software leases, such as fleet cars and medical equipment that is not purchased and will be returned to the owner.</w:t>
      </w:r>
    </w:p>
    <w:p w:rsidR="004057EF" w:rsidRPr="00775F83" w:rsidP="002513AB" w14:paraId="507AA7E4" w14:textId="2763719F">
      <w:pPr>
        <w:pStyle w:val="ListParagraph"/>
        <w:numPr>
          <w:ilvl w:val="0"/>
          <w:numId w:val="11"/>
        </w:numPr>
        <w:contextualSpacing/>
      </w:pPr>
      <w:r w:rsidRPr="00775F83">
        <w:rPr>
          <w:b/>
          <w:bCs/>
        </w:rPr>
        <w:t>Utilities/Operations:</w:t>
      </w:r>
      <w:r w:rsidRPr="00775F83">
        <w:t xml:space="preserve"> </w:t>
      </w:r>
      <w:r w:rsidRPr="00775F83" w:rsidR="006A099B">
        <w:t xml:space="preserve"> </w:t>
      </w:r>
      <w:r w:rsidRPr="00775F83">
        <w:t>Lighting, cooling/ventilation, cleaning, or additional third</w:t>
      </w:r>
      <w:r w:rsidRPr="00775F83" w:rsidR="002D5ABE">
        <w:t>-</w:t>
      </w:r>
      <w:r w:rsidRPr="00775F83">
        <w:t>party vendor services not included in the “Personnel” sub-category.</w:t>
      </w:r>
    </w:p>
    <w:p w:rsidR="004057EF" w:rsidRPr="00775F83" w:rsidP="002513AB" w14:paraId="507AA7E6" w14:textId="4D262697">
      <w:pPr>
        <w:pStyle w:val="ListParagraph"/>
        <w:numPr>
          <w:ilvl w:val="0"/>
          <w:numId w:val="11"/>
        </w:numPr>
        <w:contextualSpacing/>
      </w:pPr>
      <w:r w:rsidRPr="00775F83">
        <w:rPr>
          <w:b/>
          <w:bCs/>
        </w:rPr>
        <w:t>Other</w:t>
      </w:r>
      <w:r w:rsidRPr="00775F83">
        <w:rPr>
          <w:b/>
          <w:bCs/>
          <w:spacing w:val="-4"/>
        </w:rPr>
        <w:t xml:space="preserve"> </w:t>
      </w:r>
      <w:r w:rsidRPr="00775F83">
        <w:rPr>
          <w:b/>
          <w:bCs/>
        </w:rPr>
        <w:t>General</w:t>
      </w:r>
      <w:r w:rsidRPr="00775F83">
        <w:rPr>
          <w:b/>
          <w:bCs/>
          <w:spacing w:val="2"/>
        </w:rPr>
        <w:t xml:space="preserve"> </w:t>
      </w:r>
      <w:r w:rsidRPr="00775F83">
        <w:rPr>
          <w:b/>
          <w:bCs/>
        </w:rPr>
        <w:t>and</w:t>
      </w:r>
      <w:r w:rsidRPr="00775F83">
        <w:rPr>
          <w:b/>
          <w:bCs/>
          <w:spacing w:val="-14"/>
        </w:rPr>
        <w:t xml:space="preserve"> </w:t>
      </w:r>
      <w:r w:rsidRPr="00775F83">
        <w:rPr>
          <w:b/>
          <w:bCs/>
        </w:rPr>
        <w:t>Administrative</w:t>
      </w:r>
      <w:r w:rsidRPr="00775F83">
        <w:rPr>
          <w:b/>
          <w:bCs/>
          <w:spacing w:val="16"/>
        </w:rPr>
        <w:t xml:space="preserve"> </w:t>
      </w:r>
      <w:r w:rsidRPr="00775F83">
        <w:rPr>
          <w:b/>
          <w:bCs/>
        </w:rPr>
        <w:t>Expenses:</w:t>
      </w:r>
      <w:r w:rsidRPr="00775F83">
        <w:rPr>
          <w:spacing w:val="7"/>
        </w:rPr>
        <w:t xml:space="preserve"> </w:t>
      </w:r>
      <w:r w:rsidRPr="00775F83" w:rsidR="006A099B">
        <w:rPr>
          <w:spacing w:val="7"/>
        </w:rPr>
        <w:t xml:space="preserve"> </w:t>
      </w:r>
      <w:r w:rsidRPr="00775F83">
        <w:t>Expenses not captured above that are</w:t>
      </w:r>
      <w:r w:rsidRPr="00775F83" w:rsidR="008B03B8">
        <w:t xml:space="preserve"> </w:t>
      </w:r>
      <w:r w:rsidRPr="00775F83">
        <w:t>generally considered part of general and administrative expenses.</w:t>
      </w:r>
    </w:p>
    <w:p w:rsidR="00474C2B" w:rsidRPr="00775F83" w:rsidP="00474C2B" w14:paraId="611215D8" w14:textId="77777777">
      <w:pPr>
        <w:pStyle w:val="ListParagraph"/>
        <w:tabs>
          <w:tab w:val="left" w:pos="550"/>
        </w:tabs>
        <w:ind w:left="550" w:firstLine="0"/>
        <w:contextualSpacing/>
        <w:rPr>
          <w:b/>
          <w:bCs/>
        </w:rPr>
      </w:pPr>
    </w:p>
    <w:p w:rsidR="004057EF" w:rsidRPr="00775F83" w:rsidP="003E5D0B" w14:paraId="602E7FBC" w14:textId="48EB110D">
      <w:pPr>
        <w:pStyle w:val="ListParagraph"/>
        <w:tabs>
          <w:tab w:val="left" w:pos="720"/>
        </w:tabs>
        <w:ind w:left="720" w:firstLine="0"/>
        <w:contextualSpacing/>
      </w:pPr>
      <w:r w:rsidRPr="00775F83">
        <w:rPr>
          <w:b/>
          <w:bCs/>
        </w:rPr>
        <w:t>Health</w:t>
      </w:r>
      <w:r w:rsidRPr="00775F83">
        <w:rPr>
          <w:b/>
          <w:bCs/>
          <w:spacing w:val="11"/>
        </w:rPr>
        <w:t xml:space="preserve"> </w:t>
      </w:r>
      <w:r w:rsidRPr="00775F83">
        <w:rPr>
          <w:b/>
          <w:bCs/>
        </w:rPr>
        <w:t>Care-Related</w:t>
      </w:r>
      <w:r w:rsidRPr="00775F83">
        <w:rPr>
          <w:b/>
          <w:bCs/>
          <w:spacing w:val="-10"/>
        </w:rPr>
        <w:t xml:space="preserve"> </w:t>
      </w:r>
      <w:r w:rsidRPr="00775F83">
        <w:rPr>
          <w:b/>
          <w:bCs/>
        </w:rPr>
        <w:t>Expenses</w:t>
      </w:r>
      <w:r w:rsidRPr="00775F83">
        <w:rPr>
          <w:b/>
          <w:bCs/>
          <w:spacing w:val="-3"/>
        </w:rPr>
        <w:t xml:space="preserve"> </w:t>
      </w:r>
      <w:r w:rsidRPr="00775F83">
        <w:rPr>
          <w:b/>
          <w:bCs/>
        </w:rPr>
        <w:t>Attributable</w:t>
      </w:r>
      <w:r w:rsidRPr="00775F83">
        <w:rPr>
          <w:b/>
          <w:bCs/>
          <w:spacing w:val="22"/>
        </w:rPr>
        <w:t xml:space="preserve"> </w:t>
      </w:r>
      <w:r w:rsidRPr="00775F83">
        <w:rPr>
          <w:b/>
          <w:bCs/>
        </w:rPr>
        <w:t>to</w:t>
      </w:r>
      <w:r w:rsidRPr="00775F83">
        <w:rPr>
          <w:b/>
          <w:bCs/>
          <w:spacing w:val="-13"/>
        </w:rPr>
        <w:t xml:space="preserve"> </w:t>
      </w:r>
      <w:r w:rsidRPr="00775F83" w:rsidR="002F0533">
        <w:rPr>
          <w:b/>
          <w:bCs/>
        </w:rPr>
        <w:t>COVID-19</w:t>
      </w:r>
    </w:p>
    <w:p w:rsidR="004057EF" w:rsidRPr="00775F83" w:rsidP="002513AB" w14:paraId="72E72EAE" w14:textId="1AE83202">
      <w:pPr>
        <w:pStyle w:val="ListParagraph"/>
        <w:numPr>
          <w:ilvl w:val="0"/>
          <w:numId w:val="12"/>
        </w:numPr>
        <w:contextualSpacing/>
      </w:pPr>
      <w:r w:rsidRPr="00775F83">
        <w:rPr>
          <w:b/>
          <w:bCs/>
        </w:rPr>
        <w:t>Supplies:</w:t>
      </w:r>
      <w:r w:rsidRPr="00775F83">
        <w:t xml:space="preserve"> </w:t>
      </w:r>
      <w:r w:rsidRPr="00775F83" w:rsidR="006A099B">
        <w:t xml:space="preserve"> </w:t>
      </w:r>
      <w:r w:rsidRPr="00775F83">
        <w:t xml:space="preserve">Expenses paid for purchase of supplies (e.g., single use or reusable patient care devices, cleaning supplies, office supplies, etc.) used to prevent, prepare for, and/or respond to </w:t>
      </w:r>
      <w:r w:rsidRPr="00775F83" w:rsidR="002F0533">
        <w:t>COVID-19</w:t>
      </w:r>
      <w:r w:rsidRPr="00775F83">
        <w:t xml:space="preserve"> during the reporting period. </w:t>
      </w:r>
      <w:r w:rsidRPr="00775F83" w:rsidR="006A099B">
        <w:t xml:space="preserve"> </w:t>
      </w:r>
      <w:r w:rsidRPr="00775F83">
        <w:t>Such items may include PPE, hand sanitizer, supplies for patient screening, or vaccination administration materials.</w:t>
      </w:r>
    </w:p>
    <w:p w:rsidR="004057EF" w:rsidRPr="00775F83" w:rsidP="002513AB" w14:paraId="29F6ABD1" w14:textId="29F4BEBF">
      <w:pPr>
        <w:pStyle w:val="ListParagraph"/>
        <w:numPr>
          <w:ilvl w:val="0"/>
          <w:numId w:val="12"/>
        </w:numPr>
        <w:contextualSpacing/>
      </w:pPr>
      <w:r w:rsidRPr="00775F83">
        <w:rPr>
          <w:b/>
          <w:bCs/>
        </w:rPr>
        <w:t>Equipment:</w:t>
      </w:r>
      <w:r w:rsidRPr="00775F83">
        <w:t xml:space="preserve"> </w:t>
      </w:r>
      <w:r w:rsidRPr="00775F83" w:rsidR="006A099B">
        <w:t xml:space="preserve"> </w:t>
      </w:r>
      <w:r w:rsidRPr="00775F83">
        <w:t>Expenses paid for purchase of equipment, such as ventilators, refrigeration systems for COVID-19 vaccines, or updates to HVAC systems.</w:t>
      </w:r>
    </w:p>
    <w:p w:rsidR="004057EF" w:rsidRPr="00775F83" w:rsidP="002513AB" w14:paraId="507AA7EC" w14:textId="38A7D752">
      <w:pPr>
        <w:pStyle w:val="ListParagraph"/>
        <w:numPr>
          <w:ilvl w:val="0"/>
          <w:numId w:val="12"/>
        </w:numPr>
        <w:contextualSpacing/>
      </w:pPr>
      <w:r w:rsidRPr="00775F83">
        <w:rPr>
          <w:b/>
          <w:bCs/>
        </w:rPr>
        <w:t>IT:</w:t>
      </w:r>
      <w:r w:rsidRPr="00775F83" w:rsidR="00473190">
        <w:t xml:space="preserve"> </w:t>
      </w:r>
      <w:r w:rsidRPr="00775F83" w:rsidR="006A099B">
        <w:t xml:space="preserve"> </w:t>
      </w:r>
      <w:r w:rsidRPr="00775F83" w:rsidR="00473190">
        <w:t xml:space="preserve">Expenses paid for IT or interoperability systems to expand or preserve </w:t>
      </w:r>
      <w:r w:rsidRPr="00775F83" w:rsidR="00F55E4E">
        <w:t xml:space="preserve">COVID-19 </w:t>
      </w:r>
      <w:r w:rsidRPr="00775F83" w:rsidR="00473190">
        <w:t xml:space="preserve">care delivery during the reporting period, such as electronic health record licensing fees, telehealth </w:t>
      </w:r>
      <w:r w:rsidRPr="00775F83" w:rsidR="00473190">
        <w:t>infrastructure, increased bandwidth, and teleworking to support remote</w:t>
      </w:r>
      <w:r w:rsidRPr="00775F83">
        <w:t xml:space="preserve"> workforce.</w:t>
      </w:r>
    </w:p>
    <w:p w:rsidR="004057EF" w:rsidRPr="00775F83" w:rsidP="002513AB" w14:paraId="507AA7F2" w14:textId="7CD339F8">
      <w:pPr>
        <w:pStyle w:val="ListParagraph"/>
        <w:numPr>
          <w:ilvl w:val="0"/>
          <w:numId w:val="12"/>
        </w:numPr>
        <w:contextualSpacing/>
      </w:pPr>
      <w:r w:rsidRPr="00775F83">
        <w:rPr>
          <w:b/>
          <w:bCs/>
        </w:rPr>
        <w:t>Facilities:</w:t>
      </w:r>
      <w:r w:rsidRPr="00775F83" w:rsidR="006A099B">
        <w:t xml:space="preserve"> </w:t>
      </w:r>
      <w:r w:rsidRPr="00775F83">
        <w:t xml:space="preserve"> Expenses such as lease or purchase of permanent or temporary structures, or</w:t>
      </w:r>
      <w:bookmarkStart w:id="26" w:name="_bookmark13"/>
      <w:bookmarkEnd w:id="26"/>
      <w:r w:rsidRPr="00775F83" w:rsidR="00473190">
        <w:t xml:space="preserve"> to </w:t>
      </w:r>
      <w:r w:rsidRPr="00775F83">
        <w:t>retrofit facilities</w:t>
      </w:r>
      <w:r w:rsidRPr="00775F83" w:rsidR="00473190">
        <w:t xml:space="preserve"> to </w:t>
      </w:r>
      <w:r w:rsidRPr="00775F83">
        <w:t>accommodate revised patient treatment practices, used</w:t>
      </w:r>
      <w:r w:rsidRPr="00775F83" w:rsidR="00473190">
        <w:t xml:space="preserve"> to </w:t>
      </w:r>
      <w:r w:rsidRPr="00775F83">
        <w:t>prevent, prepare for, and/or respond</w:t>
      </w:r>
      <w:r w:rsidRPr="00775F83" w:rsidR="00473190">
        <w:t xml:space="preserve"> to </w:t>
      </w:r>
      <w:r w:rsidRPr="00775F83" w:rsidR="002F0533">
        <w:t>COVID-19</w:t>
      </w:r>
      <w:r w:rsidRPr="00775F83">
        <w:t xml:space="preserve"> </w:t>
      </w:r>
      <w:r w:rsidRPr="00775F83" w:rsidR="00473190">
        <w:t>during the reporting period.</w:t>
      </w:r>
    </w:p>
    <w:p w:rsidR="004057EF" w:rsidRPr="00775F83" w:rsidP="002513AB" w14:paraId="507AA7F3" w14:textId="658ED9FB">
      <w:pPr>
        <w:pStyle w:val="ListParagraph"/>
        <w:numPr>
          <w:ilvl w:val="0"/>
          <w:numId w:val="12"/>
        </w:numPr>
        <w:contextualSpacing/>
      </w:pPr>
      <w:r w:rsidRPr="00775F83">
        <w:rPr>
          <w:b/>
          <w:bCs/>
        </w:rPr>
        <w:t>Other</w:t>
      </w:r>
      <w:r w:rsidRPr="00775F83">
        <w:rPr>
          <w:b/>
          <w:bCs/>
          <w:spacing w:val="-6"/>
        </w:rPr>
        <w:t xml:space="preserve"> </w:t>
      </w:r>
      <w:r w:rsidRPr="00775F83">
        <w:rPr>
          <w:b/>
          <w:bCs/>
        </w:rPr>
        <w:t>Health</w:t>
      </w:r>
      <w:r w:rsidRPr="00775F83">
        <w:rPr>
          <w:b/>
          <w:bCs/>
          <w:spacing w:val="2"/>
        </w:rPr>
        <w:t xml:space="preserve"> </w:t>
      </w:r>
      <w:r w:rsidRPr="00775F83">
        <w:rPr>
          <w:b/>
          <w:bCs/>
        </w:rPr>
        <w:t>Care-Related</w:t>
      </w:r>
      <w:r w:rsidRPr="00775F83">
        <w:rPr>
          <w:b/>
          <w:bCs/>
          <w:spacing w:val="-16"/>
        </w:rPr>
        <w:t xml:space="preserve"> </w:t>
      </w:r>
      <w:r w:rsidRPr="00775F83">
        <w:rPr>
          <w:b/>
          <w:bCs/>
        </w:rPr>
        <w:t>Expenses:</w:t>
      </w:r>
      <w:r w:rsidRPr="00775F83">
        <w:rPr>
          <w:spacing w:val="4"/>
        </w:rPr>
        <w:t xml:space="preserve"> </w:t>
      </w:r>
      <w:r w:rsidRPr="00775F83" w:rsidR="006A099B">
        <w:rPr>
          <w:spacing w:val="4"/>
        </w:rPr>
        <w:t xml:space="preserve"> </w:t>
      </w:r>
      <w:r w:rsidRPr="00775F83">
        <w:t xml:space="preserve">Expenses, not previously captured above, that were paid to prevent, prepare for, and/or respond to </w:t>
      </w:r>
      <w:r w:rsidRPr="00775F83" w:rsidR="002F0533">
        <w:t>COVID-19</w:t>
      </w:r>
      <w:r w:rsidRPr="00775F83">
        <w:t>.</w:t>
      </w:r>
    </w:p>
    <w:p w:rsidR="007D437A" w:rsidRPr="00775F83" w:rsidP="00AC38E6" w14:paraId="38D5DA03" w14:textId="5B475C4E">
      <w:pPr>
        <w:ind w:left="540"/>
        <w:contextualSpacing/>
      </w:pPr>
      <w:bookmarkStart w:id="27" w:name="10)_Lost_Revenues_Attributable_to_Corona"/>
      <w:bookmarkEnd w:id="27"/>
    </w:p>
    <w:p w:rsidR="00474C2B" w:rsidRPr="00775F83" w:rsidP="003E5D0B" w14:paraId="7FAA3DB4" w14:textId="34C0267F">
      <w:pPr>
        <w:pStyle w:val="ListParagraph"/>
        <w:numPr>
          <w:ilvl w:val="0"/>
          <w:numId w:val="8"/>
        </w:numPr>
        <w:ind w:left="720" w:hanging="360"/>
        <w:contextualSpacing/>
      </w:pPr>
      <w:r w:rsidRPr="00775F83">
        <w:rPr>
          <w:b/>
          <w:bCs/>
        </w:rPr>
        <w:t xml:space="preserve">Use of PRF General and Other Targeted Distribution Payments on </w:t>
      </w:r>
      <w:r w:rsidRPr="00775F83" w:rsidR="00473190">
        <w:rPr>
          <w:b/>
        </w:rPr>
        <w:t>Lost</w:t>
      </w:r>
      <w:r w:rsidRPr="00775F83" w:rsidR="00473190">
        <w:rPr>
          <w:b/>
          <w:spacing w:val="12"/>
        </w:rPr>
        <w:t xml:space="preserve"> </w:t>
      </w:r>
      <w:r w:rsidRPr="00775F83" w:rsidR="00473190">
        <w:rPr>
          <w:b/>
        </w:rPr>
        <w:t>Revenues</w:t>
      </w:r>
      <w:r w:rsidRPr="00775F83" w:rsidR="00473190">
        <w:rPr>
          <w:b/>
          <w:spacing w:val="-4"/>
        </w:rPr>
        <w:t xml:space="preserve"> </w:t>
      </w:r>
      <w:r w:rsidRPr="00775F83" w:rsidR="00473190">
        <w:rPr>
          <w:b/>
        </w:rPr>
        <w:t>Attributable</w:t>
      </w:r>
      <w:r w:rsidRPr="00775F83" w:rsidR="00473190">
        <w:rPr>
          <w:b/>
          <w:spacing w:val="21"/>
        </w:rPr>
        <w:t xml:space="preserve"> </w:t>
      </w:r>
      <w:r w:rsidRPr="00775F83" w:rsidR="00473190">
        <w:rPr>
          <w:b/>
        </w:rPr>
        <w:t>to</w:t>
      </w:r>
      <w:r w:rsidRPr="00775F83" w:rsidR="00473190">
        <w:rPr>
          <w:b/>
          <w:spacing w:val="4"/>
        </w:rPr>
        <w:t xml:space="preserve"> </w:t>
      </w:r>
      <w:r w:rsidRPr="00775F83" w:rsidR="00EC6F49">
        <w:rPr>
          <w:b/>
          <w:bCs/>
        </w:rPr>
        <w:t>COVID-19</w:t>
      </w:r>
    </w:p>
    <w:p w:rsidR="00E526BB" w:rsidRPr="00775F83" w:rsidP="003E5D0B" w14:paraId="0F012EBB" w14:textId="09BDA050">
      <w:pPr>
        <w:pStyle w:val="ListParagraph"/>
        <w:ind w:left="720" w:firstLine="0"/>
        <w:contextualSpacing/>
      </w:pPr>
      <w:r w:rsidRPr="00775F83">
        <w:t xml:space="preserve">Reporting </w:t>
      </w:r>
      <w:r w:rsidRPr="00775F83" w:rsidR="00F17EA4">
        <w:t>e</w:t>
      </w:r>
      <w:r w:rsidRPr="00775F83">
        <w:t xml:space="preserve">ntities that expend all </w:t>
      </w:r>
      <w:r w:rsidRPr="00775F83" w:rsidR="00C97070">
        <w:t xml:space="preserve">ARP Rural and </w:t>
      </w:r>
      <w:r w:rsidRPr="00775F83">
        <w:t>PRF</w:t>
      </w:r>
      <w:r w:rsidRPr="00775F83" w:rsidR="00870C96">
        <w:t xml:space="preserve"> </w:t>
      </w:r>
      <w:r w:rsidRPr="00775F83">
        <w:t>payments on expenses</w:t>
      </w:r>
      <w:r w:rsidRPr="00775F83" w:rsidR="00EC402D">
        <w:t xml:space="preserve"> and lost revenues attributable to</w:t>
      </w:r>
      <w:r w:rsidRPr="00775F83" w:rsidR="00EC6F49">
        <w:t xml:space="preserve"> </w:t>
      </w:r>
      <w:r w:rsidRPr="00775F83" w:rsidR="00EC402D">
        <w:t>COVID-19, all PRF payments on expenses</w:t>
      </w:r>
      <w:r w:rsidRPr="00775F83" w:rsidR="00BA4AAC">
        <w:t>,</w:t>
      </w:r>
      <w:r w:rsidRPr="00775F83">
        <w:t xml:space="preserve"> or those with only </w:t>
      </w:r>
      <w:r w:rsidRPr="00775F83" w:rsidR="00D34B1F">
        <w:t>NHIC</w:t>
      </w:r>
      <w:r w:rsidRPr="00775F83">
        <w:t xml:space="preserve"> Distribution payments will </w:t>
      </w:r>
      <w:r w:rsidRPr="00775F83" w:rsidR="00C97070">
        <w:t xml:space="preserve">not be able to select a lost revenues option. </w:t>
      </w:r>
      <w:r w:rsidRPr="00775F83" w:rsidR="0045330E">
        <w:t xml:space="preserve"> </w:t>
      </w:r>
      <w:r w:rsidRPr="00775F83" w:rsidR="00C97070">
        <w:t>Instead</w:t>
      </w:r>
      <w:r w:rsidRPr="00775F83" w:rsidR="002B4F31">
        <w:t>,</w:t>
      </w:r>
      <w:r w:rsidRPr="00775F83" w:rsidR="00C97070">
        <w:t xml:space="preserve"> these entities will </w:t>
      </w:r>
      <w:r w:rsidRPr="00775F83">
        <w:t xml:space="preserve">need to submit patient care revenues for </w:t>
      </w:r>
      <w:r w:rsidRPr="00775F83" w:rsidR="00C97070">
        <w:t xml:space="preserve">the </w:t>
      </w:r>
      <w:r w:rsidRPr="00775F83" w:rsidR="00D46FB3">
        <w:t>period of availability</w:t>
      </w:r>
      <w:r w:rsidRPr="00775F83">
        <w:t>.</w:t>
      </w:r>
    </w:p>
    <w:p w:rsidR="00E526BB" w:rsidRPr="00775F83" w:rsidP="003E5D0B" w14:paraId="7DB99B62" w14:textId="77777777">
      <w:pPr>
        <w:pStyle w:val="ListParagraph"/>
        <w:ind w:left="720" w:firstLine="0"/>
        <w:contextualSpacing/>
      </w:pPr>
    </w:p>
    <w:p w:rsidR="00474C2B" w:rsidRPr="00775F83" w:rsidP="003E5D0B" w14:paraId="56B11492" w14:textId="0EB6E25B">
      <w:pPr>
        <w:pStyle w:val="ListParagraph"/>
        <w:ind w:left="720" w:firstLine="0"/>
        <w:contextualSpacing/>
      </w:pPr>
      <w:r w:rsidRPr="00775F83">
        <w:t xml:space="preserve">Reporting </w:t>
      </w:r>
      <w:r w:rsidRPr="00775F83" w:rsidR="00F17EA4">
        <w:t>e</w:t>
      </w:r>
      <w:r w:rsidRPr="00775F83">
        <w:t>ntities using PRF</w:t>
      </w:r>
      <w:r w:rsidRPr="00775F83" w:rsidR="00870C96">
        <w:t xml:space="preserve"> </w:t>
      </w:r>
      <w:r w:rsidRPr="00775F83">
        <w:t xml:space="preserve">for lost revenues </w:t>
      </w:r>
      <w:r w:rsidRPr="00775F83" w:rsidR="004E74ED">
        <w:t>incurred within the period of availability</w:t>
      </w:r>
      <w:r w:rsidRPr="00775F83">
        <w:t xml:space="preserve"> will provide information used to calculate lost revenues attributable to </w:t>
      </w:r>
      <w:r w:rsidRPr="00775F83" w:rsidR="00E235CD">
        <w:t>COVID-19</w:t>
      </w:r>
      <w:r w:rsidRPr="00775F83" w:rsidR="00EB7BF6">
        <w:t xml:space="preserve"> from the beginning of the period of availability </w:t>
      </w:r>
      <w:r w:rsidRPr="00775F83" w:rsidR="00EE4CBE">
        <w:t xml:space="preserve">up to </w:t>
      </w:r>
      <w:r w:rsidRPr="00775F83" w:rsidR="006D1716">
        <w:t xml:space="preserve">June 30, 2023, </w:t>
      </w:r>
      <w:r w:rsidRPr="00775F83" w:rsidR="00EB7BF6">
        <w:t>the end of the quarter in which the Public Health Emergency end</w:t>
      </w:r>
      <w:r w:rsidR="00D72475">
        <w:t>s</w:t>
      </w:r>
      <w:r w:rsidRPr="00775F83" w:rsidR="00F50BE3">
        <w:t xml:space="preserve">. </w:t>
      </w:r>
      <w:r w:rsidRPr="00775F83" w:rsidR="00F17EA4">
        <w:t xml:space="preserve"> </w:t>
      </w:r>
      <w:r w:rsidRPr="00775F83" w:rsidR="00853EA2">
        <w:t xml:space="preserve">Reporting </w:t>
      </w:r>
      <w:r w:rsidRPr="00775F83" w:rsidR="00F17EA4">
        <w:t>e</w:t>
      </w:r>
      <w:r w:rsidRPr="00775F83" w:rsidR="00853EA2">
        <w:t xml:space="preserve">ntities that are reporting on use of ARP Rural payments for lost revenues attributable to COVID-19 must select the same option for reporting on PRF payment for lost revenues attributable to </w:t>
      </w:r>
      <w:r w:rsidRPr="00775F83" w:rsidR="00EC6F49">
        <w:t>COVID-19</w:t>
      </w:r>
      <w:r w:rsidRPr="00775F83" w:rsidR="00853EA2">
        <w:t>, as applicable</w:t>
      </w:r>
      <w:r w:rsidRPr="00775F83" w:rsidR="00F50BE3">
        <w:t xml:space="preserve">. </w:t>
      </w:r>
      <w:r w:rsidRPr="00775F83" w:rsidR="00F17EA4">
        <w:t xml:space="preserve"> </w:t>
      </w:r>
      <w:r w:rsidRPr="00775F83">
        <w:t xml:space="preserve">Reporting </w:t>
      </w:r>
      <w:r w:rsidRPr="00775F83" w:rsidR="00F17EA4">
        <w:t>e</w:t>
      </w:r>
      <w:r w:rsidRPr="00775F83">
        <w:t xml:space="preserve">ntities electing </w:t>
      </w:r>
      <w:r w:rsidRPr="00D72475">
        <w:rPr>
          <w:b/>
        </w:rPr>
        <w:t>Option i</w:t>
      </w:r>
      <w:r w:rsidRPr="00775F83">
        <w:rPr>
          <w:bCs/>
        </w:rPr>
        <w:t xml:space="preserve"> or </w:t>
      </w:r>
      <w:r w:rsidRPr="00D72475">
        <w:rPr>
          <w:b/>
        </w:rPr>
        <w:t>Option ii</w:t>
      </w:r>
      <w:r w:rsidRPr="00775F83">
        <w:t xml:space="preserve"> (refer to Step </w:t>
      </w:r>
      <w:r w:rsidRPr="00775F83" w:rsidR="005761EB">
        <w:t>8</w:t>
      </w:r>
      <w:r w:rsidRPr="00775F83">
        <w:t xml:space="preserve"> of </w:t>
      </w:r>
      <w:hyperlink w:anchor="_bookmark6" w:history="1">
        <w:r w:rsidRPr="00775F83">
          <w:rPr>
            <w:color w:val="0000FF"/>
            <w:u w:val="single" w:color="0000FF"/>
          </w:rPr>
          <w:t>Steps</w:t>
        </w:r>
        <w:r w:rsidRPr="00775F83">
          <w:rPr>
            <w:color w:val="0000FF"/>
            <w:spacing w:val="1"/>
            <w:u w:val="single" w:color="0000FF"/>
          </w:rPr>
          <w:t xml:space="preserve"> </w:t>
        </w:r>
        <w:r w:rsidRPr="00775F83">
          <w:rPr>
            <w:color w:val="0000FF"/>
            <w:u w:val="single" w:color="0000FF"/>
          </w:rPr>
          <w:t>for</w:t>
        </w:r>
        <w:r w:rsidRPr="00775F83">
          <w:rPr>
            <w:color w:val="0000FF"/>
            <w:spacing w:val="-2"/>
            <w:u w:val="single" w:color="0000FF"/>
          </w:rPr>
          <w:t xml:space="preserve"> </w:t>
        </w:r>
        <w:r w:rsidRPr="00775F83">
          <w:rPr>
            <w:color w:val="0000FF"/>
            <w:u w:val="single" w:color="0000FF"/>
          </w:rPr>
          <w:t>Reporting</w:t>
        </w:r>
        <w:r w:rsidRPr="00775F83">
          <w:rPr>
            <w:color w:val="0000FF"/>
            <w:spacing w:val="-7"/>
            <w:u w:val="single" w:color="0000FF"/>
          </w:rPr>
          <w:t xml:space="preserve"> </w:t>
        </w:r>
        <w:r w:rsidRPr="00775F83">
          <w:rPr>
            <w:color w:val="0000FF"/>
            <w:u w:val="single" w:color="0000FF"/>
          </w:rPr>
          <w:t>on</w:t>
        </w:r>
        <w:r w:rsidRPr="00775F83">
          <w:rPr>
            <w:color w:val="0000FF"/>
            <w:spacing w:val="-8"/>
            <w:u w:val="single" w:color="0000FF"/>
          </w:rPr>
          <w:t xml:space="preserve"> </w:t>
        </w:r>
        <w:r w:rsidRPr="00775F83">
          <w:rPr>
            <w:color w:val="0000FF"/>
            <w:u w:val="single" w:color="0000FF"/>
          </w:rPr>
          <w:t>Use</w:t>
        </w:r>
        <w:r w:rsidRPr="00775F83">
          <w:rPr>
            <w:color w:val="0000FF"/>
            <w:spacing w:val="-11"/>
            <w:u w:val="single" w:color="0000FF"/>
          </w:rPr>
          <w:t xml:space="preserve"> </w:t>
        </w:r>
        <w:r w:rsidRPr="00775F83">
          <w:rPr>
            <w:color w:val="0000FF"/>
            <w:u w:val="single" w:color="0000FF"/>
          </w:rPr>
          <w:t>of</w:t>
        </w:r>
        <w:r w:rsidRPr="00775F83">
          <w:rPr>
            <w:color w:val="0000FF"/>
            <w:spacing w:val="-1"/>
            <w:u w:val="single" w:color="0000FF"/>
          </w:rPr>
          <w:t xml:space="preserve"> </w:t>
        </w:r>
        <w:r w:rsidRPr="00775F83">
          <w:rPr>
            <w:color w:val="0000FF"/>
            <w:u w:val="single" w:color="0000FF"/>
          </w:rPr>
          <w:t>Funds</w:t>
        </w:r>
        <w:r w:rsidRPr="00775F83">
          <w:rPr>
            <w:color w:val="0000FF"/>
            <w:spacing w:val="1"/>
          </w:rPr>
          <w:t xml:space="preserve"> </w:t>
        </w:r>
      </w:hyperlink>
      <w:r w:rsidRPr="00775F83">
        <w:t>above) will provide the following:</w:t>
      </w:r>
    </w:p>
    <w:p w:rsidR="00B50E29" w:rsidRPr="00775F83" w:rsidP="003E5D0B" w14:paraId="45B788A4" w14:textId="77777777">
      <w:pPr>
        <w:pStyle w:val="ListParagraph"/>
        <w:ind w:left="720" w:firstLine="0"/>
        <w:contextualSpacing/>
      </w:pPr>
    </w:p>
    <w:p w:rsidR="00474C2B" w:rsidRPr="00775F83" w:rsidP="003E5D0B" w14:paraId="477A1779" w14:textId="1BDF4EEE">
      <w:pPr>
        <w:pStyle w:val="ListParagraph"/>
        <w:ind w:left="720" w:firstLine="0"/>
        <w:contextualSpacing/>
        <w:rPr>
          <w:b/>
        </w:rPr>
      </w:pPr>
      <w:r w:rsidRPr="00775F83">
        <w:rPr>
          <w:b/>
        </w:rPr>
        <w:t>Total</w:t>
      </w:r>
      <w:r w:rsidRPr="00775F83">
        <w:rPr>
          <w:b/>
          <w:spacing w:val="13"/>
        </w:rPr>
        <w:t xml:space="preserve"> </w:t>
      </w:r>
      <w:r w:rsidRPr="00775F83">
        <w:rPr>
          <w:b/>
        </w:rPr>
        <w:t>Revenues</w:t>
      </w:r>
      <w:r>
        <w:rPr>
          <w:rStyle w:val="FootnoteReference"/>
          <w:b/>
          <w:bCs/>
        </w:rPr>
        <w:footnoteReference w:id="13"/>
      </w:r>
      <w:r w:rsidRPr="00775F83">
        <w:rPr>
          <w:b/>
          <w:bCs/>
        </w:rPr>
        <w:t>/</w:t>
      </w:r>
      <w:r w:rsidRPr="00775F83">
        <w:rPr>
          <w:b/>
        </w:rPr>
        <w:t>Net</w:t>
      </w:r>
      <w:r w:rsidRPr="00775F83">
        <w:rPr>
          <w:b/>
          <w:spacing w:val="-3"/>
        </w:rPr>
        <w:t xml:space="preserve"> </w:t>
      </w:r>
      <w:r w:rsidRPr="00775F83">
        <w:rPr>
          <w:b/>
        </w:rPr>
        <w:t>Charges</w:t>
      </w:r>
      <w:r w:rsidRPr="00775F83">
        <w:rPr>
          <w:b/>
          <w:spacing w:val="1"/>
        </w:rPr>
        <w:t xml:space="preserve"> </w:t>
      </w:r>
      <w:r w:rsidRPr="00775F83">
        <w:rPr>
          <w:b/>
        </w:rPr>
        <w:t>from</w:t>
      </w:r>
      <w:r w:rsidRPr="00775F83">
        <w:rPr>
          <w:b/>
          <w:spacing w:val="20"/>
        </w:rPr>
        <w:t xml:space="preserve"> </w:t>
      </w:r>
      <w:r w:rsidRPr="00775F83">
        <w:rPr>
          <w:b/>
        </w:rPr>
        <w:t>Patient</w:t>
      </w:r>
      <w:r w:rsidRPr="00775F83">
        <w:rPr>
          <w:b/>
          <w:spacing w:val="-3"/>
        </w:rPr>
        <w:t xml:space="preserve"> </w:t>
      </w:r>
      <w:r w:rsidRPr="00775F83">
        <w:rPr>
          <w:b/>
        </w:rPr>
        <w:t>Care</w:t>
      </w:r>
      <w:r>
        <w:rPr>
          <w:rStyle w:val="FootnoteReference"/>
          <w:b/>
          <w:bCs/>
        </w:rPr>
        <w:footnoteReference w:id="14"/>
      </w:r>
      <w:hyperlink w:anchor="_bookmark15" w:history="1">
        <w:r w:rsidRPr="00775F83">
          <w:rPr>
            <w:b/>
            <w:spacing w:val="22"/>
          </w:rPr>
          <w:t xml:space="preserve"> </w:t>
        </w:r>
      </w:hyperlink>
      <w:r w:rsidRPr="00775F83">
        <w:rPr>
          <w:b/>
        </w:rPr>
        <w:t>Related</w:t>
      </w:r>
      <w:r w:rsidRPr="00775F83">
        <w:rPr>
          <w:b/>
          <w:spacing w:val="-6"/>
        </w:rPr>
        <w:t xml:space="preserve"> </w:t>
      </w:r>
      <w:r w:rsidRPr="00775F83">
        <w:rPr>
          <w:b/>
        </w:rPr>
        <w:t>Sources:</w:t>
      </w:r>
    </w:p>
    <w:p w:rsidR="00390CDC" w:rsidRPr="00775F83" w:rsidP="00390CDC" w14:paraId="3FAC4E2F" w14:textId="19166CDE">
      <w:pPr>
        <w:pStyle w:val="ListParagraph"/>
        <w:ind w:left="720" w:firstLine="0"/>
        <w:contextualSpacing/>
      </w:pPr>
      <w:r w:rsidRPr="00775F83">
        <w:t xml:space="preserve">Reporting </w:t>
      </w:r>
      <w:r w:rsidRPr="00775F83" w:rsidR="00F17EA4">
        <w:t>e</w:t>
      </w:r>
      <w:r w:rsidRPr="00775F83">
        <w:t xml:space="preserve">ntities will submit revenues/net charges from patient care (prior to netting with expenses) </w:t>
      </w:r>
      <w:r w:rsidRPr="00775F83" w:rsidR="00671F2B">
        <w:t xml:space="preserve">incurred within the period of availability, </w:t>
      </w:r>
      <w:r w:rsidRPr="00775F83">
        <w:t xml:space="preserve">by payer mix (including out of pocket charges), and by quarter for each quarter during the period of </w:t>
      </w:r>
      <w:r w:rsidRPr="00775F83">
        <w:rPr>
          <w:spacing w:val="-2"/>
        </w:rPr>
        <w:t>availability</w:t>
      </w:r>
      <w:r w:rsidRPr="00775F83" w:rsidR="00EB7BF6">
        <w:t xml:space="preserve"> </w:t>
      </w:r>
      <w:r w:rsidRPr="00775F83" w:rsidR="00EE4CBE">
        <w:t xml:space="preserve">up to </w:t>
      </w:r>
      <w:r w:rsidRPr="00775F83" w:rsidR="006D1716">
        <w:t xml:space="preserve">June 30, 2023, </w:t>
      </w:r>
      <w:r w:rsidRPr="00775F83" w:rsidR="00EB7BF6">
        <w:t>the end of the quarter in which the Public Health Emergency end</w:t>
      </w:r>
      <w:r w:rsidR="00D72475">
        <w:t>s</w:t>
      </w:r>
      <w:r w:rsidRPr="00775F83">
        <w:t xml:space="preserve">. </w:t>
      </w:r>
      <w:r w:rsidRPr="00775F83" w:rsidR="00F17EA4">
        <w:t xml:space="preserve"> </w:t>
      </w:r>
      <w:r w:rsidRPr="00775F83">
        <w:rPr>
          <w:spacing w:val="-2"/>
        </w:rPr>
        <w:t xml:space="preserve">Reporting </w:t>
      </w:r>
      <w:r w:rsidRPr="00775F83" w:rsidR="00F17EA4">
        <w:rPr>
          <w:spacing w:val="-2"/>
        </w:rPr>
        <w:t>e</w:t>
      </w:r>
      <w:r w:rsidRPr="00775F83">
        <w:rPr>
          <w:spacing w:val="-2"/>
        </w:rPr>
        <w:t xml:space="preserve">ntities electing </w:t>
      </w:r>
      <w:r w:rsidRPr="00D72475">
        <w:rPr>
          <w:b/>
          <w:spacing w:val="-1"/>
        </w:rPr>
        <w:t>Option i</w:t>
      </w:r>
      <w:r w:rsidRPr="00775F83">
        <w:rPr>
          <w:spacing w:val="-1"/>
        </w:rPr>
        <w:t xml:space="preserve"> will provide actuals and </w:t>
      </w:r>
      <w:r w:rsidRPr="00775F83" w:rsidR="00F17EA4">
        <w:rPr>
          <w:spacing w:val="-1"/>
        </w:rPr>
        <w:t>r</w:t>
      </w:r>
      <w:r w:rsidRPr="00775F83">
        <w:rPr>
          <w:spacing w:val="-1"/>
        </w:rPr>
        <w:t xml:space="preserve">eporting </w:t>
      </w:r>
      <w:r w:rsidRPr="00775F83" w:rsidR="00F17EA4">
        <w:rPr>
          <w:spacing w:val="-1"/>
        </w:rPr>
        <w:t>e</w:t>
      </w:r>
      <w:r w:rsidRPr="00775F83">
        <w:rPr>
          <w:spacing w:val="-1"/>
        </w:rPr>
        <w:t>ntities</w:t>
      </w:r>
      <w:r w:rsidRPr="00775F83">
        <w:t xml:space="preserve"> </w:t>
      </w:r>
      <w:r w:rsidRPr="00775F83">
        <w:rPr>
          <w:spacing w:val="-1"/>
        </w:rPr>
        <w:t>electing</w:t>
      </w:r>
      <w:r w:rsidRPr="00775F83">
        <w:t xml:space="preserve"> </w:t>
      </w:r>
      <w:r w:rsidRPr="00D72475">
        <w:rPr>
          <w:b/>
        </w:rPr>
        <w:t>Option ii</w:t>
      </w:r>
      <w:r w:rsidRPr="00775F83">
        <w:rPr>
          <w:b/>
        </w:rPr>
        <w:t xml:space="preserve"> </w:t>
      </w:r>
      <w:r w:rsidRPr="00775F83">
        <w:t>will provide both budgeted and actuals.</w:t>
      </w:r>
    </w:p>
    <w:p w:rsidR="0092731A" w:rsidRPr="00775F83" w:rsidP="002513AB" w14:paraId="19ABF963" w14:textId="03346DCA">
      <w:pPr>
        <w:pStyle w:val="ListParagraph"/>
        <w:numPr>
          <w:ilvl w:val="0"/>
          <w:numId w:val="25"/>
        </w:numPr>
        <w:tabs>
          <w:tab w:val="left" w:pos="949"/>
        </w:tabs>
        <w:spacing w:before="5"/>
        <w:ind w:right="-40"/>
        <w:contextualSpacing/>
      </w:pPr>
      <w:r w:rsidRPr="00775F83">
        <w:rPr>
          <w:b/>
          <w:bCs/>
        </w:rPr>
        <w:t>Medicare Part A or B:</w:t>
      </w:r>
      <w:r w:rsidRPr="00775F83">
        <w:t xml:space="preserve"> </w:t>
      </w:r>
      <w:r w:rsidRPr="00775F83" w:rsidR="00F17EA4">
        <w:t xml:space="preserve"> R</w:t>
      </w:r>
      <w:r w:rsidRPr="00775F83">
        <w:t>evenues/net charges received from Medicare Part A or B for patient care.</w:t>
      </w:r>
      <w:r w:rsidRPr="00775F83" w:rsidR="008B03B8">
        <w:t xml:space="preserve"> </w:t>
      </w:r>
    </w:p>
    <w:p w:rsidR="0092731A" w:rsidRPr="00775F83" w:rsidP="002513AB" w14:paraId="51FA2A5F" w14:textId="0D648A12">
      <w:pPr>
        <w:pStyle w:val="ListParagraph"/>
        <w:numPr>
          <w:ilvl w:val="0"/>
          <w:numId w:val="25"/>
        </w:numPr>
        <w:tabs>
          <w:tab w:val="left" w:pos="949"/>
        </w:tabs>
        <w:spacing w:before="5"/>
        <w:ind w:left="990" w:right="-40" w:hanging="270"/>
        <w:contextualSpacing/>
      </w:pPr>
      <w:r w:rsidRPr="00775F83">
        <w:rPr>
          <w:b/>
          <w:bCs/>
        </w:rPr>
        <w:t>Medicare</w:t>
      </w:r>
      <w:r w:rsidRPr="00775F83">
        <w:rPr>
          <w:b/>
          <w:bCs/>
          <w:spacing w:val="8"/>
        </w:rPr>
        <w:t xml:space="preserve"> </w:t>
      </w:r>
      <w:r w:rsidRPr="00775F83">
        <w:rPr>
          <w:b/>
          <w:bCs/>
        </w:rPr>
        <w:t>Part</w:t>
      </w:r>
      <w:r w:rsidRPr="00775F83">
        <w:rPr>
          <w:b/>
          <w:bCs/>
          <w:spacing w:val="18"/>
        </w:rPr>
        <w:t xml:space="preserve"> </w:t>
      </w:r>
      <w:r w:rsidRPr="00775F83">
        <w:rPr>
          <w:b/>
          <w:bCs/>
        </w:rPr>
        <w:t>C</w:t>
      </w:r>
      <w:r w:rsidRPr="00775F83">
        <w:rPr>
          <w:b/>
          <w:bCs/>
          <w:spacing w:val="-6"/>
        </w:rPr>
        <w:t xml:space="preserve"> </w:t>
      </w:r>
      <w:r w:rsidRPr="00775F83">
        <w:rPr>
          <w:b/>
          <w:bCs/>
        </w:rPr>
        <w:t>(Medicare</w:t>
      </w:r>
      <w:r w:rsidRPr="00775F83">
        <w:rPr>
          <w:b/>
          <w:bCs/>
          <w:spacing w:val="9"/>
        </w:rPr>
        <w:t xml:space="preserve"> </w:t>
      </w:r>
      <w:r w:rsidRPr="00775F83">
        <w:rPr>
          <w:b/>
          <w:bCs/>
        </w:rPr>
        <w:t>Advantage):</w:t>
      </w:r>
      <w:r w:rsidRPr="00775F83">
        <w:rPr>
          <w:spacing w:val="1"/>
        </w:rPr>
        <w:t xml:space="preserve"> </w:t>
      </w:r>
      <w:r w:rsidRPr="00775F83" w:rsidR="00F17EA4">
        <w:rPr>
          <w:spacing w:val="1"/>
        </w:rPr>
        <w:t xml:space="preserve"> </w:t>
      </w:r>
      <w:r w:rsidRPr="00775F83" w:rsidR="00F17EA4">
        <w:t>R</w:t>
      </w:r>
      <w:r w:rsidRPr="00775F83">
        <w:t>evenues/net charges received from Medicare Part C for</w:t>
      </w:r>
      <w:r w:rsidRPr="00775F83">
        <w:t xml:space="preserve"> </w:t>
      </w:r>
      <w:r w:rsidRPr="00775F83">
        <w:t>patient care.</w:t>
      </w:r>
    </w:p>
    <w:p w:rsidR="0092731A" w:rsidRPr="00775F83" w:rsidP="002513AB" w14:paraId="1E8EAA8F" w14:textId="6511840B">
      <w:pPr>
        <w:pStyle w:val="ListParagraph"/>
        <w:numPr>
          <w:ilvl w:val="0"/>
          <w:numId w:val="25"/>
        </w:numPr>
        <w:tabs>
          <w:tab w:val="left" w:pos="949"/>
        </w:tabs>
        <w:spacing w:before="5"/>
        <w:ind w:left="990" w:right="-40" w:hanging="270"/>
        <w:contextualSpacing/>
      </w:pPr>
      <w:r w:rsidRPr="00775F83">
        <w:rPr>
          <w:b/>
          <w:bCs/>
        </w:rPr>
        <w:t>Medicaid/CHIP:</w:t>
      </w:r>
      <w:r w:rsidRPr="00775F83">
        <w:rPr>
          <w:spacing w:val="4"/>
        </w:rPr>
        <w:t xml:space="preserve"> </w:t>
      </w:r>
      <w:r w:rsidRPr="00775F83" w:rsidR="00F17EA4">
        <w:rPr>
          <w:spacing w:val="4"/>
        </w:rPr>
        <w:t xml:space="preserve"> </w:t>
      </w:r>
      <w:r w:rsidRPr="00775F83" w:rsidR="00F17EA4">
        <w:t>R</w:t>
      </w:r>
      <w:r w:rsidRPr="00775F83">
        <w:t>evenues/net charges received from</w:t>
      </w:r>
      <w:r w:rsidRPr="00775F83" w:rsidR="008B03B8">
        <w:t xml:space="preserve"> </w:t>
      </w:r>
      <w:r w:rsidRPr="00775F83">
        <w:t>Medicaid/CHIP for patient care.</w:t>
      </w:r>
    </w:p>
    <w:p w:rsidR="0092731A" w:rsidRPr="00775F83" w:rsidP="002513AB" w14:paraId="01DEBBD7" w14:textId="52F28E30">
      <w:pPr>
        <w:pStyle w:val="ListParagraph"/>
        <w:numPr>
          <w:ilvl w:val="0"/>
          <w:numId w:val="25"/>
        </w:numPr>
        <w:tabs>
          <w:tab w:val="left" w:pos="949"/>
        </w:tabs>
        <w:spacing w:before="5"/>
        <w:ind w:left="990" w:right="-40" w:hanging="270"/>
        <w:contextualSpacing/>
      </w:pPr>
      <w:r w:rsidRPr="00775F83">
        <w:rPr>
          <w:b/>
          <w:bCs/>
        </w:rPr>
        <w:t>Commercial</w:t>
      </w:r>
      <w:r w:rsidRPr="00775F83">
        <w:rPr>
          <w:b/>
          <w:bCs/>
          <w:spacing w:val="-2"/>
        </w:rPr>
        <w:t xml:space="preserve"> </w:t>
      </w:r>
      <w:r w:rsidRPr="00775F83">
        <w:rPr>
          <w:b/>
          <w:bCs/>
        </w:rPr>
        <w:t>Insurance:</w:t>
      </w:r>
      <w:r w:rsidRPr="00775F83" w:rsidR="0078604B">
        <w:t xml:space="preserve">  </w:t>
      </w:r>
      <w:r w:rsidRPr="00775F83" w:rsidR="00F17EA4">
        <w:t>R</w:t>
      </w:r>
      <w:r w:rsidRPr="00775F83">
        <w:t>evenues/net charges from commercial insurance payers for patient care.</w:t>
      </w:r>
    </w:p>
    <w:p w:rsidR="0092731A" w:rsidRPr="00775F83" w:rsidP="002513AB" w14:paraId="4E620902" w14:textId="5FDDD81B">
      <w:pPr>
        <w:pStyle w:val="ListParagraph"/>
        <w:numPr>
          <w:ilvl w:val="0"/>
          <w:numId w:val="25"/>
        </w:numPr>
        <w:tabs>
          <w:tab w:val="left" w:pos="949"/>
        </w:tabs>
        <w:spacing w:before="5"/>
        <w:ind w:left="990" w:right="-40" w:hanging="270"/>
        <w:contextualSpacing/>
      </w:pPr>
      <w:r w:rsidRPr="00775F83">
        <w:rPr>
          <w:b/>
          <w:bCs/>
        </w:rPr>
        <w:t>Self-Pay (No Insurance):</w:t>
      </w:r>
      <w:r w:rsidRPr="00775F83">
        <w:t xml:space="preserve"> </w:t>
      </w:r>
      <w:r w:rsidRPr="00775F83" w:rsidR="00F17EA4">
        <w:t xml:space="preserve"> R</w:t>
      </w:r>
      <w:r w:rsidRPr="00775F83">
        <w:t>evenues/net charges received from self-pay patients, including the uninsured or individuals without insurance who bear the burden of paying for health care themselves.</w:t>
      </w:r>
    </w:p>
    <w:p w:rsidR="004057EF" w:rsidRPr="00775F83" w:rsidP="002513AB" w14:paraId="507AA806" w14:textId="5CB86570">
      <w:pPr>
        <w:pStyle w:val="ListParagraph"/>
        <w:numPr>
          <w:ilvl w:val="0"/>
          <w:numId w:val="25"/>
        </w:numPr>
        <w:tabs>
          <w:tab w:val="left" w:pos="949"/>
        </w:tabs>
        <w:spacing w:before="5"/>
        <w:ind w:left="990" w:right="-40" w:hanging="270"/>
        <w:contextualSpacing/>
      </w:pPr>
      <w:r w:rsidRPr="00775F83">
        <w:rPr>
          <w:b/>
          <w:bCs/>
        </w:rPr>
        <w:t>Other:</w:t>
      </w:r>
      <w:r w:rsidRPr="00775F83">
        <w:rPr>
          <w:spacing w:val="2"/>
        </w:rPr>
        <w:t xml:space="preserve"> </w:t>
      </w:r>
      <w:r w:rsidRPr="00775F83" w:rsidR="00F17EA4">
        <w:rPr>
          <w:spacing w:val="2"/>
        </w:rPr>
        <w:t xml:space="preserve"> </w:t>
      </w:r>
      <w:r w:rsidRPr="00775F83" w:rsidR="00F17EA4">
        <w:t>R</w:t>
      </w:r>
      <w:r w:rsidRPr="00775F83">
        <w:t>evenues/net charges from other sources received for patient care services and not included</w:t>
      </w:r>
      <w:r w:rsidRPr="00775F83" w:rsidR="008B03B8">
        <w:t xml:space="preserve"> </w:t>
      </w:r>
      <w:r w:rsidRPr="00775F83">
        <w:rPr>
          <w:spacing w:val="-1"/>
        </w:rPr>
        <w:t>in</w:t>
      </w:r>
      <w:r w:rsidRPr="00775F83">
        <w:t xml:space="preserve"> </w:t>
      </w:r>
      <w:r w:rsidRPr="00775F83">
        <w:rPr>
          <w:spacing w:val="-1"/>
        </w:rPr>
        <w:t>the</w:t>
      </w:r>
      <w:r w:rsidRPr="00775F83">
        <w:t xml:space="preserve"> </w:t>
      </w:r>
      <w:r w:rsidRPr="00775F83">
        <w:rPr>
          <w:spacing w:val="-1"/>
        </w:rPr>
        <w:t>list</w:t>
      </w:r>
      <w:r w:rsidRPr="00775F83">
        <w:t xml:space="preserve"> </w:t>
      </w:r>
      <w:r w:rsidRPr="00775F83">
        <w:rPr>
          <w:spacing w:val="-1"/>
        </w:rPr>
        <w:t>above.</w:t>
      </w:r>
    </w:p>
    <w:p w:rsidR="00474C2B" w:rsidRPr="00775F83" w:rsidP="00E526BB" w14:paraId="4CAC1543" w14:textId="77777777">
      <w:pPr>
        <w:pStyle w:val="ListParagraph"/>
        <w:ind w:left="550" w:firstLine="0"/>
        <w:contextualSpacing/>
        <w:rPr>
          <w:b/>
        </w:rPr>
      </w:pPr>
    </w:p>
    <w:p w:rsidR="00E526BB" w:rsidRPr="00775F83" w:rsidP="003E5D0B" w14:paraId="5952B055" w14:textId="708580D3">
      <w:pPr>
        <w:pStyle w:val="ListParagraph"/>
        <w:ind w:left="720" w:firstLine="0"/>
        <w:contextualSpacing/>
        <w:rPr>
          <w:b/>
        </w:rPr>
      </w:pPr>
      <w:r w:rsidRPr="00775F83">
        <w:rPr>
          <w:b/>
        </w:rPr>
        <w:t>Additional</w:t>
      </w:r>
      <w:r w:rsidRPr="00775F83">
        <w:rPr>
          <w:b/>
          <w:spacing w:val="22"/>
        </w:rPr>
        <w:t xml:space="preserve"> </w:t>
      </w:r>
      <w:r w:rsidRPr="00775F83">
        <w:rPr>
          <w:b/>
        </w:rPr>
        <w:t>Revenue</w:t>
      </w:r>
      <w:r w:rsidRPr="00775F83">
        <w:rPr>
          <w:b/>
          <w:spacing w:val="15"/>
        </w:rPr>
        <w:t xml:space="preserve"> </w:t>
      </w:r>
      <w:r w:rsidRPr="00775F83">
        <w:rPr>
          <w:b/>
        </w:rPr>
        <w:t>Information</w:t>
      </w:r>
    </w:p>
    <w:p w:rsidR="004057EF" w:rsidRPr="00775F83" w:rsidP="003E5D0B" w14:paraId="507AA809" w14:textId="0BC41478">
      <w:pPr>
        <w:pStyle w:val="ListParagraph"/>
        <w:ind w:left="720" w:firstLine="0"/>
        <w:contextualSpacing/>
      </w:pPr>
      <w:r w:rsidRPr="00775F83">
        <w:t xml:space="preserve">In addition to providing patient care revenues, </w:t>
      </w:r>
      <w:r w:rsidRPr="00775F83" w:rsidR="00F17EA4">
        <w:t>r</w:t>
      </w:r>
      <w:r w:rsidRPr="00775F83">
        <w:t xml:space="preserve">eporting </w:t>
      </w:r>
      <w:r w:rsidRPr="00775F83" w:rsidR="00F17EA4">
        <w:t>e</w:t>
      </w:r>
      <w:r w:rsidRPr="00775F83">
        <w:t xml:space="preserve">ntities will need to provide </w:t>
      </w:r>
      <w:r w:rsidRPr="00775F83" w:rsidR="00ED1F0D">
        <w:t xml:space="preserve">documentation to substantiate the </w:t>
      </w:r>
      <w:r w:rsidRPr="00775F83">
        <w:t>revenue information</w:t>
      </w:r>
      <w:r w:rsidRPr="00775F83" w:rsidR="00ED1F0D">
        <w:t xml:space="preserve"> provided</w:t>
      </w:r>
      <w:r w:rsidRPr="00775F83" w:rsidR="0056799C">
        <w:t xml:space="preserve"> if </w:t>
      </w:r>
      <w:r w:rsidRPr="00D72475" w:rsidR="0056799C">
        <w:rPr>
          <w:b/>
        </w:rPr>
        <w:t>Option ii</w:t>
      </w:r>
      <w:r w:rsidRPr="00775F83" w:rsidR="0056799C">
        <w:rPr>
          <w:b/>
        </w:rPr>
        <w:t xml:space="preserve"> </w:t>
      </w:r>
      <w:r w:rsidRPr="00775F83" w:rsidR="0056799C">
        <w:t xml:space="preserve">or </w:t>
      </w:r>
      <w:r w:rsidRPr="00D72475" w:rsidR="0056799C">
        <w:rPr>
          <w:b/>
        </w:rPr>
        <w:t>Option iii</w:t>
      </w:r>
      <w:r w:rsidRPr="00775F83" w:rsidR="0056799C">
        <w:t xml:space="preserve"> was used</w:t>
      </w:r>
      <w:r w:rsidRPr="00775F83">
        <w:t xml:space="preserve"> to calculate lost revenues attributable to </w:t>
      </w:r>
      <w:r w:rsidRPr="00775F83" w:rsidR="0044674D">
        <w:t>COVID-19</w:t>
      </w:r>
      <w:r w:rsidRPr="00775F83" w:rsidR="001D1C0F">
        <w:t xml:space="preserve"> (r</w:t>
      </w:r>
      <w:r w:rsidRPr="00775F83">
        <w:t xml:space="preserve">efer to Step </w:t>
      </w:r>
      <w:r w:rsidRPr="00775F83" w:rsidR="005761EB">
        <w:t>8</w:t>
      </w:r>
      <w:r w:rsidRPr="00775F83">
        <w:t xml:space="preserve"> of </w:t>
      </w:r>
      <w:hyperlink w:anchor="_bookmark6" w:history="1">
        <w:r w:rsidRPr="00775F83">
          <w:rPr>
            <w:color w:val="0000FF"/>
            <w:u w:val="single" w:color="0000FF"/>
          </w:rPr>
          <w:t>Steps</w:t>
        </w:r>
        <w:r w:rsidRPr="00775F83">
          <w:rPr>
            <w:color w:val="0000FF"/>
            <w:spacing w:val="3"/>
            <w:u w:val="single" w:color="0000FF"/>
          </w:rPr>
          <w:t xml:space="preserve"> </w:t>
        </w:r>
        <w:r w:rsidRPr="00775F83">
          <w:rPr>
            <w:color w:val="0000FF"/>
            <w:u w:val="single" w:color="0000FF"/>
          </w:rPr>
          <w:t>for Reporting</w:t>
        </w:r>
        <w:r w:rsidRPr="00775F83">
          <w:rPr>
            <w:color w:val="0000FF"/>
            <w:spacing w:val="-6"/>
            <w:u w:val="single" w:color="0000FF"/>
          </w:rPr>
          <w:t xml:space="preserve"> </w:t>
        </w:r>
        <w:r w:rsidRPr="00775F83">
          <w:rPr>
            <w:color w:val="0000FF"/>
            <w:u w:val="single" w:color="0000FF"/>
          </w:rPr>
          <w:t>on</w:t>
        </w:r>
        <w:r w:rsidRPr="00775F83">
          <w:rPr>
            <w:color w:val="0000FF"/>
            <w:spacing w:val="-7"/>
            <w:u w:val="single" w:color="0000FF"/>
          </w:rPr>
          <w:t xml:space="preserve"> </w:t>
        </w:r>
        <w:r w:rsidRPr="00775F83">
          <w:rPr>
            <w:color w:val="0000FF"/>
            <w:u w:val="single" w:color="0000FF"/>
          </w:rPr>
          <w:t>Use</w:t>
        </w:r>
        <w:r w:rsidRPr="00775F83">
          <w:rPr>
            <w:color w:val="0000FF"/>
            <w:spacing w:val="-9"/>
            <w:u w:val="single" w:color="0000FF"/>
          </w:rPr>
          <w:t xml:space="preserve"> </w:t>
        </w:r>
        <w:r w:rsidRPr="00775F83">
          <w:rPr>
            <w:color w:val="0000FF"/>
            <w:u w:val="single" w:color="0000FF"/>
          </w:rPr>
          <w:t>of Funds</w:t>
        </w:r>
        <w:r w:rsidRPr="00775F83">
          <w:rPr>
            <w:color w:val="0000FF"/>
            <w:spacing w:val="5"/>
          </w:rPr>
          <w:t xml:space="preserve"> </w:t>
        </w:r>
      </w:hyperlink>
      <w:r w:rsidRPr="00775F83">
        <w:t>above</w:t>
      </w:r>
      <w:r w:rsidRPr="00775F83" w:rsidR="001D1C0F">
        <w:t>)</w:t>
      </w:r>
      <w:r w:rsidRPr="00775F83">
        <w:t>.</w:t>
      </w:r>
    </w:p>
    <w:p w:rsidR="00474C2B" w:rsidRPr="00390CDC" w:rsidP="00544C67" w14:paraId="7D0448EC" w14:textId="2966BA04">
      <w:pPr>
        <w:contextualSpacing/>
      </w:pPr>
    </w:p>
    <w:p w:rsidR="004057EF" w:rsidRPr="00775F83" w:rsidP="002513AB" w14:paraId="507AA810" w14:textId="7C51F16B">
      <w:pPr>
        <w:pStyle w:val="ListParagraph"/>
        <w:numPr>
          <w:ilvl w:val="0"/>
          <w:numId w:val="28"/>
        </w:numPr>
        <w:contextualSpacing/>
      </w:pPr>
      <w:r w:rsidRPr="00775F83">
        <w:rPr>
          <w:b/>
          <w:color w:val="0000FF"/>
          <w:u w:val="single" w:color="0000FF"/>
        </w:rPr>
        <w:t>Option</w:t>
      </w:r>
      <w:r w:rsidRPr="00775F83">
        <w:rPr>
          <w:b/>
          <w:color w:val="0000FF"/>
          <w:spacing w:val="12"/>
          <w:u w:val="single" w:color="0000FF"/>
        </w:rPr>
        <w:t xml:space="preserve"> </w:t>
      </w:r>
      <w:r w:rsidRPr="00775F83">
        <w:rPr>
          <w:b/>
          <w:color w:val="0000FF"/>
          <w:u w:val="single" w:color="0000FF"/>
        </w:rPr>
        <w:t>ii</w:t>
      </w:r>
      <w:r w:rsidRPr="00775F83">
        <w:t>:</w:t>
      </w:r>
      <w:r w:rsidRPr="00775F83" w:rsidR="0078604B">
        <w:rPr>
          <w:spacing w:val="1"/>
        </w:rPr>
        <w:t xml:space="preserve">  </w:t>
      </w:r>
      <w:r w:rsidRPr="00775F83" w:rsidR="00473190">
        <w:t xml:space="preserve">Reporting </w:t>
      </w:r>
      <w:r w:rsidRPr="00775F83" w:rsidR="00F17EA4">
        <w:t>e</w:t>
      </w:r>
      <w:r w:rsidRPr="00775F83" w:rsidR="00473190">
        <w:t>ntities must also submit:</w:t>
      </w:r>
      <w:r w:rsidRPr="00775F83" w:rsidR="00F17EA4">
        <w:t xml:space="preserve"> (</w:t>
      </w:r>
      <w:r w:rsidRPr="00775F83" w:rsidR="00473190">
        <w:t>1) a copy of a budget, which must have been approved</w:t>
      </w:r>
      <w:r w:rsidRPr="00775F83" w:rsidR="00810895">
        <w:t xml:space="preserve"> </w:t>
      </w:r>
      <w:bookmarkStart w:id="28" w:name="_bookmark14"/>
      <w:bookmarkStart w:id="29" w:name="_bookmark15"/>
      <w:bookmarkEnd w:id="28"/>
      <w:bookmarkEnd w:id="29"/>
      <w:r w:rsidRPr="00775F83" w:rsidR="00473190">
        <w:t>before March 27, 2020</w:t>
      </w:r>
      <w:r w:rsidRPr="00775F83" w:rsidR="00F17EA4">
        <w:t>;</w:t>
      </w:r>
      <w:r w:rsidRPr="00775F83" w:rsidR="00473190">
        <w:t xml:space="preserve"> and </w:t>
      </w:r>
      <w:r w:rsidRPr="00775F83" w:rsidR="00F17EA4">
        <w:t>(</w:t>
      </w:r>
      <w:r w:rsidRPr="00775F83" w:rsidR="00473190">
        <w:t xml:space="preserve">2) an attestation from the </w:t>
      </w:r>
      <w:r w:rsidRPr="00775F83" w:rsidR="00F17EA4">
        <w:t>r</w:t>
      </w:r>
      <w:r w:rsidRPr="00775F83" w:rsidR="00473190">
        <w:t xml:space="preserve">eporting </w:t>
      </w:r>
      <w:r w:rsidRPr="00775F83" w:rsidR="00F17EA4">
        <w:t>e</w:t>
      </w:r>
      <w:r w:rsidRPr="00775F83" w:rsidR="00473190">
        <w:t xml:space="preserve">ntity’s Chief </w:t>
      </w:r>
      <w:r w:rsidRPr="00775F83" w:rsidR="00473190">
        <w:t>Executive Officer, Chief Financial Officer, or similar responsible individual, attesting under 18 USC § 1001 that the exact budget being submitted was established and approved prior to March 27, 2020</w:t>
      </w:r>
      <w:r w:rsidRPr="00775F83" w:rsidR="00F17EA4">
        <w:t>.</w:t>
      </w:r>
    </w:p>
    <w:p w:rsidR="004057EF" w:rsidRPr="00775F83" w:rsidP="00AC38E6" w14:paraId="507AA811" w14:textId="77777777">
      <w:pPr>
        <w:ind w:left="1291"/>
        <w:contextualSpacing/>
      </w:pPr>
    </w:p>
    <w:p w:rsidR="00B50E29" w:rsidRPr="00775F83" w:rsidP="00B50E29" w14:paraId="114E375B" w14:textId="7AFD7BBA">
      <w:pPr>
        <w:pStyle w:val="ListParagraph"/>
        <w:numPr>
          <w:ilvl w:val="0"/>
          <w:numId w:val="28"/>
        </w:numPr>
        <w:contextualSpacing/>
      </w:pPr>
      <w:r w:rsidRPr="00775F83">
        <w:rPr>
          <w:b/>
          <w:color w:val="0000FF"/>
          <w:u w:val="single" w:color="0000FF"/>
        </w:rPr>
        <w:t>Option iii</w:t>
      </w:r>
      <w:r w:rsidRPr="00775F83">
        <w:t>:</w:t>
      </w:r>
      <w:r w:rsidRPr="00775F83">
        <w:rPr>
          <w:spacing w:val="1"/>
        </w:rPr>
        <w:t xml:space="preserve"> </w:t>
      </w:r>
      <w:r w:rsidRPr="00775F83" w:rsidR="00F17EA4">
        <w:rPr>
          <w:spacing w:val="1"/>
        </w:rPr>
        <w:t xml:space="preserve"> </w:t>
      </w:r>
      <w:r w:rsidRPr="00775F83" w:rsidR="00473190">
        <w:t xml:space="preserve">Alternate methodology for calculating lost revenues attributable to </w:t>
      </w:r>
      <w:r w:rsidRPr="00775F83" w:rsidR="00EC6F49">
        <w:t>COVID-19</w:t>
      </w:r>
      <w:r w:rsidRPr="00775F83" w:rsidR="00832C71">
        <w:t>.</w:t>
      </w:r>
      <w:r w:rsidRPr="00775F83" w:rsidR="00473190">
        <w:t xml:space="preserve"> </w:t>
      </w:r>
      <w:r w:rsidRPr="00775F83" w:rsidR="00F17EA4">
        <w:t xml:space="preserve"> </w:t>
      </w:r>
      <w:r w:rsidRPr="00775F83" w:rsidR="00473190">
        <w:t xml:space="preserve">Reporting </w:t>
      </w:r>
      <w:r w:rsidRPr="00775F83" w:rsidR="00F17EA4">
        <w:t>e</w:t>
      </w:r>
      <w:r w:rsidRPr="00775F83" w:rsidR="00473190">
        <w:t>ntities must submit</w:t>
      </w:r>
      <w:r w:rsidRPr="00775F83" w:rsidR="00473190">
        <w:t xml:space="preserve">: </w:t>
      </w:r>
      <w:r w:rsidRPr="00775F83" w:rsidR="00F17EA4">
        <w:t xml:space="preserve"> (</w:t>
      </w:r>
      <w:r w:rsidRPr="00775F83" w:rsidR="00473190">
        <w:t xml:space="preserve">1) a narrative document describing methodology, an explanation of why the methodology is reasonable, and a description establishing how lost revenues were attributable to </w:t>
      </w:r>
      <w:r w:rsidRPr="00775F83" w:rsidR="00EC6F49">
        <w:t>COVID-19</w:t>
      </w:r>
      <w:r w:rsidRPr="00775F83" w:rsidR="00473190">
        <w:t xml:space="preserve">, as opposed to a loss caused by any other source; and </w:t>
      </w:r>
      <w:r w:rsidRPr="00775F83" w:rsidR="00F17EA4">
        <w:t>(</w:t>
      </w:r>
      <w:r w:rsidRPr="00775F83" w:rsidR="00473190">
        <w:t xml:space="preserve">2) </w:t>
      </w:r>
      <w:r w:rsidRPr="00775F83" w:rsidR="0047181C">
        <w:t>a</w:t>
      </w:r>
      <w:r w:rsidRPr="00775F83" w:rsidR="00473190">
        <w:t xml:space="preserve"> calculation of lost revenues attributable to </w:t>
      </w:r>
      <w:r w:rsidRPr="00775F83" w:rsidR="00EC6F49">
        <w:t>COVID-19</w:t>
      </w:r>
      <w:r w:rsidRPr="00775F83" w:rsidR="00473190">
        <w:t xml:space="preserve"> using the methodology described in the narrative document.</w:t>
      </w:r>
      <w:r w:rsidRPr="00775F83" w:rsidR="00F17EA4">
        <w:t xml:space="preserve"> </w:t>
      </w:r>
      <w:r w:rsidRPr="00775F83" w:rsidR="00473190">
        <w:t xml:space="preserve"> All recipients seeking to use an alternate methodology face an increased likelihood of an audit by HRSA. </w:t>
      </w:r>
      <w:r w:rsidRPr="00775F83" w:rsidR="00F17EA4">
        <w:t xml:space="preserve"> </w:t>
      </w:r>
      <w:r w:rsidRPr="00775F83" w:rsidR="00473190">
        <w:t xml:space="preserve">HRSA will notify a recipient if their proposed methodology is not reasonable, including if it does not demonstrate with a reasonable certainty that claimed lost revenues were caused by </w:t>
      </w:r>
      <w:r w:rsidRPr="00775F83" w:rsidR="00F17EA4">
        <w:t>COVID-19</w:t>
      </w:r>
      <w:r w:rsidRPr="00775F83" w:rsidR="00473190">
        <w:t>.</w:t>
      </w:r>
      <w:r w:rsidRPr="00775F83" w:rsidR="00F17EA4">
        <w:t xml:space="preserve"> </w:t>
      </w:r>
      <w:r w:rsidRPr="00775F83" w:rsidR="00473190">
        <w:t xml:space="preserve"> If HRSA determines that a recipient’s proposed alternate methodology is not reasonable, the recipient must resubmit its report within 30 days of notification using either </w:t>
      </w:r>
      <w:r w:rsidRPr="00D72475" w:rsidR="00473190">
        <w:rPr>
          <w:b/>
        </w:rPr>
        <w:t>Option i</w:t>
      </w:r>
      <w:r w:rsidRPr="00775F83" w:rsidR="00473190">
        <w:t xml:space="preserve"> or </w:t>
      </w:r>
      <w:r w:rsidRPr="00D72475" w:rsidR="00473190">
        <w:rPr>
          <w:b/>
        </w:rPr>
        <w:t>Option ii</w:t>
      </w:r>
      <w:r w:rsidRPr="00775F83" w:rsidR="00473190">
        <w:t xml:space="preserve"> to calculate lost revenues attributable to </w:t>
      </w:r>
      <w:r w:rsidRPr="00775F83" w:rsidR="00EC6F49">
        <w:t>COVID-19</w:t>
      </w:r>
      <w:r w:rsidRPr="00775F83" w:rsidR="00473190">
        <w:t>.</w:t>
      </w:r>
    </w:p>
    <w:p w:rsidR="002F1486" w:rsidRPr="00775F83" w:rsidP="002F1486" w14:paraId="0BFCDF4B" w14:textId="77777777">
      <w:pPr>
        <w:ind w:left="360"/>
        <w:contextualSpacing/>
      </w:pPr>
    </w:p>
    <w:p w:rsidR="00C34B8D" w:rsidRPr="00775F83" w:rsidP="003E5D0B" w14:paraId="3ED161BD" w14:textId="2E78BB74">
      <w:pPr>
        <w:pStyle w:val="ListParagraph"/>
        <w:numPr>
          <w:ilvl w:val="0"/>
          <w:numId w:val="8"/>
        </w:numPr>
        <w:ind w:left="720" w:hanging="360"/>
        <w:contextualSpacing/>
      </w:pPr>
      <w:r w:rsidRPr="00775F83">
        <w:rPr>
          <w:b/>
        </w:rPr>
        <w:t>Net</w:t>
      </w:r>
      <w:r w:rsidRPr="00775F83">
        <w:rPr>
          <w:b/>
          <w:spacing w:val="8"/>
        </w:rPr>
        <w:t xml:space="preserve"> </w:t>
      </w:r>
      <w:r w:rsidRPr="00775F83">
        <w:rPr>
          <w:b/>
        </w:rPr>
        <w:t>Unreimbursed</w:t>
      </w:r>
      <w:r w:rsidRPr="00775F83">
        <w:rPr>
          <w:b/>
          <w:spacing w:val="-13"/>
        </w:rPr>
        <w:t xml:space="preserve"> </w:t>
      </w:r>
      <w:r w:rsidRPr="00775F83">
        <w:rPr>
          <w:b/>
        </w:rPr>
        <w:t>Expenses</w:t>
      </w:r>
      <w:r w:rsidRPr="00775F83">
        <w:rPr>
          <w:b/>
          <w:spacing w:val="12"/>
        </w:rPr>
        <w:t xml:space="preserve"> </w:t>
      </w:r>
      <w:r w:rsidRPr="00775F83">
        <w:rPr>
          <w:b/>
        </w:rPr>
        <w:t>Attributable</w:t>
      </w:r>
      <w:r w:rsidRPr="00775F83">
        <w:rPr>
          <w:b/>
          <w:spacing w:val="16"/>
        </w:rPr>
        <w:t xml:space="preserve"> </w:t>
      </w:r>
      <w:r w:rsidRPr="00775F83">
        <w:rPr>
          <w:b/>
        </w:rPr>
        <w:t>to</w:t>
      </w:r>
      <w:r w:rsidRPr="00775F83">
        <w:rPr>
          <w:b/>
          <w:spacing w:val="1"/>
        </w:rPr>
        <w:t xml:space="preserve"> </w:t>
      </w:r>
      <w:r w:rsidRPr="00775F83">
        <w:rPr>
          <w:b/>
          <w:bCs/>
        </w:rPr>
        <w:t>COVID-19</w:t>
      </w:r>
    </w:p>
    <w:p w:rsidR="007D437A" w:rsidRPr="00775F83" w:rsidP="003E5D0B" w14:paraId="18F06F4B" w14:textId="146B00A3">
      <w:pPr>
        <w:ind w:left="720"/>
        <w:contextualSpacing/>
      </w:pPr>
      <w:r w:rsidRPr="00775F83">
        <w:t xml:space="preserve">The unreimbursed health care expenses attributable to </w:t>
      </w:r>
      <w:r w:rsidRPr="00775F83" w:rsidR="00EC6F49">
        <w:t>COVID-19</w:t>
      </w:r>
      <w:r w:rsidRPr="00775F83">
        <w:t xml:space="preserve">, </w:t>
      </w:r>
      <w:r w:rsidRPr="00775F83">
        <w:rPr>
          <w:u w:val="single"/>
        </w:rPr>
        <w:t>net</w:t>
      </w:r>
      <w:r w:rsidRPr="00775F83">
        <w:rPr>
          <w:spacing w:val="-2"/>
          <w:u w:val="single"/>
        </w:rPr>
        <w:t xml:space="preserve"> </w:t>
      </w:r>
      <w:r w:rsidRPr="00775F83">
        <w:rPr>
          <w:u w:val="single"/>
        </w:rPr>
        <w:t>of</w:t>
      </w:r>
      <w:r w:rsidRPr="00775F83">
        <w:rPr>
          <w:spacing w:val="2"/>
          <w:u w:val="single"/>
        </w:rPr>
        <w:t xml:space="preserve"> </w:t>
      </w:r>
      <w:r w:rsidRPr="00775F83">
        <w:rPr>
          <w:u w:val="single"/>
        </w:rPr>
        <w:t>other</w:t>
      </w:r>
      <w:r w:rsidRPr="00775F83">
        <w:rPr>
          <w:spacing w:val="3"/>
          <w:u w:val="single"/>
        </w:rPr>
        <w:t xml:space="preserve"> </w:t>
      </w:r>
      <w:r w:rsidRPr="00775F83">
        <w:rPr>
          <w:u w:val="single"/>
        </w:rPr>
        <w:t>reimbursed</w:t>
      </w:r>
      <w:r w:rsidRPr="00775F83">
        <w:rPr>
          <w:spacing w:val="-5"/>
          <w:u w:val="single"/>
        </w:rPr>
        <w:t xml:space="preserve"> </w:t>
      </w:r>
      <w:r w:rsidRPr="00775F83">
        <w:t>sources in two categories</w:t>
      </w:r>
      <w:r w:rsidRPr="00775F83">
        <w:t xml:space="preserve">: </w:t>
      </w:r>
      <w:r w:rsidRPr="00775F83" w:rsidR="00F17EA4">
        <w:t xml:space="preserve"> </w:t>
      </w:r>
      <w:r w:rsidRPr="00775F83">
        <w:t>(</w:t>
      </w:r>
      <w:r w:rsidRPr="00775F83">
        <w:t>1) General and Administrative expenses and (2) Health Care-Related Expenses.</w:t>
      </w:r>
    </w:p>
    <w:p w:rsidR="00B50E29" w:rsidRPr="00775F83" w:rsidP="003E5D0B" w14:paraId="1DF9295B" w14:textId="77777777">
      <w:pPr>
        <w:ind w:left="720"/>
        <w:contextualSpacing/>
      </w:pPr>
    </w:p>
    <w:p w:rsidR="004057EF" w:rsidRPr="00775F83" w:rsidP="003E5D0B" w14:paraId="507AA814" w14:textId="77777777">
      <w:pPr>
        <w:pStyle w:val="ListParagraph"/>
        <w:numPr>
          <w:ilvl w:val="0"/>
          <w:numId w:val="8"/>
        </w:numPr>
        <w:ind w:left="720" w:hanging="360"/>
        <w:contextualSpacing/>
      </w:pPr>
      <w:r w:rsidRPr="00775F83">
        <w:rPr>
          <w:b/>
        </w:rPr>
        <w:t>Personnel,</w:t>
      </w:r>
      <w:r w:rsidRPr="00775F83">
        <w:rPr>
          <w:b/>
          <w:spacing w:val="-3"/>
        </w:rPr>
        <w:t xml:space="preserve"> </w:t>
      </w:r>
      <w:r w:rsidRPr="00775F83">
        <w:rPr>
          <w:b/>
        </w:rPr>
        <w:t>Patient,</w:t>
      </w:r>
      <w:r w:rsidRPr="00775F83">
        <w:rPr>
          <w:b/>
          <w:spacing w:val="-3"/>
        </w:rPr>
        <w:t xml:space="preserve"> </w:t>
      </w:r>
      <w:r w:rsidRPr="00775F83">
        <w:rPr>
          <w:b/>
        </w:rPr>
        <w:t>and</w:t>
      </w:r>
      <w:r w:rsidRPr="00775F83">
        <w:rPr>
          <w:b/>
          <w:spacing w:val="-8"/>
        </w:rPr>
        <w:t xml:space="preserve"> </w:t>
      </w:r>
      <w:r w:rsidRPr="00775F83">
        <w:rPr>
          <w:b/>
        </w:rPr>
        <w:t>Facility</w:t>
      </w:r>
      <w:r w:rsidRPr="00775F83">
        <w:rPr>
          <w:b/>
          <w:spacing w:val="7"/>
        </w:rPr>
        <w:t xml:space="preserve"> </w:t>
      </w:r>
      <w:r w:rsidRPr="00775F83">
        <w:rPr>
          <w:b/>
        </w:rPr>
        <w:t>Metrics</w:t>
      </w:r>
    </w:p>
    <w:p w:rsidR="004057EF" w:rsidP="003E5D0B" w14:paraId="507AA815" w14:textId="6992B591">
      <w:pPr>
        <w:pStyle w:val="BodyText"/>
        <w:spacing w:before="3"/>
        <w:ind w:left="720"/>
        <w:contextualSpacing/>
      </w:pPr>
      <w:r w:rsidRPr="00775F83">
        <w:t xml:space="preserve">Reporting </w:t>
      </w:r>
      <w:r w:rsidRPr="00775F83" w:rsidR="00F17EA4">
        <w:t>e</w:t>
      </w:r>
      <w:r w:rsidRPr="00775F83">
        <w:t xml:space="preserve">ntities will report on the following personnel, patient, and facility metrics by quarter for </w:t>
      </w:r>
      <w:r w:rsidRPr="00775F83" w:rsidR="00D22467">
        <w:t>calendar year</w:t>
      </w:r>
      <w:r w:rsidRPr="00775F83">
        <w:t xml:space="preserve"> 2019 through the current period of availability</w:t>
      </w:r>
      <w:r w:rsidRPr="00775F83" w:rsidR="00C54C81">
        <w:t>:</w:t>
      </w:r>
    </w:p>
    <w:p w:rsidR="00573CC1" w:rsidRPr="00775F83" w:rsidP="003E5D0B" w14:paraId="3C4C77D6" w14:textId="77777777">
      <w:pPr>
        <w:pStyle w:val="BodyText"/>
        <w:spacing w:before="3"/>
        <w:ind w:left="720"/>
        <w:contextualSpacing/>
      </w:pPr>
    </w:p>
    <w:p w:rsidR="00720B28" w:rsidRPr="00775F83" w:rsidP="002513AB" w14:paraId="4941F2F0" w14:textId="48B4A378">
      <w:pPr>
        <w:pStyle w:val="ListParagraph"/>
        <w:numPr>
          <w:ilvl w:val="0"/>
          <w:numId w:val="4"/>
        </w:numPr>
        <w:tabs>
          <w:tab w:val="left" w:pos="948"/>
        </w:tabs>
        <w:spacing w:before="17"/>
        <w:ind w:left="990" w:right="706" w:hanging="270"/>
        <w:contextualSpacing/>
      </w:pPr>
      <w:r w:rsidRPr="00775F83">
        <w:rPr>
          <w:b/>
          <w:bCs/>
        </w:rPr>
        <w:t>Personnel Metrics:</w:t>
      </w:r>
      <w:r w:rsidRPr="00775F83">
        <w:t xml:space="preserve"> </w:t>
      </w:r>
      <w:r w:rsidRPr="00775F83" w:rsidR="00F17EA4">
        <w:t xml:space="preserve"> </w:t>
      </w:r>
      <w:r w:rsidRPr="00775F83">
        <w:t>Total number of clinical and non-clinical personnel by labor category (full time, part time, contract, furloughed, separated, hired).</w:t>
      </w:r>
    </w:p>
    <w:p w:rsidR="00720B28" w:rsidRPr="00775F83" w:rsidP="002513AB" w14:paraId="4E85CC25" w14:textId="102881B5">
      <w:pPr>
        <w:pStyle w:val="ListParagraph"/>
        <w:numPr>
          <w:ilvl w:val="0"/>
          <w:numId w:val="4"/>
        </w:numPr>
        <w:tabs>
          <w:tab w:val="left" w:pos="948"/>
        </w:tabs>
        <w:spacing w:before="17"/>
        <w:ind w:left="990" w:right="706" w:hanging="270"/>
        <w:contextualSpacing/>
      </w:pPr>
      <w:r w:rsidRPr="00775F83">
        <w:rPr>
          <w:b/>
          <w:bCs/>
        </w:rPr>
        <w:t>Patient Metrics:</w:t>
      </w:r>
      <w:r w:rsidRPr="00775F83">
        <w:t xml:space="preserve"> </w:t>
      </w:r>
      <w:r w:rsidRPr="00775F83" w:rsidR="00BE05E0">
        <w:t xml:space="preserve"> </w:t>
      </w:r>
      <w:r w:rsidRPr="00775F83">
        <w:t>Total number of inpatient admissions, outpatient visits (in-person and virtual), emergency department visits, and facility stays (for long-term and short-term residential facilities).</w:t>
      </w:r>
    </w:p>
    <w:p w:rsidR="004057EF" w:rsidRPr="00775F83" w:rsidP="002513AB" w14:paraId="507AA818" w14:textId="7D04B745">
      <w:pPr>
        <w:pStyle w:val="ListParagraph"/>
        <w:numPr>
          <w:ilvl w:val="0"/>
          <w:numId w:val="4"/>
        </w:numPr>
        <w:tabs>
          <w:tab w:val="left" w:pos="948"/>
        </w:tabs>
        <w:spacing w:before="17"/>
        <w:ind w:left="990" w:right="706" w:hanging="270"/>
        <w:contextualSpacing/>
      </w:pPr>
      <w:r w:rsidRPr="00775F83">
        <w:rPr>
          <w:b/>
          <w:bCs/>
        </w:rPr>
        <w:t>Facility</w:t>
      </w:r>
      <w:r w:rsidRPr="00775F83">
        <w:rPr>
          <w:b/>
          <w:bCs/>
          <w:spacing w:val="-6"/>
        </w:rPr>
        <w:t xml:space="preserve"> </w:t>
      </w:r>
      <w:r w:rsidRPr="00775F83">
        <w:rPr>
          <w:b/>
          <w:bCs/>
        </w:rPr>
        <w:t>Metrics:</w:t>
      </w:r>
      <w:r w:rsidRPr="00775F83">
        <w:t xml:space="preserve"> </w:t>
      </w:r>
      <w:r w:rsidRPr="00775F83" w:rsidR="00BE05E0">
        <w:t xml:space="preserve"> </w:t>
      </w:r>
      <w:r w:rsidRPr="00775F83">
        <w:t>Total number of staffed beds for medical/surgical, critical care, and other.</w:t>
      </w:r>
    </w:p>
    <w:p w:rsidR="004057EF" w:rsidRPr="00775F83" w:rsidP="00AC38E6" w14:paraId="507AA819" w14:textId="77777777">
      <w:pPr>
        <w:pStyle w:val="BodyText"/>
        <w:spacing w:before="7"/>
        <w:contextualSpacing/>
      </w:pPr>
    </w:p>
    <w:p w:rsidR="004057EF" w:rsidRPr="00775F83" w:rsidP="003E5D0B" w14:paraId="507AA81A" w14:textId="77777777">
      <w:pPr>
        <w:pStyle w:val="ListParagraph"/>
        <w:numPr>
          <w:ilvl w:val="0"/>
          <w:numId w:val="8"/>
        </w:numPr>
        <w:ind w:left="720" w:hanging="360"/>
        <w:contextualSpacing/>
      </w:pPr>
      <w:r w:rsidRPr="00775F83">
        <w:rPr>
          <w:b/>
        </w:rPr>
        <w:t>Survey</w:t>
      </w:r>
    </w:p>
    <w:p w:rsidR="004057EF" w:rsidP="003E5D0B" w14:paraId="507AA81B" w14:textId="5C9E1665">
      <w:pPr>
        <w:pStyle w:val="BodyText"/>
        <w:spacing w:before="13"/>
        <w:ind w:left="720" w:right="318"/>
        <w:contextualSpacing/>
      </w:pPr>
      <w:r w:rsidRPr="00775F83">
        <w:t>Reporting entities will answer questions regarding the impact of payments during the period of availability in the following categories</w:t>
      </w:r>
      <w:r w:rsidRPr="00775F83" w:rsidR="00C54C81">
        <w:t>:</w:t>
      </w:r>
    </w:p>
    <w:p w:rsidR="00573CC1" w:rsidRPr="00775F83" w:rsidP="003E5D0B" w14:paraId="37CE0FBC" w14:textId="77777777">
      <w:pPr>
        <w:pStyle w:val="BodyText"/>
        <w:spacing w:before="13"/>
        <w:ind w:left="720" w:right="318"/>
        <w:contextualSpacing/>
      </w:pPr>
    </w:p>
    <w:p w:rsidR="004057EF" w:rsidRPr="00775F83" w:rsidP="002513AB" w14:paraId="507AA81C" w14:textId="77777777">
      <w:pPr>
        <w:pStyle w:val="ListParagraph"/>
        <w:numPr>
          <w:ilvl w:val="0"/>
          <w:numId w:val="5"/>
        </w:numPr>
        <w:tabs>
          <w:tab w:val="left" w:pos="948"/>
        </w:tabs>
        <w:spacing w:before="5"/>
        <w:contextualSpacing/>
        <w:rPr>
          <w:b/>
          <w:bCs/>
        </w:rPr>
      </w:pPr>
      <w:r w:rsidRPr="00775F83">
        <w:rPr>
          <w:b/>
          <w:bCs/>
        </w:rPr>
        <w:t>Overall</w:t>
      </w:r>
      <w:r w:rsidRPr="00775F83">
        <w:rPr>
          <w:b/>
          <w:bCs/>
          <w:spacing w:val="11"/>
        </w:rPr>
        <w:t xml:space="preserve"> </w:t>
      </w:r>
      <w:r w:rsidRPr="00775F83">
        <w:rPr>
          <w:b/>
          <w:bCs/>
        </w:rPr>
        <w:t>operations</w:t>
      </w:r>
    </w:p>
    <w:p w:rsidR="004057EF" w:rsidRPr="00775F83" w:rsidP="002513AB" w14:paraId="507AA81D" w14:textId="77777777">
      <w:pPr>
        <w:pStyle w:val="ListParagraph"/>
        <w:numPr>
          <w:ilvl w:val="0"/>
          <w:numId w:val="5"/>
        </w:numPr>
        <w:tabs>
          <w:tab w:val="left" w:pos="948"/>
        </w:tabs>
        <w:spacing w:before="3"/>
        <w:contextualSpacing/>
        <w:rPr>
          <w:b/>
          <w:bCs/>
        </w:rPr>
      </w:pPr>
      <w:r w:rsidRPr="00775F83">
        <w:rPr>
          <w:b/>
          <w:bCs/>
        </w:rPr>
        <w:t>Maintenance</w:t>
      </w:r>
      <w:r w:rsidRPr="00775F83">
        <w:rPr>
          <w:b/>
          <w:bCs/>
          <w:spacing w:val="15"/>
        </w:rPr>
        <w:t xml:space="preserve"> </w:t>
      </w:r>
      <w:r w:rsidRPr="00775F83">
        <w:rPr>
          <w:b/>
          <w:bCs/>
        </w:rPr>
        <w:t>of</w:t>
      </w:r>
      <w:r w:rsidRPr="00775F83">
        <w:rPr>
          <w:b/>
          <w:bCs/>
          <w:spacing w:val="6"/>
        </w:rPr>
        <w:t xml:space="preserve"> </w:t>
      </w:r>
      <w:r w:rsidRPr="00775F83">
        <w:rPr>
          <w:b/>
          <w:bCs/>
        </w:rPr>
        <w:t>solvency and</w:t>
      </w:r>
      <w:r w:rsidRPr="00775F83">
        <w:rPr>
          <w:b/>
          <w:bCs/>
          <w:spacing w:val="-14"/>
        </w:rPr>
        <w:t xml:space="preserve"> </w:t>
      </w:r>
      <w:r w:rsidRPr="00775F83">
        <w:rPr>
          <w:b/>
          <w:bCs/>
        </w:rPr>
        <w:t>prevention</w:t>
      </w:r>
      <w:r w:rsidRPr="00775F83">
        <w:rPr>
          <w:b/>
          <w:bCs/>
          <w:spacing w:val="5"/>
        </w:rPr>
        <w:t xml:space="preserve"> </w:t>
      </w:r>
      <w:r w:rsidRPr="00775F83">
        <w:rPr>
          <w:b/>
          <w:bCs/>
        </w:rPr>
        <w:t>of</w:t>
      </w:r>
      <w:r w:rsidRPr="00775F83">
        <w:rPr>
          <w:b/>
          <w:bCs/>
          <w:spacing w:val="6"/>
        </w:rPr>
        <w:t xml:space="preserve"> </w:t>
      </w:r>
      <w:r w:rsidRPr="00775F83">
        <w:rPr>
          <w:b/>
          <w:bCs/>
        </w:rPr>
        <w:t>bankruptcy</w:t>
      </w:r>
    </w:p>
    <w:p w:rsidR="004057EF" w:rsidRPr="00775F83" w:rsidP="002513AB" w14:paraId="507AA81E" w14:textId="77777777">
      <w:pPr>
        <w:pStyle w:val="ListParagraph"/>
        <w:numPr>
          <w:ilvl w:val="0"/>
          <w:numId w:val="5"/>
        </w:numPr>
        <w:tabs>
          <w:tab w:val="left" w:pos="948"/>
        </w:tabs>
        <w:spacing w:before="3"/>
        <w:contextualSpacing/>
        <w:rPr>
          <w:b/>
          <w:bCs/>
        </w:rPr>
      </w:pPr>
      <w:r w:rsidRPr="00775F83">
        <w:rPr>
          <w:b/>
          <w:bCs/>
        </w:rPr>
        <w:t>Retention</w:t>
      </w:r>
      <w:r w:rsidRPr="00775F83">
        <w:rPr>
          <w:b/>
          <w:bCs/>
          <w:spacing w:val="-12"/>
        </w:rPr>
        <w:t xml:space="preserve"> </w:t>
      </w:r>
      <w:r w:rsidRPr="00775F83">
        <w:rPr>
          <w:b/>
          <w:bCs/>
        </w:rPr>
        <w:t>of</w:t>
      </w:r>
      <w:r w:rsidRPr="00775F83">
        <w:rPr>
          <w:b/>
          <w:bCs/>
          <w:spacing w:val="11"/>
        </w:rPr>
        <w:t xml:space="preserve"> </w:t>
      </w:r>
      <w:r w:rsidRPr="00775F83">
        <w:rPr>
          <w:b/>
          <w:bCs/>
        </w:rPr>
        <w:t>staff</w:t>
      </w:r>
      <w:r w:rsidRPr="00775F83">
        <w:rPr>
          <w:b/>
          <w:bCs/>
          <w:spacing w:val="11"/>
        </w:rPr>
        <w:t xml:space="preserve"> </w:t>
      </w:r>
      <w:r w:rsidRPr="00775F83">
        <w:rPr>
          <w:b/>
          <w:bCs/>
        </w:rPr>
        <w:t>and</w:t>
      </w:r>
      <w:r w:rsidRPr="00775F83">
        <w:rPr>
          <w:b/>
          <w:bCs/>
          <w:spacing w:val="-11"/>
        </w:rPr>
        <w:t xml:space="preserve"> </w:t>
      </w:r>
      <w:r w:rsidRPr="00775F83">
        <w:rPr>
          <w:b/>
          <w:bCs/>
        </w:rPr>
        <w:t>prevention</w:t>
      </w:r>
      <w:r w:rsidRPr="00775F83">
        <w:rPr>
          <w:b/>
          <w:bCs/>
          <w:spacing w:val="9"/>
        </w:rPr>
        <w:t xml:space="preserve"> </w:t>
      </w:r>
      <w:r w:rsidRPr="00775F83">
        <w:rPr>
          <w:b/>
          <w:bCs/>
        </w:rPr>
        <w:t>of</w:t>
      </w:r>
      <w:r w:rsidRPr="00775F83">
        <w:rPr>
          <w:b/>
          <w:bCs/>
          <w:spacing w:val="11"/>
        </w:rPr>
        <w:t xml:space="preserve"> </w:t>
      </w:r>
      <w:r w:rsidRPr="00775F83">
        <w:rPr>
          <w:b/>
          <w:bCs/>
        </w:rPr>
        <w:t>furlough</w:t>
      </w:r>
    </w:p>
    <w:p w:rsidR="004057EF" w:rsidRPr="00775F83" w:rsidP="002513AB" w14:paraId="507AA81F" w14:textId="77777777">
      <w:pPr>
        <w:pStyle w:val="ListParagraph"/>
        <w:numPr>
          <w:ilvl w:val="0"/>
          <w:numId w:val="5"/>
        </w:numPr>
        <w:tabs>
          <w:tab w:val="left" w:pos="948"/>
        </w:tabs>
        <w:spacing w:before="3"/>
        <w:contextualSpacing/>
        <w:rPr>
          <w:b/>
          <w:bCs/>
        </w:rPr>
      </w:pPr>
      <w:r w:rsidRPr="00775F83">
        <w:rPr>
          <w:b/>
          <w:bCs/>
        </w:rPr>
        <w:t>Re-hire</w:t>
      </w:r>
      <w:r w:rsidRPr="00775F83">
        <w:rPr>
          <w:b/>
          <w:bCs/>
          <w:spacing w:val="16"/>
        </w:rPr>
        <w:t xml:space="preserve"> </w:t>
      </w:r>
      <w:r w:rsidRPr="00775F83">
        <w:rPr>
          <w:b/>
          <w:bCs/>
        </w:rPr>
        <w:t>or</w:t>
      </w:r>
      <w:r w:rsidRPr="00775F83">
        <w:rPr>
          <w:b/>
          <w:bCs/>
          <w:spacing w:val="-2"/>
        </w:rPr>
        <w:t xml:space="preserve"> </w:t>
      </w:r>
      <w:r w:rsidRPr="00775F83">
        <w:rPr>
          <w:b/>
          <w:bCs/>
        </w:rPr>
        <w:t>re-activation</w:t>
      </w:r>
      <w:r w:rsidRPr="00775F83">
        <w:rPr>
          <w:b/>
          <w:bCs/>
          <w:spacing w:val="5"/>
        </w:rPr>
        <w:t xml:space="preserve"> </w:t>
      </w:r>
      <w:r w:rsidRPr="00775F83">
        <w:rPr>
          <w:b/>
          <w:bCs/>
        </w:rPr>
        <w:t>of</w:t>
      </w:r>
      <w:r w:rsidRPr="00775F83">
        <w:rPr>
          <w:b/>
          <w:bCs/>
          <w:spacing w:val="9"/>
        </w:rPr>
        <w:t xml:space="preserve"> </w:t>
      </w:r>
      <w:r w:rsidRPr="00775F83">
        <w:rPr>
          <w:b/>
          <w:bCs/>
        </w:rPr>
        <w:t>staff</w:t>
      </w:r>
      <w:r w:rsidRPr="00775F83">
        <w:rPr>
          <w:b/>
          <w:bCs/>
          <w:spacing w:val="-11"/>
        </w:rPr>
        <w:t xml:space="preserve"> </w:t>
      </w:r>
      <w:r w:rsidRPr="00775F83">
        <w:rPr>
          <w:b/>
          <w:bCs/>
        </w:rPr>
        <w:t>from</w:t>
      </w:r>
      <w:r w:rsidRPr="00775F83">
        <w:rPr>
          <w:b/>
          <w:bCs/>
          <w:spacing w:val="8"/>
        </w:rPr>
        <w:t xml:space="preserve"> </w:t>
      </w:r>
      <w:r w:rsidRPr="00775F83">
        <w:rPr>
          <w:b/>
          <w:bCs/>
        </w:rPr>
        <w:t>furlough</w:t>
      </w:r>
    </w:p>
    <w:p w:rsidR="004057EF" w:rsidRPr="00775F83" w:rsidP="002513AB" w14:paraId="507AA820" w14:textId="77777777">
      <w:pPr>
        <w:pStyle w:val="ListParagraph"/>
        <w:numPr>
          <w:ilvl w:val="0"/>
          <w:numId w:val="5"/>
        </w:numPr>
        <w:tabs>
          <w:tab w:val="left" w:pos="948"/>
        </w:tabs>
        <w:contextualSpacing/>
        <w:rPr>
          <w:b/>
          <w:bCs/>
        </w:rPr>
      </w:pPr>
      <w:r w:rsidRPr="00775F83">
        <w:rPr>
          <w:b/>
          <w:bCs/>
        </w:rPr>
        <w:t>Facilitation</w:t>
      </w:r>
      <w:r w:rsidRPr="00775F83">
        <w:rPr>
          <w:b/>
          <w:bCs/>
          <w:spacing w:val="8"/>
        </w:rPr>
        <w:t xml:space="preserve"> </w:t>
      </w:r>
      <w:r w:rsidRPr="00775F83">
        <w:rPr>
          <w:b/>
          <w:bCs/>
        </w:rPr>
        <w:t>of</w:t>
      </w:r>
      <w:r w:rsidRPr="00775F83">
        <w:rPr>
          <w:b/>
          <w:bCs/>
          <w:spacing w:val="10"/>
        </w:rPr>
        <w:t xml:space="preserve"> </w:t>
      </w:r>
      <w:r w:rsidRPr="00775F83">
        <w:rPr>
          <w:b/>
          <w:bCs/>
        </w:rPr>
        <w:t>changes</w:t>
      </w:r>
      <w:r w:rsidRPr="00775F83">
        <w:rPr>
          <w:b/>
          <w:bCs/>
          <w:spacing w:val="-5"/>
        </w:rPr>
        <w:t xml:space="preserve"> </w:t>
      </w:r>
      <w:r w:rsidRPr="00775F83">
        <w:rPr>
          <w:b/>
          <w:bCs/>
        </w:rPr>
        <w:t>needed</w:t>
      </w:r>
      <w:r w:rsidRPr="00775F83">
        <w:rPr>
          <w:b/>
          <w:bCs/>
          <w:spacing w:val="-12"/>
        </w:rPr>
        <w:t xml:space="preserve"> </w:t>
      </w:r>
      <w:r w:rsidRPr="00775F83">
        <w:rPr>
          <w:b/>
          <w:bCs/>
        </w:rPr>
        <w:t>to</w:t>
      </w:r>
      <w:r w:rsidRPr="00775F83">
        <w:rPr>
          <w:b/>
          <w:bCs/>
          <w:spacing w:val="4"/>
        </w:rPr>
        <w:t xml:space="preserve"> </w:t>
      </w:r>
      <w:r w:rsidRPr="00775F83">
        <w:rPr>
          <w:b/>
          <w:bCs/>
        </w:rPr>
        <w:t>operate</w:t>
      </w:r>
      <w:r w:rsidRPr="00775F83">
        <w:rPr>
          <w:b/>
          <w:bCs/>
          <w:spacing w:val="-1"/>
        </w:rPr>
        <w:t xml:space="preserve"> </w:t>
      </w:r>
      <w:r w:rsidRPr="00775F83">
        <w:rPr>
          <w:b/>
          <w:bCs/>
        </w:rPr>
        <w:t>during</w:t>
      </w:r>
      <w:r w:rsidRPr="00775F83">
        <w:rPr>
          <w:b/>
          <w:bCs/>
          <w:spacing w:val="4"/>
        </w:rPr>
        <w:t xml:space="preserve"> </w:t>
      </w:r>
      <w:r w:rsidRPr="00775F83">
        <w:rPr>
          <w:b/>
          <w:bCs/>
        </w:rPr>
        <w:t>the</w:t>
      </w:r>
      <w:r w:rsidRPr="00775F83">
        <w:rPr>
          <w:b/>
          <w:bCs/>
          <w:spacing w:val="-1"/>
        </w:rPr>
        <w:t xml:space="preserve"> </w:t>
      </w:r>
      <w:r w:rsidRPr="00775F83">
        <w:rPr>
          <w:b/>
          <w:bCs/>
        </w:rPr>
        <w:t>pandemic</w:t>
      </w:r>
    </w:p>
    <w:p w:rsidR="004057EF" w:rsidRPr="00775F83" w:rsidP="002513AB" w14:paraId="507AA821" w14:textId="77777777">
      <w:pPr>
        <w:pStyle w:val="ListParagraph"/>
        <w:numPr>
          <w:ilvl w:val="0"/>
          <w:numId w:val="5"/>
        </w:numPr>
        <w:tabs>
          <w:tab w:val="left" w:pos="947"/>
          <w:tab w:val="left" w:pos="948"/>
        </w:tabs>
        <w:spacing w:before="3"/>
        <w:contextualSpacing/>
        <w:rPr>
          <w:b/>
          <w:bCs/>
        </w:rPr>
      </w:pPr>
      <w:r w:rsidRPr="00775F83">
        <w:rPr>
          <w:b/>
          <w:bCs/>
        </w:rPr>
        <w:t>Ability</w:t>
      </w:r>
      <w:r w:rsidRPr="00775F83">
        <w:rPr>
          <w:b/>
          <w:bCs/>
          <w:spacing w:val="-3"/>
        </w:rPr>
        <w:t xml:space="preserve"> </w:t>
      </w:r>
      <w:r w:rsidRPr="00775F83">
        <w:rPr>
          <w:b/>
          <w:bCs/>
        </w:rPr>
        <w:t>to</w:t>
      </w:r>
      <w:r w:rsidRPr="00775F83">
        <w:rPr>
          <w:b/>
          <w:bCs/>
          <w:spacing w:val="-3"/>
        </w:rPr>
        <w:t xml:space="preserve"> </w:t>
      </w:r>
      <w:r w:rsidRPr="00775F83">
        <w:rPr>
          <w:b/>
          <w:bCs/>
        </w:rPr>
        <w:t>care</w:t>
      </w:r>
      <w:r w:rsidRPr="00775F83">
        <w:rPr>
          <w:b/>
          <w:bCs/>
          <w:spacing w:val="12"/>
        </w:rPr>
        <w:t xml:space="preserve"> </w:t>
      </w:r>
      <w:r w:rsidRPr="00775F83">
        <w:rPr>
          <w:b/>
          <w:bCs/>
        </w:rPr>
        <w:t>for</w:t>
      </w:r>
      <w:r w:rsidRPr="00775F83">
        <w:rPr>
          <w:b/>
          <w:bCs/>
          <w:spacing w:val="-5"/>
        </w:rPr>
        <w:t xml:space="preserve"> </w:t>
      </w:r>
      <w:r w:rsidRPr="00775F83">
        <w:rPr>
          <w:b/>
          <w:bCs/>
        </w:rPr>
        <w:t>and/or</w:t>
      </w:r>
      <w:r w:rsidRPr="00775F83">
        <w:rPr>
          <w:b/>
          <w:bCs/>
          <w:spacing w:val="-6"/>
        </w:rPr>
        <w:t xml:space="preserve"> </w:t>
      </w:r>
      <w:r w:rsidRPr="00775F83">
        <w:rPr>
          <w:b/>
          <w:bCs/>
        </w:rPr>
        <w:t>treat</w:t>
      </w:r>
      <w:r w:rsidRPr="00775F83">
        <w:rPr>
          <w:b/>
          <w:bCs/>
          <w:spacing w:val="4"/>
        </w:rPr>
        <w:t xml:space="preserve"> </w:t>
      </w:r>
      <w:r w:rsidRPr="00775F83">
        <w:rPr>
          <w:b/>
          <w:bCs/>
        </w:rPr>
        <w:t>patients</w:t>
      </w:r>
      <w:r w:rsidRPr="00775F83">
        <w:rPr>
          <w:b/>
          <w:bCs/>
          <w:spacing w:val="-10"/>
        </w:rPr>
        <w:t xml:space="preserve"> </w:t>
      </w:r>
      <w:r w:rsidRPr="00775F83">
        <w:rPr>
          <w:b/>
          <w:bCs/>
        </w:rPr>
        <w:t>with</w:t>
      </w:r>
      <w:r w:rsidRPr="00775F83">
        <w:rPr>
          <w:b/>
          <w:bCs/>
          <w:spacing w:val="1"/>
        </w:rPr>
        <w:t xml:space="preserve"> </w:t>
      </w:r>
      <w:r w:rsidRPr="00775F83">
        <w:rPr>
          <w:b/>
          <w:bCs/>
        </w:rPr>
        <w:t>COVID-19</w:t>
      </w:r>
      <w:r w:rsidRPr="00775F83">
        <w:rPr>
          <w:b/>
          <w:bCs/>
          <w:spacing w:val="-2"/>
        </w:rPr>
        <w:t xml:space="preserve"> </w:t>
      </w:r>
      <w:r w:rsidRPr="00775F83">
        <w:rPr>
          <w:b/>
          <w:bCs/>
        </w:rPr>
        <w:t>(for</w:t>
      </w:r>
      <w:r w:rsidRPr="00775F83">
        <w:rPr>
          <w:b/>
          <w:bCs/>
          <w:spacing w:val="-6"/>
        </w:rPr>
        <w:t xml:space="preserve"> </w:t>
      </w:r>
      <w:r w:rsidRPr="00775F83">
        <w:rPr>
          <w:b/>
          <w:bCs/>
        </w:rPr>
        <w:t>applicable</w:t>
      </w:r>
      <w:r w:rsidRPr="00775F83">
        <w:rPr>
          <w:b/>
          <w:bCs/>
          <w:spacing w:val="12"/>
        </w:rPr>
        <w:t xml:space="preserve"> </w:t>
      </w:r>
      <w:r w:rsidRPr="00775F83">
        <w:rPr>
          <w:b/>
          <w:bCs/>
        </w:rPr>
        <w:t>treatment</w:t>
      </w:r>
      <w:r w:rsidRPr="00775F83">
        <w:rPr>
          <w:b/>
          <w:bCs/>
          <w:spacing w:val="4"/>
        </w:rPr>
        <w:t xml:space="preserve"> </w:t>
      </w:r>
      <w:r w:rsidRPr="00775F83">
        <w:rPr>
          <w:b/>
          <w:bCs/>
        </w:rPr>
        <w:t>facilities)</w:t>
      </w:r>
    </w:p>
    <w:p w:rsidR="004057EF" w:rsidRPr="00775F83" w:rsidP="002513AB" w14:paraId="507AA822" w14:textId="77777777">
      <w:pPr>
        <w:pStyle w:val="ListParagraph"/>
        <w:numPr>
          <w:ilvl w:val="0"/>
          <w:numId w:val="5"/>
        </w:numPr>
        <w:tabs>
          <w:tab w:val="left" w:pos="948"/>
        </w:tabs>
        <w:spacing w:before="3"/>
        <w:contextualSpacing/>
        <w:rPr>
          <w:i/>
          <w:iCs/>
        </w:rPr>
      </w:pPr>
      <w:r w:rsidRPr="00775F83">
        <w:rPr>
          <w:b/>
          <w:bCs/>
        </w:rPr>
        <w:t>Impact</w:t>
      </w:r>
      <w:r w:rsidRPr="00775F83">
        <w:rPr>
          <w:b/>
          <w:bCs/>
          <w:spacing w:val="8"/>
        </w:rPr>
        <w:t xml:space="preserve"> </w:t>
      </w:r>
      <w:r w:rsidRPr="00775F83">
        <w:rPr>
          <w:b/>
          <w:bCs/>
        </w:rPr>
        <w:t>on</w:t>
      </w:r>
      <w:r w:rsidRPr="00775F83">
        <w:rPr>
          <w:b/>
          <w:bCs/>
          <w:spacing w:val="6"/>
        </w:rPr>
        <w:t xml:space="preserve"> </w:t>
      </w:r>
      <w:r w:rsidRPr="00775F83">
        <w:rPr>
          <w:b/>
          <w:bCs/>
        </w:rPr>
        <w:t>business</w:t>
      </w:r>
      <w:r w:rsidRPr="00775F83">
        <w:rPr>
          <w:b/>
          <w:bCs/>
          <w:spacing w:val="-7"/>
        </w:rPr>
        <w:t xml:space="preserve"> </w:t>
      </w:r>
      <w:r w:rsidRPr="00775F83">
        <w:rPr>
          <w:b/>
          <w:bCs/>
        </w:rPr>
        <w:t>or</w:t>
      </w:r>
      <w:r w:rsidRPr="00775F83">
        <w:rPr>
          <w:b/>
          <w:bCs/>
          <w:spacing w:val="-2"/>
        </w:rPr>
        <w:t xml:space="preserve"> </w:t>
      </w:r>
      <w:r w:rsidRPr="00775F83">
        <w:rPr>
          <w:b/>
          <w:bCs/>
        </w:rPr>
        <w:t>patient</w:t>
      </w:r>
      <w:r w:rsidRPr="00775F83">
        <w:rPr>
          <w:b/>
          <w:bCs/>
          <w:spacing w:val="-10"/>
        </w:rPr>
        <w:t xml:space="preserve"> </w:t>
      </w:r>
      <w:r w:rsidRPr="00775F83">
        <w:rPr>
          <w:b/>
          <w:bCs/>
        </w:rPr>
        <w:t>services</w:t>
      </w:r>
      <w:r w:rsidRPr="00775F83">
        <w:rPr>
          <w:b/>
          <w:bCs/>
          <w:spacing w:val="12"/>
        </w:rPr>
        <w:t xml:space="preserve"> </w:t>
      </w:r>
      <w:r w:rsidRPr="00775F83">
        <w:rPr>
          <w:b/>
          <w:bCs/>
        </w:rPr>
        <w:t>(narrative</w:t>
      </w:r>
      <w:r w:rsidRPr="00775F83">
        <w:rPr>
          <w:b/>
          <w:bCs/>
          <w:spacing w:val="-2"/>
        </w:rPr>
        <w:t xml:space="preserve"> </w:t>
      </w:r>
      <w:r w:rsidRPr="00775F83">
        <w:rPr>
          <w:b/>
          <w:bCs/>
        </w:rPr>
        <w:t>statement)</w:t>
      </w:r>
      <w:r w:rsidRPr="00775F83">
        <w:rPr>
          <w:b/>
          <w:bCs/>
          <w:spacing w:val="8"/>
        </w:rPr>
        <w:t xml:space="preserve"> </w:t>
      </w:r>
      <w:r w:rsidRPr="00775F83">
        <w:rPr>
          <w:i/>
          <w:iCs/>
        </w:rPr>
        <w:t>[optional]</w:t>
      </w:r>
    </w:p>
    <w:sectPr w:rsidSect="00C42C9A">
      <w:footerReference w:type="default" r:id="rId18"/>
      <w:pgSz w:w="12240" w:h="15840"/>
      <w:pgMar w:top="1296" w:right="1080" w:bottom="1296" w:left="1080" w:header="0" w:footer="63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CE5" w:rsidRPr="000C25A5" w:rsidP="00062398" w14:paraId="507AA82B" w14:textId="44DAC43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3710940</wp:posOffset>
              </wp:positionH>
              <wp:positionV relativeFrom="page">
                <wp:posOffset>9512300</wp:posOffset>
              </wp:positionV>
              <wp:extent cx="231140" cy="183515"/>
              <wp:effectExtent l="0" t="0" r="0" b="0"/>
              <wp:wrapNone/>
              <wp:docPr id="10" name="docshape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1140" cy="1835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94CE5" w14:textId="60477109">
                          <w:pPr>
                            <w:pStyle w:val="BodyText"/>
                            <w:spacing w:before="14"/>
                            <w:ind w:left="60"/>
                          </w:pPr>
                          <w:r>
                            <w:fldChar w:fldCharType="begin"/>
                          </w:r>
                          <w:r>
                            <w:instrText xml:space="preserve"> PAGE </w:instrText>
                          </w:r>
                          <w:r>
                            <w:fldChar w:fldCharType="separate"/>
                          </w:r>
                          <w:r w:rsidR="008D4665">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 o:spid="_x0000_s2049" type="#_x0000_t202" style="width:18.2pt;height:14.45pt;margin-top:749pt;margin-left:29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94CE5" w14:paraId="2169C0DD" w14:textId="60477109">
                    <w:pPr>
                      <w:pStyle w:val="BodyText"/>
                      <w:spacing w:before="14"/>
                      <w:ind w:left="60"/>
                    </w:pPr>
                    <w:r>
                      <w:fldChar w:fldCharType="begin"/>
                    </w:r>
                    <w:r>
                      <w:instrText xml:space="preserve"> PAGE </w:instrText>
                    </w:r>
                    <w:r>
                      <w:fldChar w:fldCharType="separate"/>
                    </w:r>
                    <w:r w:rsidR="008D4665">
                      <w:rPr>
                        <w:noProof/>
                      </w:rP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6E90" w14:paraId="4CDF6DFB" w14:textId="77777777">
      <w:r>
        <w:separator/>
      </w:r>
      <w:r>
        <w:t>————————————————————————————————</w:t>
      </w:r>
    </w:p>
  </w:footnote>
  <w:footnote w:type="continuationSeparator" w:id="1">
    <w:p w:rsidR="001F6E90" w14:paraId="1AB09657" w14:textId="77777777">
      <w:r>
        <w:continuationSeparator/>
      </w:r>
    </w:p>
  </w:footnote>
  <w:footnote w:type="continuationNotice" w:id="2">
    <w:p w:rsidR="001F6E90" w14:paraId="02F82503" w14:textId="77777777"/>
  </w:footnote>
  <w:footnote w:id="3">
    <w:p w:rsidR="00F550F4" w14:paraId="752EE754" w14:textId="7D3D670C">
      <w:pPr>
        <w:pStyle w:val="FootnoteText"/>
      </w:pPr>
      <w:r>
        <w:rPr>
          <w:rStyle w:val="FootnoteReference"/>
        </w:rPr>
        <w:footnoteRef/>
      </w:r>
      <w:r>
        <w:t xml:space="preserve"> More information on the end of the COVID-19 Public Health Emergency is available at: </w:t>
      </w:r>
      <w:hyperlink r:id="rId1" w:history="1">
        <w:r w:rsidRPr="004B0954">
          <w:rPr>
            <w:rStyle w:val="Hyperlink"/>
          </w:rPr>
          <w:t>https://www.hhs.gov/about/news/2023/02/09/fact-sheet-covid-19-public-health-emergency-transition-roadmap.html#</w:t>
        </w:r>
      </w:hyperlink>
      <w:r w:rsidRPr="000E3F01">
        <w:t>.</w:t>
      </w:r>
    </w:p>
  </w:footnote>
  <w:footnote w:id="4">
    <w:p w:rsidR="00394CE5" w:rsidRPr="00DE1B50" w:rsidP="00F2440B" w14:paraId="73A69CD6" w14:textId="6EA78E0E">
      <w:pPr>
        <w:contextualSpacing/>
        <w:rPr>
          <w:sz w:val="20"/>
          <w:szCs w:val="20"/>
        </w:rPr>
      </w:pPr>
      <w:r w:rsidRPr="00DE1B50">
        <w:rPr>
          <w:rStyle w:val="FootnoteReference"/>
          <w:sz w:val="20"/>
          <w:szCs w:val="20"/>
        </w:rPr>
        <w:footnoteRef/>
      </w:r>
      <w:r w:rsidRPr="00DE1B50">
        <w:rPr>
          <w:sz w:val="20"/>
          <w:szCs w:val="20"/>
        </w:rPr>
        <w:t xml:space="preserve"> The </w:t>
      </w:r>
      <w:r w:rsidR="00D34B1F">
        <w:rPr>
          <w:sz w:val="20"/>
          <w:szCs w:val="20"/>
        </w:rPr>
        <w:t>NHIC</w:t>
      </w:r>
      <w:r w:rsidRPr="00DE1B50">
        <w:rPr>
          <w:sz w:val="20"/>
          <w:szCs w:val="20"/>
        </w:rPr>
        <w:t xml:space="preserve"> Distribution is a Targeted Distribution payment. </w:t>
      </w:r>
      <w:r w:rsidR="00FE0E74">
        <w:rPr>
          <w:sz w:val="20"/>
          <w:szCs w:val="20"/>
        </w:rPr>
        <w:t xml:space="preserve"> </w:t>
      </w:r>
      <w:r w:rsidRPr="00DE1B50">
        <w:rPr>
          <w:sz w:val="20"/>
          <w:szCs w:val="20"/>
        </w:rPr>
        <w:t xml:space="preserve">The </w:t>
      </w:r>
      <w:r w:rsidR="00B51620">
        <w:rPr>
          <w:sz w:val="20"/>
          <w:szCs w:val="20"/>
        </w:rPr>
        <w:t>d</w:t>
      </w:r>
      <w:r w:rsidRPr="00DE1B50">
        <w:rPr>
          <w:sz w:val="20"/>
          <w:szCs w:val="20"/>
        </w:rPr>
        <w:t>istribution includes payments made in August 2020 and Nursing Home Quality Incentive Payment Program (QIP) payments.</w:t>
      </w:r>
    </w:p>
  </w:footnote>
  <w:footnote w:id="5">
    <w:p w:rsidR="00394CE5" w:rsidRPr="00DE1B50" w:rsidP="00F2440B" w14:paraId="26BA0A40" w14:textId="1935DD35">
      <w:pPr>
        <w:contextualSpacing/>
        <w:rPr>
          <w:sz w:val="20"/>
          <w:szCs w:val="20"/>
        </w:rPr>
      </w:pPr>
      <w:r w:rsidRPr="00DE1B50">
        <w:rPr>
          <w:rStyle w:val="FootnoteReference"/>
          <w:sz w:val="20"/>
          <w:szCs w:val="20"/>
        </w:rPr>
        <w:footnoteRef/>
      </w:r>
      <w:r w:rsidRPr="00DE1B50">
        <w:rPr>
          <w:sz w:val="20"/>
          <w:szCs w:val="20"/>
        </w:rPr>
        <w:t xml:space="preserve"> More information on reporting for the Rural Health Clinic COVID-19 Testing and Mitigation Program and the Rural Health Clinic COVID-19 Testing Program is available at</w:t>
      </w:r>
      <w:r w:rsidR="00631F81">
        <w:rPr>
          <w:sz w:val="20"/>
          <w:szCs w:val="20"/>
        </w:rPr>
        <w:t>:</w:t>
      </w:r>
      <w:r w:rsidRPr="00DE1B50">
        <w:rPr>
          <w:sz w:val="20"/>
          <w:szCs w:val="20"/>
        </w:rPr>
        <w:t xml:space="preserve"> </w:t>
      </w:r>
      <w:r w:rsidR="00B77FC2">
        <w:rPr>
          <w:sz w:val="20"/>
          <w:szCs w:val="20"/>
        </w:rPr>
        <w:t xml:space="preserve"> </w:t>
      </w:r>
      <w:hyperlink r:id="rId2" w:history="1">
        <w:r w:rsidRPr="0057135B" w:rsidR="0057135B">
          <w:rPr>
            <w:rStyle w:val="Hyperlink"/>
            <w:sz w:val="20"/>
            <w:szCs w:val="20"/>
          </w:rPr>
          <w:t>https://www.rhccovidreporting.com</w:t>
        </w:r>
      </w:hyperlink>
      <w:r w:rsidRPr="00DE1B50">
        <w:rPr>
          <w:sz w:val="20"/>
          <w:szCs w:val="20"/>
        </w:rPr>
        <w:t>.</w:t>
      </w:r>
    </w:p>
  </w:footnote>
  <w:footnote w:id="6">
    <w:p w:rsidR="00766669" w:rsidRPr="00DE1B50" w14:paraId="483E5564" w14:textId="3032F083">
      <w:pPr>
        <w:pStyle w:val="FootnoteText"/>
      </w:pPr>
      <w:r w:rsidRPr="00DE1B50">
        <w:rPr>
          <w:rStyle w:val="FootnoteReference"/>
        </w:rPr>
        <w:footnoteRef/>
      </w:r>
      <w:r w:rsidRPr="00DE1B50">
        <w:t xml:space="preserve"> More information on the COVID-19 Uninsured Program and Coverage Assistance Fund is available at:</w:t>
      </w:r>
      <w:r w:rsidR="0057135B">
        <w:t xml:space="preserve"> </w:t>
      </w:r>
      <w:r w:rsidRPr="00DE1B50">
        <w:t xml:space="preserve"> </w:t>
      </w:r>
      <w:hyperlink r:id="rId3" w:history="1">
        <w:r w:rsidRPr="00DE1B50">
          <w:rPr>
            <w:rStyle w:val="Hyperlink"/>
          </w:rPr>
          <w:t>https://www.hrsa.gov/provider-relief/about/covid-uninsured-claim</w:t>
        </w:r>
      </w:hyperlink>
      <w:r w:rsidRPr="00DE1B50">
        <w:t>.</w:t>
      </w:r>
    </w:p>
  </w:footnote>
  <w:footnote w:id="7">
    <w:p w:rsidR="00394CE5" w:rsidRPr="00DE1B50" w:rsidP="00F2440B" w14:paraId="4548D8B0" w14:textId="21785C26">
      <w:pPr>
        <w:contextualSpacing/>
        <w:rPr>
          <w:sz w:val="20"/>
          <w:szCs w:val="20"/>
        </w:rPr>
      </w:pPr>
      <w:r w:rsidRPr="00DE1B50">
        <w:rPr>
          <w:rStyle w:val="FootnoteReference"/>
          <w:sz w:val="20"/>
          <w:szCs w:val="20"/>
        </w:rPr>
        <w:footnoteRef/>
      </w:r>
      <w:r w:rsidRPr="00DE1B50">
        <w:rPr>
          <w:sz w:val="20"/>
          <w:szCs w:val="20"/>
        </w:rPr>
        <w:t xml:space="preserve"> Post-Payment Notices of Reporting Requirements</w:t>
      </w:r>
      <w:r w:rsidR="00C86AF1">
        <w:rPr>
          <w:sz w:val="20"/>
          <w:szCs w:val="20"/>
        </w:rPr>
        <w:t xml:space="preserve"> </w:t>
      </w:r>
      <w:r w:rsidR="00650BEB">
        <w:rPr>
          <w:sz w:val="20"/>
          <w:szCs w:val="20"/>
        </w:rPr>
        <w:t xml:space="preserve">that were </w:t>
      </w:r>
      <w:r w:rsidR="00CB761B">
        <w:rPr>
          <w:sz w:val="20"/>
          <w:szCs w:val="20"/>
        </w:rPr>
        <w:t>issued</w:t>
      </w:r>
      <w:r w:rsidRPr="00DE1B50">
        <w:rPr>
          <w:sz w:val="20"/>
          <w:szCs w:val="20"/>
        </w:rPr>
        <w:t xml:space="preserve"> </w:t>
      </w:r>
      <w:r w:rsidR="00CB761B">
        <w:rPr>
          <w:sz w:val="20"/>
          <w:szCs w:val="20"/>
        </w:rPr>
        <w:t>prior to October 27, 2022</w:t>
      </w:r>
      <w:r w:rsidR="00023DBB">
        <w:rPr>
          <w:sz w:val="20"/>
          <w:szCs w:val="20"/>
        </w:rPr>
        <w:t>,</w:t>
      </w:r>
      <w:r w:rsidR="00CB761B">
        <w:rPr>
          <w:sz w:val="20"/>
          <w:szCs w:val="20"/>
        </w:rPr>
        <w:t xml:space="preserve"> </w:t>
      </w:r>
      <w:r w:rsidRPr="00DE1B50">
        <w:rPr>
          <w:sz w:val="20"/>
          <w:szCs w:val="20"/>
        </w:rPr>
        <w:t>did not include information regarding the ARP</w:t>
      </w:r>
      <w:r w:rsidRPr="00DE1B50">
        <w:rPr>
          <w:sz w:val="20"/>
          <w:szCs w:val="20"/>
        </w:rPr>
        <w:t xml:space="preserve"> </w:t>
      </w:r>
      <w:r w:rsidRPr="00DE1B50">
        <w:rPr>
          <w:sz w:val="20"/>
          <w:szCs w:val="20"/>
        </w:rPr>
        <w:t xml:space="preserve">Rural Distribution payment(s). </w:t>
      </w:r>
      <w:r w:rsidR="000C3031">
        <w:rPr>
          <w:sz w:val="20"/>
          <w:szCs w:val="20"/>
        </w:rPr>
        <w:t xml:space="preserve"> </w:t>
      </w:r>
      <w:r w:rsidRPr="00DE1B50">
        <w:rPr>
          <w:sz w:val="20"/>
          <w:szCs w:val="20"/>
        </w:rPr>
        <w:t>ARP Rural payments are funded separately from the PRF General and Target Distribution payments.</w:t>
      </w:r>
    </w:p>
  </w:footnote>
  <w:footnote w:id="8">
    <w:p w:rsidR="00394CE5" w:rsidRPr="00DE1B50" w:rsidP="00F2440B" w14:paraId="31AAE5DC" w14:textId="673B3467">
      <w:pPr>
        <w:contextualSpacing/>
        <w:rPr>
          <w:sz w:val="20"/>
          <w:szCs w:val="20"/>
        </w:rPr>
      </w:pPr>
      <w:r w:rsidRPr="00DE1B50">
        <w:rPr>
          <w:rStyle w:val="FootnoteReference"/>
          <w:sz w:val="20"/>
          <w:szCs w:val="20"/>
        </w:rPr>
        <w:footnoteRef/>
      </w:r>
      <w:r w:rsidRPr="00DE1B50">
        <w:rPr>
          <w:sz w:val="20"/>
          <w:szCs w:val="20"/>
        </w:rPr>
        <w:t xml:space="preserve"> </w:t>
      </w:r>
      <w:r w:rsidR="00BF26C4">
        <w:rPr>
          <w:sz w:val="20"/>
          <w:szCs w:val="20"/>
        </w:rPr>
        <w:t>The PRF website</w:t>
      </w:r>
      <w:r w:rsidR="0045330E">
        <w:rPr>
          <w:sz w:val="20"/>
          <w:szCs w:val="20"/>
        </w:rPr>
        <w:t>, available</w:t>
      </w:r>
      <w:r w:rsidR="00BF26C4">
        <w:rPr>
          <w:sz w:val="20"/>
          <w:szCs w:val="20"/>
        </w:rPr>
        <w:t xml:space="preserve"> </w:t>
      </w:r>
      <w:r w:rsidRPr="00DE1B50">
        <w:rPr>
          <w:sz w:val="20"/>
          <w:szCs w:val="20"/>
        </w:rPr>
        <w:t xml:space="preserve">at </w:t>
      </w:r>
      <w:hyperlink r:id="rId4" w:history="1">
        <w:r w:rsidRPr="00DE1B50" w:rsidR="000C3031">
          <w:rPr>
            <w:rStyle w:val="Hyperlink"/>
            <w:sz w:val="20"/>
            <w:szCs w:val="20"/>
          </w:rPr>
          <w:t>https://www.hrsa.gov/provider-relief/past-payments</w:t>
        </w:r>
      </w:hyperlink>
      <w:hyperlink w:history="1"/>
      <w:r w:rsidRPr="00F74D0D" w:rsidR="0045330E">
        <w:rPr>
          <w:rStyle w:val="Hyperlink"/>
          <w:sz w:val="20"/>
          <w:szCs w:val="20"/>
          <w:u w:val="none"/>
        </w:rPr>
        <w:t>,</w:t>
      </w:r>
      <w:r w:rsidRPr="003D7752" w:rsidR="00BF26C4">
        <w:rPr>
          <w:rStyle w:val="Hyperlink"/>
          <w:sz w:val="20"/>
          <w:szCs w:val="20"/>
          <w:u w:val="none"/>
        </w:rPr>
        <w:t xml:space="preserve"> </w:t>
      </w:r>
      <w:r w:rsidRPr="003D7752" w:rsidR="00BF26C4">
        <w:rPr>
          <w:rStyle w:val="Hyperlink"/>
          <w:color w:val="auto"/>
          <w:sz w:val="20"/>
          <w:szCs w:val="20"/>
          <w:u w:val="none"/>
        </w:rPr>
        <w:t>contains summaries of General Distribution and Targeted Distribution funding</w:t>
      </w:r>
      <w:r w:rsidRPr="00DE1B50">
        <w:rPr>
          <w:sz w:val="20"/>
          <w:szCs w:val="20"/>
        </w:rPr>
        <w:t>.</w:t>
      </w:r>
    </w:p>
    <w:p w:rsidR="00394CE5" w:rsidRPr="00DE1B50" w:rsidP="00F2440B" w14:paraId="0440FB0C" w14:textId="27BF07E0">
      <w:pPr>
        <w:contextualSpacing/>
        <w:rPr>
          <w:sz w:val="20"/>
          <w:szCs w:val="20"/>
        </w:rPr>
      </w:pPr>
    </w:p>
  </w:footnote>
  <w:footnote w:id="9">
    <w:p w:rsidR="00394CE5" w:rsidRPr="002C2D16" w:rsidP="00F2440B" w14:paraId="70DA93E1" w14:textId="200909C8">
      <w:pPr>
        <w:contextualSpacing/>
        <w:rPr>
          <w:sz w:val="20"/>
          <w:szCs w:val="20"/>
        </w:rPr>
      </w:pPr>
      <w:r w:rsidRPr="00DE1B50">
        <w:rPr>
          <w:rStyle w:val="FootnoteReference"/>
          <w:sz w:val="20"/>
          <w:szCs w:val="20"/>
        </w:rPr>
        <w:footnoteRef/>
      </w:r>
      <w:r w:rsidRPr="00DE1B50">
        <w:rPr>
          <w:sz w:val="20"/>
          <w:szCs w:val="20"/>
        </w:rPr>
        <w:t xml:space="preserve"> PRF recipients that received only </w:t>
      </w:r>
      <w:r w:rsidR="00D34B1F">
        <w:rPr>
          <w:sz w:val="20"/>
          <w:szCs w:val="20"/>
        </w:rPr>
        <w:t>NHIC</w:t>
      </w:r>
      <w:r w:rsidRPr="00DE1B50">
        <w:rPr>
          <w:sz w:val="20"/>
          <w:szCs w:val="20"/>
        </w:rPr>
        <w:t xml:space="preserve"> Distribution payments will not report on lost revenues. </w:t>
      </w:r>
      <w:r w:rsidR="0045330E">
        <w:rPr>
          <w:sz w:val="20"/>
          <w:szCs w:val="20"/>
        </w:rPr>
        <w:t xml:space="preserve"> </w:t>
      </w:r>
      <w:r w:rsidRPr="00DE1B50">
        <w:rPr>
          <w:sz w:val="20"/>
          <w:szCs w:val="20"/>
        </w:rPr>
        <w:t xml:space="preserve">Per the </w:t>
      </w:r>
      <w:r w:rsidRPr="00805292" w:rsidR="00805292">
        <w:rPr>
          <w:sz w:val="20"/>
          <w:szCs w:val="20"/>
        </w:rPr>
        <w:t>Terms and Conditions</w:t>
      </w:r>
      <w:r w:rsidRPr="00DE1B50">
        <w:rPr>
          <w:sz w:val="20"/>
          <w:szCs w:val="20"/>
        </w:rPr>
        <w:t xml:space="preserve">, </w:t>
      </w:r>
      <w:r w:rsidR="00D34B1F">
        <w:rPr>
          <w:sz w:val="20"/>
          <w:szCs w:val="20"/>
        </w:rPr>
        <w:t>NHIC</w:t>
      </w:r>
      <w:r w:rsidRPr="00DE1B50">
        <w:rPr>
          <w:sz w:val="20"/>
          <w:szCs w:val="20"/>
        </w:rPr>
        <w:t xml:space="preserve"> Distribution payments may not be used to reimburse lost revenues.</w:t>
      </w:r>
    </w:p>
  </w:footnote>
  <w:footnote w:id="10">
    <w:p w:rsidR="00F862EF" w:rsidRPr="00C86AF1" w:rsidP="00F438B1" w14:paraId="3B00DD65" w14:textId="753031CE">
      <w:pPr>
        <w:contextualSpacing/>
        <w:rPr>
          <w:sz w:val="20"/>
          <w:szCs w:val="20"/>
        </w:rPr>
      </w:pPr>
      <w:r w:rsidRPr="00C86AF1">
        <w:rPr>
          <w:rStyle w:val="FootnoteReference"/>
          <w:sz w:val="20"/>
          <w:szCs w:val="20"/>
        </w:rPr>
        <w:footnoteRef/>
      </w:r>
      <w:r w:rsidRPr="00C86AF1">
        <w:rPr>
          <w:sz w:val="20"/>
          <w:szCs w:val="20"/>
        </w:rPr>
        <w:t xml:space="preserve"> PRF defines “eligible health care providers” as public entities, Medicare- or Medicaid-enrolled suppliers and providers, and such for-profit entities and not-for-profit entities as the Secretary may specify, within the United States (inclu</w:t>
      </w:r>
      <w:r w:rsidRPr="00342530">
        <w:rPr>
          <w:sz w:val="20"/>
          <w:szCs w:val="20"/>
        </w:rPr>
        <w:t xml:space="preserve">ding territories), that provide diagnoses, testing, or care for individuals with possible or actual cases of </w:t>
      </w:r>
      <w:r w:rsidRPr="00342530" w:rsidR="00F55E4E">
        <w:rPr>
          <w:sz w:val="20"/>
          <w:szCs w:val="20"/>
        </w:rPr>
        <w:t>COVID-19</w:t>
      </w:r>
      <w:r w:rsidRPr="00342530">
        <w:rPr>
          <w:sz w:val="20"/>
          <w:szCs w:val="20"/>
        </w:rPr>
        <w:t>.</w:t>
      </w:r>
      <w:r w:rsidRPr="00342530" w:rsidR="004F60B6">
        <w:rPr>
          <w:sz w:val="20"/>
          <w:szCs w:val="20"/>
        </w:rPr>
        <w:t xml:space="preserve"> </w:t>
      </w:r>
      <w:r w:rsidRPr="00342530">
        <w:rPr>
          <w:sz w:val="20"/>
          <w:szCs w:val="20"/>
        </w:rPr>
        <w:t xml:space="preserve"> ARP Rural defines “eligible health care providers” as a rural health clinic as defined in section 1861(aa)(2) of the Social Security Act; a provider treated as located in a rural area pursuant to section 1886(d)(8)(E), such as critical access hospitals; or a provider or supplier that has directly billed for health care-related services between January 1, 2019</w:t>
      </w:r>
      <w:r w:rsidRPr="00342530" w:rsidR="004F60B6">
        <w:rPr>
          <w:sz w:val="20"/>
          <w:szCs w:val="20"/>
        </w:rPr>
        <w:t>,</w:t>
      </w:r>
      <w:r w:rsidRPr="00342530">
        <w:rPr>
          <w:sz w:val="20"/>
          <w:szCs w:val="20"/>
        </w:rPr>
        <w:t xml:space="preserve"> and September 30, 2020</w:t>
      </w:r>
      <w:r w:rsidRPr="00342530" w:rsidR="004F60B6">
        <w:rPr>
          <w:sz w:val="20"/>
          <w:szCs w:val="20"/>
        </w:rPr>
        <w:t>,</w:t>
      </w:r>
      <w:r w:rsidRPr="00342530">
        <w:rPr>
          <w:sz w:val="20"/>
          <w:szCs w:val="20"/>
        </w:rPr>
        <w:t xml:space="preserve"> </w:t>
      </w:r>
      <w:r w:rsidRPr="00342530" w:rsidR="004F60B6">
        <w:rPr>
          <w:sz w:val="20"/>
          <w:szCs w:val="20"/>
        </w:rPr>
        <w:t>(</w:t>
      </w:r>
      <w:r w:rsidRPr="00342530">
        <w:rPr>
          <w:sz w:val="20"/>
          <w:szCs w:val="20"/>
        </w:rPr>
        <w:t xml:space="preserve">1) Medicare fee-for-service (Parts A and/or B); </w:t>
      </w:r>
      <w:r w:rsidRPr="00342530" w:rsidR="004F60B6">
        <w:rPr>
          <w:sz w:val="20"/>
          <w:szCs w:val="20"/>
        </w:rPr>
        <w:t>(</w:t>
      </w:r>
      <w:r w:rsidRPr="00342530">
        <w:rPr>
          <w:sz w:val="20"/>
          <w:szCs w:val="20"/>
        </w:rPr>
        <w:t xml:space="preserve">2) Medicare Advantage (Part C); </w:t>
      </w:r>
      <w:r w:rsidRPr="00342530" w:rsidR="004F60B6">
        <w:rPr>
          <w:sz w:val="20"/>
          <w:szCs w:val="20"/>
        </w:rPr>
        <w:t>(</w:t>
      </w:r>
      <w:r w:rsidRPr="00342530">
        <w:rPr>
          <w:sz w:val="20"/>
          <w:szCs w:val="20"/>
        </w:rPr>
        <w:t xml:space="preserve">3) their state/territory Medicaid program (fee-for service or managed care); or </w:t>
      </w:r>
      <w:r w:rsidRPr="00342530" w:rsidR="004F60B6">
        <w:rPr>
          <w:sz w:val="20"/>
          <w:szCs w:val="20"/>
        </w:rPr>
        <w:t>(</w:t>
      </w:r>
      <w:r w:rsidRPr="00342530">
        <w:rPr>
          <w:sz w:val="20"/>
          <w:szCs w:val="20"/>
        </w:rPr>
        <w:t xml:space="preserve">4) their state/territory Children’s Health Insurance Program; and operates in or serves patients living in </w:t>
      </w:r>
      <w:r w:rsidR="000D1287">
        <w:rPr>
          <w:sz w:val="20"/>
          <w:szCs w:val="20"/>
        </w:rPr>
        <w:t xml:space="preserve">a rural area as defined by </w:t>
      </w:r>
      <w:r w:rsidRPr="00342530">
        <w:rPr>
          <w:sz w:val="20"/>
          <w:szCs w:val="20"/>
        </w:rPr>
        <w:t xml:space="preserve">the </w:t>
      </w:r>
      <w:r w:rsidRPr="00F74D0D" w:rsidR="00F74D0D">
        <w:rPr>
          <w:sz w:val="20"/>
          <w:szCs w:val="20"/>
        </w:rPr>
        <w:t>HHS Federal Office of Rural Health Policy</w:t>
      </w:r>
      <w:r w:rsidRPr="00C86AF1">
        <w:rPr>
          <w:sz w:val="20"/>
          <w:szCs w:val="20"/>
        </w:rPr>
        <w:t>.</w:t>
      </w:r>
    </w:p>
  </w:footnote>
  <w:footnote w:id="11">
    <w:p w:rsidR="00394CE5" w:rsidRPr="00DE1B50" w:rsidP="00853EA2" w14:paraId="096302A4" w14:textId="77777777">
      <w:pPr>
        <w:contextualSpacing/>
        <w:rPr>
          <w:sz w:val="20"/>
          <w:szCs w:val="20"/>
        </w:rPr>
      </w:pPr>
      <w:r w:rsidRPr="00DE1B50">
        <w:rPr>
          <w:rStyle w:val="FootnoteReference"/>
          <w:sz w:val="20"/>
          <w:szCs w:val="20"/>
        </w:rPr>
        <w:footnoteRef/>
      </w:r>
      <w:r w:rsidRPr="00DE1B50">
        <w:rPr>
          <w:sz w:val="20"/>
          <w:szCs w:val="20"/>
        </w:rPr>
        <w:t xml:space="preserve"> Net of uncollectible patient service revenues recognized as bad debts.</w:t>
      </w:r>
    </w:p>
  </w:footnote>
  <w:footnote w:id="12">
    <w:p w:rsidR="00394CE5" w:rsidRPr="00DE1B50" w:rsidP="00853EA2" w14:paraId="366911D7" w14:textId="54F3A6F1">
      <w:pPr>
        <w:contextualSpacing/>
        <w:rPr>
          <w:sz w:val="20"/>
          <w:szCs w:val="20"/>
        </w:rPr>
      </w:pPr>
      <w:r w:rsidRPr="00DE1B50">
        <w:rPr>
          <w:rStyle w:val="FootnoteReference"/>
          <w:sz w:val="20"/>
          <w:szCs w:val="20"/>
        </w:rPr>
        <w:footnoteRef/>
      </w:r>
      <w:r w:rsidRPr="00DE1B50">
        <w:rPr>
          <w:sz w:val="20"/>
          <w:szCs w:val="20"/>
        </w:rPr>
        <w:t xml:space="preserve"> </w:t>
      </w:r>
      <w:r w:rsidRPr="00DE1B50">
        <w:rPr>
          <w:w w:val="95"/>
          <w:sz w:val="20"/>
          <w:szCs w:val="20"/>
        </w:rPr>
        <w:t>“</w:t>
      </w:r>
      <w:r w:rsidRPr="00DE1B50">
        <w:rPr>
          <w:sz w:val="20"/>
          <w:szCs w:val="20"/>
        </w:rPr>
        <w:t>Patient care” means health care, services</w:t>
      </w:r>
      <w:r w:rsidR="00CD29E3">
        <w:rPr>
          <w:sz w:val="20"/>
          <w:szCs w:val="20"/>
        </w:rPr>
        <w:t>,</w:t>
      </w:r>
      <w:r w:rsidRPr="00DE1B50">
        <w:rPr>
          <w:sz w:val="20"/>
          <w:szCs w:val="20"/>
        </w:rPr>
        <w:t xml:space="preserve"> and supports, as provided in a medical setting, at home/telehealth, or in the community. </w:t>
      </w:r>
      <w:r w:rsidR="00CD29E3">
        <w:rPr>
          <w:sz w:val="20"/>
          <w:szCs w:val="20"/>
        </w:rPr>
        <w:t xml:space="preserve"> </w:t>
      </w:r>
      <w:r w:rsidRPr="00DE1B50">
        <w:rPr>
          <w:sz w:val="20"/>
          <w:szCs w:val="20"/>
        </w:rPr>
        <w:t>It should not include non-patient care revenue such as insurance, retail, or real estate revenues (exception for nursing and assisted living facilities’ real estate revenues where resident fees are allowable); prescription sales revenues (except when derived through the 340B program); grants or tuition; contractual adjustments from all third</w:t>
      </w:r>
      <w:r w:rsidR="002D5ABE">
        <w:rPr>
          <w:sz w:val="20"/>
          <w:szCs w:val="20"/>
        </w:rPr>
        <w:t>-</w:t>
      </w:r>
      <w:r w:rsidRPr="00DE1B50">
        <w:rPr>
          <w:sz w:val="20"/>
          <w:szCs w:val="20"/>
        </w:rPr>
        <w:t>party payers; charity care adjustments; bad debt; and any gains and/or losses on investments.</w:t>
      </w:r>
    </w:p>
  </w:footnote>
  <w:footnote w:id="13">
    <w:p w:rsidR="00394CE5" w:rsidRPr="00DE1B50" w:rsidP="0047181C" w14:paraId="35C2FCB0" w14:textId="77777777">
      <w:pPr>
        <w:contextualSpacing/>
        <w:rPr>
          <w:sz w:val="20"/>
          <w:szCs w:val="20"/>
        </w:rPr>
      </w:pPr>
      <w:r w:rsidRPr="00DE1B50">
        <w:rPr>
          <w:rStyle w:val="FootnoteReference"/>
          <w:sz w:val="20"/>
          <w:szCs w:val="20"/>
        </w:rPr>
        <w:footnoteRef/>
      </w:r>
      <w:r w:rsidRPr="00DE1B50">
        <w:rPr>
          <w:sz w:val="20"/>
          <w:szCs w:val="20"/>
        </w:rPr>
        <w:t xml:space="preserve"> Net of uncollectible patient service revenues recognized as bad debts.</w:t>
      </w:r>
    </w:p>
  </w:footnote>
  <w:footnote w:id="14">
    <w:p w:rsidR="00394CE5" w:rsidRPr="00DE1B50" w:rsidP="0047181C" w14:paraId="76A2D061" w14:textId="2258562D">
      <w:pPr>
        <w:contextualSpacing/>
        <w:rPr>
          <w:sz w:val="20"/>
          <w:szCs w:val="20"/>
        </w:rPr>
      </w:pPr>
      <w:r w:rsidRPr="00DE1B50">
        <w:rPr>
          <w:rStyle w:val="FootnoteReference"/>
          <w:sz w:val="20"/>
          <w:szCs w:val="20"/>
        </w:rPr>
        <w:footnoteRef/>
      </w:r>
      <w:r w:rsidRPr="00DE1B50">
        <w:rPr>
          <w:sz w:val="20"/>
          <w:szCs w:val="20"/>
        </w:rPr>
        <w:t xml:space="preserve"> </w:t>
      </w:r>
      <w:r w:rsidRPr="00DE1B50">
        <w:rPr>
          <w:w w:val="95"/>
          <w:sz w:val="20"/>
          <w:szCs w:val="20"/>
        </w:rPr>
        <w:t>“</w:t>
      </w:r>
      <w:r w:rsidRPr="00DE1B50">
        <w:rPr>
          <w:sz w:val="20"/>
          <w:szCs w:val="20"/>
        </w:rPr>
        <w:t>Patient care” means health care, services</w:t>
      </w:r>
      <w:r w:rsidR="00F17EA4">
        <w:rPr>
          <w:sz w:val="20"/>
          <w:szCs w:val="20"/>
        </w:rPr>
        <w:t>,</w:t>
      </w:r>
      <w:r w:rsidRPr="00DE1B50">
        <w:rPr>
          <w:sz w:val="20"/>
          <w:szCs w:val="20"/>
        </w:rPr>
        <w:t xml:space="preserve"> and supports, as provided in a medical setting, at home/telehealth, or in the community. </w:t>
      </w:r>
      <w:r w:rsidR="00F17EA4">
        <w:rPr>
          <w:sz w:val="20"/>
          <w:szCs w:val="20"/>
        </w:rPr>
        <w:t xml:space="preserve"> </w:t>
      </w:r>
      <w:r w:rsidRPr="00DE1B50">
        <w:rPr>
          <w:sz w:val="20"/>
          <w:szCs w:val="20"/>
        </w:rPr>
        <w:t>It should not include non-patient care revenue such as insurance, retail, or real estate revenues (exception for nursing and assisted living facilities’ real estate revenues where resident fees are allowable); prescription sales revenues (except when derived through the 340B program); grants or tuition; contractual adjustments from all third</w:t>
      </w:r>
      <w:r w:rsidR="002D5ABE">
        <w:rPr>
          <w:sz w:val="20"/>
          <w:szCs w:val="20"/>
        </w:rPr>
        <w:t>-</w:t>
      </w:r>
      <w:r w:rsidRPr="00DE1B50">
        <w:rPr>
          <w:sz w:val="20"/>
          <w:szCs w:val="20"/>
        </w:rPr>
        <w:t xml:space="preserve">party payers; charity care adjustments; bad debt; and any gains and/or losses on investments.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229B5"/>
    <w:multiLevelType w:val="hybridMultilevel"/>
    <w:tmpl w:val="8520B4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5345BDE"/>
    <w:multiLevelType w:val="hybridMultilevel"/>
    <w:tmpl w:val="2D6879DA"/>
    <w:lvl w:ilvl="0">
      <w:start w:val="1"/>
      <w:numFmt w:val="lowerLetter"/>
      <w:lvlText w:val="%1."/>
      <w:lvlJc w:val="left"/>
      <w:pPr>
        <w:ind w:left="108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5C92778"/>
    <w:multiLevelType w:val="hybridMultilevel"/>
    <w:tmpl w:val="A9D83D6E"/>
    <w:lvl w:ilvl="0">
      <w:start w:val="1"/>
      <w:numFmt w:val="decimal"/>
      <w:lvlText w:val="%1."/>
      <w:lvlJc w:val="left"/>
      <w:pPr>
        <w:ind w:left="829" w:hanging="360"/>
      </w:pPr>
    </w:lvl>
    <w:lvl w:ilvl="1" w:tentative="1">
      <w:start w:val="1"/>
      <w:numFmt w:val="lowerLetter"/>
      <w:lvlText w:val="%2."/>
      <w:lvlJc w:val="left"/>
      <w:pPr>
        <w:ind w:left="1549" w:hanging="360"/>
      </w:pPr>
    </w:lvl>
    <w:lvl w:ilvl="2" w:tentative="1">
      <w:start w:val="1"/>
      <w:numFmt w:val="lowerRoman"/>
      <w:lvlText w:val="%3."/>
      <w:lvlJc w:val="right"/>
      <w:pPr>
        <w:ind w:left="2269" w:hanging="180"/>
      </w:pPr>
    </w:lvl>
    <w:lvl w:ilvl="3" w:tentative="1">
      <w:start w:val="1"/>
      <w:numFmt w:val="decimal"/>
      <w:lvlText w:val="%4."/>
      <w:lvlJc w:val="left"/>
      <w:pPr>
        <w:ind w:left="2989" w:hanging="360"/>
      </w:pPr>
    </w:lvl>
    <w:lvl w:ilvl="4" w:tentative="1">
      <w:start w:val="1"/>
      <w:numFmt w:val="lowerLetter"/>
      <w:lvlText w:val="%5."/>
      <w:lvlJc w:val="left"/>
      <w:pPr>
        <w:ind w:left="3709" w:hanging="360"/>
      </w:pPr>
    </w:lvl>
    <w:lvl w:ilvl="5" w:tentative="1">
      <w:start w:val="1"/>
      <w:numFmt w:val="lowerRoman"/>
      <w:lvlText w:val="%6."/>
      <w:lvlJc w:val="right"/>
      <w:pPr>
        <w:ind w:left="4429" w:hanging="180"/>
      </w:pPr>
    </w:lvl>
    <w:lvl w:ilvl="6" w:tentative="1">
      <w:start w:val="1"/>
      <w:numFmt w:val="decimal"/>
      <w:lvlText w:val="%7."/>
      <w:lvlJc w:val="left"/>
      <w:pPr>
        <w:ind w:left="5149" w:hanging="360"/>
      </w:pPr>
    </w:lvl>
    <w:lvl w:ilvl="7" w:tentative="1">
      <w:start w:val="1"/>
      <w:numFmt w:val="lowerLetter"/>
      <w:lvlText w:val="%8."/>
      <w:lvlJc w:val="left"/>
      <w:pPr>
        <w:ind w:left="5869" w:hanging="360"/>
      </w:pPr>
    </w:lvl>
    <w:lvl w:ilvl="8" w:tentative="1">
      <w:start w:val="1"/>
      <w:numFmt w:val="lowerRoman"/>
      <w:lvlText w:val="%9."/>
      <w:lvlJc w:val="right"/>
      <w:pPr>
        <w:ind w:left="6589" w:hanging="180"/>
      </w:pPr>
    </w:lvl>
  </w:abstractNum>
  <w:abstractNum w:abstractNumId="3">
    <w:nsid w:val="071E3FA8"/>
    <w:multiLevelType w:val="hybridMultilevel"/>
    <w:tmpl w:val="E876BDF0"/>
    <w:lvl w:ilvl="0">
      <w:start w:val="1"/>
      <w:numFmt w:val="lowerLetter"/>
      <w:lvlText w:val="%1."/>
      <w:lvlJc w:val="left"/>
      <w:pPr>
        <w:ind w:left="1072" w:hanging="352"/>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565" w:hanging="360"/>
      </w:pPr>
    </w:lvl>
    <w:lvl w:ilvl="2" w:tentative="1">
      <w:start w:val="1"/>
      <w:numFmt w:val="lowerRoman"/>
      <w:lvlText w:val="%3."/>
      <w:lvlJc w:val="right"/>
      <w:pPr>
        <w:ind w:left="2285" w:hanging="180"/>
      </w:pPr>
    </w:lvl>
    <w:lvl w:ilvl="3" w:tentative="1">
      <w:start w:val="1"/>
      <w:numFmt w:val="decimal"/>
      <w:lvlText w:val="%4."/>
      <w:lvlJc w:val="left"/>
      <w:pPr>
        <w:ind w:left="3005" w:hanging="360"/>
      </w:pPr>
    </w:lvl>
    <w:lvl w:ilvl="4" w:tentative="1">
      <w:start w:val="1"/>
      <w:numFmt w:val="lowerLetter"/>
      <w:lvlText w:val="%5."/>
      <w:lvlJc w:val="left"/>
      <w:pPr>
        <w:ind w:left="3725" w:hanging="360"/>
      </w:pPr>
    </w:lvl>
    <w:lvl w:ilvl="5" w:tentative="1">
      <w:start w:val="1"/>
      <w:numFmt w:val="lowerRoman"/>
      <w:lvlText w:val="%6."/>
      <w:lvlJc w:val="right"/>
      <w:pPr>
        <w:ind w:left="4445" w:hanging="180"/>
      </w:pPr>
    </w:lvl>
    <w:lvl w:ilvl="6" w:tentative="1">
      <w:start w:val="1"/>
      <w:numFmt w:val="decimal"/>
      <w:lvlText w:val="%7."/>
      <w:lvlJc w:val="left"/>
      <w:pPr>
        <w:ind w:left="5165" w:hanging="360"/>
      </w:pPr>
    </w:lvl>
    <w:lvl w:ilvl="7" w:tentative="1">
      <w:start w:val="1"/>
      <w:numFmt w:val="lowerLetter"/>
      <w:lvlText w:val="%8."/>
      <w:lvlJc w:val="left"/>
      <w:pPr>
        <w:ind w:left="5885" w:hanging="360"/>
      </w:pPr>
    </w:lvl>
    <w:lvl w:ilvl="8" w:tentative="1">
      <w:start w:val="1"/>
      <w:numFmt w:val="lowerRoman"/>
      <w:lvlText w:val="%9."/>
      <w:lvlJc w:val="right"/>
      <w:pPr>
        <w:ind w:left="6605" w:hanging="180"/>
      </w:pPr>
    </w:lvl>
  </w:abstractNum>
  <w:abstractNum w:abstractNumId="4">
    <w:nsid w:val="0A7B4A8B"/>
    <w:multiLevelType w:val="hybridMultilevel"/>
    <w:tmpl w:val="E6A03E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9A5ED2"/>
    <w:multiLevelType w:val="hybridMultilevel"/>
    <w:tmpl w:val="2F32E7A6"/>
    <w:lvl w:ilvl="0">
      <w:start w:val="1"/>
      <w:numFmt w:val="bullet"/>
      <w:lvlText w:val=""/>
      <w:lvlJc w:val="left"/>
      <w:pPr>
        <w:ind w:left="940" w:hanging="360"/>
      </w:pPr>
      <w:rPr>
        <w:rFonts w:ascii="Symbol" w:hAnsi="Symbol" w:hint="default"/>
        <w:sz w:val="22"/>
      </w:rPr>
    </w:lvl>
    <w:lvl w:ilvl="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6">
    <w:nsid w:val="13042801"/>
    <w:multiLevelType w:val="hybridMultilevel"/>
    <w:tmpl w:val="ED0A3A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2E7D20"/>
    <w:multiLevelType w:val="hybridMultilevel"/>
    <w:tmpl w:val="035889C0"/>
    <w:lvl w:ilvl="0">
      <w:start w:val="1"/>
      <w:numFmt w:val="lowerLetter"/>
      <w:lvlText w:val="%1."/>
      <w:lvlJc w:val="left"/>
      <w:pPr>
        <w:ind w:left="108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92E341D"/>
    <w:multiLevelType w:val="hybridMultilevel"/>
    <w:tmpl w:val="ED0A3A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935BD0"/>
    <w:multiLevelType w:val="hybridMultilevel"/>
    <w:tmpl w:val="1B6EBC76"/>
    <w:lvl w:ilvl="0">
      <w:start w:val="1"/>
      <w:numFmt w:val="lowerLetter"/>
      <w:lvlText w:val="%1."/>
      <w:lvlJc w:val="left"/>
      <w:pPr>
        <w:ind w:left="108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F830A84"/>
    <w:multiLevelType w:val="hybridMultilevel"/>
    <w:tmpl w:val="C604FC60"/>
    <w:lvl w:ilvl="0">
      <w:start w:val="1"/>
      <w:numFmt w:val="lowerLetter"/>
      <w:lvlText w:val="%1."/>
      <w:lvlJc w:val="left"/>
      <w:pPr>
        <w:ind w:left="126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1">
    <w:nsid w:val="261D6D2B"/>
    <w:multiLevelType w:val="hybridMultilevel"/>
    <w:tmpl w:val="262EF6C6"/>
    <w:lvl w:ilvl="0">
      <w:start w:val="1"/>
      <w:numFmt w:val="decimal"/>
      <w:lvlText w:val="(%1)"/>
      <w:lvlJc w:val="left"/>
      <w:pPr>
        <w:ind w:left="479" w:hanging="369"/>
      </w:pPr>
      <w:rPr>
        <w:rFonts w:hint="default"/>
        <w:b/>
        <w:bCs/>
        <w:i w:val="0"/>
        <w:iCs w:val="0"/>
        <w:spacing w:val="-7"/>
        <w:w w:val="93"/>
        <w:sz w:val="22"/>
        <w:szCs w:val="22"/>
        <w:lang w:val="en-US" w:eastAsia="en-US" w:bidi="ar-SA"/>
      </w:rPr>
    </w:lvl>
    <w:lvl w:ilvl="1">
      <w:start w:val="1"/>
      <w:numFmt w:val="lowerLetter"/>
      <w:lvlText w:val="%2."/>
      <w:lvlJc w:val="left"/>
      <w:pPr>
        <w:ind w:left="1056" w:hanging="336"/>
      </w:pPr>
      <w:rPr>
        <w:rFonts w:ascii="Times New Roman" w:eastAsia="Times New Roman" w:hAnsi="Times New Roman" w:cs="Times New Roman" w:hint="default"/>
        <w:b/>
        <w:bCs/>
        <w:i w:val="0"/>
        <w:iCs w:val="0"/>
        <w:spacing w:val="-7"/>
        <w:w w:val="93"/>
        <w:sz w:val="22"/>
        <w:szCs w:val="22"/>
        <w:lang w:val="en-US" w:eastAsia="en-US" w:bidi="ar-SA"/>
      </w:rPr>
    </w:lvl>
    <w:lvl w:ilvl="2">
      <w:start w:val="0"/>
      <w:numFmt w:val="bullet"/>
      <w:lvlText w:val="•"/>
      <w:lvlJc w:val="left"/>
      <w:pPr>
        <w:ind w:left="940" w:hanging="336"/>
      </w:pPr>
      <w:rPr>
        <w:rFonts w:hint="default"/>
        <w:lang w:val="en-US" w:eastAsia="en-US" w:bidi="ar-SA"/>
      </w:rPr>
    </w:lvl>
    <w:lvl w:ilvl="3">
      <w:start w:val="0"/>
      <w:numFmt w:val="bullet"/>
      <w:lvlText w:val="•"/>
      <w:lvlJc w:val="left"/>
      <w:pPr>
        <w:ind w:left="2077" w:hanging="336"/>
      </w:pPr>
      <w:rPr>
        <w:rFonts w:hint="default"/>
        <w:lang w:val="en-US" w:eastAsia="en-US" w:bidi="ar-SA"/>
      </w:rPr>
    </w:lvl>
    <w:lvl w:ilvl="4">
      <w:start w:val="0"/>
      <w:numFmt w:val="bullet"/>
      <w:lvlText w:val="•"/>
      <w:lvlJc w:val="left"/>
      <w:pPr>
        <w:ind w:left="3215" w:hanging="336"/>
      </w:pPr>
      <w:rPr>
        <w:rFonts w:hint="default"/>
        <w:lang w:val="en-US" w:eastAsia="en-US" w:bidi="ar-SA"/>
      </w:rPr>
    </w:lvl>
    <w:lvl w:ilvl="5">
      <w:start w:val="0"/>
      <w:numFmt w:val="bullet"/>
      <w:lvlText w:val="•"/>
      <w:lvlJc w:val="left"/>
      <w:pPr>
        <w:ind w:left="4352" w:hanging="336"/>
      </w:pPr>
      <w:rPr>
        <w:rFonts w:hint="default"/>
        <w:lang w:val="en-US" w:eastAsia="en-US" w:bidi="ar-SA"/>
      </w:rPr>
    </w:lvl>
    <w:lvl w:ilvl="6">
      <w:start w:val="0"/>
      <w:numFmt w:val="bullet"/>
      <w:lvlText w:val="•"/>
      <w:lvlJc w:val="left"/>
      <w:pPr>
        <w:ind w:left="5490" w:hanging="336"/>
      </w:pPr>
      <w:rPr>
        <w:rFonts w:hint="default"/>
        <w:lang w:val="en-US" w:eastAsia="en-US" w:bidi="ar-SA"/>
      </w:rPr>
    </w:lvl>
    <w:lvl w:ilvl="7">
      <w:start w:val="0"/>
      <w:numFmt w:val="bullet"/>
      <w:lvlText w:val="•"/>
      <w:lvlJc w:val="left"/>
      <w:pPr>
        <w:ind w:left="6627" w:hanging="336"/>
      </w:pPr>
      <w:rPr>
        <w:rFonts w:hint="default"/>
        <w:lang w:val="en-US" w:eastAsia="en-US" w:bidi="ar-SA"/>
      </w:rPr>
    </w:lvl>
    <w:lvl w:ilvl="8">
      <w:start w:val="0"/>
      <w:numFmt w:val="bullet"/>
      <w:lvlText w:val="•"/>
      <w:lvlJc w:val="left"/>
      <w:pPr>
        <w:ind w:left="7765" w:hanging="336"/>
      </w:pPr>
      <w:rPr>
        <w:rFonts w:hint="default"/>
        <w:lang w:val="en-US" w:eastAsia="en-US" w:bidi="ar-SA"/>
      </w:rPr>
    </w:lvl>
  </w:abstractNum>
  <w:abstractNum w:abstractNumId="12">
    <w:nsid w:val="2EDF6DE8"/>
    <w:multiLevelType w:val="hybridMultilevel"/>
    <w:tmpl w:val="3C98E298"/>
    <w:lvl w:ilvl="0">
      <w:start w:val="1"/>
      <w:numFmt w:val="lowerLetter"/>
      <w:lvlText w:val="%1."/>
      <w:lvlJc w:val="left"/>
      <w:pPr>
        <w:ind w:left="108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7433286"/>
    <w:multiLevelType w:val="hybridMultilevel"/>
    <w:tmpl w:val="DAD6E5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F24FB3"/>
    <w:multiLevelType w:val="hybridMultilevel"/>
    <w:tmpl w:val="88942430"/>
    <w:lvl w:ilvl="0">
      <w:start w:val="1"/>
      <w:numFmt w:val="lowerLetter"/>
      <w:lvlText w:val="%1."/>
      <w:lvlJc w:val="left"/>
      <w:pPr>
        <w:ind w:left="947" w:hanging="360"/>
      </w:pPr>
      <w:rPr>
        <w:rFonts w:ascii="Times New Roman" w:eastAsia="Times New Roman" w:hAnsi="Times New Roman" w:cs="Times New Roman" w:hint="default"/>
        <w:b/>
        <w:bCs/>
        <w:i w:val="0"/>
        <w:iCs w:val="0"/>
        <w:spacing w:val="-7"/>
        <w:w w:val="93"/>
        <w:sz w:val="22"/>
        <w:szCs w:val="22"/>
        <w:lang w:val="en-US" w:eastAsia="en-US" w:bidi="ar-SA"/>
      </w:rPr>
    </w:lvl>
    <w:lvl w:ilvl="1">
      <w:start w:val="1"/>
      <w:numFmt w:val="lowerLetter"/>
      <w:lvlText w:val="%2."/>
      <w:lvlJc w:val="left"/>
      <w:pPr>
        <w:ind w:left="1667" w:hanging="360"/>
      </w:pPr>
    </w:lvl>
    <w:lvl w:ilvl="2" w:tentative="1">
      <w:start w:val="1"/>
      <w:numFmt w:val="lowerRoman"/>
      <w:lvlText w:val="%3."/>
      <w:lvlJc w:val="right"/>
      <w:pPr>
        <w:ind w:left="2387" w:hanging="180"/>
      </w:pPr>
    </w:lvl>
    <w:lvl w:ilvl="3" w:tentative="1">
      <w:start w:val="1"/>
      <w:numFmt w:val="decimal"/>
      <w:lvlText w:val="%4."/>
      <w:lvlJc w:val="left"/>
      <w:pPr>
        <w:ind w:left="3107" w:hanging="360"/>
      </w:pPr>
    </w:lvl>
    <w:lvl w:ilvl="4" w:tentative="1">
      <w:start w:val="1"/>
      <w:numFmt w:val="lowerLetter"/>
      <w:lvlText w:val="%5."/>
      <w:lvlJc w:val="left"/>
      <w:pPr>
        <w:ind w:left="3827" w:hanging="360"/>
      </w:pPr>
    </w:lvl>
    <w:lvl w:ilvl="5" w:tentative="1">
      <w:start w:val="1"/>
      <w:numFmt w:val="lowerRoman"/>
      <w:lvlText w:val="%6."/>
      <w:lvlJc w:val="right"/>
      <w:pPr>
        <w:ind w:left="4547" w:hanging="180"/>
      </w:pPr>
    </w:lvl>
    <w:lvl w:ilvl="6" w:tentative="1">
      <w:start w:val="1"/>
      <w:numFmt w:val="decimal"/>
      <w:lvlText w:val="%7."/>
      <w:lvlJc w:val="left"/>
      <w:pPr>
        <w:ind w:left="5267" w:hanging="360"/>
      </w:pPr>
    </w:lvl>
    <w:lvl w:ilvl="7" w:tentative="1">
      <w:start w:val="1"/>
      <w:numFmt w:val="lowerLetter"/>
      <w:lvlText w:val="%8."/>
      <w:lvlJc w:val="left"/>
      <w:pPr>
        <w:ind w:left="5987" w:hanging="360"/>
      </w:pPr>
    </w:lvl>
    <w:lvl w:ilvl="8" w:tentative="1">
      <w:start w:val="1"/>
      <w:numFmt w:val="lowerRoman"/>
      <w:lvlText w:val="%9."/>
      <w:lvlJc w:val="right"/>
      <w:pPr>
        <w:ind w:left="6707" w:hanging="180"/>
      </w:pPr>
    </w:lvl>
  </w:abstractNum>
  <w:abstractNum w:abstractNumId="15">
    <w:nsid w:val="425625FE"/>
    <w:multiLevelType w:val="hybridMultilevel"/>
    <w:tmpl w:val="82D23708"/>
    <w:lvl w:ilvl="0">
      <w:start w:val="1"/>
      <w:numFmt w:val="lowerLetter"/>
      <w:lvlText w:val="%1."/>
      <w:lvlJc w:val="left"/>
      <w:pPr>
        <w:ind w:left="2152" w:hanging="352"/>
      </w:pPr>
      <w:rPr>
        <w:rFonts w:ascii="Times New Roman" w:eastAsia="Times New Roman" w:hAnsi="Times New Roman" w:cs="Times New Roman" w:hint="default"/>
        <w:b/>
        <w:bCs/>
        <w:i w:val="0"/>
        <w:iCs w:val="0"/>
        <w:spacing w:val="-7"/>
        <w:w w:val="93"/>
        <w:sz w:val="22"/>
        <w:szCs w:val="22"/>
        <w:lang w:val="en-US" w:eastAsia="en-US" w:bidi="ar-SA"/>
      </w:rPr>
    </w:lvl>
    <w:lvl w:ilvl="1">
      <w:start w:val="1"/>
      <w:numFmt w:val="lowerLetter"/>
      <w:lvlText w:val="%2."/>
      <w:lvlJc w:val="left"/>
      <w:pPr>
        <w:ind w:left="2645" w:hanging="360"/>
      </w:pPr>
    </w:lvl>
    <w:lvl w:ilvl="2" w:tentative="1">
      <w:start w:val="1"/>
      <w:numFmt w:val="lowerRoman"/>
      <w:lvlText w:val="%3."/>
      <w:lvlJc w:val="right"/>
      <w:pPr>
        <w:ind w:left="3365" w:hanging="180"/>
      </w:pPr>
    </w:lvl>
    <w:lvl w:ilvl="3" w:tentative="1">
      <w:start w:val="1"/>
      <w:numFmt w:val="decimal"/>
      <w:lvlText w:val="%4."/>
      <w:lvlJc w:val="left"/>
      <w:pPr>
        <w:ind w:left="4085" w:hanging="360"/>
      </w:pPr>
    </w:lvl>
    <w:lvl w:ilvl="4" w:tentative="1">
      <w:start w:val="1"/>
      <w:numFmt w:val="lowerLetter"/>
      <w:lvlText w:val="%5."/>
      <w:lvlJc w:val="left"/>
      <w:pPr>
        <w:ind w:left="4805" w:hanging="360"/>
      </w:pPr>
    </w:lvl>
    <w:lvl w:ilvl="5" w:tentative="1">
      <w:start w:val="1"/>
      <w:numFmt w:val="lowerRoman"/>
      <w:lvlText w:val="%6."/>
      <w:lvlJc w:val="right"/>
      <w:pPr>
        <w:ind w:left="5525" w:hanging="180"/>
      </w:pPr>
    </w:lvl>
    <w:lvl w:ilvl="6" w:tentative="1">
      <w:start w:val="1"/>
      <w:numFmt w:val="decimal"/>
      <w:lvlText w:val="%7."/>
      <w:lvlJc w:val="left"/>
      <w:pPr>
        <w:ind w:left="6245" w:hanging="360"/>
      </w:pPr>
    </w:lvl>
    <w:lvl w:ilvl="7" w:tentative="1">
      <w:start w:val="1"/>
      <w:numFmt w:val="lowerLetter"/>
      <w:lvlText w:val="%8."/>
      <w:lvlJc w:val="left"/>
      <w:pPr>
        <w:ind w:left="6965" w:hanging="360"/>
      </w:pPr>
    </w:lvl>
    <w:lvl w:ilvl="8" w:tentative="1">
      <w:start w:val="1"/>
      <w:numFmt w:val="lowerRoman"/>
      <w:lvlText w:val="%9."/>
      <w:lvlJc w:val="right"/>
      <w:pPr>
        <w:ind w:left="7685" w:hanging="180"/>
      </w:pPr>
    </w:lvl>
  </w:abstractNum>
  <w:abstractNum w:abstractNumId="16">
    <w:nsid w:val="431B2A1B"/>
    <w:multiLevelType w:val="hybridMultilevel"/>
    <w:tmpl w:val="53CC0ABE"/>
    <w:lvl w:ilvl="0">
      <w:start w:val="1"/>
      <w:numFmt w:val="decimal"/>
      <w:lvlText w:val="(%1)"/>
      <w:lvlJc w:val="left"/>
      <w:pPr>
        <w:ind w:left="690" w:hanging="360"/>
      </w:pPr>
      <w:rPr>
        <w:rFonts w:hint="default"/>
        <w:b/>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7">
    <w:nsid w:val="47EE4ABE"/>
    <w:multiLevelType w:val="hybridMultilevel"/>
    <w:tmpl w:val="2D6879DA"/>
    <w:lvl w:ilvl="0">
      <w:start w:val="1"/>
      <w:numFmt w:val="lowerLetter"/>
      <w:lvlText w:val="%1."/>
      <w:lvlJc w:val="left"/>
      <w:pPr>
        <w:ind w:left="108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ACC2C27"/>
    <w:multiLevelType w:val="hybridMultilevel"/>
    <w:tmpl w:val="12102EAE"/>
    <w:lvl w:ilvl="0">
      <w:start w:val="1"/>
      <w:numFmt w:val="decimal"/>
      <w:pStyle w:val="Heading2"/>
      <w:lvlText w:val="%1)"/>
      <w:lvlJc w:val="left"/>
      <w:pPr>
        <w:ind w:left="596" w:hanging="369"/>
      </w:pPr>
      <w:rPr>
        <w:rFonts w:ascii="Times New Roman" w:eastAsia="Times New Roman" w:hAnsi="Times New Roman" w:cs="Times New Roman" w:hint="default"/>
        <w:b/>
        <w:bCs/>
        <w:i w:val="0"/>
        <w:iCs w:val="0"/>
        <w:w w:val="101"/>
        <w:sz w:val="22"/>
        <w:szCs w:val="22"/>
        <w:lang w:val="en-US" w:eastAsia="en-US" w:bidi="ar-SA"/>
      </w:rPr>
    </w:lvl>
    <w:lvl w:ilvl="1">
      <w:start w:val="0"/>
      <w:numFmt w:val="bullet"/>
      <w:lvlText w:val="•"/>
      <w:lvlJc w:val="left"/>
      <w:pPr>
        <w:ind w:left="1544" w:hanging="369"/>
      </w:pPr>
      <w:rPr>
        <w:rFonts w:hint="default"/>
        <w:lang w:val="en-US" w:eastAsia="en-US" w:bidi="ar-SA"/>
      </w:rPr>
    </w:lvl>
    <w:lvl w:ilvl="2">
      <w:start w:val="0"/>
      <w:numFmt w:val="bullet"/>
      <w:lvlText w:val="•"/>
      <w:lvlJc w:val="left"/>
      <w:pPr>
        <w:ind w:left="2488" w:hanging="369"/>
      </w:pPr>
      <w:rPr>
        <w:rFonts w:hint="default"/>
        <w:lang w:val="en-US" w:eastAsia="en-US" w:bidi="ar-SA"/>
      </w:rPr>
    </w:lvl>
    <w:lvl w:ilvl="3">
      <w:start w:val="0"/>
      <w:numFmt w:val="bullet"/>
      <w:lvlText w:val="•"/>
      <w:lvlJc w:val="left"/>
      <w:pPr>
        <w:ind w:left="3432" w:hanging="369"/>
      </w:pPr>
      <w:rPr>
        <w:rFonts w:hint="default"/>
        <w:lang w:val="en-US" w:eastAsia="en-US" w:bidi="ar-SA"/>
      </w:rPr>
    </w:lvl>
    <w:lvl w:ilvl="4">
      <w:start w:val="0"/>
      <w:numFmt w:val="bullet"/>
      <w:lvlText w:val="•"/>
      <w:lvlJc w:val="left"/>
      <w:pPr>
        <w:ind w:left="4376" w:hanging="369"/>
      </w:pPr>
      <w:rPr>
        <w:rFonts w:hint="default"/>
        <w:lang w:val="en-US" w:eastAsia="en-US" w:bidi="ar-SA"/>
      </w:rPr>
    </w:lvl>
    <w:lvl w:ilvl="5">
      <w:start w:val="0"/>
      <w:numFmt w:val="bullet"/>
      <w:lvlText w:val="•"/>
      <w:lvlJc w:val="left"/>
      <w:pPr>
        <w:ind w:left="5320" w:hanging="369"/>
      </w:pPr>
      <w:rPr>
        <w:rFonts w:hint="default"/>
        <w:lang w:val="en-US" w:eastAsia="en-US" w:bidi="ar-SA"/>
      </w:rPr>
    </w:lvl>
    <w:lvl w:ilvl="6">
      <w:start w:val="0"/>
      <w:numFmt w:val="bullet"/>
      <w:lvlText w:val="•"/>
      <w:lvlJc w:val="left"/>
      <w:pPr>
        <w:ind w:left="6264" w:hanging="369"/>
      </w:pPr>
      <w:rPr>
        <w:rFonts w:hint="default"/>
        <w:lang w:val="en-US" w:eastAsia="en-US" w:bidi="ar-SA"/>
      </w:rPr>
    </w:lvl>
    <w:lvl w:ilvl="7">
      <w:start w:val="0"/>
      <w:numFmt w:val="bullet"/>
      <w:lvlText w:val="•"/>
      <w:lvlJc w:val="left"/>
      <w:pPr>
        <w:ind w:left="7208" w:hanging="369"/>
      </w:pPr>
      <w:rPr>
        <w:rFonts w:hint="default"/>
        <w:lang w:val="en-US" w:eastAsia="en-US" w:bidi="ar-SA"/>
      </w:rPr>
    </w:lvl>
    <w:lvl w:ilvl="8">
      <w:start w:val="0"/>
      <w:numFmt w:val="bullet"/>
      <w:lvlText w:val="•"/>
      <w:lvlJc w:val="left"/>
      <w:pPr>
        <w:ind w:left="8152" w:hanging="369"/>
      </w:pPr>
      <w:rPr>
        <w:rFonts w:hint="default"/>
        <w:lang w:val="en-US" w:eastAsia="en-US" w:bidi="ar-SA"/>
      </w:rPr>
    </w:lvl>
  </w:abstractNum>
  <w:abstractNum w:abstractNumId="19">
    <w:nsid w:val="512B20C9"/>
    <w:multiLevelType w:val="hybridMultilevel"/>
    <w:tmpl w:val="B2E6B1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25D7677"/>
    <w:multiLevelType w:val="hybridMultilevel"/>
    <w:tmpl w:val="F092A75C"/>
    <w:lvl w:ilvl="0">
      <w:start w:val="1"/>
      <w:numFmt w:val="lowerLetter"/>
      <w:lvlText w:val="%1."/>
      <w:lvlJc w:val="left"/>
      <w:pPr>
        <w:ind w:left="126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1">
    <w:nsid w:val="525F5083"/>
    <w:multiLevelType w:val="hybridMultilevel"/>
    <w:tmpl w:val="E020C406"/>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2">
    <w:nsid w:val="5CAF5DD1"/>
    <w:multiLevelType w:val="hybridMultilevel"/>
    <w:tmpl w:val="C41E36FC"/>
    <w:lvl w:ilvl="0">
      <w:start w:val="1"/>
      <w:numFmt w:val="lowerLetter"/>
      <w:lvlText w:val="%1."/>
      <w:lvlJc w:val="left"/>
      <w:pPr>
        <w:ind w:left="108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CEF7DD1"/>
    <w:multiLevelType w:val="hybridMultilevel"/>
    <w:tmpl w:val="3446C3EC"/>
    <w:lvl w:ilvl="0">
      <w:start w:val="1"/>
      <w:numFmt w:val="decimal"/>
      <w:lvlText w:val="%1."/>
      <w:lvlJc w:val="left"/>
      <w:pPr>
        <w:ind w:left="565" w:hanging="352"/>
      </w:pPr>
      <w:rPr>
        <w:rFonts w:ascii="Times New Roman" w:eastAsia="Times New Roman" w:hAnsi="Times New Roman" w:cs="Times New Roman" w:hint="default"/>
        <w:b w:val="0"/>
        <w:bCs w:val="0"/>
        <w:i w:val="0"/>
        <w:iCs w:val="0"/>
        <w:w w:val="101"/>
        <w:sz w:val="22"/>
        <w:szCs w:val="22"/>
        <w:lang w:val="en-US" w:eastAsia="en-US" w:bidi="ar-SA"/>
      </w:rPr>
    </w:lvl>
    <w:lvl w:ilvl="1">
      <w:start w:val="0"/>
      <w:numFmt w:val="bullet"/>
      <w:lvlText w:val="•"/>
      <w:lvlJc w:val="left"/>
      <w:pPr>
        <w:ind w:left="996" w:hanging="352"/>
      </w:pPr>
      <w:rPr>
        <w:rFonts w:hint="default"/>
        <w:lang w:val="en-US" w:eastAsia="en-US" w:bidi="ar-SA"/>
      </w:rPr>
    </w:lvl>
    <w:lvl w:ilvl="2">
      <w:start w:val="0"/>
      <w:numFmt w:val="bullet"/>
      <w:lvlText w:val="•"/>
      <w:lvlJc w:val="left"/>
      <w:pPr>
        <w:ind w:left="1432" w:hanging="352"/>
      </w:pPr>
      <w:rPr>
        <w:rFonts w:hint="default"/>
        <w:lang w:val="en-US" w:eastAsia="en-US" w:bidi="ar-SA"/>
      </w:rPr>
    </w:lvl>
    <w:lvl w:ilvl="3">
      <w:start w:val="0"/>
      <w:numFmt w:val="bullet"/>
      <w:lvlText w:val="•"/>
      <w:lvlJc w:val="left"/>
      <w:pPr>
        <w:ind w:left="1869" w:hanging="352"/>
      </w:pPr>
      <w:rPr>
        <w:rFonts w:hint="default"/>
        <w:lang w:val="en-US" w:eastAsia="en-US" w:bidi="ar-SA"/>
      </w:rPr>
    </w:lvl>
    <w:lvl w:ilvl="4">
      <w:start w:val="0"/>
      <w:numFmt w:val="bullet"/>
      <w:lvlText w:val="•"/>
      <w:lvlJc w:val="left"/>
      <w:pPr>
        <w:ind w:left="2305" w:hanging="352"/>
      </w:pPr>
      <w:rPr>
        <w:rFonts w:hint="default"/>
        <w:lang w:val="en-US" w:eastAsia="en-US" w:bidi="ar-SA"/>
      </w:rPr>
    </w:lvl>
    <w:lvl w:ilvl="5">
      <w:start w:val="0"/>
      <w:numFmt w:val="bullet"/>
      <w:lvlText w:val="•"/>
      <w:lvlJc w:val="left"/>
      <w:pPr>
        <w:ind w:left="2742" w:hanging="352"/>
      </w:pPr>
      <w:rPr>
        <w:rFonts w:hint="default"/>
        <w:lang w:val="en-US" w:eastAsia="en-US" w:bidi="ar-SA"/>
      </w:rPr>
    </w:lvl>
    <w:lvl w:ilvl="6">
      <w:start w:val="0"/>
      <w:numFmt w:val="bullet"/>
      <w:lvlText w:val="•"/>
      <w:lvlJc w:val="left"/>
      <w:pPr>
        <w:ind w:left="3178" w:hanging="352"/>
      </w:pPr>
      <w:rPr>
        <w:rFonts w:hint="default"/>
        <w:lang w:val="en-US" w:eastAsia="en-US" w:bidi="ar-SA"/>
      </w:rPr>
    </w:lvl>
    <w:lvl w:ilvl="7">
      <w:start w:val="0"/>
      <w:numFmt w:val="bullet"/>
      <w:lvlText w:val="•"/>
      <w:lvlJc w:val="left"/>
      <w:pPr>
        <w:ind w:left="3614" w:hanging="352"/>
      </w:pPr>
      <w:rPr>
        <w:rFonts w:hint="default"/>
        <w:lang w:val="en-US" w:eastAsia="en-US" w:bidi="ar-SA"/>
      </w:rPr>
    </w:lvl>
    <w:lvl w:ilvl="8">
      <w:start w:val="0"/>
      <w:numFmt w:val="bullet"/>
      <w:lvlText w:val="•"/>
      <w:lvlJc w:val="left"/>
      <w:pPr>
        <w:ind w:left="4051" w:hanging="352"/>
      </w:pPr>
      <w:rPr>
        <w:rFonts w:hint="default"/>
        <w:lang w:val="en-US" w:eastAsia="en-US" w:bidi="ar-SA"/>
      </w:rPr>
    </w:lvl>
  </w:abstractNum>
  <w:abstractNum w:abstractNumId="24">
    <w:nsid w:val="646A6FB6"/>
    <w:multiLevelType w:val="hybridMultilevel"/>
    <w:tmpl w:val="0450CAEA"/>
    <w:lvl w:ilvl="0">
      <w:start w:val="1"/>
      <w:numFmt w:val="lowerLetter"/>
      <w:lvlText w:val="%1."/>
      <w:lvlJc w:val="left"/>
      <w:pPr>
        <w:ind w:left="108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6213AC8"/>
    <w:multiLevelType w:val="hybridMultilevel"/>
    <w:tmpl w:val="A008C42E"/>
    <w:lvl w:ilvl="0">
      <w:start w:val="1"/>
      <w:numFmt w:val="lowerLetter"/>
      <w:lvlText w:val="%1."/>
      <w:lvlJc w:val="left"/>
      <w:pPr>
        <w:ind w:left="126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6">
    <w:nsid w:val="663D70DD"/>
    <w:multiLevelType w:val="hybridMultilevel"/>
    <w:tmpl w:val="9CB40A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54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4E6AE9"/>
    <w:multiLevelType w:val="hybridMultilevel"/>
    <w:tmpl w:val="39DAB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4E70EF"/>
    <w:multiLevelType w:val="hybridMultilevel"/>
    <w:tmpl w:val="B4B63C2A"/>
    <w:lvl w:ilvl="0">
      <w:start w:val="1"/>
      <w:numFmt w:val="lowerLetter"/>
      <w:lvlText w:val="%1."/>
      <w:lvlJc w:val="left"/>
      <w:pPr>
        <w:ind w:left="108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7B267AC"/>
    <w:multiLevelType w:val="hybridMultilevel"/>
    <w:tmpl w:val="399A1406"/>
    <w:lvl w:ilvl="0">
      <w:start w:val="1"/>
      <w:numFmt w:val="lowerLetter"/>
      <w:lvlText w:val="%1."/>
      <w:lvlJc w:val="left"/>
      <w:pPr>
        <w:ind w:left="108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B381262"/>
    <w:multiLevelType w:val="hybridMultilevel"/>
    <w:tmpl w:val="55B8E304"/>
    <w:lvl w:ilvl="0">
      <w:start w:val="1"/>
      <w:numFmt w:val="lowerLetter"/>
      <w:lvlText w:val="%1."/>
      <w:lvlJc w:val="left"/>
      <w:pPr>
        <w:ind w:left="1260" w:hanging="360"/>
      </w:pPr>
      <w:rPr>
        <w:rFonts w:ascii="Times New Roman" w:eastAsia="Times New Roman" w:hAnsi="Times New Roman" w:cs="Times New Roman" w:hint="default"/>
        <w:b/>
        <w:bCs/>
        <w:i w:val="0"/>
        <w:iCs w:val="0"/>
        <w:color w:val="auto"/>
        <w:spacing w:val="-7"/>
        <w:w w:val="93"/>
        <w:sz w:val="22"/>
        <w:szCs w:val="22"/>
        <w:lang w:val="en-US" w:eastAsia="en-US" w:bidi="ar-SA"/>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6D923CD1"/>
    <w:multiLevelType w:val="hybridMultilevel"/>
    <w:tmpl w:val="F4504038"/>
    <w:lvl w:ilvl="0">
      <w:start w:val="1"/>
      <w:numFmt w:val="decimal"/>
      <w:lvlText w:val="(%1)"/>
      <w:lvlJc w:val="left"/>
      <w:pPr>
        <w:ind w:left="696" w:hanging="336"/>
      </w:pPr>
      <w:rPr>
        <w:rFonts w:hint="default"/>
        <w:b/>
        <w:bCs/>
        <w:i w:val="0"/>
        <w:iCs w:val="0"/>
        <w:spacing w:val="-7"/>
        <w:w w:val="93"/>
        <w:sz w:val="22"/>
        <w:szCs w:val="22"/>
        <w:lang w:val="en-US" w:eastAsia="en-US" w:bidi="ar-SA"/>
      </w:rPr>
    </w:lvl>
    <w:lvl w:ilvl="1">
      <w:start w:val="1"/>
      <w:numFmt w:val="lowerLetter"/>
      <w:lvlText w:val="%2."/>
      <w:lvlJc w:val="left"/>
      <w:pPr>
        <w:ind w:left="1310" w:hanging="360"/>
      </w:pPr>
    </w:lvl>
    <w:lvl w:ilvl="2" w:tentative="1">
      <w:start w:val="1"/>
      <w:numFmt w:val="lowerRoman"/>
      <w:lvlText w:val="%3."/>
      <w:lvlJc w:val="right"/>
      <w:pPr>
        <w:ind w:left="2030" w:hanging="180"/>
      </w:pPr>
    </w:lvl>
    <w:lvl w:ilvl="3" w:tentative="1">
      <w:start w:val="1"/>
      <w:numFmt w:val="decimal"/>
      <w:lvlText w:val="%4."/>
      <w:lvlJc w:val="left"/>
      <w:pPr>
        <w:ind w:left="2750" w:hanging="360"/>
      </w:pPr>
    </w:lvl>
    <w:lvl w:ilvl="4" w:tentative="1">
      <w:start w:val="1"/>
      <w:numFmt w:val="lowerLetter"/>
      <w:lvlText w:val="%5."/>
      <w:lvlJc w:val="left"/>
      <w:pPr>
        <w:ind w:left="3470" w:hanging="360"/>
      </w:pPr>
    </w:lvl>
    <w:lvl w:ilvl="5" w:tentative="1">
      <w:start w:val="1"/>
      <w:numFmt w:val="lowerRoman"/>
      <w:lvlText w:val="%6."/>
      <w:lvlJc w:val="right"/>
      <w:pPr>
        <w:ind w:left="4190" w:hanging="180"/>
      </w:pPr>
    </w:lvl>
    <w:lvl w:ilvl="6" w:tentative="1">
      <w:start w:val="1"/>
      <w:numFmt w:val="decimal"/>
      <w:lvlText w:val="%7."/>
      <w:lvlJc w:val="left"/>
      <w:pPr>
        <w:ind w:left="4910" w:hanging="360"/>
      </w:pPr>
    </w:lvl>
    <w:lvl w:ilvl="7" w:tentative="1">
      <w:start w:val="1"/>
      <w:numFmt w:val="lowerLetter"/>
      <w:lvlText w:val="%8."/>
      <w:lvlJc w:val="left"/>
      <w:pPr>
        <w:ind w:left="5630" w:hanging="360"/>
      </w:pPr>
    </w:lvl>
    <w:lvl w:ilvl="8" w:tentative="1">
      <w:start w:val="1"/>
      <w:numFmt w:val="lowerRoman"/>
      <w:lvlText w:val="%9."/>
      <w:lvlJc w:val="right"/>
      <w:pPr>
        <w:ind w:left="6350" w:hanging="180"/>
      </w:pPr>
    </w:lvl>
  </w:abstractNum>
  <w:abstractNum w:abstractNumId="32">
    <w:nsid w:val="7AC073CE"/>
    <w:multiLevelType w:val="hybridMultilevel"/>
    <w:tmpl w:val="E876BDF0"/>
    <w:lvl w:ilvl="0">
      <w:start w:val="1"/>
      <w:numFmt w:val="lowerLetter"/>
      <w:lvlText w:val="%1."/>
      <w:lvlJc w:val="left"/>
      <w:pPr>
        <w:ind w:left="1072" w:hanging="352"/>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565" w:hanging="360"/>
      </w:pPr>
    </w:lvl>
    <w:lvl w:ilvl="2" w:tentative="1">
      <w:start w:val="1"/>
      <w:numFmt w:val="lowerRoman"/>
      <w:lvlText w:val="%3."/>
      <w:lvlJc w:val="right"/>
      <w:pPr>
        <w:ind w:left="2285" w:hanging="180"/>
      </w:pPr>
    </w:lvl>
    <w:lvl w:ilvl="3" w:tentative="1">
      <w:start w:val="1"/>
      <w:numFmt w:val="decimal"/>
      <w:lvlText w:val="%4."/>
      <w:lvlJc w:val="left"/>
      <w:pPr>
        <w:ind w:left="3005" w:hanging="360"/>
      </w:pPr>
    </w:lvl>
    <w:lvl w:ilvl="4" w:tentative="1">
      <w:start w:val="1"/>
      <w:numFmt w:val="lowerLetter"/>
      <w:lvlText w:val="%5."/>
      <w:lvlJc w:val="left"/>
      <w:pPr>
        <w:ind w:left="3725" w:hanging="360"/>
      </w:pPr>
    </w:lvl>
    <w:lvl w:ilvl="5" w:tentative="1">
      <w:start w:val="1"/>
      <w:numFmt w:val="lowerRoman"/>
      <w:lvlText w:val="%6."/>
      <w:lvlJc w:val="right"/>
      <w:pPr>
        <w:ind w:left="4445" w:hanging="180"/>
      </w:pPr>
    </w:lvl>
    <w:lvl w:ilvl="6" w:tentative="1">
      <w:start w:val="1"/>
      <w:numFmt w:val="decimal"/>
      <w:lvlText w:val="%7."/>
      <w:lvlJc w:val="left"/>
      <w:pPr>
        <w:ind w:left="5165" w:hanging="360"/>
      </w:pPr>
    </w:lvl>
    <w:lvl w:ilvl="7" w:tentative="1">
      <w:start w:val="1"/>
      <w:numFmt w:val="lowerLetter"/>
      <w:lvlText w:val="%8."/>
      <w:lvlJc w:val="left"/>
      <w:pPr>
        <w:ind w:left="5885" w:hanging="360"/>
      </w:pPr>
    </w:lvl>
    <w:lvl w:ilvl="8" w:tentative="1">
      <w:start w:val="1"/>
      <w:numFmt w:val="lowerRoman"/>
      <w:lvlText w:val="%9."/>
      <w:lvlJc w:val="right"/>
      <w:pPr>
        <w:ind w:left="6605" w:hanging="180"/>
      </w:pPr>
    </w:lvl>
  </w:abstractNum>
  <w:abstractNum w:abstractNumId="33">
    <w:nsid w:val="7DBC5C3E"/>
    <w:multiLevelType w:val="hybridMultilevel"/>
    <w:tmpl w:val="1FFC5A1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Symbol" w:hAnsi="Symbol"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7F14716F"/>
    <w:multiLevelType w:val="hybridMultilevel"/>
    <w:tmpl w:val="11C8912C"/>
    <w:lvl w:ilvl="0">
      <w:start w:val="1"/>
      <w:numFmt w:val="lowerLetter"/>
      <w:lvlText w:val="%1."/>
      <w:lvlJc w:val="left"/>
      <w:pPr>
        <w:ind w:left="1080" w:hanging="360"/>
      </w:pPr>
      <w:rPr>
        <w:rFonts w:ascii="Times New Roman" w:eastAsia="Times New Roman" w:hAnsi="Times New Roman" w:cs="Times New Roman" w:hint="default"/>
        <w:b/>
        <w:bCs/>
        <w:i w:val="0"/>
        <w:iCs w:val="0"/>
        <w:spacing w:val="-7"/>
        <w:w w:val="93"/>
        <w:sz w:val="22"/>
        <w:szCs w:val="22"/>
        <w:lang w:val="en-US" w:eastAsia="en-US" w:bidi="ar-SA"/>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3915635">
    <w:abstractNumId w:val="18"/>
  </w:num>
  <w:num w:numId="2" w16cid:durableId="1553618613">
    <w:abstractNumId w:val="23"/>
  </w:num>
  <w:num w:numId="3" w16cid:durableId="937256381">
    <w:abstractNumId w:val="26"/>
  </w:num>
  <w:num w:numId="4" w16cid:durableId="1735813162">
    <w:abstractNumId w:val="32"/>
  </w:num>
  <w:num w:numId="5" w16cid:durableId="1477139120">
    <w:abstractNumId w:val="3"/>
  </w:num>
  <w:num w:numId="6" w16cid:durableId="494304188">
    <w:abstractNumId w:val="15"/>
  </w:num>
  <w:num w:numId="7" w16cid:durableId="987442233">
    <w:abstractNumId w:val="31"/>
  </w:num>
  <w:num w:numId="8" w16cid:durableId="471411127">
    <w:abstractNumId w:val="11"/>
  </w:num>
  <w:num w:numId="9" w16cid:durableId="535048812">
    <w:abstractNumId w:val="12"/>
  </w:num>
  <w:num w:numId="10" w16cid:durableId="1366826121">
    <w:abstractNumId w:val="17"/>
  </w:num>
  <w:num w:numId="11" w16cid:durableId="1167550746">
    <w:abstractNumId w:val="20"/>
  </w:num>
  <w:num w:numId="12" w16cid:durableId="665939212">
    <w:abstractNumId w:val="25"/>
  </w:num>
  <w:num w:numId="13" w16cid:durableId="625738963">
    <w:abstractNumId w:val="29"/>
  </w:num>
  <w:num w:numId="14" w16cid:durableId="1102915720">
    <w:abstractNumId w:val="14"/>
  </w:num>
  <w:num w:numId="15" w16cid:durableId="1178271862">
    <w:abstractNumId w:val="9"/>
  </w:num>
  <w:num w:numId="16" w16cid:durableId="1367557695">
    <w:abstractNumId w:val="22"/>
  </w:num>
  <w:num w:numId="17" w16cid:durableId="373501806">
    <w:abstractNumId w:val="34"/>
  </w:num>
  <w:num w:numId="18" w16cid:durableId="26226892">
    <w:abstractNumId w:val="7"/>
  </w:num>
  <w:num w:numId="19" w16cid:durableId="421534447">
    <w:abstractNumId w:val="30"/>
  </w:num>
  <w:num w:numId="20" w16cid:durableId="659891682">
    <w:abstractNumId w:val="10"/>
  </w:num>
  <w:num w:numId="21" w16cid:durableId="1971595465">
    <w:abstractNumId w:val="0"/>
  </w:num>
  <w:num w:numId="22" w16cid:durableId="637295880">
    <w:abstractNumId w:val="5"/>
  </w:num>
  <w:num w:numId="23" w16cid:durableId="1003171082">
    <w:abstractNumId w:val="16"/>
  </w:num>
  <w:num w:numId="24" w16cid:durableId="1687710512">
    <w:abstractNumId w:val="28"/>
  </w:num>
  <w:num w:numId="25" w16cid:durableId="552811795">
    <w:abstractNumId w:val="24"/>
  </w:num>
  <w:num w:numId="26" w16cid:durableId="1598058959">
    <w:abstractNumId w:val="33"/>
  </w:num>
  <w:num w:numId="27" w16cid:durableId="345333374">
    <w:abstractNumId w:val="27"/>
  </w:num>
  <w:num w:numId="28" w16cid:durableId="1347439438">
    <w:abstractNumId w:val="19"/>
  </w:num>
  <w:num w:numId="29" w16cid:durableId="805583053">
    <w:abstractNumId w:val="21"/>
  </w:num>
  <w:num w:numId="30" w16cid:durableId="1813057766">
    <w:abstractNumId w:val="1"/>
  </w:num>
  <w:num w:numId="31" w16cid:durableId="1974020356">
    <w:abstractNumId w:val="2"/>
  </w:num>
  <w:num w:numId="32" w16cid:durableId="1428767481">
    <w:abstractNumId w:val="6"/>
  </w:num>
  <w:num w:numId="33" w16cid:durableId="460029266">
    <w:abstractNumId w:val="8"/>
  </w:num>
  <w:num w:numId="34" w16cid:durableId="131290982">
    <w:abstractNumId w:val="13"/>
  </w:num>
  <w:num w:numId="35" w16cid:durableId="736437597">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7EF"/>
    <w:rsid w:val="00005CEC"/>
    <w:rsid w:val="00007AF7"/>
    <w:rsid w:val="00010F41"/>
    <w:rsid w:val="0001134E"/>
    <w:rsid w:val="0001379E"/>
    <w:rsid w:val="00013A54"/>
    <w:rsid w:val="00013CA0"/>
    <w:rsid w:val="000147C7"/>
    <w:rsid w:val="0001509E"/>
    <w:rsid w:val="00015561"/>
    <w:rsid w:val="00016227"/>
    <w:rsid w:val="00016CDE"/>
    <w:rsid w:val="00016E92"/>
    <w:rsid w:val="0001700F"/>
    <w:rsid w:val="00020AE6"/>
    <w:rsid w:val="0002138D"/>
    <w:rsid w:val="000214F2"/>
    <w:rsid w:val="00023B62"/>
    <w:rsid w:val="00023DBB"/>
    <w:rsid w:val="000251AB"/>
    <w:rsid w:val="00025E37"/>
    <w:rsid w:val="00030D5D"/>
    <w:rsid w:val="00031645"/>
    <w:rsid w:val="000317D3"/>
    <w:rsid w:val="00031989"/>
    <w:rsid w:val="00031B72"/>
    <w:rsid w:val="00032C24"/>
    <w:rsid w:val="00033A25"/>
    <w:rsid w:val="000345B5"/>
    <w:rsid w:val="0003732D"/>
    <w:rsid w:val="000377D5"/>
    <w:rsid w:val="00041DB0"/>
    <w:rsid w:val="000427C3"/>
    <w:rsid w:val="000437D5"/>
    <w:rsid w:val="000471CA"/>
    <w:rsid w:val="00047225"/>
    <w:rsid w:val="000505B8"/>
    <w:rsid w:val="00051442"/>
    <w:rsid w:val="00051AB6"/>
    <w:rsid w:val="00051BAA"/>
    <w:rsid w:val="00053F69"/>
    <w:rsid w:val="000546EB"/>
    <w:rsid w:val="00056DAF"/>
    <w:rsid w:val="000573A1"/>
    <w:rsid w:val="00062398"/>
    <w:rsid w:val="0006271B"/>
    <w:rsid w:val="00062EA8"/>
    <w:rsid w:val="00066482"/>
    <w:rsid w:val="00067BC8"/>
    <w:rsid w:val="0007117F"/>
    <w:rsid w:val="00072DCE"/>
    <w:rsid w:val="00073B5A"/>
    <w:rsid w:val="000747F6"/>
    <w:rsid w:val="00074C58"/>
    <w:rsid w:val="00075773"/>
    <w:rsid w:val="00075E02"/>
    <w:rsid w:val="00076838"/>
    <w:rsid w:val="000815C0"/>
    <w:rsid w:val="00082540"/>
    <w:rsid w:val="0008353A"/>
    <w:rsid w:val="00083A0C"/>
    <w:rsid w:val="00084E9E"/>
    <w:rsid w:val="00086A5B"/>
    <w:rsid w:val="00087CE6"/>
    <w:rsid w:val="00090C02"/>
    <w:rsid w:val="00090D57"/>
    <w:rsid w:val="00090F5E"/>
    <w:rsid w:val="00092BC3"/>
    <w:rsid w:val="00094083"/>
    <w:rsid w:val="00094113"/>
    <w:rsid w:val="0009431D"/>
    <w:rsid w:val="00094C42"/>
    <w:rsid w:val="000970B3"/>
    <w:rsid w:val="0009756C"/>
    <w:rsid w:val="000A1F02"/>
    <w:rsid w:val="000A2CCB"/>
    <w:rsid w:val="000A5EEE"/>
    <w:rsid w:val="000A6FF3"/>
    <w:rsid w:val="000A72EC"/>
    <w:rsid w:val="000B18EE"/>
    <w:rsid w:val="000B1BBD"/>
    <w:rsid w:val="000B2166"/>
    <w:rsid w:val="000B7272"/>
    <w:rsid w:val="000B75B4"/>
    <w:rsid w:val="000B7DDD"/>
    <w:rsid w:val="000C025C"/>
    <w:rsid w:val="000C25A5"/>
    <w:rsid w:val="000C3031"/>
    <w:rsid w:val="000C3A87"/>
    <w:rsid w:val="000C4433"/>
    <w:rsid w:val="000C4859"/>
    <w:rsid w:val="000C5DD4"/>
    <w:rsid w:val="000C7E16"/>
    <w:rsid w:val="000D09F5"/>
    <w:rsid w:val="000D1287"/>
    <w:rsid w:val="000D16AC"/>
    <w:rsid w:val="000D46BC"/>
    <w:rsid w:val="000D486F"/>
    <w:rsid w:val="000D5994"/>
    <w:rsid w:val="000D5B0B"/>
    <w:rsid w:val="000D63E6"/>
    <w:rsid w:val="000D726B"/>
    <w:rsid w:val="000E1131"/>
    <w:rsid w:val="000E1B78"/>
    <w:rsid w:val="000E2FF6"/>
    <w:rsid w:val="000E3695"/>
    <w:rsid w:val="000E3B88"/>
    <w:rsid w:val="000E3F01"/>
    <w:rsid w:val="000E4CEA"/>
    <w:rsid w:val="000E515C"/>
    <w:rsid w:val="000E64E9"/>
    <w:rsid w:val="000E75C0"/>
    <w:rsid w:val="000E7ABC"/>
    <w:rsid w:val="000F1289"/>
    <w:rsid w:val="000F211E"/>
    <w:rsid w:val="000F26EB"/>
    <w:rsid w:val="000F2C95"/>
    <w:rsid w:val="000F2DEB"/>
    <w:rsid w:val="000F5428"/>
    <w:rsid w:val="000F5867"/>
    <w:rsid w:val="000F6982"/>
    <w:rsid w:val="00100DE4"/>
    <w:rsid w:val="0010102D"/>
    <w:rsid w:val="00101076"/>
    <w:rsid w:val="0010112D"/>
    <w:rsid w:val="00101F58"/>
    <w:rsid w:val="00103E37"/>
    <w:rsid w:val="00104C06"/>
    <w:rsid w:val="00105CEC"/>
    <w:rsid w:val="00107E23"/>
    <w:rsid w:val="00110980"/>
    <w:rsid w:val="00110C85"/>
    <w:rsid w:val="0011549D"/>
    <w:rsid w:val="00117AF1"/>
    <w:rsid w:val="00120622"/>
    <w:rsid w:val="001207CC"/>
    <w:rsid w:val="00120D23"/>
    <w:rsid w:val="00120D58"/>
    <w:rsid w:val="001216C0"/>
    <w:rsid w:val="00123F4B"/>
    <w:rsid w:val="001248F0"/>
    <w:rsid w:val="00125EAC"/>
    <w:rsid w:val="001267F2"/>
    <w:rsid w:val="00126AFB"/>
    <w:rsid w:val="00126CB4"/>
    <w:rsid w:val="00130E44"/>
    <w:rsid w:val="00133AA3"/>
    <w:rsid w:val="00133DC0"/>
    <w:rsid w:val="001354D9"/>
    <w:rsid w:val="00135515"/>
    <w:rsid w:val="00137037"/>
    <w:rsid w:val="00140411"/>
    <w:rsid w:val="0014128B"/>
    <w:rsid w:val="0014384B"/>
    <w:rsid w:val="00145F8F"/>
    <w:rsid w:val="001460AB"/>
    <w:rsid w:val="001462C8"/>
    <w:rsid w:val="001462E4"/>
    <w:rsid w:val="00151B09"/>
    <w:rsid w:val="00151C90"/>
    <w:rsid w:val="00153211"/>
    <w:rsid w:val="00154465"/>
    <w:rsid w:val="001558B2"/>
    <w:rsid w:val="00156F2D"/>
    <w:rsid w:val="00160155"/>
    <w:rsid w:val="001610B6"/>
    <w:rsid w:val="00161517"/>
    <w:rsid w:val="0016174E"/>
    <w:rsid w:val="0016526C"/>
    <w:rsid w:val="0017097B"/>
    <w:rsid w:val="00170E15"/>
    <w:rsid w:val="00171A7C"/>
    <w:rsid w:val="001721A9"/>
    <w:rsid w:val="00174233"/>
    <w:rsid w:val="001749F8"/>
    <w:rsid w:val="00174B2E"/>
    <w:rsid w:val="001757E0"/>
    <w:rsid w:val="00175B37"/>
    <w:rsid w:val="00175C53"/>
    <w:rsid w:val="00176D91"/>
    <w:rsid w:val="0017734F"/>
    <w:rsid w:val="00177D8F"/>
    <w:rsid w:val="001802E6"/>
    <w:rsid w:val="001813C0"/>
    <w:rsid w:val="00184C27"/>
    <w:rsid w:val="00184E74"/>
    <w:rsid w:val="00186A94"/>
    <w:rsid w:val="00193A26"/>
    <w:rsid w:val="0019459D"/>
    <w:rsid w:val="001947E2"/>
    <w:rsid w:val="00194B3B"/>
    <w:rsid w:val="00195CF6"/>
    <w:rsid w:val="001969B0"/>
    <w:rsid w:val="0019747E"/>
    <w:rsid w:val="001A2911"/>
    <w:rsid w:val="001A36A8"/>
    <w:rsid w:val="001A3CC7"/>
    <w:rsid w:val="001A4F67"/>
    <w:rsid w:val="001A52EB"/>
    <w:rsid w:val="001A7846"/>
    <w:rsid w:val="001B04DF"/>
    <w:rsid w:val="001B393A"/>
    <w:rsid w:val="001B41ED"/>
    <w:rsid w:val="001B4A12"/>
    <w:rsid w:val="001B6971"/>
    <w:rsid w:val="001C03D5"/>
    <w:rsid w:val="001C22D3"/>
    <w:rsid w:val="001C4EE8"/>
    <w:rsid w:val="001C533C"/>
    <w:rsid w:val="001D19F2"/>
    <w:rsid w:val="001D1C0F"/>
    <w:rsid w:val="001D26C0"/>
    <w:rsid w:val="001D2EA4"/>
    <w:rsid w:val="001D3756"/>
    <w:rsid w:val="001D3D9D"/>
    <w:rsid w:val="001D4333"/>
    <w:rsid w:val="001D5A24"/>
    <w:rsid w:val="001D5FFA"/>
    <w:rsid w:val="001D6E46"/>
    <w:rsid w:val="001D7060"/>
    <w:rsid w:val="001D7134"/>
    <w:rsid w:val="001D7938"/>
    <w:rsid w:val="001E009D"/>
    <w:rsid w:val="001E06F4"/>
    <w:rsid w:val="001E1D9A"/>
    <w:rsid w:val="001E45E8"/>
    <w:rsid w:val="001E5414"/>
    <w:rsid w:val="001E608D"/>
    <w:rsid w:val="001E69FC"/>
    <w:rsid w:val="001E71AC"/>
    <w:rsid w:val="001F03B5"/>
    <w:rsid w:val="001F0725"/>
    <w:rsid w:val="001F09BC"/>
    <w:rsid w:val="001F0F38"/>
    <w:rsid w:val="001F218A"/>
    <w:rsid w:val="001F2663"/>
    <w:rsid w:val="001F2C7C"/>
    <w:rsid w:val="001F40E8"/>
    <w:rsid w:val="001F6E90"/>
    <w:rsid w:val="002006D2"/>
    <w:rsid w:val="0020110E"/>
    <w:rsid w:val="00201CE2"/>
    <w:rsid w:val="00202355"/>
    <w:rsid w:val="0020246C"/>
    <w:rsid w:val="0020273F"/>
    <w:rsid w:val="00203F47"/>
    <w:rsid w:val="002052CE"/>
    <w:rsid w:val="0020568C"/>
    <w:rsid w:val="00206FDB"/>
    <w:rsid w:val="00210695"/>
    <w:rsid w:val="002114ED"/>
    <w:rsid w:val="00213D91"/>
    <w:rsid w:val="00214205"/>
    <w:rsid w:val="0021456D"/>
    <w:rsid w:val="002152BF"/>
    <w:rsid w:val="00215861"/>
    <w:rsid w:val="00215DA2"/>
    <w:rsid w:val="0021746C"/>
    <w:rsid w:val="0021754F"/>
    <w:rsid w:val="00217961"/>
    <w:rsid w:val="00217E44"/>
    <w:rsid w:val="002210B4"/>
    <w:rsid w:val="0022487E"/>
    <w:rsid w:val="0022612C"/>
    <w:rsid w:val="002272B1"/>
    <w:rsid w:val="00227654"/>
    <w:rsid w:val="00235862"/>
    <w:rsid w:val="002369F0"/>
    <w:rsid w:val="0024238D"/>
    <w:rsid w:val="00243326"/>
    <w:rsid w:val="002434A1"/>
    <w:rsid w:val="00244D96"/>
    <w:rsid w:val="00245785"/>
    <w:rsid w:val="00246097"/>
    <w:rsid w:val="0024750C"/>
    <w:rsid w:val="00250E8E"/>
    <w:rsid w:val="002513AB"/>
    <w:rsid w:val="0025143D"/>
    <w:rsid w:val="0025171B"/>
    <w:rsid w:val="002523D4"/>
    <w:rsid w:val="00253BB4"/>
    <w:rsid w:val="002560D9"/>
    <w:rsid w:val="0025647B"/>
    <w:rsid w:val="00256F74"/>
    <w:rsid w:val="00262524"/>
    <w:rsid w:val="00263463"/>
    <w:rsid w:val="00263892"/>
    <w:rsid w:val="00264F26"/>
    <w:rsid w:val="00266DA2"/>
    <w:rsid w:val="00270919"/>
    <w:rsid w:val="00271F74"/>
    <w:rsid w:val="00275F10"/>
    <w:rsid w:val="00280C48"/>
    <w:rsid w:val="00281C17"/>
    <w:rsid w:val="00281DE5"/>
    <w:rsid w:val="00282AEB"/>
    <w:rsid w:val="00282FE7"/>
    <w:rsid w:val="00284F01"/>
    <w:rsid w:val="00285D63"/>
    <w:rsid w:val="002876A4"/>
    <w:rsid w:val="0029013F"/>
    <w:rsid w:val="002903AE"/>
    <w:rsid w:val="002919F1"/>
    <w:rsid w:val="0029377A"/>
    <w:rsid w:val="00294463"/>
    <w:rsid w:val="002971CE"/>
    <w:rsid w:val="002A204C"/>
    <w:rsid w:val="002A281D"/>
    <w:rsid w:val="002A470F"/>
    <w:rsid w:val="002A4FC3"/>
    <w:rsid w:val="002A602B"/>
    <w:rsid w:val="002A6081"/>
    <w:rsid w:val="002A6CC5"/>
    <w:rsid w:val="002A7624"/>
    <w:rsid w:val="002A7ECC"/>
    <w:rsid w:val="002B09C8"/>
    <w:rsid w:val="002B2F33"/>
    <w:rsid w:val="002B329C"/>
    <w:rsid w:val="002B3D3A"/>
    <w:rsid w:val="002B4DA4"/>
    <w:rsid w:val="002B4F31"/>
    <w:rsid w:val="002B60AE"/>
    <w:rsid w:val="002B60FC"/>
    <w:rsid w:val="002B62E7"/>
    <w:rsid w:val="002B7ED8"/>
    <w:rsid w:val="002B7FCD"/>
    <w:rsid w:val="002C0F9B"/>
    <w:rsid w:val="002C1F31"/>
    <w:rsid w:val="002C2D16"/>
    <w:rsid w:val="002C5202"/>
    <w:rsid w:val="002C581A"/>
    <w:rsid w:val="002C7247"/>
    <w:rsid w:val="002C7FCC"/>
    <w:rsid w:val="002D0A2C"/>
    <w:rsid w:val="002D20AB"/>
    <w:rsid w:val="002D220B"/>
    <w:rsid w:val="002D3627"/>
    <w:rsid w:val="002D3686"/>
    <w:rsid w:val="002D53EE"/>
    <w:rsid w:val="002D5ABE"/>
    <w:rsid w:val="002D6058"/>
    <w:rsid w:val="002D6441"/>
    <w:rsid w:val="002E0E24"/>
    <w:rsid w:val="002E30F2"/>
    <w:rsid w:val="002E5DFB"/>
    <w:rsid w:val="002E5FB0"/>
    <w:rsid w:val="002E660D"/>
    <w:rsid w:val="002E6E0E"/>
    <w:rsid w:val="002E6E9F"/>
    <w:rsid w:val="002F0533"/>
    <w:rsid w:val="002F1486"/>
    <w:rsid w:val="002F2B1C"/>
    <w:rsid w:val="002F2D8D"/>
    <w:rsid w:val="002F31F0"/>
    <w:rsid w:val="002F42C5"/>
    <w:rsid w:val="002F5CE2"/>
    <w:rsid w:val="002F5FC7"/>
    <w:rsid w:val="002F649E"/>
    <w:rsid w:val="002F77DB"/>
    <w:rsid w:val="0030023B"/>
    <w:rsid w:val="00300365"/>
    <w:rsid w:val="0030158F"/>
    <w:rsid w:val="00302184"/>
    <w:rsid w:val="00302FFE"/>
    <w:rsid w:val="00303488"/>
    <w:rsid w:val="003060D3"/>
    <w:rsid w:val="00307B4C"/>
    <w:rsid w:val="00310490"/>
    <w:rsid w:val="00311E81"/>
    <w:rsid w:val="00313147"/>
    <w:rsid w:val="003133EB"/>
    <w:rsid w:val="0031425F"/>
    <w:rsid w:val="00314BD1"/>
    <w:rsid w:val="003155D9"/>
    <w:rsid w:val="00315FAC"/>
    <w:rsid w:val="00316163"/>
    <w:rsid w:val="003164C8"/>
    <w:rsid w:val="00317E7D"/>
    <w:rsid w:val="00320645"/>
    <w:rsid w:val="00320786"/>
    <w:rsid w:val="00321846"/>
    <w:rsid w:val="003224CC"/>
    <w:rsid w:val="003237E5"/>
    <w:rsid w:val="00323EB1"/>
    <w:rsid w:val="00324E8D"/>
    <w:rsid w:val="00325888"/>
    <w:rsid w:val="0032654F"/>
    <w:rsid w:val="00330D1A"/>
    <w:rsid w:val="00331436"/>
    <w:rsid w:val="00332494"/>
    <w:rsid w:val="00332BCB"/>
    <w:rsid w:val="00332EF3"/>
    <w:rsid w:val="00333D87"/>
    <w:rsid w:val="00334FB4"/>
    <w:rsid w:val="00336088"/>
    <w:rsid w:val="00336BA5"/>
    <w:rsid w:val="0033713A"/>
    <w:rsid w:val="0033746F"/>
    <w:rsid w:val="00337AE1"/>
    <w:rsid w:val="00342248"/>
    <w:rsid w:val="00342530"/>
    <w:rsid w:val="00345015"/>
    <w:rsid w:val="0034535B"/>
    <w:rsid w:val="003458FC"/>
    <w:rsid w:val="00346B3B"/>
    <w:rsid w:val="00350922"/>
    <w:rsid w:val="003510C7"/>
    <w:rsid w:val="00352804"/>
    <w:rsid w:val="00353C64"/>
    <w:rsid w:val="003540B6"/>
    <w:rsid w:val="003540C1"/>
    <w:rsid w:val="00356750"/>
    <w:rsid w:val="00364229"/>
    <w:rsid w:val="003642C4"/>
    <w:rsid w:val="0036448B"/>
    <w:rsid w:val="00365648"/>
    <w:rsid w:val="0037020B"/>
    <w:rsid w:val="00373F61"/>
    <w:rsid w:val="0037503E"/>
    <w:rsid w:val="00375B63"/>
    <w:rsid w:val="00377446"/>
    <w:rsid w:val="00377A67"/>
    <w:rsid w:val="0038108C"/>
    <w:rsid w:val="003817FC"/>
    <w:rsid w:val="003830D4"/>
    <w:rsid w:val="003865FA"/>
    <w:rsid w:val="0038697E"/>
    <w:rsid w:val="00387585"/>
    <w:rsid w:val="00390586"/>
    <w:rsid w:val="00390CDC"/>
    <w:rsid w:val="00394052"/>
    <w:rsid w:val="00394CE5"/>
    <w:rsid w:val="0039558A"/>
    <w:rsid w:val="00396408"/>
    <w:rsid w:val="00396DF4"/>
    <w:rsid w:val="003A2273"/>
    <w:rsid w:val="003A3F9D"/>
    <w:rsid w:val="003A488B"/>
    <w:rsid w:val="003A685B"/>
    <w:rsid w:val="003A68B1"/>
    <w:rsid w:val="003A6904"/>
    <w:rsid w:val="003A7CC6"/>
    <w:rsid w:val="003B0AC1"/>
    <w:rsid w:val="003B12E4"/>
    <w:rsid w:val="003B22FC"/>
    <w:rsid w:val="003B25BC"/>
    <w:rsid w:val="003B3E79"/>
    <w:rsid w:val="003B5571"/>
    <w:rsid w:val="003B7CFB"/>
    <w:rsid w:val="003C302F"/>
    <w:rsid w:val="003C335C"/>
    <w:rsid w:val="003C46C0"/>
    <w:rsid w:val="003C4BB1"/>
    <w:rsid w:val="003C5F08"/>
    <w:rsid w:val="003D0310"/>
    <w:rsid w:val="003D04E5"/>
    <w:rsid w:val="003D0A1C"/>
    <w:rsid w:val="003D0FAA"/>
    <w:rsid w:val="003D1836"/>
    <w:rsid w:val="003D213D"/>
    <w:rsid w:val="003D33F2"/>
    <w:rsid w:val="003D4DC1"/>
    <w:rsid w:val="003D5BBB"/>
    <w:rsid w:val="003D6620"/>
    <w:rsid w:val="003D6E1A"/>
    <w:rsid w:val="003D742A"/>
    <w:rsid w:val="003D7752"/>
    <w:rsid w:val="003E1C93"/>
    <w:rsid w:val="003E5D0B"/>
    <w:rsid w:val="003E6008"/>
    <w:rsid w:val="003E6848"/>
    <w:rsid w:val="003F11D4"/>
    <w:rsid w:val="003F17AF"/>
    <w:rsid w:val="003F1990"/>
    <w:rsid w:val="003F2706"/>
    <w:rsid w:val="003F2730"/>
    <w:rsid w:val="003F273E"/>
    <w:rsid w:val="003F4818"/>
    <w:rsid w:val="003F665A"/>
    <w:rsid w:val="003F7E86"/>
    <w:rsid w:val="004001B2"/>
    <w:rsid w:val="00400565"/>
    <w:rsid w:val="00400BEE"/>
    <w:rsid w:val="00403002"/>
    <w:rsid w:val="00403252"/>
    <w:rsid w:val="004033B8"/>
    <w:rsid w:val="004042E8"/>
    <w:rsid w:val="004048F0"/>
    <w:rsid w:val="004057EF"/>
    <w:rsid w:val="0040645C"/>
    <w:rsid w:val="00407269"/>
    <w:rsid w:val="00407FA2"/>
    <w:rsid w:val="00411500"/>
    <w:rsid w:val="00411FB2"/>
    <w:rsid w:val="00413AF8"/>
    <w:rsid w:val="00413B58"/>
    <w:rsid w:val="004151AA"/>
    <w:rsid w:val="00415A5D"/>
    <w:rsid w:val="004169CF"/>
    <w:rsid w:val="00417F3D"/>
    <w:rsid w:val="00422CE5"/>
    <w:rsid w:val="00423069"/>
    <w:rsid w:val="0042315C"/>
    <w:rsid w:val="00426D88"/>
    <w:rsid w:val="0042716B"/>
    <w:rsid w:val="00430FC5"/>
    <w:rsid w:val="00434695"/>
    <w:rsid w:val="004366A6"/>
    <w:rsid w:val="00436830"/>
    <w:rsid w:val="00436CA1"/>
    <w:rsid w:val="00437086"/>
    <w:rsid w:val="004373D4"/>
    <w:rsid w:val="00437E07"/>
    <w:rsid w:val="00440C25"/>
    <w:rsid w:val="004412A0"/>
    <w:rsid w:val="00441464"/>
    <w:rsid w:val="004418C7"/>
    <w:rsid w:val="0044338F"/>
    <w:rsid w:val="0044674D"/>
    <w:rsid w:val="004514CE"/>
    <w:rsid w:val="0045330E"/>
    <w:rsid w:val="00453539"/>
    <w:rsid w:val="00454B20"/>
    <w:rsid w:val="004553FB"/>
    <w:rsid w:val="00457ABD"/>
    <w:rsid w:val="00457AC9"/>
    <w:rsid w:val="00460695"/>
    <w:rsid w:val="00462034"/>
    <w:rsid w:val="0046245D"/>
    <w:rsid w:val="004625F9"/>
    <w:rsid w:val="00462AEF"/>
    <w:rsid w:val="00462AFA"/>
    <w:rsid w:val="0046338A"/>
    <w:rsid w:val="00463CAC"/>
    <w:rsid w:val="00463DC7"/>
    <w:rsid w:val="004668B5"/>
    <w:rsid w:val="00467A4D"/>
    <w:rsid w:val="00470324"/>
    <w:rsid w:val="00470C58"/>
    <w:rsid w:val="00471517"/>
    <w:rsid w:val="0047181C"/>
    <w:rsid w:val="00473190"/>
    <w:rsid w:val="00473FFE"/>
    <w:rsid w:val="004743F5"/>
    <w:rsid w:val="00474C2B"/>
    <w:rsid w:val="00476BE7"/>
    <w:rsid w:val="00477ABE"/>
    <w:rsid w:val="00477BF4"/>
    <w:rsid w:val="004801EF"/>
    <w:rsid w:val="004817D8"/>
    <w:rsid w:val="0048279C"/>
    <w:rsid w:val="00483CAF"/>
    <w:rsid w:val="004842D1"/>
    <w:rsid w:val="004847BA"/>
    <w:rsid w:val="00485680"/>
    <w:rsid w:val="004857A2"/>
    <w:rsid w:val="00486018"/>
    <w:rsid w:val="00486F3C"/>
    <w:rsid w:val="00487275"/>
    <w:rsid w:val="00487EF4"/>
    <w:rsid w:val="00490738"/>
    <w:rsid w:val="00492A60"/>
    <w:rsid w:val="00496C50"/>
    <w:rsid w:val="004A0310"/>
    <w:rsid w:val="004A14CB"/>
    <w:rsid w:val="004A17C6"/>
    <w:rsid w:val="004A425D"/>
    <w:rsid w:val="004A466D"/>
    <w:rsid w:val="004A7DB5"/>
    <w:rsid w:val="004B0954"/>
    <w:rsid w:val="004B2E62"/>
    <w:rsid w:val="004B4215"/>
    <w:rsid w:val="004B5D63"/>
    <w:rsid w:val="004B73FE"/>
    <w:rsid w:val="004B7E97"/>
    <w:rsid w:val="004C0559"/>
    <w:rsid w:val="004C16D1"/>
    <w:rsid w:val="004C2C03"/>
    <w:rsid w:val="004C321A"/>
    <w:rsid w:val="004C47A1"/>
    <w:rsid w:val="004C543F"/>
    <w:rsid w:val="004C7605"/>
    <w:rsid w:val="004D067A"/>
    <w:rsid w:val="004D0DA6"/>
    <w:rsid w:val="004D110C"/>
    <w:rsid w:val="004D13B0"/>
    <w:rsid w:val="004D3A27"/>
    <w:rsid w:val="004D3AF5"/>
    <w:rsid w:val="004D4E20"/>
    <w:rsid w:val="004D68E9"/>
    <w:rsid w:val="004E1DE7"/>
    <w:rsid w:val="004E241C"/>
    <w:rsid w:val="004E2571"/>
    <w:rsid w:val="004E2CE4"/>
    <w:rsid w:val="004E4C38"/>
    <w:rsid w:val="004E51DC"/>
    <w:rsid w:val="004E57B8"/>
    <w:rsid w:val="004E5EC2"/>
    <w:rsid w:val="004E60F9"/>
    <w:rsid w:val="004E65A6"/>
    <w:rsid w:val="004E74ED"/>
    <w:rsid w:val="004F0264"/>
    <w:rsid w:val="004F039E"/>
    <w:rsid w:val="004F1C84"/>
    <w:rsid w:val="004F1D78"/>
    <w:rsid w:val="004F3E9C"/>
    <w:rsid w:val="004F46E1"/>
    <w:rsid w:val="004F4BC2"/>
    <w:rsid w:val="004F4FAF"/>
    <w:rsid w:val="004F5645"/>
    <w:rsid w:val="004F60B6"/>
    <w:rsid w:val="004F6438"/>
    <w:rsid w:val="0050396F"/>
    <w:rsid w:val="005048EB"/>
    <w:rsid w:val="00504F14"/>
    <w:rsid w:val="005078F5"/>
    <w:rsid w:val="00507A44"/>
    <w:rsid w:val="0051077D"/>
    <w:rsid w:val="00510D85"/>
    <w:rsid w:val="00511D47"/>
    <w:rsid w:val="005123E4"/>
    <w:rsid w:val="00513CC8"/>
    <w:rsid w:val="00514219"/>
    <w:rsid w:val="00516CC8"/>
    <w:rsid w:val="0052022D"/>
    <w:rsid w:val="0052057D"/>
    <w:rsid w:val="00520FC3"/>
    <w:rsid w:val="00523DD2"/>
    <w:rsid w:val="005252CF"/>
    <w:rsid w:val="0052646F"/>
    <w:rsid w:val="00526F5B"/>
    <w:rsid w:val="00527EF9"/>
    <w:rsid w:val="0053057A"/>
    <w:rsid w:val="00532402"/>
    <w:rsid w:val="005331D0"/>
    <w:rsid w:val="005337E2"/>
    <w:rsid w:val="005347BF"/>
    <w:rsid w:val="005349DD"/>
    <w:rsid w:val="0053596E"/>
    <w:rsid w:val="00535F1B"/>
    <w:rsid w:val="005402B8"/>
    <w:rsid w:val="00543A22"/>
    <w:rsid w:val="005443A4"/>
    <w:rsid w:val="00544658"/>
    <w:rsid w:val="00544C67"/>
    <w:rsid w:val="00544E6F"/>
    <w:rsid w:val="00546AC5"/>
    <w:rsid w:val="00551C13"/>
    <w:rsid w:val="00552726"/>
    <w:rsid w:val="0055297D"/>
    <w:rsid w:val="00552C5E"/>
    <w:rsid w:val="00553FEA"/>
    <w:rsid w:val="005545FC"/>
    <w:rsid w:val="00555CC4"/>
    <w:rsid w:val="005563DE"/>
    <w:rsid w:val="00556850"/>
    <w:rsid w:val="005610C3"/>
    <w:rsid w:val="005616F6"/>
    <w:rsid w:val="005620BE"/>
    <w:rsid w:val="0056329D"/>
    <w:rsid w:val="0056799C"/>
    <w:rsid w:val="0057006D"/>
    <w:rsid w:val="005700EA"/>
    <w:rsid w:val="0057135B"/>
    <w:rsid w:val="00573CC1"/>
    <w:rsid w:val="005761EB"/>
    <w:rsid w:val="00576437"/>
    <w:rsid w:val="005809DA"/>
    <w:rsid w:val="00580F21"/>
    <w:rsid w:val="00581F90"/>
    <w:rsid w:val="00582D4A"/>
    <w:rsid w:val="005830C9"/>
    <w:rsid w:val="00583B8D"/>
    <w:rsid w:val="00583F9F"/>
    <w:rsid w:val="00587015"/>
    <w:rsid w:val="00587A1C"/>
    <w:rsid w:val="00587EE7"/>
    <w:rsid w:val="00590107"/>
    <w:rsid w:val="0059021E"/>
    <w:rsid w:val="005923AC"/>
    <w:rsid w:val="00592717"/>
    <w:rsid w:val="00592A6C"/>
    <w:rsid w:val="005931A1"/>
    <w:rsid w:val="00593AA9"/>
    <w:rsid w:val="00594D30"/>
    <w:rsid w:val="00594FAD"/>
    <w:rsid w:val="00595214"/>
    <w:rsid w:val="005958C7"/>
    <w:rsid w:val="00595E39"/>
    <w:rsid w:val="00595FE6"/>
    <w:rsid w:val="005966C8"/>
    <w:rsid w:val="005A0107"/>
    <w:rsid w:val="005A1C0D"/>
    <w:rsid w:val="005A1E16"/>
    <w:rsid w:val="005A2300"/>
    <w:rsid w:val="005A334C"/>
    <w:rsid w:val="005A3670"/>
    <w:rsid w:val="005A3A70"/>
    <w:rsid w:val="005A47F4"/>
    <w:rsid w:val="005A4FC0"/>
    <w:rsid w:val="005A6A19"/>
    <w:rsid w:val="005A6A38"/>
    <w:rsid w:val="005A6BD8"/>
    <w:rsid w:val="005B3FCF"/>
    <w:rsid w:val="005B4021"/>
    <w:rsid w:val="005B6EC2"/>
    <w:rsid w:val="005C16A6"/>
    <w:rsid w:val="005C196D"/>
    <w:rsid w:val="005C2567"/>
    <w:rsid w:val="005C2A90"/>
    <w:rsid w:val="005C2DDD"/>
    <w:rsid w:val="005C42AA"/>
    <w:rsid w:val="005C465B"/>
    <w:rsid w:val="005C4D71"/>
    <w:rsid w:val="005C65BA"/>
    <w:rsid w:val="005D1250"/>
    <w:rsid w:val="005D18D4"/>
    <w:rsid w:val="005D28EA"/>
    <w:rsid w:val="005D319A"/>
    <w:rsid w:val="005D3365"/>
    <w:rsid w:val="005D3DFF"/>
    <w:rsid w:val="005D473F"/>
    <w:rsid w:val="005D5D39"/>
    <w:rsid w:val="005D6263"/>
    <w:rsid w:val="005E0AF0"/>
    <w:rsid w:val="005E2E63"/>
    <w:rsid w:val="005E323D"/>
    <w:rsid w:val="005E417F"/>
    <w:rsid w:val="005E429A"/>
    <w:rsid w:val="005E4ECC"/>
    <w:rsid w:val="005E78C6"/>
    <w:rsid w:val="005F14A8"/>
    <w:rsid w:val="005F1BCB"/>
    <w:rsid w:val="005F308A"/>
    <w:rsid w:val="005F3E35"/>
    <w:rsid w:val="005F45A1"/>
    <w:rsid w:val="005F4EC9"/>
    <w:rsid w:val="005F71DB"/>
    <w:rsid w:val="00600717"/>
    <w:rsid w:val="00600CA4"/>
    <w:rsid w:val="006030BD"/>
    <w:rsid w:val="00603BA3"/>
    <w:rsid w:val="006048C0"/>
    <w:rsid w:val="00607088"/>
    <w:rsid w:val="00607AD4"/>
    <w:rsid w:val="00610EA4"/>
    <w:rsid w:val="00611690"/>
    <w:rsid w:val="00611997"/>
    <w:rsid w:val="006123E2"/>
    <w:rsid w:val="006123E5"/>
    <w:rsid w:val="0061326B"/>
    <w:rsid w:val="00613B4B"/>
    <w:rsid w:val="00614387"/>
    <w:rsid w:val="00616891"/>
    <w:rsid w:val="00617423"/>
    <w:rsid w:val="00617A45"/>
    <w:rsid w:val="00617B66"/>
    <w:rsid w:val="00620436"/>
    <w:rsid w:val="00620A2D"/>
    <w:rsid w:val="0062189B"/>
    <w:rsid w:val="00624A17"/>
    <w:rsid w:val="00625E83"/>
    <w:rsid w:val="00626524"/>
    <w:rsid w:val="00630735"/>
    <w:rsid w:val="00631F81"/>
    <w:rsid w:val="00632418"/>
    <w:rsid w:val="00633DE9"/>
    <w:rsid w:val="00634197"/>
    <w:rsid w:val="00636AE6"/>
    <w:rsid w:val="00641756"/>
    <w:rsid w:val="00641906"/>
    <w:rsid w:val="00645AC0"/>
    <w:rsid w:val="00645E57"/>
    <w:rsid w:val="0064772E"/>
    <w:rsid w:val="00647853"/>
    <w:rsid w:val="00650BEB"/>
    <w:rsid w:val="00651FCB"/>
    <w:rsid w:val="00652785"/>
    <w:rsid w:val="00655B02"/>
    <w:rsid w:val="00655D30"/>
    <w:rsid w:val="00656169"/>
    <w:rsid w:val="00656661"/>
    <w:rsid w:val="00656C64"/>
    <w:rsid w:val="00656DF2"/>
    <w:rsid w:val="00657CBE"/>
    <w:rsid w:val="006618BD"/>
    <w:rsid w:val="00661F58"/>
    <w:rsid w:val="00662576"/>
    <w:rsid w:val="0066324C"/>
    <w:rsid w:val="00664007"/>
    <w:rsid w:val="00664171"/>
    <w:rsid w:val="0067009F"/>
    <w:rsid w:val="006705F9"/>
    <w:rsid w:val="00670618"/>
    <w:rsid w:val="00671F2B"/>
    <w:rsid w:val="006726F8"/>
    <w:rsid w:val="00672F5C"/>
    <w:rsid w:val="006742CF"/>
    <w:rsid w:val="00675726"/>
    <w:rsid w:val="0067579F"/>
    <w:rsid w:val="00676C8B"/>
    <w:rsid w:val="00677513"/>
    <w:rsid w:val="00677B14"/>
    <w:rsid w:val="00677D59"/>
    <w:rsid w:val="00680F8D"/>
    <w:rsid w:val="006816A5"/>
    <w:rsid w:val="0068197F"/>
    <w:rsid w:val="00683541"/>
    <w:rsid w:val="00685F60"/>
    <w:rsid w:val="00692AA9"/>
    <w:rsid w:val="00693FDD"/>
    <w:rsid w:val="0069400A"/>
    <w:rsid w:val="006977A6"/>
    <w:rsid w:val="006A001A"/>
    <w:rsid w:val="006A099B"/>
    <w:rsid w:val="006A3B70"/>
    <w:rsid w:val="006A5C28"/>
    <w:rsid w:val="006A674F"/>
    <w:rsid w:val="006A701F"/>
    <w:rsid w:val="006A730B"/>
    <w:rsid w:val="006A7DCA"/>
    <w:rsid w:val="006A7DD8"/>
    <w:rsid w:val="006B4AAA"/>
    <w:rsid w:val="006B4F3C"/>
    <w:rsid w:val="006B5FC1"/>
    <w:rsid w:val="006B68FA"/>
    <w:rsid w:val="006B7308"/>
    <w:rsid w:val="006B7DF9"/>
    <w:rsid w:val="006C32C3"/>
    <w:rsid w:val="006C351C"/>
    <w:rsid w:val="006C3B18"/>
    <w:rsid w:val="006C50B3"/>
    <w:rsid w:val="006C7D56"/>
    <w:rsid w:val="006D0E51"/>
    <w:rsid w:val="006D13A6"/>
    <w:rsid w:val="006D1716"/>
    <w:rsid w:val="006D18FE"/>
    <w:rsid w:val="006D3313"/>
    <w:rsid w:val="006D42FD"/>
    <w:rsid w:val="006D460F"/>
    <w:rsid w:val="006D51D9"/>
    <w:rsid w:val="006E0854"/>
    <w:rsid w:val="006E19B1"/>
    <w:rsid w:val="006E1D37"/>
    <w:rsid w:val="006E1F2C"/>
    <w:rsid w:val="006E2102"/>
    <w:rsid w:val="006E21D3"/>
    <w:rsid w:val="006E268E"/>
    <w:rsid w:val="006E2696"/>
    <w:rsid w:val="006E2B01"/>
    <w:rsid w:val="006E378B"/>
    <w:rsid w:val="006E4370"/>
    <w:rsid w:val="006E4530"/>
    <w:rsid w:val="006E6BC9"/>
    <w:rsid w:val="006E7052"/>
    <w:rsid w:val="006E722D"/>
    <w:rsid w:val="006E7C2F"/>
    <w:rsid w:val="006E7E27"/>
    <w:rsid w:val="006F02C3"/>
    <w:rsid w:val="006F366C"/>
    <w:rsid w:val="006F4387"/>
    <w:rsid w:val="006F50A7"/>
    <w:rsid w:val="006F5E3A"/>
    <w:rsid w:val="006F5F5D"/>
    <w:rsid w:val="006F63F6"/>
    <w:rsid w:val="006F645A"/>
    <w:rsid w:val="006F7BC2"/>
    <w:rsid w:val="00701DCF"/>
    <w:rsid w:val="00701F77"/>
    <w:rsid w:val="0070225C"/>
    <w:rsid w:val="00703420"/>
    <w:rsid w:val="00703FC6"/>
    <w:rsid w:val="0070656E"/>
    <w:rsid w:val="00706A8E"/>
    <w:rsid w:val="00707388"/>
    <w:rsid w:val="00710084"/>
    <w:rsid w:val="00712969"/>
    <w:rsid w:val="00712FE4"/>
    <w:rsid w:val="0071308C"/>
    <w:rsid w:val="007133C6"/>
    <w:rsid w:val="00713459"/>
    <w:rsid w:val="0071479D"/>
    <w:rsid w:val="007149F8"/>
    <w:rsid w:val="00715D16"/>
    <w:rsid w:val="00716383"/>
    <w:rsid w:val="00717122"/>
    <w:rsid w:val="0071788F"/>
    <w:rsid w:val="00720B28"/>
    <w:rsid w:val="007212C9"/>
    <w:rsid w:val="00721B6D"/>
    <w:rsid w:val="00723728"/>
    <w:rsid w:val="007249EE"/>
    <w:rsid w:val="00725B9A"/>
    <w:rsid w:val="00726825"/>
    <w:rsid w:val="00730440"/>
    <w:rsid w:val="00731AE6"/>
    <w:rsid w:val="00731D03"/>
    <w:rsid w:val="00731F2E"/>
    <w:rsid w:val="00734679"/>
    <w:rsid w:val="00734A34"/>
    <w:rsid w:val="00734E33"/>
    <w:rsid w:val="00734FA8"/>
    <w:rsid w:val="0073510D"/>
    <w:rsid w:val="007366E1"/>
    <w:rsid w:val="0073681F"/>
    <w:rsid w:val="00740595"/>
    <w:rsid w:val="00740761"/>
    <w:rsid w:val="007410B3"/>
    <w:rsid w:val="007412E3"/>
    <w:rsid w:val="00741C33"/>
    <w:rsid w:val="00742237"/>
    <w:rsid w:val="0074233A"/>
    <w:rsid w:val="00742B51"/>
    <w:rsid w:val="007435A6"/>
    <w:rsid w:val="00743B1F"/>
    <w:rsid w:val="00743D78"/>
    <w:rsid w:val="0074442C"/>
    <w:rsid w:val="00744549"/>
    <w:rsid w:val="00745DC0"/>
    <w:rsid w:val="0074642A"/>
    <w:rsid w:val="00747607"/>
    <w:rsid w:val="0075030D"/>
    <w:rsid w:val="007537BB"/>
    <w:rsid w:val="00753DD7"/>
    <w:rsid w:val="0075401F"/>
    <w:rsid w:val="00754DC6"/>
    <w:rsid w:val="007558BE"/>
    <w:rsid w:val="00757E78"/>
    <w:rsid w:val="00760D69"/>
    <w:rsid w:val="00763367"/>
    <w:rsid w:val="007642D6"/>
    <w:rsid w:val="00766669"/>
    <w:rsid w:val="00766EC1"/>
    <w:rsid w:val="007676BE"/>
    <w:rsid w:val="00767A96"/>
    <w:rsid w:val="00770765"/>
    <w:rsid w:val="007708FF"/>
    <w:rsid w:val="007709E5"/>
    <w:rsid w:val="00770A6A"/>
    <w:rsid w:val="00771080"/>
    <w:rsid w:val="00771557"/>
    <w:rsid w:val="00773513"/>
    <w:rsid w:val="00773D41"/>
    <w:rsid w:val="00775F83"/>
    <w:rsid w:val="0078011A"/>
    <w:rsid w:val="00782732"/>
    <w:rsid w:val="00783607"/>
    <w:rsid w:val="00783853"/>
    <w:rsid w:val="0078604B"/>
    <w:rsid w:val="00786E62"/>
    <w:rsid w:val="007908A0"/>
    <w:rsid w:val="007910D3"/>
    <w:rsid w:val="007924A0"/>
    <w:rsid w:val="00792548"/>
    <w:rsid w:val="007934BF"/>
    <w:rsid w:val="00793B44"/>
    <w:rsid w:val="007944E2"/>
    <w:rsid w:val="00794BAE"/>
    <w:rsid w:val="00794D3B"/>
    <w:rsid w:val="00796E17"/>
    <w:rsid w:val="00796E4D"/>
    <w:rsid w:val="00797CD6"/>
    <w:rsid w:val="007A0228"/>
    <w:rsid w:val="007A29BC"/>
    <w:rsid w:val="007A3764"/>
    <w:rsid w:val="007A5284"/>
    <w:rsid w:val="007A5521"/>
    <w:rsid w:val="007A5736"/>
    <w:rsid w:val="007A5DE8"/>
    <w:rsid w:val="007B078A"/>
    <w:rsid w:val="007B0BA5"/>
    <w:rsid w:val="007B1A2D"/>
    <w:rsid w:val="007B23C1"/>
    <w:rsid w:val="007B2D7E"/>
    <w:rsid w:val="007B3C0D"/>
    <w:rsid w:val="007B4EE7"/>
    <w:rsid w:val="007B50E2"/>
    <w:rsid w:val="007B53C0"/>
    <w:rsid w:val="007B5E4B"/>
    <w:rsid w:val="007B6C01"/>
    <w:rsid w:val="007C0926"/>
    <w:rsid w:val="007C28FE"/>
    <w:rsid w:val="007C7380"/>
    <w:rsid w:val="007D01B5"/>
    <w:rsid w:val="007D0D92"/>
    <w:rsid w:val="007D1C56"/>
    <w:rsid w:val="007D2569"/>
    <w:rsid w:val="007D2765"/>
    <w:rsid w:val="007D2A54"/>
    <w:rsid w:val="007D2E24"/>
    <w:rsid w:val="007D437A"/>
    <w:rsid w:val="007D4A42"/>
    <w:rsid w:val="007D4BBA"/>
    <w:rsid w:val="007D6F73"/>
    <w:rsid w:val="007E0F89"/>
    <w:rsid w:val="007E0FE2"/>
    <w:rsid w:val="007E29CE"/>
    <w:rsid w:val="007E637D"/>
    <w:rsid w:val="007E63C5"/>
    <w:rsid w:val="007E7BE6"/>
    <w:rsid w:val="007F0DA2"/>
    <w:rsid w:val="007F0F85"/>
    <w:rsid w:val="007F105D"/>
    <w:rsid w:val="007F216B"/>
    <w:rsid w:val="007F231F"/>
    <w:rsid w:val="007F2B05"/>
    <w:rsid w:val="007F3455"/>
    <w:rsid w:val="007F3E6C"/>
    <w:rsid w:val="007F3F21"/>
    <w:rsid w:val="007F51ED"/>
    <w:rsid w:val="007F5287"/>
    <w:rsid w:val="0080098B"/>
    <w:rsid w:val="00801647"/>
    <w:rsid w:val="00801B91"/>
    <w:rsid w:val="00801E0A"/>
    <w:rsid w:val="00802B04"/>
    <w:rsid w:val="008049A7"/>
    <w:rsid w:val="00805292"/>
    <w:rsid w:val="008067E8"/>
    <w:rsid w:val="00810895"/>
    <w:rsid w:val="008121AC"/>
    <w:rsid w:val="0081222C"/>
    <w:rsid w:val="00813AC0"/>
    <w:rsid w:val="00814F7E"/>
    <w:rsid w:val="00816B8B"/>
    <w:rsid w:val="008174F1"/>
    <w:rsid w:val="0081772D"/>
    <w:rsid w:val="00817BE3"/>
    <w:rsid w:val="00817E05"/>
    <w:rsid w:val="00820374"/>
    <w:rsid w:val="008206BF"/>
    <w:rsid w:val="008209E5"/>
    <w:rsid w:val="00820D6A"/>
    <w:rsid w:val="008214E6"/>
    <w:rsid w:val="00822748"/>
    <w:rsid w:val="008235EB"/>
    <w:rsid w:val="0082561B"/>
    <w:rsid w:val="008275C0"/>
    <w:rsid w:val="00831C22"/>
    <w:rsid w:val="00832C71"/>
    <w:rsid w:val="008342C0"/>
    <w:rsid w:val="00834401"/>
    <w:rsid w:val="00834532"/>
    <w:rsid w:val="008349EF"/>
    <w:rsid w:val="00834CC3"/>
    <w:rsid w:val="0084037E"/>
    <w:rsid w:val="00840C00"/>
    <w:rsid w:val="00841280"/>
    <w:rsid w:val="00841C39"/>
    <w:rsid w:val="00841E71"/>
    <w:rsid w:val="0084298B"/>
    <w:rsid w:val="00844848"/>
    <w:rsid w:val="008449D9"/>
    <w:rsid w:val="00845147"/>
    <w:rsid w:val="00845900"/>
    <w:rsid w:val="008462B6"/>
    <w:rsid w:val="00846AB5"/>
    <w:rsid w:val="008510E7"/>
    <w:rsid w:val="00851350"/>
    <w:rsid w:val="0085164E"/>
    <w:rsid w:val="008526AE"/>
    <w:rsid w:val="00853EA2"/>
    <w:rsid w:val="008541B4"/>
    <w:rsid w:val="00855FBE"/>
    <w:rsid w:val="00856999"/>
    <w:rsid w:val="00861173"/>
    <w:rsid w:val="00864F9B"/>
    <w:rsid w:val="00865371"/>
    <w:rsid w:val="00866CB5"/>
    <w:rsid w:val="00866F51"/>
    <w:rsid w:val="00870C96"/>
    <w:rsid w:val="0087147B"/>
    <w:rsid w:val="008715C8"/>
    <w:rsid w:val="0087415E"/>
    <w:rsid w:val="00874174"/>
    <w:rsid w:val="00874882"/>
    <w:rsid w:val="00876576"/>
    <w:rsid w:val="00877527"/>
    <w:rsid w:val="00882C00"/>
    <w:rsid w:val="00883717"/>
    <w:rsid w:val="00884381"/>
    <w:rsid w:val="00884779"/>
    <w:rsid w:val="00885415"/>
    <w:rsid w:val="0088625E"/>
    <w:rsid w:val="00886587"/>
    <w:rsid w:val="00890C82"/>
    <w:rsid w:val="00891859"/>
    <w:rsid w:val="00891A4E"/>
    <w:rsid w:val="00891BE2"/>
    <w:rsid w:val="00892076"/>
    <w:rsid w:val="008921F7"/>
    <w:rsid w:val="00892EB9"/>
    <w:rsid w:val="00893777"/>
    <w:rsid w:val="00893955"/>
    <w:rsid w:val="008A226B"/>
    <w:rsid w:val="008A35D4"/>
    <w:rsid w:val="008A3AF5"/>
    <w:rsid w:val="008A4C2A"/>
    <w:rsid w:val="008A4F2A"/>
    <w:rsid w:val="008A51C2"/>
    <w:rsid w:val="008A55C1"/>
    <w:rsid w:val="008A5C01"/>
    <w:rsid w:val="008A6813"/>
    <w:rsid w:val="008B03B8"/>
    <w:rsid w:val="008B10AD"/>
    <w:rsid w:val="008B20A4"/>
    <w:rsid w:val="008B3493"/>
    <w:rsid w:val="008B6871"/>
    <w:rsid w:val="008B79AE"/>
    <w:rsid w:val="008C11D9"/>
    <w:rsid w:val="008C2F3B"/>
    <w:rsid w:val="008C6CD2"/>
    <w:rsid w:val="008D0D84"/>
    <w:rsid w:val="008D2BF6"/>
    <w:rsid w:val="008D45D0"/>
    <w:rsid w:val="008D4665"/>
    <w:rsid w:val="008D4D1A"/>
    <w:rsid w:val="008D7AAF"/>
    <w:rsid w:val="008E0A82"/>
    <w:rsid w:val="008E1C00"/>
    <w:rsid w:val="008E3565"/>
    <w:rsid w:val="008E36E2"/>
    <w:rsid w:val="008E41BB"/>
    <w:rsid w:val="008E481B"/>
    <w:rsid w:val="008E5731"/>
    <w:rsid w:val="008E59AF"/>
    <w:rsid w:val="008E5B80"/>
    <w:rsid w:val="008E7B71"/>
    <w:rsid w:val="008E7CB1"/>
    <w:rsid w:val="008E7F15"/>
    <w:rsid w:val="008F09C6"/>
    <w:rsid w:val="008F0BD8"/>
    <w:rsid w:val="008F24F8"/>
    <w:rsid w:val="008F5895"/>
    <w:rsid w:val="008F6C96"/>
    <w:rsid w:val="009003A5"/>
    <w:rsid w:val="00901BA8"/>
    <w:rsid w:val="00902FC7"/>
    <w:rsid w:val="0090384E"/>
    <w:rsid w:val="009042B8"/>
    <w:rsid w:val="009043CF"/>
    <w:rsid w:val="00905122"/>
    <w:rsid w:val="00906C48"/>
    <w:rsid w:val="00906CDC"/>
    <w:rsid w:val="009073D1"/>
    <w:rsid w:val="00914F16"/>
    <w:rsid w:val="00914FA9"/>
    <w:rsid w:val="00915527"/>
    <w:rsid w:val="00915972"/>
    <w:rsid w:val="009162B0"/>
    <w:rsid w:val="00917F8C"/>
    <w:rsid w:val="00920F4C"/>
    <w:rsid w:val="00922182"/>
    <w:rsid w:val="00922CF1"/>
    <w:rsid w:val="0092301F"/>
    <w:rsid w:val="0092731A"/>
    <w:rsid w:val="009274F3"/>
    <w:rsid w:val="00931201"/>
    <w:rsid w:val="00931C6C"/>
    <w:rsid w:val="00933A8D"/>
    <w:rsid w:val="00935A28"/>
    <w:rsid w:val="00940217"/>
    <w:rsid w:val="00940528"/>
    <w:rsid w:val="00943438"/>
    <w:rsid w:val="00943726"/>
    <w:rsid w:val="009465CD"/>
    <w:rsid w:val="009471F9"/>
    <w:rsid w:val="009530D4"/>
    <w:rsid w:val="0095333F"/>
    <w:rsid w:val="00953758"/>
    <w:rsid w:val="009538C2"/>
    <w:rsid w:val="00953EF4"/>
    <w:rsid w:val="00954256"/>
    <w:rsid w:val="009566CE"/>
    <w:rsid w:val="00962356"/>
    <w:rsid w:val="00962F66"/>
    <w:rsid w:val="00963B3F"/>
    <w:rsid w:val="00964A2A"/>
    <w:rsid w:val="009658BF"/>
    <w:rsid w:val="00966563"/>
    <w:rsid w:val="00966975"/>
    <w:rsid w:val="00967BC4"/>
    <w:rsid w:val="009725F5"/>
    <w:rsid w:val="009731D8"/>
    <w:rsid w:val="00975AC9"/>
    <w:rsid w:val="00975EA7"/>
    <w:rsid w:val="009762F0"/>
    <w:rsid w:val="009767D9"/>
    <w:rsid w:val="0097785A"/>
    <w:rsid w:val="0098551D"/>
    <w:rsid w:val="00986AC2"/>
    <w:rsid w:val="009901DB"/>
    <w:rsid w:val="00990565"/>
    <w:rsid w:val="00991513"/>
    <w:rsid w:val="00991989"/>
    <w:rsid w:val="00991A37"/>
    <w:rsid w:val="00992A11"/>
    <w:rsid w:val="00993737"/>
    <w:rsid w:val="0099381A"/>
    <w:rsid w:val="009949A4"/>
    <w:rsid w:val="00995111"/>
    <w:rsid w:val="009957B2"/>
    <w:rsid w:val="00996E8E"/>
    <w:rsid w:val="00997E9F"/>
    <w:rsid w:val="009A0F0A"/>
    <w:rsid w:val="009A2853"/>
    <w:rsid w:val="009A3E9F"/>
    <w:rsid w:val="009A4808"/>
    <w:rsid w:val="009A6769"/>
    <w:rsid w:val="009A6A03"/>
    <w:rsid w:val="009B0653"/>
    <w:rsid w:val="009B2553"/>
    <w:rsid w:val="009B30B7"/>
    <w:rsid w:val="009B3D9E"/>
    <w:rsid w:val="009B54B8"/>
    <w:rsid w:val="009B69FD"/>
    <w:rsid w:val="009C107F"/>
    <w:rsid w:val="009C1481"/>
    <w:rsid w:val="009C34FA"/>
    <w:rsid w:val="009C39F7"/>
    <w:rsid w:val="009C557D"/>
    <w:rsid w:val="009C5CCE"/>
    <w:rsid w:val="009C613A"/>
    <w:rsid w:val="009C6351"/>
    <w:rsid w:val="009C7FF8"/>
    <w:rsid w:val="009D0BD5"/>
    <w:rsid w:val="009D1829"/>
    <w:rsid w:val="009D2359"/>
    <w:rsid w:val="009D3C58"/>
    <w:rsid w:val="009D45FB"/>
    <w:rsid w:val="009D5229"/>
    <w:rsid w:val="009E27EB"/>
    <w:rsid w:val="009E3795"/>
    <w:rsid w:val="009E3CC5"/>
    <w:rsid w:val="009E3D31"/>
    <w:rsid w:val="009E481F"/>
    <w:rsid w:val="009E4B9B"/>
    <w:rsid w:val="009E4EC9"/>
    <w:rsid w:val="009E6060"/>
    <w:rsid w:val="009E72E2"/>
    <w:rsid w:val="009F120A"/>
    <w:rsid w:val="009F330A"/>
    <w:rsid w:val="009F4F1F"/>
    <w:rsid w:val="00A00921"/>
    <w:rsid w:val="00A00B47"/>
    <w:rsid w:val="00A019B3"/>
    <w:rsid w:val="00A02228"/>
    <w:rsid w:val="00A03CF7"/>
    <w:rsid w:val="00A04768"/>
    <w:rsid w:val="00A063BA"/>
    <w:rsid w:val="00A06ADF"/>
    <w:rsid w:val="00A06E81"/>
    <w:rsid w:val="00A07EA5"/>
    <w:rsid w:val="00A116F3"/>
    <w:rsid w:val="00A13A05"/>
    <w:rsid w:val="00A14677"/>
    <w:rsid w:val="00A14D2B"/>
    <w:rsid w:val="00A21CE7"/>
    <w:rsid w:val="00A22FAA"/>
    <w:rsid w:val="00A232DE"/>
    <w:rsid w:val="00A2334F"/>
    <w:rsid w:val="00A23F3F"/>
    <w:rsid w:val="00A24169"/>
    <w:rsid w:val="00A25A45"/>
    <w:rsid w:val="00A25B40"/>
    <w:rsid w:val="00A263C8"/>
    <w:rsid w:val="00A268C3"/>
    <w:rsid w:val="00A302E4"/>
    <w:rsid w:val="00A30D79"/>
    <w:rsid w:val="00A31DE8"/>
    <w:rsid w:val="00A31E35"/>
    <w:rsid w:val="00A33B66"/>
    <w:rsid w:val="00A33EC4"/>
    <w:rsid w:val="00A35494"/>
    <w:rsid w:val="00A4084A"/>
    <w:rsid w:val="00A424B6"/>
    <w:rsid w:val="00A42BFD"/>
    <w:rsid w:val="00A44593"/>
    <w:rsid w:val="00A44728"/>
    <w:rsid w:val="00A450D2"/>
    <w:rsid w:val="00A46752"/>
    <w:rsid w:val="00A471E7"/>
    <w:rsid w:val="00A47D0A"/>
    <w:rsid w:val="00A51A28"/>
    <w:rsid w:val="00A52ACC"/>
    <w:rsid w:val="00A545D3"/>
    <w:rsid w:val="00A56E6A"/>
    <w:rsid w:val="00A573D6"/>
    <w:rsid w:val="00A604BD"/>
    <w:rsid w:val="00A60AF5"/>
    <w:rsid w:val="00A644F5"/>
    <w:rsid w:val="00A64B07"/>
    <w:rsid w:val="00A65645"/>
    <w:rsid w:val="00A65794"/>
    <w:rsid w:val="00A6699B"/>
    <w:rsid w:val="00A66F06"/>
    <w:rsid w:val="00A670F3"/>
    <w:rsid w:val="00A67B90"/>
    <w:rsid w:val="00A702A9"/>
    <w:rsid w:val="00A71921"/>
    <w:rsid w:val="00A743E6"/>
    <w:rsid w:val="00A75607"/>
    <w:rsid w:val="00A77380"/>
    <w:rsid w:val="00A77600"/>
    <w:rsid w:val="00A84383"/>
    <w:rsid w:val="00A84BFE"/>
    <w:rsid w:val="00A850DB"/>
    <w:rsid w:val="00A853DD"/>
    <w:rsid w:val="00A9017D"/>
    <w:rsid w:val="00A90E12"/>
    <w:rsid w:val="00A91600"/>
    <w:rsid w:val="00A92712"/>
    <w:rsid w:val="00A97B98"/>
    <w:rsid w:val="00A97C5D"/>
    <w:rsid w:val="00AA1FA4"/>
    <w:rsid w:val="00AA37CC"/>
    <w:rsid w:val="00AA3F56"/>
    <w:rsid w:val="00AA5813"/>
    <w:rsid w:val="00AA7221"/>
    <w:rsid w:val="00AA7C16"/>
    <w:rsid w:val="00AA7C22"/>
    <w:rsid w:val="00AB53D1"/>
    <w:rsid w:val="00AB5A98"/>
    <w:rsid w:val="00AB68D6"/>
    <w:rsid w:val="00AB7218"/>
    <w:rsid w:val="00AC04C9"/>
    <w:rsid w:val="00AC0D4A"/>
    <w:rsid w:val="00AC356B"/>
    <w:rsid w:val="00AC38E6"/>
    <w:rsid w:val="00AC55ED"/>
    <w:rsid w:val="00AC58DD"/>
    <w:rsid w:val="00AC6ADF"/>
    <w:rsid w:val="00AD0F37"/>
    <w:rsid w:val="00AD2FF1"/>
    <w:rsid w:val="00AD3F9E"/>
    <w:rsid w:val="00AD4CAA"/>
    <w:rsid w:val="00AD64A4"/>
    <w:rsid w:val="00AD79F9"/>
    <w:rsid w:val="00AE0ACB"/>
    <w:rsid w:val="00AE1039"/>
    <w:rsid w:val="00AE12AF"/>
    <w:rsid w:val="00AE16E3"/>
    <w:rsid w:val="00AE1AF8"/>
    <w:rsid w:val="00AE487A"/>
    <w:rsid w:val="00AE4E37"/>
    <w:rsid w:val="00AE71C4"/>
    <w:rsid w:val="00AE7A59"/>
    <w:rsid w:val="00AF09D9"/>
    <w:rsid w:val="00AF1343"/>
    <w:rsid w:val="00AF194B"/>
    <w:rsid w:val="00AF2287"/>
    <w:rsid w:val="00AF240A"/>
    <w:rsid w:val="00AF4E7E"/>
    <w:rsid w:val="00AF641A"/>
    <w:rsid w:val="00AF671E"/>
    <w:rsid w:val="00B002CE"/>
    <w:rsid w:val="00B02031"/>
    <w:rsid w:val="00B028DC"/>
    <w:rsid w:val="00B05D6E"/>
    <w:rsid w:val="00B06DB3"/>
    <w:rsid w:val="00B1241B"/>
    <w:rsid w:val="00B1277C"/>
    <w:rsid w:val="00B12DF9"/>
    <w:rsid w:val="00B13D73"/>
    <w:rsid w:val="00B15090"/>
    <w:rsid w:val="00B1792D"/>
    <w:rsid w:val="00B2119D"/>
    <w:rsid w:val="00B262D9"/>
    <w:rsid w:val="00B270AF"/>
    <w:rsid w:val="00B273FB"/>
    <w:rsid w:val="00B3072E"/>
    <w:rsid w:val="00B31041"/>
    <w:rsid w:val="00B33858"/>
    <w:rsid w:val="00B35FD9"/>
    <w:rsid w:val="00B36748"/>
    <w:rsid w:val="00B37D3B"/>
    <w:rsid w:val="00B42F7B"/>
    <w:rsid w:val="00B4496B"/>
    <w:rsid w:val="00B45E16"/>
    <w:rsid w:val="00B46EAD"/>
    <w:rsid w:val="00B477F2"/>
    <w:rsid w:val="00B47AE6"/>
    <w:rsid w:val="00B47E0A"/>
    <w:rsid w:val="00B507C1"/>
    <w:rsid w:val="00B5091C"/>
    <w:rsid w:val="00B50B67"/>
    <w:rsid w:val="00B50C80"/>
    <w:rsid w:val="00B50E29"/>
    <w:rsid w:val="00B51620"/>
    <w:rsid w:val="00B51C4B"/>
    <w:rsid w:val="00B52D7E"/>
    <w:rsid w:val="00B54567"/>
    <w:rsid w:val="00B55EBC"/>
    <w:rsid w:val="00B61155"/>
    <w:rsid w:val="00B66053"/>
    <w:rsid w:val="00B66995"/>
    <w:rsid w:val="00B678BE"/>
    <w:rsid w:val="00B702D1"/>
    <w:rsid w:val="00B70E3F"/>
    <w:rsid w:val="00B72FC5"/>
    <w:rsid w:val="00B7370B"/>
    <w:rsid w:val="00B7399D"/>
    <w:rsid w:val="00B73DF5"/>
    <w:rsid w:val="00B74411"/>
    <w:rsid w:val="00B755AF"/>
    <w:rsid w:val="00B77D8A"/>
    <w:rsid w:val="00B77FC2"/>
    <w:rsid w:val="00B801B9"/>
    <w:rsid w:val="00B813BF"/>
    <w:rsid w:val="00B81EE4"/>
    <w:rsid w:val="00B82542"/>
    <w:rsid w:val="00B85402"/>
    <w:rsid w:val="00B85AAA"/>
    <w:rsid w:val="00B85F47"/>
    <w:rsid w:val="00B87D8B"/>
    <w:rsid w:val="00B905F8"/>
    <w:rsid w:val="00B913DF"/>
    <w:rsid w:val="00B9192D"/>
    <w:rsid w:val="00B9203E"/>
    <w:rsid w:val="00B93977"/>
    <w:rsid w:val="00B945CF"/>
    <w:rsid w:val="00B946E1"/>
    <w:rsid w:val="00B94704"/>
    <w:rsid w:val="00B94A07"/>
    <w:rsid w:val="00B959C7"/>
    <w:rsid w:val="00B95C4F"/>
    <w:rsid w:val="00B95DF6"/>
    <w:rsid w:val="00B96A86"/>
    <w:rsid w:val="00B977AC"/>
    <w:rsid w:val="00BA244F"/>
    <w:rsid w:val="00BA48C5"/>
    <w:rsid w:val="00BA4AAC"/>
    <w:rsid w:val="00BB0A08"/>
    <w:rsid w:val="00BB0B8D"/>
    <w:rsid w:val="00BB4A67"/>
    <w:rsid w:val="00BB7225"/>
    <w:rsid w:val="00BC0119"/>
    <w:rsid w:val="00BC09F1"/>
    <w:rsid w:val="00BC1D7F"/>
    <w:rsid w:val="00BC20C2"/>
    <w:rsid w:val="00BC22EE"/>
    <w:rsid w:val="00BC3505"/>
    <w:rsid w:val="00BC3E59"/>
    <w:rsid w:val="00BC4D9A"/>
    <w:rsid w:val="00BC617C"/>
    <w:rsid w:val="00BC7848"/>
    <w:rsid w:val="00BD14FE"/>
    <w:rsid w:val="00BD32E9"/>
    <w:rsid w:val="00BD5817"/>
    <w:rsid w:val="00BD5BCD"/>
    <w:rsid w:val="00BD5F34"/>
    <w:rsid w:val="00BE029C"/>
    <w:rsid w:val="00BE05E0"/>
    <w:rsid w:val="00BE06ED"/>
    <w:rsid w:val="00BE3507"/>
    <w:rsid w:val="00BE372D"/>
    <w:rsid w:val="00BE4E2F"/>
    <w:rsid w:val="00BE5D3A"/>
    <w:rsid w:val="00BE7F60"/>
    <w:rsid w:val="00BF09C0"/>
    <w:rsid w:val="00BF1341"/>
    <w:rsid w:val="00BF18B2"/>
    <w:rsid w:val="00BF1FFA"/>
    <w:rsid w:val="00BF26C4"/>
    <w:rsid w:val="00BF4436"/>
    <w:rsid w:val="00BF4459"/>
    <w:rsid w:val="00BF50C5"/>
    <w:rsid w:val="00BF558F"/>
    <w:rsid w:val="00BF785B"/>
    <w:rsid w:val="00C0040D"/>
    <w:rsid w:val="00C00627"/>
    <w:rsid w:val="00C00759"/>
    <w:rsid w:val="00C00C46"/>
    <w:rsid w:val="00C023D4"/>
    <w:rsid w:val="00C0272E"/>
    <w:rsid w:val="00C02749"/>
    <w:rsid w:val="00C028ED"/>
    <w:rsid w:val="00C02CE6"/>
    <w:rsid w:val="00C0359E"/>
    <w:rsid w:val="00C047D2"/>
    <w:rsid w:val="00C07BDA"/>
    <w:rsid w:val="00C10C9B"/>
    <w:rsid w:val="00C11853"/>
    <w:rsid w:val="00C11A16"/>
    <w:rsid w:val="00C13986"/>
    <w:rsid w:val="00C165E8"/>
    <w:rsid w:val="00C16F9E"/>
    <w:rsid w:val="00C1712D"/>
    <w:rsid w:val="00C17E84"/>
    <w:rsid w:val="00C227E1"/>
    <w:rsid w:val="00C25277"/>
    <w:rsid w:val="00C26F72"/>
    <w:rsid w:val="00C34085"/>
    <w:rsid w:val="00C34B8D"/>
    <w:rsid w:val="00C34E2F"/>
    <w:rsid w:val="00C35E04"/>
    <w:rsid w:val="00C37504"/>
    <w:rsid w:val="00C37DA1"/>
    <w:rsid w:val="00C4049D"/>
    <w:rsid w:val="00C41854"/>
    <w:rsid w:val="00C42C9A"/>
    <w:rsid w:val="00C44295"/>
    <w:rsid w:val="00C44427"/>
    <w:rsid w:val="00C467AA"/>
    <w:rsid w:val="00C47C1A"/>
    <w:rsid w:val="00C51A84"/>
    <w:rsid w:val="00C529B4"/>
    <w:rsid w:val="00C5404D"/>
    <w:rsid w:val="00C546F1"/>
    <w:rsid w:val="00C54C81"/>
    <w:rsid w:val="00C55C58"/>
    <w:rsid w:val="00C574CF"/>
    <w:rsid w:val="00C601B0"/>
    <w:rsid w:val="00C623B7"/>
    <w:rsid w:val="00C63519"/>
    <w:rsid w:val="00C63B59"/>
    <w:rsid w:val="00C6456D"/>
    <w:rsid w:val="00C702EB"/>
    <w:rsid w:val="00C71920"/>
    <w:rsid w:val="00C72BB9"/>
    <w:rsid w:val="00C73B47"/>
    <w:rsid w:val="00C77FBE"/>
    <w:rsid w:val="00C80915"/>
    <w:rsid w:val="00C8091C"/>
    <w:rsid w:val="00C80C2B"/>
    <w:rsid w:val="00C82A5F"/>
    <w:rsid w:val="00C82F1E"/>
    <w:rsid w:val="00C8305A"/>
    <w:rsid w:val="00C83806"/>
    <w:rsid w:val="00C85B46"/>
    <w:rsid w:val="00C8631C"/>
    <w:rsid w:val="00C86AF1"/>
    <w:rsid w:val="00C92134"/>
    <w:rsid w:val="00C92962"/>
    <w:rsid w:val="00C92CF9"/>
    <w:rsid w:val="00C92FBA"/>
    <w:rsid w:val="00C9320F"/>
    <w:rsid w:val="00C93DB3"/>
    <w:rsid w:val="00C94C51"/>
    <w:rsid w:val="00C95AF2"/>
    <w:rsid w:val="00C9706C"/>
    <w:rsid w:val="00C97070"/>
    <w:rsid w:val="00C97C3A"/>
    <w:rsid w:val="00CA0F2C"/>
    <w:rsid w:val="00CA1834"/>
    <w:rsid w:val="00CA258B"/>
    <w:rsid w:val="00CA2713"/>
    <w:rsid w:val="00CA2A91"/>
    <w:rsid w:val="00CA396A"/>
    <w:rsid w:val="00CA4C68"/>
    <w:rsid w:val="00CA5BD3"/>
    <w:rsid w:val="00CA668B"/>
    <w:rsid w:val="00CA724E"/>
    <w:rsid w:val="00CB0FB3"/>
    <w:rsid w:val="00CB2F60"/>
    <w:rsid w:val="00CB5A89"/>
    <w:rsid w:val="00CB761B"/>
    <w:rsid w:val="00CC09A6"/>
    <w:rsid w:val="00CC187D"/>
    <w:rsid w:val="00CC3093"/>
    <w:rsid w:val="00CC349B"/>
    <w:rsid w:val="00CC60C0"/>
    <w:rsid w:val="00CC7C13"/>
    <w:rsid w:val="00CD02AE"/>
    <w:rsid w:val="00CD0A61"/>
    <w:rsid w:val="00CD2060"/>
    <w:rsid w:val="00CD2470"/>
    <w:rsid w:val="00CD29E3"/>
    <w:rsid w:val="00CD2A5A"/>
    <w:rsid w:val="00CD430F"/>
    <w:rsid w:val="00CD5246"/>
    <w:rsid w:val="00CD75FA"/>
    <w:rsid w:val="00CE04AD"/>
    <w:rsid w:val="00CE402C"/>
    <w:rsid w:val="00CE6D6C"/>
    <w:rsid w:val="00CE76BF"/>
    <w:rsid w:val="00CF1B5C"/>
    <w:rsid w:val="00CF357D"/>
    <w:rsid w:val="00CF49AA"/>
    <w:rsid w:val="00CF708A"/>
    <w:rsid w:val="00D00286"/>
    <w:rsid w:val="00D00EC1"/>
    <w:rsid w:val="00D0227F"/>
    <w:rsid w:val="00D022EF"/>
    <w:rsid w:val="00D0341D"/>
    <w:rsid w:val="00D03E8D"/>
    <w:rsid w:val="00D078A6"/>
    <w:rsid w:val="00D078C2"/>
    <w:rsid w:val="00D1027A"/>
    <w:rsid w:val="00D10646"/>
    <w:rsid w:val="00D1082D"/>
    <w:rsid w:val="00D11763"/>
    <w:rsid w:val="00D124F4"/>
    <w:rsid w:val="00D1491B"/>
    <w:rsid w:val="00D15000"/>
    <w:rsid w:val="00D1670A"/>
    <w:rsid w:val="00D20091"/>
    <w:rsid w:val="00D20E22"/>
    <w:rsid w:val="00D21269"/>
    <w:rsid w:val="00D21469"/>
    <w:rsid w:val="00D22467"/>
    <w:rsid w:val="00D22D29"/>
    <w:rsid w:val="00D25638"/>
    <w:rsid w:val="00D263DF"/>
    <w:rsid w:val="00D27C13"/>
    <w:rsid w:val="00D3192C"/>
    <w:rsid w:val="00D325C3"/>
    <w:rsid w:val="00D32C33"/>
    <w:rsid w:val="00D32E36"/>
    <w:rsid w:val="00D33E02"/>
    <w:rsid w:val="00D34982"/>
    <w:rsid w:val="00D34B1F"/>
    <w:rsid w:val="00D34C54"/>
    <w:rsid w:val="00D34D99"/>
    <w:rsid w:val="00D35B0E"/>
    <w:rsid w:val="00D369C4"/>
    <w:rsid w:val="00D3772E"/>
    <w:rsid w:val="00D40A54"/>
    <w:rsid w:val="00D438FD"/>
    <w:rsid w:val="00D43C61"/>
    <w:rsid w:val="00D4567C"/>
    <w:rsid w:val="00D46C99"/>
    <w:rsid w:val="00D46FB3"/>
    <w:rsid w:val="00D475FF"/>
    <w:rsid w:val="00D47EE1"/>
    <w:rsid w:val="00D5043A"/>
    <w:rsid w:val="00D509D9"/>
    <w:rsid w:val="00D53011"/>
    <w:rsid w:val="00D536D2"/>
    <w:rsid w:val="00D5415E"/>
    <w:rsid w:val="00D55511"/>
    <w:rsid w:val="00D60064"/>
    <w:rsid w:val="00D60213"/>
    <w:rsid w:val="00D60C4A"/>
    <w:rsid w:val="00D6211F"/>
    <w:rsid w:val="00D62642"/>
    <w:rsid w:val="00D627C5"/>
    <w:rsid w:val="00D62954"/>
    <w:rsid w:val="00D63520"/>
    <w:rsid w:val="00D6403A"/>
    <w:rsid w:val="00D66FD6"/>
    <w:rsid w:val="00D719ED"/>
    <w:rsid w:val="00D71F2A"/>
    <w:rsid w:val="00D72475"/>
    <w:rsid w:val="00D7417A"/>
    <w:rsid w:val="00D74F8E"/>
    <w:rsid w:val="00D7586A"/>
    <w:rsid w:val="00D769DA"/>
    <w:rsid w:val="00D77D14"/>
    <w:rsid w:val="00D80910"/>
    <w:rsid w:val="00D8304C"/>
    <w:rsid w:val="00D8312C"/>
    <w:rsid w:val="00D83301"/>
    <w:rsid w:val="00D84C0A"/>
    <w:rsid w:val="00D84C88"/>
    <w:rsid w:val="00D8585C"/>
    <w:rsid w:val="00D8641E"/>
    <w:rsid w:val="00D868D5"/>
    <w:rsid w:val="00D878D3"/>
    <w:rsid w:val="00D90EC0"/>
    <w:rsid w:val="00D92AAA"/>
    <w:rsid w:val="00D949A7"/>
    <w:rsid w:val="00D94B52"/>
    <w:rsid w:val="00DA0249"/>
    <w:rsid w:val="00DA1FDC"/>
    <w:rsid w:val="00DA2991"/>
    <w:rsid w:val="00DA2BE7"/>
    <w:rsid w:val="00DA4910"/>
    <w:rsid w:val="00DA5D42"/>
    <w:rsid w:val="00DA5EB6"/>
    <w:rsid w:val="00DA660E"/>
    <w:rsid w:val="00DA6BD4"/>
    <w:rsid w:val="00DA6BF0"/>
    <w:rsid w:val="00DB0DCA"/>
    <w:rsid w:val="00DB1C3A"/>
    <w:rsid w:val="00DB3473"/>
    <w:rsid w:val="00DB392B"/>
    <w:rsid w:val="00DB5987"/>
    <w:rsid w:val="00DB5F06"/>
    <w:rsid w:val="00DB634C"/>
    <w:rsid w:val="00DB6E4B"/>
    <w:rsid w:val="00DC0555"/>
    <w:rsid w:val="00DC0E7B"/>
    <w:rsid w:val="00DC2870"/>
    <w:rsid w:val="00DC2F2D"/>
    <w:rsid w:val="00DC3002"/>
    <w:rsid w:val="00DC46DB"/>
    <w:rsid w:val="00DC7640"/>
    <w:rsid w:val="00DD0E9A"/>
    <w:rsid w:val="00DD10DD"/>
    <w:rsid w:val="00DD11BB"/>
    <w:rsid w:val="00DD2B12"/>
    <w:rsid w:val="00DD2EA4"/>
    <w:rsid w:val="00DD308C"/>
    <w:rsid w:val="00DD319C"/>
    <w:rsid w:val="00DD37E8"/>
    <w:rsid w:val="00DD448D"/>
    <w:rsid w:val="00DD4B2F"/>
    <w:rsid w:val="00DD52AA"/>
    <w:rsid w:val="00DD6406"/>
    <w:rsid w:val="00DD7464"/>
    <w:rsid w:val="00DD7D75"/>
    <w:rsid w:val="00DE1B50"/>
    <w:rsid w:val="00DE20E1"/>
    <w:rsid w:val="00DE3107"/>
    <w:rsid w:val="00DE4B34"/>
    <w:rsid w:val="00DE7D7D"/>
    <w:rsid w:val="00DF08CB"/>
    <w:rsid w:val="00DF110C"/>
    <w:rsid w:val="00DF19E7"/>
    <w:rsid w:val="00DF2632"/>
    <w:rsid w:val="00DF2A43"/>
    <w:rsid w:val="00DF34B6"/>
    <w:rsid w:val="00DF4B1C"/>
    <w:rsid w:val="00E006A8"/>
    <w:rsid w:val="00E01F9D"/>
    <w:rsid w:val="00E02D62"/>
    <w:rsid w:val="00E03729"/>
    <w:rsid w:val="00E03C81"/>
    <w:rsid w:val="00E059F4"/>
    <w:rsid w:val="00E05B56"/>
    <w:rsid w:val="00E064DE"/>
    <w:rsid w:val="00E12EDD"/>
    <w:rsid w:val="00E14C52"/>
    <w:rsid w:val="00E15C88"/>
    <w:rsid w:val="00E21528"/>
    <w:rsid w:val="00E21534"/>
    <w:rsid w:val="00E21F29"/>
    <w:rsid w:val="00E22106"/>
    <w:rsid w:val="00E235CD"/>
    <w:rsid w:val="00E24500"/>
    <w:rsid w:val="00E25650"/>
    <w:rsid w:val="00E26885"/>
    <w:rsid w:val="00E2719B"/>
    <w:rsid w:val="00E276AA"/>
    <w:rsid w:val="00E3358D"/>
    <w:rsid w:val="00E343E1"/>
    <w:rsid w:val="00E34DCB"/>
    <w:rsid w:val="00E366C0"/>
    <w:rsid w:val="00E37545"/>
    <w:rsid w:val="00E37993"/>
    <w:rsid w:val="00E37F7A"/>
    <w:rsid w:val="00E37FF1"/>
    <w:rsid w:val="00E409FB"/>
    <w:rsid w:val="00E41C8B"/>
    <w:rsid w:val="00E43615"/>
    <w:rsid w:val="00E5062E"/>
    <w:rsid w:val="00E509B6"/>
    <w:rsid w:val="00E513FF"/>
    <w:rsid w:val="00E52616"/>
    <w:rsid w:val="00E526BB"/>
    <w:rsid w:val="00E53DD3"/>
    <w:rsid w:val="00E54BA8"/>
    <w:rsid w:val="00E54C54"/>
    <w:rsid w:val="00E61DBA"/>
    <w:rsid w:val="00E62730"/>
    <w:rsid w:val="00E6504F"/>
    <w:rsid w:val="00E657D2"/>
    <w:rsid w:val="00E6641A"/>
    <w:rsid w:val="00E67CA7"/>
    <w:rsid w:val="00E70EB1"/>
    <w:rsid w:val="00E71285"/>
    <w:rsid w:val="00E72941"/>
    <w:rsid w:val="00E744B8"/>
    <w:rsid w:val="00E75E09"/>
    <w:rsid w:val="00E7600D"/>
    <w:rsid w:val="00E803D7"/>
    <w:rsid w:val="00E81171"/>
    <w:rsid w:val="00E81386"/>
    <w:rsid w:val="00E81BAE"/>
    <w:rsid w:val="00E82735"/>
    <w:rsid w:val="00E83FE7"/>
    <w:rsid w:val="00E8414F"/>
    <w:rsid w:val="00E844F5"/>
    <w:rsid w:val="00E8613E"/>
    <w:rsid w:val="00E868B7"/>
    <w:rsid w:val="00E87B63"/>
    <w:rsid w:val="00E91316"/>
    <w:rsid w:val="00E95AC3"/>
    <w:rsid w:val="00E95FF8"/>
    <w:rsid w:val="00EA0B8B"/>
    <w:rsid w:val="00EA116F"/>
    <w:rsid w:val="00EA32A1"/>
    <w:rsid w:val="00EA6338"/>
    <w:rsid w:val="00EA7BF9"/>
    <w:rsid w:val="00EB2283"/>
    <w:rsid w:val="00EB329F"/>
    <w:rsid w:val="00EB48B1"/>
    <w:rsid w:val="00EB561B"/>
    <w:rsid w:val="00EB7BF6"/>
    <w:rsid w:val="00EC0CFC"/>
    <w:rsid w:val="00EC0EB0"/>
    <w:rsid w:val="00EC26EF"/>
    <w:rsid w:val="00EC2D9C"/>
    <w:rsid w:val="00EC402D"/>
    <w:rsid w:val="00EC4E7D"/>
    <w:rsid w:val="00EC6F49"/>
    <w:rsid w:val="00EC78AA"/>
    <w:rsid w:val="00EC7DF1"/>
    <w:rsid w:val="00ED1F0D"/>
    <w:rsid w:val="00ED21B1"/>
    <w:rsid w:val="00ED5EA5"/>
    <w:rsid w:val="00ED7151"/>
    <w:rsid w:val="00ED7E3B"/>
    <w:rsid w:val="00ED7E9D"/>
    <w:rsid w:val="00EE1011"/>
    <w:rsid w:val="00EE2EDA"/>
    <w:rsid w:val="00EE4937"/>
    <w:rsid w:val="00EE4CBE"/>
    <w:rsid w:val="00EE5DE7"/>
    <w:rsid w:val="00EE6A5A"/>
    <w:rsid w:val="00EF0889"/>
    <w:rsid w:val="00EF0EA4"/>
    <w:rsid w:val="00EF355C"/>
    <w:rsid w:val="00EF3B1F"/>
    <w:rsid w:val="00EF54A6"/>
    <w:rsid w:val="00EF5A68"/>
    <w:rsid w:val="00EF68C2"/>
    <w:rsid w:val="00F00393"/>
    <w:rsid w:val="00F032A5"/>
    <w:rsid w:val="00F0357D"/>
    <w:rsid w:val="00F068F1"/>
    <w:rsid w:val="00F10B01"/>
    <w:rsid w:val="00F11336"/>
    <w:rsid w:val="00F118E9"/>
    <w:rsid w:val="00F12271"/>
    <w:rsid w:val="00F13442"/>
    <w:rsid w:val="00F136AC"/>
    <w:rsid w:val="00F138F3"/>
    <w:rsid w:val="00F13D2F"/>
    <w:rsid w:val="00F141D1"/>
    <w:rsid w:val="00F1587C"/>
    <w:rsid w:val="00F1785C"/>
    <w:rsid w:val="00F17AA9"/>
    <w:rsid w:val="00F17EA4"/>
    <w:rsid w:val="00F208ED"/>
    <w:rsid w:val="00F21641"/>
    <w:rsid w:val="00F2440A"/>
    <w:rsid w:val="00F2440B"/>
    <w:rsid w:val="00F2506F"/>
    <w:rsid w:val="00F260D5"/>
    <w:rsid w:val="00F26B4B"/>
    <w:rsid w:val="00F27B71"/>
    <w:rsid w:val="00F27EB2"/>
    <w:rsid w:val="00F350CB"/>
    <w:rsid w:val="00F36247"/>
    <w:rsid w:val="00F36DB6"/>
    <w:rsid w:val="00F41EC3"/>
    <w:rsid w:val="00F4221D"/>
    <w:rsid w:val="00F42653"/>
    <w:rsid w:val="00F4273C"/>
    <w:rsid w:val="00F438B1"/>
    <w:rsid w:val="00F442C5"/>
    <w:rsid w:val="00F458B9"/>
    <w:rsid w:val="00F46BB6"/>
    <w:rsid w:val="00F46CFD"/>
    <w:rsid w:val="00F50284"/>
    <w:rsid w:val="00F50BE3"/>
    <w:rsid w:val="00F51CB8"/>
    <w:rsid w:val="00F52705"/>
    <w:rsid w:val="00F54F68"/>
    <w:rsid w:val="00F5505D"/>
    <w:rsid w:val="00F550F4"/>
    <w:rsid w:val="00F55481"/>
    <w:rsid w:val="00F554E3"/>
    <w:rsid w:val="00F55E4E"/>
    <w:rsid w:val="00F6093C"/>
    <w:rsid w:val="00F6132C"/>
    <w:rsid w:val="00F62A1F"/>
    <w:rsid w:val="00F63684"/>
    <w:rsid w:val="00F64968"/>
    <w:rsid w:val="00F64A79"/>
    <w:rsid w:val="00F66560"/>
    <w:rsid w:val="00F70462"/>
    <w:rsid w:val="00F717AE"/>
    <w:rsid w:val="00F71B5B"/>
    <w:rsid w:val="00F73054"/>
    <w:rsid w:val="00F738FD"/>
    <w:rsid w:val="00F74D0D"/>
    <w:rsid w:val="00F7554D"/>
    <w:rsid w:val="00F759BA"/>
    <w:rsid w:val="00F7684B"/>
    <w:rsid w:val="00F76B7B"/>
    <w:rsid w:val="00F7791E"/>
    <w:rsid w:val="00F81520"/>
    <w:rsid w:val="00F83E5E"/>
    <w:rsid w:val="00F843EC"/>
    <w:rsid w:val="00F84AEF"/>
    <w:rsid w:val="00F85EB6"/>
    <w:rsid w:val="00F861A1"/>
    <w:rsid w:val="00F862EF"/>
    <w:rsid w:val="00F9198E"/>
    <w:rsid w:val="00F921F6"/>
    <w:rsid w:val="00F93427"/>
    <w:rsid w:val="00F93FD9"/>
    <w:rsid w:val="00F946CF"/>
    <w:rsid w:val="00F95417"/>
    <w:rsid w:val="00F960DF"/>
    <w:rsid w:val="00F9653B"/>
    <w:rsid w:val="00F96B03"/>
    <w:rsid w:val="00F96BE7"/>
    <w:rsid w:val="00F96F64"/>
    <w:rsid w:val="00F97D71"/>
    <w:rsid w:val="00F97ED9"/>
    <w:rsid w:val="00FA02C0"/>
    <w:rsid w:val="00FA0D5D"/>
    <w:rsid w:val="00FA0EDB"/>
    <w:rsid w:val="00FA1DA4"/>
    <w:rsid w:val="00FA265E"/>
    <w:rsid w:val="00FA268A"/>
    <w:rsid w:val="00FA4195"/>
    <w:rsid w:val="00FA5B71"/>
    <w:rsid w:val="00FA5F70"/>
    <w:rsid w:val="00FA7E1F"/>
    <w:rsid w:val="00FB01A1"/>
    <w:rsid w:val="00FB0399"/>
    <w:rsid w:val="00FB0424"/>
    <w:rsid w:val="00FB10A0"/>
    <w:rsid w:val="00FC0746"/>
    <w:rsid w:val="00FC11EB"/>
    <w:rsid w:val="00FC2DF0"/>
    <w:rsid w:val="00FC6F77"/>
    <w:rsid w:val="00FC7309"/>
    <w:rsid w:val="00FC7829"/>
    <w:rsid w:val="00FC7B4E"/>
    <w:rsid w:val="00FC7EFC"/>
    <w:rsid w:val="00FD0CB0"/>
    <w:rsid w:val="00FD3D5C"/>
    <w:rsid w:val="00FD6FCA"/>
    <w:rsid w:val="00FD7765"/>
    <w:rsid w:val="00FE0E74"/>
    <w:rsid w:val="00FE15A5"/>
    <w:rsid w:val="00FE18B6"/>
    <w:rsid w:val="00FE1C01"/>
    <w:rsid w:val="00FE3DC6"/>
    <w:rsid w:val="00FE44FC"/>
    <w:rsid w:val="00FE5572"/>
    <w:rsid w:val="00FE6530"/>
    <w:rsid w:val="00FE6701"/>
    <w:rsid w:val="00FE6A9A"/>
    <w:rsid w:val="00FE74BA"/>
    <w:rsid w:val="00FF016B"/>
    <w:rsid w:val="00FF0A6F"/>
    <w:rsid w:val="00FF3784"/>
    <w:rsid w:val="00FF3E2A"/>
    <w:rsid w:val="00FF6608"/>
    <w:rsid w:val="00FF6F84"/>
    <w:rsid w:val="3A55F168"/>
    <w:rsid w:val="58BFF6DE"/>
    <w:rsid w:val="60D11DD3"/>
    <w:rsid w:val="66718C98"/>
  </w:rsids>
  <w:docVars>
    <w:docVar w:name="__Grammarly_42___1" w:val="H4sIAAAAAAAEAKtWcslP9kxRslIyNDayMDOxMDIxNTIzNLQ0NDBQ0lEKTi0uzszPAykwrwUAV1ZCA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7AA6BE"/>
  <w15:docId w15:val="{1ED5FF92-8655-4E8C-BDEB-69ACDA6F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rsid w:val="00734679"/>
    <w:pPr>
      <w:ind w:left="180"/>
      <w:contextualSpacing/>
      <w:outlineLvl w:val="0"/>
    </w:pPr>
    <w:rPr>
      <w:b/>
      <w:sz w:val="24"/>
      <w:szCs w:val="24"/>
    </w:rPr>
  </w:style>
  <w:style w:type="paragraph" w:styleId="Heading2">
    <w:name w:val="heading 2"/>
    <w:basedOn w:val="Heading1"/>
    <w:next w:val="Normal"/>
    <w:link w:val="Heading2Char"/>
    <w:uiPriority w:val="9"/>
    <w:unhideWhenUsed/>
    <w:qFormat/>
    <w:rsid w:val="00EF54A6"/>
    <w:pPr>
      <w:numPr>
        <w:numId w:val="1"/>
      </w:numPr>
      <w:tabs>
        <w:tab w:val="left" w:pos="720"/>
      </w:tabs>
      <w:ind w:left="450" w:hanging="18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947" w:hanging="369"/>
    </w:pPr>
  </w:style>
  <w:style w:type="paragraph" w:customStyle="1" w:styleId="TableParagraph">
    <w:name w:val="Table Paragraph"/>
    <w:basedOn w:val="Normal"/>
    <w:uiPriority w:val="1"/>
    <w:qFormat/>
    <w:pPr>
      <w:spacing w:before="32"/>
      <w:ind w:left="230"/>
    </w:pPr>
  </w:style>
  <w:style w:type="character" w:customStyle="1" w:styleId="Heading2Char">
    <w:name w:val="Heading 2 Char"/>
    <w:basedOn w:val="DefaultParagraphFont"/>
    <w:link w:val="Heading2"/>
    <w:uiPriority w:val="9"/>
    <w:rsid w:val="00103E37"/>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103E37"/>
    <w:pPr>
      <w:tabs>
        <w:tab w:val="center" w:pos="4680"/>
        <w:tab w:val="right" w:pos="9360"/>
      </w:tabs>
    </w:pPr>
  </w:style>
  <w:style w:type="character" w:customStyle="1" w:styleId="HeaderChar">
    <w:name w:val="Header Char"/>
    <w:basedOn w:val="DefaultParagraphFont"/>
    <w:link w:val="Header"/>
    <w:uiPriority w:val="99"/>
    <w:rsid w:val="00103E37"/>
    <w:rPr>
      <w:rFonts w:ascii="Times New Roman" w:eastAsia="Times New Roman" w:hAnsi="Times New Roman" w:cs="Times New Roman"/>
    </w:rPr>
  </w:style>
  <w:style w:type="paragraph" w:styleId="Footer">
    <w:name w:val="footer"/>
    <w:basedOn w:val="Normal"/>
    <w:link w:val="FooterChar"/>
    <w:uiPriority w:val="99"/>
    <w:unhideWhenUsed/>
    <w:rsid w:val="00103E37"/>
    <w:pPr>
      <w:tabs>
        <w:tab w:val="center" w:pos="4680"/>
        <w:tab w:val="right" w:pos="9360"/>
      </w:tabs>
    </w:pPr>
  </w:style>
  <w:style w:type="character" w:customStyle="1" w:styleId="FooterChar">
    <w:name w:val="Footer Char"/>
    <w:basedOn w:val="DefaultParagraphFont"/>
    <w:link w:val="Footer"/>
    <w:uiPriority w:val="99"/>
    <w:rsid w:val="00103E3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03E37"/>
    <w:rPr>
      <w:sz w:val="16"/>
      <w:szCs w:val="16"/>
    </w:rPr>
  </w:style>
  <w:style w:type="paragraph" w:styleId="CommentText">
    <w:name w:val="annotation text"/>
    <w:basedOn w:val="Normal"/>
    <w:link w:val="CommentTextChar"/>
    <w:uiPriority w:val="99"/>
    <w:unhideWhenUsed/>
    <w:rsid w:val="00103E37"/>
    <w:rPr>
      <w:sz w:val="20"/>
      <w:szCs w:val="20"/>
    </w:rPr>
  </w:style>
  <w:style w:type="character" w:customStyle="1" w:styleId="CommentTextChar">
    <w:name w:val="Comment Text Char"/>
    <w:basedOn w:val="DefaultParagraphFont"/>
    <w:link w:val="CommentText"/>
    <w:uiPriority w:val="99"/>
    <w:rsid w:val="00103E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3E37"/>
    <w:rPr>
      <w:b/>
      <w:bCs/>
    </w:rPr>
  </w:style>
  <w:style w:type="character" w:customStyle="1" w:styleId="CommentSubjectChar">
    <w:name w:val="Comment Subject Char"/>
    <w:basedOn w:val="CommentTextChar"/>
    <w:link w:val="CommentSubject"/>
    <w:uiPriority w:val="99"/>
    <w:semiHidden/>
    <w:rsid w:val="00103E3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3E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E37"/>
    <w:rPr>
      <w:rFonts w:ascii="Segoe UI" w:eastAsia="Times New Roman" w:hAnsi="Segoe UI" w:cs="Segoe UI"/>
      <w:sz w:val="18"/>
      <w:szCs w:val="18"/>
    </w:rPr>
  </w:style>
  <w:style w:type="paragraph" w:customStyle="1" w:styleId="Default">
    <w:name w:val="Default"/>
    <w:rsid w:val="00103E37"/>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103E37"/>
    <w:pPr>
      <w:widowControl/>
      <w:autoSpaceDE/>
      <w:autoSpaceDN/>
    </w:pPr>
    <w:rPr>
      <w:rFonts w:ascii="Times New Roman" w:eastAsia="Times New Roman" w:hAnsi="Times New Roman" w:cs="Times New Roman"/>
    </w:rPr>
  </w:style>
  <w:style w:type="character" w:styleId="Strong">
    <w:name w:val="Strong"/>
    <w:basedOn w:val="DefaultParagraphFont"/>
    <w:uiPriority w:val="22"/>
    <w:qFormat/>
    <w:rsid w:val="00103E37"/>
    <w:rPr>
      <w:b/>
      <w:bCs/>
    </w:rPr>
  </w:style>
  <w:style w:type="paragraph" w:styleId="FootnoteText">
    <w:name w:val="footnote text"/>
    <w:basedOn w:val="Normal"/>
    <w:link w:val="FootnoteTextChar"/>
    <w:uiPriority w:val="99"/>
    <w:semiHidden/>
    <w:unhideWhenUsed/>
    <w:rsid w:val="00103E37"/>
    <w:rPr>
      <w:sz w:val="20"/>
      <w:szCs w:val="20"/>
    </w:rPr>
  </w:style>
  <w:style w:type="character" w:customStyle="1" w:styleId="FootnoteTextChar">
    <w:name w:val="Footnote Text Char"/>
    <w:basedOn w:val="DefaultParagraphFont"/>
    <w:link w:val="FootnoteText"/>
    <w:uiPriority w:val="99"/>
    <w:semiHidden/>
    <w:rsid w:val="00103E3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03E37"/>
    <w:rPr>
      <w:vertAlign w:val="superscript"/>
    </w:rPr>
  </w:style>
  <w:style w:type="character" w:styleId="Hyperlink">
    <w:name w:val="Hyperlink"/>
    <w:basedOn w:val="DefaultParagraphFont"/>
    <w:uiPriority w:val="99"/>
    <w:unhideWhenUsed/>
    <w:rsid w:val="00103E37"/>
    <w:rPr>
      <w:color w:val="0000FF" w:themeColor="hyperlink"/>
      <w:u w:val="single"/>
    </w:rPr>
  </w:style>
  <w:style w:type="table" w:styleId="TableGrid">
    <w:name w:val="Table Grid"/>
    <w:basedOn w:val="TableNormal"/>
    <w:uiPriority w:val="39"/>
    <w:rsid w:val="00103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03E37"/>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03E37"/>
    <w:rPr>
      <w:color w:val="800080" w:themeColor="followedHyperlink"/>
      <w:u w:val="single"/>
    </w:rPr>
  </w:style>
  <w:style w:type="character" w:styleId="UnresolvedMention">
    <w:name w:val="Unresolved Mention"/>
    <w:basedOn w:val="DefaultParagraphFont"/>
    <w:uiPriority w:val="99"/>
    <w:semiHidden/>
    <w:unhideWhenUsed/>
    <w:rsid w:val="0076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rsa.gov/sites/default/files/hrsa/provider-relief/provider-relief-fund-nf-infection-control-payment-terms-conditions.pdf" TargetMode="External" /><Relationship Id="rId11" Type="http://schemas.openxmlformats.org/officeDocument/2006/relationships/hyperlink" Target="https://www.hhs.gov/sites/default/files/provider-relief-fund-nf-infection-control-payment-terms-and-conditions.pdf" TargetMode="External" /><Relationship Id="rId12" Type="http://schemas.openxmlformats.org/officeDocument/2006/relationships/hyperlink" Target="https://www.hrsa.gov/provider-relief/compliance/terms-conditions" TargetMode="External" /><Relationship Id="rId13" Type="http://schemas.openxmlformats.org/officeDocument/2006/relationships/hyperlink" Target="https://www.hrsa.gov/provider-relief/payments-and-data/payment-reconsideration" TargetMode="External" /><Relationship Id="rId14" Type="http://schemas.openxmlformats.org/officeDocument/2006/relationships/hyperlink" Target="https://www.hrsa.gov/provider-relief/payments-and-data/general-distribution" TargetMode="External" /><Relationship Id="rId15" Type="http://schemas.openxmlformats.org/officeDocument/2006/relationships/hyperlink" Target="https://facides.census.gov/" TargetMode="External" /><Relationship Id="rId16" Type="http://schemas.openxmlformats.org/officeDocument/2006/relationships/hyperlink" Target="https://commercialaudit.hrsa.gov/s/login/" TargetMode="External" /><Relationship Id="rId17" Type="http://schemas.openxmlformats.org/officeDocument/2006/relationships/hyperlink" Target="mailto:PRFaudits@hrsa.gov"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hs.gov/about/news/2023/02/09/fact-sheet-covid-19-public-health-emergency-transition-roadmap.html" TargetMode="External" /><Relationship Id="rId2" Type="http://schemas.openxmlformats.org/officeDocument/2006/relationships/hyperlink" Target="https://www.rhccovidreporting.com" TargetMode="External" /><Relationship Id="rId3" Type="http://schemas.openxmlformats.org/officeDocument/2006/relationships/hyperlink" Target="https://www.hrsa.gov/provider-relief/about/covid-uninsured-claim" TargetMode="External" /><Relationship Id="rId4" Type="http://schemas.openxmlformats.org/officeDocument/2006/relationships/hyperlink" Target="https://www.hrsa.gov/provider-relief/past-pay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218CA2C772D240ADF26CABEF7D48AE" ma:contentTypeVersion="25" ma:contentTypeDescription="Create a new document." ma:contentTypeScope="" ma:versionID="bacd76f28463bd174f770b45cfb99869">
  <xsd:schema xmlns:xsd="http://www.w3.org/2001/XMLSchema" xmlns:xs="http://www.w3.org/2001/XMLSchema" xmlns:p="http://schemas.microsoft.com/office/2006/metadata/properties" xmlns:ns1="http://schemas.microsoft.com/sharepoint/v3" xmlns:ns2="8ccc93f2-d547-442c-8adf-b676e282c02f" xmlns:ns3="1f75adea-8363-4816-a45a-7257280cc888" targetNamespace="http://schemas.microsoft.com/office/2006/metadata/properties" ma:root="true" ma:fieldsID="bac2b7a98b255b7997df7a68f19799ce" ns1:_="" ns2:_="" ns3:_="">
    <xsd:import namespace="http://schemas.microsoft.com/sharepoint/v3"/>
    <xsd:import namespace="8ccc93f2-d547-442c-8adf-b676e282c02f"/>
    <xsd:import namespace="1f75adea-8363-4816-a45a-7257280cc888"/>
    <xsd:element name="properties">
      <xsd:complexType>
        <xsd:sequence>
          <xsd:element name="documentManagement">
            <xsd:complexType>
              <xsd:all>
                <xsd:element ref="ns2:Work_x0020_Streams" minOccurs="0"/>
                <xsd:element ref="ns2:Work_x0020_Streams0" minOccurs="0"/>
                <xsd:element ref="ns2:PrfPhase" minOccurs="0"/>
                <xsd:element ref="ns2:Topic" minOccurs="0"/>
                <xsd:element ref="ns1:PublishingStartDate" minOccurs="0"/>
                <xsd:element ref="ns1:PublishingExpirationDate" minOccurs="0"/>
                <xsd:element ref="ns3:_dlc_DocId" minOccurs="0"/>
                <xsd:element ref="ns3:_dlc_DocIdUrl" minOccurs="0"/>
                <xsd:element ref="ns3:_dlc_DocIdPersistId" minOccurs="0"/>
                <xsd:element ref="ns3:SharedWithUsers" minOccurs="0"/>
                <xsd:element ref="ns3:SharedWithDetails" minOccurs="0"/>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cc93f2-d547-442c-8adf-b676e282c02f" elementFormDefault="qualified">
    <xsd:import namespace="http://schemas.microsoft.com/office/2006/documentManagement/types"/>
    <xsd:import namespace="http://schemas.microsoft.com/office/infopath/2007/PartnerControls"/>
    <xsd:element name="Work_x0020_Streams" ma:index="2" nillable="true" ma:displayName="Author" ma:list="{412961da-f995-4e0e-91ae-b59654d156ba}" ma:internalName="Work_x0020_Stream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Work_x0020_Streams0" ma:index="3" nillable="true" ma:displayName="Work Streams" ma:list="{1072cd25-1c0c-4bc0-98e5-6e7d937c5632}" ma:internalName="Work_x0020_Streams0" ma:readOnly="false" ma:showField="Title">
      <xsd:complexType>
        <xsd:complexContent>
          <xsd:extension base="dms:MultiChoiceLookup">
            <xsd:sequence>
              <xsd:element name="Value" type="dms:Lookup" maxOccurs="unbounded" minOccurs="0" nillable="true"/>
            </xsd:sequence>
          </xsd:extension>
        </xsd:complexContent>
      </xsd:complexType>
    </xsd:element>
    <xsd:element name="PrfPhase" ma:index="4" nillable="true" ma:displayName="PRF Phases" ma:list="{d9adf0b6-244a-41ba-85e5-3775101d8d1a}" ma:internalName="PrfPha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opic" ma:index="5" nillable="true" ma:displayName="Topics" ma:list="{04f587ae-86d7-4603-87d6-4a096a6c6536}" ma:internalName="Topi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e66dbd0-2a8b-4dbe-b0a9-995a373913ae}" ma:internalName="TaxCatchAll" ma:showField="CatchAllData" ma:web="1f75adea-8363-4816-a45a-7257280cc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f75adea-8363-4816-a45a-7257280cc888">PRPF-579121814-58443</_dlc_DocId>
    <_dlc_DocIdUrl xmlns="1f75adea-8363-4816-a45a-7257280cc888">
      <Url>https://nih.sharepoint.com/sites/HRSA-PRB/_layouts/15/DocIdRedir.aspx?ID=PRPF-579121814-58443</Url>
      <Description>PRPF-579121814-58443</Description>
    </_dlc_DocIdUrl>
    <PrfPhase xmlns="8ccc93f2-d547-442c-8adf-b676e282c02f" xsi:nil="true"/>
    <Work_x0020_Streams xmlns="8ccc93f2-d547-442c-8adf-b676e282c02f" xsi:nil="true"/>
    <Topic xmlns="8ccc93f2-d547-442c-8adf-b676e282c02f" xsi:nil="true"/>
    <Work_x0020_Streams0 xmlns="8ccc93f2-d547-442c-8adf-b676e282c02f" xsi:nil="true"/>
    <lcf76f155ced4ddcb4097134ff3c332f xmlns="8ccc93f2-d547-442c-8adf-b676e282c02f">
      <Terms xmlns="http://schemas.microsoft.com/office/infopath/2007/PartnerControls"/>
    </lcf76f155ced4ddcb4097134ff3c332f>
    <TaxCatchAll xmlns="1f75adea-8363-4816-a45a-7257280cc888" xsi:nil="true"/>
  </documentManagement>
</p:properties>
</file>

<file path=customXml/itemProps1.xml><?xml version="1.0" encoding="utf-8"?>
<ds:datastoreItem xmlns:ds="http://schemas.openxmlformats.org/officeDocument/2006/customXml" ds:itemID="{AB2468E8-2C3A-4060-ADB2-AA11CC9D4687}">
  <ds:schemaRefs>
    <ds:schemaRef ds:uri="http://schemas.microsoft.com/sharepoint/v3/contenttype/forms"/>
  </ds:schemaRefs>
</ds:datastoreItem>
</file>

<file path=customXml/itemProps2.xml><?xml version="1.0" encoding="utf-8"?>
<ds:datastoreItem xmlns:ds="http://schemas.openxmlformats.org/officeDocument/2006/customXml" ds:itemID="{57A74772-5B1A-4DBA-9656-87567BB8D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cc93f2-d547-442c-8adf-b676e282c02f"/>
    <ds:schemaRef ds:uri="1f75adea-8363-4816-a45a-7257280cc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B105E-7B87-44E7-AE3E-A1D1F3BDD7E5}">
  <ds:schemaRefs>
    <ds:schemaRef ds:uri="http://schemas.microsoft.com/sharepoint/events"/>
  </ds:schemaRefs>
</ds:datastoreItem>
</file>

<file path=customXml/itemProps4.xml><?xml version="1.0" encoding="utf-8"?>
<ds:datastoreItem xmlns:ds="http://schemas.openxmlformats.org/officeDocument/2006/customXml" ds:itemID="{B98FF644-46AF-475F-9747-65A0CF8E6ECD}">
  <ds:schemaRefs>
    <ds:schemaRef ds:uri="http://schemas.openxmlformats.org/officeDocument/2006/bibliography"/>
  </ds:schemaRefs>
</ds:datastoreItem>
</file>

<file path=customXml/itemProps5.xml><?xml version="1.0" encoding="utf-8"?>
<ds:datastoreItem xmlns:ds="http://schemas.openxmlformats.org/officeDocument/2006/customXml" ds:itemID="{F4BA9DDF-A222-4F7D-A3A8-5213EFC42E08}">
  <ds:schemaRefs>
    <ds:schemaRef ds:uri="http://schemas.microsoft.com/office/2006/metadata/properties"/>
    <ds:schemaRef ds:uri="http://schemas.microsoft.com/office/infopath/2007/PartnerControls"/>
    <ds:schemaRef ds:uri="http://schemas.microsoft.com/sharepoint/v3"/>
    <ds:schemaRef ds:uri="1f75adea-8363-4816-a45a-7257280cc888"/>
    <ds:schemaRef ds:uri="8ccc93f2-d547-442c-8adf-b676e282c02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7855</Words>
  <Characters>44778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General and Targeted Distribution Post-Payment Notice of Reporting Requirements January 15, 2021</vt:lpstr>
    </vt:vector>
  </TitlesOfParts>
  <Company>HRSA</Company>
  <LinksUpToDate>false</LinksUpToDate>
  <CharactersWithSpaces>52528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and Targeted Distribution Post-Payment Notice of Reporting Requirements January 15, 2021</dc:title>
  <dc:creator>Ross, Julie (HRSA)</dc:creator>
  <cp:lastModifiedBy>McGowan, Renee (HRSA)</cp:lastModifiedBy>
  <cp:revision>3</cp:revision>
  <dcterms:created xsi:type="dcterms:W3CDTF">2023-04-10T16:31:00Z</dcterms:created>
  <dcterms:modified xsi:type="dcterms:W3CDTF">2023-05-02T19:44:00Z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0x01010050218CA2C772D240ADF26CABEF7D48AE</vt:lpwstr>
  </property>
  <property fmtid="{D5CDD505-2E9C-101B-9397-08002B2CF9AE}" pid="3" name="Created">
    <vt:filetime>2021-06-15T00:00:00Z</vt:filetime>
  </property>
  <property fmtid="{D5CDD505-2E9C-101B-9397-08002B2CF9AE}" pid="4" name="Creator">
    <vt:lpwstr>Acrobat PDFMaker 21 for Word</vt:lpwstr>
  </property>
  <property fmtid="{D5CDD505-2E9C-101B-9397-08002B2CF9AE}" pid="5" name="GrammarlyDocumentId">
    <vt:lpwstr>b16216ffc46fac87033d9e5a2e93c80bf2fbf7fa1779f996a07a3ff92e1e790f</vt:lpwstr>
  </property>
  <property fmtid="{D5CDD505-2E9C-101B-9397-08002B2CF9AE}" pid="6" name="LastSaved">
    <vt:filetime>2021-06-29T00:00:00Z</vt:filetime>
  </property>
  <property fmtid="{D5CDD505-2E9C-101B-9397-08002B2CF9AE}" pid="7" name="MediaServiceImageTags">
    <vt:lpwstr/>
  </property>
  <property fmtid="{D5CDD505-2E9C-101B-9397-08002B2CF9AE}" pid="8" name="Order">
    <vt:r8>5344600</vt:r8>
  </property>
  <property fmtid="{D5CDD505-2E9C-101B-9397-08002B2CF9AE}" pid="9" name="_dlc_DocIdItemGuid">
    <vt:lpwstr>6455ed5e-90e3-43cc-a106-56459954dd3a</vt:lpwstr>
  </property>
</Properties>
</file>