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5D2E" w14:paraId="1074EA68" w14:textId="77777777">
      <w:pPr>
        <w:widowControl/>
        <w:pBdr>
          <w:top w:val="nil"/>
          <w:left w:val="nil"/>
          <w:bottom w:val="nil"/>
          <w:right w:val="nil"/>
          <w:between w:val="nil"/>
        </w:pBdr>
        <w:jc w:val="center"/>
        <w:rPr>
          <w:color w:val="000000"/>
          <w:sz w:val="23"/>
          <w:szCs w:val="23"/>
        </w:rPr>
      </w:pPr>
      <w:r>
        <w:rPr>
          <w:b/>
          <w:color w:val="000000"/>
          <w:sz w:val="23"/>
          <w:szCs w:val="23"/>
        </w:rPr>
        <w:t>SUPPORTING STATEMENT FOR REQUEST FOR APPROVAL UNDER</w:t>
      </w:r>
    </w:p>
    <w:p w:rsidR="00385D2E" w14:paraId="70514ACE" w14:textId="77777777">
      <w:pPr>
        <w:spacing w:line="256" w:lineRule="auto"/>
        <w:jc w:val="center"/>
        <w:rPr>
          <w:b/>
          <w:sz w:val="23"/>
          <w:szCs w:val="23"/>
        </w:rPr>
      </w:pPr>
      <w:r>
        <w:rPr>
          <w:b/>
          <w:sz w:val="23"/>
          <w:szCs w:val="23"/>
        </w:rPr>
        <w:t>THE PAPERWORK REDUCTION ACT AND 5 CFR 1320</w:t>
      </w:r>
    </w:p>
    <w:p w:rsidR="00385D2E" w14:paraId="79AFB56C" w14:textId="77777777">
      <w:pPr>
        <w:spacing w:line="256" w:lineRule="auto"/>
        <w:jc w:val="center"/>
        <w:rPr>
          <w:b/>
          <w:sz w:val="23"/>
          <w:szCs w:val="23"/>
        </w:rPr>
      </w:pPr>
    </w:p>
    <w:p w:rsidR="00385D2E" w14:paraId="64CFE259" w14:textId="77777777">
      <w:pPr>
        <w:spacing w:line="256" w:lineRule="auto"/>
        <w:rPr>
          <w:sz w:val="23"/>
          <w:szCs w:val="23"/>
        </w:rPr>
      </w:pPr>
      <w:r>
        <w:rPr>
          <w:b/>
          <w:sz w:val="23"/>
          <w:szCs w:val="23"/>
        </w:rPr>
        <w:t xml:space="preserve">Collection Title: </w:t>
      </w:r>
      <w:r>
        <w:rPr>
          <w:sz w:val="23"/>
          <w:szCs w:val="23"/>
        </w:rPr>
        <w:t>Participant Feedback for the Board for International Food and Agricultural Development (BIFAD)</w:t>
      </w:r>
    </w:p>
    <w:p w:rsidR="00385D2E" w14:paraId="162B62C0" w14:textId="77777777">
      <w:pPr>
        <w:spacing w:line="256" w:lineRule="auto"/>
        <w:rPr>
          <w:sz w:val="23"/>
          <w:szCs w:val="23"/>
        </w:rPr>
      </w:pPr>
    </w:p>
    <w:p w:rsidR="00385D2E" w14:paraId="03AABF40" w14:textId="77777777">
      <w:pPr>
        <w:pBdr>
          <w:top w:val="nil"/>
          <w:left w:val="nil"/>
          <w:bottom w:val="nil"/>
          <w:right w:val="nil"/>
          <w:between w:val="nil"/>
        </w:pBdr>
        <w:spacing w:before="4"/>
        <w:rPr>
          <w:color w:val="000000"/>
          <w:sz w:val="23"/>
          <w:szCs w:val="23"/>
        </w:rPr>
      </w:pPr>
    </w:p>
    <w:p w:rsidR="00385D2E" w14:paraId="48779F0A" w14:textId="77777777">
      <w:pPr>
        <w:pStyle w:val="Heading1"/>
        <w:spacing w:line="259" w:lineRule="auto"/>
        <w:ind w:left="0"/>
      </w:pPr>
      <w:r>
        <w:t xml:space="preserve">PART B.  COLLECTIONS OF INFORMATION EMPLOYING </w:t>
      </w:r>
      <w:r>
        <w:t>STATISTICAL  METHODS</w:t>
      </w:r>
    </w:p>
    <w:p w:rsidR="00385D2E" w14:paraId="301D2397" w14:textId="77777777">
      <w:pPr>
        <w:pBdr>
          <w:top w:val="nil"/>
          <w:left w:val="nil"/>
          <w:bottom w:val="nil"/>
          <w:right w:val="nil"/>
          <w:between w:val="nil"/>
        </w:pBdr>
        <w:spacing w:before="5"/>
        <w:rPr>
          <w:b/>
          <w:color w:val="000000"/>
          <w:sz w:val="23"/>
          <w:szCs w:val="23"/>
        </w:rPr>
      </w:pPr>
    </w:p>
    <w:p w:rsidR="00385D2E" w14:paraId="68EB3357" w14:textId="77777777">
      <w:pPr>
        <w:pBdr>
          <w:top w:val="nil"/>
          <w:left w:val="nil"/>
          <w:bottom w:val="nil"/>
          <w:right w:val="nil"/>
          <w:between w:val="nil"/>
        </w:pBdr>
        <w:spacing w:before="4"/>
        <w:rPr>
          <w:color w:val="000000"/>
          <w:sz w:val="23"/>
          <w:szCs w:val="23"/>
        </w:rPr>
      </w:pPr>
    </w:p>
    <w:p w:rsidR="00385D2E" w14:paraId="221D887E" w14:textId="77777777">
      <w:pPr>
        <w:pStyle w:val="Heading1"/>
        <w:numPr>
          <w:ilvl w:val="0"/>
          <w:numId w:val="2"/>
        </w:numPr>
        <w:tabs>
          <w:tab w:val="left" w:pos="451"/>
        </w:tabs>
        <w:spacing w:before="1" w:line="249" w:lineRule="auto"/>
        <w:ind w:left="0" w:firstLine="0"/>
      </w:pPr>
      <w:r>
        <w:t xml:space="preserve">Describe the potential respondent universe and any sampling or other respondent selection methods to be used. Data on the number of entities in the universe covered by the collection and in the corresponding sample are to be provided in tabular form for the universe as a whole and for each of the strata in the proposed sample. Indicate expected response rates for the </w:t>
      </w:r>
      <w:r>
        <w:t>collection as a whole</w:t>
      </w:r>
      <w:r>
        <w:t>. If the collection had been conducted previously, include the actual response rate achieved during the last collection.</w:t>
      </w:r>
    </w:p>
    <w:p w:rsidR="00385D2E" w14:paraId="620A1539" w14:textId="77777777">
      <w:pPr>
        <w:pBdr>
          <w:top w:val="nil"/>
          <w:left w:val="nil"/>
          <w:bottom w:val="nil"/>
          <w:right w:val="nil"/>
          <w:between w:val="nil"/>
        </w:pBdr>
        <w:spacing w:before="3"/>
        <w:rPr>
          <w:b/>
          <w:sz w:val="23"/>
          <w:szCs w:val="23"/>
        </w:rPr>
      </w:pPr>
    </w:p>
    <w:p w:rsidR="00385D2E" w14:paraId="37DD288A" w14:textId="77777777">
      <w:pPr>
        <w:rPr>
          <w:b/>
          <w:sz w:val="23"/>
          <w:szCs w:val="23"/>
        </w:rPr>
      </w:pPr>
    </w:p>
    <w:tbl>
      <w:tblPr>
        <w:tblStyle w:val="a2"/>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05"/>
        <w:gridCol w:w="630"/>
        <w:gridCol w:w="2430"/>
        <w:gridCol w:w="1635"/>
        <w:gridCol w:w="1545"/>
        <w:gridCol w:w="1710"/>
      </w:tblGrid>
      <w:tr w14:paraId="436048FB" w14:textId="77777777">
        <w:tblPrEx>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1905" w:type="dxa"/>
          </w:tcPr>
          <w:p w:rsidR="00385D2E" w14:paraId="3A690123" w14:textId="77777777">
            <w:pPr>
              <w:rPr>
                <w:b/>
                <w:sz w:val="18"/>
                <w:szCs w:val="18"/>
              </w:rPr>
            </w:pPr>
            <w:r>
              <w:rPr>
                <w:b/>
                <w:sz w:val="18"/>
                <w:szCs w:val="18"/>
              </w:rPr>
              <w:t xml:space="preserve">Form </w:t>
            </w:r>
          </w:p>
        </w:tc>
        <w:tc>
          <w:tcPr>
            <w:tcW w:w="630" w:type="dxa"/>
          </w:tcPr>
          <w:p w:rsidR="00385D2E" w14:paraId="695D6EBC" w14:textId="77777777">
            <w:pPr>
              <w:rPr>
                <w:b/>
                <w:sz w:val="18"/>
                <w:szCs w:val="18"/>
              </w:rPr>
            </w:pPr>
            <w:r>
              <w:rPr>
                <w:b/>
                <w:sz w:val="18"/>
                <w:szCs w:val="18"/>
              </w:rPr>
              <w:t xml:space="preserve">No. </w:t>
            </w:r>
          </w:p>
        </w:tc>
        <w:tc>
          <w:tcPr>
            <w:tcW w:w="2430" w:type="dxa"/>
          </w:tcPr>
          <w:p w:rsidR="00385D2E" w14:paraId="406E0607" w14:textId="77777777">
            <w:pPr>
              <w:rPr>
                <w:b/>
                <w:sz w:val="18"/>
                <w:szCs w:val="18"/>
              </w:rPr>
            </w:pPr>
            <w:r>
              <w:rPr>
                <w:b/>
                <w:sz w:val="18"/>
                <w:szCs w:val="18"/>
              </w:rPr>
              <w:t>Entity types; Universe of respondents</w:t>
            </w:r>
          </w:p>
        </w:tc>
        <w:tc>
          <w:tcPr>
            <w:tcW w:w="1635" w:type="dxa"/>
          </w:tcPr>
          <w:p w:rsidR="00385D2E" w14:paraId="57EA0B51" w14:textId="77777777">
            <w:pPr>
              <w:rPr>
                <w:b/>
                <w:sz w:val="18"/>
                <w:szCs w:val="18"/>
              </w:rPr>
            </w:pPr>
            <w:r>
              <w:rPr>
                <w:b/>
                <w:sz w:val="18"/>
                <w:szCs w:val="18"/>
              </w:rPr>
              <w:t>Sampling Method</w:t>
            </w:r>
          </w:p>
        </w:tc>
        <w:tc>
          <w:tcPr>
            <w:tcW w:w="1545" w:type="dxa"/>
          </w:tcPr>
          <w:p w:rsidR="00385D2E" w14:paraId="48C0F4EC" w14:textId="77777777">
            <w:pPr>
              <w:rPr>
                <w:b/>
                <w:sz w:val="18"/>
                <w:szCs w:val="18"/>
              </w:rPr>
            </w:pPr>
            <w:r>
              <w:rPr>
                <w:b/>
                <w:sz w:val="18"/>
                <w:szCs w:val="18"/>
              </w:rPr>
              <w:t>Total Number of Entities in Universe</w:t>
            </w:r>
          </w:p>
        </w:tc>
        <w:tc>
          <w:tcPr>
            <w:tcW w:w="1710" w:type="dxa"/>
          </w:tcPr>
          <w:p w:rsidR="00385D2E" w14:paraId="2D80DB0D" w14:textId="77777777">
            <w:pPr>
              <w:rPr>
                <w:b/>
                <w:sz w:val="18"/>
                <w:szCs w:val="18"/>
              </w:rPr>
            </w:pPr>
            <w:r>
              <w:rPr>
                <w:b/>
                <w:sz w:val="18"/>
                <w:szCs w:val="18"/>
              </w:rPr>
              <w:t>Estimated Response Rate</w:t>
            </w:r>
          </w:p>
        </w:tc>
      </w:tr>
      <w:tr w14:paraId="2C30052E" w14:textId="77777777">
        <w:tblPrEx>
          <w:tblW w:w="9855" w:type="dxa"/>
          <w:tblInd w:w="-115" w:type="dxa"/>
          <w:tblLayout w:type="fixed"/>
          <w:tblLook w:val="0000"/>
        </w:tblPrEx>
        <w:trPr>
          <w:trHeight w:val="274"/>
        </w:trPr>
        <w:tc>
          <w:tcPr>
            <w:tcW w:w="1905" w:type="dxa"/>
          </w:tcPr>
          <w:p w:rsidR="00385D2E" w14:paraId="5FDC950E" w14:textId="77777777">
            <w:pPr>
              <w:widowControl/>
              <w:ind w:hanging="227"/>
            </w:pPr>
            <w:r>
              <w:t xml:space="preserve">   Stakeholder Opt-In </w:t>
            </w:r>
          </w:p>
        </w:tc>
        <w:tc>
          <w:tcPr>
            <w:tcW w:w="630" w:type="dxa"/>
          </w:tcPr>
          <w:p w:rsidR="00385D2E" w14:paraId="2C4F2C0E" w14:textId="77777777">
            <w:r>
              <w:t>1</w:t>
            </w:r>
          </w:p>
        </w:tc>
        <w:tc>
          <w:tcPr>
            <w:tcW w:w="2430" w:type="dxa"/>
          </w:tcPr>
          <w:p w:rsidR="00385D2E" w14:paraId="7459D320" w14:textId="77777777">
            <w:r>
              <w:t xml:space="preserve">Broad international agriculture and food community of practice (university faculty, </w:t>
            </w:r>
            <w:r>
              <w:t>staff</w:t>
            </w:r>
            <w:r>
              <w:t xml:space="preserve"> and students; USG staff; NGOs, researchers)</w:t>
            </w:r>
          </w:p>
        </w:tc>
        <w:tc>
          <w:tcPr>
            <w:tcW w:w="1635" w:type="dxa"/>
          </w:tcPr>
          <w:p w:rsidR="00385D2E" w14:paraId="35055BC0" w14:textId="77777777">
            <w:r>
              <w:t>Self-Selection (link to opt-in posted publicly)</w:t>
            </w:r>
          </w:p>
        </w:tc>
        <w:tc>
          <w:tcPr>
            <w:tcW w:w="1545" w:type="dxa"/>
          </w:tcPr>
          <w:p w:rsidR="00385D2E" w14:paraId="299DA899" w14:textId="77777777">
            <w:r>
              <w:t>Undefined</w:t>
            </w:r>
          </w:p>
        </w:tc>
        <w:tc>
          <w:tcPr>
            <w:tcW w:w="1710" w:type="dxa"/>
          </w:tcPr>
          <w:p w:rsidR="00385D2E" w14:paraId="2059B2E0" w14:textId="77777777">
            <w:r>
              <w:t xml:space="preserve">95% </w:t>
            </w:r>
          </w:p>
        </w:tc>
      </w:tr>
      <w:tr w14:paraId="7BD35672" w14:textId="77777777">
        <w:tblPrEx>
          <w:tblW w:w="9855" w:type="dxa"/>
          <w:tblInd w:w="-115" w:type="dxa"/>
          <w:tblLayout w:type="fixed"/>
          <w:tblLook w:val="0000"/>
        </w:tblPrEx>
        <w:trPr>
          <w:trHeight w:val="274"/>
        </w:trPr>
        <w:tc>
          <w:tcPr>
            <w:tcW w:w="1905" w:type="dxa"/>
          </w:tcPr>
          <w:p w:rsidR="00385D2E" w14:paraId="49438C54" w14:textId="77777777">
            <w:r>
              <w:t>Event Registration</w:t>
            </w:r>
          </w:p>
        </w:tc>
        <w:tc>
          <w:tcPr>
            <w:tcW w:w="630" w:type="dxa"/>
          </w:tcPr>
          <w:p w:rsidR="00385D2E" w14:paraId="3F6B4B75" w14:textId="77777777">
            <w:r>
              <w:t>2</w:t>
            </w:r>
          </w:p>
        </w:tc>
        <w:tc>
          <w:tcPr>
            <w:tcW w:w="2430" w:type="dxa"/>
          </w:tcPr>
          <w:p w:rsidR="00385D2E" w14:paraId="123A9249" w14:textId="77777777">
            <w:r>
              <w:t xml:space="preserve">Broad international agriculture and food community of practice (university faculty, </w:t>
            </w:r>
            <w:r>
              <w:t>staff</w:t>
            </w:r>
            <w:r>
              <w:t xml:space="preserve"> and students; USG staff; NGOs, researchers)</w:t>
            </w:r>
          </w:p>
        </w:tc>
        <w:tc>
          <w:tcPr>
            <w:tcW w:w="1635" w:type="dxa"/>
          </w:tcPr>
          <w:p w:rsidR="00385D2E" w14:paraId="6C0AB8A2" w14:textId="77777777">
            <w:r>
              <w:t>Self-Selection (link to register posted publicly)</w:t>
            </w:r>
          </w:p>
        </w:tc>
        <w:tc>
          <w:tcPr>
            <w:tcW w:w="1545" w:type="dxa"/>
          </w:tcPr>
          <w:p w:rsidR="00385D2E" w14:paraId="725A0EF1" w14:textId="77777777">
            <w:r>
              <w:t>Undefined</w:t>
            </w:r>
          </w:p>
        </w:tc>
        <w:tc>
          <w:tcPr>
            <w:tcW w:w="1710" w:type="dxa"/>
          </w:tcPr>
          <w:p w:rsidR="00385D2E" w14:paraId="03FC2991" w14:textId="77777777">
            <w:r>
              <w:t>100%</w:t>
            </w:r>
          </w:p>
        </w:tc>
      </w:tr>
      <w:tr w14:paraId="098E1E69" w14:textId="77777777">
        <w:tblPrEx>
          <w:tblW w:w="9855" w:type="dxa"/>
          <w:tblInd w:w="-115" w:type="dxa"/>
          <w:tblLayout w:type="fixed"/>
          <w:tblLook w:val="0000"/>
        </w:tblPrEx>
        <w:trPr>
          <w:trHeight w:val="274"/>
        </w:trPr>
        <w:tc>
          <w:tcPr>
            <w:tcW w:w="1905" w:type="dxa"/>
          </w:tcPr>
          <w:p w:rsidR="00385D2E" w14:paraId="75A84B26" w14:textId="77777777">
            <w:r>
              <w:t>Event Participant Feedback</w:t>
            </w:r>
          </w:p>
        </w:tc>
        <w:tc>
          <w:tcPr>
            <w:tcW w:w="630" w:type="dxa"/>
          </w:tcPr>
          <w:p w:rsidR="00385D2E" w14:paraId="5457D4D5" w14:textId="77777777">
            <w:r>
              <w:t>3</w:t>
            </w:r>
          </w:p>
        </w:tc>
        <w:tc>
          <w:tcPr>
            <w:tcW w:w="2430" w:type="dxa"/>
          </w:tcPr>
          <w:p w:rsidR="00385D2E" w14:paraId="488CDC1A" w14:textId="77777777">
            <w:r>
              <w:t xml:space="preserve">Attendees at BIFAD Events (university faculty, </w:t>
            </w:r>
            <w:r>
              <w:t>staff</w:t>
            </w:r>
            <w:r>
              <w:t xml:space="preserve"> and students; USG staff; NGOs, researchers)</w:t>
            </w:r>
          </w:p>
        </w:tc>
        <w:tc>
          <w:tcPr>
            <w:tcW w:w="1635" w:type="dxa"/>
          </w:tcPr>
          <w:p w:rsidR="00385D2E" w14:paraId="5EE49A6D" w14:textId="77777777">
            <w:r>
              <w:t>Census (all event participants invited)</w:t>
            </w:r>
          </w:p>
        </w:tc>
        <w:tc>
          <w:tcPr>
            <w:tcW w:w="1545" w:type="dxa"/>
          </w:tcPr>
          <w:p w:rsidR="00385D2E" w14:paraId="03051E4B" w14:textId="77777777">
            <w:r>
              <w:t>1000</w:t>
            </w:r>
          </w:p>
        </w:tc>
        <w:tc>
          <w:tcPr>
            <w:tcW w:w="1710" w:type="dxa"/>
          </w:tcPr>
          <w:p w:rsidR="00385D2E" w14:paraId="7667DCCA" w14:textId="77777777">
            <w:r>
              <w:t>50%</w:t>
            </w:r>
          </w:p>
        </w:tc>
      </w:tr>
      <w:tr w14:paraId="50AFC60F" w14:textId="77777777">
        <w:tblPrEx>
          <w:tblW w:w="9855" w:type="dxa"/>
          <w:tblInd w:w="-115" w:type="dxa"/>
          <w:tblLayout w:type="fixed"/>
          <w:tblLook w:val="0000"/>
        </w:tblPrEx>
        <w:trPr>
          <w:trHeight w:val="274"/>
        </w:trPr>
        <w:tc>
          <w:tcPr>
            <w:tcW w:w="1905" w:type="dxa"/>
          </w:tcPr>
          <w:p w:rsidR="00385D2E" w14:paraId="2C315147" w14:textId="77777777">
            <w:r>
              <w:t>New Member Orientation (pre-orientation section)</w:t>
            </w:r>
          </w:p>
        </w:tc>
        <w:tc>
          <w:tcPr>
            <w:tcW w:w="630" w:type="dxa"/>
          </w:tcPr>
          <w:p w:rsidR="00385D2E" w14:paraId="7B07CDEE" w14:textId="77777777">
            <w:r>
              <w:t>4</w:t>
            </w:r>
          </w:p>
        </w:tc>
        <w:tc>
          <w:tcPr>
            <w:tcW w:w="2430" w:type="dxa"/>
          </w:tcPr>
          <w:p w:rsidR="00385D2E" w14:paraId="75742C0D" w14:textId="77777777">
            <w:r>
              <w:t>BIFAD Members appointed in last 12 months</w:t>
            </w:r>
          </w:p>
        </w:tc>
        <w:tc>
          <w:tcPr>
            <w:tcW w:w="1635" w:type="dxa"/>
          </w:tcPr>
          <w:p w:rsidR="00385D2E" w14:paraId="04CAF406" w14:textId="77777777">
            <w:r>
              <w:t>Census (all new members)</w:t>
            </w:r>
          </w:p>
        </w:tc>
        <w:tc>
          <w:tcPr>
            <w:tcW w:w="1545" w:type="dxa"/>
          </w:tcPr>
          <w:p w:rsidR="00385D2E" w14:paraId="7900430C" w14:textId="77777777">
            <w:r>
              <w:t>1-7</w:t>
            </w:r>
          </w:p>
        </w:tc>
        <w:tc>
          <w:tcPr>
            <w:tcW w:w="1710" w:type="dxa"/>
          </w:tcPr>
          <w:p w:rsidR="00385D2E" w14:paraId="1A191E65" w14:textId="77777777">
            <w:r>
              <w:t>100%</w:t>
            </w:r>
          </w:p>
        </w:tc>
      </w:tr>
      <w:tr w14:paraId="041C0BFF" w14:textId="77777777">
        <w:tblPrEx>
          <w:tblW w:w="9855" w:type="dxa"/>
          <w:tblInd w:w="-115" w:type="dxa"/>
          <w:tblLayout w:type="fixed"/>
          <w:tblLook w:val="0000"/>
        </w:tblPrEx>
        <w:trPr>
          <w:trHeight w:val="274"/>
        </w:trPr>
        <w:tc>
          <w:tcPr>
            <w:tcW w:w="1905" w:type="dxa"/>
          </w:tcPr>
          <w:p w:rsidR="00385D2E" w14:paraId="024DFE3A" w14:textId="77777777">
            <w:r>
              <w:t>New Member Orientation (post-orientation section)</w:t>
            </w:r>
          </w:p>
        </w:tc>
        <w:tc>
          <w:tcPr>
            <w:tcW w:w="630" w:type="dxa"/>
          </w:tcPr>
          <w:p w:rsidR="00385D2E" w14:paraId="051EA335" w14:textId="77777777">
            <w:r>
              <w:t>4</w:t>
            </w:r>
          </w:p>
        </w:tc>
        <w:tc>
          <w:tcPr>
            <w:tcW w:w="2430" w:type="dxa"/>
          </w:tcPr>
          <w:p w:rsidR="00385D2E" w14:paraId="0367DB36" w14:textId="77777777">
            <w:r>
              <w:t>BIFAD Members appointed in last 12 months</w:t>
            </w:r>
          </w:p>
        </w:tc>
        <w:tc>
          <w:tcPr>
            <w:tcW w:w="1635" w:type="dxa"/>
          </w:tcPr>
          <w:p w:rsidR="00385D2E" w14:paraId="42515E81" w14:textId="77777777">
            <w:r>
              <w:t>Census (all new members)</w:t>
            </w:r>
          </w:p>
        </w:tc>
        <w:tc>
          <w:tcPr>
            <w:tcW w:w="1545" w:type="dxa"/>
          </w:tcPr>
          <w:p w:rsidR="00385D2E" w14:paraId="46A358C7" w14:textId="77777777">
            <w:r>
              <w:t>1-7</w:t>
            </w:r>
          </w:p>
        </w:tc>
        <w:tc>
          <w:tcPr>
            <w:tcW w:w="1710" w:type="dxa"/>
          </w:tcPr>
          <w:p w:rsidR="00385D2E" w14:paraId="03919C0B" w14:textId="77777777">
            <w:r>
              <w:t>100%</w:t>
            </w:r>
          </w:p>
        </w:tc>
      </w:tr>
      <w:tr w14:paraId="75C0BBA3" w14:textId="77777777">
        <w:tblPrEx>
          <w:tblW w:w="9855" w:type="dxa"/>
          <w:tblInd w:w="-115" w:type="dxa"/>
          <w:tblLayout w:type="fixed"/>
          <w:tblLook w:val="0000"/>
        </w:tblPrEx>
        <w:trPr>
          <w:trHeight w:val="475"/>
        </w:trPr>
        <w:tc>
          <w:tcPr>
            <w:tcW w:w="1905" w:type="dxa"/>
          </w:tcPr>
          <w:p w:rsidR="00385D2E" w14:paraId="4304D961" w14:textId="77777777">
            <w:r>
              <w:t>Speaker Information</w:t>
            </w:r>
          </w:p>
        </w:tc>
        <w:tc>
          <w:tcPr>
            <w:tcW w:w="630" w:type="dxa"/>
          </w:tcPr>
          <w:p w:rsidR="00385D2E" w14:paraId="2C142A5E" w14:textId="77777777">
            <w:r>
              <w:t>5</w:t>
            </w:r>
          </w:p>
        </w:tc>
        <w:tc>
          <w:tcPr>
            <w:tcW w:w="2430" w:type="dxa"/>
          </w:tcPr>
          <w:p w:rsidR="00385D2E" w14:paraId="1CAA209B" w14:textId="77777777">
            <w:r>
              <w:t>Invited Speakers at BIFAD Events</w:t>
            </w:r>
          </w:p>
        </w:tc>
        <w:tc>
          <w:tcPr>
            <w:tcW w:w="1635" w:type="dxa"/>
          </w:tcPr>
          <w:p w:rsidR="00385D2E" w14:paraId="45B1A696" w14:textId="77777777">
            <w:r>
              <w:t>Census (all speakers)</w:t>
            </w:r>
          </w:p>
        </w:tc>
        <w:tc>
          <w:tcPr>
            <w:tcW w:w="1545" w:type="dxa"/>
          </w:tcPr>
          <w:p w:rsidR="00385D2E" w14:paraId="4B509EE2" w14:textId="77777777">
            <w:r>
              <w:t>25</w:t>
            </w:r>
          </w:p>
        </w:tc>
        <w:tc>
          <w:tcPr>
            <w:tcW w:w="1710" w:type="dxa"/>
          </w:tcPr>
          <w:p w:rsidR="00385D2E" w14:paraId="6EEC2E7F" w14:textId="77777777">
            <w:r>
              <w:t>85%</w:t>
            </w:r>
          </w:p>
        </w:tc>
      </w:tr>
      <w:tr w14:paraId="53E70C9C" w14:textId="77777777">
        <w:tblPrEx>
          <w:tblW w:w="9855" w:type="dxa"/>
          <w:tblInd w:w="-115" w:type="dxa"/>
          <w:tblLayout w:type="fixed"/>
          <w:tblLook w:val="0000"/>
        </w:tblPrEx>
        <w:trPr>
          <w:trHeight w:val="274"/>
        </w:trPr>
        <w:tc>
          <w:tcPr>
            <w:tcW w:w="1905" w:type="dxa"/>
          </w:tcPr>
          <w:p w:rsidR="00385D2E" w14:paraId="7DEB6601" w14:textId="77777777">
            <w:r>
              <w:t>Intent to Use</w:t>
            </w:r>
          </w:p>
        </w:tc>
        <w:tc>
          <w:tcPr>
            <w:tcW w:w="630" w:type="dxa"/>
          </w:tcPr>
          <w:p w:rsidR="00385D2E" w14:paraId="4AB53610" w14:textId="77777777">
            <w:r>
              <w:t>6</w:t>
            </w:r>
          </w:p>
        </w:tc>
        <w:tc>
          <w:tcPr>
            <w:tcW w:w="2430" w:type="dxa"/>
          </w:tcPr>
          <w:p w:rsidR="00385D2E" w14:paraId="24E7EDD7" w14:textId="77777777">
            <w:r>
              <w:t xml:space="preserve">Attendees at BIFAD </w:t>
            </w:r>
            <w:r>
              <w:t xml:space="preserve">Events (university faculty, </w:t>
            </w:r>
            <w:r>
              <w:t>staff</w:t>
            </w:r>
            <w:r>
              <w:t xml:space="preserve"> and students; USG staff; NGOs, researchers)</w:t>
            </w:r>
          </w:p>
        </w:tc>
        <w:tc>
          <w:tcPr>
            <w:tcW w:w="1635" w:type="dxa"/>
          </w:tcPr>
          <w:p w:rsidR="00385D2E" w14:paraId="709C0567" w14:textId="77777777">
            <w:r>
              <w:t xml:space="preserve">Census (all </w:t>
            </w:r>
            <w:r>
              <w:t>event participants invited)</w:t>
            </w:r>
          </w:p>
        </w:tc>
        <w:tc>
          <w:tcPr>
            <w:tcW w:w="1545" w:type="dxa"/>
          </w:tcPr>
          <w:p w:rsidR="00385D2E" w14:paraId="2C883861" w14:textId="77777777">
            <w:r>
              <w:t>1000</w:t>
            </w:r>
          </w:p>
        </w:tc>
        <w:tc>
          <w:tcPr>
            <w:tcW w:w="1710" w:type="dxa"/>
          </w:tcPr>
          <w:p w:rsidR="00385D2E" w14:paraId="00E7B3BD" w14:textId="77777777">
            <w:r>
              <w:t>50%</w:t>
            </w:r>
          </w:p>
        </w:tc>
      </w:tr>
    </w:tbl>
    <w:p w:rsidR="00385D2E" w14:paraId="61DBAA4B" w14:textId="77777777">
      <w:pPr>
        <w:spacing w:before="5"/>
        <w:rPr>
          <w:b/>
          <w:sz w:val="23"/>
          <w:szCs w:val="23"/>
        </w:rPr>
      </w:pPr>
    </w:p>
    <w:p w:rsidR="00385D2E" w14:paraId="4320DA95" w14:textId="77777777">
      <w:pPr>
        <w:pBdr>
          <w:top w:val="nil"/>
          <w:left w:val="nil"/>
          <w:bottom w:val="nil"/>
          <w:right w:val="nil"/>
          <w:between w:val="nil"/>
        </w:pBdr>
        <w:spacing w:before="7"/>
        <w:rPr>
          <w:color w:val="000000"/>
          <w:sz w:val="23"/>
          <w:szCs w:val="23"/>
        </w:rPr>
      </w:pPr>
    </w:p>
    <w:p w:rsidR="00385D2E" w14:paraId="5E6E7013" w14:textId="77777777">
      <w:pPr>
        <w:pStyle w:val="Heading1"/>
        <w:numPr>
          <w:ilvl w:val="0"/>
          <w:numId w:val="2"/>
        </w:numPr>
        <w:tabs>
          <w:tab w:val="left" w:pos="451"/>
        </w:tabs>
        <w:ind w:left="0" w:firstLine="0"/>
      </w:pPr>
      <w:r>
        <w:t>Describe the procedures for the collection of information, including:</w:t>
      </w:r>
    </w:p>
    <w:p w:rsidR="00385D2E" w14:paraId="4DCE82F6" w14:textId="77777777">
      <w:pPr>
        <w:pBdr>
          <w:top w:val="nil"/>
          <w:left w:val="nil"/>
          <w:bottom w:val="nil"/>
          <w:right w:val="nil"/>
          <w:between w:val="nil"/>
        </w:pBdr>
        <w:spacing w:before="8"/>
        <w:rPr>
          <w:sz w:val="23"/>
          <w:szCs w:val="23"/>
        </w:rPr>
      </w:pPr>
    </w:p>
    <w:p w:rsidR="00385D2E" w14:paraId="0682ED17" w14:textId="77777777">
      <w:pPr>
        <w:pBdr>
          <w:top w:val="nil"/>
          <w:left w:val="nil"/>
          <w:bottom w:val="nil"/>
          <w:right w:val="nil"/>
          <w:between w:val="nil"/>
        </w:pBdr>
        <w:spacing w:before="8"/>
        <w:rPr>
          <w:sz w:val="23"/>
          <w:szCs w:val="23"/>
        </w:rPr>
      </w:pPr>
      <w:r>
        <w:rPr>
          <w:sz w:val="23"/>
          <w:szCs w:val="23"/>
        </w:rPr>
        <w:t xml:space="preserve">Statistical methodology for stratification and sample selection: Information collection is limited to self-selection for all forms asking individuals to register for events or opt-in to future communication and to census collection for all event or product feedback forms. </w:t>
      </w:r>
    </w:p>
    <w:p w:rsidR="00385D2E" w14:paraId="67CE3709" w14:textId="77777777">
      <w:pPr>
        <w:pBdr>
          <w:top w:val="nil"/>
          <w:left w:val="nil"/>
          <w:bottom w:val="nil"/>
          <w:right w:val="nil"/>
          <w:between w:val="nil"/>
        </w:pBdr>
        <w:spacing w:before="8"/>
        <w:rPr>
          <w:sz w:val="23"/>
          <w:szCs w:val="23"/>
        </w:rPr>
      </w:pPr>
    </w:p>
    <w:p w:rsidR="00385D2E" w14:paraId="6D225080" w14:textId="77777777">
      <w:pPr>
        <w:pBdr>
          <w:top w:val="nil"/>
          <w:left w:val="nil"/>
          <w:bottom w:val="nil"/>
          <w:right w:val="nil"/>
          <w:between w:val="nil"/>
        </w:pBdr>
        <w:spacing w:before="8"/>
        <w:rPr>
          <w:sz w:val="23"/>
          <w:szCs w:val="23"/>
        </w:rPr>
      </w:pPr>
      <w:r>
        <w:rPr>
          <w:sz w:val="23"/>
          <w:szCs w:val="23"/>
        </w:rPr>
        <w:t>Estimation procedure: No estimation procedure implemented.</w:t>
      </w:r>
    </w:p>
    <w:p w:rsidR="00385D2E" w14:paraId="58771E7B" w14:textId="77777777">
      <w:pPr>
        <w:pBdr>
          <w:top w:val="nil"/>
          <w:left w:val="nil"/>
          <w:bottom w:val="nil"/>
          <w:right w:val="nil"/>
          <w:between w:val="nil"/>
        </w:pBdr>
        <w:spacing w:before="8"/>
        <w:rPr>
          <w:sz w:val="23"/>
          <w:szCs w:val="23"/>
        </w:rPr>
      </w:pPr>
    </w:p>
    <w:p w:rsidR="00385D2E" w14:paraId="6CD948BF" w14:textId="77777777">
      <w:pPr>
        <w:pBdr>
          <w:top w:val="nil"/>
          <w:left w:val="nil"/>
          <w:bottom w:val="nil"/>
          <w:right w:val="nil"/>
          <w:between w:val="nil"/>
        </w:pBdr>
        <w:spacing w:before="8"/>
        <w:rPr>
          <w:sz w:val="23"/>
          <w:szCs w:val="23"/>
        </w:rPr>
      </w:pPr>
      <w:r>
        <w:rPr>
          <w:sz w:val="23"/>
          <w:szCs w:val="23"/>
        </w:rPr>
        <w:t xml:space="preserve">Degree of accuracy needed for the purpose described in the justification: The team aims for a 90% or higher accuracy/confidence level. </w:t>
      </w:r>
    </w:p>
    <w:p w:rsidR="00385D2E" w14:paraId="66C8AF16" w14:textId="77777777">
      <w:pPr>
        <w:pBdr>
          <w:top w:val="nil"/>
          <w:left w:val="nil"/>
          <w:bottom w:val="nil"/>
          <w:right w:val="nil"/>
          <w:between w:val="nil"/>
        </w:pBdr>
        <w:spacing w:before="8"/>
        <w:rPr>
          <w:sz w:val="23"/>
          <w:szCs w:val="23"/>
        </w:rPr>
      </w:pPr>
    </w:p>
    <w:p w:rsidR="00385D2E" w14:paraId="3BF1C7D1" w14:textId="77777777">
      <w:pPr>
        <w:pBdr>
          <w:top w:val="nil"/>
          <w:left w:val="nil"/>
          <w:bottom w:val="nil"/>
          <w:right w:val="nil"/>
          <w:between w:val="nil"/>
        </w:pBdr>
        <w:spacing w:before="8"/>
        <w:rPr>
          <w:sz w:val="23"/>
          <w:szCs w:val="23"/>
        </w:rPr>
      </w:pPr>
      <w:r>
        <w:rPr>
          <w:sz w:val="23"/>
          <w:szCs w:val="23"/>
        </w:rPr>
        <w:t xml:space="preserve">Unusual problems requiring specialized sampling procedures: None anticipated. </w:t>
      </w:r>
    </w:p>
    <w:p w:rsidR="00385D2E" w14:paraId="458B7B30" w14:textId="77777777">
      <w:pPr>
        <w:pBdr>
          <w:top w:val="nil"/>
          <w:left w:val="nil"/>
          <w:bottom w:val="nil"/>
          <w:right w:val="nil"/>
          <w:between w:val="nil"/>
        </w:pBdr>
        <w:spacing w:before="8"/>
        <w:rPr>
          <w:sz w:val="23"/>
          <w:szCs w:val="23"/>
        </w:rPr>
      </w:pPr>
    </w:p>
    <w:p w:rsidR="00385D2E" w14:paraId="1301A73F" w14:textId="77777777">
      <w:pPr>
        <w:pBdr>
          <w:top w:val="nil"/>
          <w:left w:val="nil"/>
          <w:bottom w:val="nil"/>
          <w:right w:val="nil"/>
          <w:between w:val="nil"/>
        </w:pBdr>
        <w:spacing w:before="8"/>
        <w:rPr>
          <w:color w:val="000000"/>
          <w:sz w:val="23"/>
          <w:szCs w:val="23"/>
        </w:rPr>
      </w:pPr>
      <w:r>
        <w:rPr>
          <w:sz w:val="23"/>
          <w:szCs w:val="23"/>
        </w:rPr>
        <w:t>Any use of periodic (less frequent than annual) data collection cycles to reduce burden: Not applicable.</w:t>
      </w:r>
    </w:p>
    <w:p w:rsidR="00385D2E" w14:paraId="4179E850" w14:textId="77777777">
      <w:pPr>
        <w:pBdr>
          <w:top w:val="nil"/>
          <w:left w:val="nil"/>
          <w:bottom w:val="nil"/>
          <w:right w:val="nil"/>
          <w:between w:val="nil"/>
        </w:pBdr>
        <w:spacing w:before="8"/>
        <w:rPr>
          <w:color w:val="000000"/>
          <w:sz w:val="23"/>
          <w:szCs w:val="23"/>
        </w:rPr>
      </w:pPr>
    </w:p>
    <w:p w:rsidR="00385D2E" w14:paraId="7CD22963" w14:textId="77777777">
      <w:pPr>
        <w:pBdr>
          <w:top w:val="nil"/>
          <w:left w:val="nil"/>
          <w:bottom w:val="nil"/>
          <w:right w:val="nil"/>
          <w:between w:val="nil"/>
        </w:pBdr>
        <w:spacing w:before="8"/>
        <w:rPr>
          <w:color w:val="000000"/>
          <w:sz w:val="23"/>
          <w:szCs w:val="23"/>
        </w:rPr>
      </w:pPr>
    </w:p>
    <w:p w:rsidR="00385D2E" w14:paraId="258AC37C" w14:textId="77777777">
      <w:pPr>
        <w:pStyle w:val="Heading1"/>
        <w:numPr>
          <w:ilvl w:val="0"/>
          <w:numId w:val="2"/>
        </w:numPr>
        <w:tabs>
          <w:tab w:val="left" w:pos="451"/>
        </w:tabs>
        <w:spacing w:line="249" w:lineRule="auto"/>
        <w:ind w:left="0"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85D2E" w14:paraId="577A4416" w14:textId="77777777">
      <w:pPr>
        <w:pStyle w:val="Heading1"/>
        <w:ind w:left="0"/>
        <w:rPr>
          <w:b w:val="0"/>
        </w:rPr>
      </w:pPr>
    </w:p>
    <w:p w:rsidR="00385D2E" w14:paraId="0892EA3F" w14:textId="77777777">
      <w:pPr>
        <w:pStyle w:val="Heading1"/>
        <w:ind w:left="0"/>
        <w:rPr>
          <w:b w:val="0"/>
        </w:rPr>
      </w:pPr>
      <w:r>
        <w:rPr>
          <w:b w:val="0"/>
        </w:rPr>
        <w:t xml:space="preserve">To maximize response rates and make participation more attractive, the following actions are taken: 1) questions are simplified and as brief as possible to minimize response burden and to accommodate respondents from various educational and language backgrounds, 2) the Tetra Tech team will follow up with non-respondents within two week of event date via email, 3) explanation of how the survey information will be used is shared openly with potential respondents. Additionally, the team already has a good working relationship with BIFAD members and speakers and will foster information sharing with BIFAD members so that the group sees value in reporting and notices program changes </w:t>
      </w:r>
      <w:r>
        <w:rPr>
          <w:b w:val="0"/>
        </w:rPr>
        <w:t>as a result of</w:t>
      </w:r>
      <w:r>
        <w:rPr>
          <w:b w:val="0"/>
        </w:rPr>
        <w:t xml:space="preserve"> their feedback. </w:t>
      </w:r>
    </w:p>
    <w:p w:rsidR="00385D2E" w14:paraId="073115BB" w14:textId="77777777">
      <w:pPr>
        <w:pStyle w:val="Heading1"/>
        <w:ind w:left="0"/>
        <w:rPr>
          <w:b w:val="0"/>
        </w:rPr>
      </w:pPr>
    </w:p>
    <w:p w:rsidR="00385D2E" w14:paraId="011B6C2C" w14:textId="77777777">
      <w:pPr>
        <w:pBdr>
          <w:top w:val="nil"/>
          <w:left w:val="nil"/>
          <w:bottom w:val="nil"/>
          <w:right w:val="nil"/>
          <w:between w:val="nil"/>
        </w:pBdr>
        <w:spacing w:before="4"/>
        <w:rPr>
          <w:b/>
          <w:color w:val="000000"/>
          <w:sz w:val="23"/>
          <w:szCs w:val="23"/>
        </w:rPr>
      </w:pPr>
    </w:p>
    <w:p w:rsidR="00385D2E" w14:paraId="1411812B" w14:textId="77777777">
      <w:pPr>
        <w:pStyle w:val="Heading1"/>
        <w:numPr>
          <w:ilvl w:val="0"/>
          <w:numId w:val="2"/>
        </w:numPr>
        <w:tabs>
          <w:tab w:val="left" w:pos="451"/>
        </w:tabs>
        <w:spacing w:before="1"/>
        <w:ind w:left="0" w:firstLine="0"/>
      </w:pPr>
      <w: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t>test</w:t>
      </w:r>
      <w:r>
        <w:t xml:space="preserve"> may be submitted for approval separately or in combination with the main collection of information.</w:t>
      </w:r>
    </w:p>
    <w:p w:rsidR="00385D2E" w14:paraId="7E951666" w14:textId="77777777">
      <w:pPr>
        <w:pBdr>
          <w:top w:val="nil"/>
          <w:left w:val="nil"/>
          <w:bottom w:val="nil"/>
          <w:right w:val="nil"/>
          <w:between w:val="nil"/>
        </w:pBdr>
        <w:spacing w:before="6"/>
        <w:rPr>
          <w:color w:val="000000"/>
          <w:sz w:val="23"/>
          <w:szCs w:val="23"/>
        </w:rPr>
      </w:pPr>
    </w:p>
    <w:p w:rsidR="00385D2E" w14:paraId="38895335" w14:textId="77777777">
      <w:pPr>
        <w:pBdr>
          <w:top w:val="nil"/>
          <w:left w:val="nil"/>
          <w:bottom w:val="nil"/>
          <w:right w:val="nil"/>
          <w:between w:val="nil"/>
        </w:pBdr>
        <w:rPr>
          <w:color w:val="000000"/>
          <w:sz w:val="23"/>
          <w:szCs w:val="23"/>
        </w:rPr>
      </w:pPr>
      <w:r>
        <w:rPr>
          <w:color w:val="000000"/>
          <w:sz w:val="23"/>
          <w:szCs w:val="23"/>
        </w:rPr>
        <w:t>Formal testing is not planned for these instruments. Results from data collection under the previous OMB approval for these instruments were used to inform subsequent refinement, leading to only minor changes in response options and question order.</w:t>
      </w:r>
    </w:p>
    <w:p w:rsidR="00385D2E" w14:paraId="0749FC23" w14:textId="77777777">
      <w:pPr>
        <w:pBdr>
          <w:top w:val="nil"/>
          <w:left w:val="nil"/>
          <w:bottom w:val="nil"/>
          <w:right w:val="nil"/>
          <w:between w:val="nil"/>
        </w:pBdr>
        <w:spacing w:before="9"/>
        <w:rPr>
          <w:color w:val="000000"/>
          <w:sz w:val="23"/>
          <w:szCs w:val="23"/>
        </w:rPr>
      </w:pPr>
    </w:p>
    <w:p w:rsidR="00385D2E" w14:paraId="3C5A8310" w14:textId="77777777">
      <w:pPr>
        <w:pStyle w:val="Heading1"/>
        <w:numPr>
          <w:ilvl w:val="0"/>
          <w:numId w:val="2"/>
        </w:numPr>
        <w:tabs>
          <w:tab w:val="left" w:pos="451"/>
        </w:tabs>
        <w:spacing w:line="249" w:lineRule="auto"/>
        <w:ind w:left="0" w:firstLine="0"/>
      </w:pPr>
      <w:r>
        <w:t xml:space="preserve">Provide the name and telephone number of individuals consulted on statistical aspects of the design and the name of the agency unit, contractors, grantees, or other person(s) who will </w:t>
      </w:r>
      <w:r>
        <w:t>actually collect</w:t>
      </w:r>
      <w:r>
        <w:t xml:space="preserve"> or analyze the information for the agency.</w:t>
      </w:r>
    </w:p>
    <w:p w:rsidR="00385D2E" w14:paraId="7762C710" w14:textId="77777777">
      <w:pPr>
        <w:pStyle w:val="Heading1"/>
        <w:tabs>
          <w:tab w:val="left" w:pos="451"/>
        </w:tabs>
        <w:spacing w:line="249" w:lineRule="auto"/>
        <w:ind w:left="0"/>
      </w:pPr>
    </w:p>
    <w:p w:rsidR="00385D2E" w14:paraId="237BB13E" w14:textId="77777777">
      <w:pPr>
        <w:pStyle w:val="Heading1"/>
        <w:tabs>
          <w:tab w:val="left" w:pos="451"/>
        </w:tabs>
        <w:spacing w:line="249" w:lineRule="auto"/>
        <w:ind w:left="0"/>
        <w:rPr>
          <w:color w:val="000000"/>
        </w:rPr>
      </w:pPr>
      <w:r>
        <w:rPr>
          <w:b w:val="0"/>
        </w:rPr>
        <w:t xml:space="preserve">Statistical aspects of the design of the data collection instruments were reviewed by the Contractor’s (Tetra Tech) Monitoring and Evaluation Director, Christopher Huey. Continued support for data cleaning, analysis, and reporting is provided by the BIFAD Support Contract Monitory and Evaluation Specialist, Tope </w:t>
      </w:r>
      <w:r>
        <w:rPr>
          <w:b w:val="0"/>
        </w:rPr>
        <w:t>Nwoseh</w:t>
      </w:r>
      <w:r>
        <w:rPr>
          <w:b w:val="0"/>
        </w:rPr>
        <w:t xml:space="preserve">. Please contact BIFAD Support Contract Senior Counselor, Carmen Benson with any questions: </w:t>
      </w:r>
      <w:hyperlink r:id="rId5">
        <w:r>
          <w:rPr>
            <w:b w:val="0"/>
            <w:color w:val="1155CC"/>
            <w:u w:val="single"/>
          </w:rPr>
          <w:t>carmen.benson@tetratech.com</w:t>
        </w:r>
      </w:hyperlink>
      <w:r>
        <w:rPr>
          <w:b w:val="0"/>
        </w:rPr>
        <w:t xml:space="preserve">. </w:t>
      </w:r>
    </w:p>
    <w:sectPr>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2E" w14:paraId="197D97A3" w14:textId="77777777">
    <w:pPr>
      <w:jc w:val="right"/>
    </w:pPr>
    <w:r>
      <w:fldChar w:fldCharType="begin"/>
    </w:r>
    <w:r>
      <w:instrText>PAGE</w:instrText>
    </w:r>
    <w:r>
      <w:fldChar w:fldCharType="separate"/>
    </w:r>
    <w:r w:rsidR="00BE575D">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B536EF"/>
    <w:multiLevelType w:val="multilevel"/>
    <w:tmpl w:val="417A5036"/>
    <w:lvl w:ilvl="0">
      <w:start w:val="1"/>
      <w:numFmt w:val="decimal"/>
      <w:lvlText w:val="%1."/>
      <w:lvlJc w:val="left"/>
      <w:pPr>
        <w:ind w:left="472" w:hanging="231"/>
      </w:pPr>
      <w:rPr>
        <w:rFonts w:ascii="Times New Roman" w:eastAsia="Times New Roman" w:hAnsi="Times New Roman" w:cs="Times New Roman"/>
        <w:b/>
        <w:i w:val="0"/>
        <w:sz w:val="23"/>
        <w:szCs w:val="23"/>
      </w:rPr>
    </w:lvl>
    <w:lvl w:ilvl="1">
      <w:start w:val="1"/>
      <w:numFmt w:val="decimal"/>
      <w:lvlText w:val="%2."/>
      <w:lvlJc w:val="left"/>
      <w:pPr>
        <w:ind w:left="827" w:hanging="360"/>
      </w:pPr>
      <w:rPr>
        <w:rFonts w:ascii="Times New Roman" w:eastAsia="Times New Roman" w:hAnsi="Times New Roman" w:cs="Times New Roman"/>
        <w:b w:val="0"/>
        <w:i w:val="0"/>
        <w:sz w:val="22"/>
        <w:szCs w:val="22"/>
      </w:rPr>
    </w:lvl>
    <w:lvl w:ilvl="2">
      <w:start w:val="0"/>
      <w:numFmt w:val="bullet"/>
      <w:lvlText w:val="•"/>
      <w:lvlJc w:val="left"/>
      <w:pPr>
        <w:ind w:left="1815" w:hanging="360"/>
      </w:pPr>
    </w:lvl>
    <w:lvl w:ilvl="3">
      <w:start w:val="0"/>
      <w:numFmt w:val="bullet"/>
      <w:lvlText w:val="•"/>
      <w:lvlJc w:val="left"/>
      <w:pPr>
        <w:ind w:left="2811" w:hanging="360"/>
      </w:pPr>
    </w:lvl>
    <w:lvl w:ilvl="4">
      <w:start w:val="0"/>
      <w:numFmt w:val="bullet"/>
      <w:lvlText w:val="•"/>
      <w:lvlJc w:val="left"/>
      <w:pPr>
        <w:ind w:left="3806" w:hanging="360"/>
      </w:pPr>
    </w:lvl>
    <w:lvl w:ilvl="5">
      <w:start w:val="0"/>
      <w:numFmt w:val="bullet"/>
      <w:lvlText w:val="•"/>
      <w:lvlJc w:val="left"/>
      <w:pPr>
        <w:ind w:left="4802" w:hanging="360"/>
      </w:pPr>
    </w:lvl>
    <w:lvl w:ilvl="6">
      <w:start w:val="0"/>
      <w:numFmt w:val="bullet"/>
      <w:lvlText w:val="•"/>
      <w:lvlJc w:val="left"/>
      <w:pPr>
        <w:ind w:left="5797" w:hanging="360"/>
      </w:pPr>
    </w:lvl>
    <w:lvl w:ilvl="7">
      <w:start w:val="0"/>
      <w:numFmt w:val="bullet"/>
      <w:lvlText w:val="•"/>
      <w:lvlJc w:val="left"/>
      <w:pPr>
        <w:ind w:left="6793" w:hanging="360"/>
      </w:pPr>
    </w:lvl>
    <w:lvl w:ilvl="8">
      <w:start w:val="0"/>
      <w:numFmt w:val="bullet"/>
      <w:lvlText w:val="•"/>
      <w:lvlJc w:val="left"/>
      <w:pPr>
        <w:ind w:left="7788" w:hanging="360"/>
      </w:pPr>
    </w:lvl>
  </w:abstractNum>
  <w:abstractNum w:abstractNumId="1">
    <w:nsid w:val="2BFB059C"/>
    <w:multiLevelType w:val="multilevel"/>
    <w:tmpl w:val="AA82ED1C"/>
    <w:lvl w:ilvl="0">
      <w:start w:val="1"/>
      <w:numFmt w:val="decimal"/>
      <w:lvlText w:val="%1."/>
      <w:lvlJc w:val="left"/>
      <w:pPr>
        <w:ind w:left="220" w:hanging="231"/>
      </w:pPr>
      <w:rPr>
        <w:rFonts w:ascii="Times New Roman" w:eastAsia="Times New Roman" w:hAnsi="Times New Roman" w:cs="Times New Roman"/>
        <w:b/>
        <w:i w:val="0"/>
        <w:sz w:val="23"/>
        <w:szCs w:val="23"/>
      </w:rPr>
    </w:lvl>
    <w:lvl w:ilvl="1">
      <w:start w:val="0"/>
      <w:numFmt w:val="bullet"/>
      <w:lvlText w:val="●"/>
      <w:lvlJc w:val="left"/>
      <w:pPr>
        <w:ind w:left="940" w:hanging="360"/>
      </w:pPr>
      <w:rPr>
        <w:rFonts w:ascii="Noto Sans Symbols" w:eastAsia="Noto Sans Symbols" w:hAnsi="Noto Sans Symbols" w:cs="Noto Sans Symbols"/>
      </w:rPr>
    </w:lvl>
    <w:lvl w:ilvl="2">
      <w:start w:val="0"/>
      <w:numFmt w:val="bullet"/>
      <w:lvlText w:val="•"/>
      <w:lvlJc w:val="left"/>
      <w:pPr>
        <w:ind w:left="1924" w:hanging="360"/>
      </w:pPr>
    </w:lvl>
    <w:lvl w:ilvl="3">
      <w:start w:val="0"/>
      <w:numFmt w:val="bullet"/>
      <w:lvlText w:val="•"/>
      <w:lvlJc w:val="left"/>
      <w:pPr>
        <w:ind w:left="2908" w:hanging="360"/>
      </w:pPr>
    </w:lvl>
    <w:lvl w:ilvl="4">
      <w:start w:val="0"/>
      <w:numFmt w:val="bullet"/>
      <w:lvlText w:val="•"/>
      <w:lvlJc w:val="left"/>
      <w:pPr>
        <w:ind w:left="3893" w:hanging="360"/>
      </w:pPr>
    </w:lvl>
    <w:lvl w:ilvl="5">
      <w:start w:val="0"/>
      <w:numFmt w:val="bullet"/>
      <w:lvlText w:val="•"/>
      <w:lvlJc w:val="left"/>
      <w:pPr>
        <w:ind w:left="4877" w:hanging="360"/>
      </w:pPr>
    </w:lvl>
    <w:lvl w:ilvl="6">
      <w:start w:val="0"/>
      <w:numFmt w:val="bullet"/>
      <w:lvlText w:val="•"/>
      <w:lvlJc w:val="left"/>
      <w:pPr>
        <w:ind w:left="5862" w:hanging="360"/>
      </w:pPr>
    </w:lvl>
    <w:lvl w:ilvl="7">
      <w:start w:val="0"/>
      <w:numFmt w:val="bullet"/>
      <w:lvlText w:val="•"/>
      <w:lvlJc w:val="left"/>
      <w:pPr>
        <w:ind w:left="6846" w:hanging="360"/>
      </w:pPr>
    </w:lvl>
    <w:lvl w:ilvl="8">
      <w:start w:val="0"/>
      <w:numFmt w:val="bullet"/>
      <w:lvlText w:val="•"/>
      <w:lvlJc w:val="left"/>
      <w:pPr>
        <w:ind w:left="7831" w:hanging="360"/>
      </w:pPr>
    </w:lvl>
  </w:abstractNum>
  <w:num w:numId="1" w16cid:durableId="2112895130">
    <w:abstractNumId w:val="0"/>
  </w:num>
  <w:num w:numId="2" w16cid:durableId="1663505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2E"/>
    <w:rsid w:val="00344442"/>
    <w:rsid w:val="00385D2E"/>
    <w:rsid w:val="00BE575D"/>
    <w:rsid w:val="00CE19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DF843B"/>
  <w15:docId w15:val="{68A40682-DF61-4CF0-B520-6C388B13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227"/>
      <w:outlineLvl w:val="0"/>
    </w:pPr>
    <w:rPr>
      <w:b/>
      <w:bCs/>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34"/>
    <w:qFormat/>
    <w:pPr>
      <w:ind w:left="227" w:hanging="360"/>
    </w:pPr>
  </w:style>
  <w:style w:type="paragraph" w:customStyle="1" w:styleId="TableParagraph">
    <w:name w:val="Table Paragraph"/>
    <w:basedOn w:val="Normal"/>
    <w:uiPriority w:val="1"/>
    <w:qFormat/>
  </w:style>
  <w:style w:type="paragraph" w:customStyle="1" w:styleId="Default">
    <w:name w:val="Default"/>
    <w:rsid w:val="00640ED1"/>
    <w:pPr>
      <w:widowControl/>
      <w:adjustRightInd w:val="0"/>
    </w:pPr>
    <w:rPr>
      <w:color w:val="000000"/>
      <w:sz w:val="24"/>
      <w:szCs w:val="24"/>
    </w:rPr>
  </w:style>
  <w:style w:type="character" w:styleId="CommentReference">
    <w:name w:val="annotation reference"/>
    <w:basedOn w:val="DefaultParagraphFont"/>
    <w:rsid w:val="00480970"/>
    <w:rPr>
      <w:sz w:val="16"/>
      <w:szCs w:val="16"/>
    </w:rPr>
  </w:style>
  <w:style w:type="paragraph" w:styleId="CommentText">
    <w:name w:val="annotation text"/>
    <w:basedOn w:val="Normal"/>
    <w:link w:val="CommentTextChar"/>
    <w:rsid w:val="00480970"/>
    <w:pPr>
      <w:widowControl/>
    </w:pPr>
    <w:rPr>
      <w:sz w:val="20"/>
      <w:szCs w:val="20"/>
    </w:rPr>
  </w:style>
  <w:style w:type="character" w:customStyle="1" w:styleId="CommentTextChar">
    <w:name w:val="Comment Text Char"/>
    <w:basedOn w:val="DefaultParagraphFont"/>
    <w:link w:val="CommentText"/>
    <w:rsid w:val="00480970"/>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armen.benson@tetratech.co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EK9fFCpOX1DhF3yWeqNCzDb9Gg==">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4486</Characters>
  <Application>Microsoft Office Word</Application>
  <DocSecurity>0</DocSecurity>
  <Lines>37</Lines>
  <Paragraphs>10</Paragraphs>
  <ScaleCrop>false</ScaleCrop>
  <Company>USAID</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Byce, Carmen</dc:creator>
  <cp:lastModifiedBy>Hamilton, Kelly L. (M/MS/IRD)</cp:lastModifiedBy>
  <cp:revision>2</cp:revision>
  <dcterms:created xsi:type="dcterms:W3CDTF">2023-03-17T18:42:00Z</dcterms:created>
  <dcterms:modified xsi:type="dcterms:W3CDTF">2023-03-17T18:42:00Z</dcterms:modified>
</cp:coreProperties>
</file>