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F4E" w:rsidRDefault="006C0F4E" w:rsidP="006C0F4E">
      <w:pPr>
        <w:pStyle w:val="Default"/>
        <w:rPr>
          <w:sz w:val="22"/>
          <w:szCs w:val="22"/>
        </w:rPr>
      </w:pPr>
      <w:bookmarkStart w:id="0" w:name="_GoBack"/>
      <w:bookmarkEnd w:id="0"/>
      <w:r>
        <w:rPr>
          <w:b/>
          <w:bCs/>
          <w:sz w:val="28"/>
          <w:szCs w:val="28"/>
        </w:rPr>
        <w:t>N</w:t>
      </w:r>
      <w:r>
        <w:rPr>
          <w:b/>
          <w:bCs/>
          <w:sz w:val="22"/>
          <w:szCs w:val="22"/>
        </w:rPr>
        <w:t xml:space="preserve">EW </w:t>
      </w:r>
      <w:r>
        <w:rPr>
          <w:b/>
          <w:bCs/>
          <w:sz w:val="28"/>
          <w:szCs w:val="28"/>
        </w:rPr>
        <w:t>M</w:t>
      </w:r>
      <w:r>
        <w:rPr>
          <w:b/>
          <w:bCs/>
          <w:sz w:val="22"/>
          <w:szCs w:val="22"/>
        </w:rPr>
        <w:t xml:space="preserve">ATERIAL </w:t>
      </w:r>
    </w:p>
    <w:p w:rsidR="006C0F4E" w:rsidRDefault="006C0F4E" w:rsidP="006C0F4E">
      <w:pPr>
        <w:pStyle w:val="Default"/>
        <w:rPr>
          <w:sz w:val="22"/>
          <w:szCs w:val="22"/>
        </w:rPr>
      </w:pPr>
      <w:r>
        <w:rPr>
          <w:b/>
          <w:bCs/>
          <w:sz w:val="28"/>
          <w:szCs w:val="28"/>
        </w:rPr>
        <w:t>P</w:t>
      </w:r>
      <w:r>
        <w:rPr>
          <w:b/>
          <w:bCs/>
          <w:sz w:val="22"/>
          <w:szCs w:val="22"/>
        </w:rPr>
        <w:t xml:space="preserve">URPOSE </w:t>
      </w:r>
    </w:p>
    <w:p w:rsidR="006C0F4E" w:rsidRDefault="006C0F4E" w:rsidP="006C0F4E">
      <w:pPr>
        <w:pStyle w:val="Default"/>
        <w:rPr>
          <w:sz w:val="23"/>
          <w:szCs w:val="23"/>
        </w:rPr>
      </w:pPr>
      <w:r>
        <w:rPr>
          <w:sz w:val="23"/>
          <w:szCs w:val="23"/>
        </w:rPr>
        <w:t xml:space="preserve">The purpose of the </w:t>
      </w:r>
      <w:r>
        <w:rPr>
          <w:b/>
          <w:bCs/>
          <w:sz w:val="23"/>
          <w:szCs w:val="23"/>
        </w:rPr>
        <w:t xml:space="preserve">New Material </w:t>
      </w:r>
      <w:r>
        <w:rPr>
          <w:sz w:val="23"/>
          <w:szCs w:val="23"/>
        </w:rPr>
        <w:t xml:space="preserve">Page is to enter new Marketing Material. </w:t>
      </w:r>
    </w:p>
    <w:p w:rsidR="006C0F4E" w:rsidRDefault="006C0F4E" w:rsidP="006C0F4E">
      <w:pPr>
        <w:pStyle w:val="Default"/>
        <w:rPr>
          <w:sz w:val="23"/>
          <w:szCs w:val="23"/>
        </w:rPr>
      </w:pPr>
      <w:r>
        <w:rPr>
          <w:sz w:val="23"/>
          <w:szCs w:val="23"/>
        </w:rPr>
        <w:t>As part of the HPMS Marketing Module data entry flow, users must select either “New Material” or “New MCE Material”</w:t>
      </w:r>
    </w:p>
    <w:p w:rsidR="006C0F4E" w:rsidRDefault="006C0F4E" w:rsidP="006C0F4E">
      <w:pPr>
        <w:pStyle w:val="Default"/>
        <w:rPr>
          <w:sz w:val="23"/>
          <w:szCs w:val="23"/>
        </w:rPr>
      </w:pPr>
      <w:r>
        <w:rPr>
          <w:sz w:val="23"/>
          <w:szCs w:val="23"/>
        </w:rPr>
        <w:t xml:space="preserve">from the right navigation dropdown. </w:t>
      </w:r>
    </w:p>
    <w:p w:rsidR="006C0F4E" w:rsidRDefault="006C0F4E" w:rsidP="006C0F4E">
      <w:pPr>
        <w:pStyle w:val="Default"/>
        <w:rPr>
          <w:sz w:val="23"/>
          <w:szCs w:val="23"/>
        </w:rPr>
      </w:pPr>
      <w:r>
        <w:rPr>
          <w:sz w:val="23"/>
          <w:szCs w:val="23"/>
        </w:rPr>
        <w:t xml:space="preserve">When “New Material” is selected, only Contract Numbers associated with the user currently logged into the HPMS Marketing Module will be displayed in the “*Contract Number / Name” drop-down list. </w:t>
      </w:r>
    </w:p>
    <w:p w:rsidR="006C0F4E" w:rsidRDefault="006C0F4E">
      <w:pPr>
        <w:rPr>
          <w:b/>
          <w:bCs/>
          <w:color w:val="000000"/>
          <w:sz w:val="23"/>
          <w:szCs w:val="23"/>
        </w:rPr>
      </w:pPr>
      <w:r>
        <w:rPr>
          <w:b/>
          <w:bCs/>
          <w:sz w:val="23"/>
          <w:szCs w:val="23"/>
        </w:rPr>
        <w:br w:type="page"/>
      </w:r>
    </w:p>
    <w:p w:rsidR="006C0F4E" w:rsidRDefault="006C0F4E" w:rsidP="006C0F4E">
      <w:pPr>
        <w:pStyle w:val="Default"/>
        <w:rPr>
          <w:b/>
          <w:bCs/>
          <w:sz w:val="23"/>
          <w:szCs w:val="23"/>
        </w:rPr>
      </w:pPr>
      <w:r>
        <w:rPr>
          <w:b/>
          <w:bCs/>
          <w:sz w:val="23"/>
          <w:szCs w:val="23"/>
        </w:rPr>
        <w:lastRenderedPageBreak/>
        <w:t>Figure 2: New Material Page</w:t>
      </w:r>
    </w:p>
    <w:p w:rsidR="006C0F4E" w:rsidRDefault="006C0F4E" w:rsidP="006C0F4E">
      <w:pPr>
        <w:pStyle w:val="Default"/>
        <w:rPr>
          <w:sz w:val="23"/>
          <w:szCs w:val="23"/>
        </w:rPr>
      </w:pPr>
      <w:r w:rsidRPr="006C0F4E">
        <w:rPr>
          <w:noProof/>
          <w:sz w:val="23"/>
          <w:szCs w:val="23"/>
        </w:rPr>
        <w:drawing>
          <wp:inline distT="0" distB="0" distL="0" distR="0" wp14:anchorId="6B2145BA" wp14:editId="767CEDB3">
            <wp:extent cx="5593100" cy="80867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8268" cy="8108656"/>
                    </a:xfrm>
                    <a:prstGeom prst="rect">
                      <a:avLst/>
                    </a:prstGeom>
                    <a:noFill/>
                    <a:ln>
                      <a:noFill/>
                    </a:ln>
                  </pic:spPr>
                </pic:pic>
              </a:graphicData>
            </a:graphic>
          </wp:inline>
        </w:drawing>
      </w:r>
    </w:p>
    <w:p w:rsidR="006C0F4E" w:rsidRDefault="006C0F4E" w:rsidP="006C0F4E">
      <w:pPr>
        <w:pStyle w:val="Default"/>
        <w:pageBreakBefore/>
        <w:rPr>
          <w:sz w:val="23"/>
          <w:szCs w:val="23"/>
        </w:rPr>
      </w:pPr>
      <w:r>
        <w:rPr>
          <w:b/>
          <w:bCs/>
          <w:i/>
          <w:iCs/>
          <w:sz w:val="16"/>
          <w:szCs w:val="16"/>
        </w:rPr>
        <w:lastRenderedPageBreak/>
        <w:t xml:space="preserve">INFORMATION NOT RELEASABLE TO THE PUBLIC UNLESS AUTHORIZED BY LAW: </w:t>
      </w:r>
      <w:r>
        <w:rPr>
          <w:sz w:val="16"/>
          <w:szCs w:val="16"/>
        </w:rPr>
        <w:t xml:space="preserve">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 </w:t>
      </w:r>
      <w:r>
        <w:rPr>
          <w:sz w:val="23"/>
          <w:szCs w:val="23"/>
        </w:rPr>
        <w:t xml:space="preserve">14 </w:t>
      </w:r>
    </w:p>
    <w:p w:rsidR="006C0F4E" w:rsidRDefault="006C0F4E" w:rsidP="006C0F4E">
      <w:pPr>
        <w:pStyle w:val="Default"/>
        <w:rPr>
          <w:sz w:val="22"/>
          <w:szCs w:val="22"/>
        </w:rPr>
      </w:pPr>
      <w:r>
        <w:rPr>
          <w:b/>
          <w:bCs/>
          <w:sz w:val="28"/>
          <w:szCs w:val="28"/>
        </w:rPr>
        <w:t>W</w:t>
      </w:r>
      <w:r>
        <w:rPr>
          <w:b/>
          <w:bCs/>
          <w:sz w:val="22"/>
          <w:szCs w:val="22"/>
        </w:rPr>
        <w:t xml:space="preserve">ORKFLOW </w:t>
      </w:r>
    </w:p>
    <w:p w:rsidR="006C0F4E" w:rsidRDefault="006C0F4E" w:rsidP="006C0F4E">
      <w:pPr>
        <w:pStyle w:val="Default"/>
        <w:rPr>
          <w:sz w:val="23"/>
          <w:szCs w:val="23"/>
        </w:rPr>
      </w:pPr>
      <w:r>
        <w:rPr>
          <w:sz w:val="23"/>
          <w:szCs w:val="23"/>
        </w:rPr>
        <w:t xml:space="preserve">1. Click on the “New Material” link from the right navigation dropdown. </w:t>
      </w:r>
    </w:p>
    <w:p w:rsidR="006C0F4E" w:rsidRDefault="006C0F4E" w:rsidP="006C0F4E">
      <w:pPr>
        <w:pStyle w:val="Default"/>
        <w:rPr>
          <w:sz w:val="23"/>
          <w:szCs w:val="23"/>
        </w:rPr>
      </w:pPr>
      <w:r>
        <w:rPr>
          <w:sz w:val="23"/>
          <w:szCs w:val="23"/>
        </w:rPr>
        <w:t xml:space="preserve">2. Enter the required data in the appropriate fields located on the New Material page. a. Click on the drop-down menus and select the appropriate information for each data field (see the Relevant Data Fields below). </w:t>
      </w:r>
    </w:p>
    <w:p w:rsidR="006C0F4E" w:rsidRDefault="006C0F4E" w:rsidP="006C0F4E">
      <w:pPr>
        <w:pStyle w:val="Default"/>
        <w:rPr>
          <w:sz w:val="23"/>
          <w:szCs w:val="23"/>
        </w:rPr>
      </w:pPr>
      <w:r>
        <w:rPr>
          <w:sz w:val="23"/>
          <w:szCs w:val="23"/>
        </w:rPr>
        <w:t xml:space="preserve">b. For data fields without a drop-down menu, click in the field or tab to the field and type in the information. </w:t>
      </w:r>
    </w:p>
    <w:p w:rsidR="006C0F4E" w:rsidRDefault="006C0F4E" w:rsidP="006C0F4E">
      <w:pPr>
        <w:pStyle w:val="Default"/>
        <w:rPr>
          <w:sz w:val="23"/>
          <w:szCs w:val="23"/>
        </w:rPr>
      </w:pPr>
    </w:p>
    <w:p w:rsidR="00A2665F" w:rsidRDefault="00A2665F"/>
    <w:sectPr w:rsidR="00A2665F" w:rsidSect="006C0F4E">
      <w:headerReference w:type="default" r:id="rId8"/>
      <w:footerReference w:type="default" r:id="rId9"/>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F52" w:rsidRDefault="00954F52" w:rsidP="006C0F4E">
      <w:r>
        <w:separator/>
      </w:r>
    </w:p>
  </w:endnote>
  <w:endnote w:type="continuationSeparator" w:id="0">
    <w:p w:rsidR="00954F52" w:rsidRDefault="00954F52" w:rsidP="006C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F4E" w:rsidRDefault="006C0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F52" w:rsidRDefault="00954F52" w:rsidP="006C0F4E">
      <w:r>
        <w:separator/>
      </w:r>
    </w:p>
  </w:footnote>
  <w:footnote w:type="continuationSeparator" w:id="0">
    <w:p w:rsidR="00954F52" w:rsidRDefault="00954F52" w:rsidP="006C0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F4E" w:rsidRDefault="006C0F4E" w:rsidP="006C0F4E">
    <w:pPr>
      <w:pStyle w:val="Default"/>
      <w:rPr>
        <w:b/>
        <w:bCs/>
        <w:sz w:val="28"/>
        <w:szCs w:val="28"/>
      </w:rPr>
    </w:pPr>
    <w:r>
      <w:rPr>
        <w:b/>
        <w:bCs/>
        <w:sz w:val="28"/>
        <w:szCs w:val="28"/>
      </w:rPr>
      <w:t>Pages 12 – 14 of the HPMS User Guide</w:t>
    </w:r>
  </w:p>
  <w:p w:rsidR="006C0F4E" w:rsidRPr="006C0F4E" w:rsidRDefault="006C0F4E" w:rsidP="006C0F4E">
    <w:pPr>
      <w:pStyle w:val="Default"/>
      <w:rPr>
        <w:bCs/>
        <w:sz w:val="28"/>
        <w:szCs w:val="28"/>
      </w:rPr>
    </w:pPr>
    <w:r w:rsidRPr="006C0F4E">
      <w:rPr>
        <w:bCs/>
        <w:sz w:val="28"/>
        <w:szCs w:val="28"/>
      </w:rPr>
      <w:t>These pages are the material that is relevant to the PRA package CMS-10260</w:t>
    </w:r>
  </w:p>
  <w:p w:rsidR="006C0F4E" w:rsidRDefault="006C0F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4E"/>
    <w:rsid w:val="0006175B"/>
    <w:rsid w:val="000B2758"/>
    <w:rsid w:val="000E5EC2"/>
    <w:rsid w:val="000F2F8A"/>
    <w:rsid w:val="00105CCC"/>
    <w:rsid w:val="00147BB7"/>
    <w:rsid w:val="0019330A"/>
    <w:rsid w:val="001B6AEA"/>
    <w:rsid w:val="001D0BA9"/>
    <w:rsid w:val="00240C14"/>
    <w:rsid w:val="00260351"/>
    <w:rsid w:val="00274101"/>
    <w:rsid w:val="00292D8A"/>
    <w:rsid w:val="002A40DC"/>
    <w:rsid w:val="002B4090"/>
    <w:rsid w:val="00383D27"/>
    <w:rsid w:val="003B4EE4"/>
    <w:rsid w:val="00433E31"/>
    <w:rsid w:val="00485278"/>
    <w:rsid w:val="004A1C7A"/>
    <w:rsid w:val="004A3B65"/>
    <w:rsid w:val="00514D0B"/>
    <w:rsid w:val="00535109"/>
    <w:rsid w:val="0054349B"/>
    <w:rsid w:val="005571A5"/>
    <w:rsid w:val="00564636"/>
    <w:rsid w:val="00570AE2"/>
    <w:rsid w:val="005A4D8A"/>
    <w:rsid w:val="005F66B8"/>
    <w:rsid w:val="00603B89"/>
    <w:rsid w:val="00616075"/>
    <w:rsid w:val="00684FD0"/>
    <w:rsid w:val="006C0F4E"/>
    <w:rsid w:val="006C7C29"/>
    <w:rsid w:val="00734B8A"/>
    <w:rsid w:val="0082705D"/>
    <w:rsid w:val="00870275"/>
    <w:rsid w:val="0088213D"/>
    <w:rsid w:val="008A5FFB"/>
    <w:rsid w:val="008C2CEB"/>
    <w:rsid w:val="00954F52"/>
    <w:rsid w:val="009B20B4"/>
    <w:rsid w:val="009D7590"/>
    <w:rsid w:val="009D7E4C"/>
    <w:rsid w:val="009E1A58"/>
    <w:rsid w:val="00A2665F"/>
    <w:rsid w:val="00A938B3"/>
    <w:rsid w:val="00AF621C"/>
    <w:rsid w:val="00B45141"/>
    <w:rsid w:val="00BA01C6"/>
    <w:rsid w:val="00BF1F2D"/>
    <w:rsid w:val="00C0546D"/>
    <w:rsid w:val="00C3026C"/>
    <w:rsid w:val="00C46E4E"/>
    <w:rsid w:val="00C766A9"/>
    <w:rsid w:val="00CD50E2"/>
    <w:rsid w:val="00CF5EEB"/>
    <w:rsid w:val="00D34A08"/>
    <w:rsid w:val="00D45901"/>
    <w:rsid w:val="00D652D5"/>
    <w:rsid w:val="00D82BDC"/>
    <w:rsid w:val="00D84873"/>
    <w:rsid w:val="00DD4C67"/>
    <w:rsid w:val="00DD7A91"/>
    <w:rsid w:val="00E64B03"/>
    <w:rsid w:val="00E975D5"/>
    <w:rsid w:val="00EF294F"/>
    <w:rsid w:val="00F20CE7"/>
    <w:rsid w:val="00F2633C"/>
    <w:rsid w:val="00F32A6D"/>
    <w:rsid w:val="00F7661C"/>
    <w:rsid w:val="00FA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0F4E"/>
    <w:pPr>
      <w:autoSpaceDE w:val="0"/>
      <w:autoSpaceDN w:val="0"/>
      <w:adjustRightInd w:val="0"/>
    </w:pPr>
    <w:rPr>
      <w:color w:val="000000"/>
    </w:rPr>
  </w:style>
  <w:style w:type="paragraph" w:styleId="Header">
    <w:name w:val="header"/>
    <w:basedOn w:val="Normal"/>
    <w:link w:val="HeaderChar"/>
    <w:uiPriority w:val="99"/>
    <w:unhideWhenUsed/>
    <w:rsid w:val="006C0F4E"/>
    <w:pPr>
      <w:tabs>
        <w:tab w:val="center" w:pos="4680"/>
        <w:tab w:val="right" w:pos="9360"/>
      </w:tabs>
    </w:pPr>
  </w:style>
  <w:style w:type="character" w:customStyle="1" w:styleId="HeaderChar">
    <w:name w:val="Header Char"/>
    <w:basedOn w:val="DefaultParagraphFont"/>
    <w:link w:val="Header"/>
    <w:uiPriority w:val="99"/>
    <w:rsid w:val="006C0F4E"/>
  </w:style>
  <w:style w:type="paragraph" w:styleId="Footer">
    <w:name w:val="footer"/>
    <w:basedOn w:val="Normal"/>
    <w:link w:val="FooterChar"/>
    <w:uiPriority w:val="99"/>
    <w:unhideWhenUsed/>
    <w:rsid w:val="006C0F4E"/>
    <w:pPr>
      <w:tabs>
        <w:tab w:val="center" w:pos="4680"/>
        <w:tab w:val="right" w:pos="9360"/>
      </w:tabs>
    </w:pPr>
  </w:style>
  <w:style w:type="character" w:customStyle="1" w:styleId="FooterChar">
    <w:name w:val="Footer Char"/>
    <w:basedOn w:val="DefaultParagraphFont"/>
    <w:link w:val="Footer"/>
    <w:uiPriority w:val="99"/>
    <w:rsid w:val="006C0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0F4E"/>
    <w:pPr>
      <w:autoSpaceDE w:val="0"/>
      <w:autoSpaceDN w:val="0"/>
      <w:adjustRightInd w:val="0"/>
    </w:pPr>
    <w:rPr>
      <w:color w:val="000000"/>
    </w:rPr>
  </w:style>
  <w:style w:type="paragraph" w:styleId="Header">
    <w:name w:val="header"/>
    <w:basedOn w:val="Normal"/>
    <w:link w:val="HeaderChar"/>
    <w:uiPriority w:val="99"/>
    <w:unhideWhenUsed/>
    <w:rsid w:val="006C0F4E"/>
    <w:pPr>
      <w:tabs>
        <w:tab w:val="center" w:pos="4680"/>
        <w:tab w:val="right" w:pos="9360"/>
      </w:tabs>
    </w:pPr>
  </w:style>
  <w:style w:type="character" w:customStyle="1" w:styleId="HeaderChar">
    <w:name w:val="Header Char"/>
    <w:basedOn w:val="DefaultParagraphFont"/>
    <w:link w:val="Header"/>
    <w:uiPriority w:val="99"/>
    <w:rsid w:val="006C0F4E"/>
  </w:style>
  <w:style w:type="paragraph" w:styleId="Footer">
    <w:name w:val="footer"/>
    <w:basedOn w:val="Normal"/>
    <w:link w:val="FooterChar"/>
    <w:uiPriority w:val="99"/>
    <w:unhideWhenUsed/>
    <w:rsid w:val="006C0F4E"/>
    <w:pPr>
      <w:tabs>
        <w:tab w:val="center" w:pos="4680"/>
        <w:tab w:val="right" w:pos="9360"/>
      </w:tabs>
    </w:pPr>
  </w:style>
  <w:style w:type="character" w:customStyle="1" w:styleId="FooterChar">
    <w:name w:val="Footer Char"/>
    <w:basedOn w:val="DefaultParagraphFont"/>
    <w:link w:val="Footer"/>
    <w:uiPriority w:val="99"/>
    <w:rsid w:val="006C0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CANAVAN</dc:creator>
  <cp:keywords/>
  <dc:description/>
  <cp:lastModifiedBy>SYSTEM</cp:lastModifiedBy>
  <cp:revision>2</cp:revision>
  <dcterms:created xsi:type="dcterms:W3CDTF">2018-11-21T13:44:00Z</dcterms:created>
  <dcterms:modified xsi:type="dcterms:W3CDTF">2018-11-21T13:44:00Z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1004909136</vt:i4>
  </property>
  <property fmtid="{D5CDD505-2E9C-101B-9397-08002B2CF9AE}" pid="3" name="_NewReviewCycle">
    <vt:lpwstr/>
  </property>
  <property fmtid="{D5CDD505-2E9C-101B-9397-08002B2CF9AE}" pid="4" name="_EmailSubject">
    <vt:lpwstr>0938–1051  Medicare Advantage and Prescription Drug Program: Final Marketing Provisions </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-878852102</vt:i4>
  </property>
  <property fmtid="{D5CDD505-2E9C-101B-9397-08002B2CF9AE}" pid="8" name="_ReviewingToolsShownOnce">
    <vt:lpwstr/>
  </property>
</Properties>
</file>