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589D" w:rsidP="00FE589D" w14:paraId="6B99C616" w14:textId="5722F3BB">
      <w:pPr>
        <w:spacing w:before="100" w:beforeAutospacing="1" w:after="100" w:afterAutospacing="1"/>
        <w:jc w:val="center"/>
      </w:pPr>
      <w:r>
        <w:t>United States Food and Drug Administration</w:t>
      </w:r>
    </w:p>
    <w:p w:rsidR="00CE0697" w:rsidP="00CE0697" w14:paraId="1921E963" w14:textId="77777777">
      <w:pPr>
        <w:jc w:val="center"/>
      </w:pPr>
      <w:r w:rsidRPr="00944EA8">
        <w:t xml:space="preserve">Perceptions of Prescription Drug Products </w:t>
      </w:r>
      <w:r>
        <w:t>w</w:t>
      </w:r>
      <w:r w:rsidRPr="00944EA8">
        <w:t>ith Medication Tracking Capabilities</w:t>
      </w:r>
      <w:r>
        <w:t xml:space="preserve"> </w:t>
      </w:r>
    </w:p>
    <w:p w:rsidR="00FE589D" w:rsidP="00623173" w14:paraId="3B0CDEBD" w14:textId="2854756B">
      <w:pPr>
        <w:spacing w:before="100" w:beforeAutospacing="1" w:after="100" w:afterAutospacing="1"/>
        <w:jc w:val="center"/>
      </w:pPr>
      <w:r>
        <w:t>OMB Control No. 0910-NEW</w:t>
      </w:r>
    </w:p>
    <w:p w:rsidR="006A4708" w:rsidP="0089531D" w14:paraId="69016C9C" w14:textId="045E34F3">
      <w:pPr>
        <w:spacing w:before="100" w:beforeAutospacing="1" w:after="100" w:afterAutospacing="1"/>
        <w:jc w:val="center"/>
      </w:pPr>
      <w:r>
        <w:t>SUPPORTING STATEMENT</w:t>
      </w:r>
    </w:p>
    <w:p w:rsidR="00CA557D" w:rsidRPr="009F3E4A" w:rsidP="00CA557D" w14:paraId="42A1FBDC" w14:textId="4B737A1D">
      <w:pPr>
        <w:spacing w:before="100" w:beforeAutospacing="1" w:after="100" w:afterAutospacing="1"/>
        <w:rPr>
          <w:b/>
          <w:bCs/>
        </w:rPr>
      </w:pPr>
      <w:r w:rsidRPr="009F3E4A">
        <w:rPr>
          <w:b/>
          <w:bCs/>
        </w:rPr>
        <w:t xml:space="preserve">Part </w:t>
      </w:r>
      <w:r w:rsidRPr="009F3E4A">
        <w:rPr>
          <w:b/>
          <w:bCs/>
        </w:rPr>
        <w:t>B</w:t>
      </w:r>
      <w:r w:rsidR="009F3E4A">
        <w:rPr>
          <w:b/>
          <w:bCs/>
        </w:rPr>
        <w:t xml:space="preserve">: </w:t>
      </w:r>
      <w:r w:rsidR="001715C5">
        <w:rPr>
          <w:b/>
          <w:bCs/>
        </w:rPr>
        <w:t xml:space="preserve"> </w:t>
      </w:r>
      <w:r w:rsidRPr="009F3E4A">
        <w:rPr>
          <w:b/>
          <w:bCs/>
        </w:rPr>
        <w:t>Statistical Methods</w:t>
      </w:r>
      <w:r w:rsidR="009F3E4A">
        <w:rPr>
          <w:b/>
          <w:bCs/>
        </w:rPr>
        <w:t>:</w:t>
      </w:r>
      <w:r w:rsidRPr="009F3E4A">
        <w:rPr>
          <w:b/>
          <w:bCs/>
        </w:rPr>
        <w:t xml:space="preserve"> </w:t>
      </w:r>
    </w:p>
    <w:p w:rsidR="00E4486A" w:rsidRPr="00E4486A" w:rsidP="00E01604" w14:paraId="44160746" w14:textId="21473E87">
      <w:pPr>
        <w:widowControl w:val="0"/>
        <w:numPr>
          <w:ilvl w:val="0"/>
          <w:numId w:val="1"/>
        </w:numPr>
        <w:autoSpaceDE w:val="0"/>
        <w:autoSpaceDN w:val="0"/>
        <w:adjustRightInd w:val="0"/>
        <w:spacing w:before="100" w:beforeAutospacing="1" w:after="100" w:afterAutospacing="1"/>
      </w:pPr>
      <w:r w:rsidRPr="00307250">
        <w:rPr>
          <w:u w:val="single"/>
        </w:rPr>
        <w:t>Respondent Universe and Sampling Methods</w:t>
      </w:r>
    </w:p>
    <w:p w:rsidR="00E4486A" w:rsidRPr="00E4486A" w:rsidP="00E4486A" w14:paraId="4B58879A" w14:textId="45C35D7F">
      <w:pPr>
        <w:pStyle w:val="L1-FlLSp12"/>
        <w:spacing w:after="0" w:line="240" w:lineRule="auto"/>
        <w:rPr>
          <w:rFonts w:ascii="Times New Roman" w:hAnsi="Times New Roman" w:cs="Times New Roman"/>
        </w:rPr>
      </w:pPr>
      <w:r>
        <w:rPr>
          <w:rFonts w:ascii="Times New Roman" w:hAnsi="Times New Roman" w:cs="Times New Roman"/>
        </w:rPr>
        <w:t>P</w:t>
      </w:r>
      <w:r w:rsidRPr="00E4486A">
        <w:rPr>
          <w:rFonts w:ascii="Times New Roman" w:hAnsi="Times New Roman" w:cs="Times New Roman"/>
        </w:rPr>
        <w:t>rimary care physicians (PCPs) and consumers</w:t>
      </w:r>
      <w:r>
        <w:rPr>
          <w:rFonts w:ascii="Times New Roman" w:hAnsi="Times New Roman" w:cs="Times New Roman"/>
        </w:rPr>
        <w:t xml:space="preserve"> will be recruited for participation in this research</w:t>
      </w:r>
      <w:r w:rsidRPr="00E4486A">
        <w:rPr>
          <w:rFonts w:ascii="Times New Roman" w:hAnsi="Times New Roman" w:cs="Times New Roman"/>
        </w:rPr>
        <w:t>.</w:t>
      </w:r>
      <w:r>
        <w:rPr>
          <w:rFonts w:ascii="Times New Roman" w:hAnsi="Times New Roman" w:cs="Times New Roman"/>
        </w:rPr>
        <w:t xml:space="preserve"> </w:t>
      </w:r>
      <w:r w:rsidR="00084D6E">
        <w:rPr>
          <w:rFonts w:ascii="Times New Roman" w:hAnsi="Times New Roman" w:cs="Times New Roman"/>
        </w:rPr>
        <w:t xml:space="preserve"> </w:t>
      </w:r>
      <w:r w:rsidRPr="00E4486A">
        <w:rPr>
          <w:rFonts w:ascii="Times New Roman" w:hAnsi="Times New Roman" w:cs="Times New Roman"/>
        </w:rPr>
        <w:t xml:space="preserve">The sample for </w:t>
      </w:r>
      <w:r>
        <w:rPr>
          <w:rFonts w:ascii="Times New Roman" w:hAnsi="Times New Roman" w:cs="Times New Roman"/>
        </w:rPr>
        <w:t xml:space="preserve">the </w:t>
      </w:r>
      <w:r w:rsidRPr="00E4486A">
        <w:rPr>
          <w:rFonts w:ascii="Times New Roman" w:hAnsi="Times New Roman" w:cs="Times New Roman"/>
        </w:rPr>
        <w:t>pretest and main study will be drawn from Kantar’s opt-in</w:t>
      </w:r>
      <w:r w:rsidR="009F3E4A">
        <w:rPr>
          <w:rFonts w:ascii="Times New Roman" w:hAnsi="Times New Roman" w:cs="Times New Roman"/>
        </w:rPr>
        <w:t xml:space="preserve"> </w:t>
      </w:r>
      <w:r w:rsidRPr="00E4486A">
        <w:rPr>
          <w:rFonts w:ascii="Times New Roman" w:hAnsi="Times New Roman" w:cs="Times New Roman"/>
        </w:rPr>
        <w:t>panel using a screener. National estimates will not be derived from the recruited groups, so there are no weighting procedures. The randomized experimental design, together with attention to obtaining a sufficiently diverse mix of participants, will ensure the internal validity of the results.</w:t>
      </w:r>
    </w:p>
    <w:p w:rsidR="00E4486A" w:rsidP="00E4486A" w14:paraId="58D5DB0D" w14:textId="77777777">
      <w:pPr>
        <w:pStyle w:val="L1-FlLSp12"/>
        <w:spacing w:after="0" w:line="240" w:lineRule="auto"/>
        <w:rPr>
          <w:rFonts w:ascii="Times New Roman" w:hAnsi="Times New Roman" w:cs="Times New Roman"/>
        </w:rPr>
      </w:pPr>
    </w:p>
    <w:p w:rsidR="00E4486A" w:rsidP="00E4486A" w14:paraId="02E2A174" w14:textId="72E6AC66">
      <w:pPr>
        <w:pStyle w:val="L1-FlLSp12"/>
        <w:spacing w:after="0" w:line="240" w:lineRule="auto"/>
        <w:rPr>
          <w:rFonts w:ascii="Times New Roman" w:hAnsi="Times New Roman" w:cs="Times New Roman"/>
        </w:rPr>
      </w:pPr>
      <w:r w:rsidRPr="00E4486A">
        <w:rPr>
          <w:rFonts w:ascii="Times New Roman" w:hAnsi="Times New Roman" w:cs="Times New Roman"/>
        </w:rPr>
        <w:t>Kantar will recruit 50 consumers and 50 PCPs for the pretest and 350 consumers and 350 PCPs for the main study. Within each of the two groups (consumer and PCPs), individuals will be randomly</w:t>
      </w:r>
      <w:r w:rsidRPr="00E4486A">
        <w:rPr>
          <w:rFonts w:ascii="Times New Roman" w:hAnsi="Times New Roman" w:cs="Times New Roman"/>
          <w:b/>
        </w:rPr>
        <w:t xml:space="preserve"> </w:t>
      </w:r>
      <w:r w:rsidRPr="00E4486A">
        <w:rPr>
          <w:rFonts w:ascii="Times New Roman" w:hAnsi="Times New Roman" w:cs="Times New Roman"/>
        </w:rPr>
        <w:t xml:space="preserve">assigned to one of five experimental conditions for both the pretest and main study. </w:t>
      </w:r>
      <w:r w:rsidR="00084D6E">
        <w:rPr>
          <w:rFonts w:ascii="Times New Roman" w:hAnsi="Times New Roman" w:cs="Times New Roman"/>
        </w:rPr>
        <w:t xml:space="preserve"> </w:t>
      </w:r>
      <w:r w:rsidRPr="00E4486A">
        <w:rPr>
          <w:rFonts w:ascii="Times New Roman" w:hAnsi="Times New Roman" w:cs="Times New Roman"/>
        </w:rPr>
        <w:t xml:space="preserve">Efforts will be made to include </w:t>
      </w:r>
      <w:r w:rsidR="00FF30D9">
        <w:rPr>
          <w:rFonts w:ascii="Times New Roman" w:hAnsi="Times New Roman" w:cs="Times New Roman"/>
        </w:rPr>
        <w:t xml:space="preserve">a </w:t>
      </w:r>
      <w:r w:rsidRPr="00E4486A">
        <w:rPr>
          <w:rFonts w:ascii="Times New Roman" w:hAnsi="Times New Roman" w:cs="Times New Roman"/>
        </w:rPr>
        <w:t>mix of demographic characteristics (age, gender, race/ethnicity, etc.) to the extent possible.</w:t>
      </w:r>
      <w:r w:rsidR="00084D6E">
        <w:rPr>
          <w:rFonts w:ascii="Times New Roman" w:hAnsi="Times New Roman" w:cs="Times New Roman"/>
        </w:rPr>
        <w:t xml:space="preserve"> </w:t>
      </w:r>
      <w:r w:rsidRPr="00E4486A">
        <w:rPr>
          <w:rFonts w:ascii="Times New Roman" w:hAnsi="Times New Roman" w:cs="Times New Roman"/>
        </w:rPr>
        <w:t xml:space="preserve"> Individuals participating in prior phases of the study will be excluded from the pretest and the main study.</w:t>
      </w:r>
    </w:p>
    <w:p w:rsidR="00E4486A" w:rsidRPr="00E4486A" w:rsidP="00E4486A" w14:paraId="6B9608E1" w14:textId="77777777">
      <w:pPr>
        <w:pStyle w:val="L1-FlLSp12"/>
        <w:spacing w:after="0" w:line="240" w:lineRule="auto"/>
        <w:rPr>
          <w:rFonts w:ascii="Times New Roman" w:hAnsi="Times New Roman" w:cs="Times New Roman"/>
        </w:rPr>
      </w:pPr>
    </w:p>
    <w:p w:rsidR="00E4486A" w:rsidRPr="00E4486A" w:rsidP="00E4486A" w14:paraId="4A4F8C35" w14:textId="35471DE0">
      <w:pPr>
        <w:pStyle w:val="L1-FlLSp12"/>
        <w:spacing w:after="0" w:line="240" w:lineRule="auto"/>
        <w:rPr>
          <w:rFonts w:ascii="Times New Roman" w:hAnsi="Times New Roman" w:cs="Times New Roman"/>
        </w:rPr>
      </w:pPr>
      <w:r w:rsidRPr="00E4486A">
        <w:rPr>
          <w:rFonts w:ascii="Times New Roman" w:hAnsi="Times New Roman" w:cs="Times New Roman"/>
        </w:rPr>
        <w:t>To recruit participants, Kantar will initially send a recruitment email and screener to identify eligible PCPs (Appendix A1) and consumers (Appendix A2).</w:t>
      </w:r>
      <w:r w:rsidR="00084D6E">
        <w:rPr>
          <w:rFonts w:ascii="Times New Roman" w:hAnsi="Times New Roman" w:cs="Times New Roman"/>
        </w:rPr>
        <w:t xml:space="preserve"> </w:t>
      </w:r>
      <w:r w:rsidRPr="00E4486A">
        <w:rPr>
          <w:rFonts w:ascii="Times New Roman" w:hAnsi="Times New Roman" w:cs="Times New Roman"/>
        </w:rPr>
        <w:t>The screener will include questions for all inclusion and exclusion criteria.</w:t>
      </w:r>
      <w:r w:rsidR="00084D6E">
        <w:rPr>
          <w:rFonts w:ascii="Times New Roman" w:hAnsi="Times New Roman" w:cs="Times New Roman"/>
        </w:rPr>
        <w:t xml:space="preserve"> </w:t>
      </w:r>
      <w:r w:rsidRPr="00E4486A">
        <w:rPr>
          <w:rFonts w:ascii="Times New Roman" w:hAnsi="Times New Roman" w:cs="Times New Roman"/>
        </w:rPr>
        <w:t xml:space="preserve">To qualify for this study, PCPs must be board-certified in family medicine, </w:t>
      </w:r>
      <w:r w:rsidR="00DA2ED8">
        <w:rPr>
          <w:rFonts w:ascii="Times New Roman" w:hAnsi="Times New Roman" w:cs="Times New Roman"/>
        </w:rPr>
        <w:t xml:space="preserve">in </w:t>
      </w:r>
      <w:r w:rsidRPr="00E4486A">
        <w:rPr>
          <w:rFonts w:ascii="Times New Roman" w:hAnsi="Times New Roman" w:cs="Times New Roman"/>
        </w:rPr>
        <w:t xml:space="preserve">internal medicine, or as a general practitioner; spend at least </w:t>
      </w:r>
      <w:r w:rsidR="00236BC8">
        <w:rPr>
          <w:rFonts w:ascii="Times New Roman" w:hAnsi="Times New Roman" w:cs="Times New Roman"/>
        </w:rPr>
        <w:t>50</w:t>
      </w:r>
      <w:r w:rsidRPr="00E4486A" w:rsidR="00236BC8">
        <w:rPr>
          <w:rFonts w:ascii="Times New Roman" w:hAnsi="Times New Roman" w:cs="Times New Roman"/>
        </w:rPr>
        <w:t xml:space="preserve"> </w:t>
      </w:r>
      <w:r w:rsidRPr="00E4486A">
        <w:rPr>
          <w:rFonts w:ascii="Times New Roman" w:hAnsi="Times New Roman" w:cs="Times New Roman"/>
        </w:rPr>
        <w:t>percent of their time on patient care</w:t>
      </w:r>
      <w:r w:rsidR="00ED181A">
        <w:rPr>
          <w:rFonts w:ascii="Times New Roman" w:hAnsi="Times New Roman" w:cs="Times New Roman"/>
        </w:rPr>
        <w:t>;</w:t>
      </w:r>
      <w:r w:rsidRPr="00E4486A">
        <w:rPr>
          <w:rFonts w:ascii="Times New Roman" w:hAnsi="Times New Roman" w:cs="Times New Roman"/>
        </w:rPr>
        <w:t xml:space="preserve"> and treat </w:t>
      </w:r>
      <w:r w:rsidR="00236BC8">
        <w:rPr>
          <w:rFonts w:ascii="Times New Roman" w:hAnsi="Times New Roman" w:cs="Times New Roman"/>
        </w:rPr>
        <w:t>1</w:t>
      </w:r>
      <w:r w:rsidRPr="00E4486A" w:rsidR="00236BC8">
        <w:rPr>
          <w:rFonts w:ascii="Times New Roman" w:hAnsi="Times New Roman" w:cs="Times New Roman"/>
        </w:rPr>
        <w:t xml:space="preserve"> </w:t>
      </w:r>
      <w:r w:rsidRPr="00E4486A">
        <w:rPr>
          <w:rFonts w:ascii="Times New Roman" w:hAnsi="Times New Roman" w:cs="Times New Roman"/>
        </w:rPr>
        <w:t>or more diabetes patients monthly.</w:t>
      </w:r>
      <w:r w:rsidR="00084D6E">
        <w:rPr>
          <w:rFonts w:ascii="Times New Roman" w:hAnsi="Times New Roman" w:cs="Times New Roman"/>
        </w:rPr>
        <w:t xml:space="preserve"> </w:t>
      </w:r>
      <w:r w:rsidRPr="00E4486A">
        <w:rPr>
          <w:rFonts w:ascii="Times New Roman" w:hAnsi="Times New Roman" w:cs="Times New Roman"/>
        </w:rPr>
        <w:t>Eligible consumers must be 18 or older</w:t>
      </w:r>
      <w:r w:rsidR="00ED181A">
        <w:rPr>
          <w:rFonts w:ascii="Times New Roman" w:hAnsi="Times New Roman" w:cs="Times New Roman"/>
        </w:rPr>
        <w:t>,</w:t>
      </w:r>
      <w:r w:rsidRPr="00E4486A">
        <w:rPr>
          <w:rFonts w:ascii="Times New Roman" w:hAnsi="Times New Roman" w:cs="Times New Roman"/>
        </w:rPr>
        <w:t xml:space="preserve"> have been diagnosed with </w:t>
      </w:r>
      <w:r w:rsidR="001A2C9F">
        <w:rPr>
          <w:rFonts w:ascii="Times New Roman" w:hAnsi="Times New Roman" w:cs="Times New Roman"/>
        </w:rPr>
        <w:t xml:space="preserve">type 2 </w:t>
      </w:r>
      <w:r w:rsidRPr="00E4486A">
        <w:rPr>
          <w:rFonts w:ascii="Times New Roman" w:hAnsi="Times New Roman" w:cs="Times New Roman"/>
        </w:rPr>
        <w:t>diabetes by a healthcare provider</w:t>
      </w:r>
      <w:r w:rsidR="00ED181A">
        <w:rPr>
          <w:rFonts w:ascii="Times New Roman" w:hAnsi="Times New Roman" w:cs="Times New Roman"/>
        </w:rPr>
        <w:t>,</w:t>
      </w:r>
      <w:r w:rsidRPr="00E4486A">
        <w:rPr>
          <w:rFonts w:ascii="Times New Roman" w:hAnsi="Times New Roman" w:cs="Times New Roman"/>
        </w:rPr>
        <w:t xml:space="preserve"> </w:t>
      </w:r>
      <w:r w:rsidR="00ED181A">
        <w:rPr>
          <w:rFonts w:ascii="Times New Roman" w:hAnsi="Times New Roman" w:cs="Times New Roman"/>
        </w:rPr>
        <w:t xml:space="preserve">be </w:t>
      </w:r>
      <w:r w:rsidRPr="00E4486A">
        <w:rPr>
          <w:rFonts w:ascii="Times New Roman" w:hAnsi="Times New Roman" w:cs="Times New Roman"/>
        </w:rPr>
        <w:t>currently receiving treatment for type 2 diabetes</w:t>
      </w:r>
      <w:r w:rsidR="00ED181A">
        <w:rPr>
          <w:rFonts w:ascii="Times New Roman" w:hAnsi="Times New Roman" w:cs="Times New Roman"/>
        </w:rPr>
        <w:t>,</w:t>
      </w:r>
      <w:r w:rsidRPr="00E4486A">
        <w:rPr>
          <w:rFonts w:ascii="Times New Roman" w:hAnsi="Times New Roman" w:cs="Times New Roman"/>
        </w:rPr>
        <w:t xml:space="preserve"> and be comfortable speaking and reading English.  Consumers who are employed as healthcare professional</w:t>
      </w:r>
      <w:r w:rsidR="00D40836">
        <w:rPr>
          <w:rFonts w:ascii="Times New Roman" w:hAnsi="Times New Roman" w:cs="Times New Roman"/>
        </w:rPr>
        <w:t>s</w:t>
      </w:r>
      <w:r w:rsidRPr="00E4486A">
        <w:rPr>
          <w:rFonts w:ascii="Times New Roman" w:hAnsi="Times New Roman" w:cs="Times New Roman"/>
        </w:rPr>
        <w:t xml:space="preserve"> will be ineligible for the consumer sample. PCPs and consumers who work for market research firms, advertising firms, pharmaceutical companies, or the U.S. Department of Health and Human Services are not eligible for the study.</w:t>
      </w:r>
      <w:r w:rsidR="00084D6E">
        <w:rPr>
          <w:rFonts w:ascii="Times New Roman" w:hAnsi="Times New Roman" w:cs="Times New Roman"/>
        </w:rPr>
        <w:t xml:space="preserve"> </w:t>
      </w:r>
      <w:r w:rsidRPr="00E4486A">
        <w:rPr>
          <w:rFonts w:ascii="Times New Roman" w:hAnsi="Times New Roman" w:cs="Times New Roman"/>
        </w:rPr>
        <w:t xml:space="preserve">PCPs and consumers who have participated in focus groups or interview-based research in the last </w:t>
      </w:r>
      <w:r w:rsidR="009F5D9C">
        <w:rPr>
          <w:rFonts w:ascii="Times New Roman" w:hAnsi="Times New Roman" w:cs="Times New Roman"/>
        </w:rPr>
        <w:t>3</w:t>
      </w:r>
      <w:r w:rsidRPr="00E4486A" w:rsidR="009F5D9C">
        <w:rPr>
          <w:rFonts w:ascii="Times New Roman" w:hAnsi="Times New Roman" w:cs="Times New Roman"/>
        </w:rPr>
        <w:t xml:space="preserve"> </w:t>
      </w:r>
      <w:r w:rsidRPr="00E4486A">
        <w:rPr>
          <w:rFonts w:ascii="Times New Roman" w:hAnsi="Times New Roman" w:cs="Times New Roman"/>
        </w:rPr>
        <w:t xml:space="preserve">months are also not eligible. </w:t>
      </w:r>
    </w:p>
    <w:p w:rsidR="00CA557D" w:rsidRPr="00E00EA0" w:rsidP="00D40836" w14:paraId="5AE1ADF5" w14:textId="77777777">
      <w:pPr>
        <w:keepNext/>
        <w:numPr>
          <w:ilvl w:val="0"/>
          <w:numId w:val="1"/>
        </w:numPr>
        <w:spacing w:before="100" w:beforeAutospacing="1" w:after="100" w:afterAutospacing="1"/>
        <w:rPr>
          <w:u w:val="single"/>
        </w:rPr>
      </w:pPr>
      <w:r w:rsidRPr="00E00EA0">
        <w:rPr>
          <w:u w:val="single"/>
        </w:rPr>
        <w:t>Procedures for the Collection of Information</w:t>
      </w:r>
    </w:p>
    <w:p w:rsidR="007C4303" w:rsidP="00D40836" w14:paraId="6EE133C6" w14:textId="0451F51E">
      <w:pPr>
        <w:keepNext/>
        <w:contextualSpacing/>
      </w:pPr>
      <w:r>
        <w:t>Part A of the supporting statement described the rationale for conducting the study.</w:t>
      </w:r>
      <w:r w:rsidR="00084D6E">
        <w:t xml:space="preserve"> </w:t>
      </w:r>
      <w:r w:rsidRPr="22C41EC6">
        <w:t>We have the following specific questions:</w:t>
      </w:r>
    </w:p>
    <w:p w:rsidR="007D1784" w:rsidRPr="00B145DD" w:rsidP="00D40836" w14:paraId="215FF77D" w14:textId="77777777">
      <w:pPr>
        <w:keepNext/>
        <w:overflowPunct w:val="0"/>
        <w:autoSpaceDE w:val="0"/>
        <w:autoSpaceDN w:val="0"/>
        <w:adjustRightInd w:val="0"/>
        <w:ind w:firstLine="720"/>
        <w:contextualSpacing/>
        <w:textAlignment w:val="baseline"/>
      </w:pPr>
    </w:p>
    <w:p w:rsidR="007C4303" w:rsidP="00D40836" w14:paraId="508C35C1" w14:textId="79A64BAD">
      <w:pPr>
        <w:keepNext/>
        <w:rPr>
          <w:bCs/>
        </w:rPr>
      </w:pPr>
      <w:r w:rsidRPr="00756BD1">
        <w:rPr>
          <w:bCs/>
          <w:i/>
          <w:iCs/>
        </w:rPr>
        <w:t>Research questions</w:t>
      </w:r>
      <w:r w:rsidRPr="0020771D">
        <w:rPr>
          <w:bCs/>
        </w:rPr>
        <w:t>:</w:t>
      </w:r>
    </w:p>
    <w:p w:rsidR="007D1784" w:rsidRPr="0020771D" w:rsidP="00D40836" w14:paraId="7BB220CF" w14:textId="77777777">
      <w:pPr>
        <w:keepNext/>
        <w:rPr>
          <w:bCs/>
        </w:rPr>
      </w:pPr>
    </w:p>
    <w:p w:rsidR="007C4303" w:rsidP="00D40836" w14:paraId="2DF70CA6" w14:textId="7BA193DD">
      <w:pPr>
        <w:pStyle w:val="ListParagraph"/>
        <w:keepNext/>
        <w:numPr>
          <w:ilvl w:val="0"/>
          <w:numId w:val="21"/>
        </w:numPr>
      </w:pPr>
      <w:r>
        <w:t xml:space="preserve">When prescription drug promotional communications include claims about </w:t>
      </w:r>
      <w:r w:rsidRPr="00AA70E6">
        <w:t>a</w:t>
      </w:r>
      <w:r>
        <w:t xml:space="preserve"> product’s ability to track medication use, do these claims </w:t>
      </w:r>
      <w:r w:rsidRPr="22C41EC6">
        <w:t xml:space="preserve">influence </w:t>
      </w:r>
      <w:r>
        <w:t>perceptions about the product’s risks and/or benefits (including its effect on medication adherence)</w:t>
      </w:r>
      <w:r w:rsidRPr="22C41EC6">
        <w:t xml:space="preserve">? </w:t>
      </w:r>
    </w:p>
    <w:p w:rsidR="007D1784" w:rsidP="007D1784" w14:paraId="00B2906E" w14:textId="77777777">
      <w:pPr>
        <w:pStyle w:val="ListParagraph"/>
      </w:pPr>
    </w:p>
    <w:p w:rsidR="007D1784" w:rsidP="00084D6E" w14:paraId="03C6B201" w14:textId="52178B3E">
      <w:pPr>
        <w:pStyle w:val="ListParagraph"/>
        <w:numPr>
          <w:ilvl w:val="0"/>
          <w:numId w:val="21"/>
        </w:numPr>
      </w:pPr>
      <w:r>
        <w:t xml:space="preserve">If the promotional claims about the product’s ability to track medication use are accompanied by </w:t>
      </w:r>
      <w:r w:rsidRPr="00B145DD">
        <w:t xml:space="preserve">a </w:t>
      </w:r>
      <w:r>
        <w:t>disclosure</w:t>
      </w:r>
      <w:r w:rsidRPr="00B145DD">
        <w:t xml:space="preserve"> </w:t>
      </w:r>
      <w:r>
        <w:t xml:space="preserve">that describes what is known about the effect </w:t>
      </w:r>
      <w:r w:rsidRPr="00B145DD">
        <w:t xml:space="preserve">of medication tracking </w:t>
      </w:r>
      <w:r>
        <w:t>on medication adherence, does this have an</w:t>
      </w:r>
      <w:r w:rsidRPr="00B145DD">
        <w:t xml:space="preserve"> influence</w:t>
      </w:r>
      <w:r>
        <w:t xml:space="preserve"> on</w:t>
      </w:r>
      <w:r w:rsidRPr="00B145DD">
        <w:t xml:space="preserve"> </w:t>
      </w:r>
      <w:r>
        <w:t>perceptions of the product’s risks and/or benefits (including its effect on medication adherence)?</w:t>
      </w:r>
      <w:r w:rsidRPr="00B145DD">
        <w:t xml:space="preserve"> </w:t>
      </w:r>
    </w:p>
    <w:p w:rsidR="007D1784" w:rsidRPr="00B145DD" w:rsidP="007D1784" w14:paraId="1BFAE8EE" w14:textId="77777777"/>
    <w:p w:rsidR="007C4303" w:rsidP="007D1784" w14:paraId="7DDE9624" w14:textId="7814CEB6">
      <w:pPr>
        <w:overflowPunct w:val="0"/>
        <w:autoSpaceDE w:val="0"/>
        <w:autoSpaceDN w:val="0"/>
        <w:adjustRightInd w:val="0"/>
        <w:contextualSpacing/>
        <w:textAlignment w:val="baseline"/>
      </w:pPr>
      <w:r w:rsidRPr="00B145DD">
        <w:t>To complete this research, we propose the design</w:t>
      </w:r>
      <w:r>
        <w:t xml:space="preserve"> in table 1</w:t>
      </w:r>
      <w:r w:rsidRPr="00B145DD">
        <w:t xml:space="preserve">, which varies </w:t>
      </w:r>
      <w:r>
        <w:t>based on:</w:t>
      </w:r>
      <w:r w:rsidRPr="00B145DD">
        <w:t xml:space="preserve"> </w:t>
      </w:r>
    </w:p>
    <w:p w:rsidR="007D1784" w:rsidP="007D1784" w14:paraId="514B1FEA" w14:textId="77777777">
      <w:pPr>
        <w:overflowPunct w:val="0"/>
        <w:autoSpaceDE w:val="0"/>
        <w:autoSpaceDN w:val="0"/>
        <w:adjustRightInd w:val="0"/>
        <w:contextualSpacing/>
        <w:textAlignment w:val="baseline"/>
      </w:pPr>
    </w:p>
    <w:p w:rsidR="007C4303" w:rsidP="007D1784" w14:paraId="5F32CDD9" w14:textId="7F69F636">
      <w:pPr>
        <w:pStyle w:val="ListParagraph"/>
        <w:numPr>
          <w:ilvl w:val="0"/>
          <w:numId w:val="20"/>
        </w:numPr>
        <w:overflowPunct w:val="0"/>
        <w:autoSpaceDE w:val="0"/>
        <w:autoSpaceDN w:val="0"/>
        <w:adjustRightInd w:val="0"/>
        <w:textAlignment w:val="baseline"/>
      </w:pPr>
      <w:r>
        <w:t>W</w:t>
      </w:r>
      <w:r w:rsidRPr="00943753">
        <w:t xml:space="preserve">hether the fictitious prescription drug product </w:t>
      </w:r>
      <w:r>
        <w:t>includes technology</w:t>
      </w:r>
      <w:r w:rsidRPr="00943753">
        <w:t xml:space="preserve"> that </w:t>
      </w:r>
      <w:r>
        <w:t>tracks</w:t>
      </w:r>
      <w:r w:rsidRPr="00943753">
        <w:t xml:space="preserve"> medication use</w:t>
      </w:r>
      <w:r w:rsidR="00F45EF6">
        <w:t>,</w:t>
      </w:r>
    </w:p>
    <w:p w:rsidR="007D1784" w:rsidP="007D1784" w14:paraId="061B0DE2" w14:textId="77777777">
      <w:pPr>
        <w:pStyle w:val="ListParagraph"/>
        <w:overflowPunct w:val="0"/>
        <w:autoSpaceDE w:val="0"/>
        <w:autoSpaceDN w:val="0"/>
        <w:adjustRightInd w:val="0"/>
        <w:ind w:left="1080"/>
        <w:textAlignment w:val="baseline"/>
      </w:pPr>
    </w:p>
    <w:p w:rsidR="007C4303" w:rsidP="007D1784" w14:paraId="3B0FF7E4" w14:textId="1F175F58">
      <w:pPr>
        <w:pStyle w:val="ListParagraph"/>
        <w:numPr>
          <w:ilvl w:val="0"/>
          <w:numId w:val="20"/>
        </w:numPr>
        <w:overflowPunct w:val="0"/>
        <w:autoSpaceDE w:val="0"/>
        <w:autoSpaceDN w:val="0"/>
        <w:adjustRightInd w:val="0"/>
        <w:textAlignment w:val="baseline"/>
      </w:pPr>
      <w:r>
        <w:t>W</w:t>
      </w:r>
      <w:r w:rsidRPr="00943753">
        <w:t xml:space="preserve">hether the </w:t>
      </w:r>
      <w:r>
        <w:t>prescription drug</w:t>
      </w:r>
      <w:r w:rsidRPr="00943753">
        <w:t xml:space="preserve"> promotional communication includes </w:t>
      </w:r>
      <w:r>
        <w:t>a disclosure describing what is known about the tracking technology’s effect on medication adherence</w:t>
      </w:r>
      <w:r w:rsidR="00F45EF6">
        <w:t>,</w:t>
      </w:r>
      <w:r>
        <w:t xml:space="preserve"> and</w:t>
      </w:r>
      <w:r w:rsidRPr="00943753">
        <w:t xml:space="preserve"> </w:t>
      </w:r>
    </w:p>
    <w:p w:rsidR="007D1784" w:rsidP="007D1784" w14:paraId="5BC01D8E" w14:textId="77777777">
      <w:pPr>
        <w:overflowPunct w:val="0"/>
        <w:autoSpaceDE w:val="0"/>
        <w:autoSpaceDN w:val="0"/>
        <w:adjustRightInd w:val="0"/>
        <w:textAlignment w:val="baseline"/>
      </w:pPr>
    </w:p>
    <w:p w:rsidR="007C4303" w:rsidRPr="00034385" w:rsidP="007D1784" w14:paraId="6EA5BB8B" w14:textId="77777777">
      <w:pPr>
        <w:pStyle w:val="ListParagraph"/>
        <w:numPr>
          <w:ilvl w:val="0"/>
          <w:numId w:val="20"/>
        </w:numPr>
        <w:overflowPunct w:val="0"/>
        <w:autoSpaceDE w:val="0"/>
        <w:autoSpaceDN w:val="0"/>
        <w:adjustRightInd w:val="0"/>
        <w:textAlignment w:val="baseline"/>
      </w:pPr>
      <w:r>
        <w:t>W</w:t>
      </w:r>
      <w:r w:rsidRPr="2DD9BC41">
        <w:t>hat the disclosure communicates about the tracking technology’s effect on medication adherence (positive effect shown, no effect shown, or unknown effect).</w:t>
      </w:r>
    </w:p>
    <w:p w:rsidR="007C4303" w:rsidRPr="004B2AC3" w:rsidP="007D1784" w14:paraId="6718BBE7" w14:textId="77777777">
      <w:pPr>
        <w:pStyle w:val="ListParagraph"/>
        <w:overflowPunct w:val="0"/>
        <w:autoSpaceDE w:val="0"/>
        <w:autoSpaceDN w:val="0"/>
        <w:adjustRightInd w:val="0"/>
        <w:ind w:left="1080"/>
        <w:textAlignment w:val="baseline"/>
      </w:pPr>
    </w:p>
    <w:p w:rsidR="0020310C" w14:paraId="3C7094A2" w14:textId="77777777">
      <w:r>
        <w:br w:type="page"/>
      </w:r>
    </w:p>
    <w:tbl>
      <w:tblPr>
        <w:tblStyle w:val="TableGrid"/>
        <w:tblW w:w="0" w:type="auto"/>
        <w:tblLook w:val="04A0"/>
      </w:tblPr>
      <w:tblGrid>
        <w:gridCol w:w="2364"/>
        <w:gridCol w:w="2328"/>
        <w:gridCol w:w="2335"/>
        <w:gridCol w:w="2333"/>
      </w:tblGrid>
      <w:tr w14:paraId="45B636A9" w14:textId="77777777" w:rsidTr="00522BE9">
        <w:tblPrEx>
          <w:tblW w:w="0" w:type="auto"/>
          <w:tblLook w:val="04A0"/>
        </w:tblPrEx>
        <w:tc>
          <w:tcPr>
            <w:tcW w:w="9360" w:type="dxa"/>
            <w:gridSpan w:val="4"/>
            <w:tcBorders>
              <w:top w:val="nil"/>
              <w:left w:val="nil"/>
              <w:bottom w:val="single" w:sz="4" w:space="0" w:color="auto"/>
              <w:right w:val="nil"/>
            </w:tcBorders>
          </w:tcPr>
          <w:p w:rsidR="007C4303" w:rsidRPr="00084D6E" w:rsidP="00477629" w14:paraId="3AED893A" w14:textId="48213164">
            <w:pPr>
              <w:keepNext/>
              <w:jc w:val="center"/>
              <w:rPr>
                <w:rFonts w:ascii="Times New Roman" w:hAnsi="Times New Roman" w:cs="Times New Roman"/>
              </w:rPr>
            </w:pPr>
            <w:r w:rsidRPr="00084D6E">
              <w:rPr>
                <w:rFonts w:ascii="Times New Roman" w:hAnsi="Times New Roman" w:cs="Times New Roman"/>
              </w:rPr>
              <w:t>Table 1--Proposed One-Way, Five-Level Design (1 x 5)</w:t>
            </w:r>
          </w:p>
        </w:tc>
      </w:tr>
      <w:tr w14:paraId="4A6DDF61" w14:textId="77777777" w:rsidTr="00522BE9">
        <w:tblPrEx>
          <w:tblW w:w="0" w:type="auto"/>
          <w:tblLook w:val="04A0"/>
        </w:tblPrEx>
        <w:tc>
          <w:tcPr>
            <w:tcW w:w="2364" w:type="dxa"/>
            <w:tcBorders>
              <w:top w:val="single" w:sz="4" w:space="0" w:color="auto"/>
            </w:tcBorders>
          </w:tcPr>
          <w:p w:rsidR="007C4303" w:rsidRPr="00084D6E" w:rsidP="00477629" w14:paraId="7A5BBAE5" w14:textId="77777777">
            <w:pPr>
              <w:keepNext/>
              <w:jc w:val="center"/>
              <w:rPr>
                <w:rFonts w:ascii="Times New Roman" w:hAnsi="Times New Roman" w:cs="Times New Roman"/>
              </w:rPr>
            </w:pPr>
            <w:r w:rsidRPr="00084D6E">
              <w:rPr>
                <w:rFonts w:ascii="Times New Roman" w:hAnsi="Times New Roman" w:cs="Times New Roman"/>
              </w:rPr>
              <w:t>Experimental</w:t>
            </w:r>
          </w:p>
          <w:p w:rsidR="007C4303" w:rsidRPr="00084D6E" w:rsidP="00477629" w14:paraId="2C1DEAAA" w14:textId="77777777">
            <w:pPr>
              <w:keepNext/>
              <w:jc w:val="center"/>
              <w:rPr>
                <w:rFonts w:ascii="Times New Roman" w:hAnsi="Times New Roman" w:cs="Times New Roman"/>
              </w:rPr>
            </w:pPr>
            <w:r w:rsidRPr="00084D6E">
              <w:rPr>
                <w:rFonts w:ascii="Times New Roman" w:hAnsi="Times New Roman" w:cs="Times New Roman"/>
              </w:rPr>
              <w:t>Condition</w:t>
            </w:r>
          </w:p>
        </w:tc>
        <w:tc>
          <w:tcPr>
            <w:tcW w:w="2328" w:type="dxa"/>
            <w:tcBorders>
              <w:top w:val="single" w:sz="4" w:space="0" w:color="auto"/>
            </w:tcBorders>
          </w:tcPr>
          <w:p w:rsidR="007C4303" w:rsidRPr="00084D6E" w:rsidP="00477629" w14:paraId="12C03ED2" w14:textId="77777777">
            <w:pPr>
              <w:keepNext/>
              <w:jc w:val="center"/>
              <w:rPr>
                <w:rFonts w:ascii="Times New Roman" w:hAnsi="Times New Roman" w:cs="Times New Roman"/>
              </w:rPr>
            </w:pPr>
            <w:r w:rsidRPr="00084D6E">
              <w:rPr>
                <w:rFonts w:ascii="Times New Roman" w:hAnsi="Times New Roman" w:cs="Times New Roman"/>
              </w:rPr>
              <w:t>Claims About Existence of Medication Tracking Technology</w:t>
            </w:r>
          </w:p>
        </w:tc>
        <w:tc>
          <w:tcPr>
            <w:tcW w:w="2335" w:type="dxa"/>
            <w:tcBorders>
              <w:top w:val="single" w:sz="4" w:space="0" w:color="auto"/>
            </w:tcBorders>
          </w:tcPr>
          <w:p w:rsidR="007C4303" w:rsidRPr="00084D6E" w:rsidP="00477629" w14:paraId="7436C791" w14:textId="77777777">
            <w:pPr>
              <w:keepNext/>
              <w:jc w:val="center"/>
              <w:rPr>
                <w:rFonts w:ascii="Times New Roman" w:hAnsi="Times New Roman" w:cs="Times New Roman"/>
              </w:rPr>
            </w:pPr>
            <w:r w:rsidRPr="00084D6E">
              <w:rPr>
                <w:rFonts w:ascii="Times New Roman" w:hAnsi="Times New Roman" w:cs="Times New Roman"/>
              </w:rPr>
              <w:t>Disclosure About Technology’s Effect on Adherence</w:t>
            </w:r>
          </w:p>
          <w:p w:rsidR="007C4303" w:rsidRPr="00084D6E" w:rsidP="00477629" w14:paraId="7492F83D" w14:textId="77777777">
            <w:pPr>
              <w:keepNext/>
              <w:jc w:val="center"/>
              <w:rPr>
                <w:rFonts w:ascii="Times New Roman" w:hAnsi="Times New Roman" w:cs="Times New Roman"/>
              </w:rPr>
            </w:pPr>
          </w:p>
        </w:tc>
        <w:tc>
          <w:tcPr>
            <w:tcW w:w="2333" w:type="dxa"/>
            <w:tcBorders>
              <w:top w:val="single" w:sz="4" w:space="0" w:color="auto"/>
            </w:tcBorders>
          </w:tcPr>
          <w:p w:rsidR="007C4303" w:rsidRPr="00084D6E" w:rsidP="00477629" w14:paraId="454A3206" w14:textId="77777777">
            <w:pPr>
              <w:keepNext/>
              <w:jc w:val="center"/>
              <w:rPr>
                <w:rFonts w:ascii="Times New Roman" w:hAnsi="Times New Roman" w:cs="Times New Roman"/>
              </w:rPr>
            </w:pPr>
            <w:r w:rsidRPr="00084D6E">
              <w:rPr>
                <w:rFonts w:ascii="Times New Roman" w:hAnsi="Times New Roman" w:cs="Times New Roman"/>
              </w:rPr>
              <w:t>Content of Disclosure</w:t>
            </w:r>
          </w:p>
        </w:tc>
      </w:tr>
      <w:tr w14:paraId="052D9134" w14:textId="77777777" w:rsidTr="00522BE9">
        <w:tblPrEx>
          <w:tblW w:w="0" w:type="auto"/>
          <w:tblLook w:val="04A0"/>
        </w:tblPrEx>
        <w:tc>
          <w:tcPr>
            <w:tcW w:w="2364" w:type="dxa"/>
          </w:tcPr>
          <w:p w:rsidR="007C4303" w:rsidRPr="00084D6E" w:rsidP="00477629" w14:paraId="741F65DA" w14:textId="0F75C822">
            <w:pPr>
              <w:pStyle w:val="ListParagraph"/>
              <w:keepNext/>
              <w:numPr>
                <w:ilvl w:val="0"/>
                <w:numId w:val="22"/>
              </w:numPr>
              <w:rPr>
                <w:rFonts w:ascii="Times New Roman" w:hAnsi="Times New Roman" w:cs="Times New Roman"/>
              </w:rPr>
            </w:pPr>
            <w:r w:rsidRPr="00084D6E">
              <w:rPr>
                <w:rFonts w:ascii="Times New Roman" w:hAnsi="Times New Roman" w:cs="Times New Roman"/>
              </w:rPr>
              <w:t>Drug</w:t>
            </w:r>
            <w:r w:rsidRPr="00084D6E" w:rsidR="00433F5D">
              <w:rPr>
                <w:rFonts w:ascii="Times New Roman" w:hAnsi="Times New Roman" w:cs="Times New Roman"/>
              </w:rPr>
              <w:t xml:space="preserve"> </w:t>
            </w:r>
          </w:p>
        </w:tc>
        <w:tc>
          <w:tcPr>
            <w:tcW w:w="2328" w:type="dxa"/>
          </w:tcPr>
          <w:p w:rsidR="007C4303" w:rsidRPr="00084D6E" w:rsidP="00477629" w14:paraId="73933F53" w14:textId="77777777">
            <w:pPr>
              <w:keepNext/>
              <w:jc w:val="center"/>
              <w:rPr>
                <w:rFonts w:ascii="Times New Roman" w:hAnsi="Times New Roman" w:cs="Times New Roman"/>
              </w:rPr>
            </w:pPr>
            <w:r w:rsidRPr="00084D6E">
              <w:rPr>
                <w:rFonts w:ascii="Times New Roman" w:hAnsi="Times New Roman" w:cs="Times New Roman"/>
              </w:rPr>
              <w:t>No</w:t>
            </w:r>
          </w:p>
        </w:tc>
        <w:tc>
          <w:tcPr>
            <w:tcW w:w="2335" w:type="dxa"/>
          </w:tcPr>
          <w:p w:rsidR="007C4303" w:rsidRPr="00084D6E" w:rsidP="00477629" w14:paraId="72F138FA" w14:textId="77777777">
            <w:pPr>
              <w:keepNext/>
              <w:jc w:val="center"/>
              <w:rPr>
                <w:rFonts w:ascii="Times New Roman" w:hAnsi="Times New Roman" w:cs="Times New Roman"/>
              </w:rPr>
            </w:pPr>
            <w:r w:rsidRPr="00084D6E">
              <w:rPr>
                <w:rFonts w:ascii="Times New Roman" w:hAnsi="Times New Roman" w:cs="Times New Roman"/>
              </w:rPr>
              <w:t>No</w:t>
            </w:r>
          </w:p>
          <w:p w:rsidR="007C4303" w:rsidRPr="00084D6E" w:rsidP="00477629" w14:paraId="2B23C954" w14:textId="77777777">
            <w:pPr>
              <w:keepNext/>
              <w:jc w:val="center"/>
              <w:rPr>
                <w:rFonts w:ascii="Times New Roman" w:hAnsi="Times New Roman" w:cs="Times New Roman"/>
              </w:rPr>
            </w:pPr>
          </w:p>
        </w:tc>
        <w:tc>
          <w:tcPr>
            <w:tcW w:w="2333" w:type="dxa"/>
          </w:tcPr>
          <w:p w:rsidR="007C4303" w:rsidRPr="00084D6E" w:rsidP="00477629" w14:paraId="16EF74C2" w14:textId="77777777">
            <w:pPr>
              <w:keepNext/>
              <w:jc w:val="center"/>
              <w:rPr>
                <w:rFonts w:ascii="Times New Roman" w:hAnsi="Times New Roman" w:cs="Times New Roman"/>
              </w:rPr>
            </w:pPr>
            <w:r w:rsidRPr="00084D6E">
              <w:rPr>
                <w:rFonts w:ascii="Times New Roman" w:hAnsi="Times New Roman" w:cs="Times New Roman"/>
              </w:rPr>
              <w:t>---</w:t>
            </w:r>
          </w:p>
          <w:p w:rsidR="007C4303" w:rsidRPr="00084D6E" w:rsidP="00477629" w14:paraId="7B5EF6C3" w14:textId="77777777">
            <w:pPr>
              <w:keepNext/>
              <w:jc w:val="center"/>
              <w:rPr>
                <w:rFonts w:ascii="Times New Roman" w:hAnsi="Times New Roman" w:cs="Times New Roman"/>
              </w:rPr>
            </w:pPr>
          </w:p>
        </w:tc>
      </w:tr>
      <w:tr w14:paraId="64555370" w14:textId="77777777" w:rsidTr="00522BE9">
        <w:tblPrEx>
          <w:tblW w:w="0" w:type="auto"/>
          <w:tblLook w:val="04A0"/>
        </w:tblPrEx>
        <w:tc>
          <w:tcPr>
            <w:tcW w:w="2364" w:type="dxa"/>
          </w:tcPr>
          <w:p w:rsidR="007C4303" w:rsidRPr="00084D6E" w:rsidP="00477629" w14:paraId="40281CD5" w14:textId="52C3102E">
            <w:pPr>
              <w:pStyle w:val="ListParagraph"/>
              <w:keepNext/>
              <w:numPr>
                <w:ilvl w:val="0"/>
                <w:numId w:val="22"/>
              </w:numPr>
              <w:rPr>
                <w:rFonts w:ascii="Times New Roman" w:hAnsi="Times New Roman" w:cs="Times New Roman"/>
              </w:rPr>
            </w:pPr>
            <w:r w:rsidRPr="00084D6E">
              <w:rPr>
                <w:rFonts w:ascii="Times New Roman" w:hAnsi="Times New Roman" w:cs="Times New Roman"/>
              </w:rPr>
              <w:t>Drug + medication tracking technology</w:t>
            </w:r>
          </w:p>
        </w:tc>
        <w:tc>
          <w:tcPr>
            <w:tcW w:w="2328" w:type="dxa"/>
          </w:tcPr>
          <w:p w:rsidR="007C4303" w:rsidRPr="00084D6E" w:rsidP="00477629" w14:paraId="5DE6DFE8" w14:textId="77777777">
            <w:pPr>
              <w:keepNext/>
              <w:jc w:val="center"/>
              <w:rPr>
                <w:rFonts w:ascii="Times New Roman" w:hAnsi="Times New Roman" w:cs="Times New Roman"/>
              </w:rPr>
            </w:pPr>
            <w:r w:rsidRPr="00084D6E">
              <w:rPr>
                <w:rFonts w:ascii="Times New Roman" w:hAnsi="Times New Roman" w:cs="Times New Roman"/>
              </w:rPr>
              <w:t>Yes</w:t>
            </w:r>
          </w:p>
        </w:tc>
        <w:tc>
          <w:tcPr>
            <w:tcW w:w="2335" w:type="dxa"/>
          </w:tcPr>
          <w:p w:rsidR="007C4303" w:rsidRPr="00084D6E" w:rsidP="00477629" w14:paraId="7D28C0E3" w14:textId="77777777">
            <w:pPr>
              <w:keepNext/>
              <w:jc w:val="center"/>
              <w:rPr>
                <w:rFonts w:ascii="Times New Roman" w:hAnsi="Times New Roman" w:cs="Times New Roman"/>
              </w:rPr>
            </w:pPr>
            <w:r w:rsidRPr="00084D6E">
              <w:rPr>
                <w:rFonts w:ascii="Times New Roman" w:hAnsi="Times New Roman" w:cs="Times New Roman"/>
              </w:rPr>
              <w:t>No</w:t>
            </w:r>
          </w:p>
          <w:p w:rsidR="007C4303" w:rsidRPr="00084D6E" w:rsidP="00477629" w14:paraId="1F7CBD1A" w14:textId="77777777">
            <w:pPr>
              <w:keepNext/>
              <w:jc w:val="center"/>
              <w:rPr>
                <w:rFonts w:ascii="Times New Roman" w:hAnsi="Times New Roman" w:cs="Times New Roman"/>
              </w:rPr>
            </w:pPr>
          </w:p>
          <w:p w:rsidR="007C4303" w:rsidRPr="00084D6E" w:rsidP="00477629" w14:paraId="0F6F5302" w14:textId="77777777">
            <w:pPr>
              <w:keepNext/>
              <w:jc w:val="center"/>
              <w:rPr>
                <w:rFonts w:ascii="Times New Roman" w:hAnsi="Times New Roman" w:cs="Times New Roman"/>
              </w:rPr>
            </w:pPr>
          </w:p>
        </w:tc>
        <w:tc>
          <w:tcPr>
            <w:tcW w:w="2333" w:type="dxa"/>
          </w:tcPr>
          <w:p w:rsidR="007C4303" w:rsidRPr="00084D6E" w:rsidP="00477629" w14:paraId="3CD02EEC" w14:textId="77777777">
            <w:pPr>
              <w:keepNext/>
              <w:jc w:val="center"/>
              <w:rPr>
                <w:rFonts w:ascii="Times New Roman" w:hAnsi="Times New Roman" w:cs="Times New Roman"/>
              </w:rPr>
            </w:pPr>
            <w:r w:rsidRPr="00084D6E">
              <w:rPr>
                <w:rFonts w:ascii="Times New Roman" w:hAnsi="Times New Roman" w:cs="Times New Roman"/>
              </w:rPr>
              <w:t>---</w:t>
            </w:r>
          </w:p>
          <w:p w:rsidR="007C4303" w:rsidRPr="00084D6E" w:rsidP="00477629" w14:paraId="19A4DA3F" w14:textId="77777777">
            <w:pPr>
              <w:keepNext/>
              <w:jc w:val="center"/>
              <w:rPr>
                <w:rFonts w:ascii="Times New Roman" w:hAnsi="Times New Roman" w:cs="Times New Roman"/>
              </w:rPr>
            </w:pPr>
          </w:p>
        </w:tc>
      </w:tr>
      <w:tr w14:paraId="346B03C1" w14:textId="77777777" w:rsidTr="00522BE9">
        <w:tblPrEx>
          <w:tblW w:w="0" w:type="auto"/>
          <w:tblLook w:val="04A0"/>
        </w:tblPrEx>
        <w:tc>
          <w:tcPr>
            <w:tcW w:w="2364" w:type="dxa"/>
          </w:tcPr>
          <w:p w:rsidR="007C4303" w:rsidRPr="00084D6E" w:rsidP="00477629" w14:paraId="386EE480" w14:textId="4362AF5E">
            <w:pPr>
              <w:pStyle w:val="ListParagraph"/>
              <w:keepNext/>
              <w:numPr>
                <w:ilvl w:val="0"/>
                <w:numId w:val="22"/>
              </w:numPr>
              <w:rPr>
                <w:rFonts w:ascii="Times New Roman" w:hAnsi="Times New Roman" w:cs="Times New Roman"/>
              </w:rPr>
            </w:pPr>
            <w:r w:rsidRPr="00084D6E">
              <w:rPr>
                <w:rFonts w:ascii="Times New Roman" w:hAnsi="Times New Roman" w:cs="Times New Roman"/>
              </w:rPr>
              <w:t>Drug + medication tracking technology + no adherence data collected</w:t>
            </w:r>
          </w:p>
        </w:tc>
        <w:tc>
          <w:tcPr>
            <w:tcW w:w="2328" w:type="dxa"/>
          </w:tcPr>
          <w:p w:rsidR="007C4303" w:rsidRPr="00084D6E" w:rsidP="00477629" w14:paraId="1140E329" w14:textId="77777777">
            <w:pPr>
              <w:keepNext/>
              <w:jc w:val="center"/>
              <w:rPr>
                <w:rFonts w:ascii="Times New Roman" w:hAnsi="Times New Roman" w:cs="Times New Roman"/>
              </w:rPr>
            </w:pPr>
            <w:r w:rsidRPr="00084D6E">
              <w:rPr>
                <w:rFonts w:ascii="Times New Roman" w:hAnsi="Times New Roman" w:cs="Times New Roman"/>
              </w:rPr>
              <w:t>Yes</w:t>
            </w:r>
          </w:p>
        </w:tc>
        <w:tc>
          <w:tcPr>
            <w:tcW w:w="2335" w:type="dxa"/>
          </w:tcPr>
          <w:p w:rsidR="007C4303" w:rsidRPr="00084D6E" w:rsidP="00477629" w14:paraId="01575B83" w14:textId="77777777">
            <w:pPr>
              <w:keepNext/>
              <w:jc w:val="center"/>
              <w:rPr>
                <w:rFonts w:ascii="Times New Roman" w:hAnsi="Times New Roman" w:cs="Times New Roman"/>
              </w:rPr>
            </w:pPr>
            <w:r w:rsidRPr="00084D6E">
              <w:rPr>
                <w:rFonts w:ascii="Times New Roman" w:hAnsi="Times New Roman" w:cs="Times New Roman"/>
              </w:rPr>
              <w:t>Yes</w:t>
            </w:r>
          </w:p>
        </w:tc>
        <w:tc>
          <w:tcPr>
            <w:tcW w:w="2333" w:type="dxa"/>
          </w:tcPr>
          <w:p w:rsidR="007C4303" w:rsidRPr="00084D6E" w:rsidP="00477629" w14:paraId="0F5E6C3C" w14:textId="77777777">
            <w:pPr>
              <w:keepNext/>
              <w:rPr>
                <w:rFonts w:ascii="Times New Roman" w:hAnsi="Times New Roman" w:cs="Times New Roman"/>
              </w:rPr>
            </w:pPr>
            <w:r w:rsidRPr="00084D6E">
              <w:rPr>
                <w:rFonts w:ascii="Times New Roman" w:hAnsi="Times New Roman" w:cs="Times New Roman"/>
              </w:rPr>
              <w:t>No data is available on the technology’s effect on adherence</w:t>
            </w:r>
          </w:p>
        </w:tc>
      </w:tr>
      <w:tr w14:paraId="477491EB" w14:textId="77777777" w:rsidTr="00522BE9">
        <w:tblPrEx>
          <w:tblW w:w="0" w:type="auto"/>
          <w:tblLook w:val="04A0"/>
        </w:tblPrEx>
        <w:tc>
          <w:tcPr>
            <w:tcW w:w="2364" w:type="dxa"/>
          </w:tcPr>
          <w:p w:rsidR="007C4303" w:rsidRPr="00084D6E" w:rsidP="00477629" w14:paraId="087BCCCF" w14:textId="1A601A32">
            <w:pPr>
              <w:pStyle w:val="ListParagraph"/>
              <w:keepNext/>
              <w:numPr>
                <w:ilvl w:val="0"/>
                <w:numId w:val="22"/>
              </w:numPr>
              <w:rPr>
                <w:rFonts w:ascii="Times New Roman" w:hAnsi="Times New Roman" w:cs="Times New Roman"/>
              </w:rPr>
            </w:pPr>
            <w:r w:rsidRPr="00084D6E">
              <w:rPr>
                <w:rFonts w:ascii="Times New Roman" w:hAnsi="Times New Roman" w:cs="Times New Roman"/>
              </w:rPr>
              <w:t>Drug + medication tracking technology + data show no effect on adherence</w:t>
            </w:r>
          </w:p>
        </w:tc>
        <w:tc>
          <w:tcPr>
            <w:tcW w:w="2328" w:type="dxa"/>
          </w:tcPr>
          <w:p w:rsidR="007C4303" w:rsidRPr="00084D6E" w:rsidP="00477629" w14:paraId="106CDA2F" w14:textId="77777777">
            <w:pPr>
              <w:keepNext/>
              <w:jc w:val="center"/>
              <w:rPr>
                <w:rFonts w:ascii="Times New Roman" w:hAnsi="Times New Roman" w:cs="Times New Roman"/>
              </w:rPr>
            </w:pPr>
            <w:r w:rsidRPr="00084D6E">
              <w:rPr>
                <w:rFonts w:ascii="Times New Roman" w:hAnsi="Times New Roman" w:cs="Times New Roman"/>
              </w:rPr>
              <w:t>Yes</w:t>
            </w:r>
          </w:p>
        </w:tc>
        <w:tc>
          <w:tcPr>
            <w:tcW w:w="2335" w:type="dxa"/>
          </w:tcPr>
          <w:p w:rsidR="007C4303" w:rsidRPr="00084D6E" w:rsidP="00477629" w14:paraId="3AFB0904" w14:textId="77777777">
            <w:pPr>
              <w:keepNext/>
              <w:jc w:val="center"/>
              <w:rPr>
                <w:rFonts w:ascii="Times New Roman" w:hAnsi="Times New Roman" w:cs="Times New Roman"/>
              </w:rPr>
            </w:pPr>
            <w:r w:rsidRPr="00084D6E">
              <w:rPr>
                <w:rFonts w:ascii="Times New Roman" w:hAnsi="Times New Roman" w:cs="Times New Roman"/>
              </w:rPr>
              <w:t>Yes</w:t>
            </w:r>
          </w:p>
        </w:tc>
        <w:tc>
          <w:tcPr>
            <w:tcW w:w="2333" w:type="dxa"/>
          </w:tcPr>
          <w:p w:rsidR="007C4303" w:rsidRPr="00084D6E" w:rsidP="00477629" w14:paraId="4B95A8AB" w14:textId="77777777">
            <w:pPr>
              <w:keepNext/>
              <w:rPr>
                <w:rFonts w:ascii="Times New Roman" w:hAnsi="Times New Roman" w:cs="Times New Roman"/>
              </w:rPr>
            </w:pPr>
            <w:r w:rsidRPr="00084D6E">
              <w:rPr>
                <w:rFonts w:ascii="Times New Roman" w:hAnsi="Times New Roman" w:cs="Times New Roman"/>
              </w:rPr>
              <w:t>Data show the technology has no effect on adherence</w:t>
            </w:r>
          </w:p>
        </w:tc>
      </w:tr>
      <w:tr w14:paraId="1BF578B1" w14:textId="77777777" w:rsidTr="00522BE9">
        <w:tblPrEx>
          <w:tblW w:w="0" w:type="auto"/>
          <w:tblLook w:val="04A0"/>
        </w:tblPrEx>
        <w:tc>
          <w:tcPr>
            <w:tcW w:w="2364" w:type="dxa"/>
          </w:tcPr>
          <w:p w:rsidR="007C4303" w:rsidRPr="00084D6E" w:rsidP="00477629" w14:paraId="5E0ED07E" w14:textId="0C89E3BE">
            <w:pPr>
              <w:pStyle w:val="ListParagraph"/>
              <w:keepNext/>
              <w:numPr>
                <w:ilvl w:val="0"/>
                <w:numId w:val="22"/>
              </w:numPr>
              <w:rPr>
                <w:rFonts w:ascii="Times New Roman" w:hAnsi="Times New Roman" w:cs="Times New Roman"/>
              </w:rPr>
            </w:pPr>
            <w:r w:rsidRPr="00084D6E">
              <w:rPr>
                <w:rFonts w:ascii="Times New Roman" w:hAnsi="Times New Roman" w:cs="Times New Roman"/>
              </w:rPr>
              <w:t>Drug + medication tracking technology + data show a positive effect on adherence</w:t>
            </w:r>
          </w:p>
        </w:tc>
        <w:tc>
          <w:tcPr>
            <w:tcW w:w="2328" w:type="dxa"/>
          </w:tcPr>
          <w:p w:rsidR="007C4303" w:rsidRPr="00084D6E" w:rsidP="00477629" w14:paraId="79614FBB" w14:textId="77777777">
            <w:pPr>
              <w:keepNext/>
              <w:jc w:val="center"/>
              <w:rPr>
                <w:rFonts w:ascii="Times New Roman" w:hAnsi="Times New Roman" w:cs="Times New Roman"/>
              </w:rPr>
            </w:pPr>
            <w:r w:rsidRPr="00084D6E">
              <w:rPr>
                <w:rFonts w:ascii="Times New Roman" w:hAnsi="Times New Roman" w:cs="Times New Roman"/>
              </w:rPr>
              <w:t>Yes</w:t>
            </w:r>
          </w:p>
        </w:tc>
        <w:tc>
          <w:tcPr>
            <w:tcW w:w="2335" w:type="dxa"/>
          </w:tcPr>
          <w:p w:rsidR="007C4303" w:rsidRPr="00084D6E" w:rsidP="00477629" w14:paraId="253CB099" w14:textId="77777777">
            <w:pPr>
              <w:keepNext/>
              <w:jc w:val="center"/>
              <w:rPr>
                <w:rFonts w:ascii="Times New Roman" w:hAnsi="Times New Roman" w:cs="Times New Roman"/>
              </w:rPr>
            </w:pPr>
            <w:r w:rsidRPr="00084D6E">
              <w:rPr>
                <w:rFonts w:ascii="Times New Roman" w:hAnsi="Times New Roman" w:cs="Times New Roman"/>
              </w:rPr>
              <w:t>Yes</w:t>
            </w:r>
          </w:p>
        </w:tc>
        <w:tc>
          <w:tcPr>
            <w:tcW w:w="2333" w:type="dxa"/>
          </w:tcPr>
          <w:p w:rsidR="007C4303" w:rsidRPr="00084D6E" w:rsidP="00477629" w14:paraId="244F9435" w14:textId="77777777">
            <w:pPr>
              <w:keepNext/>
              <w:rPr>
                <w:rFonts w:ascii="Times New Roman" w:hAnsi="Times New Roman" w:cs="Times New Roman"/>
              </w:rPr>
            </w:pPr>
            <w:r w:rsidRPr="00084D6E">
              <w:rPr>
                <w:rFonts w:ascii="Times New Roman" w:hAnsi="Times New Roman" w:cs="Times New Roman"/>
              </w:rPr>
              <w:t>Data show the technology has a positive effect on adherence</w:t>
            </w:r>
          </w:p>
        </w:tc>
      </w:tr>
    </w:tbl>
    <w:p w:rsidR="007C4303" w:rsidRPr="00403FC1" w:rsidP="00477629" w14:paraId="3323E40F" w14:textId="57353219">
      <w:pPr>
        <w:pStyle w:val="CommentText"/>
        <w:keepNext/>
      </w:pPr>
      <w:r w:rsidRPr="00403FC1">
        <w:t xml:space="preserve">Note:  Condition 5 is the only condition in which an adherence benefit has been demonstrated for the fictitious product. The evidence required to support a medication adherence claim is not the focus of this study, and the evidence will not be described in the disclosure. </w:t>
      </w:r>
    </w:p>
    <w:p w:rsidR="007C4303" w:rsidRPr="00403FC1" w:rsidP="00477629" w14:paraId="02F0F16A" w14:textId="77777777">
      <w:pPr>
        <w:pStyle w:val="CommentText"/>
        <w:keepNext/>
      </w:pPr>
    </w:p>
    <w:p w:rsidR="007C4303" w:rsidRPr="00403FC1" w:rsidP="00477629" w14:paraId="706A1A70" w14:textId="777ABB1B">
      <w:pPr>
        <w:pStyle w:val="CommentText"/>
        <w:keepNext/>
      </w:pPr>
      <w:r w:rsidRPr="00403FC1">
        <w:t xml:space="preserve">Condition 2 is a control because the drug product does include medication tracking technology, but the promotional communication does not include a disclosure about the technology’s effect on medication adherence. Condition 1 is a true control because the drug product does not include medication tracking technology. Comparisons between </w:t>
      </w:r>
      <w:r w:rsidRPr="005535AD">
        <w:t>conditions</w:t>
      </w:r>
      <w:r w:rsidRPr="00403FC1">
        <w:t xml:space="preserve"> 1 and 2 will show us the baseline of this issue, i.e., will indicate whether the fact that the drug product contains a tracking technology will alter perceptions of risks and benefits (including adherence).</w:t>
      </w:r>
    </w:p>
    <w:p w:rsidR="007C4303" w:rsidRPr="00AC2ECC" w:rsidP="007C4303" w14:paraId="31853DF7" w14:textId="77777777">
      <w:pPr>
        <w:pStyle w:val="CommentText"/>
        <w:rPr>
          <w:sz w:val="24"/>
          <w:szCs w:val="24"/>
          <w:vertAlign w:val="superscript"/>
        </w:rPr>
      </w:pPr>
    </w:p>
    <w:p w:rsidR="007C4303" w:rsidP="00084D6E" w14:paraId="5FA70046" w14:textId="3A68E907">
      <w:pPr>
        <w:overflowPunct w:val="0"/>
        <w:autoSpaceDE w:val="0"/>
        <w:autoSpaceDN w:val="0"/>
        <w:adjustRightInd w:val="0"/>
        <w:contextualSpacing/>
        <w:textAlignment w:val="baseline"/>
      </w:pPr>
      <w:r>
        <w:t xml:space="preserve">Each participant will see one of five versions of a consumer webpage for a fictitious prescription diabetes treatment, as reflected in table 1. They will answer a </w:t>
      </w:r>
      <w:r w:rsidR="00B832E3">
        <w:t xml:space="preserve">survey </w:t>
      </w:r>
      <w:r>
        <w:t xml:space="preserve">designed to take no more than 20 minutes </w:t>
      </w:r>
      <w:r w:rsidR="001D385E">
        <w:t xml:space="preserve">to complete </w:t>
      </w:r>
      <w:r>
        <w:t>regarding their perception of the product’s benefits, risks, and effec</w:t>
      </w:r>
      <w:r w:rsidRPr="00C11707">
        <w:t>t</w:t>
      </w:r>
      <w:r>
        <w:t xml:space="preserve"> on adherence.</w:t>
      </w:r>
      <w:r>
        <w:t xml:space="preserve"> </w:t>
      </w:r>
    </w:p>
    <w:p w:rsidR="007D1784" w:rsidRPr="00A2484F" w:rsidP="00084D6E" w14:paraId="3F0918D8" w14:textId="77777777">
      <w:pPr>
        <w:overflowPunct w:val="0"/>
        <w:autoSpaceDE w:val="0"/>
        <w:autoSpaceDN w:val="0"/>
        <w:adjustRightInd w:val="0"/>
        <w:contextualSpacing/>
        <w:textAlignment w:val="baseline"/>
      </w:pPr>
    </w:p>
    <w:p w:rsidR="00873D5E" w:rsidRPr="00AE1ECA" w:rsidP="0020310C" w14:paraId="377A3E85" w14:textId="46055E20">
      <w:pPr>
        <w:pStyle w:val="BodyText"/>
        <w:keepNext/>
        <w:jc w:val="center"/>
        <w:rPr>
          <w:rFonts w:ascii="Times New Roman" w:eastAsia="Calibri" w:hAnsi="Times New Roman"/>
          <w:b/>
          <w:color w:val="000000"/>
          <w:sz w:val="24"/>
          <w:szCs w:val="24"/>
        </w:rPr>
      </w:pPr>
      <w:r w:rsidRPr="00AE1ECA">
        <w:rPr>
          <w:rFonts w:ascii="Times New Roman" w:eastAsia="Calibri" w:hAnsi="Times New Roman"/>
          <w:b/>
          <w:color w:val="000000"/>
          <w:sz w:val="24"/>
          <w:szCs w:val="24"/>
        </w:rPr>
        <w:t>Hypotheses</w:t>
      </w:r>
    </w:p>
    <w:p w:rsidR="008679AB" w:rsidRPr="008679AB" w:rsidP="0020310C" w14:paraId="193961DE" w14:textId="65C092DF">
      <w:pPr>
        <w:keepNext/>
        <w:contextualSpacing/>
      </w:pPr>
      <w:r w:rsidRPr="008679AB">
        <w:t>FDA has identified four key research questions</w:t>
      </w:r>
      <w:r w:rsidR="00B95D61">
        <w:t xml:space="preserve"> (RQs)</w:t>
      </w:r>
      <w:r w:rsidRPr="008679AB">
        <w:t xml:space="preserve"> for the study design in </w:t>
      </w:r>
      <w:r w:rsidR="00425A43">
        <w:t>t</w:t>
      </w:r>
      <w:r w:rsidRPr="008679AB">
        <w:t>able 1.</w:t>
      </w:r>
      <w:r w:rsidR="00084D6E">
        <w:t xml:space="preserve"> </w:t>
      </w:r>
      <w:r w:rsidRPr="008679AB">
        <w:t>Below we present draft hypotheses for each question.</w:t>
      </w:r>
    </w:p>
    <w:p w:rsidR="008679AB" w:rsidRPr="008679AB" w:rsidP="0020310C" w14:paraId="496C308E" w14:textId="77777777">
      <w:pPr>
        <w:keepNext/>
        <w:contextualSpacing/>
      </w:pPr>
    </w:p>
    <w:p w:rsidR="008679AB" w:rsidRPr="008679AB" w:rsidP="00084D6E" w14:paraId="568F862F" w14:textId="7998CE80">
      <w:pPr>
        <w:contextualSpacing/>
        <w:rPr>
          <w:i/>
        </w:rPr>
      </w:pPr>
      <w:r w:rsidRPr="008679AB">
        <w:rPr>
          <w:b/>
        </w:rPr>
        <w:t>RQ1</w:t>
      </w:r>
      <w:r w:rsidRPr="00817807" w:rsidR="005275EB">
        <w:rPr>
          <w:bCs/>
        </w:rPr>
        <w:t>:</w:t>
      </w:r>
      <w:r w:rsidRPr="008679AB">
        <w:t xml:space="preserve"> </w:t>
      </w:r>
      <w:r w:rsidR="005275EB">
        <w:t xml:space="preserve"> </w:t>
      </w:r>
      <w:r w:rsidRPr="008679AB">
        <w:t xml:space="preserve">Does the presence of a medication tracking device in a prescription drug product affect perceived adherence and efficacy? </w:t>
      </w:r>
    </w:p>
    <w:p w:rsidR="008679AB" w:rsidRPr="008679AB" w:rsidP="008679AB" w14:paraId="5B1BA7AB" w14:textId="77777777">
      <w:pPr>
        <w:contextualSpacing/>
        <w:rPr>
          <w:b/>
        </w:rPr>
      </w:pPr>
    </w:p>
    <w:p w:rsidR="007D7C61" w:rsidP="00084D6E" w14:paraId="234D1B80" w14:textId="0EAEA89C">
      <w:pPr>
        <w:contextualSpacing/>
      </w:pPr>
      <w:r w:rsidRPr="008679AB">
        <w:rPr>
          <w:b/>
        </w:rPr>
        <w:t>Hypotheses</w:t>
      </w:r>
      <w:r w:rsidRPr="00817807" w:rsidR="005873F0">
        <w:rPr>
          <w:bCs/>
        </w:rPr>
        <w:t>:</w:t>
      </w:r>
      <w:r w:rsidR="005873F0">
        <w:rPr>
          <w:b/>
        </w:rPr>
        <w:t xml:space="preserve"> </w:t>
      </w:r>
      <w:r w:rsidRPr="008679AB">
        <w:rPr>
          <w:b/>
        </w:rPr>
        <w:t xml:space="preserve"> </w:t>
      </w:r>
      <w:r w:rsidR="005F5384">
        <w:t>Research</w:t>
      </w:r>
      <w:r w:rsidR="00B8077E">
        <w:t xml:space="preserve"> has </w:t>
      </w:r>
      <w:r w:rsidRPr="008679AB">
        <w:t>found that in the theoretical case of medication monitoring for a chronic disease, participants reported that the technology would be an adherence-improving measure in itself</w:t>
      </w:r>
      <w:r w:rsidR="00B8077E">
        <w:t xml:space="preserve"> (Ref. 1)</w:t>
      </w:r>
      <w:r w:rsidRPr="008679AB">
        <w:t xml:space="preserve">. This suggests people are making judgements about the product’s ability to increase adherence based solely on the type of product rather than any supporting evidence. These types of mental shortcuts or heuristics </w:t>
      </w:r>
      <w:r w:rsidRPr="00023EB6">
        <w:t>(</w:t>
      </w:r>
      <w:r w:rsidRPr="00023EB6" w:rsidR="00B8077E">
        <w:t>Ref. 2)</w:t>
      </w:r>
      <w:r w:rsidRPr="00023EB6" w:rsidR="00023EB6">
        <w:t xml:space="preserve"> </w:t>
      </w:r>
      <w:r w:rsidRPr="008679AB">
        <w:t xml:space="preserve">are used by both laypersons and professionals in making judgements, particularly where there is limited information or </w:t>
      </w:r>
      <w:r w:rsidR="005C79F5">
        <w:t xml:space="preserve">the information </w:t>
      </w:r>
      <w:r w:rsidRPr="008679AB">
        <w:t>relates to an unfamiliar topic. While heuristics can be accurate and help reduce cognitive burden, they can also produce bias</w:t>
      </w:r>
      <w:r w:rsidR="009732FA">
        <w:t>ed</w:t>
      </w:r>
      <w:r w:rsidRPr="008679AB">
        <w:t xml:space="preserve"> thinking. We expect both consumers and PCPs to use heuristics. </w:t>
      </w:r>
      <w:r w:rsidR="00257F04">
        <w:t xml:space="preserve"> </w:t>
      </w:r>
      <w:r w:rsidRPr="008679AB">
        <w:t>However, PCPs will have more familiarity with medication tracking devices and will rely less on heuristics than consumers.</w:t>
      </w:r>
    </w:p>
    <w:p w:rsidR="007D7C61" w:rsidP="007D7C61" w14:paraId="01B72D7F" w14:textId="77777777">
      <w:pPr>
        <w:widowControl w:val="0"/>
        <w:autoSpaceDE w:val="0"/>
        <w:autoSpaceDN w:val="0"/>
      </w:pPr>
    </w:p>
    <w:p w:rsidR="008679AB" w:rsidRPr="008679AB" w:rsidP="00084D6E" w14:paraId="3AB83C51" w14:textId="5D871960">
      <w:pPr>
        <w:pStyle w:val="ListParagraph"/>
        <w:widowControl w:val="0"/>
        <w:numPr>
          <w:ilvl w:val="0"/>
          <w:numId w:val="34"/>
        </w:numPr>
        <w:autoSpaceDE w:val="0"/>
        <w:autoSpaceDN w:val="0"/>
      </w:pPr>
      <w:r w:rsidRPr="008679AB">
        <w:t xml:space="preserve">We hypothesize consumers viewing a </w:t>
      </w:r>
      <w:r w:rsidR="00257F04">
        <w:t xml:space="preserve">prescription drug use-related </w:t>
      </w:r>
      <w:r w:rsidR="0054167A">
        <w:t xml:space="preserve">software </w:t>
      </w:r>
      <w:r w:rsidR="003550D8">
        <w:t>(</w:t>
      </w:r>
      <w:r w:rsidRPr="008679AB">
        <w:t>PDURS</w:t>
      </w:r>
      <w:r w:rsidR="003550D8">
        <w:t>)</w:t>
      </w:r>
      <w:r w:rsidRPr="008679AB">
        <w:t xml:space="preserve"> product without any supporting information (Condition </w:t>
      </w:r>
      <w:r w:rsidR="006729E8">
        <w:t>2</w:t>
      </w:r>
      <w:r w:rsidRPr="008679AB">
        <w:t>) will use heuristics and perceive greater adherence and efficacy compared to consumers viewing a non</w:t>
      </w:r>
      <w:r w:rsidR="0054167A">
        <w:t>-</w:t>
      </w:r>
      <w:r w:rsidRPr="008679AB">
        <w:t xml:space="preserve">PDURS product (Condition </w:t>
      </w:r>
      <w:r w:rsidR="006729E8">
        <w:t>1</w:t>
      </w:r>
      <w:r w:rsidRPr="008679AB">
        <w:t xml:space="preserve">). We hypothesize a similar pattern for PCPs, but the mean difference between Condition </w:t>
      </w:r>
      <w:r w:rsidR="006729E8">
        <w:t>1</w:t>
      </w:r>
      <w:r w:rsidRPr="008679AB">
        <w:t xml:space="preserve"> and Condition </w:t>
      </w:r>
      <w:r w:rsidR="006729E8">
        <w:t>2</w:t>
      </w:r>
      <w:r w:rsidRPr="008679AB">
        <w:t xml:space="preserve"> among PCPs will be smaller than for consumers.</w:t>
      </w:r>
    </w:p>
    <w:p w:rsidR="007D7C61" w:rsidP="008679AB" w14:paraId="189ADCB3" w14:textId="77777777">
      <w:pPr>
        <w:contextualSpacing/>
        <w:rPr>
          <w:b/>
        </w:rPr>
      </w:pPr>
    </w:p>
    <w:p w:rsidR="008679AB" w:rsidRPr="008679AB" w:rsidP="00084D6E" w14:paraId="48EEB256" w14:textId="76370766">
      <w:pPr>
        <w:contextualSpacing/>
      </w:pPr>
      <w:r w:rsidRPr="008679AB">
        <w:rPr>
          <w:b/>
        </w:rPr>
        <w:t>RQ2</w:t>
      </w:r>
      <w:r w:rsidRPr="00817807" w:rsidR="005275EB">
        <w:rPr>
          <w:bCs/>
        </w:rPr>
        <w:t>:</w:t>
      </w:r>
      <w:r w:rsidR="005275EB">
        <w:rPr>
          <w:b/>
        </w:rPr>
        <w:t xml:space="preserve"> </w:t>
      </w:r>
      <w:r w:rsidRPr="008679AB">
        <w:t xml:space="preserve"> Does a disclosure about the state of knowledge regarding success of the medication tracking device with regard to adherence affect perceived adherence and efficacy?   </w:t>
      </w:r>
    </w:p>
    <w:p w:rsidR="008679AB" w:rsidRPr="008679AB" w:rsidP="008679AB" w14:paraId="083C6EF4" w14:textId="77777777"/>
    <w:p w:rsidR="008679AB" w:rsidP="00084D6E" w14:paraId="117934BA" w14:textId="52DE66C1">
      <w:r w:rsidRPr="008679AB">
        <w:rPr>
          <w:b/>
        </w:rPr>
        <w:t>Hypotheses</w:t>
      </w:r>
      <w:r w:rsidRPr="00817807">
        <w:rPr>
          <w:bCs/>
        </w:rPr>
        <w:t>:</w:t>
      </w:r>
      <w:r w:rsidRPr="008679AB">
        <w:rPr>
          <w:b/>
        </w:rPr>
        <w:t xml:space="preserve">  </w:t>
      </w:r>
      <w:r w:rsidRPr="008679AB">
        <w:t>Data supporting increased adherence for a medication tracking device should theoretically make a stronger case for adherence. However, if most consumers believe medication tracking devices increase adherence, then providing supporting information about adherence may have little influence above their prior beliefs. In contrast, we expect PCPs to value empirical data and therefore be more influenced by the presence of accompanying supportive evidence</w:t>
      </w:r>
      <w:r w:rsidRPr="008679AB">
        <w:rPr>
          <w:spacing w:val="-58"/>
        </w:rPr>
        <w:t xml:space="preserve">     </w:t>
      </w:r>
      <w:r w:rsidRPr="008679AB">
        <w:t xml:space="preserve"> for a medication tracking device.</w:t>
      </w:r>
    </w:p>
    <w:p w:rsidR="007D7C61" w:rsidRPr="008679AB" w:rsidP="008679AB" w14:paraId="21C70080" w14:textId="77777777"/>
    <w:p w:rsidR="008679AB" w:rsidRPr="008679AB" w:rsidP="00084D6E" w14:paraId="71E86BE1" w14:textId="3918E0D7">
      <w:pPr>
        <w:pStyle w:val="ListParagraph"/>
        <w:widowControl w:val="0"/>
        <w:numPr>
          <w:ilvl w:val="0"/>
          <w:numId w:val="34"/>
        </w:numPr>
        <w:autoSpaceDE w:val="0"/>
        <w:autoSpaceDN w:val="0"/>
      </w:pPr>
      <w:r w:rsidRPr="008679AB">
        <w:t xml:space="preserve">We hypothesize that perceived adherence and efficacy will be similar for consumers </w:t>
      </w:r>
      <w:r w:rsidR="00EA3659">
        <w:t>who</w:t>
      </w:r>
      <w:r w:rsidRPr="008679AB" w:rsidR="00EA3659">
        <w:t xml:space="preserve"> </w:t>
      </w:r>
      <w:r w:rsidRPr="008679AB">
        <w:t xml:space="preserve">view supportive data for a medication tracking device (Condition </w:t>
      </w:r>
      <w:r w:rsidR="006729E8">
        <w:t>5</w:t>
      </w:r>
      <w:r w:rsidRPr="008679AB">
        <w:t xml:space="preserve">) and consumers </w:t>
      </w:r>
      <w:r w:rsidR="0083574D">
        <w:t xml:space="preserve">who </w:t>
      </w:r>
      <w:r w:rsidRPr="008679AB">
        <w:t xml:space="preserve">view a medication tracking device without any supportive data (Condition </w:t>
      </w:r>
      <w:r w:rsidR="006729E8">
        <w:t>2</w:t>
      </w:r>
      <w:r w:rsidRPr="008679AB">
        <w:t xml:space="preserve">). We hypothesize that PCPs </w:t>
      </w:r>
      <w:r w:rsidR="00F16D8F">
        <w:t>assigned to</w:t>
      </w:r>
      <w:r w:rsidRPr="008679AB" w:rsidR="00F16D8F">
        <w:t xml:space="preserve"> </w:t>
      </w:r>
      <w:r w:rsidRPr="008679AB">
        <w:t xml:space="preserve">Condition </w:t>
      </w:r>
      <w:r w:rsidR="006729E8">
        <w:t>5</w:t>
      </w:r>
      <w:r w:rsidRPr="008679AB">
        <w:t xml:space="preserve"> will have greater perceived adherence and efficacy compared to PCPs </w:t>
      </w:r>
      <w:r w:rsidR="00F16D8F">
        <w:t xml:space="preserve">assigned to </w:t>
      </w:r>
      <w:r w:rsidRPr="008679AB">
        <w:t xml:space="preserve">Condition </w:t>
      </w:r>
      <w:r w:rsidR="006729E8">
        <w:t>2</w:t>
      </w:r>
      <w:r w:rsidRPr="008679AB">
        <w:t>.</w:t>
      </w:r>
    </w:p>
    <w:p w:rsidR="008679AB" w:rsidRPr="008679AB" w:rsidP="008679AB" w14:paraId="70352091" w14:textId="77777777">
      <w:pPr>
        <w:contextualSpacing/>
        <w:rPr>
          <w:b/>
        </w:rPr>
      </w:pPr>
    </w:p>
    <w:p w:rsidR="008679AB" w:rsidRPr="008679AB" w:rsidP="00084D6E" w14:paraId="412F4347" w14:textId="3823BA7C">
      <w:pPr>
        <w:contextualSpacing/>
      </w:pPr>
      <w:r w:rsidRPr="008679AB">
        <w:rPr>
          <w:b/>
        </w:rPr>
        <w:t>RQ3</w:t>
      </w:r>
      <w:r w:rsidRPr="00817807" w:rsidR="005275EB">
        <w:rPr>
          <w:bCs/>
        </w:rPr>
        <w:t>:</w:t>
      </w:r>
      <w:r w:rsidRPr="008679AB">
        <w:t xml:space="preserve">  Does the content of the disclosure (positive data, </w:t>
      </w:r>
      <w:r w:rsidR="006729E8">
        <w:t>no effect shown</w:t>
      </w:r>
      <w:r w:rsidRPr="008679AB">
        <w:t>, unknown) affect perceived adherence and efficacy?</w:t>
      </w:r>
    </w:p>
    <w:p w:rsidR="008679AB" w:rsidRPr="008679AB" w:rsidP="008679AB" w14:paraId="4D34C426" w14:textId="77777777">
      <w:pPr>
        <w:contextualSpacing/>
      </w:pPr>
    </w:p>
    <w:p w:rsidR="008679AB" w:rsidP="00084D6E" w14:paraId="7C55B8F9" w14:textId="77B7F595">
      <w:pPr>
        <w:contextualSpacing/>
      </w:pPr>
      <w:r w:rsidRPr="008679AB">
        <w:rPr>
          <w:b/>
        </w:rPr>
        <w:t>Hypotheses</w:t>
      </w:r>
      <w:r w:rsidRPr="00817807">
        <w:rPr>
          <w:bCs/>
        </w:rPr>
        <w:t>:</w:t>
      </w:r>
      <w:r w:rsidRPr="008679AB">
        <w:rPr>
          <w:b/>
        </w:rPr>
        <w:t xml:space="preserve"> </w:t>
      </w:r>
      <w:r w:rsidR="00E3759C">
        <w:rPr>
          <w:b/>
        </w:rPr>
        <w:t xml:space="preserve"> </w:t>
      </w:r>
      <w:r w:rsidRPr="008679AB">
        <w:t xml:space="preserve">Some clinicians note that a lack of evidence of Abilify MyCite to improve treatment adherence makes it difficult for them to recommend the product to patients </w:t>
      </w:r>
      <w:r w:rsidR="00B8077E">
        <w:t>(Ref. 3)</w:t>
      </w:r>
      <w:r w:rsidRPr="008679AB">
        <w:t xml:space="preserve">. </w:t>
      </w:r>
      <w:r w:rsidR="001D6F8F">
        <w:t xml:space="preserve"> </w:t>
      </w:r>
      <w:r w:rsidRPr="008679AB">
        <w:t xml:space="preserve">A </w:t>
      </w:r>
      <w:r w:rsidRPr="008679AB">
        <w:t>disclosure that indicates there is no data to support increased adherence will highlight the lack of evidence and reduce perceived adherence and efficacy.</w:t>
      </w:r>
    </w:p>
    <w:p w:rsidR="007D7C61" w:rsidRPr="008679AB" w:rsidP="008679AB" w14:paraId="25431944" w14:textId="77777777">
      <w:pPr>
        <w:contextualSpacing/>
      </w:pPr>
    </w:p>
    <w:p w:rsidR="008679AB" w:rsidP="00084D6E" w14:paraId="7FA61A1F" w14:textId="2F111302">
      <w:pPr>
        <w:pStyle w:val="ListParagraph"/>
        <w:widowControl w:val="0"/>
        <w:numPr>
          <w:ilvl w:val="0"/>
          <w:numId w:val="34"/>
        </w:numPr>
        <w:autoSpaceDE w:val="0"/>
        <w:autoSpaceDN w:val="0"/>
      </w:pPr>
      <w:r w:rsidRPr="008679AB">
        <w:t xml:space="preserve">For both consumers and PCPs, we hypothesize that the content of the disclosure will have an effect on perceived adherence and efficacy. </w:t>
      </w:r>
      <w:r w:rsidR="00941FA2">
        <w:t xml:space="preserve"> </w:t>
      </w:r>
      <w:r w:rsidRPr="008679AB">
        <w:t xml:space="preserve">In particular, a disclosure that indicates there is no data to support adherence for a medication tracking device (Condition </w:t>
      </w:r>
      <w:r w:rsidR="003D6A41">
        <w:t>4</w:t>
      </w:r>
      <w:r w:rsidRPr="008679AB">
        <w:t xml:space="preserve">) will result in lower perceived adherence and efficacy compared to a medication tracking device where the disclosure indicates there is no adherence data available (Condition 3).  Additionally, we hypothesize Condition </w:t>
      </w:r>
      <w:r w:rsidR="003D6A41">
        <w:t>5</w:t>
      </w:r>
      <w:r w:rsidRPr="008679AB">
        <w:t xml:space="preserve"> will result in greater perceived adherence and efficacy compared to Condition </w:t>
      </w:r>
      <w:r w:rsidR="003D6A41">
        <w:t>3</w:t>
      </w:r>
      <w:r w:rsidRPr="008679AB">
        <w:t xml:space="preserve"> and Condition </w:t>
      </w:r>
      <w:r w:rsidR="003D6A41">
        <w:t>4</w:t>
      </w:r>
      <w:r w:rsidRPr="008679AB">
        <w:t xml:space="preserve"> </w:t>
      </w:r>
      <w:r w:rsidR="005F33B3">
        <w:t xml:space="preserve">between </w:t>
      </w:r>
      <w:r w:rsidRPr="008679AB">
        <w:t>both consumers and PCPs.</w:t>
      </w:r>
    </w:p>
    <w:p w:rsidR="00B8077E" w:rsidRPr="008679AB" w:rsidP="003C75E8" w14:paraId="4CC79E2E" w14:textId="77777777">
      <w:pPr>
        <w:pStyle w:val="ListParagraph"/>
        <w:widowControl w:val="0"/>
        <w:autoSpaceDE w:val="0"/>
        <w:autoSpaceDN w:val="0"/>
        <w:ind w:left="1080"/>
      </w:pPr>
    </w:p>
    <w:p w:rsidR="008679AB" w:rsidP="00084D6E" w14:paraId="2245063C" w14:textId="3D130D44">
      <w:pPr>
        <w:contextualSpacing/>
      </w:pPr>
      <w:r w:rsidRPr="008679AB">
        <w:rPr>
          <w:b/>
        </w:rPr>
        <w:t>RQ4</w:t>
      </w:r>
      <w:r w:rsidRPr="00B2617D" w:rsidR="005275EB">
        <w:rPr>
          <w:bCs/>
        </w:rPr>
        <w:t>:</w:t>
      </w:r>
      <w:r w:rsidRPr="008679AB">
        <w:rPr>
          <w:b/>
        </w:rPr>
        <w:t xml:space="preserve">  </w:t>
      </w:r>
      <w:r w:rsidRPr="008679AB">
        <w:t xml:space="preserve">Do these effects differ by group (PCPs </w:t>
      </w:r>
      <w:r w:rsidR="00DF7765">
        <w:t>versus</w:t>
      </w:r>
      <w:r w:rsidRPr="008679AB">
        <w:t xml:space="preserve"> consumers)?</w:t>
      </w:r>
    </w:p>
    <w:p w:rsidR="007D7C61" w:rsidRPr="008679AB" w:rsidP="008679AB" w14:paraId="4BD01AD4" w14:textId="77777777">
      <w:pPr>
        <w:contextualSpacing/>
      </w:pPr>
    </w:p>
    <w:p w:rsidR="008679AB" w:rsidRPr="008679AB" w:rsidP="00084D6E" w14:paraId="4D0CDFB9" w14:textId="0A767312">
      <w:pPr>
        <w:pStyle w:val="BodyText"/>
        <w:spacing w:after="0" w:line="240" w:lineRule="auto"/>
        <w:rPr>
          <w:rFonts w:ascii="Times New Roman" w:hAnsi="Times New Roman"/>
          <w:sz w:val="24"/>
          <w:szCs w:val="24"/>
        </w:rPr>
      </w:pPr>
      <w:r w:rsidRPr="008679AB">
        <w:rPr>
          <w:rFonts w:ascii="Times New Roman" w:hAnsi="Times New Roman"/>
          <w:b/>
          <w:sz w:val="24"/>
          <w:szCs w:val="24"/>
        </w:rPr>
        <w:t>Hypotheses</w:t>
      </w:r>
      <w:r w:rsidRPr="00B2617D">
        <w:rPr>
          <w:rFonts w:ascii="Times New Roman" w:hAnsi="Times New Roman"/>
          <w:bCs/>
          <w:sz w:val="24"/>
          <w:szCs w:val="24"/>
        </w:rPr>
        <w:t>:</w:t>
      </w:r>
      <w:r w:rsidRPr="008679AB">
        <w:rPr>
          <w:rFonts w:ascii="Times New Roman" w:hAnsi="Times New Roman"/>
          <w:sz w:val="24"/>
          <w:szCs w:val="24"/>
        </w:rPr>
        <w:t xml:space="preserve">  As discussed earlier, we expect consumers will rely more on heuristics in making judgements about medication tracking devices </w:t>
      </w:r>
      <w:r w:rsidR="001E2A50">
        <w:rPr>
          <w:rFonts w:ascii="Times New Roman" w:hAnsi="Times New Roman"/>
          <w:sz w:val="24"/>
          <w:szCs w:val="24"/>
        </w:rPr>
        <w:t>compared to</w:t>
      </w:r>
      <w:r w:rsidRPr="008679AB" w:rsidR="001E2A50">
        <w:rPr>
          <w:rFonts w:ascii="Times New Roman" w:hAnsi="Times New Roman"/>
          <w:sz w:val="24"/>
          <w:szCs w:val="24"/>
        </w:rPr>
        <w:t xml:space="preserve"> </w:t>
      </w:r>
      <w:r w:rsidRPr="008679AB">
        <w:rPr>
          <w:rFonts w:ascii="Times New Roman" w:hAnsi="Times New Roman"/>
          <w:sz w:val="24"/>
          <w:szCs w:val="24"/>
        </w:rPr>
        <w:t>PCPs.  Relative to consumers, we expect PCPs to be more familiar with medication tracking devices and value empirical data in informing their decisions.</w:t>
      </w:r>
      <w:r w:rsidR="005275EB">
        <w:rPr>
          <w:rFonts w:ascii="Times New Roman" w:hAnsi="Times New Roman"/>
          <w:sz w:val="24"/>
          <w:szCs w:val="24"/>
        </w:rPr>
        <w:t xml:space="preserve"> </w:t>
      </w:r>
      <w:r w:rsidRPr="008679AB">
        <w:rPr>
          <w:rFonts w:ascii="Times New Roman" w:hAnsi="Times New Roman"/>
          <w:sz w:val="24"/>
          <w:szCs w:val="24"/>
        </w:rPr>
        <w:t xml:space="preserve">We expect to observe the greatest differences between PCPs and consumers in Condition </w:t>
      </w:r>
      <w:r w:rsidR="003D6A41">
        <w:rPr>
          <w:rFonts w:ascii="Times New Roman" w:hAnsi="Times New Roman"/>
          <w:sz w:val="24"/>
          <w:szCs w:val="24"/>
        </w:rPr>
        <w:t>5</w:t>
      </w:r>
      <w:r w:rsidRPr="008679AB">
        <w:rPr>
          <w:rFonts w:ascii="Times New Roman" w:hAnsi="Times New Roman"/>
          <w:sz w:val="24"/>
          <w:szCs w:val="24"/>
        </w:rPr>
        <w:t xml:space="preserve">. </w:t>
      </w:r>
    </w:p>
    <w:p w:rsidR="008679AB" w:rsidRPr="008679AB" w:rsidP="008679AB" w14:paraId="01EF9154" w14:textId="77777777">
      <w:pPr>
        <w:pStyle w:val="BodyText"/>
        <w:spacing w:after="0" w:line="240" w:lineRule="auto"/>
        <w:rPr>
          <w:rFonts w:ascii="Times New Roman" w:hAnsi="Times New Roman"/>
          <w:sz w:val="24"/>
          <w:szCs w:val="24"/>
        </w:rPr>
      </w:pPr>
    </w:p>
    <w:p w:rsidR="008679AB" w:rsidRPr="00F44949" w:rsidP="00D667FF" w14:paraId="48582930" w14:textId="2567B366">
      <w:pPr>
        <w:pStyle w:val="BodyText"/>
        <w:widowControl w:val="0"/>
        <w:numPr>
          <w:ilvl w:val="0"/>
          <w:numId w:val="34"/>
        </w:numPr>
        <w:autoSpaceDE w:val="0"/>
        <w:autoSpaceDN w:val="0"/>
        <w:spacing w:after="0" w:line="240" w:lineRule="auto"/>
        <w:rPr>
          <w:rFonts w:ascii="Times New Roman" w:hAnsi="Times New Roman"/>
          <w:sz w:val="24"/>
          <w:szCs w:val="24"/>
        </w:rPr>
      </w:pPr>
      <w:r w:rsidRPr="00F44949">
        <w:rPr>
          <w:rFonts w:ascii="Times New Roman" w:hAnsi="Times New Roman"/>
          <w:sz w:val="24"/>
          <w:szCs w:val="24"/>
        </w:rPr>
        <w:t xml:space="preserve">We hypothesize PCPs will have higher means for perceived adherence and efficacy for Condition </w:t>
      </w:r>
      <w:r w:rsidRPr="00F44949" w:rsidR="003D6A41">
        <w:rPr>
          <w:rFonts w:ascii="Times New Roman" w:hAnsi="Times New Roman"/>
          <w:sz w:val="24"/>
          <w:szCs w:val="24"/>
        </w:rPr>
        <w:t>5</w:t>
      </w:r>
      <w:r w:rsidRPr="00F44949">
        <w:rPr>
          <w:rFonts w:ascii="Times New Roman" w:hAnsi="Times New Roman"/>
          <w:sz w:val="24"/>
          <w:szCs w:val="24"/>
        </w:rPr>
        <w:t xml:space="preserve"> than consumers in Condition </w:t>
      </w:r>
      <w:r w:rsidRPr="00F44949" w:rsidR="003D6A41">
        <w:rPr>
          <w:rFonts w:ascii="Times New Roman" w:hAnsi="Times New Roman"/>
          <w:sz w:val="24"/>
          <w:szCs w:val="24"/>
        </w:rPr>
        <w:t>5</w:t>
      </w:r>
      <w:r w:rsidRPr="00F44949">
        <w:rPr>
          <w:rFonts w:ascii="Times New Roman" w:hAnsi="Times New Roman"/>
          <w:sz w:val="24"/>
          <w:szCs w:val="24"/>
        </w:rPr>
        <w:t xml:space="preserve">. Additionally, the mean difference in perceived adherence and efficacy between Condition </w:t>
      </w:r>
      <w:r w:rsidRPr="00F44949" w:rsidR="003D6A41">
        <w:rPr>
          <w:rFonts w:ascii="Times New Roman" w:hAnsi="Times New Roman"/>
          <w:sz w:val="24"/>
          <w:szCs w:val="24"/>
        </w:rPr>
        <w:t>2</w:t>
      </w:r>
      <w:r w:rsidRPr="00F44949">
        <w:rPr>
          <w:rFonts w:ascii="Times New Roman" w:hAnsi="Times New Roman"/>
          <w:sz w:val="24"/>
          <w:szCs w:val="24"/>
        </w:rPr>
        <w:t xml:space="preserve"> and Condition </w:t>
      </w:r>
      <w:r w:rsidRPr="00F44949" w:rsidR="003D6A41">
        <w:rPr>
          <w:rFonts w:ascii="Times New Roman" w:hAnsi="Times New Roman"/>
          <w:sz w:val="24"/>
          <w:szCs w:val="24"/>
        </w:rPr>
        <w:t>5</w:t>
      </w:r>
      <w:r w:rsidRPr="00F44949">
        <w:rPr>
          <w:rFonts w:ascii="Times New Roman" w:hAnsi="Times New Roman"/>
          <w:sz w:val="24"/>
          <w:szCs w:val="24"/>
        </w:rPr>
        <w:t xml:space="preserve"> will be greater among PCPs than consumers. </w:t>
      </w:r>
    </w:p>
    <w:p w:rsidR="0043086B" w:rsidRPr="00AE1ECA" w:rsidP="00AE1ECA" w14:paraId="1CB1C678" w14:textId="295F1753">
      <w:pPr>
        <w:pStyle w:val="BodyText"/>
        <w:jc w:val="center"/>
        <w:rPr>
          <w:rFonts w:ascii="Times New Roman" w:eastAsia="Calibri" w:hAnsi="Times New Roman"/>
          <w:b/>
          <w:color w:val="000000"/>
          <w:sz w:val="24"/>
          <w:szCs w:val="24"/>
        </w:rPr>
      </w:pPr>
      <w:r w:rsidRPr="00AE1ECA">
        <w:rPr>
          <w:rFonts w:ascii="Times New Roman" w:eastAsia="Calibri" w:hAnsi="Times New Roman"/>
          <w:b/>
          <w:color w:val="000000"/>
          <w:sz w:val="24"/>
          <w:szCs w:val="24"/>
        </w:rPr>
        <w:t>Power</w:t>
      </w:r>
    </w:p>
    <w:p w:rsidR="000E0EAE" w:rsidP="00084D6E" w14:paraId="1B708CE8" w14:textId="0771385F">
      <w:pPr>
        <w:pStyle w:val="L1-FlLSp12"/>
        <w:spacing w:after="0" w:line="240" w:lineRule="auto"/>
        <w:rPr>
          <w:rFonts w:ascii="Times New Roman" w:hAnsi="Times New Roman" w:cs="Times New Roman"/>
        </w:rPr>
      </w:pPr>
      <w:r w:rsidRPr="00A2288D">
        <w:rPr>
          <w:rFonts w:ascii="Times New Roman" w:hAnsi="Times New Roman" w:cs="Times New Roman"/>
        </w:rPr>
        <w:t>For the pretest, no power analysis was performed. The primary goal of the pretest is to assess and refine the questionnaire, stimuli, and data collection</w:t>
      </w:r>
      <w:r w:rsidRPr="00A2288D">
        <w:rPr>
          <w:rFonts w:ascii="Times New Roman" w:hAnsi="Times New Roman" w:cs="Times New Roman"/>
          <w:spacing w:val="1"/>
        </w:rPr>
        <w:t xml:space="preserve"> </w:t>
      </w:r>
      <w:r w:rsidRPr="00A2288D">
        <w:rPr>
          <w:rFonts w:ascii="Times New Roman" w:hAnsi="Times New Roman" w:cs="Times New Roman"/>
        </w:rPr>
        <w:t>protocols</w:t>
      </w:r>
      <w:r w:rsidRPr="00A2288D">
        <w:rPr>
          <w:rFonts w:ascii="Times New Roman" w:hAnsi="Times New Roman" w:cs="Times New Roman"/>
          <w:spacing w:val="-5"/>
        </w:rPr>
        <w:t xml:space="preserve"> </w:t>
      </w:r>
      <w:r w:rsidRPr="00A2288D">
        <w:rPr>
          <w:rFonts w:ascii="Times New Roman" w:hAnsi="Times New Roman" w:cs="Times New Roman"/>
        </w:rPr>
        <w:t>for</w:t>
      </w:r>
      <w:r w:rsidRPr="00A2288D">
        <w:rPr>
          <w:rFonts w:ascii="Times New Roman" w:hAnsi="Times New Roman" w:cs="Times New Roman"/>
          <w:spacing w:val="-5"/>
        </w:rPr>
        <w:t xml:space="preserve"> </w:t>
      </w:r>
      <w:r w:rsidRPr="00A2288D">
        <w:rPr>
          <w:rFonts w:ascii="Times New Roman" w:hAnsi="Times New Roman" w:cs="Times New Roman"/>
        </w:rPr>
        <w:t>the</w:t>
      </w:r>
      <w:r w:rsidRPr="00A2288D">
        <w:rPr>
          <w:rFonts w:ascii="Times New Roman" w:hAnsi="Times New Roman" w:cs="Times New Roman"/>
          <w:spacing w:val="-5"/>
        </w:rPr>
        <w:t xml:space="preserve"> </w:t>
      </w:r>
      <w:r w:rsidRPr="00A2288D">
        <w:rPr>
          <w:rFonts w:ascii="Times New Roman" w:hAnsi="Times New Roman" w:cs="Times New Roman"/>
        </w:rPr>
        <w:t>main</w:t>
      </w:r>
      <w:r w:rsidRPr="00A2288D">
        <w:rPr>
          <w:rFonts w:ascii="Times New Roman" w:hAnsi="Times New Roman" w:cs="Times New Roman"/>
          <w:spacing w:val="-1"/>
        </w:rPr>
        <w:t xml:space="preserve"> </w:t>
      </w:r>
      <w:r w:rsidRPr="00A2288D">
        <w:rPr>
          <w:rFonts w:ascii="Times New Roman" w:hAnsi="Times New Roman" w:cs="Times New Roman"/>
        </w:rPr>
        <w:t>study. Since all of these objectives are qualitative in nature, there is no need to increase public burden and cost by recruiting a large enough sample to make statistically valid comparisons.</w:t>
      </w:r>
    </w:p>
    <w:p w:rsidR="00A2288D" w:rsidRPr="00A2288D" w:rsidP="00A2288D" w14:paraId="244012D7" w14:textId="77777777">
      <w:pPr>
        <w:pStyle w:val="L1-FlLSp12"/>
        <w:spacing w:after="0" w:line="240" w:lineRule="auto"/>
        <w:ind w:left="720"/>
        <w:rPr>
          <w:rFonts w:ascii="Times New Roman" w:hAnsi="Times New Roman" w:cs="Times New Roman"/>
        </w:rPr>
      </w:pPr>
    </w:p>
    <w:p w:rsidR="000E0EAE" w:rsidP="00084D6E" w14:paraId="47DA607F" w14:textId="4B401496">
      <w:pPr>
        <w:pStyle w:val="L2-FlLSp12"/>
        <w:spacing w:after="0" w:line="240" w:lineRule="auto"/>
        <w:rPr>
          <w:rFonts w:ascii="Times New Roman" w:hAnsi="Times New Roman" w:cs="Times New Roman"/>
        </w:rPr>
      </w:pPr>
      <w:r w:rsidRPr="00A2288D">
        <w:rPr>
          <w:rFonts w:ascii="Times New Roman" w:hAnsi="Times New Roman" w:cs="Times New Roman"/>
        </w:rPr>
        <w:t>For the main study, we performed power analyses for the consumer and PCP studies separately, consistent with the agreed-upon approach of treating these as two parallel studies.</w:t>
      </w:r>
      <w:r w:rsidR="005275EB">
        <w:rPr>
          <w:rFonts w:ascii="Times New Roman" w:hAnsi="Times New Roman" w:cs="Times New Roman"/>
        </w:rPr>
        <w:t xml:space="preserve"> </w:t>
      </w:r>
      <w:r w:rsidRPr="00A2288D">
        <w:rPr>
          <w:rFonts w:ascii="Times New Roman" w:hAnsi="Times New Roman" w:cs="Times New Roman"/>
        </w:rPr>
        <w:t>We also clarified with FDA that equal power is required for each pairwise comparison of any two experimental conditions, implying equal sample sizes for each experimental condition.</w:t>
      </w:r>
      <w:r w:rsidR="005275EB">
        <w:rPr>
          <w:rFonts w:ascii="Times New Roman" w:hAnsi="Times New Roman" w:cs="Times New Roman"/>
        </w:rPr>
        <w:t xml:space="preserve"> </w:t>
      </w:r>
      <w:r w:rsidRPr="00A2288D">
        <w:rPr>
          <w:rFonts w:ascii="Times New Roman" w:hAnsi="Times New Roman" w:cs="Times New Roman"/>
        </w:rPr>
        <w:t>The power analysis assumes that we are interested in comparing means between experimental conditions.</w:t>
      </w:r>
      <w:r w:rsidR="005275EB">
        <w:rPr>
          <w:rFonts w:ascii="Times New Roman" w:hAnsi="Times New Roman" w:cs="Times New Roman"/>
        </w:rPr>
        <w:t xml:space="preserve"> </w:t>
      </w:r>
      <w:r w:rsidRPr="00A2288D">
        <w:rPr>
          <w:rFonts w:ascii="Times New Roman" w:hAnsi="Times New Roman" w:cs="Times New Roman"/>
        </w:rPr>
        <w:t>That is, we are interested in pairwise t-tests of average scores on individual questionnaire items or number of side effects recalled</w:t>
      </w:r>
      <w:r w:rsidR="001C2EAF">
        <w:rPr>
          <w:rFonts w:ascii="Times New Roman" w:hAnsi="Times New Roman" w:cs="Times New Roman"/>
        </w:rPr>
        <w:t>;</w:t>
      </w:r>
      <w:r w:rsidRPr="00A2288D">
        <w:rPr>
          <w:rFonts w:ascii="Times New Roman" w:hAnsi="Times New Roman" w:cs="Times New Roman"/>
        </w:rPr>
        <w:t xml:space="preserve"> for example, where each group is an experimental condition. Because statistical power depends on both the difference between groups and the variation in each group, we use effect size in our power calculations.</w:t>
      </w:r>
      <w:r w:rsidR="005275EB">
        <w:rPr>
          <w:rFonts w:ascii="Times New Roman" w:hAnsi="Times New Roman" w:cs="Times New Roman"/>
        </w:rPr>
        <w:t xml:space="preserve"> </w:t>
      </w:r>
      <w:r w:rsidRPr="00A2288D">
        <w:rPr>
          <w:rFonts w:ascii="Times New Roman" w:hAnsi="Times New Roman" w:cs="Times New Roman"/>
        </w:rPr>
        <w:t xml:space="preserve">This is most frequently measured via Cohen’s </w:t>
      </w:r>
      <w:r w:rsidRPr="00B832E3">
        <w:rPr>
          <w:rFonts w:ascii="Times New Roman" w:hAnsi="Times New Roman" w:cs="Times New Roman"/>
          <w:i/>
          <w:iCs/>
        </w:rPr>
        <w:t>d</w:t>
      </w:r>
      <w:r w:rsidRPr="00A2288D">
        <w:rPr>
          <w:rFonts w:ascii="Times New Roman" w:hAnsi="Times New Roman" w:cs="Times New Roman"/>
        </w:rPr>
        <w:t>, which is calculated as:</w:t>
      </w:r>
    </w:p>
    <w:p w:rsidR="00084D6E" w:rsidRPr="00A2288D" w:rsidP="00084D6E" w14:paraId="1D4E1180" w14:textId="77777777">
      <w:pPr>
        <w:pStyle w:val="L2-FlLSp12"/>
        <w:spacing w:after="0" w:line="240" w:lineRule="auto"/>
        <w:rPr>
          <w:rFonts w:ascii="Times New Roman" w:hAnsi="Times New Roman" w:cs="Times New Roman"/>
        </w:rPr>
      </w:pPr>
    </w:p>
    <w:p w:rsidR="000E0EAE" w:rsidRPr="00A2288D" w:rsidP="00A2288D" w14:paraId="1FB4B52A" w14:textId="77777777">
      <w:pPr>
        <w:pStyle w:val="C2-CtrSglSp"/>
        <w:spacing w:before="0" w:after="0"/>
        <w:rPr>
          <w:rFonts w:ascii="Times New Roman" w:hAnsi="Times New Roman" w:cs="Times New Roman"/>
        </w:rPr>
      </w:pPr>
      <m:oMathPara>
        <m:oMath>
          <m:r>
            <w:rPr>
              <w:rFonts w:ascii="Cambria Math" w:hAnsi="Cambria Math" w:cs="Times New Roman"/>
            </w:rPr>
            <m:t>d</m:t>
          </m:r>
          <m:r>
            <m:rPr>
              <m:sty m:val="p"/>
            </m:rPr>
            <w:rPr>
              <w:rFonts w:ascii="Cambria Math" w:hAnsi="Cambria Math" w:cs="Times New Roman"/>
            </w:rPr>
            <m:t xml:space="preserve">= </m:t>
          </m:r>
          <m:f>
            <m:fPr>
              <m:ctrlPr>
                <w:rPr>
                  <w:rFonts w:ascii="Cambria Math" w:hAnsi="Cambria Math" w:cs="Times New Roman"/>
                </w:rPr>
              </m:ctrlPr>
            </m:fPr>
            <m:num>
              <m:d>
                <m:dPr>
                  <m:ctrlPr>
                    <w:rPr>
                      <w:rFonts w:ascii="Cambria Math" w:hAnsi="Cambria Math" w:cs="Times New Roman"/>
                    </w:rPr>
                  </m:ctrlPr>
                </m:dPr>
                <m:e>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m:rPr>
                          <m:sty m:val="p"/>
                        </m:rPr>
                        <w:rPr>
                          <w:rFonts w:ascii="Cambria Math" w:hAnsi="Cambria Math" w:cs="Times New Roman"/>
                        </w:rPr>
                        <m:t>2</m:t>
                      </m:r>
                    </m:sub>
                  </m:sSub>
                </m:e>
              </m:d>
            </m:num>
            <m:den>
              <m:acc>
                <m:accPr>
                  <m:ctrlPr>
                    <w:rPr>
                      <w:rFonts w:ascii="Cambria Math" w:hAnsi="Cambria Math" w:cs="Times New Roman"/>
                    </w:rPr>
                  </m:ctrlPr>
                </m:accPr>
                <m:e>
                  <m:r>
                    <w:rPr>
                      <w:rFonts w:ascii="Cambria Math" w:hAnsi="Cambria Math" w:cs="Times New Roman"/>
                    </w:rPr>
                    <m:t>s</m:t>
                  </m:r>
                </m:e>
              </m:acc>
            </m:den>
          </m:f>
        </m:oMath>
      </m:oMathPara>
    </w:p>
    <w:p w:rsidR="00084D6E" w:rsidP="00084D6E" w14:paraId="6259C8C0" w14:textId="77777777">
      <w:pPr>
        <w:pStyle w:val="L1-FlLSp12"/>
        <w:spacing w:after="0" w:line="240" w:lineRule="auto"/>
        <w:rPr>
          <w:rFonts w:ascii="Times New Roman" w:hAnsi="Times New Roman" w:cs="Times New Roman"/>
        </w:rPr>
      </w:pPr>
    </w:p>
    <w:p w:rsidR="000E0EAE" w:rsidRPr="00A2288D" w:rsidP="00084D6E" w14:paraId="7296DB9B" w14:textId="0A50D9C3">
      <w:pPr>
        <w:pStyle w:val="L1-FlLSp12"/>
        <w:spacing w:after="0" w:line="240" w:lineRule="auto"/>
        <w:rPr>
          <w:rFonts w:ascii="Times New Roman" w:hAnsi="Times New Roman" w:cs="Times New Roman"/>
          <w:vertAlign w:val="superscript"/>
        </w:rPr>
      </w:pPr>
      <w:r w:rsidRPr="00A2288D">
        <w:rPr>
          <w:rFonts w:ascii="Times New Roman" w:hAnsi="Times New Roman" w:cs="Times New Roman"/>
        </w:rPr>
        <w:t xml:space="preserve">where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1</m:t>
            </m:r>
          </m:sub>
        </m:sSub>
      </m:oMath>
      <w:r w:rsidRPr="00A2288D">
        <w:rPr>
          <w:rFonts w:ascii="Times New Roman" w:hAnsi="Times New Roman" w:cs="Times New Roman"/>
        </w:rPr>
        <w:t xml:space="preserve"> and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2</m:t>
            </m:r>
          </m:sub>
        </m:sSub>
      </m:oMath>
      <w:r w:rsidRPr="00A2288D">
        <w:rPr>
          <w:rFonts w:ascii="Times New Roman" w:hAnsi="Times New Roman" w:cs="Times New Roman"/>
        </w:rPr>
        <w:t xml:space="preserve"> represent the means of the two groups we want to compare, and </w:t>
      </w:r>
      <m:oMath>
        <m:acc>
          <m:accPr>
            <m:ctrlPr>
              <w:rPr>
                <w:rFonts w:ascii="Cambria Math" w:hAnsi="Cambria Math" w:cs="Times New Roman"/>
                <w:i/>
              </w:rPr>
            </m:ctrlPr>
          </m:accPr>
          <m:e>
            <m:r>
              <w:rPr>
                <w:rFonts w:ascii="Cambria Math" w:hAnsi="Cambria Math" w:cs="Times New Roman"/>
              </w:rPr>
              <m:t>s</m:t>
            </m:r>
          </m:e>
        </m:acc>
      </m:oMath>
      <w:r w:rsidRPr="00A2288D">
        <w:rPr>
          <w:rFonts w:ascii="Times New Roman" w:hAnsi="Times New Roman" w:cs="Times New Roman"/>
        </w:rPr>
        <w:t xml:space="preserve"> is the estimate of the population standard deviation.</w:t>
      </w:r>
      <w:r w:rsidR="005275EB">
        <w:rPr>
          <w:rFonts w:ascii="Times New Roman" w:hAnsi="Times New Roman" w:cs="Times New Roman"/>
        </w:rPr>
        <w:t xml:space="preserve"> </w:t>
      </w:r>
      <w:r w:rsidRPr="00A2288D">
        <w:rPr>
          <w:rFonts w:ascii="Times New Roman" w:hAnsi="Times New Roman" w:cs="Times New Roman"/>
        </w:rPr>
        <w:t xml:space="preserve">An effect size of around 0.5 is considered a </w:t>
      </w:r>
      <w:r w:rsidRPr="00A2288D">
        <w:rPr>
          <w:rFonts w:ascii="Times New Roman" w:hAnsi="Times New Roman" w:cs="Times New Roman"/>
        </w:rPr>
        <w:t>medium effect size, which we would like to detect in this study for each pairwise comparison</w:t>
      </w:r>
      <w:r w:rsidR="00B8077E">
        <w:rPr>
          <w:rFonts w:ascii="Times New Roman" w:hAnsi="Times New Roman" w:cs="Times New Roman"/>
        </w:rPr>
        <w:t xml:space="preserve"> (Refs. 4</w:t>
      </w:r>
      <w:r w:rsidR="000B43E9">
        <w:rPr>
          <w:rFonts w:ascii="Times New Roman" w:hAnsi="Times New Roman" w:cs="Times New Roman"/>
        </w:rPr>
        <w:t xml:space="preserve"> and </w:t>
      </w:r>
      <w:r w:rsidR="00B8077E">
        <w:rPr>
          <w:rFonts w:ascii="Times New Roman" w:hAnsi="Times New Roman" w:cs="Times New Roman"/>
        </w:rPr>
        <w:t>5)</w:t>
      </w:r>
      <w:r w:rsidRPr="00A2288D">
        <w:rPr>
          <w:rFonts w:ascii="Times New Roman" w:hAnsi="Times New Roman" w:cs="Times New Roman"/>
        </w:rPr>
        <w:t>.</w:t>
      </w:r>
    </w:p>
    <w:p w:rsidR="000E0EAE" w:rsidRPr="00A2288D" w:rsidP="00A2288D" w14:paraId="1154C2F7" w14:textId="72858E2D">
      <w:r w:rsidRPr="00A2288D">
        <w:t xml:space="preserve"> </w:t>
      </w:r>
    </w:p>
    <w:p w:rsidR="000E0EAE" w:rsidP="00084D6E" w14:paraId="7BC82570" w14:textId="2E7EFE57">
      <w:pPr>
        <w:pStyle w:val="L1-FlLSp12"/>
        <w:spacing w:after="0" w:line="240" w:lineRule="auto"/>
        <w:rPr>
          <w:rFonts w:ascii="Times New Roman" w:hAnsi="Times New Roman" w:cs="Times New Roman"/>
        </w:rPr>
      </w:pPr>
      <w:r w:rsidRPr="00A2288D">
        <w:rPr>
          <w:rFonts w:ascii="Times New Roman" w:hAnsi="Times New Roman" w:cs="Times New Roman"/>
        </w:rPr>
        <w:t>Using</w:t>
      </w:r>
      <w:r w:rsidRPr="00A2288D">
        <w:rPr>
          <w:rFonts w:ascii="Times New Roman" w:hAnsi="Times New Roman" w:cs="Times New Roman"/>
          <w:spacing w:val="-2"/>
        </w:rPr>
        <w:t xml:space="preserve"> </w:t>
      </w:r>
      <w:r w:rsidRPr="00A2288D">
        <w:rPr>
          <w:rFonts w:ascii="Times New Roman" w:hAnsi="Times New Roman" w:cs="Times New Roman"/>
        </w:rPr>
        <w:t>the software G*Power with an alpha level of 0.05 and power of 0.90, at least 70 cases in each group are required to detect a medium effect size.</w:t>
      </w:r>
      <w:r w:rsidR="005275EB">
        <w:rPr>
          <w:rFonts w:ascii="Times New Roman" w:hAnsi="Times New Roman" w:cs="Times New Roman"/>
        </w:rPr>
        <w:t xml:space="preserve"> </w:t>
      </w:r>
      <w:r w:rsidRPr="00A2288D">
        <w:rPr>
          <w:rFonts w:ascii="Times New Roman" w:hAnsi="Times New Roman" w:cs="Times New Roman"/>
        </w:rPr>
        <w:t xml:space="preserve">This implies an overall sample size of 350 (5 experimental conditions </w:t>
      </w:r>
      <w:r w:rsidR="00480DDC">
        <w:rPr>
          <w:rFonts w:ascii="Times New Roman" w:hAnsi="Times New Roman" w:cs="Times New Roman"/>
        </w:rPr>
        <w:t>multiplied by</w:t>
      </w:r>
      <w:r w:rsidRPr="00A2288D" w:rsidR="00480DDC">
        <w:rPr>
          <w:rFonts w:ascii="Times New Roman" w:hAnsi="Times New Roman" w:cs="Times New Roman"/>
        </w:rPr>
        <w:t xml:space="preserve"> </w:t>
      </w:r>
      <w:r w:rsidRPr="00A2288D">
        <w:rPr>
          <w:rFonts w:ascii="Times New Roman" w:hAnsi="Times New Roman" w:cs="Times New Roman"/>
        </w:rPr>
        <w:t>70 participants) cases for each of the consumer and PCP studies.</w:t>
      </w:r>
      <w:r w:rsidR="00797FA4">
        <w:rPr>
          <w:rFonts w:ascii="Times New Roman" w:hAnsi="Times New Roman" w:cs="Times New Roman"/>
        </w:rPr>
        <w:t xml:space="preserve"> </w:t>
      </w:r>
      <w:r w:rsidRPr="00A2288D">
        <w:rPr>
          <w:rFonts w:ascii="Times New Roman" w:hAnsi="Times New Roman" w:cs="Times New Roman"/>
        </w:rPr>
        <w:t>Note that because this is an effect size-based calculation, the detectable difference in the means depends on the variability of respondents’ answers to the survey questions. If respondents in a given condition tend to answer a particular item consistently (and therefore there is little variability), we will be able to detect smaller differences in means; however, if participants’ responses vary widely, even a seemingly large difference in means may not be statistically significant.</w:t>
      </w:r>
    </w:p>
    <w:p w:rsidR="00A2288D" w:rsidRPr="00A2288D" w:rsidP="00A2288D" w14:paraId="569BF250" w14:textId="77777777">
      <w:pPr>
        <w:pStyle w:val="L1-FlLSp12"/>
        <w:spacing w:after="0" w:line="240" w:lineRule="auto"/>
        <w:ind w:left="720"/>
        <w:rPr>
          <w:rFonts w:ascii="Times New Roman" w:hAnsi="Times New Roman" w:cs="Times New Roman"/>
        </w:rPr>
      </w:pPr>
    </w:p>
    <w:p w:rsidR="000E0EAE" w:rsidRPr="00A2288D" w:rsidP="00084D6E" w14:paraId="4851443B" w14:textId="1B904FC4">
      <w:pPr>
        <w:pStyle w:val="L1-FlLSp12"/>
        <w:spacing w:after="0" w:line="240" w:lineRule="auto"/>
        <w:rPr>
          <w:rFonts w:ascii="Times New Roman" w:hAnsi="Times New Roman" w:cs="Times New Roman"/>
        </w:rPr>
      </w:pPr>
      <w:r w:rsidRPr="00A2288D">
        <w:rPr>
          <w:rFonts w:ascii="Times New Roman" w:hAnsi="Times New Roman" w:cs="Times New Roman"/>
        </w:rPr>
        <w:t xml:space="preserve">We also performed a power analysis for an </w:t>
      </w:r>
      <w:r w:rsidR="00AF3231">
        <w:rPr>
          <w:rFonts w:ascii="Times New Roman" w:hAnsi="Times New Roman" w:cs="Times New Roman"/>
        </w:rPr>
        <w:t>analysis of variance (</w:t>
      </w:r>
      <w:r w:rsidRPr="00A2288D">
        <w:rPr>
          <w:rFonts w:ascii="Times New Roman" w:hAnsi="Times New Roman" w:cs="Times New Roman"/>
        </w:rPr>
        <w:t>ANOVA</w:t>
      </w:r>
      <w:r w:rsidR="00AF3231">
        <w:rPr>
          <w:rFonts w:ascii="Times New Roman" w:hAnsi="Times New Roman" w:cs="Times New Roman"/>
        </w:rPr>
        <w:t>)</w:t>
      </w:r>
      <w:r w:rsidRPr="00A2288D">
        <w:rPr>
          <w:rFonts w:ascii="Times New Roman" w:hAnsi="Times New Roman" w:cs="Times New Roman"/>
        </w:rPr>
        <w:t xml:space="preserve"> of </w:t>
      </w:r>
      <w:r w:rsidR="00006202">
        <w:rPr>
          <w:rFonts w:ascii="Times New Roman" w:hAnsi="Times New Roman" w:cs="Times New Roman"/>
        </w:rPr>
        <w:t>c</w:t>
      </w:r>
      <w:r w:rsidRPr="00A2288D">
        <w:rPr>
          <w:rFonts w:ascii="Times New Roman" w:hAnsi="Times New Roman" w:cs="Times New Roman"/>
        </w:rPr>
        <w:t xml:space="preserve">onditions </w:t>
      </w:r>
      <w:r w:rsidR="003D6A41">
        <w:rPr>
          <w:rFonts w:ascii="Times New Roman" w:hAnsi="Times New Roman" w:cs="Times New Roman"/>
        </w:rPr>
        <w:t>2</w:t>
      </w:r>
      <w:r w:rsidR="00006202">
        <w:rPr>
          <w:rFonts w:ascii="Times New Roman" w:hAnsi="Times New Roman" w:cs="Times New Roman"/>
        </w:rPr>
        <w:t xml:space="preserve"> </w:t>
      </w:r>
      <w:r w:rsidR="006549CB">
        <w:rPr>
          <w:rFonts w:ascii="Times New Roman" w:hAnsi="Times New Roman" w:cs="Times New Roman"/>
        </w:rPr>
        <w:t>to</w:t>
      </w:r>
      <w:r w:rsidR="00006202">
        <w:rPr>
          <w:rFonts w:ascii="Times New Roman" w:hAnsi="Times New Roman" w:cs="Times New Roman"/>
        </w:rPr>
        <w:t xml:space="preserve"> </w:t>
      </w:r>
      <w:r w:rsidR="003D6A41">
        <w:rPr>
          <w:rFonts w:ascii="Times New Roman" w:hAnsi="Times New Roman" w:cs="Times New Roman"/>
        </w:rPr>
        <w:t>5</w:t>
      </w:r>
      <w:r w:rsidRPr="00A2288D">
        <w:rPr>
          <w:rFonts w:ascii="Times New Roman" w:hAnsi="Times New Roman" w:cs="Times New Roman"/>
        </w:rPr>
        <w:t xml:space="preserve">. </w:t>
      </w:r>
      <w:r w:rsidR="00797FA4">
        <w:rPr>
          <w:rFonts w:ascii="Times New Roman" w:hAnsi="Times New Roman" w:cs="Times New Roman"/>
        </w:rPr>
        <w:t xml:space="preserve"> </w:t>
      </w:r>
      <w:r w:rsidRPr="00A2288D">
        <w:rPr>
          <w:rFonts w:ascii="Times New Roman" w:hAnsi="Times New Roman" w:cs="Times New Roman"/>
        </w:rPr>
        <w:t xml:space="preserve">The ANOVA will be able to tell us whether outcomes vary significantly by experimental condition but </w:t>
      </w:r>
      <w:r w:rsidR="00006202">
        <w:rPr>
          <w:rFonts w:ascii="Times New Roman" w:hAnsi="Times New Roman" w:cs="Times New Roman"/>
        </w:rPr>
        <w:t>will</w:t>
      </w:r>
      <w:r w:rsidRPr="00A2288D" w:rsidR="00006202">
        <w:rPr>
          <w:rFonts w:ascii="Times New Roman" w:hAnsi="Times New Roman" w:cs="Times New Roman"/>
        </w:rPr>
        <w:t xml:space="preserve"> </w:t>
      </w:r>
      <w:r w:rsidRPr="00A2288D">
        <w:rPr>
          <w:rFonts w:ascii="Times New Roman" w:hAnsi="Times New Roman" w:cs="Times New Roman"/>
        </w:rPr>
        <w:t>not tell us the nature of or direction of any differences—we need the pairwise t-tests for that. However, assuming a sample size of 70 cases per experimental condition and the same alpha level of 0.05 and desired power of 0.90, the ANOVA will be able to detect a smaller effect size (</w:t>
      </w:r>
      <w:r w:rsidRPr="00B832E3">
        <w:rPr>
          <w:rFonts w:ascii="Times New Roman" w:hAnsi="Times New Roman" w:cs="Times New Roman"/>
          <w:i/>
          <w:iCs/>
        </w:rPr>
        <w:t>d</w:t>
      </w:r>
      <w:r w:rsidRPr="00A2288D">
        <w:rPr>
          <w:rFonts w:ascii="Times New Roman" w:hAnsi="Times New Roman" w:cs="Times New Roman"/>
        </w:rPr>
        <w:t>=0.23, generally considered a medium-to-small effect size).</w:t>
      </w:r>
      <w:r w:rsidR="00F44949">
        <w:rPr>
          <w:rFonts w:ascii="Times New Roman" w:hAnsi="Times New Roman" w:cs="Times New Roman"/>
        </w:rPr>
        <w:br/>
      </w:r>
    </w:p>
    <w:p w:rsidR="0043086B" w:rsidRPr="00AE1ECA" w:rsidP="001B14FB" w14:paraId="0A144D54" w14:textId="639F1AF6">
      <w:pPr>
        <w:pStyle w:val="BodyText"/>
        <w:keepNext/>
        <w:jc w:val="center"/>
        <w:rPr>
          <w:rFonts w:ascii="Times New Roman" w:eastAsia="Calibri" w:hAnsi="Times New Roman"/>
          <w:b/>
          <w:color w:val="000000"/>
          <w:sz w:val="24"/>
          <w:szCs w:val="24"/>
        </w:rPr>
      </w:pPr>
      <w:r w:rsidRPr="00AE1ECA">
        <w:rPr>
          <w:rFonts w:ascii="Times New Roman" w:eastAsia="Calibri" w:hAnsi="Times New Roman"/>
          <w:b/>
          <w:color w:val="000000"/>
          <w:sz w:val="24"/>
          <w:szCs w:val="24"/>
        </w:rPr>
        <w:t>Analys</w:t>
      </w:r>
      <w:r w:rsidRPr="00AE1ECA" w:rsidR="00AE1ECA">
        <w:rPr>
          <w:rFonts w:ascii="Times New Roman" w:eastAsia="Calibri" w:hAnsi="Times New Roman"/>
          <w:b/>
          <w:color w:val="000000"/>
          <w:sz w:val="24"/>
          <w:szCs w:val="24"/>
        </w:rPr>
        <w:t>e</w:t>
      </w:r>
      <w:r w:rsidRPr="00AE1ECA">
        <w:rPr>
          <w:rFonts w:ascii="Times New Roman" w:eastAsia="Calibri" w:hAnsi="Times New Roman"/>
          <w:b/>
          <w:color w:val="000000"/>
          <w:sz w:val="24"/>
          <w:szCs w:val="24"/>
        </w:rPr>
        <w:t>s</w:t>
      </w:r>
    </w:p>
    <w:p w:rsidR="003D6A41" w:rsidP="001B14FB" w14:paraId="50A2AD23" w14:textId="58F02AA4">
      <w:pPr>
        <w:keepNext/>
      </w:pPr>
      <w:r>
        <w:t xml:space="preserve">The main analysis will be conducted separately for consumers and PCPs. We will first use t-tests to determine whether presence of a tracking device (Condition 1 </w:t>
      </w:r>
      <w:r w:rsidR="00AF1CDD">
        <w:t>versus</w:t>
      </w:r>
      <w:r>
        <w:t xml:space="preserve"> Condition 2) has an effect on outcomes such as perceived product adherence and efficacy.</w:t>
      </w:r>
      <w:r w:rsidR="00AF1CDD">
        <w:t xml:space="preserve"> </w:t>
      </w:r>
      <w:r>
        <w:t>Next, we wil</w:t>
      </w:r>
      <w:r>
        <w:t xml:space="preserve">l perform ANOVAs on </w:t>
      </w:r>
      <w:r w:rsidR="00A328F5">
        <w:t>c</w:t>
      </w:r>
      <w:r>
        <w:t>onditions 2</w:t>
      </w:r>
      <w:r w:rsidR="00B52FB7">
        <w:t xml:space="preserve"> </w:t>
      </w:r>
      <w:r w:rsidR="00F202FB">
        <w:t>to</w:t>
      </w:r>
      <w:r w:rsidR="00B52FB7">
        <w:t xml:space="preserve"> </w:t>
      </w:r>
      <w:r>
        <w:t>5</w:t>
      </w:r>
      <w:r>
        <w:t xml:space="preserve">, testing whether manipulation of the other two experimental conditions in the presence of a tracking device has an impact on outcomes. Finally, if the ANOVA shows a statistically significant effect, we will use t-tests to </w:t>
      </w:r>
      <w:r>
        <w:t>compare outcomes in Condition 2 v</w:t>
      </w:r>
      <w:r w:rsidR="00AF1CDD">
        <w:t>ersu</w:t>
      </w:r>
      <w:r>
        <w:t xml:space="preserve">s </w:t>
      </w:r>
      <w:r w:rsidR="00A21FF5">
        <w:t xml:space="preserve">Condition </w:t>
      </w:r>
      <w:r>
        <w:t>5</w:t>
      </w:r>
      <w:r>
        <w:t xml:space="preserve">. </w:t>
      </w:r>
    </w:p>
    <w:p w:rsidR="003D6A41" w:rsidP="004C6553" w14:paraId="5EB2993B" w14:textId="77777777">
      <w:pPr>
        <w:ind w:left="634"/>
      </w:pPr>
    </w:p>
    <w:p w:rsidR="006729E8" w:rsidRPr="0043086B" w:rsidP="00084D6E" w14:paraId="27C4077B" w14:textId="0372DFA3">
      <w:pPr>
        <w:rPr>
          <w:color w:val="000000"/>
        </w:rPr>
      </w:pPr>
      <w:r>
        <w:t>A sample size of 350 consumers with the indicated medication condition and 350 PCPs will allow us to detect medium effect sizes for these three tests (</w:t>
      </w:r>
      <w:r w:rsidR="00527266">
        <w:t xml:space="preserve">one </w:t>
      </w:r>
      <w:r>
        <w:t>ANOVA and two t-tests). The sample will be evenly distributed among the five experimental conditions to support the detection of medium effects in pairwise t-tests. Note that the proposed sample size controls the pairwise error rates rather than the family-wise error rate (doing the latter would require a far larger sample size), so no explicit adjustment for multiple comparisons is planned.</w:t>
      </w:r>
    </w:p>
    <w:p w:rsidR="0043086B" w:rsidRPr="0043086B" w:rsidP="004C6553" w14:paraId="481990CC" w14:textId="77777777">
      <w:pPr>
        <w:rPr>
          <w:highlight w:val="yellow"/>
        </w:rPr>
      </w:pPr>
    </w:p>
    <w:p w:rsidR="00CA557D" w:rsidP="00C749AB" w14:paraId="29CE690F" w14:textId="52D2D7D2">
      <w:pPr>
        <w:numPr>
          <w:ilvl w:val="0"/>
          <w:numId w:val="1"/>
        </w:numPr>
        <w:spacing w:before="100" w:beforeAutospacing="1" w:after="100" w:afterAutospacing="1"/>
        <w:contextualSpacing/>
        <w:rPr>
          <w:u w:val="single"/>
        </w:rPr>
      </w:pPr>
      <w:r w:rsidRPr="00E00EA0">
        <w:rPr>
          <w:u w:val="single"/>
        </w:rPr>
        <w:t>Methods to Maximize Response Rates and Deal with Non</w:t>
      </w:r>
      <w:r w:rsidR="00D90E3C">
        <w:rPr>
          <w:u w:val="single"/>
        </w:rPr>
        <w:t>r</w:t>
      </w:r>
      <w:r w:rsidRPr="00E00EA0">
        <w:rPr>
          <w:u w:val="single"/>
        </w:rPr>
        <w:t>esponse</w:t>
      </w:r>
    </w:p>
    <w:p w:rsidR="0097740B" w:rsidRPr="00E00EA0" w:rsidP="00C749AB" w14:paraId="507BE5E4" w14:textId="77777777">
      <w:pPr>
        <w:spacing w:before="100" w:beforeAutospacing="1" w:after="100" w:afterAutospacing="1"/>
        <w:ind w:left="630"/>
        <w:contextualSpacing/>
        <w:rPr>
          <w:u w:val="single"/>
        </w:rPr>
      </w:pPr>
    </w:p>
    <w:p w:rsidR="00742CBC" w:rsidRPr="004C6553" w:rsidP="00084D6E" w14:paraId="33442FF1" w14:textId="68FA1E12">
      <w:pPr>
        <w:contextualSpacing/>
      </w:pPr>
      <w:r w:rsidRPr="004C6553">
        <w:t>The study</w:t>
      </w:r>
      <w:r w:rsidRPr="004C6553" w:rsidR="00A14827">
        <w:t xml:space="preserve"> will be administered </w:t>
      </w:r>
      <w:r w:rsidRPr="004C6553" w:rsidR="006F1D35">
        <w:t xml:space="preserve">via </w:t>
      </w:r>
      <w:r w:rsidR="003064FA">
        <w:t xml:space="preserve">the </w:t>
      </w:r>
      <w:r w:rsidR="00727D7A">
        <w:t>i</w:t>
      </w:r>
      <w:r w:rsidRPr="004C6553" w:rsidR="006F1D35">
        <w:t>nternet</w:t>
      </w:r>
      <w:r w:rsidRPr="004C6553">
        <w:t>. To help ensure that the participation rate is as high as possible, FDA and the contractor will:</w:t>
      </w:r>
    </w:p>
    <w:p w:rsidR="00074EED" w:rsidRPr="004C6553" w:rsidP="004C6553" w14:paraId="1C0BE85B" w14:textId="77777777">
      <w:pPr>
        <w:ind w:firstLine="630"/>
        <w:contextualSpacing/>
      </w:pPr>
    </w:p>
    <w:p w:rsidR="001844FF" w:rsidP="001844FF" w14:paraId="62DCA4BA" w14:textId="25FF6F49">
      <w:pPr>
        <w:pStyle w:val="ListParagraph"/>
        <w:keepNext/>
        <w:numPr>
          <w:ilvl w:val="0"/>
          <w:numId w:val="34"/>
        </w:numPr>
        <w:tabs>
          <w:tab w:val="left" w:pos="1080"/>
        </w:tabs>
      </w:pPr>
      <w:r w:rsidRPr="004C6553">
        <w:t>Design a protocol that minimizes burden (short in length, clearly written, and with appealing graphics)</w:t>
      </w:r>
      <w:r w:rsidR="00E567F1">
        <w:t>.</w:t>
      </w:r>
    </w:p>
    <w:p w:rsidR="00742CBC" w:rsidRPr="004C6553" w:rsidP="001844FF" w14:paraId="59F0042B" w14:textId="2D7B00DB">
      <w:pPr>
        <w:pStyle w:val="ListParagraph"/>
        <w:keepNext/>
        <w:tabs>
          <w:tab w:val="left" w:pos="1080"/>
        </w:tabs>
      </w:pPr>
      <w:r w:rsidRPr="004C6553">
        <w:t xml:space="preserve"> </w:t>
      </w:r>
    </w:p>
    <w:p w:rsidR="000933B1" w:rsidRPr="004C6553" w:rsidP="001844FF" w14:paraId="6BEAC035" w14:textId="5E6078AC">
      <w:pPr>
        <w:pStyle w:val="ListParagraph"/>
        <w:keepNext/>
        <w:numPr>
          <w:ilvl w:val="0"/>
          <w:numId w:val="34"/>
        </w:numPr>
        <w:tabs>
          <w:tab w:val="left" w:pos="1080"/>
        </w:tabs>
      </w:pPr>
      <w:r w:rsidRPr="004C6553">
        <w:t xml:space="preserve">Use incentive rates that meet industry standards. In addition to offsetting respondent burden, using market-rate incentives tends to increase response rates, reduce sampling bias, and reduce nonresponse bias. </w:t>
      </w:r>
    </w:p>
    <w:p w:rsidR="00742CBC" w:rsidRPr="004C6553" w:rsidP="004C6553" w14:paraId="18C32004" w14:textId="77777777">
      <w:pPr>
        <w:autoSpaceDE w:val="0"/>
        <w:autoSpaceDN w:val="0"/>
        <w:adjustRightInd w:val="0"/>
        <w:ind w:firstLine="720"/>
        <w:contextualSpacing/>
      </w:pPr>
    </w:p>
    <w:p w:rsidR="00742CBC" w:rsidRPr="004C6553" w:rsidP="00084D6E" w14:paraId="59D532B6" w14:textId="31210906">
      <w:pPr>
        <w:autoSpaceDE w:val="0"/>
        <w:autoSpaceDN w:val="0"/>
        <w:adjustRightInd w:val="0"/>
        <w:contextualSpacing/>
      </w:pPr>
      <w:r w:rsidRPr="004C6553">
        <w:t xml:space="preserve">Participants will be convenience samples, rather than probability-based samples of U.S. </w:t>
      </w:r>
      <w:r w:rsidR="006C0B4B">
        <w:t>consumers</w:t>
      </w:r>
      <w:r w:rsidRPr="004C6553" w:rsidR="006C0B4B">
        <w:t xml:space="preserve"> </w:t>
      </w:r>
      <w:r w:rsidRPr="004C6553" w:rsidR="00361DF1">
        <w:t xml:space="preserve">or U.S. </w:t>
      </w:r>
      <w:r w:rsidRPr="004C6553" w:rsidR="008679AB">
        <w:t>P</w:t>
      </w:r>
      <w:r w:rsidRPr="004C6553" w:rsidR="00361DF1">
        <w:t>CPs</w:t>
      </w:r>
      <w:r w:rsidRPr="004C6553">
        <w:t xml:space="preserve">. Rather, the strength of the experimental design used in this study lies in its internal validity, on which meaningful estimates of differences across </w:t>
      </w:r>
      <w:r w:rsidRPr="004C6553" w:rsidR="005B5FC4">
        <w:t xml:space="preserve">manipulated </w:t>
      </w:r>
      <w:r w:rsidRPr="004C6553">
        <w:t>conditions can be produced and generalized.</w:t>
      </w:r>
      <w:r w:rsidR="004162A5">
        <w:t xml:space="preserve"> </w:t>
      </w:r>
      <w:r w:rsidRPr="004C6553" w:rsidR="005B5FC4">
        <w:t>This is a counterpoint to observational survey methodologies</w:t>
      </w:r>
      <w:r w:rsidR="0014138A">
        <w:t>,</w:t>
      </w:r>
      <w:r w:rsidRPr="004C6553" w:rsidR="005B5FC4">
        <w:t xml:space="preserve"> where estimating population parameters is the primary focus of statistical analysis. The </w:t>
      </w:r>
      <w:r w:rsidRPr="004C6553" w:rsidR="00085C29">
        <w:t>recruitment procedures</w:t>
      </w:r>
      <w:r w:rsidRPr="004C6553" w:rsidR="005B5FC4">
        <w:t xml:space="preserve"> in this study</w:t>
      </w:r>
      <w:r w:rsidRPr="004C6553" w:rsidR="00085C29">
        <w:t xml:space="preserve"> are not </w:t>
      </w:r>
      <w:r w:rsidRPr="004C6553" w:rsidR="00AA0B66">
        <w:t xml:space="preserve">intended to fit the criteria for </w:t>
      </w:r>
      <w:r w:rsidRPr="004C6553" w:rsidR="00085C29">
        <w:t>survey sampling</w:t>
      </w:r>
      <w:r w:rsidRPr="004C6553" w:rsidR="00AA0B66">
        <w:t>, where each unit in the sampling frame has an</w:t>
      </w:r>
      <w:r w:rsidRPr="004C6553" w:rsidR="00085C29">
        <w:t xml:space="preserve"> </w:t>
      </w:r>
      <w:r w:rsidRPr="004C6553" w:rsidR="00AA0B66">
        <w:t>equal probability of being selected to participate.</w:t>
      </w:r>
      <w:r w:rsidR="004162A5">
        <w:t xml:space="preserve"> </w:t>
      </w:r>
      <w:r w:rsidRPr="004C6553" w:rsidR="00E94724">
        <w:t>In an observational survey study, r</w:t>
      </w:r>
      <w:r w:rsidRPr="004C6553">
        <w:t xml:space="preserve">esponse rates are often used as a proxy measure for survey quality, with lower response rates indicating poorer quality. </w:t>
      </w:r>
      <w:r w:rsidR="00B5019E">
        <w:t xml:space="preserve"> </w:t>
      </w:r>
      <w:r w:rsidRPr="004C6553" w:rsidR="005B5FC4">
        <w:t xml:space="preserve">Nonresponse bias analysis is also commonly used to determine the potential for nonresponse sampling error in survey estimates. </w:t>
      </w:r>
      <w:r w:rsidRPr="004C6553">
        <w:t xml:space="preserve">However, </w:t>
      </w:r>
      <w:r w:rsidRPr="004C6553" w:rsidR="00E94724">
        <w:t xml:space="preserve">concerns about </w:t>
      </w:r>
      <w:r w:rsidRPr="004C6553" w:rsidR="005B5FC4">
        <w:t>sampling error</w:t>
      </w:r>
      <w:r w:rsidRPr="004C6553" w:rsidR="00E94724">
        <w:t xml:space="preserve"> do not generally apply to</w:t>
      </w:r>
      <w:r w:rsidRPr="004C6553" w:rsidR="005B5FC4">
        <w:t xml:space="preserve"> experimental designs</w:t>
      </w:r>
      <w:r w:rsidRPr="004C6553" w:rsidR="00E94724">
        <w:t>, where the parameters of interest are under the control of the researcher—rather than being pre-established characteristics of the participants—and each participant has an equal probability of being assigned to any of the experimental conditions</w:t>
      </w:r>
      <w:r w:rsidRPr="004C6553" w:rsidR="005B5FC4">
        <w:t xml:space="preserve">.  </w:t>
      </w:r>
    </w:p>
    <w:p w:rsidR="00742CBC" w:rsidRPr="004C6553" w:rsidP="004C6553" w14:paraId="10AFF64C" w14:textId="77777777">
      <w:pPr>
        <w:autoSpaceDE w:val="0"/>
        <w:autoSpaceDN w:val="0"/>
        <w:adjustRightInd w:val="0"/>
        <w:ind w:left="634" w:firstLine="720"/>
        <w:contextualSpacing/>
      </w:pPr>
    </w:p>
    <w:p w:rsidR="00742CBC" w:rsidRPr="004C6553" w:rsidP="00084D6E" w14:paraId="2DC0D2FE" w14:textId="5B63F090">
      <w:pPr>
        <w:autoSpaceDE w:val="0"/>
        <w:autoSpaceDN w:val="0"/>
        <w:adjustRightInd w:val="0"/>
        <w:contextualSpacing/>
      </w:pPr>
      <w:r w:rsidRPr="004C6553">
        <w:t>Generally, t</w:t>
      </w:r>
      <w:r w:rsidRPr="004C6553">
        <w:t xml:space="preserve">here are several approaches to </w:t>
      </w:r>
      <w:r w:rsidRPr="004C6553">
        <w:t xml:space="preserve">conducting a </w:t>
      </w:r>
      <w:r w:rsidRPr="004C6553">
        <w:t>nonresponse bias analysis, such as comparing response rates by subgroups, comparing respondents and nonrespondents on frame variables, and conducting a nonresponse follow-up study</w:t>
      </w:r>
      <w:r w:rsidRPr="004C6553" w:rsidR="0097740B">
        <w:t>.</w:t>
      </w:r>
      <w:r w:rsidR="004162A5">
        <w:t xml:space="preserve"> </w:t>
      </w:r>
      <w:bookmarkStart w:id="0" w:name="_Hlk126927147"/>
      <w:r w:rsidRPr="004C6553" w:rsidR="004643BB">
        <w:t>We will obtain age, race, and gender demographics of nonrespondents from Kantar and compare descriptively to those of respondents, independently for both the consumer and PCP samples, to assess any potential risk of nonresponse bias.</w:t>
      </w:r>
      <w:bookmarkEnd w:id="0"/>
    </w:p>
    <w:p w:rsidR="0097740B" w:rsidRPr="004C6553" w:rsidP="004C6553" w14:paraId="533A0DCA" w14:textId="77777777">
      <w:pPr>
        <w:autoSpaceDE w:val="0"/>
        <w:autoSpaceDN w:val="0"/>
        <w:adjustRightInd w:val="0"/>
        <w:ind w:firstLine="720"/>
        <w:contextualSpacing/>
      </w:pPr>
    </w:p>
    <w:p w:rsidR="00CA557D" w:rsidP="00C749AB" w14:paraId="11F504D2" w14:textId="77777777">
      <w:pPr>
        <w:numPr>
          <w:ilvl w:val="0"/>
          <w:numId w:val="1"/>
        </w:numPr>
        <w:spacing w:before="100" w:beforeAutospacing="1" w:after="100" w:afterAutospacing="1"/>
        <w:contextualSpacing/>
        <w:rPr>
          <w:u w:val="single"/>
        </w:rPr>
      </w:pPr>
      <w:r w:rsidRPr="00E00EA0">
        <w:rPr>
          <w:u w:val="single"/>
        </w:rPr>
        <w:t>Test of Procedures or Methods to be Undertaken</w:t>
      </w:r>
    </w:p>
    <w:p w:rsidR="00A2288D" w:rsidP="00084D6E" w14:paraId="27FF16A2" w14:textId="2DB542A6">
      <w:pPr>
        <w:pStyle w:val="BodyText"/>
        <w:spacing w:line="240" w:lineRule="auto"/>
        <w:rPr>
          <w:rFonts w:ascii="Times New Roman" w:hAnsi="Times New Roman"/>
          <w:sz w:val="24"/>
          <w:szCs w:val="24"/>
        </w:rPr>
      </w:pPr>
      <w:r>
        <w:rPr>
          <w:rFonts w:ascii="Times New Roman" w:hAnsi="Times New Roman"/>
          <w:sz w:val="24"/>
          <w:szCs w:val="24"/>
        </w:rPr>
        <w:t>As part of study development</w:t>
      </w:r>
      <w:r w:rsidRPr="00E16CB6" w:rsidR="00444968">
        <w:rPr>
          <w:rFonts w:ascii="Times New Roman" w:hAnsi="Times New Roman"/>
          <w:sz w:val="24"/>
          <w:szCs w:val="24"/>
        </w:rPr>
        <w:t xml:space="preserve">, we conducted a literature review to inform </w:t>
      </w:r>
      <w:r>
        <w:rPr>
          <w:rFonts w:ascii="Times New Roman" w:hAnsi="Times New Roman"/>
          <w:sz w:val="24"/>
          <w:szCs w:val="24"/>
        </w:rPr>
        <w:t>our knowledge of existing relevant research</w:t>
      </w:r>
      <w:r w:rsidRPr="00E16CB6" w:rsidR="00444968">
        <w:rPr>
          <w:rFonts w:ascii="Times New Roman" w:hAnsi="Times New Roman"/>
          <w:sz w:val="24"/>
          <w:szCs w:val="24"/>
        </w:rPr>
        <w:t xml:space="preserve">. </w:t>
      </w:r>
      <w:r>
        <w:rPr>
          <w:rFonts w:ascii="Times New Roman" w:hAnsi="Times New Roman"/>
          <w:sz w:val="24"/>
          <w:szCs w:val="24"/>
        </w:rPr>
        <w:t>After development of the survey instrument, we conducted nine cognitive interviews to assess wording, flow, and potential misunderstandings.</w:t>
      </w:r>
      <w:r w:rsidR="008679AB">
        <w:rPr>
          <w:rFonts w:ascii="Times New Roman" w:hAnsi="Times New Roman"/>
          <w:sz w:val="24"/>
          <w:szCs w:val="24"/>
        </w:rPr>
        <w:t xml:space="preserve"> Upon approval, we will conduct pretesting as described elsewhere in this document.</w:t>
      </w:r>
    </w:p>
    <w:p w:rsidR="0097740B" w:rsidRPr="00FC728D" w:rsidP="00C749AB" w14:paraId="752FF19F" w14:textId="77777777">
      <w:pPr>
        <w:ind w:firstLine="630"/>
        <w:contextualSpacing/>
      </w:pPr>
    </w:p>
    <w:p w:rsidR="00CA557D" w:rsidRPr="00C749AB" w:rsidP="00C749AB" w14:paraId="0264AE73" w14:textId="77777777">
      <w:pPr>
        <w:numPr>
          <w:ilvl w:val="0"/>
          <w:numId w:val="1"/>
        </w:numPr>
        <w:spacing w:before="100" w:beforeAutospacing="1" w:after="100" w:afterAutospacing="1"/>
        <w:contextualSpacing/>
      </w:pPr>
      <w:r w:rsidRPr="00E00EA0">
        <w:rPr>
          <w:u w:val="single"/>
        </w:rPr>
        <w:t>Individuals Consulted on Statistical Aspects and Individuals Collecting and/or Analyzing Data</w:t>
      </w:r>
    </w:p>
    <w:p w:rsidR="0097740B" w:rsidRPr="00901043" w:rsidP="00C749AB" w14:paraId="263EC0EC" w14:textId="77777777">
      <w:pPr>
        <w:spacing w:before="100" w:beforeAutospacing="1" w:after="100" w:afterAutospacing="1"/>
        <w:ind w:left="630"/>
        <w:contextualSpacing/>
      </w:pPr>
    </w:p>
    <w:p w:rsidR="005F5384" w:rsidP="00FB45B3" w14:paraId="738B5E0C" w14:textId="1DCAB558">
      <w:pPr>
        <w:spacing w:before="100" w:beforeAutospacing="1" w:after="100" w:afterAutospacing="1"/>
        <w:contextualSpacing/>
      </w:pPr>
      <w:r w:rsidRPr="000F1691">
        <w:t xml:space="preserve">The contractor, </w:t>
      </w:r>
      <w:r w:rsidR="008679AB">
        <w:t>Westat</w:t>
      </w:r>
      <w:r w:rsidRPr="000F1691">
        <w:t>,</w:t>
      </w:r>
      <w:r>
        <w:t xml:space="preserve"> will collect and analyze</w:t>
      </w:r>
      <w:r w:rsidRPr="000F1691">
        <w:t xml:space="preserve"> </w:t>
      </w:r>
      <w:r>
        <w:t xml:space="preserve">the data </w:t>
      </w:r>
      <w:r w:rsidRPr="000F1691">
        <w:t xml:space="preserve">on behalf of FDA as a task order under Contract </w:t>
      </w:r>
      <w:r w:rsidR="008679AB">
        <w:t>75F40120A00018</w:t>
      </w:r>
      <w:r w:rsidRPr="000F1691">
        <w:t xml:space="preserve">. </w:t>
      </w:r>
      <w:r w:rsidR="004162A5">
        <w:t xml:space="preserve"> </w:t>
      </w:r>
      <w:r w:rsidR="008679AB">
        <w:t>Simani Price</w:t>
      </w:r>
      <w:r>
        <w:t>, Ph.D</w:t>
      </w:r>
      <w:r w:rsidRPr="00423C0D">
        <w:t>.</w:t>
      </w:r>
      <w:r w:rsidR="00C816ED">
        <w:t>,</w:t>
      </w:r>
      <w:r w:rsidR="007D3A36">
        <w:t xml:space="preserve"> </w:t>
      </w:r>
      <w:r w:rsidR="008679AB">
        <w:t>301-610-5536</w:t>
      </w:r>
      <w:r w:rsidRPr="00423C0D">
        <w:rPr>
          <w:noProof/>
        </w:rPr>
        <w:t xml:space="preserve">, </w:t>
      </w:r>
      <w:r w:rsidRPr="00423C0D">
        <w:t>is the Project Director for this project</w:t>
      </w:r>
      <w:r w:rsidRPr="00423C0D">
        <w:rPr>
          <w:noProof/>
        </w:rPr>
        <w:t>.</w:t>
      </w:r>
      <w:r w:rsidR="004162A5">
        <w:rPr>
          <w:noProof/>
        </w:rPr>
        <w:t xml:space="preserve"> </w:t>
      </w:r>
      <w:r w:rsidRPr="000F1691">
        <w:rPr>
          <w:noProof/>
        </w:rPr>
        <w:t>Data</w:t>
      </w:r>
      <w:r w:rsidRPr="000F1691">
        <w:rPr>
          <w:noProof/>
          <w:color w:val="000080"/>
        </w:rPr>
        <w:t xml:space="preserve"> </w:t>
      </w:r>
      <w:r w:rsidRPr="000F1691">
        <w:t>analysis will be overseen by</w:t>
      </w:r>
      <w:r>
        <w:t xml:space="preserve"> the Research Team, Office of Prescription Drug Promotion (OPDP), Office of Medical Policy, CDER, FDA and coordinated by </w:t>
      </w:r>
      <w:r w:rsidR="00D05FD9">
        <w:t>Amie C. O’Donoghue</w:t>
      </w:r>
      <w:r w:rsidR="00C816ED">
        <w:t>, Ph.D., 301-79</w:t>
      </w:r>
      <w:r w:rsidR="00D05FD9">
        <w:t>6-0574</w:t>
      </w:r>
      <w:r w:rsidR="00FC728D">
        <w:t>,</w:t>
      </w:r>
      <w:r w:rsidR="00C816ED">
        <w:t xml:space="preserve"> and </w:t>
      </w:r>
      <w:r w:rsidR="008679AB">
        <w:t>Kathryn J. Aikin</w:t>
      </w:r>
      <w:r>
        <w:t xml:space="preserve">, Ph.D., </w:t>
      </w:r>
      <w:r w:rsidR="008679AB">
        <w:t>301-796-0569</w:t>
      </w:r>
      <w:r>
        <w:t>.</w:t>
      </w:r>
    </w:p>
    <w:p w:rsidR="005F5384" w:rsidP="004B6AE7" w14:paraId="0DFCFD3C" w14:textId="77777777">
      <w:pPr>
        <w:spacing w:before="100" w:beforeAutospacing="1" w:after="100" w:afterAutospacing="1" w:line="320" w:lineRule="exact"/>
        <w:ind w:left="634"/>
        <w:contextualSpacing/>
      </w:pPr>
    </w:p>
    <w:p w:rsidR="005F5384" w:rsidP="008D018F" w14:paraId="4FCF4F27" w14:textId="39F961B4">
      <w:pPr>
        <w:spacing w:before="100" w:beforeAutospacing="1" w:after="100" w:afterAutospacing="1" w:line="320" w:lineRule="exact"/>
        <w:contextualSpacing/>
        <w:jc w:val="center"/>
        <w:rPr>
          <w:b/>
          <w:bCs/>
        </w:rPr>
      </w:pPr>
      <w:r w:rsidRPr="008D018F">
        <w:rPr>
          <w:b/>
          <w:bCs/>
        </w:rPr>
        <w:t>References</w:t>
      </w:r>
    </w:p>
    <w:p w:rsidR="004F4181" w:rsidRPr="008D018F" w:rsidP="008D018F" w14:paraId="2F26133A" w14:textId="77777777">
      <w:pPr>
        <w:spacing w:before="100" w:beforeAutospacing="1" w:after="100" w:afterAutospacing="1" w:line="320" w:lineRule="exact"/>
        <w:contextualSpacing/>
        <w:jc w:val="center"/>
        <w:rPr>
          <w:b/>
          <w:bCs/>
        </w:rPr>
      </w:pPr>
    </w:p>
    <w:p w:rsidR="005F5384" w:rsidRPr="003C75E8" w:rsidP="005F5384" w14:paraId="184DCFF2" w14:textId="01DE9900">
      <w:pPr>
        <w:pStyle w:val="NL-1stNumberedBullet"/>
        <w:rPr>
          <w:rFonts w:ascii="Times New Roman" w:hAnsi="Times New Roman" w:cs="Times New Roman"/>
        </w:rPr>
      </w:pPr>
      <w:r w:rsidRPr="003C75E8">
        <w:rPr>
          <w:rFonts w:ascii="Times New Roman" w:hAnsi="Times New Roman" w:cs="Times New Roman"/>
          <w:color w:val="202020"/>
        </w:rPr>
        <w:t>Chai,</w:t>
      </w:r>
      <w:r w:rsidRPr="003C75E8">
        <w:rPr>
          <w:rFonts w:ascii="Times New Roman" w:hAnsi="Times New Roman" w:cs="Times New Roman"/>
          <w:color w:val="202020"/>
          <w:spacing w:val="-4"/>
        </w:rPr>
        <w:t xml:space="preserve"> </w:t>
      </w:r>
      <w:r w:rsidRPr="003C75E8">
        <w:rPr>
          <w:rFonts w:ascii="Times New Roman" w:hAnsi="Times New Roman" w:cs="Times New Roman"/>
          <w:color w:val="202020"/>
        </w:rPr>
        <w:t>P.R.,</w:t>
      </w:r>
      <w:r w:rsidRPr="003C75E8">
        <w:rPr>
          <w:rFonts w:ascii="Times New Roman" w:hAnsi="Times New Roman" w:cs="Times New Roman"/>
          <w:color w:val="202020"/>
          <w:spacing w:val="-4"/>
        </w:rPr>
        <w:t xml:space="preserve"> </w:t>
      </w:r>
      <w:r w:rsidR="004162A5">
        <w:rPr>
          <w:rFonts w:ascii="Times New Roman" w:hAnsi="Times New Roman" w:cs="Times New Roman"/>
          <w:color w:val="202020"/>
          <w:spacing w:val="-4"/>
        </w:rPr>
        <w:t xml:space="preserve">S. </w:t>
      </w:r>
      <w:r w:rsidRPr="003C75E8">
        <w:rPr>
          <w:rFonts w:ascii="Times New Roman" w:hAnsi="Times New Roman" w:cs="Times New Roman"/>
          <w:color w:val="202020"/>
        </w:rPr>
        <w:t>Carreiro,</w:t>
      </w:r>
      <w:r w:rsidRPr="003C75E8">
        <w:rPr>
          <w:rFonts w:ascii="Times New Roman" w:hAnsi="Times New Roman" w:cs="Times New Roman"/>
          <w:color w:val="202020"/>
          <w:spacing w:val="-2"/>
        </w:rPr>
        <w:t xml:space="preserve"> </w:t>
      </w:r>
      <w:r w:rsidR="004162A5">
        <w:rPr>
          <w:rFonts w:ascii="Times New Roman" w:hAnsi="Times New Roman" w:cs="Times New Roman"/>
          <w:color w:val="202020"/>
          <w:spacing w:val="-2"/>
        </w:rPr>
        <w:t xml:space="preserve">B.J. </w:t>
      </w:r>
      <w:r w:rsidRPr="003C75E8">
        <w:rPr>
          <w:rFonts w:ascii="Times New Roman" w:hAnsi="Times New Roman" w:cs="Times New Roman"/>
          <w:color w:val="202020"/>
        </w:rPr>
        <w:t>Innes,</w:t>
      </w:r>
      <w:r w:rsidRPr="003C75E8">
        <w:rPr>
          <w:rFonts w:ascii="Times New Roman" w:hAnsi="Times New Roman" w:cs="Times New Roman"/>
          <w:color w:val="202020"/>
          <w:spacing w:val="-4"/>
        </w:rPr>
        <w:t xml:space="preserve"> </w:t>
      </w:r>
      <w:r w:rsidR="004162A5">
        <w:rPr>
          <w:rFonts w:ascii="Times New Roman" w:hAnsi="Times New Roman" w:cs="Times New Roman"/>
          <w:color w:val="202020"/>
        </w:rPr>
        <w:t>et al</w:t>
      </w:r>
      <w:r w:rsidRPr="003C75E8">
        <w:rPr>
          <w:rFonts w:ascii="Times New Roman" w:hAnsi="Times New Roman" w:cs="Times New Roman"/>
          <w:color w:val="202020"/>
        </w:rPr>
        <w:t>.</w:t>
      </w:r>
      <w:r w:rsidR="004162A5">
        <w:rPr>
          <w:rFonts w:ascii="Times New Roman" w:hAnsi="Times New Roman" w:cs="Times New Roman"/>
          <w:color w:val="202020"/>
        </w:rPr>
        <w:t>,</w:t>
      </w:r>
      <w:r w:rsidRPr="003C75E8">
        <w:rPr>
          <w:rFonts w:ascii="Times New Roman" w:hAnsi="Times New Roman" w:cs="Times New Roman"/>
          <w:color w:val="202020"/>
        </w:rPr>
        <w:t xml:space="preserve"> </w:t>
      </w:r>
      <w:r w:rsidR="004162A5">
        <w:rPr>
          <w:rFonts w:ascii="Times New Roman" w:hAnsi="Times New Roman" w:cs="Times New Roman"/>
          <w:color w:val="202020"/>
        </w:rPr>
        <w:t>“</w:t>
      </w:r>
      <w:r w:rsidRPr="003C75E8">
        <w:rPr>
          <w:rFonts w:ascii="Times New Roman" w:hAnsi="Times New Roman" w:cs="Times New Roman"/>
          <w:color w:val="202020"/>
        </w:rPr>
        <w:t>Oxycodone Ingestion Patterns in Acute Fracture Pain With Digital Pills</w:t>
      </w:r>
      <w:r w:rsidR="004162A5">
        <w:rPr>
          <w:rFonts w:ascii="Times New Roman" w:hAnsi="Times New Roman" w:cs="Times New Roman"/>
          <w:color w:val="202020"/>
        </w:rPr>
        <w:t>,”</w:t>
      </w:r>
      <w:r w:rsidRPr="003C75E8">
        <w:rPr>
          <w:rFonts w:ascii="Times New Roman" w:hAnsi="Times New Roman" w:cs="Times New Roman"/>
          <w:color w:val="202020"/>
        </w:rPr>
        <w:t xml:space="preserve"> </w:t>
      </w:r>
      <w:r w:rsidRPr="003C75E8">
        <w:rPr>
          <w:rFonts w:ascii="Times New Roman" w:hAnsi="Times New Roman" w:cs="Times New Roman"/>
          <w:i/>
          <w:color w:val="202020"/>
        </w:rPr>
        <w:t>Anesth Analg</w:t>
      </w:r>
      <w:r w:rsidRPr="009C5803">
        <w:rPr>
          <w:rFonts w:ascii="Times New Roman" w:hAnsi="Times New Roman" w:cs="Times New Roman"/>
          <w:iCs/>
          <w:color w:val="202020"/>
        </w:rPr>
        <w:t xml:space="preserve">, </w:t>
      </w:r>
      <w:r w:rsidR="00860BE9">
        <w:rPr>
          <w:rFonts w:ascii="Times New Roman" w:hAnsi="Times New Roman" w:cs="Times New Roman"/>
          <w:iCs/>
          <w:color w:val="202020"/>
        </w:rPr>
        <w:t xml:space="preserve">vol. </w:t>
      </w:r>
      <w:r w:rsidRPr="009C5803">
        <w:rPr>
          <w:rFonts w:ascii="Times New Roman" w:hAnsi="Times New Roman" w:cs="Times New Roman"/>
          <w:iCs/>
          <w:color w:val="202020"/>
        </w:rPr>
        <w:t>125</w:t>
      </w:r>
      <w:r w:rsidR="00860BE9">
        <w:rPr>
          <w:rFonts w:ascii="Times New Roman" w:hAnsi="Times New Roman" w:cs="Times New Roman"/>
          <w:iCs/>
          <w:color w:val="202020"/>
        </w:rPr>
        <w:t xml:space="preserve">, Issue </w:t>
      </w:r>
      <w:r w:rsidRPr="009C5803">
        <w:rPr>
          <w:rFonts w:ascii="Times New Roman" w:hAnsi="Times New Roman" w:cs="Times New Roman"/>
          <w:iCs/>
          <w:color w:val="202020"/>
        </w:rPr>
        <w:t>6</w:t>
      </w:r>
      <w:r w:rsidRPr="009D0867">
        <w:rPr>
          <w:rFonts w:ascii="Times New Roman" w:hAnsi="Times New Roman" w:cs="Times New Roman"/>
          <w:iCs/>
          <w:color w:val="202020"/>
        </w:rPr>
        <w:t>,</w:t>
      </w:r>
      <w:r w:rsidRPr="003C75E8">
        <w:rPr>
          <w:rFonts w:ascii="Times New Roman" w:hAnsi="Times New Roman" w:cs="Times New Roman"/>
          <w:color w:val="202020"/>
        </w:rPr>
        <w:t xml:space="preserve"> </w:t>
      </w:r>
      <w:r w:rsidR="00D2165C">
        <w:rPr>
          <w:rFonts w:ascii="Times New Roman" w:hAnsi="Times New Roman" w:cs="Times New Roman"/>
          <w:color w:val="202020"/>
        </w:rPr>
        <w:t xml:space="preserve">pp. </w:t>
      </w:r>
      <w:r w:rsidRPr="003C75E8">
        <w:rPr>
          <w:rFonts w:ascii="Times New Roman" w:hAnsi="Times New Roman" w:cs="Times New Roman"/>
          <w:color w:val="202020"/>
        </w:rPr>
        <w:t>2105</w:t>
      </w:r>
      <w:r w:rsidR="004162A5">
        <w:rPr>
          <w:rFonts w:ascii="Times New Roman" w:hAnsi="Times New Roman" w:cs="Times New Roman"/>
          <w:color w:val="202020"/>
        </w:rPr>
        <w:t>–</w:t>
      </w:r>
      <w:r w:rsidRPr="003C75E8">
        <w:rPr>
          <w:rFonts w:ascii="Times New Roman" w:hAnsi="Times New Roman" w:cs="Times New Roman"/>
          <w:color w:val="202020"/>
        </w:rPr>
        <w:t>2112</w:t>
      </w:r>
      <w:r w:rsidR="004162A5">
        <w:rPr>
          <w:rFonts w:ascii="Times New Roman" w:hAnsi="Times New Roman" w:cs="Times New Roman"/>
          <w:color w:val="202020"/>
        </w:rPr>
        <w:t>, 2017</w:t>
      </w:r>
      <w:r w:rsidR="00FD2CAE">
        <w:rPr>
          <w:rFonts w:ascii="Times New Roman" w:hAnsi="Times New Roman" w:cs="Times New Roman"/>
          <w:color w:val="202020"/>
        </w:rPr>
        <w:t>, doi:</w:t>
      </w:r>
      <w:r w:rsidRPr="00FD2CAE" w:rsidR="00FD2CAE">
        <w:rPr>
          <w:rFonts w:ascii="Times New Roman" w:hAnsi="Times New Roman" w:cs="Times New Roman"/>
          <w:color w:val="202020"/>
        </w:rPr>
        <w:t>10.1213/ANE.0000000000002574</w:t>
      </w:r>
      <w:r w:rsidRPr="003C75E8">
        <w:rPr>
          <w:rFonts w:ascii="Times New Roman" w:hAnsi="Times New Roman" w:cs="Times New Roman"/>
          <w:color w:val="202020"/>
        </w:rPr>
        <w:t xml:space="preserve">. </w:t>
      </w:r>
    </w:p>
    <w:p w:rsidR="00B8077E" w:rsidRPr="003C75E8" w:rsidP="00B8077E" w14:paraId="6DA869E9" w14:textId="22E83985">
      <w:pPr>
        <w:pStyle w:val="NL-1stNumberedBullet"/>
        <w:rPr>
          <w:rFonts w:ascii="Times New Roman" w:hAnsi="Times New Roman" w:cs="Times New Roman"/>
        </w:rPr>
      </w:pPr>
      <w:r w:rsidRPr="003C75E8">
        <w:rPr>
          <w:rFonts w:ascii="Times New Roman" w:hAnsi="Times New Roman" w:cs="Times New Roman"/>
        </w:rPr>
        <w:t>Tversky, A.</w:t>
      </w:r>
      <w:r w:rsidR="00F12F8E">
        <w:rPr>
          <w:rFonts w:ascii="Times New Roman" w:hAnsi="Times New Roman" w:cs="Times New Roman"/>
        </w:rPr>
        <w:t xml:space="preserve"> and D.</w:t>
      </w:r>
      <w:r w:rsidRPr="003C75E8">
        <w:rPr>
          <w:rFonts w:ascii="Times New Roman" w:hAnsi="Times New Roman" w:cs="Times New Roman"/>
        </w:rPr>
        <w:t xml:space="preserve"> Kahneman</w:t>
      </w:r>
      <w:r w:rsidR="00F12F8E">
        <w:rPr>
          <w:rFonts w:ascii="Times New Roman" w:hAnsi="Times New Roman" w:cs="Times New Roman"/>
        </w:rPr>
        <w:t>, “</w:t>
      </w:r>
      <w:r w:rsidRPr="003C75E8">
        <w:rPr>
          <w:rFonts w:ascii="Times New Roman" w:hAnsi="Times New Roman" w:cs="Times New Roman"/>
        </w:rPr>
        <w:t xml:space="preserve">Judgment </w:t>
      </w:r>
      <w:r w:rsidR="00F12F8E">
        <w:rPr>
          <w:rFonts w:ascii="Times New Roman" w:hAnsi="Times New Roman" w:cs="Times New Roman"/>
        </w:rPr>
        <w:t>U</w:t>
      </w:r>
      <w:r w:rsidRPr="003C75E8">
        <w:rPr>
          <w:rFonts w:ascii="Times New Roman" w:hAnsi="Times New Roman" w:cs="Times New Roman"/>
        </w:rPr>
        <w:t xml:space="preserve">nder </w:t>
      </w:r>
      <w:r w:rsidR="00F12F8E">
        <w:rPr>
          <w:rFonts w:ascii="Times New Roman" w:hAnsi="Times New Roman" w:cs="Times New Roman"/>
        </w:rPr>
        <w:t>U</w:t>
      </w:r>
      <w:r w:rsidRPr="003C75E8">
        <w:rPr>
          <w:rFonts w:ascii="Times New Roman" w:hAnsi="Times New Roman" w:cs="Times New Roman"/>
        </w:rPr>
        <w:t xml:space="preserve">ncertainty: Heuristics and </w:t>
      </w:r>
      <w:r w:rsidR="00F12F8E">
        <w:rPr>
          <w:rFonts w:ascii="Times New Roman" w:hAnsi="Times New Roman" w:cs="Times New Roman"/>
        </w:rPr>
        <w:t>B</w:t>
      </w:r>
      <w:r w:rsidRPr="003C75E8">
        <w:rPr>
          <w:rFonts w:ascii="Times New Roman" w:hAnsi="Times New Roman" w:cs="Times New Roman"/>
        </w:rPr>
        <w:t>iases</w:t>
      </w:r>
      <w:r w:rsidR="00F12F8E">
        <w:rPr>
          <w:rFonts w:ascii="Times New Roman" w:hAnsi="Times New Roman" w:cs="Times New Roman"/>
        </w:rPr>
        <w:t>,”</w:t>
      </w:r>
      <w:r w:rsidRPr="003C75E8">
        <w:rPr>
          <w:rFonts w:ascii="Times New Roman" w:hAnsi="Times New Roman" w:cs="Times New Roman"/>
        </w:rPr>
        <w:t> </w:t>
      </w:r>
      <w:r w:rsidRPr="003C75E8">
        <w:rPr>
          <w:rFonts w:ascii="Times New Roman" w:hAnsi="Times New Roman" w:cs="Times New Roman"/>
          <w:i/>
        </w:rPr>
        <w:t>Science</w:t>
      </w:r>
      <w:r w:rsidRPr="003C75E8">
        <w:rPr>
          <w:rFonts w:ascii="Times New Roman" w:hAnsi="Times New Roman" w:cs="Times New Roman"/>
        </w:rPr>
        <w:t xml:space="preserve">, </w:t>
      </w:r>
      <w:r w:rsidR="00860BE9">
        <w:rPr>
          <w:rFonts w:ascii="Times New Roman" w:hAnsi="Times New Roman" w:cs="Times New Roman"/>
        </w:rPr>
        <w:t xml:space="preserve">vol. </w:t>
      </w:r>
      <w:r w:rsidRPr="003C75E8">
        <w:rPr>
          <w:rFonts w:ascii="Times New Roman" w:hAnsi="Times New Roman" w:cs="Times New Roman"/>
        </w:rPr>
        <w:t>185,</w:t>
      </w:r>
      <w:r w:rsidR="00A4430F">
        <w:rPr>
          <w:rFonts w:ascii="Times New Roman" w:hAnsi="Times New Roman" w:cs="Times New Roman"/>
        </w:rPr>
        <w:t xml:space="preserve"> Issue 4157,</w:t>
      </w:r>
      <w:r w:rsidRPr="003C75E8">
        <w:rPr>
          <w:rFonts w:ascii="Times New Roman" w:hAnsi="Times New Roman" w:cs="Times New Roman"/>
        </w:rPr>
        <w:t xml:space="preserve"> </w:t>
      </w:r>
      <w:r w:rsidR="00D2165C">
        <w:rPr>
          <w:rFonts w:ascii="Times New Roman" w:hAnsi="Times New Roman" w:cs="Times New Roman"/>
        </w:rPr>
        <w:t xml:space="preserve">pp. </w:t>
      </w:r>
      <w:r w:rsidRPr="003C75E8">
        <w:rPr>
          <w:rFonts w:ascii="Times New Roman" w:hAnsi="Times New Roman" w:cs="Times New Roman"/>
        </w:rPr>
        <w:t>1124–1131</w:t>
      </w:r>
      <w:r w:rsidR="00F12F8E">
        <w:rPr>
          <w:rFonts w:ascii="Times New Roman" w:hAnsi="Times New Roman" w:cs="Times New Roman"/>
        </w:rPr>
        <w:t>, 1974</w:t>
      </w:r>
      <w:r w:rsidR="005E171A">
        <w:rPr>
          <w:rFonts w:ascii="Times New Roman" w:hAnsi="Times New Roman" w:cs="Times New Roman"/>
        </w:rPr>
        <w:t>, doi:</w:t>
      </w:r>
      <w:r w:rsidRPr="005E171A" w:rsidR="005E171A">
        <w:rPr>
          <w:rFonts w:ascii="Times New Roman" w:hAnsi="Times New Roman" w:cs="Times New Roman"/>
        </w:rPr>
        <w:t>10.1126/science.185.4157.1124</w:t>
      </w:r>
      <w:r w:rsidRPr="003C75E8">
        <w:rPr>
          <w:rFonts w:ascii="Times New Roman" w:hAnsi="Times New Roman" w:cs="Times New Roman"/>
        </w:rPr>
        <w:t>.</w:t>
      </w:r>
    </w:p>
    <w:p w:rsidR="00B8077E" w:rsidRPr="009732FA" w:rsidP="003C75E8" w14:paraId="379E38BC" w14:textId="56A4B3C8">
      <w:pPr>
        <w:pStyle w:val="NL-1stNumberedBullet"/>
      </w:pPr>
      <w:r w:rsidRPr="003C75E8">
        <w:rPr>
          <w:rFonts w:ascii="Times New Roman" w:hAnsi="Times New Roman" w:cs="Times New Roman"/>
        </w:rPr>
        <w:t xml:space="preserve">Papola, D., </w:t>
      </w:r>
      <w:r w:rsidR="0022650A">
        <w:rPr>
          <w:rFonts w:ascii="Times New Roman" w:hAnsi="Times New Roman" w:cs="Times New Roman"/>
        </w:rPr>
        <w:t xml:space="preserve">C. </w:t>
      </w:r>
      <w:r w:rsidRPr="003C75E8">
        <w:rPr>
          <w:rFonts w:ascii="Times New Roman" w:hAnsi="Times New Roman" w:cs="Times New Roman"/>
        </w:rPr>
        <w:t xml:space="preserve">Gastaldon, </w:t>
      </w:r>
      <w:r w:rsidR="0022650A">
        <w:rPr>
          <w:rFonts w:ascii="Times New Roman" w:hAnsi="Times New Roman" w:cs="Times New Roman"/>
        </w:rPr>
        <w:t>and G.</w:t>
      </w:r>
      <w:r w:rsidRPr="003C75E8">
        <w:rPr>
          <w:rFonts w:ascii="Times New Roman" w:hAnsi="Times New Roman" w:cs="Times New Roman"/>
        </w:rPr>
        <w:t xml:space="preserve"> Ostuzzi</w:t>
      </w:r>
      <w:r w:rsidR="002F34BD">
        <w:rPr>
          <w:rFonts w:ascii="Times New Roman" w:hAnsi="Times New Roman" w:cs="Times New Roman"/>
        </w:rPr>
        <w:t>,</w:t>
      </w:r>
      <w:r w:rsidRPr="003C75E8">
        <w:rPr>
          <w:rFonts w:ascii="Times New Roman" w:hAnsi="Times New Roman" w:cs="Times New Roman"/>
        </w:rPr>
        <w:t xml:space="preserve"> </w:t>
      </w:r>
      <w:r w:rsidR="0022650A">
        <w:rPr>
          <w:rFonts w:ascii="Times New Roman" w:hAnsi="Times New Roman" w:cs="Times New Roman"/>
        </w:rPr>
        <w:t>“</w:t>
      </w:r>
      <w:r w:rsidRPr="003C75E8">
        <w:rPr>
          <w:rFonts w:ascii="Times New Roman" w:hAnsi="Times New Roman" w:cs="Times New Roman"/>
        </w:rPr>
        <w:t xml:space="preserve">Can a </w:t>
      </w:r>
      <w:r w:rsidR="0022650A">
        <w:rPr>
          <w:rFonts w:ascii="Times New Roman" w:hAnsi="Times New Roman" w:cs="Times New Roman"/>
        </w:rPr>
        <w:t>D</w:t>
      </w:r>
      <w:r w:rsidRPr="003C75E8">
        <w:rPr>
          <w:rFonts w:ascii="Times New Roman" w:hAnsi="Times New Roman" w:cs="Times New Roman"/>
        </w:rPr>
        <w:t xml:space="preserve">igital </w:t>
      </w:r>
      <w:r w:rsidR="0022650A">
        <w:rPr>
          <w:rFonts w:ascii="Times New Roman" w:hAnsi="Times New Roman" w:cs="Times New Roman"/>
        </w:rPr>
        <w:t>M</w:t>
      </w:r>
      <w:r w:rsidRPr="003C75E8">
        <w:rPr>
          <w:rFonts w:ascii="Times New Roman" w:hAnsi="Times New Roman" w:cs="Times New Roman"/>
        </w:rPr>
        <w:t xml:space="preserve">edicine </w:t>
      </w:r>
      <w:r w:rsidR="0022650A">
        <w:rPr>
          <w:rFonts w:ascii="Times New Roman" w:hAnsi="Times New Roman" w:cs="Times New Roman"/>
        </w:rPr>
        <w:t>S</w:t>
      </w:r>
      <w:r w:rsidRPr="003C75E8">
        <w:rPr>
          <w:rFonts w:ascii="Times New Roman" w:hAnsi="Times New Roman" w:cs="Times New Roman"/>
        </w:rPr>
        <w:t xml:space="preserve">ystem </w:t>
      </w:r>
      <w:r w:rsidR="0022650A">
        <w:rPr>
          <w:rFonts w:ascii="Times New Roman" w:hAnsi="Times New Roman" w:cs="Times New Roman"/>
        </w:rPr>
        <w:t>I</w:t>
      </w:r>
      <w:r w:rsidRPr="003C75E8">
        <w:rPr>
          <w:rFonts w:ascii="Times New Roman" w:hAnsi="Times New Roman" w:cs="Times New Roman"/>
        </w:rPr>
        <w:t xml:space="preserve">mprove </w:t>
      </w:r>
      <w:r w:rsidR="0022650A">
        <w:rPr>
          <w:rFonts w:ascii="Times New Roman" w:hAnsi="Times New Roman" w:cs="Times New Roman"/>
        </w:rPr>
        <w:t>A</w:t>
      </w:r>
      <w:r w:rsidRPr="003C75E8">
        <w:rPr>
          <w:rFonts w:ascii="Times New Roman" w:hAnsi="Times New Roman" w:cs="Times New Roman"/>
        </w:rPr>
        <w:t xml:space="preserve">dherence to </w:t>
      </w:r>
      <w:r w:rsidR="0022650A">
        <w:rPr>
          <w:rFonts w:ascii="Times New Roman" w:hAnsi="Times New Roman" w:cs="Times New Roman"/>
        </w:rPr>
        <w:t>A</w:t>
      </w:r>
      <w:r w:rsidRPr="003C75E8">
        <w:rPr>
          <w:rFonts w:ascii="Times New Roman" w:hAnsi="Times New Roman" w:cs="Times New Roman"/>
        </w:rPr>
        <w:t xml:space="preserve">ntipsychotic </w:t>
      </w:r>
      <w:r w:rsidR="0022650A">
        <w:rPr>
          <w:rFonts w:ascii="Times New Roman" w:hAnsi="Times New Roman" w:cs="Times New Roman"/>
        </w:rPr>
        <w:t>T</w:t>
      </w:r>
      <w:r w:rsidRPr="003C75E8">
        <w:rPr>
          <w:rFonts w:ascii="Times New Roman" w:hAnsi="Times New Roman" w:cs="Times New Roman"/>
        </w:rPr>
        <w:t>reatment?</w:t>
      </w:r>
      <w:r w:rsidR="00F67C91">
        <w:rPr>
          <w:rFonts w:ascii="Times New Roman" w:hAnsi="Times New Roman" w:cs="Times New Roman"/>
        </w:rPr>
        <w:t>,</w:t>
      </w:r>
      <w:r w:rsidR="0022650A">
        <w:rPr>
          <w:rFonts w:ascii="Times New Roman" w:hAnsi="Times New Roman" w:cs="Times New Roman"/>
        </w:rPr>
        <w:t>”</w:t>
      </w:r>
      <w:r w:rsidRPr="003C75E8">
        <w:rPr>
          <w:rFonts w:ascii="Times New Roman" w:hAnsi="Times New Roman" w:cs="Times New Roman"/>
        </w:rPr>
        <w:t xml:space="preserve"> </w:t>
      </w:r>
      <w:r w:rsidRPr="003C75E8">
        <w:rPr>
          <w:rFonts w:ascii="Times New Roman" w:hAnsi="Times New Roman" w:cs="Times New Roman"/>
          <w:i/>
        </w:rPr>
        <w:t>Epidemiol Psychiatr Sci</w:t>
      </w:r>
      <w:r w:rsidRPr="003C75E8">
        <w:rPr>
          <w:rFonts w:ascii="Times New Roman" w:hAnsi="Times New Roman" w:cs="Times New Roman"/>
        </w:rPr>
        <w:t xml:space="preserve">, </w:t>
      </w:r>
      <w:r w:rsidR="00A4430F">
        <w:rPr>
          <w:rFonts w:ascii="Times New Roman" w:hAnsi="Times New Roman" w:cs="Times New Roman"/>
        </w:rPr>
        <w:t xml:space="preserve">vol. </w:t>
      </w:r>
      <w:r w:rsidRPr="003C75E8">
        <w:rPr>
          <w:rFonts w:ascii="Times New Roman" w:hAnsi="Times New Roman" w:cs="Times New Roman"/>
        </w:rPr>
        <w:t>27</w:t>
      </w:r>
      <w:r w:rsidR="00A4430F">
        <w:rPr>
          <w:rFonts w:ascii="Times New Roman" w:hAnsi="Times New Roman" w:cs="Times New Roman"/>
        </w:rPr>
        <w:t xml:space="preserve">, Issue </w:t>
      </w:r>
      <w:r w:rsidRPr="003C75E8">
        <w:rPr>
          <w:rFonts w:ascii="Times New Roman" w:hAnsi="Times New Roman" w:cs="Times New Roman"/>
        </w:rPr>
        <w:t xml:space="preserve">3, </w:t>
      </w:r>
      <w:r w:rsidR="00D2165C">
        <w:rPr>
          <w:rFonts w:ascii="Times New Roman" w:hAnsi="Times New Roman" w:cs="Times New Roman"/>
        </w:rPr>
        <w:t xml:space="preserve">pp. </w:t>
      </w:r>
      <w:r w:rsidRPr="003C75E8">
        <w:rPr>
          <w:rFonts w:ascii="Times New Roman" w:hAnsi="Times New Roman" w:cs="Times New Roman"/>
        </w:rPr>
        <w:t>227</w:t>
      </w:r>
      <w:r w:rsidR="0022650A">
        <w:rPr>
          <w:rFonts w:ascii="Times New Roman" w:hAnsi="Times New Roman" w:cs="Times New Roman"/>
        </w:rPr>
        <w:t>–</w:t>
      </w:r>
      <w:r w:rsidRPr="003C75E8">
        <w:rPr>
          <w:rFonts w:ascii="Times New Roman" w:hAnsi="Times New Roman" w:cs="Times New Roman"/>
        </w:rPr>
        <w:t>229</w:t>
      </w:r>
      <w:r w:rsidR="0022650A">
        <w:rPr>
          <w:rFonts w:ascii="Times New Roman" w:hAnsi="Times New Roman" w:cs="Times New Roman"/>
        </w:rPr>
        <w:t>, 2018</w:t>
      </w:r>
      <w:r w:rsidR="00AF625D">
        <w:rPr>
          <w:rFonts w:ascii="Times New Roman" w:hAnsi="Times New Roman" w:cs="Times New Roman"/>
        </w:rPr>
        <w:t>, doi:</w:t>
      </w:r>
      <w:r w:rsidRPr="00AF625D" w:rsidR="00AF625D">
        <w:rPr>
          <w:rFonts w:ascii="Times New Roman" w:hAnsi="Times New Roman" w:cs="Times New Roman"/>
        </w:rPr>
        <w:t>10.1017/S2045796018000082</w:t>
      </w:r>
      <w:r w:rsidRPr="003C75E8">
        <w:rPr>
          <w:rFonts w:ascii="Times New Roman" w:hAnsi="Times New Roman" w:cs="Times New Roman"/>
        </w:rPr>
        <w:t>.</w:t>
      </w:r>
    </w:p>
    <w:p w:rsidR="00B8077E" w:rsidRPr="003C75E8" w:rsidP="009C5803" w14:paraId="49AF327F" w14:textId="5CB95D4B">
      <w:pPr>
        <w:pStyle w:val="NL-1stNumberedBullet"/>
        <w:tabs>
          <w:tab w:val="left" w:pos="4320"/>
        </w:tabs>
        <w:rPr>
          <w:rFonts w:ascii="Times New Roman" w:hAnsi="Times New Roman" w:cs="Times New Roman"/>
        </w:rPr>
      </w:pPr>
      <w:r w:rsidRPr="003C75E8">
        <w:rPr>
          <w:rFonts w:ascii="Times New Roman" w:hAnsi="Times New Roman" w:cs="Times New Roman"/>
        </w:rPr>
        <w:t xml:space="preserve">Cohen, </w:t>
      </w:r>
      <w:r w:rsidR="00AF625D">
        <w:rPr>
          <w:rFonts w:ascii="Times New Roman" w:hAnsi="Times New Roman" w:cs="Times New Roman"/>
        </w:rPr>
        <w:t>J.,</w:t>
      </w:r>
      <w:r w:rsidRPr="003C75E8">
        <w:rPr>
          <w:rFonts w:ascii="Times New Roman" w:hAnsi="Times New Roman" w:cs="Times New Roman"/>
        </w:rPr>
        <w:t xml:space="preserve"> </w:t>
      </w:r>
      <w:r w:rsidRPr="009C5803">
        <w:rPr>
          <w:rFonts w:ascii="Times New Roman" w:hAnsi="Times New Roman" w:cs="Times New Roman"/>
          <w:i/>
          <w:iCs/>
        </w:rPr>
        <w:t>Statistical Power Analysis for the Behavioral Sciences</w:t>
      </w:r>
      <w:r w:rsidR="00470FB5">
        <w:rPr>
          <w:rFonts w:ascii="Times New Roman" w:hAnsi="Times New Roman" w:cs="Times New Roman"/>
        </w:rPr>
        <w:t>,</w:t>
      </w:r>
      <w:r w:rsidRPr="003C75E8">
        <w:rPr>
          <w:rFonts w:ascii="Times New Roman" w:hAnsi="Times New Roman" w:cs="Times New Roman"/>
        </w:rPr>
        <w:t xml:space="preserve"> </w:t>
      </w:r>
      <w:r w:rsidR="00A611D5">
        <w:rPr>
          <w:rFonts w:ascii="Times New Roman" w:hAnsi="Times New Roman" w:cs="Times New Roman"/>
        </w:rPr>
        <w:t>2</w:t>
      </w:r>
      <w:r w:rsidRPr="009C5803" w:rsidR="00A611D5">
        <w:rPr>
          <w:rFonts w:ascii="Times New Roman" w:hAnsi="Times New Roman" w:cs="Times New Roman"/>
        </w:rPr>
        <w:t>nd</w:t>
      </w:r>
      <w:r w:rsidR="00A611D5">
        <w:rPr>
          <w:rFonts w:ascii="Times New Roman" w:hAnsi="Times New Roman" w:cs="Times New Roman"/>
        </w:rPr>
        <w:t xml:space="preserve"> ed., </w:t>
      </w:r>
      <w:r w:rsidRPr="003C75E8">
        <w:rPr>
          <w:rFonts w:ascii="Times New Roman" w:hAnsi="Times New Roman" w:cs="Times New Roman"/>
        </w:rPr>
        <w:t>Routledge</w:t>
      </w:r>
      <w:r w:rsidR="005F3049">
        <w:rPr>
          <w:rFonts w:ascii="Times New Roman" w:hAnsi="Times New Roman" w:cs="Times New Roman"/>
        </w:rPr>
        <w:t>, 1988,</w:t>
      </w:r>
      <w:r w:rsidRPr="003C75E8">
        <w:rPr>
          <w:rFonts w:ascii="Times New Roman" w:hAnsi="Times New Roman" w:cs="Times New Roman"/>
        </w:rPr>
        <w:t xml:space="preserve"> ISBN</w:t>
      </w:r>
      <w:r w:rsidR="00956891">
        <w:rPr>
          <w:rFonts w:ascii="Times New Roman" w:hAnsi="Times New Roman" w:cs="Times New Roman"/>
        </w:rPr>
        <w:t>:</w:t>
      </w:r>
      <w:r w:rsidRPr="003C75E8">
        <w:rPr>
          <w:rFonts w:ascii="Times New Roman" w:hAnsi="Times New Roman" w:cs="Times New Roman"/>
        </w:rPr>
        <w:t xml:space="preserve"> 978-1-134-74270-7.</w:t>
      </w:r>
    </w:p>
    <w:p w:rsidR="00B8077E" w:rsidRPr="003C75E8" w:rsidP="00B8077E" w14:paraId="61311A36" w14:textId="65D6166C">
      <w:pPr>
        <w:pStyle w:val="NL-1stNumberedBullet"/>
        <w:rPr>
          <w:rFonts w:ascii="Times New Roman" w:hAnsi="Times New Roman" w:cs="Times New Roman"/>
        </w:rPr>
      </w:pPr>
      <w:r w:rsidRPr="003C75E8">
        <w:rPr>
          <w:rFonts w:ascii="Times New Roman" w:hAnsi="Times New Roman" w:cs="Times New Roman"/>
        </w:rPr>
        <w:t>Sawilowsky, S</w:t>
      </w:r>
      <w:r w:rsidR="0022650A">
        <w:rPr>
          <w:rFonts w:ascii="Times New Roman" w:hAnsi="Times New Roman" w:cs="Times New Roman"/>
        </w:rPr>
        <w:t>.,</w:t>
      </w:r>
      <w:r w:rsidRPr="003C75E8">
        <w:rPr>
          <w:rFonts w:ascii="Times New Roman" w:hAnsi="Times New Roman" w:cs="Times New Roman"/>
        </w:rPr>
        <w:t xml:space="preserve"> </w:t>
      </w:r>
      <w:r w:rsidR="0022650A">
        <w:rPr>
          <w:rFonts w:ascii="Times New Roman" w:hAnsi="Times New Roman" w:cs="Times New Roman"/>
        </w:rPr>
        <w:t>“</w:t>
      </w:r>
      <w:r w:rsidRPr="003C75E8">
        <w:rPr>
          <w:rFonts w:ascii="Times New Roman" w:hAnsi="Times New Roman" w:cs="Times New Roman"/>
        </w:rPr>
        <w:t xml:space="preserve">New </w:t>
      </w:r>
      <w:r w:rsidR="0022650A">
        <w:rPr>
          <w:rFonts w:ascii="Times New Roman" w:hAnsi="Times New Roman" w:cs="Times New Roman"/>
        </w:rPr>
        <w:t>E</w:t>
      </w:r>
      <w:r w:rsidRPr="003C75E8">
        <w:rPr>
          <w:rFonts w:ascii="Times New Roman" w:hAnsi="Times New Roman" w:cs="Times New Roman"/>
        </w:rPr>
        <w:t xml:space="preserve">ffect </w:t>
      </w:r>
      <w:r w:rsidR="0022650A">
        <w:rPr>
          <w:rFonts w:ascii="Times New Roman" w:hAnsi="Times New Roman" w:cs="Times New Roman"/>
        </w:rPr>
        <w:t>S</w:t>
      </w:r>
      <w:r w:rsidRPr="003C75E8">
        <w:rPr>
          <w:rFonts w:ascii="Times New Roman" w:hAnsi="Times New Roman" w:cs="Times New Roman"/>
        </w:rPr>
        <w:t xml:space="preserve">ize </w:t>
      </w:r>
      <w:r w:rsidR="0022650A">
        <w:rPr>
          <w:rFonts w:ascii="Times New Roman" w:hAnsi="Times New Roman" w:cs="Times New Roman"/>
        </w:rPr>
        <w:t>R</w:t>
      </w:r>
      <w:r w:rsidRPr="003C75E8">
        <w:rPr>
          <w:rFonts w:ascii="Times New Roman" w:hAnsi="Times New Roman" w:cs="Times New Roman"/>
        </w:rPr>
        <w:t xml:space="preserve">ules of </w:t>
      </w:r>
      <w:r w:rsidR="0022650A">
        <w:rPr>
          <w:rFonts w:ascii="Times New Roman" w:hAnsi="Times New Roman" w:cs="Times New Roman"/>
        </w:rPr>
        <w:t>T</w:t>
      </w:r>
      <w:r w:rsidRPr="003C75E8">
        <w:rPr>
          <w:rFonts w:ascii="Times New Roman" w:hAnsi="Times New Roman" w:cs="Times New Roman"/>
        </w:rPr>
        <w:t>humb</w:t>
      </w:r>
      <w:r w:rsidR="0022650A">
        <w:rPr>
          <w:rFonts w:ascii="Times New Roman" w:hAnsi="Times New Roman" w:cs="Times New Roman"/>
        </w:rPr>
        <w:t>,”</w:t>
      </w:r>
      <w:r w:rsidRPr="003C75E8">
        <w:rPr>
          <w:rFonts w:ascii="Times New Roman" w:hAnsi="Times New Roman" w:cs="Times New Roman"/>
        </w:rPr>
        <w:t xml:space="preserve"> </w:t>
      </w:r>
      <w:r w:rsidRPr="009C5803">
        <w:rPr>
          <w:rFonts w:ascii="Times New Roman" w:hAnsi="Times New Roman" w:cs="Times New Roman"/>
          <w:i/>
          <w:iCs/>
        </w:rPr>
        <w:t>Journal of Modern Applied Statistical Methods</w:t>
      </w:r>
      <w:r w:rsidR="0022650A">
        <w:rPr>
          <w:rFonts w:ascii="Times New Roman" w:hAnsi="Times New Roman" w:cs="Times New Roman"/>
        </w:rPr>
        <w:t>,</w:t>
      </w:r>
      <w:r w:rsidRPr="003C75E8">
        <w:rPr>
          <w:rFonts w:ascii="Times New Roman" w:hAnsi="Times New Roman" w:cs="Times New Roman"/>
        </w:rPr>
        <w:t xml:space="preserve"> </w:t>
      </w:r>
      <w:r w:rsidR="00FC5828">
        <w:rPr>
          <w:rFonts w:ascii="Times New Roman" w:hAnsi="Times New Roman" w:cs="Times New Roman"/>
        </w:rPr>
        <w:t xml:space="preserve">vol. </w:t>
      </w:r>
      <w:r w:rsidRPr="003C75E8">
        <w:rPr>
          <w:rFonts w:ascii="Times New Roman" w:hAnsi="Times New Roman" w:cs="Times New Roman"/>
        </w:rPr>
        <w:t>8</w:t>
      </w:r>
      <w:r w:rsidR="00FC5828">
        <w:rPr>
          <w:rFonts w:ascii="Times New Roman" w:hAnsi="Times New Roman" w:cs="Times New Roman"/>
        </w:rPr>
        <w:t xml:space="preserve">, Issue </w:t>
      </w:r>
      <w:r w:rsidRPr="003C75E8">
        <w:rPr>
          <w:rFonts w:ascii="Times New Roman" w:hAnsi="Times New Roman" w:cs="Times New Roman"/>
        </w:rPr>
        <w:t>2</w:t>
      </w:r>
      <w:r w:rsidR="0022650A">
        <w:rPr>
          <w:rFonts w:ascii="Times New Roman" w:hAnsi="Times New Roman" w:cs="Times New Roman"/>
        </w:rPr>
        <w:t>,</w:t>
      </w:r>
      <w:r w:rsidRPr="003C75E8">
        <w:rPr>
          <w:rFonts w:ascii="Times New Roman" w:hAnsi="Times New Roman" w:cs="Times New Roman"/>
        </w:rPr>
        <w:t xml:space="preserve"> </w:t>
      </w:r>
      <w:r w:rsidR="00D2165C">
        <w:rPr>
          <w:rFonts w:ascii="Times New Roman" w:hAnsi="Times New Roman" w:cs="Times New Roman"/>
        </w:rPr>
        <w:t xml:space="preserve">pp. </w:t>
      </w:r>
      <w:r w:rsidRPr="003C75E8">
        <w:rPr>
          <w:rFonts w:ascii="Times New Roman" w:hAnsi="Times New Roman" w:cs="Times New Roman"/>
        </w:rPr>
        <w:t>467–474</w:t>
      </w:r>
      <w:r w:rsidR="0022650A">
        <w:rPr>
          <w:rFonts w:ascii="Times New Roman" w:hAnsi="Times New Roman" w:cs="Times New Roman"/>
        </w:rPr>
        <w:t xml:space="preserve">, 2009, </w:t>
      </w:r>
      <w:r w:rsidRPr="003C75E8">
        <w:rPr>
          <w:rFonts w:ascii="Times New Roman" w:hAnsi="Times New Roman" w:cs="Times New Roman"/>
        </w:rPr>
        <w:t>doi:10.22237/jmasm/1257035100</w:t>
      </w:r>
      <w:r w:rsidR="00D2165C">
        <w:rPr>
          <w:rFonts w:ascii="Times New Roman" w:hAnsi="Times New Roman" w:cs="Times New Roman"/>
        </w:rPr>
        <w:t>,</w:t>
      </w:r>
      <w:r w:rsidRPr="003C75E8">
        <w:rPr>
          <w:rFonts w:ascii="Times New Roman" w:hAnsi="Times New Roman" w:cs="Times New Roman"/>
        </w:rPr>
        <w:t xml:space="preserve"> </w:t>
      </w:r>
      <w:r w:rsidR="00D2165C">
        <w:rPr>
          <w:rFonts w:ascii="Times New Roman" w:hAnsi="Times New Roman" w:cs="Times New Roman"/>
        </w:rPr>
        <w:t xml:space="preserve">available at </w:t>
      </w:r>
      <w:hyperlink r:id="rId8" w:history="1">
        <w:r w:rsidRPr="00BD7D51" w:rsidR="005F3049">
          <w:rPr>
            <w:rStyle w:val="Hyperlink"/>
            <w:rFonts w:ascii="Times New Roman" w:hAnsi="Times New Roman"/>
            <w:szCs w:val="24"/>
          </w:rPr>
          <w:t>http://digitalcommons.wayne.edu/jmasm/vol8/iss2/26</w:t>
        </w:r>
      </w:hyperlink>
      <w:r w:rsidRPr="00FC5828">
        <w:rPr>
          <w:rFonts w:ascii="Times New Roman" w:hAnsi="Times New Roman" w:cs="Times New Roman"/>
        </w:rPr>
        <w:t>.</w:t>
      </w:r>
    </w:p>
    <w:p w:rsidR="00B47DEC" w:rsidP="005F5384" w14:paraId="5B9E23F3" w14:textId="369CC4E6">
      <w:pPr>
        <w:spacing w:before="100" w:beforeAutospacing="1" w:after="100" w:afterAutospacing="1" w:line="320" w:lineRule="exact"/>
        <w:contextualSpacing/>
      </w:pPr>
    </w:p>
    <w:p w:rsidR="00B47DEC" w:rsidP="005F5384" w14:paraId="373A7210" w14:textId="627AC226">
      <w:pPr>
        <w:spacing w:before="100" w:beforeAutospacing="1" w:after="100" w:afterAutospacing="1" w:line="320" w:lineRule="exact"/>
        <w:contextualSpacing/>
      </w:pPr>
    </w:p>
    <w:p w:rsidR="00B47DEC" w:rsidP="005F5384" w14:paraId="1A77080B" w14:textId="0C1EB97B">
      <w:pPr>
        <w:spacing w:before="100" w:beforeAutospacing="1" w:after="100" w:afterAutospacing="1" w:line="320" w:lineRule="exact"/>
        <w:contextualSpacing/>
      </w:pPr>
    </w:p>
    <w:p w:rsidR="00B47DEC" w:rsidP="005F5384" w14:paraId="21753A80" w14:textId="337E480D">
      <w:pPr>
        <w:spacing w:before="100" w:beforeAutospacing="1" w:after="100" w:afterAutospacing="1" w:line="320" w:lineRule="exact"/>
        <w:contextualSpacing/>
      </w:pPr>
    </w:p>
    <w:p w:rsidR="008C3DA3" w:rsidP="008C3DA3" w14:paraId="6C7F2F3F" w14:textId="77777777">
      <w:pPr>
        <w:widowControl w:val="0"/>
        <w:spacing w:before="2"/>
        <w:rPr>
          <w:rFonts w:ascii="Calibri"/>
        </w:rPr>
      </w:pPr>
    </w:p>
    <w:p w:rsidR="00B47DEC" w:rsidP="005F5384" w14:paraId="7E485D29" w14:textId="6EE15A16">
      <w:pPr>
        <w:spacing w:before="100" w:beforeAutospacing="1" w:after="100" w:afterAutospacing="1" w:line="320" w:lineRule="exact"/>
        <w:contextualSpacing/>
      </w:pPr>
    </w:p>
    <w:p w:rsidR="00B47DEC" w:rsidP="005F5384" w14:paraId="5649EC83" w14:textId="0932AD25">
      <w:pPr>
        <w:spacing w:before="100" w:beforeAutospacing="1" w:after="100" w:afterAutospacing="1" w:line="320" w:lineRule="exact"/>
        <w:contextualSpacing/>
      </w:pPr>
    </w:p>
    <w:p w:rsidR="00B47DEC" w:rsidP="005F5384" w14:paraId="78291FDB" w14:textId="61F480AE">
      <w:pPr>
        <w:spacing w:before="100" w:beforeAutospacing="1" w:after="100" w:afterAutospacing="1" w:line="320" w:lineRule="exact"/>
        <w:contextualSpacing/>
      </w:pPr>
    </w:p>
    <w:p w:rsidR="00B47DEC" w:rsidP="005F5384" w14:paraId="7BF98FAA" w14:textId="11CCD773">
      <w:pPr>
        <w:spacing w:before="100" w:beforeAutospacing="1" w:after="100" w:afterAutospacing="1" w:line="320" w:lineRule="exact"/>
        <w:contextualSpacing/>
      </w:pPr>
    </w:p>
    <w:p w:rsidR="00B47DEC" w:rsidP="005F5384" w14:paraId="3F81C541" w14:textId="77777777">
      <w:pPr>
        <w:spacing w:before="100" w:beforeAutospacing="1" w:after="100" w:afterAutospacing="1" w:line="320" w:lineRule="exact"/>
        <w:contextualSpacing/>
      </w:pPr>
    </w:p>
    <w:sectPr w:rsidSect="00852CDF">
      <w:footerReference w:type="even" r:id="rId9"/>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38B" w:rsidP="00852CDF" w14:paraId="7473DBF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A538B" w14:paraId="1BCB10BD" w14:textId="77777777">
    <w:pPr>
      <w:pStyle w:val="Footer"/>
    </w:pPr>
  </w:p>
  <w:p w:rsidR="00C9423B" w14:paraId="38CF987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38B" w:rsidP="00852CDF" w14:paraId="41839BB1" w14:textId="0EF64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43BB">
      <w:rPr>
        <w:rStyle w:val="PageNumber"/>
        <w:noProof/>
      </w:rPr>
      <w:t>8</w:t>
    </w:r>
    <w:r>
      <w:rPr>
        <w:rStyle w:val="PageNumber"/>
      </w:rPr>
      <w:fldChar w:fldCharType="end"/>
    </w:r>
  </w:p>
  <w:p w:rsidR="008A538B" w14:paraId="70F8AA7E" w14:textId="77777777">
    <w:pPr>
      <w:pStyle w:val="Footer"/>
    </w:pPr>
  </w:p>
  <w:p w:rsidR="00C9423B" w14:paraId="30B4E08B"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124A7"/>
    <w:multiLevelType w:val="hybridMultilevel"/>
    <w:tmpl w:val="84343F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062"/>
    <w:multiLevelType w:val="hybridMultilevel"/>
    <w:tmpl w:val="4FE0C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002856"/>
    <w:multiLevelType w:val="hybridMultilevel"/>
    <w:tmpl w:val="2B1EA6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2E06039"/>
    <w:multiLevelType w:val="multilevel"/>
    <w:tmpl w:val="154ED458"/>
    <w:numStyleLink w:val="Format4"/>
  </w:abstractNum>
  <w:abstractNum w:abstractNumId="4">
    <w:nsid w:val="165F00F6"/>
    <w:multiLevelType w:val="hybridMultilevel"/>
    <w:tmpl w:val="CDEEC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1C28A7"/>
    <w:multiLevelType w:val="hybridMultilevel"/>
    <w:tmpl w:val="8F8EE272"/>
    <w:lvl w:ilvl="0">
      <w:start w:val="0"/>
      <w:numFmt w:val="bullet"/>
      <w:lvlText w:val=""/>
      <w:lvlJc w:val="left"/>
      <w:pPr>
        <w:ind w:left="1680" w:hanging="360"/>
      </w:pPr>
      <w:rPr>
        <w:rFonts w:ascii="Symbol" w:eastAsia="Symbol" w:hAnsi="Symbol" w:cs="Symbol" w:hint="default"/>
        <w:b w:val="0"/>
        <w:bCs w:val="0"/>
        <w:i w:val="0"/>
        <w:iCs w:val="0"/>
        <w:w w:val="100"/>
        <w:sz w:val="24"/>
        <w:szCs w:val="24"/>
      </w:rPr>
    </w:lvl>
    <w:lvl w:ilvl="1">
      <w:start w:val="0"/>
      <w:numFmt w:val="bullet"/>
      <w:lvlText w:val=""/>
      <w:lvlJc w:val="left"/>
      <w:pPr>
        <w:ind w:left="2040" w:hanging="360"/>
      </w:pPr>
      <w:rPr>
        <w:rFonts w:ascii="Wingdings" w:eastAsia="Wingdings" w:hAnsi="Wingdings" w:cs="Wingdings" w:hint="default"/>
        <w:b w:val="0"/>
        <w:bCs w:val="0"/>
        <w:i w:val="0"/>
        <w:iCs w:val="0"/>
        <w:w w:val="100"/>
        <w:sz w:val="16"/>
        <w:szCs w:val="16"/>
      </w:rPr>
    </w:lvl>
    <w:lvl w:ilvl="2">
      <w:start w:val="0"/>
      <w:numFmt w:val="bullet"/>
      <w:lvlText w:val="•"/>
      <w:lvlJc w:val="left"/>
      <w:pPr>
        <w:ind w:left="3057" w:hanging="360"/>
      </w:pPr>
      <w:rPr>
        <w:rFonts w:hint="default"/>
      </w:rPr>
    </w:lvl>
    <w:lvl w:ilvl="3">
      <w:start w:val="0"/>
      <w:numFmt w:val="bullet"/>
      <w:lvlText w:val="•"/>
      <w:lvlJc w:val="left"/>
      <w:pPr>
        <w:ind w:left="4075" w:hanging="360"/>
      </w:pPr>
      <w:rPr>
        <w:rFonts w:hint="default"/>
      </w:rPr>
    </w:lvl>
    <w:lvl w:ilvl="4">
      <w:start w:val="0"/>
      <w:numFmt w:val="bullet"/>
      <w:lvlText w:val="•"/>
      <w:lvlJc w:val="left"/>
      <w:pPr>
        <w:ind w:left="5093" w:hanging="360"/>
      </w:pPr>
      <w:rPr>
        <w:rFonts w:hint="default"/>
      </w:rPr>
    </w:lvl>
    <w:lvl w:ilvl="5">
      <w:start w:val="0"/>
      <w:numFmt w:val="bullet"/>
      <w:lvlText w:val="•"/>
      <w:lvlJc w:val="left"/>
      <w:pPr>
        <w:ind w:left="6111" w:hanging="360"/>
      </w:pPr>
      <w:rPr>
        <w:rFonts w:hint="default"/>
      </w:rPr>
    </w:lvl>
    <w:lvl w:ilvl="6">
      <w:start w:val="0"/>
      <w:numFmt w:val="bullet"/>
      <w:lvlText w:val="•"/>
      <w:lvlJc w:val="left"/>
      <w:pPr>
        <w:ind w:left="7128" w:hanging="360"/>
      </w:pPr>
      <w:rPr>
        <w:rFonts w:hint="default"/>
      </w:rPr>
    </w:lvl>
    <w:lvl w:ilvl="7">
      <w:start w:val="0"/>
      <w:numFmt w:val="bullet"/>
      <w:lvlText w:val="•"/>
      <w:lvlJc w:val="left"/>
      <w:pPr>
        <w:ind w:left="8146" w:hanging="360"/>
      </w:pPr>
      <w:rPr>
        <w:rFonts w:hint="default"/>
      </w:rPr>
    </w:lvl>
    <w:lvl w:ilvl="8">
      <w:start w:val="0"/>
      <w:numFmt w:val="bullet"/>
      <w:lvlText w:val="•"/>
      <w:lvlJc w:val="left"/>
      <w:pPr>
        <w:ind w:left="9164" w:hanging="360"/>
      </w:pPr>
      <w:rPr>
        <w:rFonts w:hint="default"/>
      </w:rPr>
    </w:lvl>
  </w:abstractNum>
  <w:abstractNum w:abstractNumId="6">
    <w:nsid w:val="199B0AED"/>
    <w:multiLevelType w:val="multilevel"/>
    <w:tmpl w:val="154ED458"/>
    <w:styleLink w:val="Format4"/>
    <w:lvl w:ilvl="0">
      <w:start w:val="1"/>
      <w:numFmt w:val="decimal"/>
      <w:pStyle w:val="Heading1"/>
      <w:lvlText w:val="%1."/>
      <w:lvlJc w:val="left"/>
      <w:pPr>
        <w:ind w:left="324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8F85ED1"/>
    <w:multiLevelType w:val="hybridMultilevel"/>
    <w:tmpl w:val="4E86C03E"/>
    <w:lvl w:ilvl="0">
      <w:start w:val="1"/>
      <w:numFmt w:val="decimal"/>
      <w:lvlText w:val="%1."/>
      <w:lvlJc w:val="left"/>
      <w:pPr>
        <w:ind w:left="1679" w:hanging="361"/>
      </w:pPr>
      <w:rPr>
        <w:rFonts w:ascii="Calibri" w:eastAsia="Calibri" w:hAnsi="Calibri" w:cs="Calibri" w:hint="default"/>
        <w:b w:val="0"/>
        <w:bCs w:val="0"/>
        <w:i w:val="0"/>
        <w:iCs w:val="0"/>
        <w:w w:val="100"/>
        <w:sz w:val="22"/>
        <w:szCs w:val="22"/>
      </w:rPr>
    </w:lvl>
    <w:lvl w:ilvl="1">
      <w:start w:val="0"/>
      <w:numFmt w:val="bullet"/>
      <w:lvlText w:val=""/>
      <w:lvlJc w:val="left"/>
      <w:pPr>
        <w:ind w:left="2040" w:hanging="360"/>
      </w:pPr>
      <w:rPr>
        <w:rFonts w:ascii="Wingdings" w:eastAsia="Wingdings" w:hAnsi="Wingdings" w:cs="Wingdings" w:hint="default"/>
        <w:b w:val="0"/>
        <w:bCs w:val="0"/>
        <w:i w:val="0"/>
        <w:iCs w:val="0"/>
        <w:w w:val="100"/>
        <w:sz w:val="16"/>
        <w:szCs w:val="16"/>
      </w:rPr>
    </w:lvl>
    <w:lvl w:ilvl="2">
      <w:start w:val="0"/>
      <w:numFmt w:val="bullet"/>
      <w:lvlText w:val="•"/>
      <w:lvlJc w:val="left"/>
      <w:pPr>
        <w:ind w:left="3057" w:hanging="360"/>
      </w:pPr>
      <w:rPr>
        <w:rFonts w:hint="default"/>
      </w:rPr>
    </w:lvl>
    <w:lvl w:ilvl="3">
      <w:start w:val="0"/>
      <w:numFmt w:val="bullet"/>
      <w:lvlText w:val="•"/>
      <w:lvlJc w:val="left"/>
      <w:pPr>
        <w:ind w:left="4075" w:hanging="360"/>
      </w:pPr>
      <w:rPr>
        <w:rFonts w:hint="default"/>
      </w:rPr>
    </w:lvl>
    <w:lvl w:ilvl="4">
      <w:start w:val="0"/>
      <w:numFmt w:val="bullet"/>
      <w:lvlText w:val="•"/>
      <w:lvlJc w:val="left"/>
      <w:pPr>
        <w:ind w:left="5093" w:hanging="360"/>
      </w:pPr>
      <w:rPr>
        <w:rFonts w:hint="default"/>
      </w:rPr>
    </w:lvl>
    <w:lvl w:ilvl="5">
      <w:start w:val="0"/>
      <w:numFmt w:val="bullet"/>
      <w:lvlText w:val="•"/>
      <w:lvlJc w:val="left"/>
      <w:pPr>
        <w:ind w:left="6111" w:hanging="360"/>
      </w:pPr>
      <w:rPr>
        <w:rFonts w:hint="default"/>
      </w:rPr>
    </w:lvl>
    <w:lvl w:ilvl="6">
      <w:start w:val="0"/>
      <w:numFmt w:val="bullet"/>
      <w:lvlText w:val="•"/>
      <w:lvlJc w:val="left"/>
      <w:pPr>
        <w:ind w:left="7128" w:hanging="360"/>
      </w:pPr>
      <w:rPr>
        <w:rFonts w:hint="default"/>
      </w:rPr>
    </w:lvl>
    <w:lvl w:ilvl="7">
      <w:start w:val="0"/>
      <w:numFmt w:val="bullet"/>
      <w:lvlText w:val="•"/>
      <w:lvlJc w:val="left"/>
      <w:pPr>
        <w:ind w:left="8146" w:hanging="360"/>
      </w:pPr>
      <w:rPr>
        <w:rFonts w:hint="default"/>
      </w:rPr>
    </w:lvl>
    <w:lvl w:ilvl="8">
      <w:start w:val="0"/>
      <w:numFmt w:val="bullet"/>
      <w:lvlText w:val="•"/>
      <w:lvlJc w:val="left"/>
      <w:pPr>
        <w:ind w:left="9164" w:hanging="360"/>
      </w:pPr>
      <w:rPr>
        <w:rFonts w:hint="default"/>
      </w:rPr>
    </w:lvl>
  </w:abstractNum>
  <w:abstractNum w:abstractNumId="8">
    <w:nsid w:val="2CE2078F"/>
    <w:multiLevelType w:val="hybridMultilevel"/>
    <w:tmpl w:val="6E760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F476C5"/>
    <w:multiLevelType w:val="hybridMultilevel"/>
    <w:tmpl w:val="66D0B8E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2EB2B32"/>
    <w:multiLevelType w:val="hybridMultilevel"/>
    <w:tmpl w:val="C4DCB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8FD062F"/>
    <w:multiLevelType w:val="hybridMultilevel"/>
    <w:tmpl w:val="EEB071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664F7D"/>
    <w:multiLevelType w:val="hybridMultilevel"/>
    <w:tmpl w:val="571C5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DB3AC9"/>
    <w:multiLevelType w:val="hybridMultilevel"/>
    <w:tmpl w:val="055E60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4BD56C8"/>
    <w:multiLevelType w:val="hybridMultilevel"/>
    <w:tmpl w:val="6342564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5A624E3"/>
    <w:multiLevelType w:val="hybridMultilevel"/>
    <w:tmpl w:val="B54A8118"/>
    <w:lvl w:ilvl="0">
      <w:start w:val="1"/>
      <w:numFmt w:val="decimal"/>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5FB5F93"/>
    <w:multiLevelType w:val="hybridMultilevel"/>
    <w:tmpl w:val="40569DC8"/>
    <w:lvl w:ilvl="0">
      <w:start w:val="0"/>
      <w:numFmt w:val="bullet"/>
      <w:lvlText w:val=""/>
      <w:lvlJc w:val="left"/>
      <w:pPr>
        <w:ind w:left="2039" w:hanging="361"/>
      </w:pPr>
      <w:rPr>
        <w:rFonts w:ascii="Wingdings" w:eastAsia="Wingdings" w:hAnsi="Wingdings" w:cs="Wingdings" w:hint="default"/>
        <w:b w:val="0"/>
        <w:bCs w:val="0"/>
        <w:i w:val="0"/>
        <w:iCs w:val="0"/>
        <w:w w:val="100"/>
        <w:sz w:val="16"/>
        <w:szCs w:val="16"/>
      </w:rPr>
    </w:lvl>
    <w:lvl w:ilvl="1">
      <w:start w:val="0"/>
      <w:numFmt w:val="bullet"/>
      <w:lvlText w:val="•"/>
      <w:lvlJc w:val="left"/>
      <w:pPr>
        <w:ind w:left="2956" w:hanging="361"/>
      </w:pPr>
      <w:rPr>
        <w:rFonts w:hint="default"/>
      </w:rPr>
    </w:lvl>
    <w:lvl w:ilvl="2">
      <w:start w:val="0"/>
      <w:numFmt w:val="bullet"/>
      <w:lvlText w:val="•"/>
      <w:lvlJc w:val="left"/>
      <w:pPr>
        <w:ind w:left="3872" w:hanging="361"/>
      </w:pPr>
      <w:rPr>
        <w:rFonts w:hint="default"/>
      </w:rPr>
    </w:lvl>
    <w:lvl w:ilvl="3">
      <w:start w:val="0"/>
      <w:numFmt w:val="bullet"/>
      <w:lvlText w:val="•"/>
      <w:lvlJc w:val="left"/>
      <w:pPr>
        <w:ind w:left="4788" w:hanging="361"/>
      </w:pPr>
      <w:rPr>
        <w:rFonts w:hint="default"/>
      </w:rPr>
    </w:lvl>
    <w:lvl w:ilvl="4">
      <w:start w:val="0"/>
      <w:numFmt w:val="bullet"/>
      <w:lvlText w:val="•"/>
      <w:lvlJc w:val="left"/>
      <w:pPr>
        <w:ind w:left="5704" w:hanging="361"/>
      </w:pPr>
      <w:rPr>
        <w:rFonts w:hint="default"/>
      </w:rPr>
    </w:lvl>
    <w:lvl w:ilvl="5">
      <w:start w:val="0"/>
      <w:numFmt w:val="bullet"/>
      <w:lvlText w:val="•"/>
      <w:lvlJc w:val="left"/>
      <w:pPr>
        <w:ind w:left="6620" w:hanging="361"/>
      </w:pPr>
      <w:rPr>
        <w:rFonts w:hint="default"/>
      </w:rPr>
    </w:lvl>
    <w:lvl w:ilvl="6">
      <w:start w:val="0"/>
      <w:numFmt w:val="bullet"/>
      <w:lvlText w:val="•"/>
      <w:lvlJc w:val="left"/>
      <w:pPr>
        <w:ind w:left="7536" w:hanging="361"/>
      </w:pPr>
      <w:rPr>
        <w:rFonts w:hint="default"/>
      </w:rPr>
    </w:lvl>
    <w:lvl w:ilvl="7">
      <w:start w:val="0"/>
      <w:numFmt w:val="bullet"/>
      <w:lvlText w:val="•"/>
      <w:lvlJc w:val="left"/>
      <w:pPr>
        <w:ind w:left="8452" w:hanging="361"/>
      </w:pPr>
      <w:rPr>
        <w:rFonts w:hint="default"/>
      </w:rPr>
    </w:lvl>
    <w:lvl w:ilvl="8">
      <w:start w:val="0"/>
      <w:numFmt w:val="bullet"/>
      <w:lvlText w:val="•"/>
      <w:lvlJc w:val="left"/>
      <w:pPr>
        <w:ind w:left="9368" w:hanging="361"/>
      </w:pPr>
      <w:rPr>
        <w:rFonts w:hint="default"/>
      </w:rPr>
    </w:lvl>
  </w:abstractNum>
  <w:abstractNum w:abstractNumId="17">
    <w:nsid w:val="46EB65D4"/>
    <w:multiLevelType w:val="hybridMultilevel"/>
    <w:tmpl w:val="0026FC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97385B"/>
    <w:multiLevelType w:val="multilevel"/>
    <w:tmpl w:val="6870F082"/>
    <w:lvl w:ilvl="0">
      <w:start w:val="1"/>
      <w:numFmt w:val="decimal"/>
      <w:lvlText w:val="%1."/>
      <w:lvlJc w:val="left"/>
      <w:pPr>
        <w:tabs>
          <w:tab w:val="num" w:pos="360"/>
        </w:tabs>
        <w:ind w:left="36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9">
    <w:nsid w:val="4F0948A1"/>
    <w:multiLevelType w:val="hybridMultilevel"/>
    <w:tmpl w:val="F66A055E"/>
    <w:lvl w:ilvl="0">
      <w:start w:val="0"/>
      <w:numFmt w:val="bullet"/>
      <w:lvlText w:val="•"/>
      <w:lvlJc w:val="left"/>
      <w:pPr>
        <w:ind w:left="1440" w:hanging="720"/>
      </w:pPr>
      <w:rPr>
        <w:rFonts w:ascii="HelveticaNeueLT-Light" w:eastAsia="Times New Roman" w:hAnsi="HelveticaNeueLT-Light"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F9B20AB"/>
    <w:multiLevelType w:val="hybridMultilevel"/>
    <w:tmpl w:val="E4FE9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3F4A3C"/>
    <w:multiLevelType w:val="hybridMultilevel"/>
    <w:tmpl w:val="B02AB586"/>
    <w:lvl w:ilvl="0">
      <w:start w:val="1"/>
      <w:numFmt w:val="bullet"/>
      <w:pStyle w:val="SurveyCheckboxList"/>
      <w:lvlText w:val=""/>
      <w:lvlJc w:val="left"/>
      <w:pPr>
        <w:tabs>
          <w:tab w:val="num" w:pos="1460"/>
        </w:tabs>
        <w:ind w:left="146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0986D98"/>
    <w:multiLevelType w:val="hybridMultilevel"/>
    <w:tmpl w:val="5128DC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965F12"/>
    <w:multiLevelType w:val="hybridMultilevel"/>
    <w:tmpl w:val="12CA3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C45EFC"/>
    <w:multiLevelType w:val="hybridMultilevel"/>
    <w:tmpl w:val="FD2C1BE6"/>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Wingdings" w:hAnsi="Wingdings" w:hint="default"/>
        <w:b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6C30820"/>
    <w:multiLevelType w:val="hybridMultilevel"/>
    <w:tmpl w:val="BC12B1A6"/>
    <w:lvl w:ilvl="0">
      <w:start w:val="0"/>
      <w:numFmt w:val="bullet"/>
      <w:lvlText w:val=""/>
      <w:lvlJc w:val="left"/>
      <w:pPr>
        <w:ind w:left="2039" w:hanging="361"/>
      </w:pPr>
      <w:rPr>
        <w:rFonts w:ascii="Wingdings" w:eastAsia="Wingdings" w:hAnsi="Wingdings" w:cs="Wingdings" w:hint="default"/>
        <w:b w:val="0"/>
        <w:bCs w:val="0"/>
        <w:i w:val="0"/>
        <w:iCs w:val="0"/>
        <w:w w:val="100"/>
        <w:sz w:val="16"/>
        <w:szCs w:val="16"/>
      </w:rPr>
    </w:lvl>
    <w:lvl w:ilvl="1">
      <w:start w:val="0"/>
      <w:numFmt w:val="bullet"/>
      <w:lvlText w:val="•"/>
      <w:lvlJc w:val="left"/>
      <w:pPr>
        <w:ind w:left="2956" w:hanging="361"/>
      </w:pPr>
      <w:rPr>
        <w:rFonts w:hint="default"/>
      </w:rPr>
    </w:lvl>
    <w:lvl w:ilvl="2">
      <w:start w:val="0"/>
      <w:numFmt w:val="bullet"/>
      <w:lvlText w:val="•"/>
      <w:lvlJc w:val="left"/>
      <w:pPr>
        <w:ind w:left="3872" w:hanging="361"/>
      </w:pPr>
      <w:rPr>
        <w:rFonts w:hint="default"/>
      </w:rPr>
    </w:lvl>
    <w:lvl w:ilvl="3">
      <w:start w:val="0"/>
      <w:numFmt w:val="bullet"/>
      <w:lvlText w:val="•"/>
      <w:lvlJc w:val="left"/>
      <w:pPr>
        <w:ind w:left="4788" w:hanging="361"/>
      </w:pPr>
      <w:rPr>
        <w:rFonts w:hint="default"/>
      </w:rPr>
    </w:lvl>
    <w:lvl w:ilvl="4">
      <w:start w:val="0"/>
      <w:numFmt w:val="bullet"/>
      <w:lvlText w:val="•"/>
      <w:lvlJc w:val="left"/>
      <w:pPr>
        <w:ind w:left="5704" w:hanging="361"/>
      </w:pPr>
      <w:rPr>
        <w:rFonts w:hint="default"/>
      </w:rPr>
    </w:lvl>
    <w:lvl w:ilvl="5">
      <w:start w:val="0"/>
      <w:numFmt w:val="bullet"/>
      <w:lvlText w:val="•"/>
      <w:lvlJc w:val="left"/>
      <w:pPr>
        <w:ind w:left="6620" w:hanging="361"/>
      </w:pPr>
      <w:rPr>
        <w:rFonts w:hint="default"/>
      </w:rPr>
    </w:lvl>
    <w:lvl w:ilvl="6">
      <w:start w:val="0"/>
      <w:numFmt w:val="bullet"/>
      <w:lvlText w:val="•"/>
      <w:lvlJc w:val="left"/>
      <w:pPr>
        <w:ind w:left="7536" w:hanging="361"/>
      </w:pPr>
      <w:rPr>
        <w:rFonts w:hint="default"/>
      </w:rPr>
    </w:lvl>
    <w:lvl w:ilvl="7">
      <w:start w:val="0"/>
      <w:numFmt w:val="bullet"/>
      <w:lvlText w:val="•"/>
      <w:lvlJc w:val="left"/>
      <w:pPr>
        <w:ind w:left="8452" w:hanging="361"/>
      </w:pPr>
      <w:rPr>
        <w:rFonts w:hint="default"/>
      </w:rPr>
    </w:lvl>
    <w:lvl w:ilvl="8">
      <w:start w:val="0"/>
      <w:numFmt w:val="bullet"/>
      <w:lvlText w:val="•"/>
      <w:lvlJc w:val="left"/>
      <w:pPr>
        <w:ind w:left="9368" w:hanging="361"/>
      </w:pPr>
      <w:rPr>
        <w:rFonts w:hint="default"/>
      </w:rPr>
    </w:lvl>
  </w:abstractNum>
  <w:abstractNum w:abstractNumId="26">
    <w:nsid w:val="68542601"/>
    <w:multiLevelType w:val="multilevel"/>
    <w:tmpl w:val="1CC8833E"/>
    <w:lvl w:ilvl="0">
      <w:start w:val="1"/>
      <w:numFmt w:val="decimal"/>
      <w:pStyle w:val="NL-1stNumberedBullet"/>
      <w:lvlText w:val="%1."/>
      <w:lvlJc w:val="left"/>
      <w:pPr>
        <w:ind w:left="576" w:hanging="360"/>
      </w:pPr>
      <w:rPr>
        <w:rFonts w:ascii="Times New Roman" w:hAnsi="Times New Roman" w:cs="Times New Roman" w:hint="default"/>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A4474C2"/>
    <w:multiLevelType w:val="hybridMultilevel"/>
    <w:tmpl w:val="8BF487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B5855C5"/>
    <w:multiLevelType w:val="hybridMultilevel"/>
    <w:tmpl w:val="47060F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EC2616C"/>
    <w:multiLevelType w:val="hybridMultilevel"/>
    <w:tmpl w:val="522A80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F183FF5"/>
    <w:multiLevelType w:val="hybridMultilevel"/>
    <w:tmpl w:val="D3E23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A7475E"/>
    <w:multiLevelType w:val="multilevel"/>
    <w:tmpl w:val="64D84B56"/>
    <w:lvl w:ilvl="0">
      <w:start w:val="3"/>
      <w:numFmt w:val="decimal"/>
      <w:lvlText w:val="%1"/>
      <w:lvlJc w:val="left"/>
      <w:pPr>
        <w:ind w:left="1867" w:hanging="908"/>
      </w:pPr>
      <w:rPr>
        <w:rFonts w:hint="default"/>
      </w:rPr>
    </w:lvl>
    <w:lvl w:ilvl="1">
      <w:start w:val="1"/>
      <w:numFmt w:val="decimal"/>
      <w:lvlText w:val="%1.%2"/>
      <w:lvlJc w:val="left"/>
      <w:pPr>
        <w:ind w:left="1867" w:hanging="908"/>
      </w:pPr>
      <w:rPr>
        <w:rFonts w:ascii="Calibri" w:eastAsia="Calibri" w:hAnsi="Calibri" w:cs="Calibri" w:hint="default"/>
        <w:b/>
        <w:bCs/>
        <w:i w:val="0"/>
        <w:iCs w:val="0"/>
        <w:color w:val="00467E"/>
        <w:w w:val="100"/>
        <w:sz w:val="24"/>
        <w:szCs w:val="24"/>
      </w:rPr>
    </w:lvl>
    <w:lvl w:ilvl="2">
      <w:start w:val="1"/>
      <w:numFmt w:val="decimal"/>
      <w:lvlText w:val="%3."/>
      <w:lvlJc w:val="left"/>
      <w:pPr>
        <w:ind w:left="1679" w:hanging="361"/>
      </w:pPr>
      <w:rPr>
        <w:rFonts w:ascii="Calibri" w:eastAsia="Calibri" w:hAnsi="Calibri" w:cs="Calibri" w:hint="default"/>
        <w:b w:val="0"/>
        <w:bCs w:val="0"/>
        <w:i w:val="0"/>
        <w:iCs w:val="0"/>
        <w:w w:val="100"/>
        <w:sz w:val="22"/>
        <w:szCs w:val="22"/>
      </w:rPr>
    </w:lvl>
    <w:lvl w:ilvl="3">
      <w:start w:val="0"/>
      <w:numFmt w:val="bullet"/>
      <w:lvlText w:val=""/>
      <w:lvlJc w:val="left"/>
      <w:pPr>
        <w:ind w:left="2040" w:hanging="360"/>
      </w:pPr>
      <w:rPr>
        <w:rFonts w:ascii="Wingdings" w:eastAsia="Wingdings" w:hAnsi="Wingdings" w:cs="Wingdings" w:hint="default"/>
        <w:b w:val="0"/>
        <w:bCs w:val="0"/>
        <w:i w:val="0"/>
        <w:iCs w:val="0"/>
        <w:w w:val="100"/>
        <w:sz w:val="16"/>
        <w:szCs w:val="16"/>
      </w:rPr>
    </w:lvl>
    <w:lvl w:ilvl="4">
      <w:start w:val="0"/>
      <w:numFmt w:val="bullet"/>
      <w:lvlText w:val="•"/>
      <w:lvlJc w:val="left"/>
      <w:pPr>
        <w:ind w:left="4330" w:hanging="360"/>
      </w:pPr>
      <w:rPr>
        <w:rFonts w:hint="default"/>
      </w:rPr>
    </w:lvl>
    <w:lvl w:ilvl="5">
      <w:start w:val="0"/>
      <w:numFmt w:val="bullet"/>
      <w:lvlText w:val="•"/>
      <w:lvlJc w:val="left"/>
      <w:pPr>
        <w:ind w:left="5475" w:hanging="360"/>
      </w:pPr>
      <w:rPr>
        <w:rFonts w:hint="default"/>
      </w:rPr>
    </w:lvl>
    <w:lvl w:ilvl="6">
      <w:start w:val="0"/>
      <w:numFmt w:val="bullet"/>
      <w:lvlText w:val="•"/>
      <w:lvlJc w:val="left"/>
      <w:pPr>
        <w:ind w:left="6620" w:hanging="360"/>
      </w:pPr>
      <w:rPr>
        <w:rFonts w:hint="default"/>
      </w:rPr>
    </w:lvl>
    <w:lvl w:ilvl="7">
      <w:start w:val="0"/>
      <w:numFmt w:val="bullet"/>
      <w:lvlText w:val="•"/>
      <w:lvlJc w:val="left"/>
      <w:pPr>
        <w:ind w:left="7765" w:hanging="360"/>
      </w:pPr>
      <w:rPr>
        <w:rFonts w:hint="default"/>
      </w:rPr>
    </w:lvl>
    <w:lvl w:ilvl="8">
      <w:start w:val="0"/>
      <w:numFmt w:val="bullet"/>
      <w:lvlText w:val="•"/>
      <w:lvlJc w:val="left"/>
      <w:pPr>
        <w:ind w:left="8910" w:hanging="360"/>
      </w:pPr>
      <w:rPr>
        <w:rFonts w:hint="default"/>
      </w:rPr>
    </w:lvl>
  </w:abstractNum>
  <w:abstractNum w:abstractNumId="32">
    <w:nsid w:val="7E665988"/>
    <w:multiLevelType w:val="hybridMultilevel"/>
    <w:tmpl w:val="F7D07226"/>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F6E67CF"/>
    <w:multiLevelType w:val="hybridMultilevel"/>
    <w:tmpl w:val="7CAE7B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3440157">
    <w:abstractNumId w:val="18"/>
  </w:num>
  <w:num w:numId="2" w16cid:durableId="775096913">
    <w:abstractNumId w:val="1"/>
  </w:num>
  <w:num w:numId="3" w16cid:durableId="1886989421">
    <w:abstractNumId w:val="19"/>
  </w:num>
  <w:num w:numId="4" w16cid:durableId="1684932974">
    <w:abstractNumId w:val="2"/>
  </w:num>
  <w:num w:numId="5" w16cid:durableId="1598438964">
    <w:abstractNumId w:val="29"/>
  </w:num>
  <w:num w:numId="6" w16cid:durableId="491455551">
    <w:abstractNumId w:val="6"/>
  </w:num>
  <w:num w:numId="7" w16cid:durableId="2080010987">
    <w:abstractNumId w:val="3"/>
  </w:num>
  <w:num w:numId="8" w16cid:durableId="1513842003">
    <w:abstractNumId w:val="30"/>
  </w:num>
  <w:num w:numId="9" w16cid:durableId="1903979627">
    <w:abstractNumId w:val="33"/>
  </w:num>
  <w:num w:numId="10" w16cid:durableId="813719368">
    <w:abstractNumId w:val="15"/>
  </w:num>
  <w:num w:numId="11" w16cid:durableId="1186360985">
    <w:abstractNumId w:val="24"/>
  </w:num>
  <w:num w:numId="12" w16cid:durableId="26610937">
    <w:abstractNumId w:val="11"/>
  </w:num>
  <w:num w:numId="13" w16cid:durableId="270627057">
    <w:abstractNumId w:val="32"/>
  </w:num>
  <w:num w:numId="14" w16cid:durableId="2060128436">
    <w:abstractNumId w:val="22"/>
  </w:num>
  <w:num w:numId="15" w16cid:durableId="2059356340">
    <w:abstractNumId w:val="20"/>
  </w:num>
  <w:num w:numId="16" w16cid:durableId="1566451986">
    <w:abstractNumId w:val="14"/>
  </w:num>
  <w:num w:numId="17" w16cid:durableId="1482380303">
    <w:abstractNumId w:val="17"/>
  </w:num>
  <w:num w:numId="18" w16cid:durableId="632978606">
    <w:abstractNumId w:val="21"/>
  </w:num>
  <w:num w:numId="19" w16cid:durableId="1474373085">
    <w:abstractNumId w:val="23"/>
  </w:num>
  <w:num w:numId="20" w16cid:durableId="1840660028">
    <w:abstractNumId w:val="10"/>
  </w:num>
  <w:num w:numId="21" w16cid:durableId="369384099">
    <w:abstractNumId w:val="0"/>
  </w:num>
  <w:num w:numId="22" w16cid:durableId="1504122044">
    <w:abstractNumId w:val="13"/>
  </w:num>
  <w:num w:numId="23" w16cid:durableId="1031959412">
    <w:abstractNumId w:val="27"/>
  </w:num>
  <w:num w:numId="24" w16cid:durableId="1668943929">
    <w:abstractNumId w:val="28"/>
  </w:num>
  <w:num w:numId="25" w16cid:durableId="2013679624">
    <w:abstractNumId w:val="9"/>
  </w:num>
  <w:num w:numId="26" w16cid:durableId="169180859">
    <w:abstractNumId w:val="26"/>
  </w:num>
  <w:num w:numId="27" w16cid:durableId="1777090909">
    <w:abstractNumId w:val="12"/>
  </w:num>
  <w:num w:numId="28" w16cid:durableId="1984701804">
    <w:abstractNumId w:val="5"/>
  </w:num>
  <w:num w:numId="29" w16cid:durableId="1502817845">
    <w:abstractNumId w:val="8"/>
  </w:num>
  <w:num w:numId="30" w16cid:durableId="1792551422">
    <w:abstractNumId w:val="31"/>
  </w:num>
  <w:num w:numId="31" w16cid:durableId="1232160852">
    <w:abstractNumId w:val="25"/>
  </w:num>
  <w:num w:numId="32" w16cid:durableId="1920407095">
    <w:abstractNumId w:val="16"/>
  </w:num>
  <w:num w:numId="33" w16cid:durableId="386299728">
    <w:abstractNumId w:val="7"/>
  </w:num>
  <w:num w:numId="34" w16cid:durableId="461921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7D"/>
    <w:rsid w:val="0000253E"/>
    <w:rsid w:val="00006202"/>
    <w:rsid w:val="00012E3E"/>
    <w:rsid w:val="00023EB6"/>
    <w:rsid w:val="00026B09"/>
    <w:rsid w:val="00034385"/>
    <w:rsid w:val="00035D92"/>
    <w:rsid w:val="00045BC0"/>
    <w:rsid w:val="00054100"/>
    <w:rsid w:val="00074EED"/>
    <w:rsid w:val="000753E5"/>
    <w:rsid w:val="0007565D"/>
    <w:rsid w:val="00084D6E"/>
    <w:rsid w:val="000854DC"/>
    <w:rsid w:val="00085C29"/>
    <w:rsid w:val="00085F3B"/>
    <w:rsid w:val="00087C35"/>
    <w:rsid w:val="000933B1"/>
    <w:rsid w:val="00096DAF"/>
    <w:rsid w:val="000972AF"/>
    <w:rsid w:val="00097FAF"/>
    <w:rsid w:val="000A76F6"/>
    <w:rsid w:val="000A7CC7"/>
    <w:rsid w:val="000B43E9"/>
    <w:rsid w:val="000C2EC1"/>
    <w:rsid w:val="000C6DC7"/>
    <w:rsid w:val="000E0EAE"/>
    <w:rsid w:val="000E33F2"/>
    <w:rsid w:val="000F1691"/>
    <w:rsid w:val="000F1F66"/>
    <w:rsid w:val="000F73D3"/>
    <w:rsid w:val="000F7AA6"/>
    <w:rsid w:val="001050DA"/>
    <w:rsid w:val="00112977"/>
    <w:rsid w:val="00121F0F"/>
    <w:rsid w:val="00122B4A"/>
    <w:rsid w:val="0012488B"/>
    <w:rsid w:val="0013231C"/>
    <w:rsid w:val="00134422"/>
    <w:rsid w:val="00135951"/>
    <w:rsid w:val="00135C86"/>
    <w:rsid w:val="0014138A"/>
    <w:rsid w:val="00142FE3"/>
    <w:rsid w:val="001433B7"/>
    <w:rsid w:val="001574FB"/>
    <w:rsid w:val="001715C5"/>
    <w:rsid w:val="0017197C"/>
    <w:rsid w:val="00173EA6"/>
    <w:rsid w:val="00181F3B"/>
    <w:rsid w:val="00183499"/>
    <w:rsid w:val="001844FF"/>
    <w:rsid w:val="00187029"/>
    <w:rsid w:val="001A2C9F"/>
    <w:rsid w:val="001A39E5"/>
    <w:rsid w:val="001B01BF"/>
    <w:rsid w:val="001B1004"/>
    <w:rsid w:val="001B14FB"/>
    <w:rsid w:val="001B43A6"/>
    <w:rsid w:val="001C142F"/>
    <w:rsid w:val="001C1659"/>
    <w:rsid w:val="001C22CA"/>
    <w:rsid w:val="001C2E15"/>
    <w:rsid w:val="001C2EAF"/>
    <w:rsid w:val="001C5163"/>
    <w:rsid w:val="001C6B82"/>
    <w:rsid w:val="001C6DA3"/>
    <w:rsid w:val="001D028C"/>
    <w:rsid w:val="001D385E"/>
    <w:rsid w:val="001D43EE"/>
    <w:rsid w:val="001D59EF"/>
    <w:rsid w:val="001D6F8F"/>
    <w:rsid w:val="001E2A50"/>
    <w:rsid w:val="001F07C5"/>
    <w:rsid w:val="0020310C"/>
    <w:rsid w:val="0020771D"/>
    <w:rsid w:val="00211DFB"/>
    <w:rsid w:val="00212BE9"/>
    <w:rsid w:val="002260D9"/>
    <w:rsid w:val="0022650A"/>
    <w:rsid w:val="0023452B"/>
    <w:rsid w:val="00236BC8"/>
    <w:rsid w:val="00257F04"/>
    <w:rsid w:val="00263835"/>
    <w:rsid w:val="00265EB4"/>
    <w:rsid w:val="00267224"/>
    <w:rsid w:val="0027528A"/>
    <w:rsid w:val="00280532"/>
    <w:rsid w:val="00282179"/>
    <w:rsid w:val="002A1D6D"/>
    <w:rsid w:val="002A590A"/>
    <w:rsid w:val="002B4D31"/>
    <w:rsid w:val="002B576B"/>
    <w:rsid w:val="002C5730"/>
    <w:rsid w:val="002C677D"/>
    <w:rsid w:val="002C707C"/>
    <w:rsid w:val="002D046B"/>
    <w:rsid w:val="002D5FC8"/>
    <w:rsid w:val="002E046B"/>
    <w:rsid w:val="002E0B97"/>
    <w:rsid w:val="002E4F7A"/>
    <w:rsid w:val="002F34BD"/>
    <w:rsid w:val="002F6CE9"/>
    <w:rsid w:val="002F7C9F"/>
    <w:rsid w:val="0030047C"/>
    <w:rsid w:val="00302438"/>
    <w:rsid w:val="00302C84"/>
    <w:rsid w:val="0030473C"/>
    <w:rsid w:val="00306470"/>
    <w:rsid w:val="003064FA"/>
    <w:rsid w:val="00307250"/>
    <w:rsid w:val="00307531"/>
    <w:rsid w:val="0031211F"/>
    <w:rsid w:val="0031420C"/>
    <w:rsid w:val="0034036A"/>
    <w:rsid w:val="003439D6"/>
    <w:rsid w:val="003550D8"/>
    <w:rsid w:val="00357349"/>
    <w:rsid w:val="00361DF1"/>
    <w:rsid w:val="00363CF7"/>
    <w:rsid w:val="0036408D"/>
    <w:rsid w:val="00380AFC"/>
    <w:rsid w:val="00382B87"/>
    <w:rsid w:val="00386A26"/>
    <w:rsid w:val="00394262"/>
    <w:rsid w:val="003A644C"/>
    <w:rsid w:val="003B212C"/>
    <w:rsid w:val="003B6518"/>
    <w:rsid w:val="003C0FEA"/>
    <w:rsid w:val="003C2B5D"/>
    <w:rsid w:val="003C4B50"/>
    <w:rsid w:val="003C6D35"/>
    <w:rsid w:val="003C75E8"/>
    <w:rsid w:val="003D0096"/>
    <w:rsid w:val="003D351D"/>
    <w:rsid w:val="003D47F1"/>
    <w:rsid w:val="003D6A41"/>
    <w:rsid w:val="003E58D6"/>
    <w:rsid w:val="003E7CB2"/>
    <w:rsid w:val="003F1AB6"/>
    <w:rsid w:val="003F6667"/>
    <w:rsid w:val="00402FA5"/>
    <w:rsid w:val="00403E48"/>
    <w:rsid w:val="00403FC1"/>
    <w:rsid w:val="00407B14"/>
    <w:rsid w:val="00411439"/>
    <w:rsid w:val="004162A5"/>
    <w:rsid w:val="00423C0D"/>
    <w:rsid w:val="00425A43"/>
    <w:rsid w:val="0043086B"/>
    <w:rsid w:val="00431984"/>
    <w:rsid w:val="00433F5D"/>
    <w:rsid w:val="00440259"/>
    <w:rsid w:val="00444633"/>
    <w:rsid w:val="00444968"/>
    <w:rsid w:val="004466A5"/>
    <w:rsid w:val="00446A2C"/>
    <w:rsid w:val="00451DF1"/>
    <w:rsid w:val="004526D6"/>
    <w:rsid w:val="004539BD"/>
    <w:rsid w:val="004550B9"/>
    <w:rsid w:val="00457ED6"/>
    <w:rsid w:val="004643BB"/>
    <w:rsid w:val="0046731B"/>
    <w:rsid w:val="00470207"/>
    <w:rsid w:val="00470FB5"/>
    <w:rsid w:val="00473190"/>
    <w:rsid w:val="00477629"/>
    <w:rsid w:val="00480DDC"/>
    <w:rsid w:val="00484958"/>
    <w:rsid w:val="00486D95"/>
    <w:rsid w:val="00487D0D"/>
    <w:rsid w:val="00487F31"/>
    <w:rsid w:val="004907D5"/>
    <w:rsid w:val="004A63C8"/>
    <w:rsid w:val="004A646A"/>
    <w:rsid w:val="004B02EF"/>
    <w:rsid w:val="004B2AC3"/>
    <w:rsid w:val="004B6AE7"/>
    <w:rsid w:val="004C1045"/>
    <w:rsid w:val="004C1969"/>
    <w:rsid w:val="004C2B59"/>
    <w:rsid w:val="004C4DA2"/>
    <w:rsid w:val="004C6553"/>
    <w:rsid w:val="004C6BFB"/>
    <w:rsid w:val="004D06F2"/>
    <w:rsid w:val="004D1804"/>
    <w:rsid w:val="004D575D"/>
    <w:rsid w:val="004E3F66"/>
    <w:rsid w:val="004E7A07"/>
    <w:rsid w:val="004F053D"/>
    <w:rsid w:val="004F3290"/>
    <w:rsid w:val="004F4181"/>
    <w:rsid w:val="005026ED"/>
    <w:rsid w:val="00515BD8"/>
    <w:rsid w:val="005160EC"/>
    <w:rsid w:val="00516DF9"/>
    <w:rsid w:val="00521F13"/>
    <w:rsid w:val="00523A0D"/>
    <w:rsid w:val="0052413A"/>
    <w:rsid w:val="0052445F"/>
    <w:rsid w:val="00527266"/>
    <w:rsid w:val="005275EB"/>
    <w:rsid w:val="00532C9F"/>
    <w:rsid w:val="00533AA8"/>
    <w:rsid w:val="00533D18"/>
    <w:rsid w:val="0053443F"/>
    <w:rsid w:val="0054167A"/>
    <w:rsid w:val="00552406"/>
    <w:rsid w:val="00552D02"/>
    <w:rsid w:val="005535AD"/>
    <w:rsid w:val="00563287"/>
    <w:rsid w:val="00577EA1"/>
    <w:rsid w:val="005872B9"/>
    <w:rsid w:val="005873F0"/>
    <w:rsid w:val="005B5FC4"/>
    <w:rsid w:val="005B623A"/>
    <w:rsid w:val="005C1620"/>
    <w:rsid w:val="005C3C96"/>
    <w:rsid w:val="005C79F5"/>
    <w:rsid w:val="005D47BB"/>
    <w:rsid w:val="005E171A"/>
    <w:rsid w:val="005E1EB8"/>
    <w:rsid w:val="005E7E7C"/>
    <w:rsid w:val="005F1773"/>
    <w:rsid w:val="005F3049"/>
    <w:rsid w:val="005F33B3"/>
    <w:rsid w:val="005F5384"/>
    <w:rsid w:val="005F75B5"/>
    <w:rsid w:val="00602A6D"/>
    <w:rsid w:val="00604567"/>
    <w:rsid w:val="00604953"/>
    <w:rsid w:val="00606FC0"/>
    <w:rsid w:val="00614988"/>
    <w:rsid w:val="00615215"/>
    <w:rsid w:val="00620071"/>
    <w:rsid w:val="00620AEC"/>
    <w:rsid w:val="00623173"/>
    <w:rsid w:val="00625405"/>
    <w:rsid w:val="0063475B"/>
    <w:rsid w:val="0063543A"/>
    <w:rsid w:val="00635EF7"/>
    <w:rsid w:val="00640380"/>
    <w:rsid w:val="00644483"/>
    <w:rsid w:val="00650747"/>
    <w:rsid w:val="00654268"/>
    <w:rsid w:val="006549CB"/>
    <w:rsid w:val="006558CC"/>
    <w:rsid w:val="00655947"/>
    <w:rsid w:val="006635EF"/>
    <w:rsid w:val="006714F2"/>
    <w:rsid w:val="006729E8"/>
    <w:rsid w:val="00672A09"/>
    <w:rsid w:val="0067527A"/>
    <w:rsid w:val="006814CC"/>
    <w:rsid w:val="00681947"/>
    <w:rsid w:val="00696B2E"/>
    <w:rsid w:val="006A3A1C"/>
    <w:rsid w:val="006A4509"/>
    <w:rsid w:val="006A4708"/>
    <w:rsid w:val="006A4B25"/>
    <w:rsid w:val="006A72C7"/>
    <w:rsid w:val="006B2111"/>
    <w:rsid w:val="006B44C9"/>
    <w:rsid w:val="006B4F7F"/>
    <w:rsid w:val="006B5377"/>
    <w:rsid w:val="006B5E78"/>
    <w:rsid w:val="006B7681"/>
    <w:rsid w:val="006C0B4B"/>
    <w:rsid w:val="006C57B1"/>
    <w:rsid w:val="006C61A3"/>
    <w:rsid w:val="006D0A8C"/>
    <w:rsid w:val="006D3FDB"/>
    <w:rsid w:val="006D5D5A"/>
    <w:rsid w:val="006D7E73"/>
    <w:rsid w:val="006E688A"/>
    <w:rsid w:val="006F1D35"/>
    <w:rsid w:val="0070177A"/>
    <w:rsid w:val="007070C8"/>
    <w:rsid w:val="00712963"/>
    <w:rsid w:val="00720F77"/>
    <w:rsid w:val="00723D1C"/>
    <w:rsid w:val="00727D7A"/>
    <w:rsid w:val="00732BFC"/>
    <w:rsid w:val="00742CBC"/>
    <w:rsid w:val="00742F66"/>
    <w:rsid w:val="00746C39"/>
    <w:rsid w:val="007539B3"/>
    <w:rsid w:val="0075408F"/>
    <w:rsid w:val="00756549"/>
    <w:rsid w:val="00756BD1"/>
    <w:rsid w:val="00760C09"/>
    <w:rsid w:val="00762B79"/>
    <w:rsid w:val="007662D4"/>
    <w:rsid w:val="007667F0"/>
    <w:rsid w:val="00773050"/>
    <w:rsid w:val="0077512E"/>
    <w:rsid w:val="00780752"/>
    <w:rsid w:val="00780DB8"/>
    <w:rsid w:val="00781EEA"/>
    <w:rsid w:val="00787D62"/>
    <w:rsid w:val="00790AD0"/>
    <w:rsid w:val="00795FCC"/>
    <w:rsid w:val="00797FA4"/>
    <w:rsid w:val="007A1472"/>
    <w:rsid w:val="007A5EDE"/>
    <w:rsid w:val="007B5B5C"/>
    <w:rsid w:val="007C4303"/>
    <w:rsid w:val="007C7E37"/>
    <w:rsid w:val="007D1784"/>
    <w:rsid w:val="007D3A36"/>
    <w:rsid w:val="007D7C61"/>
    <w:rsid w:val="007E1C94"/>
    <w:rsid w:val="007F3092"/>
    <w:rsid w:val="0080056A"/>
    <w:rsid w:val="00800D07"/>
    <w:rsid w:val="00800D62"/>
    <w:rsid w:val="00817807"/>
    <w:rsid w:val="00824719"/>
    <w:rsid w:val="008247DD"/>
    <w:rsid w:val="00827736"/>
    <w:rsid w:val="008331F1"/>
    <w:rsid w:val="008335C0"/>
    <w:rsid w:val="0083574D"/>
    <w:rsid w:val="00835A14"/>
    <w:rsid w:val="008409C5"/>
    <w:rsid w:val="00841C8C"/>
    <w:rsid w:val="008433D4"/>
    <w:rsid w:val="0084411A"/>
    <w:rsid w:val="0084795C"/>
    <w:rsid w:val="00852366"/>
    <w:rsid w:val="00852CDF"/>
    <w:rsid w:val="00856C02"/>
    <w:rsid w:val="008605DD"/>
    <w:rsid w:val="00860BE9"/>
    <w:rsid w:val="00863625"/>
    <w:rsid w:val="00864F4F"/>
    <w:rsid w:val="008679AB"/>
    <w:rsid w:val="00867E7D"/>
    <w:rsid w:val="00870AD5"/>
    <w:rsid w:val="00873D5E"/>
    <w:rsid w:val="008774D4"/>
    <w:rsid w:val="00881B9F"/>
    <w:rsid w:val="0089531D"/>
    <w:rsid w:val="008A2674"/>
    <w:rsid w:val="008A538B"/>
    <w:rsid w:val="008B0882"/>
    <w:rsid w:val="008C3DA3"/>
    <w:rsid w:val="008C7DBD"/>
    <w:rsid w:val="008D018F"/>
    <w:rsid w:val="008D428B"/>
    <w:rsid w:val="008D614C"/>
    <w:rsid w:val="008D6BA6"/>
    <w:rsid w:val="008E2E04"/>
    <w:rsid w:val="008E7392"/>
    <w:rsid w:val="008F30B8"/>
    <w:rsid w:val="008F534F"/>
    <w:rsid w:val="00901043"/>
    <w:rsid w:val="009028C9"/>
    <w:rsid w:val="009032BE"/>
    <w:rsid w:val="00912F37"/>
    <w:rsid w:val="00914DD1"/>
    <w:rsid w:val="0092524C"/>
    <w:rsid w:val="00926647"/>
    <w:rsid w:val="00933CE6"/>
    <w:rsid w:val="00935EDE"/>
    <w:rsid w:val="0093788A"/>
    <w:rsid w:val="00941FA2"/>
    <w:rsid w:val="00943753"/>
    <w:rsid w:val="00943885"/>
    <w:rsid w:val="009443DB"/>
    <w:rsid w:val="00944EA8"/>
    <w:rsid w:val="00946427"/>
    <w:rsid w:val="00954FE6"/>
    <w:rsid w:val="00956891"/>
    <w:rsid w:val="00965785"/>
    <w:rsid w:val="009732FA"/>
    <w:rsid w:val="0097421F"/>
    <w:rsid w:val="0097740B"/>
    <w:rsid w:val="009779AE"/>
    <w:rsid w:val="00984A80"/>
    <w:rsid w:val="009A1F58"/>
    <w:rsid w:val="009A2AAA"/>
    <w:rsid w:val="009B52E0"/>
    <w:rsid w:val="009C5007"/>
    <w:rsid w:val="009C5803"/>
    <w:rsid w:val="009C74F7"/>
    <w:rsid w:val="009C79C2"/>
    <w:rsid w:val="009C7D90"/>
    <w:rsid w:val="009D0867"/>
    <w:rsid w:val="009D34E6"/>
    <w:rsid w:val="009D3675"/>
    <w:rsid w:val="009D5E24"/>
    <w:rsid w:val="009D7512"/>
    <w:rsid w:val="009D781C"/>
    <w:rsid w:val="009E28FF"/>
    <w:rsid w:val="009E6E41"/>
    <w:rsid w:val="009F3E4A"/>
    <w:rsid w:val="009F5D9C"/>
    <w:rsid w:val="009F6B4E"/>
    <w:rsid w:val="009F7857"/>
    <w:rsid w:val="00A01BE6"/>
    <w:rsid w:val="00A03022"/>
    <w:rsid w:val="00A032C3"/>
    <w:rsid w:val="00A03DB5"/>
    <w:rsid w:val="00A052F4"/>
    <w:rsid w:val="00A0640A"/>
    <w:rsid w:val="00A0645B"/>
    <w:rsid w:val="00A14827"/>
    <w:rsid w:val="00A156BA"/>
    <w:rsid w:val="00A1681B"/>
    <w:rsid w:val="00A175A1"/>
    <w:rsid w:val="00A175C4"/>
    <w:rsid w:val="00A21FF5"/>
    <w:rsid w:val="00A2288D"/>
    <w:rsid w:val="00A2484F"/>
    <w:rsid w:val="00A328F5"/>
    <w:rsid w:val="00A37368"/>
    <w:rsid w:val="00A420CA"/>
    <w:rsid w:val="00A4430F"/>
    <w:rsid w:val="00A4530C"/>
    <w:rsid w:val="00A46214"/>
    <w:rsid w:val="00A528A4"/>
    <w:rsid w:val="00A56ECB"/>
    <w:rsid w:val="00A611D5"/>
    <w:rsid w:val="00A61F79"/>
    <w:rsid w:val="00A743EA"/>
    <w:rsid w:val="00A750F4"/>
    <w:rsid w:val="00A817B8"/>
    <w:rsid w:val="00A81BF5"/>
    <w:rsid w:val="00A823F0"/>
    <w:rsid w:val="00A8705B"/>
    <w:rsid w:val="00A8790A"/>
    <w:rsid w:val="00A91D42"/>
    <w:rsid w:val="00A945CC"/>
    <w:rsid w:val="00A95D36"/>
    <w:rsid w:val="00A96B3C"/>
    <w:rsid w:val="00AA03A0"/>
    <w:rsid w:val="00AA0B66"/>
    <w:rsid w:val="00AA70E6"/>
    <w:rsid w:val="00AA7F76"/>
    <w:rsid w:val="00AB64CE"/>
    <w:rsid w:val="00AC233E"/>
    <w:rsid w:val="00AC2ECC"/>
    <w:rsid w:val="00AD6959"/>
    <w:rsid w:val="00AE1ECA"/>
    <w:rsid w:val="00AE6821"/>
    <w:rsid w:val="00AF046A"/>
    <w:rsid w:val="00AF1CDD"/>
    <w:rsid w:val="00AF3231"/>
    <w:rsid w:val="00AF625D"/>
    <w:rsid w:val="00B0212F"/>
    <w:rsid w:val="00B02284"/>
    <w:rsid w:val="00B0778B"/>
    <w:rsid w:val="00B078EC"/>
    <w:rsid w:val="00B145DD"/>
    <w:rsid w:val="00B16F03"/>
    <w:rsid w:val="00B17626"/>
    <w:rsid w:val="00B239CB"/>
    <w:rsid w:val="00B239E7"/>
    <w:rsid w:val="00B2617D"/>
    <w:rsid w:val="00B26B65"/>
    <w:rsid w:val="00B27E63"/>
    <w:rsid w:val="00B364B7"/>
    <w:rsid w:val="00B41328"/>
    <w:rsid w:val="00B41BC9"/>
    <w:rsid w:val="00B42CD6"/>
    <w:rsid w:val="00B4529A"/>
    <w:rsid w:val="00B468B9"/>
    <w:rsid w:val="00B47DEC"/>
    <w:rsid w:val="00B5019E"/>
    <w:rsid w:val="00B52FB7"/>
    <w:rsid w:val="00B5770D"/>
    <w:rsid w:val="00B63289"/>
    <w:rsid w:val="00B6745B"/>
    <w:rsid w:val="00B8077E"/>
    <w:rsid w:val="00B832E3"/>
    <w:rsid w:val="00B843F4"/>
    <w:rsid w:val="00B8669C"/>
    <w:rsid w:val="00B92C62"/>
    <w:rsid w:val="00B955E5"/>
    <w:rsid w:val="00B95D61"/>
    <w:rsid w:val="00BA310F"/>
    <w:rsid w:val="00BA66F5"/>
    <w:rsid w:val="00BB034A"/>
    <w:rsid w:val="00BB46E4"/>
    <w:rsid w:val="00BB56FF"/>
    <w:rsid w:val="00BC2557"/>
    <w:rsid w:val="00BD3067"/>
    <w:rsid w:val="00BD3FFB"/>
    <w:rsid w:val="00BD66AF"/>
    <w:rsid w:val="00BD7D51"/>
    <w:rsid w:val="00BE0592"/>
    <w:rsid w:val="00BF4B94"/>
    <w:rsid w:val="00C06B96"/>
    <w:rsid w:val="00C11707"/>
    <w:rsid w:val="00C1768B"/>
    <w:rsid w:val="00C20190"/>
    <w:rsid w:val="00C22B32"/>
    <w:rsid w:val="00C260AB"/>
    <w:rsid w:val="00C32945"/>
    <w:rsid w:val="00C360BA"/>
    <w:rsid w:val="00C36565"/>
    <w:rsid w:val="00C46F2F"/>
    <w:rsid w:val="00C53433"/>
    <w:rsid w:val="00C61410"/>
    <w:rsid w:val="00C749AB"/>
    <w:rsid w:val="00C75453"/>
    <w:rsid w:val="00C816ED"/>
    <w:rsid w:val="00C82FAA"/>
    <w:rsid w:val="00C8423C"/>
    <w:rsid w:val="00C84E37"/>
    <w:rsid w:val="00C90080"/>
    <w:rsid w:val="00C924B6"/>
    <w:rsid w:val="00C9423B"/>
    <w:rsid w:val="00C95513"/>
    <w:rsid w:val="00CA2E82"/>
    <w:rsid w:val="00CA3C7E"/>
    <w:rsid w:val="00CA465E"/>
    <w:rsid w:val="00CA557D"/>
    <w:rsid w:val="00CA7850"/>
    <w:rsid w:val="00CB0A88"/>
    <w:rsid w:val="00CB4414"/>
    <w:rsid w:val="00CB5084"/>
    <w:rsid w:val="00CB654A"/>
    <w:rsid w:val="00CB6A7E"/>
    <w:rsid w:val="00CC26DF"/>
    <w:rsid w:val="00CC623A"/>
    <w:rsid w:val="00CD0271"/>
    <w:rsid w:val="00CD4AA2"/>
    <w:rsid w:val="00CD5289"/>
    <w:rsid w:val="00CD733D"/>
    <w:rsid w:val="00CE0697"/>
    <w:rsid w:val="00CF3B12"/>
    <w:rsid w:val="00CF3B91"/>
    <w:rsid w:val="00CF5F85"/>
    <w:rsid w:val="00CF698F"/>
    <w:rsid w:val="00CF7713"/>
    <w:rsid w:val="00D04BF2"/>
    <w:rsid w:val="00D05FD9"/>
    <w:rsid w:val="00D150EB"/>
    <w:rsid w:val="00D151E9"/>
    <w:rsid w:val="00D15EFA"/>
    <w:rsid w:val="00D2165C"/>
    <w:rsid w:val="00D223D8"/>
    <w:rsid w:val="00D2339E"/>
    <w:rsid w:val="00D27AB9"/>
    <w:rsid w:val="00D402C8"/>
    <w:rsid w:val="00D40836"/>
    <w:rsid w:val="00D4292A"/>
    <w:rsid w:val="00D454A6"/>
    <w:rsid w:val="00D50B4C"/>
    <w:rsid w:val="00D550F2"/>
    <w:rsid w:val="00D56E09"/>
    <w:rsid w:val="00D57C65"/>
    <w:rsid w:val="00D631DF"/>
    <w:rsid w:val="00D66216"/>
    <w:rsid w:val="00D667FF"/>
    <w:rsid w:val="00D73460"/>
    <w:rsid w:val="00D86E4E"/>
    <w:rsid w:val="00D90CFC"/>
    <w:rsid w:val="00D90E3C"/>
    <w:rsid w:val="00DA092C"/>
    <w:rsid w:val="00DA0D01"/>
    <w:rsid w:val="00DA2ED8"/>
    <w:rsid w:val="00DA3192"/>
    <w:rsid w:val="00DA51EF"/>
    <w:rsid w:val="00DA7232"/>
    <w:rsid w:val="00DB35C3"/>
    <w:rsid w:val="00DB3CBB"/>
    <w:rsid w:val="00DB40FD"/>
    <w:rsid w:val="00DB7471"/>
    <w:rsid w:val="00DB7B85"/>
    <w:rsid w:val="00DC050F"/>
    <w:rsid w:val="00DC2595"/>
    <w:rsid w:val="00DC344E"/>
    <w:rsid w:val="00DC3BE2"/>
    <w:rsid w:val="00DC422C"/>
    <w:rsid w:val="00DC7562"/>
    <w:rsid w:val="00DE39DA"/>
    <w:rsid w:val="00DE5DEA"/>
    <w:rsid w:val="00DE6786"/>
    <w:rsid w:val="00DE7FC5"/>
    <w:rsid w:val="00DF16D8"/>
    <w:rsid w:val="00DF7765"/>
    <w:rsid w:val="00E004C9"/>
    <w:rsid w:val="00E00EA0"/>
    <w:rsid w:val="00E01604"/>
    <w:rsid w:val="00E024EA"/>
    <w:rsid w:val="00E02C41"/>
    <w:rsid w:val="00E04A08"/>
    <w:rsid w:val="00E07ADD"/>
    <w:rsid w:val="00E10EC2"/>
    <w:rsid w:val="00E121ED"/>
    <w:rsid w:val="00E13C7B"/>
    <w:rsid w:val="00E150E1"/>
    <w:rsid w:val="00E15244"/>
    <w:rsid w:val="00E16C73"/>
    <w:rsid w:val="00E16CB6"/>
    <w:rsid w:val="00E211B2"/>
    <w:rsid w:val="00E22B57"/>
    <w:rsid w:val="00E32193"/>
    <w:rsid w:val="00E3759C"/>
    <w:rsid w:val="00E40181"/>
    <w:rsid w:val="00E41D06"/>
    <w:rsid w:val="00E4486A"/>
    <w:rsid w:val="00E511E8"/>
    <w:rsid w:val="00E567F1"/>
    <w:rsid w:val="00E60001"/>
    <w:rsid w:val="00E6730D"/>
    <w:rsid w:val="00E70990"/>
    <w:rsid w:val="00E7546D"/>
    <w:rsid w:val="00E80558"/>
    <w:rsid w:val="00E85613"/>
    <w:rsid w:val="00E906FC"/>
    <w:rsid w:val="00E94724"/>
    <w:rsid w:val="00E9716A"/>
    <w:rsid w:val="00E97D7B"/>
    <w:rsid w:val="00EA0489"/>
    <w:rsid w:val="00EA2299"/>
    <w:rsid w:val="00EA3659"/>
    <w:rsid w:val="00EA4F75"/>
    <w:rsid w:val="00EB59F5"/>
    <w:rsid w:val="00EB6226"/>
    <w:rsid w:val="00ED181A"/>
    <w:rsid w:val="00ED1A1B"/>
    <w:rsid w:val="00ED3252"/>
    <w:rsid w:val="00ED7D9B"/>
    <w:rsid w:val="00EF20AE"/>
    <w:rsid w:val="00EF24E2"/>
    <w:rsid w:val="00EF4E38"/>
    <w:rsid w:val="00EF7264"/>
    <w:rsid w:val="00F004F5"/>
    <w:rsid w:val="00F12F8E"/>
    <w:rsid w:val="00F13DEA"/>
    <w:rsid w:val="00F16D8F"/>
    <w:rsid w:val="00F202FB"/>
    <w:rsid w:val="00F228B4"/>
    <w:rsid w:val="00F35222"/>
    <w:rsid w:val="00F43D9E"/>
    <w:rsid w:val="00F44949"/>
    <w:rsid w:val="00F44E4B"/>
    <w:rsid w:val="00F45EF6"/>
    <w:rsid w:val="00F46038"/>
    <w:rsid w:val="00F47AB2"/>
    <w:rsid w:val="00F52B05"/>
    <w:rsid w:val="00F6413C"/>
    <w:rsid w:val="00F67C91"/>
    <w:rsid w:val="00F712BD"/>
    <w:rsid w:val="00F7292B"/>
    <w:rsid w:val="00F73507"/>
    <w:rsid w:val="00F87C75"/>
    <w:rsid w:val="00F934C9"/>
    <w:rsid w:val="00F94131"/>
    <w:rsid w:val="00F9432C"/>
    <w:rsid w:val="00F9579C"/>
    <w:rsid w:val="00FA130E"/>
    <w:rsid w:val="00FA176B"/>
    <w:rsid w:val="00FA2BB2"/>
    <w:rsid w:val="00FA2D4F"/>
    <w:rsid w:val="00FA6774"/>
    <w:rsid w:val="00FB3BE0"/>
    <w:rsid w:val="00FB3E4E"/>
    <w:rsid w:val="00FB45B3"/>
    <w:rsid w:val="00FC3DA7"/>
    <w:rsid w:val="00FC5828"/>
    <w:rsid w:val="00FC728D"/>
    <w:rsid w:val="00FD144A"/>
    <w:rsid w:val="00FD2CAE"/>
    <w:rsid w:val="00FE589D"/>
    <w:rsid w:val="00FF0DE6"/>
    <w:rsid w:val="00FF17A8"/>
    <w:rsid w:val="00FF30D9"/>
    <w:rsid w:val="00FF4548"/>
    <w:rsid w:val="00FF4A31"/>
    <w:rsid w:val="00FF72A6"/>
    <w:rsid w:val="22C41EC6"/>
    <w:rsid w:val="2DD9BC41"/>
  </w:rsids>
  <w:docVars>
    <w:docVar w:name="dgnword-docGUID" w:val="{B42A8535-658F-45A8-92A0-DFD51CE05701}"/>
    <w:docVar w:name="dgnword-eventsink" w:val="494624688"/>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3BA29A"/>
  <w15:docId w15:val="{051C962A-9953-410A-92B7-0951F325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rsid w:val="00CA557D"/>
    <w:rPr>
      <w:sz w:val="20"/>
      <w:szCs w:val="20"/>
    </w:rPr>
  </w:style>
  <w:style w:type="character" w:customStyle="1" w:styleId="CommentTextChar">
    <w:name w:val="Comment Text Char"/>
    <w:basedOn w:val="DefaultParagraphFont"/>
    <w:link w:val="CommentText"/>
    <w:rsid w:val="00CA557D"/>
  </w:style>
  <w:style w:type="paragraph" w:styleId="FootnoteText">
    <w:name w:val="footnote text"/>
    <w:aliases w:val="F1"/>
    <w:basedOn w:val="Normal"/>
    <w:link w:val="FootnoteTextChar"/>
    <w:uiPriority w:val="99"/>
    <w:rsid w:val="00CA557D"/>
    <w:pPr>
      <w:widowControl w:val="0"/>
    </w:pPr>
    <w:rPr>
      <w:snapToGrid w:val="0"/>
      <w:sz w:val="20"/>
      <w:szCs w:val="20"/>
    </w:rPr>
  </w:style>
  <w:style w:type="character" w:customStyle="1" w:styleId="FootnoteTextChar">
    <w:name w:val="Footnote Text Char"/>
    <w:aliases w:val="F1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0" w:beforeLines="0" w:beforeAutospacing="0" w:after="0" w:afterLines="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3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 w:type="character" w:styleId="Strong">
    <w:name w:val="Strong"/>
    <w:basedOn w:val="DefaultParagraphFont"/>
    <w:uiPriority w:val="22"/>
    <w:qFormat/>
    <w:rsid w:val="00D4292A"/>
    <w:rPr>
      <w:b/>
      <w:bCs/>
    </w:rPr>
  </w:style>
  <w:style w:type="paragraph" w:styleId="NoSpacing">
    <w:name w:val="No Spacing"/>
    <w:uiPriority w:val="1"/>
    <w:qFormat/>
    <w:rsid w:val="00D4292A"/>
    <w:rPr>
      <w:rFonts w:eastAsia="Calibri"/>
      <w:sz w:val="24"/>
      <w:szCs w:val="22"/>
    </w:rPr>
  </w:style>
  <w:style w:type="paragraph" w:styleId="Revision">
    <w:name w:val="Revision"/>
    <w:hidden/>
    <w:uiPriority w:val="99"/>
    <w:semiHidden/>
    <w:rsid w:val="00B955E5"/>
    <w:rPr>
      <w:sz w:val="24"/>
      <w:szCs w:val="24"/>
    </w:rPr>
  </w:style>
  <w:style w:type="paragraph" w:customStyle="1" w:styleId="SurveyCheckboxList">
    <w:name w:val="Survey Checkbox List"/>
    <w:basedOn w:val="Normal"/>
    <w:autoRedefine/>
    <w:rsid w:val="00873D5E"/>
    <w:pPr>
      <w:keepLines/>
      <w:numPr>
        <w:numId w:val="18"/>
      </w:numPr>
      <w:tabs>
        <w:tab w:val="left" w:pos="1440"/>
        <w:tab w:val="clear" w:pos="1460"/>
        <w:tab w:val="left" w:pos="1800"/>
        <w:tab w:val="left" w:pos="2880"/>
      </w:tabs>
      <w:spacing w:before="120" w:after="60"/>
      <w:ind w:left="2059" w:hanging="965"/>
    </w:pPr>
    <w:rPr>
      <w:rFonts w:ascii="Verdana" w:hAnsi="Verdana" w:cs="Arial"/>
      <w:bCs/>
      <w:color w:val="231F20"/>
      <w:sz w:val="20"/>
      <w:szCs w:val="22"/>
      <w:lang w:val="fr-FR"/>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locked/>
    <w:rsid w:val="00873D5E"/>
    <w:rPr>
      <w:sz w:val="24"/>
      <w:szCs w:val="24"/>
    </w:rPr>
  </w:style>
  <w:style w:type="character" w:styleId="FollowedHyperlink">
    <w:name w:val="FollowedHyperlink"/>
    <w:basedOn w:val="DefaultParagraphFont"/>
    <w:uiPriority w:val="99"/>
    <w:semiHidden/>
    <w:unhideWhenUsed/>
    <w:rsid w:val="00E32193"/>
    <w:rPr>
      <w:color w:val="800080" w:themeColor="followedHyperlink"/>
      <w:u w:val="single"/>
    </w:rPr>
  </w:style>
  <w:style w:type="paragraph" w:customStyle="1" w:styleId="L1-FlLSp12">
    <w:name w:val="L1-FlL Sp&amp;1/2"/>
    <w:basedOn w:val="Normal"/>
    <w:link w:val="L1-FlLSp12Char"/>
    <w:rsid w:val="000E0EAE"/>
    <w:pPr>
      <w:tabs>
        <w:tab w:val="left" w:pos="1152"/>
      </w:tabs>
      <w:spacing w:after="240" w:line="360" w:lineRule="auto"/>
    </w:pPr>
    <w:rPr>
      <w:rFonts w:ascii="Garamond" w:hAnsi="Garamond" w:eastAsiaTheme="minorEastAsia" w:cstheme="minorBidi"/>
      <w:szCs w:val="20"/>
      <w:lang w:eastAsia="ja-JP"/>
      <w14:ligatures w14:val="standard"/>
    </w:rPr>
  </w:style>
  <w:style w:type="character" w:customStyle="1" w:styleId="L1-FlLSp12Char">
    <w:name w:val="L1-FlL Sp&amp;1/2 Char"/>
    <w:basedOn w:val="DefaultParagraphFont"/>
    <w:link w:val="L1-FlLSp12"/>
    <w:rsid w:val="000E0EAE"/>
    <w:rPr>
      <w:rFonts w:ascii="Garamond" w:hAnsi="Garamond" w:eastAsiaTheme="minorEastAsia" w:cstheme="minorBidi"/>
      <w:sz w:val="24"/>
      <w:lang w:eastAsia="ja-JP"/>
      <w14:ligatures w14:val="standard"/>
    </w:rPr>
  </w:style>
  <w:style w:type="paragraph" w:customStyle="1" w:styleId="C2-CtrSglSp">
    <w:name w:val="C2-Ctr Sgl Sp"/>
    <w:basedOn w:val="Normal"/>
    <w:rsid w:val="000E0EAE"/>
    <w:pPr>
      <w:spacing w:before="120" w:after="120"/>
      <w:jc w:val="center"/>
    </w:pPr>
    <w:rPr>
      <w:rFonts w:asciiTheme="minorHAnsi" w:eastAsiaTheme="minorEastAsia" w:hAnsiTheme="minorHAnsi" w:cstheme="minorBidi"/>
      <w:szCs w:val="22"/>
      <w:lang w:eastAsia="ja-JP"/>
      <w14:ligatures w14:val="standard"/>
    </w:rPr>
  </w:style>
  <w:style w:type="paragraph" w:customStyle="1" w:styleId="L2-FlLSp12">
    <w:name w:val="L2-FlL Sp&amp;1/2"/>
    <w:basedOn w:val="L1-FlLSp12"/>
    <w:rsid w:val="000E0EAE"/>
    <w:pPr>
      <w:keepNext/>
      <w:spacing w:after="120"/>
    </w:pPr>
  </w:style>
  <w:style w:type="paragraph" w:customStyle="1" w:styleId="NL-1stNumberedBullet">
    <w:name w:val="NL-1st Numbered Bullet"/>
    <w:basedOn w:val="Normal"/>
    <w:qFormat/>
    <w:rsid w:val="005F5384"/>
    <w:pPr>
      <w:numPr>
        <w:numId w:val="26"/>
      </w:numPr>
      <w:spacing w:after="240"/>
    </w:pPr>
    <w:rPr>
      <w:rFonts w:ascii="Garamond" w:hAnsi="Garamond" w:eastAsiaTheme="minorEastAsia" w:cstheme="minorBidi"/>
      <w:szCs w:val="20"/>
      <w:lang w:eastAsia="ja-JP"/>
      <w14:ligatures w14:val="standard"/>
    </w:rPr>
  </w:style>
  <w:style w:type="character" w:styleId="UnresolvedMention">
    <w:name w:val="Unresolved Mention"/>
    <w:basedOn w:val="DefaultParagraphFont"/>
    <w:uiPriority w:val="99"/>
    <w:semiHidden/>
    <w:unhideWhenUsed/>
    <w:rsid w:val="00D2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digitalcommons.wayne.edu/jmasm/vol8/iss2/26"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8" ma:contentTypeDescription="Create a new document." ma:contentTypeScope="" ma:versionID="4f977efaa09512dd745c626196a00e6a">
  <xsd:schema xmlns:xsd="http://www.w3.org/2001/XMLSchema" xmlns:xs="http://www.w3.org/2001/XMLSchema" xmlns:p="http://schemas.microsoft.com/office/2006/metadata/properties" xmlns:ns1="http://schemas.microsoft.com/sharepoint/v3" xmlns:ns2="b5022a83-871b-4d85-bad2-b5228c1d4066" targetNamespace="http://schemas.microsoft.com/office/2006/metadata/properties" ma:root="true" ma:fieldsID="7d21daac4f036190cbcfd5bc1e1714b1" ns1:_="" ns2:_="">
    <xsd:import namespace="http://schemas.microsoft.com/sharepoint/v3"/>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009C3-A171-4478-9820-D94746EA9DC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EC8F9B-E55A-4818-99A3-209BA2769D8D}">
  <ds:schemaRefs>
    <ds:schemaRef ds:uri="http://schemas.openxmlformats.org/officeDocument/2006/bibliography"/>
  </ds:schemaRefs>
</ds:datastoreItem>
</file>

<file path=customXml/itemProps3.xml><?xml version="1.0" encoding="utf-8"?>
<ds:datastoreItem xmlns:ds="http://schemas.openxmlformats.org/officeDocument/2006/customXml" ds:itemID="{DBA6700E-4063-44D4-B461-CEA49002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F5B18-9E41-4F5B-8DD6-EFF3D4E3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Aikin, Kathryn J</dc:creator>
  <cp:lastModifiedBy>Capezzuto, JonnaLynn</cp:lastModifiedBy>
  <cp:revision>3</cp:revision>
  <dcterms:created xsi:type="dcterms:W3CDTF">2023-04-12T18:07:00Z</dcterms:created>
  <dcterms:modified xsi:type="dcterms:W3CDTF">2023-04-12T18:31:00Z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ies>
</file>