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05B4" w:rsidRPr="007C6D77" w:rsidP="008605B4" w14:paraId="4D855D73" w14:textId="7EAE363D">
      <w:pPr>
        <w:ind w:left="720" w:hanging="360"/>
        <w:jc w:val="center"/>
        <w:rPr>
          <w:rFonts w:ascii="Times New Roman" w:hAnsi="Times New Roman" w:cs="Times New Roman"/>
          <w:b/>
          <w:bCs/>
          <w:sz w:val="24"/>
          <w:szCs w:val="24"/>
        </w:rPr>
      </w:pPr>
      <w:r w:rsidRPr="007C6D77">
        <w:rPr>
          <w:rFonts w:ascii="Times New Roman" w:hAnsi="Times New Roman" w:cs="Times New Roman"/>
          <w:b/>
          <w:bCs/>
          <w:sz w:val="24"/>
          <w:szCs w:val="24"/>
        </w:rPr>
        <w:t xml:space="preserve">Behavioral Biases in the Use of Unsecured Credit – Measured to be </w:t>
      </w:r>
      <w:r w:rsidRPr="007C6D77">
        <w:rPr>
          <w:rFonts w:ascii="Times New Roman" w:hAnsi="Times New Roman" w:cs="Times New Roman"/>
          <w:b/>
          <w:bCs/>
          <w:sz w:val="24"/>
          <w:szCs w:val="24"/>
        </w:rPr>
        <w:t>Collected</w:t>
      </w:r>
    </w:p>
    <w:p w:rsidR="008605B4" w:rsidP="007C6D77" w14:paraId="651B258B" w14:textId="77777777">
      <w:pPr>
        <w:rPr>
          <w:rFonts w:ascii="Times New Roman" w:hAnsi="Times New Roman" w:cs="Times New Roman"/>
        </w:rPr>
      </w:pPr>
    </w:p>
    <w:p w:rsidR="005F6B55" w:rsidP="005F6B55" w14:paraId="7DB6EDD6" w14:textId="77777777">
      <w:pPr>
        <w:rPr>
          <w:rFonts w:cstheme="minorHAnsi"/>
          <w:b/>
          <w:bCs/>
          <w:sz w:val="20"/>
          <w:szCs w:val="20"/>
        </w:rPr>
      </w:pPr>
      <w:r w:rsidRPr="005F6B55">
        <w:rPr>
          <w:rFonts w:cstheme="minorHAnsi"/>
          <w:b/>
          <w:bCs/>
          <w:sz w:val="20"/>
          <w:szCs w:val="20"/>
        </w:rPr>
        <w:t>Paperwork Reduction Act Statement</w:t>
      </w:r>
    </w:p>
    <w:p w:rsidR="005F6B55" w:rsidRPr="005F6B55" w:rsidP="005F6B55" w14:paraId="4CA1F7A8" w14:textId="77777777">
      <w:pPr>
        <w:rPr>
          <w:rFonts w:cstheme="minorHAnsi"/>
          <w:b/>
          <w:bCs/>
          <w:sz w:val="20"/>
          <w:szCs w:val="20"/>
        </w:rPr>
      </w:pPr>
    </w:p>
    <w:p w:rsidR="005F6B55" w:rsidRPr="005F6B55" w:rsidP="005F6B55" w14:paraId="6DCF25EC" w14:textId="31D30679">
      <w:pPr>
        <w:rPr>
          <w:rFonts w:cstheme="minorHAnsi"/>
          <w:sz w:val="20"/>
          <w:szCs w:val="20"/>
        </w:rPr>
      </w:pPr>
      <w:r w:rsidRPr="005F6B55">
        <w:rPr>
          <w:rFonts w:cstheme="minorHAnsi"/>
          <w:sz w:val="20"/>
          <w:szCs w:val="20"/>
        </w:rPr>
        <w:t xml:space="preserve">According to the Paperwork Reduction Act of 1995, an agency may not conduct or sponsor a collection of information, nor is a person required to respond to a collection of information unless it displays a valid OMB control number. </w:t>
      </w:r>
      <w:r w:rsidRPr="005F6B55">
        <w:rPr>
          <w:rFonts w:eastAsia="Georgia" w:cstheme="minorHAnsi"/>
          <w:sz w:val="20"/>
          <w:szCs w:val="20"/>
        </w:rPr>
        <w:t>The OMB control number for this collection is 3170-00</w:t>
      </w:r>
      <w:r w:rsidR="004A76E0">
        <w:rPr>
          <w:rFonts w:eastAsia="Georgia" w:cstheme="minorHAnsi"/>
          <w:sz w:val="20"/>
          <w:szCs w:val="20"/>
        </w:rPr>
        <w:t>82</w:t>
      </w:r>
      <w:r w:rsidRPr="005F6B55">
        <w:rPr>
          <w:rFonts w:eastAsia="Georgia" w:cstheme="minorHAnsi"/>
          <w:sz w:val="20"/>
          <w:szCs w:val="20"/>
        </w:rPr>
        <w:t xml:space="preserve">, expiring </w:t>
      </w:r>
      <w:r w:rsidR="00AE2420">
        <w:rPr>
          <w:rFonts w:eastAsia="Georgia" w:cstheme="minorHAnsi"/>
          <w:sz w:val="20"/>
          <w:szCs w:val="20"/>
        </w:rPr>
        <w:t>1/31/2027</w:t>
      </w:r>
      <w:r w:rsidRPr="005F6B55">
        <w:rPr>
          <w:rFonts w:eastAsia="Georgia" w:cstheme="minorHAnsi"/>
          <w:sz w:val="20"/>
          <w:szCs w:val="20"/>
        </w:rPr>
        <w:t>.</w:t>
      </w:r>
      <w:r w:rsidRPr="005F6B55">
        <w:rPr>
          <w:rFonts w:cstheme="minorHAnsi"/>
          <w:sz w:val="20"/>
          <w:szCs w:val="20"/>
        </w:rPr>
        <w:t xml:space="preserve">  The time burden required to complete this collection of information is estimated to be </w:t>
      </w:r>
      <w:r w:rsidR="00D21DF3">
        <w:rPr>
          <w:rFonts w:cstheme="minorHAnsi"/>
          <w:sz w:val="20"/>
          <w:szCs w:val="20"/>
        </w:rPr>
        <w:t>15</w:t>
      </w:r>
      <w:r w:rsidRPr="005F6B55">
        <w:rPr>
          <w:rFonts w:cstheme="minorHAnsi"/>
          <w:sz w:val="20"/>
          <w:szCs w:val="20"/>
        </w:rPr>
        <w:t xml:space="preserve"> minutes per response.  Comments regarding this collection of information (</w:t>
      </w:r>
      <w:r w:rsidRPr="005F6B55">
        <w:rPr>
          <w:rFonts w:cstheme="minorHAnsi"/>
          <w:sz w:val="20"/>
          <w:szCs w:val="20"/>
        </w:rPr>
        <w:t>e.g</w:t>
      </w:r>
      <w:r w:rsidRPr="005F6B55">
        <w:rPr>
          <w:rFonts w:cstheme="minorHAnsi"/>
          <w:sz w:val="20"/>
          <w:szCs w:val="20"/>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8" w:history="1">
        <w:r w:rsidRPr="005F6B55">
          <w:rPr>
            <w:rStyle w:val="Hyperlink"/>
            <w:rFonts w:cstheme="minorHAnsi"/>
            <w:sz w:val="20"/>
            <w:szCs w:val="20"/>
          </w:rPr>
          <w:t>CFPB_PRA@cfpb.gov</w:t>
        </w:r>
      </w:hyperlink>
      <w:r w:rsidRPr="005F6B55">
        <w:rPr>
          <w:rFonts w:cstheme="minorHAnsi"/>
          <w:sz w:val="20"/>
          <w:szCs w:val="20"/>
        </w:rPr>
        <w:t>.</w:t>
      </w:r>
    </w:p>
    <w:p w:rsidR="005F6B55" w:rsidRPr="005F6B55" w:rsidP="005F6B55" w14:paraId="3EEEC040" w14:textId="77777777">
      <w:pPr>
        <w:rPr>
          <w:rFonts w:cstheme="minorHAnsi"/>
          <w:sz w:val="20"/>
          <w:szCs w:val="20"/>
        </w:rPr>
      </w:pPr>
    </w:p>
    <w:p w:rsidR="008605B4" w:rsidRPr="008605B4" w:rsidP="008605B4" w14:paraId="7B95446B" w14:textId="77777777">
      <w:pPr>
        <w:rPr>
          <w:rFonts w:ascii="Times New Roman" w:hAnsi="Times New Roman" w:cs="Times New Roman"/>
          <w:b/>
          <w:bCs/>
          <w:sz w:val="24"/>
          <w:szCs w:val="24"/>
        </w:rPr>
      </w:pPr>
      <w:r w:rsidRPr="008605B4">
        <w:rPr>
          <w:rFonts w:ascii="Times New Roman" w:hAnsi="Times New Roman" w:cs="Times New Roman"/>
          <w:b/>
          <w:bCs/>
          <w:sz w:val="24"/>
          <w:szCs w:val="24"/>
        </w:rPr>
        <w:t xml:space="preserve">Measured behaviors: </w:t>
      </w:r>
    </w:p>
    <w:p w:rsidR="008605B4" w:rsidRPr="008605B4" w:rsidP="008605B4" w14:paraId="286EAFBD"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Whether participants choose to complete the hypothetical purchase</w:t>
      </w:r>
    </w:p>
    <w:p w:rsidR="008605B4" w:rsidRPr="008605B4" w:rsidP="008605B4" w14:paraId="3958AAAB"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Which payment type participants choose to complete the hypothetical </w:t>
      </w:r>
      <w:r w:rsidRPr="008605B4">
        <w:rPr>
          <w:rFonts w:ascii="Times New Roman" w:hAnsi="Times New Roman" w:cs="Times New Roman"/>
          <w:sz w:val="24"/>
          <w:szCs w:val="24"/>
        </w:rPr>
        <w:t>purchase</w:t>
      </w:r>
    </w:p>
    <w:p w:rsidR="008605B4" w:rsidRPr="008605B4" w:rsidP="008605B4" w14:paraId="19984721"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How much participants choose to spend on the hypothetical </w:t>
      </w:r>
      <w:r w:rsidRPr="008605B4">
        <w:rPr>
          <w:rFonts w:ascii="Times New Roman" w:hAnsi="Times New Roman" w:cs="Times New Roman"/>
          <w:sz w:val="24"/>
          <w:szCs w:val="24"/>
        </w:rPr>
        <w:t>purchase</w:t>
      </w:r>
    </w:p>
    <w:p w:rsidR="008605B4" w:rsidRPr="008605B4" w:rsidP="008605B4" w14:paraId="01ED6AC6"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Whether participants take specific steps toward purchasing the hypothetical item (e.g., adding the item to cart, clicking on the item to reveal its price, applying an available discount to the item)</w:t>
      </w:r>
    </w:p>
    <w:p w:rsidR="008605B4" w:rsidRPr="008605B4" w:rsidP="008605B4" w14:paraId="242B459F" w14:textId="7F7D2A1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How much time participants spend on each page of the </w:t>
      </w:r>
      <w:r w:rsidRPr="008605B4">
        <w:rPr>
          <w:rFonts w:ascii="Times New Roman" w:hAnsi="Times New Roman" w:cs="Times New Roman"/>
          <w:sz w:val="24"/>
          <w:szCs w:val="24"/>
        </w:rPr>
        <w:t>study</w:t>
      </w:r>
    </w:p>
    <w:p w:rsidR="008605B4" w:rsidRPr="008605B4" w:rsidP="008605B4" w14:paraId="397F2D21" w14:textId="77777777">
      <w:pPr>
        <w:rPr>
          <w:rFonts w:ascii="Times New Roman" w:hAnsi="Times New Roman" w:cs="Times New Roman"/>
          <w:sz w:val="24"/>
          <w:szCs w:val="24"/>
        </w:rPr>
      </w:pPr>
    </w:p>
    <w:p w:rsidR="008605B4" w:rsidRPr="008605B4" w:rsidP="008605B4" w14:paraId="5EF32576" w14:textId="77777777">
      <w:pPr>
        <w:rPr>
          <w:rFonts w:ascii="Times New Roman" w:hAnsi="Times New Roman" w:cs="Times New Roman"/>
          <w:b/>
          <w:bCs/>
          <w:sz w:val="24"/>
          <w:szCs w:val="24"/>
        </w:rPr>
      </w:pPr>
      <w:r w:rsidRPr="008605B4">
        <w:rPr>
          <w:rFonts w:ascii="Times New Roman" w:hAnsi="Times New Roman" w:cs="Times New Roman"/>
          <w:b/>
          <w:bCs/>
          <w:sz w:val="24"/>
          <w:szCs w:val="24"/>
        </w:rPr>
        <w:t xml:space="preserve">Survey measures related to task: </w:t>
      </w:r>
    </w:p>
    <w:p w:rsidR="008605B4" w:rsidRPr="008605B4" w:rsidP="008605B4" w14:paraId="30F1198D"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Willingness to pay for the </w:t>
      </w:r>
      <w:r w:rsidRPr="008605B4">
        <w:rPr>
          <w:rFonts w:ascii="Times New Roman" w:hAnsi="Times New Roman" w:cs="Times New Roman"/>
          <w:sz w:val="24"/>
          <w:szCs w:val="24"/>
        </w:rPr>
        <w:t>product</w:t>
      </w:r>
    </w:p>
    <w:p w:rsidR="008605B4" w:rsidRPr="008605B4" w:rsidP="008605B4" w14:paraId="2C6E0F77"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Reported likelihood of making the purchase outside of the experiment</w:t>
      </w:r>
    </w:p>
    <w:p w:rsidR="008605B4" w:rsidRPr="008605B4" w:rsidP="008605B4" w14:paraId="15540886"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Confidence in ability to repay the amount borrowed; predictions for whether participant would forget or miss payments, or default on </w:t>
      </w:r>
      <w:r w:rsidRPr="008605B4">
        <w:rPr>
          <w:rFonts w:ascii="Times New Roman" w:hAnsi="Times New Roman" w:cs="Times New Roman"/>
          <w:sz w:val="24"/>
          <w:szCs w:val="24"/>
        </w:rPr>
        <w:t>loan</w:t>
      </w:r>
    </w:p>
    <w:p w:rsidR="008605B4" w:rsidRPr="008605B4" w:rsidP="008605B4" w14:paraId="53D7AA4F"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Report of how participant would repay </w:t>
      </w:r>
      <w:r w:rsidRPr="008605B4">
        <w:rPr>
          <w:rFonts w:ascii="Times New Roman" w:hAnsi="Times New Roman" w:cs="Times New Roman"/>
          <w:sz w:val="24"/>
          <w:szCs w:val="24"/>
        </w:rPr>
        <w:t>loan</w:t>
      </w:r>
      <w:r w:rsidRPr="008605B4">
        <w:rPr>
          <w:rFonts w:ascii="Times New Roman" w:hAnsi="Times New Roman" w:cs="Times New Roman"/>
          <w:sz w:val="24"/>
          <w:szCs w:val="24"/>
        </w:rPr>
        <w:t xml:space="preserve"> </w:t>
      </w:r>
    </w:p>
    <w:p w:rsidR="008605B4" w:rsidRPr="008605B4" w:rsidP="008605B4" w14:paraId="13AD8A4B"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Extent to which participants view credit as personalized or targeted toward </w:t>
      </w:r>
      <w:r w:rsidRPr="008605B4">
        <w:rPr>
          <w:rFonts w:ascii="Times New Roman" w:hAnsi="Times New Roman" w:cs="Times New Roman"/>
          <w:sz w:val="24"/>
          <w:szCs w:val="24"/>
        </w:rPr>
        <w:t>them</w:t>
      </w:r>
    </w:p>
    <w:p w:rsidR="008605B4" w:rsidRPr="008605B4" w:rsidP="008605B4" w14:paraId="039F20D0"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Perceived amount participant can afford to spend on the hypothetical </w:t>
      </w:r>
      <w:r w:rsidRPr="008605B4">
        <w:rPr>
          <w:rFonts w:ascii="Times New Roman" w:hAnsi="Times New Roman" w:cs="Times New Roman"/>
          <w:sz w:val="24"/>
          <w:szCs w:val="24"/>
        </w:rPr>
        <w:t>purchase</w:t>
      </w:r>
      <w:r w:rsidRPr="008605B4">
        <w:rPr>
          <w:rFonts w:ascii="Times New Roman" w:hAnsi="Times New Roman" w:cs="Times New Roman"/>
          <w:sz w:val="24"/>
          <w:szCs w:val="24"/>
        </w:rPr>
        <w:t xml:space="preserve"> </w:t>
      </w:r>
    </w:p>
    <w:p w:rsidR="008605B4" w:rsidRPr="008605B4" w:rsidP="008605B4" w14:paraId="0ABA7C92"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Alternative uses for the money in question (e.g., opportunity costs)</w:t>
      </w:r>
    </w:p>
    <w:p w:rsidR="008605B4" w:rsidRPr="008605B4" w:rsidP="008605B4" w14:paraId="2F499893"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Consideration of using other credit providers to make </w:t>
      </w:r>
      <w:r w:rsidRPr="008605B4">
        <w:rPr>
          <w:rFonts w:ascii="Times New Roman" w:hAnsi="Times New Roman" w:cs="Times New Roman"/>
          <w:sz w:val="24"/>
          <w:szCs w:val="24"/>
        </w:rPr>
        <w:t>purchase</w:t>
      </w:r>
    </w:p>
    <w:p w:rsidR="008605B4" w:rsidRPr="008605B4" w:rsidP="008605B4" w14:paraId="356F0756"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Beliefs about credit limits (e.g., how they are generated, whether they are malleable, predictions about how higher or lower limits may change behavior)</w:t>
      </w:r>
    </w:p>
    <w:p w:rsidR="008605B4" w:rsidRPr="008605B4" w:rsidP="008605B4" w14:paraId="7F79301A"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Degree of brand trust and loyalty</w:t>
      </w:r>
    </w:p>
    <w:p w:rsidR="008605B4" w:rsidRPr="008605B4" w:rsidP="008605B4" w14:paraId="673748AF"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Willingness or intention to download and use shopping </w:t>
      </w:r>
      <w:r w:rsidRPr="008605B4">
        <w:rPr>
          <w:rFonts w:ascii="Times New Roman" w:hAnsi="Times New Roman" w:cs="Times New Roman"/>
          <w:sz w:val="24"/>
          <w:szCs w:val="24"/>
        </w:rPr>
        <w:t>apps</w:t>
      </w:r>
    </w:p>
    <w:p w:rsidR="008605B4" w:rsidRPr="008605B4" w:rsidP="008605B4" w14:paraId="59CC8ADD" w14:textId="42DBE1BB">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Intentions to use similar or different credit products in the future (e.g., after paying off loan, likelihood to take out a new one)</w:t>
      </w:r>
    </w:p>
    <w:p w:rsidR="008605B4" w:rsidRPr="008605B4" w:rsidP="008605B4" w14:paraId="16F8388C" w14:textId="77777777">
      <w:pPr>
        <w:rPr>
          <w:rFonts w:ascii="Times New Roman" w:hAnsi="Times New Roman" w:cs="Times New Roman"/>
          <w:sz w:val="24"/>
          <w:szCs w:val="24"/>
        </w:rPr>
      </w:pPr>
    </w:p>
    <w:p w:rsidR="008605B4" w:rsidRPr="008605B4" w:rsidP="008605B4" w14:paraId="0B769F9D" w14:textId="77777777">
      <w:pPr>
        <w:rPr>
          <w:rFonts w:ascii="Times New Roman" w:hAnsi="Times New Roman" w:cs="Times New Roman"/>
          <w:b/>
          <w:bCs/>
          <w:sz w:val="24"/>
          <w:szCs w:val="24"/>
        </w:rPr>
      </w:pPr>
      <w:r w:rsidRPr="008605B4">
        <w:rPr>
          <w:rFonts w:ascii="Times New Roman" w:hAnsi="Times New Roman" w:cs="Times New Roman"/>
          <w:b/>
          <w:bCs/>
          <w:sz w:val="24"/>
          <w:szCs w:val="24"/>
        </w:rPr>
        <w:t xml:space="preserve">Survey measures of participant characteristics (may be collected as validated scale measures from previous research or as single survey questions): </w:t>
      </w:r>
    </w:p>
    <w:p w:rsidR="008605B4" w:rsidRPr="008605B4" w:rsidP="008605B4" w14:paraId="60D5F08C"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 xml:space="preserve">Financial </w:t>
      </w:r>
      <w:r w:rsidRPr="008605B4">
        <w:rPr>
          <w:rFonts w:ascii="Times New Roman" w:hAnsi="Times New Roman" w:cs="Times New Roman"/>
          <w:sz w:val="24"/>
          <w:szCs w:val="24"/>
        </w:rPr>
        <w:t>well-being;</w:t>
      </w:r>
      <w:r w:rsidRPr="008605B4">
        <w:rPr>
          <w:rFonts w:ascii="Times New Roman" w:hAnsi="Times New Roman" w:cs="Times New Roman"/>
          <w:sz w:val="24"/>
          <w:szCs w:val="24"/>
        </w:rPr>
        <w:t xml:space="preserve"> </w:t>
      </w:r>
    </w:p>
    <w:p w:rsidR="008605B4" w:rsidRPr="008605B4" w:rsidP="008605B4" w14:paraId="0A7A12A3"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Temporal discounting</w:t>
      </w:r>
    </w:p>
    <w:p w:rsidR="008605B4" w:rsidRPr="008605B4" w:rsidP="008605B4" w14:paraId="0829C0A6"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Financial self-control/impulsivity</w:t>
      </w:r>
    </w:p>
    <w:p w:rsidR="008605B4" w:rsidRPr="008605B4" w:rsidP="008605B4" w14:paraId="44D05415"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Frequency of credit use</w:t>
      </w:r>
    </w:p>
    <w:p w:rsidR="008605B4" w:rsidRPr="008605B4" w:rsidP="008605B4" w14:paraId="073670D1"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Experience with online credit use (</w:t>
      </w:r>
      <w:r w:rsidRPr="008605B4">
        <w:rPr>
          <w:rFonts w:ascii="Times New Roman" w:hAnsi="Times New Roman" w:cs="Times New Roman"/>
          <w:sz w:val="24"/>
          <w:szCs w:val="24"/>
        </w:rPr>
        <w:t>e.g</w:t>
      </w:r>
      <w:r w:rsidRPr="008605B4">
        <w:rPr>
          <w:rFonts w:ascii="Times New Roman" w:hAnsi="Times New Roman" w:cs="Times New Roman"/>
          <w:sz w:val="24"/>
          <w:szCs w:val="24"/>
        </w:rPr>
        <w:t>, credit card use, buy-now-pay-later plans, installment loans, after-purchase credit card installment plans)</w:t>
      </w:r>
    </w:p>
    <w:p w:rsidR="008605B4" w:rsidRPr="008605B4" w:rsidP="008605B4" w14:paraId="4E92A478" w14:textId="77777777">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Shopping preferences (e.g., in person, online, in-app, mobile vs. desktop, etc.)</w:t>
      </w:r>
    </w:p>
    <w:p w:rsidR="00506F82" w:rsidRPr="008605B4" w:rsidP="008605B4" w14:paraId="7951AEF6" w14:textId="2A5EDF82">
      <w:pPr>
        <w:pStyle w:val="ListParagraph"/>
        <w:numPr>
          <w:ilvl w:val="1"/>
          <w:numId w:val="1"/>
        </w:numPr>
        <w:rPr>
          <w:rFonts w:ascii="Times New Roman" w:hAnsi="Times New Roman" w:cs="Times New Roman"/>
          <w:sz w:val="24"/>
          <w:szCs w:val="24"/>
        </w:rPr>
      </w:pPr>
      <w:r w:rsidRPr="008605B4">
        <w:rPr>
          <w:rFonts w:ascii="Times New Roman" w:hAnsi="Times New Roman" w:cs="Times New Roman"/>
          <w:sz w:val="24"/>
          <w:szCs w:val="24"/>
        </w:rPr>
        <w:t>Sociodemographics</w:t>
      </w:r>
      <w:r w:rsidRPr="008605B4">
        <w:rPr>
          <w:rFonts w:ascii="Times New Roman" w:hAnsi="Times New Roman" w:cs="Times New Roman"/>
          <w:sz w:val="24"/>
          <w:szCs w:val="24"/>
        </w:rPr>
        <w:t xml:space="preserve"> (e.g., sex, race/ethnicity, age, household income, etc.)</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8E5A57"/>
    <w:multiLevelType w:val="hybridMultilevel"/>
    <w:tmpl w:val="5D4C9C48"/>
    <w:lvl w:ilvl="0">
      <w:start w:val="1"/>
      <w:numFmt w:val="bullet"/>
      <w:lvlText w:val=""/>
      <w:lvlJc w:val="left"/>
      <w:pPr>
        <w:ind w:left="720" w:hanging="360"/>
      </w:pPr>
      <w:rPr>
        <w:rFonts w:ascii="Symbol" w:hAnsi="Symbol" w:hint="default"/>
      </w:rPr>
    </w:lvl>
    <w:lvl w:ilvl="1">
      <w:start w:val="1"/>
      <w:numFmt w:val="bullet"/>
      <w:lvlText w:val=""/>
      <w:lvlJc w:val="left"/>
      <w:pPr>
        <w:ind w:left="63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13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B4"/>
    <w:rsid w:val="00074625"/>
    <w:rsid w:val="002F264D"/>
    <w:rsid w:val="004A76E0"/>
    <w:rsid w:val="00506F82"/>
    <w:rsid w:val="00590B6A"/>
    <w:rsid w:val="005F6B55"/>
    <w:rsid w:val="007C6D77"/>
    <w:rsid w:val="008605B4"/>
    <w:rsid w:val="008D2976"/>
    <w:rsid w:val="00AB5F75"/>
    <w:rsid w:val="00AE2420"/>
    <w:rsid w:val="00B974FE"/>
    <w:rsid w:val="00D21DF3"/>
    <w:rsid w:val="00F340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1DC1D"/>
  <w15:chartTrackingRefBased/>
  <w15:docId w15:val="{68A3CA12-EA33-455B-B0B9-7B00F878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5B4"/>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B4"/>
    <w:pPr>
      <w:ind w:left="720"/>
      <w:contextualSpacing/>
    </w:pPr>
  </w:style>
  <w:style w:type="paragraph" w:styleId="Header">
    <w:name w:val="header"/>
    <w:basedOn w:val="Normal"/>
    <w:link w:val="HeaderChar"/>
    <w:uiPriority w:val="99"/>
    <w:unhideWhenUsed/>
    <w:rsid w:val="00B974FE"/>
    <w:pPr>
      <w:tabs>
        <w:tab w:val="center" w:pos="4680"/>
        <w:tab w:val="right" w:pos="9360"/>
      </w:tabs>
    </w:pPr>
  </w:style>
  <w:style w:type="character" w:customStyle="1" w:styleId="HeaderChar">
    <w:name w:val="Header Char"/>
    <w:basedOn w:val="DefaultParagraphFont"/>
    <w:link w:val="Header"/>
    <w:uiPriority w:val="99"/>
    <w:rsid w:val="00B974FE"/>
  </w:style>
  <w:style w:type="paragraph" w:styleId="Footer">
    <w:name w:val="footer"/>
    <w:basedOn w:val="Normal"/>
    <w:link w:val="FooterChar"/>
    <w:uiPriority w:val="99"/>
    <w:unhideWhenUsed/>
    <w:rsid w:val="00B974FE"/>
    <w:pPr>
      <w:tabs>
        <w:tab w:val="center" w:pos="4680"/>
        <w:tab w:val="right" w:pos="9360"/>
      </w:tabs>
    </w:pPr>
  </w:style>
  <w:style w:type="character" w:customStyle="1" w:styleId="FooterChar">
    <w:name w:val="Footer Char"/>
    <w:basedOn w:val="DefaultParagraphFont"/>
    <w:link w:val="Footer"/>
    <w:uiPriority w:val="99"/>
    <w:rsid w:val="00B974FE"/>
  </w:style>
  <w:style w:type="character" w:styleId="Hyperlink">
    <w:name w:val="Hyperlink"/>
    <w:basedOn w:val="DefaultParagraphFont"/>
    <w:uiPriority w:val="99"/>
    <w:unhideWhenUsed/>
    <w:rsid w:val="005F6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97749c-35e3-4292-9c41-d352b303d2cf">OPSOCDOPRA-2116056712-2137160</_dlc_DocId>
    <TaxCatchAll xmlns="8097749c-35e3-4292-9c41-d352b303d2cf" xsi:nil="true"/>
    <_dlc_DocIdUrl xmlns="8097749c-35e3-4292-9c41-d352b303d2cf">
      <Url>https://bcfp365.sharepoint.com/sites/ops-ocdo-pra/_layouts/15/DocIdRedir.aspx?ID=OPSOCDOPRA-2116056712-2137160</Url>
      <Description>OPSOCDOPRA-2116056712-2137160</Description>
    </_dlc_DocIdUrl>
    <md95245a80cd48af84779a6a8432aa88 xmlns="3c358492-2927-472d-85d8-14627d068203">
      <Terms xmlns="http://schemas.microsoft.com/office/infopath/2007/PartnerControls"/>
    </md95245a80cd48af84779a6a8432aa88>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8A7A7-91AC-47E3-836D-6BB0D68011AD}">
  <ds:schemaRefs>
    <ds:schemaRef ds:uri="http://purl.org/dc/dcmitype/"/>
    <ds:schemaRef ds:uri="8097749c-35e3-4292-9c41-d352b303d2cf"/>
    <ds:schemaRef ds:uri="http://schemas.microsoft.com/office/2006/metadata/properties"/>
    <ds:schemaRef ds:uri="3c358492-2927-472d-85d8-14627d068203"/>
    <ds:schemaRef ds:uri="http://purl.org/dc/elements/1.1/"/>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09FA5F4-85F8-4BE2-818B-7C454F259B63}">
  <ds:schemaRefs>
    <ds:schemaRef ds:uri="http://schemas.microsoft.com/sharepoint/events"/>
  </ds:schemaRefs>
</ds:datastoreItem>
</file>

<file path=customXml/itemProps3.xml><?xml version="1.0" encoding="utf-8"?>
<ds:datastoreItem xmlns:ds="http://schemas.openxmlformats.org/officeDocument/2006/customXml" ds:itemID="{CFBC6C83-3E33-4998-A984-E9DD296F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6D96B-E708-4F37-AACB-5E81F800F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DeLuca, Joshua (CFPB)</dc:creator>
  <cp:lastModifiedBy>Watkins, Pamela (CFPB)</cp:lastModifiedBy>
  <cp:revision>9</cp:revision>
  <dcterms:created xsi:type="dcterms:W3CDTF">2024-02-12T21:52:00Z</dcterms:created>
  <dcterms:modified xsi:type="dcterms:W3CDTF">2024-07-11T16:52:00Z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aa382921-eedb-466b-a7b5-9a3c19deb00b</vt:lpwstr>
  </property>
</Properties>
</file>