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00FA2F70" w14:paraId="58623B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9E118C" w:rsidRPr="00C879B4" w:rsidP="00FA2F70" w14:paraId="59AD10AE" w14:textId="77777777">
      <w:pPr>
        <w:pStyle w:val="Heading1"/>
        <w:spacing w:before="0" w:line="240" w:lineRule="auto"/>
        <w:jc w:val="center"/>
        <w:rPr>
          <w:color w:val="000000"/>
        </w:rPr>
      </w:pPr>
      <w:r w:rsidRPr="00C879B4">
        <w:rPr>
          <w:color w:val="000000"/>
        </w:rPr>
        <w:t>Title</w:t>
      </w:r>
    </w:p>
    <w:p w:rsidR="009E118C" w:rsidRPr="00C879B4" w:rsidP="00FA2F70" w14:paraId="04842EE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 2502-</w:t>
      </w:r>
      <w:r w:rsidR="003077DF">
        <w:rPr>
          <w:rFonts w:ascii="Helvetica" w:hAnsi="Helvetica"/>
          <w:b/>
          <w:color w:val="000000"/>
          <w:sz w:val="24"/>
        </w:rPr>
        <w:t>0041</w:t>
      </w:r>
    </w:p>
    <w:p w:rsidR="009E118C" w:rsidP="003B7677" w14:paraId="47935BD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w:t>
      </w:r>
      <w:r w:rsidR="003077DF">
        <w:rPr>
          <w:rFonts w:ascii="Helvetica" w:hAnsi="Helvetica"/>
          <w:b/>
          <w:color w:val="000000"/>
          <w:sz w:val="24"/>
        </w:rPr>
        <w:t>Form</w:t>
      </w:r>
      <w:r w:rsidR="003B7677">
        <w:rPr>
          <w:rFonts w:ascii="Helvetica" w:hAnsi="Helvetica"/>
          <w:b/>
          <w:color w:val="000000"/>
          <w:sz w:val="24"/>
        </w:rPr>
        <w:t>s</w:t>
      </w:r>
      <w:r w:rsidRPr="00C879B4">
        <w:rPr>
          <w:rFonts w:ascii="Helvetica" w:hAnsi="Helvetica"/>
          <w:b/>
          <w:color w:val="000000"/>
          <w:sz w:val="24"/>
        </w:rPr>
        <w:t>)</w:t>
      </w:r>
    </w:p>
    <w:p w:rsidR="003B7677" w:rsidP="003B7677" w14:paraId="28E12313" w14:textId="5B2037A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Assignment of Mortgage (all states except Louisiana) </w:t>
      </w:r>
    </w:p>
    <w:p w:rsidR="004F0EF3" w:rsidRPr="004F0EF3" w:rsidP="004F0EF3" w14:paraId="7E030AC1" w14:textId="3CD666FD">
      <w:pPr>
        <w:spacing w:after="0"/>
        <w:ind w:firstLine="720"/>
      </w:pPr>
      <w:r w:rsidRPr="004F0EF3">
        <w:rPr>
          <w:rFonts w:ascii="Helvetica" w:hAnsi="Helvetica"/>
          <w:b/>
          <w:i/>
          <w:iCs/>
          <w:color w:val="000000"/>
          <w:sz w:val="24"/>
        </w:rPr>
        <w:t>Assignment of Mortgagee (for Louisiana</w:t>
      </w:r>
      <w:r>
        <w:t>)</w:t>
      </w:r>
    </w:p>
    <w:p w:rsidR="003B7677" w:rsidRPr="003B7677" w:rsidP="004F0EF3" w14:paraId="0907590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Affidavit Of Lost Note </w:t>
      </w:r>
    </w:p>
    <w:p w:rsidR="003B7677" w:rsidRPr="003B7677" w:rsidP="003B7677" w14:paraId="37D7F6C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Allonge To Note </w:t>
      </w:r>
    </w:p>
    <w:p w:rsidR="003B7677" w:rsidRPr="003B7677" w:rsidP="003B7677" w14:paraId="08EAD8D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Assignment Of Building Loan Agreement </w:t>
      </w:r>
    </w:p>
    <w:p w:rsidR="003B7677" w:rsidRPr="003B7677" w:rsidP="003B7677" w14:paraId="439098D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Assignment Of Hazard Insurance Policy </w:t>
      </w:r>
    </w:p>
    <w:p w:rsidR="003B7677" w:rsidRPr="003B7677" w:rsidP="003B7677" w14:paraId="3E2BC76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Assignment Of [Security Agreement] [Chattel Mortgage] </w:t>
      </w:r>
    </w:p>
    <w:p w:rsidR="003B7677" w:rsidRPr="003B7677" w:rsidP="003B7677" w14:paraId="047B5982" w14:textId="7FA892B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Assignment Of Performance Bond-Dual </w:t>
      </w:r>
      <w:r w:rsidRPr="003B7677">
        <w:rPr>
          <w:rFonts w:ascii="Helvetica" w:hAnsi="Helvetica"/>
          <w:b/>
          <w:i/>
          <w:iCs/>
          <w:color w:val="000000"/>
          <w:sz w:val="24"/>
        </w:rPr>
        <w:t>Obligee</w:t>
      </w:r>
      <w:r w:rsidRPr="003B7677">
        <w:rPr>
          <w:rFonts w:ascii="Helvetica" w:hAnsi="Helvetica"/>
          <w:b/>
          <w:i/>
          <w:iCs/>
          <w:color w:val="000000"/>
          <w:sz w:val="24"/>
        </w:rPr>
        <w:t xml:space="preserve"> </w:t>
      </w:r>
    </w:p>
    <w:p w:rsidR="003B7677" w:rsidRPr="003B7677" w:rsidP="003B7677" w14:paraId="4A97CECD" w14:textId="6FCD19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Indemnification Assignment Note </w:t>
      </w:r>
    </w:p>
    <w:p w:rsidR="003B7677" w:rsidRPr="003B7677" w:rsidP="099F0A36" w14:paraId="61C062AE" w14:textId="137E2A0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bCs/>
          <w:i/>
          <w:iCs/>
          <w:color w:val="000000"/>
          <w:sz w:val="24"/>
          <w:szCs w:val="24"/>
        </w:rPr>
      </w:pPr>
      <w:r w:rsidRPr="099F0A36">
        <w:rPr>
          <w:rFonts w:ascii="Helvetica" w:hAnsi="Helvetica"/>
          <w:b/>
          <w:bCs/>
          <w:i/>
          <w:iCs/>
          <w:color w:val="000000" w:themeColor="text1"/>
          <w:sz w:val="24"/>
          <w:szCs w:val="24"/>
        </w:rPr>
        <w:t xml:space="preserve">Indemnification Assignment - Deed </w:t>
      </w:r>
      <w:r w:rsidRPr="099F0A36" w:rsidR="42286D85">
        <w:rPr>
          <w:rFonts w:ascii="Helvetica" w:hAnsi="Helvetica"/>
          <w:b/>
          <w:bCs/>
          <w:i/>
          <w:iCs/>
          <w:color w:val="000000" w:themeColor="text1"/>
          <w:sz w:val="24"/>
          <w:szCs w:val="24"/>
        </w:rPr>
        <w:t>o</w:t>
      </w:r>
      <w:r w:rsidRPr="099F0A36">
        <w:rPr>
          <w:rFonts w:ascii="Helvetica" w:hAnsi="Helvetica"/>
          <w:b/>
          <w:bCs/>
          <w:i/>
          <w:iCs/>
          <w:color w:val="000000" w:themeColor="text1"/>
          <w:sz w:val="24"/>
          <w:szCs w:val="24"/>
        </w:rPr>
        <w:t xml:space="preserve">f Trust or Mortgage Sample </w:t>
      </w:r>
    </w:p>
    <w:p w:rsidR="003B7677" w:rsidRPr="003B7677" w:rsidP="003B7677" w14:paraId="3F10033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Indemnification Assignment - Security Agreement Sample </w:t>
      </w:r>
    </w:p>
    <w:p w:rsidR="003B7677" w:rsidRPr="003B7677" w:rsidP="003B7677" w14:paraId="3D81876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i/>
          <w:iCs/>
          <w:color w:val="000000"/>
          <w:sz w:val="24"/>
        </w:rPr>
      </w:pPr>
      <w:r w:rsidRPr="003B7677">
        <w:rPr>
          <w:rFonts w:ascii="Helvetica" w:hAnsi="Helvetica"/>
          <w:b/>
          <w:i/>
          <w:iCs/>
          <w:color w:val="000000"/>
          <w:sz w:val="24"/>
        </w:rPr>
        <w:t xml:space="preserve">Indemnification Assignment - UCCS </w:t>
      </w:r>
    </w:p>
    <w:p w:rsidR="003B7677" w:rsidRPr="003B7677" w:rsidP="003B7677" w14:paraId="7005BC6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720"/>
        <w:rPr>
          <w:rFonts w:ascii="Helvetica" w:hAnsi="Helvetica"/>
          <w:b/>
          <w:color w:val="000000"/>
          <w:sz w:val="24"/>
        </w:rPr>
      </w:pPr>
      <w:r w:rsidRPr="003B7677">
        <w:rPr>
          <w:rFonts w:ascii="Helvetica" w:hAnsi="Helvetica"/>
          <w:b/>
          <w:i/>
          <w:iCs/>
          <w:color w:val="000000"/>
          <w:sz w:val="24"/>
        </w:rPr>
        <w:t>Indemnification Lost Note (added)</w:t>
      </w:r>
    </w:p>
    <w:p w:rsidR="003B7677" w:rsidP="003B7677" w14:paraId="672A66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p>
    <w:p w:rsidR="009E118C" w:rsidRPr="00C879B4" w:rsidP="00FA2F70" w14:paraId="64FE077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FA2F70" w:rsidRPr="00C879B4" w:rsidP="00FA2F70" w14:paraId="0A37501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972"/>
      </w:tblGrid>
      <w:tr w14:paraId="362C9AC2" w14:textId="77777777" w:rsidTr="5C5E9201">
        <w:tblPrEx>
          <w:tblW w:w="0" w:type="auto"/>
          <w:tblInd w:w="108" w:type="dxa"/>
          <w:tblLook w:val="04A0"/>
        </w:tblPrEx>
        <w:tc>
          <w:tcPr>
            <w:tcW w:w="9360" w:type="dxa"/>
            <w:shd w:val="clear" w:color="auto" w:fill="auto"/>
          </w:tcPr>
          <w:p w:rsidR="00FA2F70" w:rsidP="099F0A36" w14:paraId="08E49CFB" w14:textId="246AFD09">
            <w:pPr>
              <w:spacing w:after="0" w:line="240" w:lineRule="auto"/>
              <w:rPr>
                <w:rFonts w:ascii="Times New Roman" w:hAnsi="Times New Roman"/>
                <w:b/>
                <w:bCs/>
                <w:color w:val="000000"/>
                <w:sz w:val="24"/>
                <w:szCs w:val="24"/>
              </w:rPr>
            </w:pPr>
            <w:r w:rsidRPr="099F0A36">
              <w:rPr>
                <w:rFonts w:ascii="Times New Roman" w:hAnsi="Times New Roman"/>
                <w:b/>
                <w:bCs/>
                <w:color w:val="000000" w:themeColor="text1"/>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99F0A36" w:rsidR="00ED22F4">
              <w:rPr>
                <w:rFonts w:ascii="Times New Roman" w:hAnsi="Times New Roman"/>
                <w:b/>
                <w:bCs/>
                <w:color w:val="000000" w:themeColor="text1"/>
                <w:sz w:val="24"/>
                <w:szCs w:val="24"/>
              </w:rPr>
              <w:t xml:space="preserve"> </w:t>
            </w:r>
            <w:r w:rsidRPr="099F0A36" w:rsidR="00A352F3">
              <w:rPr>
                <w:rFonts w:ascii="Times New Roman" w:hAnsi="Times New Roman"/>
                <w:b/>
                <w:bCs/>
                <w:color w:val="000000" w:themeColor="text1"/>
                <w:sz w:val="24"/>
                <w:szCs w:val="24"/>
              </w:rPr>
              <w:t>Include a statement regarding the changes for this submission. (Example:</w:t>
            </w:r>
            <w:r w:rsidRPr="099F0A36" w:rsidR="00ED22F4">
              <w:rPr>
                <w:rFonts w:ascii="Times New Roman" w:hAnsi="Times New Roman"/>
                <w:b/>
                <w:bCs/>
                <w:color w:val="000000" w:themeColor="text1"/>
                <w:sz w:val="24"/>
                <w:szCs w:val="24"/>
              </w:rPr>
              <w:t xml:space="preserve"> </w:t>
            </w:r>
            <w:r w:rsidRPr="099F0A36" w:rsidR="00A352F3">
              <w:rPr>
                <w:rFonts w:ascii="Times New Roman" w:hAnsi="Times New Roman"/>
                <w:b/>
                <w:bCs/>
                <w:color w:val="000000" w:themeColor="text1"/>
                <w:sz w:val="24"/>
                <w:szCs w:val="24"/>
              </w:rPr>
              <w:t xml:space="preserve">The changes for this submittal </w:t>
            </w:r>
            <w:r w:rsidRPr="099F0A36" w:rsidR="5854F9A1">
              <w:rPr>
                <w:rFonts w:ascii="Times New Roman" w:hAnsi="Times New Roman"/>
                <w:b/>
                <w:bCs/>
                <w:color w:val="000000" w:themeColor="text1"/>
                <w:sz w:val="24"/>
                <w:szCs w:val="24"/>
              </w:rPr>
              <w:t>are</w:t>
            </w:r>
            <w:r w:rsidRPr="099F0A36" w:rsidR="00A352F3">
              <w:rPr>
                <w:rFonts w:ascii="Times New Roman" w:hAnsi="Times New Roman"/>
                <w:b/>
                <w:bCs/>
                <w:color w:val="000000" w:themeColor="text1"/>
                <w:sz w:val="24"/>
                <w:szCs w:val="24"/>
              </w:rPr>
              <w:t xml:space="preserve"> as follows or the difference between this submission and the last is as follows....)</w:t>
            </w:r>
          </w:p>
          <w:p w:rsidR="003077DF" w:rsidRPr="00C879B4" w:rsidP="001B4FB5" w14:paraId="5DAB6C7B" w14:textId="77777777">
            <w:pPr>
              <w:spacing w:after="0" w:line="240" w:lineRule="auto"/>
              <w:rPr>
                <w:rFonts w:ascii="Times New Roman" w:hAnsi="Times New Roman"/>
                <w:b/>
                <w:color w:val="000000"/>
                <w:sz w:val="24"/>
                <w:szCs w:val="24"/>
              </w:rPr>
            </w:pPr>
          </w:p>
          <w:p w:rsidR="00FA2F70" w:rsidP="001B4FB5" w14:paraId="7293B3DA" w14:textId="0110E20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r>
              <w:rPr>
                <w:rFonts w:ascii="Times New Roman" w:hAnsi="Times New Roman"/>
                <w:color w:val="000000"/>
                <w:sz w:val="24"/>
              </w:rPr>
              <w:t>The regulations at 24 CFR 207.25</w:t>
            </w:r>
            <w:r w:rsidR="00772701">
              <w:rPr>
                <w:rFonts w:ascii="Times New Roman" w:hAnsi="Times New Roman"/>
                <w:color w:val="000000"/>
                <w:sz w:val="24"/>
              </w:rPr>
              <w:t xml:space="preserve">6, 207.256a, and </w:t>
            </w:r>
            <w:r>
              <w:rPr>
                <w:rFonts w:ascii="Times New Roman" w:hAnsi="Times New Roman"/>
                <w:color w:val="000000"/>
                <w:sz w:val="24"/>
              </w:rPr>
              <w:t xml:space="preserve">207.258 require a mortgagee to notify HUD when a mortgage payment is in default (more than 30 days past due), </w:t>
            </w:r>
            <w:r w:rsidR="00772701">
              <w:rPr>
                <w:rFonts w:ascii="Times New Roman" w:hAnsi="Times New Roman"/>
                <w:color w:val="000000"/>
                <w:sz w:val="24"/>
              </w:rPr>
              <w:t>when a mortgage</w:t>
            </w:r>
            <w:r w:rsidR="00ED22F4">
              <w:rPr>
                <w:rFonts w:ascii="Times New Roman" w:hAnsi="Times New Roman"/>
                <w:color w:val="000000"/>
                <w:sz w:val="24"/>
              </w:rPr>
              <w:t>e</w:t>
            </w:r>
            <w:r w:rsidR="00772701">
              <w:rPr>
                <w:rFonts w:ascii="Times New Roman" w:hAnsi="Times New Roman"/>
                <w:color w:val="000000"/>
                <w:sz w:val="24"/>
              </w:rPr>
              <w:t xml:space="preserve"> has reinstated</w:t>
            </w:r>
            <w:r w:rsidR="00ED22F4">
              <w:rPr>
                <w:rFonts w:ascii="Times New Roman" w:hAnsi="Times New Roman"/>
                <w:color w:val="000000"/>
                <w:sz w:val="24"/>
              </w:rPr>
              <w:t xml:space="preserve"> a loan</w:t>
            </w:r>
            <w:r w:rsidR="00772701">
              <w:rPr>
                <w:rFonts w:ascii="Times New Roman" w:hAnsi="Times New Roman"/>
                <w:color w:val="000000"/>
                <w:sz w:val="24"/>
              </w:rPr>
              <w:t xml:space="preserve">, </w:t>
            </w:r>
            <w:r>
              <w:rPr>
                <w:rFonts w:ascii="Times New Roman" w:hAnsi="Times New Roman"/>
                <w:color w:val="000000"/>
                <w:sz w:val="24"/>
              </w:rPr>
              <w:t>and to submit an election to assign a defaulted loan to HUD within a specified timeframe from the date of default.</w:t>
            </w:r>
            <w:r w:rsidR="00ED22F4">
              <w:rPr>
                <w:rFonts w:ascii="Times New Roman" w:hAnsi="Times New Roman"/>
                <w:color w:val="000000"/>
                <w:sz w:val="24"/>
              </w:rPr>
              <w:t xml:space="preserve"> </w:t>
            </w:r>
            <w:r>
              <w:rPr>
                <w:rFonts w:ascii="Times New Roman" w:hAnsi="Times New Roman"/>
                <w:color w:val="000000"/>
                <w:sz w:val="24"/>
              </w:rPr>
              <w:t>The regulation at 24 CFR 200</w:t>
            </w:r>
            <w:r w:rsidR="00602206">
              <w:rPr>
                <w:rFonts w:ascii="Times New Roman" w:hAnsi="Times New Roman"/>
                <w:color w:val="000000"/>
                <w:sz w:val="24"/>
              </w:rPr>
              <w:t>.120 and 200.121</w:t>
            </w:r>
            <w:r w:rsidR="00772701">
              <w:rPr>
                <w:rFonts w:ascii="Times New Roman" w:hAnsi="Times New Roman"/>
                <w:color w:val="000000"/>
                <w:sz w:val="24"/>
              </w:rPr>
              <w:t xml:space="preserve">, Subpart B, </w:t>
            </w:r>
            <w:r>
              <w:rPr>
                <w:rFonts w:ascii="Times New Roman" w:hAnsi="Times New Roman"/>
                <w:color w:val="000000"/>
                <w:sz w:val="24"/>
              </w:rPr>
              <w:t>requires lenders to submit delinquency, default, election to assign, and other related loan information statuses electronically to HUD.</w:t>
            </w:r>
            <w:r w:rsidR="00ED22F4">
              <w:rPr>
                <w:rFonts w:ascii="Times New Roman" w:hAnsi="Times New Roman"/>
                <w:color w:val="000000"/>
                <w:sz w:val="24"/>
              </w:rPr>
              <w:t xml:space="preserve"> </w:t>
            </w:r>
            <w:r>
              <w:rPr>
                <w:rFonts w:ascii="Times New Roman" w:hAnsi="Times New Roman"/>
                <w:color w:val="000000"/>
                <w:sz w:val="24"/>
              </w:rPr>
              <w:t>Lenders previously used HUD Form 92426 for these submissions, however, with the implementation of the regulation requiring electronic notification, the Multifamily Delinquency and Default Reporting System (MDDR) was established to replace the paper form HUD-92426.</w:t>
            </w:r>
            <w:r w:rsidR="00ED22F4">
              <w:rPr>
                <w:rFonts w:ascii="Times New Roman" w:hAnsi="Times New Roman"/>
                <w:color w:val="000000"/>
                <w:sz w:val="24"/>
              </w:rPr>
              <w:t xml:space="preserve"> </w:t>
            </w:r>
            <w:r w:rsidR="00077A88">
              <w:rPr>
                <w:rFonts w:ascii="Times New Roman" w:hAnsi="Times New Roman"/>
                <w:color w:val="000000"/>
                <w:sz w:val="24"/>
              </w:rPr>
              <w:t>Attached are copies of the regulations which govern the collection of this information.</w:t>
            </w:r>
          </w:p>
          <w:p w:rsidR="00077A88" w:rsidP="001B4FB5" w14:paraId="02EB378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p w:rsidR="00077A88" w:rsidP="001B4FB5" w14:paraId="6266BCA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r>
              <w:rPr>
                <w:rFonts w:ascii="Times New Roman" w:hAnsi="Times New Roman"/>
                <w:color w:val="000000"/>
                <w:sz w:val="24"/>
              </w:rPr>
              <w:t xml:space="preserve">The difference between this submission and the last submission is that the numbers for the respondents and responses more accurately reflect the actual numbers of approved mortgagees (respondents) for the multifamily insured loan portfolio that can potentially submit data to the MDDR system, and </w:t>
            </w:r>
            <w:r w:rsidR="0068086B">
              <w:rPr>
                <w:rFonts w:ascii="Times New Roman" w:hAnsi="Times New Roman"/>
                <w:color w:val="000000"/>
                <w:sz w:val="24"/>
              </w:rPr>
              <w:t xml:space="preserve">an average </w:t>
            </w:r>
            <w:r>
              <w:rPr>
                <w:rFonts w:ascii="Times New Roman" w:hAnsi="Times New Roman"/>
                <w:color w:val="000000"/>
                <w:sz w:val="24"/>
              </w:rPr>
              <w:t>number of submissions made during the last three fiscal years (responses).</w:t>
            </w:r>
          </w:p>
          <w:p w:rsidR="00077A88" w:rsidRPr="003077DF" w:rsidP="001B4FB5" w14:paraId="6A05A80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r w14:paraId="5A39BBE3" w14:textId="77777777" w:rsidTr="5C5E9201">
        <w:tblPrEx>
          <w:tblW w:w="0" w:type="auto"/>
          <w:tblInd w:w="108" w:type="dxa"/>
          <w:tblLook w:val="04A0"/>
        </w:tblPrEx>
        <w:tc>
          <w:tcPr>
            <w:tcW w:w="9360" w:type="dxa"/>
            <w:shd w:val="clear" w:color="auto" w:fill="auto"/>
          </w:tcPr>
          <w:p w:rsidR="00FA2F70" w:rsidRPr="00C879B4" w:rsidP="001B4FB5" w14:paraId="41C8F3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3A16C5BE" w14:textId="77777777" w:rsidTr="5C5E9201">
        <w:tblPrEx>
          <w:tblW w:w="0" w:type="auto"/>
          <w:tblInd w:w="108" w:type="dxa"/>
          <w:tblLook w:val="04A0"/>
        </w:tblPrEx>
        <w:tc>
          <w:tcPr>
            <w:tcW w:w="9360" w:type="dxa"/>
            <w:shd w:val="clear" w:color="auto" w:fill="auto"/>
          </w:tcPr>
          <w:p w:rsidR="00FA2F70" w:rsidRPr="00C879B4" w:rsidP="001B4FB5" w14:paraId="74F5498A"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C879B4" w:rsidP="001B4FB5" w14:paraId="72A3D3E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6B6EF632" w14:textId="77777777" w:rsidTr="5C5E9201">
        <w:tblPrEx>
          <w:tblW w:w="0" w:type="auto"/>
          <w:tblInd w:w="108" w:type="dxa"/>
          <w:tblLook w:val="04A0"/>
        </w:tblPrEx>
        <w:tc>
          <w:tcPr>
            <w:tcW w:w="9360" w:type="dxa"/>
            <w:shd w:val="clear" w:color="auto" w:fill="auto"/>
          </w:tcPr>
          <w:p w:rsidR="00FA2F70" w:rsidP="5C5E9201" w14:paraId="6C302B43" w14:textId="1F0CD9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60" w:line="240" w:lineRule="auto"/>
              <w:rPr>
                <w:rFonts w:ascii="Times New Roman" w:hAnsi="Times New Roman"/>
                <w:color w:val="000000" w:themeColor="text1"/>
                <w:sz w:val="24"/>
                <w:szCs w:val="24"/>
              </w:rPr>
            </w:pPr>
            <w:r w:rsidRPr="5C5E9201">
              <w:rPr>
                <w:rFonts w:ascii="Times New Roman" w:hAnsi="Times New Roman"/>
                <w:color w:val="000000" w:themeColor="text1"/>
                <w:sz w:val="24"/>
                <w:szCs w:val="24"/>
              </w:rPr>
              <w:t xml:space="preserve">A mortgagee </w:t>
            </w:r>
            <w:r w:rsidRPr="5C5E9201" w:rsidR="00344128">
              <w:rPr>
                <w:rFonts w:ascii="Times New Roman" w:hAnsi="Times New Roman"/>
                <w:color w:val="000000" w:themeColor="text1"/>
                <w:sz w:val="24"/>
                <w:szCs w:val="24"/>
              </w:rPr>
              <w:t xml:space="preserve">uses the MDDR system to </w:t>
            </w:r>
            <w:r w:rsidRPr="5C5E9201">
              <w:rPr>
                <w:rFonts w:ascii="Times New Roman" w:hAnsi="Times New Roman"/>
                <w:color w:val="000000" w:themeColor="text1"/>
                <w:sz w:val="24"/>
                <w:szCs w:val="24"/>
              </w:rPr>
              <w:t>submit a notice of fiscal delinquency when a mortgage payment is not made within 15 days from its due date (</w:t>
            </w:r>
            <w:r w:rsidRPr="5C5E9201" w:rsidR="00772701">
              <w:rPr>
                <w:rFonts w:ascii="Times New Roman" w:hAnsi="Times New Roman"/>
                <w:color w:val="000000" w:themeColor="text1"/>
                <w:sz w:val="24"/>
                <w:szCs w:val="24"/>
              </w:rPr>
              <w:t>from the due date stated in the promissory note</w:t>
            </w:r>
            <w:r w:rsidRPr="5C5E9201">
              <w:rPr>
                <w:rFonts w:ascii="Times New Roman" w:hAnsi="Times New Roman"/>
                <w:color w:val="000000" w:themeColor="text1"/>
                <w:sz w:val="24"/>
                <w:szCs w:val="24"/>
              </w:rPr>
              <w:t>).</w:t>
            </w:r>
            <w:r w:rsidRPr="5C5E9201" w:rsidR="00ED22F4">
              <w:rPr>
                <w:rFonts w:ascii="Times New Roman" w:hAnsi="Times New Roman"/>
                <w:color w:val="000000" w:themeColor="text1"/>
                <w:sz w:val="24"/>
                <w:szCs w:val="24"/>
              </w:rPr>
              <w:t xml:space="preserve"> </w:t>
            </w:r>
            <w:r w:rsidRPr="5C5E9201">
              <w:rPr>
                <w:rFonts w:ascii="Times New Roman" w:hAnsi="Times New Roman"/>
                <w:color w:val="000000" w:themeColor="text1"/>
                <w:sz w:val="24"/>
                <w:szCs w:val="24"/>
              </w:rPr>
              <w:t>If the non-payment continues for 30 days</w:t>
            </w:r>
            <w:r w:rsidRPr="5C5E9201" w:rsidR="00772701">
              <w:rPr>
                <w:rFonts w:ascii="Times New Roman" w:hAnsi="Times New Roman"/>
                <w:color w:val="000000" w:themeColor="text1"/>
                <w:sz w:val="24"/>
                <w:szCs w:val="24"/>
              </w:rPr>
              <w:t xml:space="preserve"> from its due date</w:t>
            </w:r>
            <w:r w:rsidRPr="5C5E9201">
              <w:rPr>
                <w:rFonts w:ascii="Times New Roman" w:hAnsi="Times New Roman"/>
                <w:color w:val="000000" w:themeColor="text1"/>
                <w:sz w:val="24"/>
                <w:szCs w:val="24"/>
              </w:rPr>
              <w:t xml:space="preserve">, the </w:t>
            </w:r>
            <w:r w:rsidRPr="5C5E9201" w:rsidR="00772701">
              <w:rPr>
                <w:rFonts w:ascii="Times New Roman" w:hAnsi="Times New Roman"/>
                <w:color w:val="000000" w:themeColor="text1"/>
                <w:sz w:val="24"/>
                <w:szCs w:val="24"/>
              </w:rPr>
              <w:t>mortgagee is entitled to receive the insurance benefits and the mor</w:t>
            </w:r>
            <w:r w:rsidRPr="5C5E9201">
              <w:rPr>
                <w:rFonts w:ascii="Times New Roman" w:hAnsi="Times New Roman"/>
                <w:color w:val="000000" w:themeColor="text1"/>
                <w:sz w:val="24"/>
                <w:szCs w:val="24"/>
              </w:rPr>
              <w:t xml:space="preserve">tgagee is required, </w:t>
            </w:r>
            <w:r w:rsidRPr="5C5E9201" w:rsidR="00772701">
              <w:rPr>
                <w:rFonts w:ascii="Times New Roman" w:hAnsi="Times New Roman"/>
                <w:color w:val="000000" w:themeColor="text1"/>
                <w:sz w:val="24"/>
                <w:szCs w:val="24"/>
              </w:rPr>
              <w:t>within 30 days thereafter to submit a notice of default.</w:t>
            </w:r>
            <w:r w:rsidRPr="5C5E9201" w:rsidR="00ED22F4">
              <w:rPr>
                <w:rFonts w:ascii="Times New Roman" w:hAnsi="Times New Roman"/>
                <w:color w:val="000000" w:themeColor="text1"/>
                <w:sz w:val="24"/>
                <w:szCs w:val="24"/>
              </w:rPr>
              <w:t xml:space="preserve"> </w:t>
            </w:r>
            <w:r w:rsidRPr="5C5E9201">
              <w:rPr>
                <w:rFonts w:ascii="Times New Roman" w:hAnsi="Times New Roman"/>
                <w:color w:val="000000" w:themeColor="text1"/>
                <w:sz w:val="24"/>
                <w:szCs w:val="24"/>
              </w:rPr>
              <w:t>During this time, if the mortgagor remits payment to fully cure the defaulted amount, the mortgagee will then submit a reinstatement of the loan</w:t>
            </w:r>
            <w:r w:rsidRPr="5C5E9201" w:rsidR="00344128">
              <w:rPr>
                <w:rFonts w:ascii="Times New Roman" w:hAnsi="Times New Roman"/>
                <w:color w:val="000000" w:themeColor="text1"/>
                <w:sz w:val="24"/>
                <w:szCs w:val="24"/>
              </w:rPr>
              <w:t>, or if sufficient funds are remitted for one month’s payment, the mortgagee will submit a default update and roll the date of default forward by one month</w:t>
            </w:r>
            <w:r w:rsidRPr="5C5E9201">
              <w:rPr>
                <w:rFonts w:ascii="Times New Roman" w:hAnsi="Times New Roman"/>
                <w:color w:val="000000" w:themeColor="text1"/>
                <w:sz w:val="24"/>
                <w:szCs w:val="24"/>
              </w:rPr>
              <w:t>.</w:t>
            </w:r>
            <w:r w:rsidRPr="5C5E9201" w:rsidR="00ED22F4">
              <w:rPr>
                <w:rFonts w:ascii="Times New Roman" w:hAnsi="Times New Roman"/>
                <w:color w:val="000000" w:themeColor="text1"/>
                <w:sz w:val="24"/>
                <w:szCs w:val="24"/>
              </w:rPr>
              <w:t xml:space="preserve"> </w:t>
            </w:r>
            <w:r w:rsidRPr="5C5E9201">
              <w:rPr>
                <w:rFonts w:ascii="Times New Roman" w:hAnsi="Times New Roman"/>
                <w:color w:val="000000" w:themeColor="text1"/>
                <w:sz w:val="24"/>
                <w:szCs w:val="24"/>
              </w:rPr>
              <w:t xml:space="preserve">If, however, the loan is not reinstated, </w:t>
            </w:r>
            <w:r w:rsidRPr="5C5E9201" w:rsidR="00772701">
              <w:rPr>
                <w:rFonts w:ascii="Times New Roman" w:hAnsi="Times New Roman"/>
                <w:color w:val="000000" w:themeColor="text1"/>
                <w:sz w:val="24"/>
                <w:szCs w:val="24"/>
              </w:rPr>
              <w:t>in order to submit an application for insurance benefits, t</w:t>
            </w:r>
            <w:r w:rsidRPr="5C5E9201">
              <w:rPr>
                <w:rFonts w:ascii="Times New Roman" w:hAnsi="Times New Roman"/>
                <w:color w:val="000000" w:themeColor="text1"/>
                <w:sz w:val="24"/>
                <w:szCs w:val="24"/>
              </w:rPr>
              <w:t>he mortgagee must elect to assign the defaulted loan to HUD by the 75</w:t>
            </w:r>
            <w:r w:rsidRPr="5C5E9201">
              <w:rPr>
                <w:rFonts w:ascii="Times New Roman" w:hAnsi="Times New Roman"/>
                <w:color w:val="000000" w:themeColor="text1"/>
                <w:sz w:val="24"/>
                <w:szCs w:val="24"/>
                <w:vertAlign w:val="superscript"/>
              </w:rPr>
              <w:t>th</w:t>
            </w:r>
            <w:r w:rsidRPr="5C5E9201">
              <w:rPr>
                <w:rFonts w:ascii="Times New Roman" w:hAnsi="Times New Roman"/>
                <w:color w:val="000000" w:themeColor="text1"/>
                <w:sz w:val="24"/>
                <w:szCs w:val="24"/>
              </w:rPr>
              <w:t xml:space="preserve"> day from the date of default </w:t>
            </w:r>
            <w:r w:rsidRPr="5C5E9201" w:rsidR="00772701">
              <w:rPr>
                <w:rFonts w:ascii="Times New Roman" w:hAnsi="Times New Roman"/>
                <w:color w:val="000000" w:themeColor="text1"/>
                <w:sz w:val="24"/>
                <w:szCs w:val="24"/>
              </w:rPr>
              <w:t xml:space="preserve">unless the mortgage is funded with the proceeds of </w:t>
            </w:r>
            <w:r w:rsidRPr="5C5E9201" w:rsidR="00ED22F4">
              <w:rPr>
                <w:rFonts w:ascii="Times New Roman" w:hAnsi="Times New Roman"/>
                <w:color w:val="000000" w:themeColor="text1"/>
                <w:sz w:val="24"/>
                <w:szCs w:val="24"/>
              </w:rPr>
              <w:t>bonds or</w:t>
            </w:r>
            <w:r w:rsidRPr="5C5E9201" w:rsidR="00772701">
              <w:rPr>
                <w:rFonts w:ascii="Times New Roman" w:hAnsi="Times New Roman"/>
                <w:color w:val="000000" w:themeColor="text1"/>
                <w:sz w:val="24"/>
                <w:szCs w:val="24"/>
              </w:rPr>
              <w:t xml:space="preserve"> is insured under Section 232 of the National Housing Act.</w:t>
            </w:r>
            <w:r w:rsidRPr="5C5E9201" w:rsidR="00ED22F4">
              <w:rPr>
                <w:rFonts w:ascii="Times New Roman" w:hAnsi="Times New Roman"/>
                <w:color w:val="000000" w:themeColor="text1"/>
                <w:sz w:val="24"/>
                <w:szCs w:val="24"/>
              </w:rPr>
              <w:t xml:space="preserve"> </w:t>
            </w:r>
            <w:r w:rsidRPr="5C5E9201" w:rsidR="00772701">
              <w:rPr>
                <w:rFonts w:ascii="Times New Roman" w:hAnsi="Times New Roman"/>
                <w:color w:val="000000" w:themeColor="text1"/>
                <w:sz w:val="24"/>
                <w:szCs w:val="24"/>
              </w:rPr>
              <w:t>If the mortgage is funded with the proceeds of bonds or is insured under Section 232 of the National Housing Act, the mortgagee must request a 90-day extension of the deadline for filing the notice of election to assign (see 24 CFR 207.258(a)(2)).</w:t>
            </w:r>
            <w:r w:rsidRPr="5C5E9201" w:rsidR="00ED22F4">
              <w:rPr>
                <w:rFonts w:ascii="Times New Roman" w:hAnsi="Times New Roman"/>
                <w:color w:val="000000" w:themeColor="text1"/>
                <w:sz w:val="24"/>
                <w:szCs w:val="24"/>
              </w:rPr>
              <w:t xml:space="preserve"> </w:t>
            </w:r>
            <w:r w:rsidRPr="5C5E9201" w:rsidR="00344128">
              <w:rPr>
                <w:rFonts w:ascii="Times New Roman" w:hAnsi="Times New Roman"/>
                <w:color w:val="000000" w:themeColor="text1"/>
                <w:sz w:val="24"/>
                <w:szCs w:val="24"/>
              </w:rPr>
              <w:t>A defaulted loan may not go more than the 75-day period</w:t>
            </w:r>
            <w:r w:rsidRPr="5C5E9201" w:rsidR="00772701">
              <w:rPr>
                <w:rFonts w:ascii="Times New Roman" w:hAnsi="Times New Roman"/>
                <w:color w:val="000000" w:themeColor="text1"/>
                <w:sz w:val="24"/>
                <w:szCs w:val="24"/>
              </w:rPr>
              <w:t>, or 90-day period, as applicable,</w:t>
            </w:r>
            <w:r w:rsidRPr="5C5E9201" w:rsidR="00344128">
              <w:rPr>
                <w:rFonts w:ascii="Times New Roman" w:hAnsi="Times New Roman"/>
                <w:color w:val="000000" w:themeColor="text1"/>
                <w:sz w:val="24"/>
                <w:szCs w:val="24"/>
              </w:rPr>
              <w:t xml:space="preserve"> without an election to assign or an approved extension request.</w:t>
            </w:r>
            <w:r w:rsidRPr="5C5E9201" w:rsidR="00ED22F4">
              <w:rPr>
                <w:rFonts w:ascii="Times New Roman" w:hAnsi="Times New Roman"/>
                <w:color w:val="000000" w:themeColor="text1"/>
                <w:sz w:val="24"/>
                <w:szCs w:val="24"/>
              </w:rPr>
              <w:t xml:space="preserve"> </w:t>
            </w:r>
            <w:r w:rsidRPr="5C5E9201">
              <w:rPr>
                <w:rFonts w:ascii="Times New Roman" w:hAnsi="Times New Roman"/>
                <w:color w:val="000000" w:themeColor="text1"/>
                <w:sz w:val="24"/>
                <w:szCs w:val="24"/>
              </w:rPr>
              <w:t>A mortgagee may also request an extension of the time to elect to assign a defaulted loan to HUD, providing supporting justification for the extension request, for the HUD field office to review and approve.</w:t>
            </w:r>
            <w:r w:rsidRPr="5C5E9201" w:rsidR="00ED22F4">
              <w:rPr>
                <w:rFonts w:ascii="Times New Roman" w:hAnsi="Times New Roman"/>
                <w:color w:val="000000" w:themeColor="text1"/>
                <w:sz w:val="24"/>
                <w:szCs w:val="24"/>
              </w:rPr>
              <w:t xml:space="preserve"> </w:t>
            </w:r>
          </w:p>
          <w:p w:rsidR="419A6ABC" w:rsidRPr="00202915" w:rsidP="00593CC4" w14:paraId="5D34B567" w14:textId="65532828">
            <w:pPr>
              <w:pStyle w:val="Default"/>
              <w:rPr>
                <w:rFonts w:ascii="Times New Roman" w:hAnsi="Times New Roman"/>
                <w:color w:val="000000" w:themeColor="text1"/>
              </w:rPr>
            </w:pPr>
            <w:r w:rsidRPr="5C5E9201">
              <w:rPr>
                <w:rFonts w:ascii="Times New Roman" w:hAnsi="Times New Roman"/>
                <w:color w:val="000000" w:themeColor="text1"/>
              </w:rPr>
              <w:t xml:space="preserve">A mortgagee uses the MDDR system to submit a notice of </w:t>
            </w:r>
            <w:r w:rsidRPr="5C5E9201" w:rsidR="2326112E">
              <w:rPr>
                <w:rFonts w:ascii="Times New Roman" w:hAnsi="Times New Roman"/>
                <w:color w:val="000000" w:themeColor="text1"/>
              </w:rPr>
              <w:t>election to assign the defaulted loan to HUD. The assignment</w:t>
            </w:r>
            <w:r w:rsidRPr="5C5E9201" w:rsidR="23AA4350">
              <w:rPr>
                <w:rFonts w:ascii="Times New Roman" w:hAnsi="Times New Roman"/>
                <w:color w:val="000000" w:themeColor="text1"/>
              </w:rPr>
              <w:t xml:space="preserve">, when accepted, requires a package of documents to be prepared and </w:t>
            </w:r>
            <w:r w:rsidRPr="5C5E9201" w:rsidR="3B3B04B6">
              <w:rPr>
                <w:rFonts w:ascii="Times New Roman" w:hAnsi="Times New Roman"/>
                <w:color w:val="000000" w:themeColor="text1"/>
              </w:rPr>
              <w:t>submitted at or before closing the assignment</w:t>
            </w:r>
            <w:r w:rsidR="00202915">
              <w:rPr>
                <w:rFonts w:ascii="Times New Roman" w:hAnsi="Times New Roman"/>
                <w:color w:val="000000" w:themeColor="text1"/>
              </w:rPr>
              <w:t xml:space="preserve"> (see 24 CFR 207.258(b)).</w:t>
            </w:r>
            <w:r w:rsidR="00EC0BDB">
              <w:rPr>
                <w:rFonts w:ascii="Times New Roman" w:hAnsi="Times New Roman"/>
                <w:color w:val="000000" w:themeColor="text1"/>
              </w:rPr>
              <w:t xml:space="preserve"> </w:t>
            </w:r>
            <w:r w:rsidR="00202915">
              <w:rPr>
                <w:rFonts w:ascii="Times New Roman" w:hAnsi="Times New Roman"/>
                <w:color w:val="000000" w:themeColor="text1"/>
              </w:rPr>
              <w:t xml:space="preserve">MDDR includes a link to HUD Form 2510- </w:t>
            </w:r>
            <w:r w:rsidRPr="00593CC4" w:rsidR="00202915">
              <w:rPr>
                <w:rFonts w:ascii="Times New Roman" w:hAnsi="Times New Roman"/>
                <w:color w:val="000000" w:themeColor="text1"/>
              </w:rPr>
              <w:t>The Legal Instructions Concerning Applications for Full Insurance Benefits-Assignment of Multifamily and Healthcare Mortgages to the Secretary (the “Legal Instructions”) (OMB Approval No. 2510-0006 (Exp. 10/31/2025)</w:t>
            </w:r>
            <w:r w:rsidR="00202915">
              <w:rPr>
                <w:rFonts w:ascii="Times New Roman" w:hAnsi="Times New Roman"/>
                <w:color w:val="000000" w:themeColor="text1"/>
              </w:rPr>
              <w:t xml:space="preserve">). The Legal Instructions specifies the legal documents that mortgagees must submit in connection with applications for insurance benefits. </w:t>
            </w:r>
            <w:r w:rsidRPr="00593CC4" w:rsidR="00202915">
              <w:rPr>
                <w:rFonts w:ascii="Times New Roman" w:hAnsi="Times New Roman"/>
                <w:color w:val="000000" w:themeColor="text1"/>
              </w:rPr>
              <w:t xml:space="preserve"> </w:t>
            </w:r>
            <w:r w:rsidR="008E735E">
              <w:rPr>
                <w:rFonts w:ascii="Times New Roman" w:hAnsi="Times New Roman"/>
                <w:color w:val="000000" w:themeColor="text1"/>
              </w:rPr>
              <w:t xml:space="preserve">For the mortgagee’s convenience, </w:t>
            </w:r>
            <w:r w:rsidR="00202915">
              <w:rPr>
                <w:rFonts w:ascii="Times New Roman" w:hAnsi="Times New Roman"/>
                <w:color w:val="000000" w:themeColor="text1"/>
              </w:rPr>
              <w:t>MDDR includes</w:t>
            </w:r>
            <w:r w:rsidR="008E735E">
              <w:rPr>
                <w:rFonts w:ascii="Times New Roman" w:hAnsi="Times New Roman"/>
                <w:color w:val="000000" w:themeColor="text1"/>
              </w:rPr>
              <w:t xml:space="preserve"> samples for the following documents </w:t>
            </w:r>
            <w:r w:rsidR="00202915">
              <w:rPr>
                <w:rFonts w:ascii="Times New Roman" w:hAnsi="Times New Roman"/>
                <w:color w:val="000000" w:themeColor="text1"/>
              </w:rPr>
              <w:t>required under the approved Legal Instructions</w:t>
            </w:r>
            <w:r w:rsidRPr="5C5E9201" w:rsidR="3B3B04B6">
              <w:rPr>
                <w:rFonts w:ascii="Times New Roman" w:hAnsi="Times New Roman"/>
                <w:color w:val="000000" w:themeColor="text1"/>
              </w:rPr>
              <w:t>:</w:t>
            </w:r>
            <w:r w:rsidRPr="5C5E9201" w:rsidR="16BE6B00">
              <w:rPr>
                <w:rFonts w:ascii="Times New Roman" w:hAnsi="Times New Roman"/>
                <w:color w:val="000000" w:themeColor="text1"/>
              </w:rPr>
              <w:t xml:space="preserve"> </w:t>
            </w:r>
            <w:r w:rsidRPr="5C5E9201" w:rsidR="0C8F7AF2">
              <w:rPr>
                <w:rFonts w:ascii="Times New Roman" w:hAnsi="Times New Roman"/>
                <w:color w:val="000000" w:themeColor="text1"/>
              </w:rPr>
              <w:t>Assignment of Mortgage (all states except Louisiana)</w:t>
            </w:r>
            <w:r w:rsidRPr="5C5E9201" w:rsidR="3901F271">
              <w:rPr>
                <w:rFonts w:ascii="Times New Roman" w:hAnsi="Times New Roman"/>
                <w:color w:val="000000" w:themeColor="text1"/>
              </w:rPr>
              <w:t>,</w:t>
            </w:r>
            <w:r w:rsidR="00EC0BDB">
              <w:rPr>
                <w:rFonts w:ascii="Times New Roman" w:hAnsi="Times New Roman"/>
                <w:color w:val="000000" w:themeColor="text1"/>
              </w:rPr>
              <w:t xml:space="preserve"> </w:t>
            </w:r>
            <w:r w:rsidRPr="00EC0BDB" w:rsidR="00EC0BDB">
              <w:rPr>
                <w:rFonts w:ascii="Times New Roman" w:hAnsi="Times New Roman"/>
                <w:color w:val="000000" w:themeColor="text1"/>
              </w:rPr>
              <w:t>Assignment of Mortgagee (for Louisiana)</w:t>
            </w:r>
            <w:r w:rsidR="00EC0BDB">
              <w:rPr>
                <w:rFonts w:ascii="Times New Roman" w:hAnsi="Times New Roman"/>
                <w:color w:val="000000" w:themeColor="text1"/>
              </w:rPr>
              <w:t>,</w:t>
            </w:r>
            <w:r w:rsidRPr="5C5E9201" w:rsidR="3901F271">
              <w:rPr>
                <w:rFonts w:ascii="Times New Roman" w:hAnsi="Times New Roman"/>
                <w:color w:val="000000" w:themeColor="text1"/>
              </w:rPr>
              <w:t xml:space="preserve"> </w:t>
            </w:r>
            <w:r w:rsidR="00071FEA">
              <w:rPr>
                <w:rFonts w:ascii="Times New Roman" w:hAnsi="Times New Roman"/>
                <w:color w:val="000000" w:themeColor="text1"/>
              </w:rPr>
              <w:t xml:space="preserve">Affidavit of Lost Note, </w:t>
            </w:r>
            <w:r w:rsidRPr="5C5E9201" w:rsidR="0C8F7AF2">
              <w:rPr>
                <w:rFonts w:ascii="Times New Roman" w:hAnsi="Times New Roman"/>
                <w:color w:val="000000" w:themeColor="text1"/>
              </w:rPr>
              <w:t xml:space="preserve">Allonge </w:t>
            </w:r>
            <w:r w:rsidRPr="5C5E9201" w:rsidR="320DC647">
              <w:rPr>
                <w:rFonts w:ascii="Times New Roman" w:hAnsi="Times New Roman"/>
                <w:color w:val="000000" w:themeColor="text1"/>
              </w:rPr>
              <w:t>to Note</w:t>
            </w:r>
            <w:r w:rsidRPr="5C5E9201" w:rsidR="3E3706D1">
              <w:rPr>
                <w:rFonts w:ascii="Times New Roman" w:hAnsi="Times New Roman"/>
                <w:color w:val="000000" w:themeColor="text1"/>
              </w:rPr>
              <w:t>,</w:t>
            </w:r>
            <w:r w:rsidRPr="5C5E9201" w:rsidR="0C8F7AF2">
              <w:rPr>
                <w:rFonts w:ascii="Times New Roman" w:hAnsi="Times New Roman"/>
                <w:color w:val="000000" w:themeColor="text1"/>
              </w:rPr>
              <w:t xml:space="preserve"> </w:t>
            </w:r>
            <w:r w:rsidRPr="5C5E9201" w:rsidR="4C4778FB">
              <w:rPr>
                <w:rFonts w:ascii="Times New Roman" w:hAnsi="Times New Roman"/>
                <w:color w:val="000000" w:themeColor="text1"/>
              </w:rPr>
              <w:t>A</w:t>
            </w:r>
            <w:r w:rsidRPr="5C5E9201" w:rsidR="0C8F7AF2">
              <w:rPr>
                <w:rFonts w:ascii="Times New Roman" w:hAnsi="Times New Roman"/>
                <w:color w:val="000000" w:themeColor="text1"/>
              </w:rPr>
              <w:t>ssignment Of Building Loan Agreement</w:t>
            </w:r>
            <w:r w:rsidRPr="5C5E9201" w:rsidR="4337F149">
              <w:rPr>
                <w:rFonts w:ascii="Times New Roman" w:hAnsi="Times New Roman"/>
                <w:color w:val="000000" w:themeColor="text1"/>
              </w:rPr>
              <w:t xml:space="preserve">, </w:t>
            </w:r>
            <w:r w:rsidRPr="5C5E9201" w:rsidR="0C8F7AF2">
              <w:rPr>
                <w:rFonts w:ascii="Times New Roman" w:hAnsi="Times New Roman"/>
                <w:color w:val="000000" w:themeColor="text1"/>
              </w:rPr>
              <w:t>Assignment Of Hazard Insurance Policy</w:t>
            </w:r>
            <w:r w:rsidRPr="5C5E9201" w:rsidR="3B1C592E">
              <w:rPr>
                <w:rFonts w:ascii="Times New Roman" w:hAnsi="Times New Roman"/>
                <w:color w:val="000000" w:themeColor="text1"/>
              </w:rPr>
              <w:t xml:space="preserve">, </w:t>
            </w:r>
            <w:r w:rsidRPr="5C5E9201" w:rsidR="0C8F7AF2">
              <w:rPr>
                <w:rFonts w:ascii="Times New Roman" w:hAnsi="Times New Roman"/>
                <w:color w:val="000000" w:themeColor="text1"/>
              </w:rPr>
              <w:t>Assignment Of [Security Agreement] [Chattel Mortgage]</w:t>
            </w:r>
            <w:r w:rsidRPr="5C5E9201" w:rsidR="50051E11">
              <w:rPr>
                <w:rFonts w:ascii="Times New Roman" w:hAnsi="Times New Roman"/>
                <w:color w:val="000000" w:themeColor="text1"/>
              </w:rPr>
              <w:t>,</w:t>
            </w:r>
            <w:r w:rsidRPr="5C5E9201" w:rsidR="0C8F7AF2">
              <w:rPr>
                <w:rFonts w:ascii="Times New Roman" w:hAnsi="Times New Roman"/>
                <w:color w:val="000000" w:themeColor="text1"/>
              </w:rPr>
              <w:t xml:space="preserve"> Assignment Of Performance Bond</w:t>
            </w:r>
            <w:r w:rsidR="00071FEA">
              <w:rPr>
                <w:rFonts w:ascii="Times New Roman" w:hAnsi="Times New Roman"/>
                <w:color w:val="000000" w:themeColor="text1"/>
              </w:rPr>
              <w:t xml:space="preserve">-Dual </w:t>
            </w:r>
            <w:r w:rsidR="00071FEA">
              <w:rPr>
                <w:rFonts w:ascii="Times New Roman" w:hAnsi="Times New Roman"/>
                <w:color w:val="000000" w:themeColor="text1"/>
              </w:rPr>
              <w:t>Obligee</w:t>
            </w:r>
            <w:r w:rsidRPr="5C5E9201" w:rsidR="6D7843B9">
              <w:rPr>
                <w:rFonts w:ascii="Times New Roman" w:hAnsi="Times New Roman"/>
                <w:color w:val="000000" w:themeColor="text1"/>
              </w:rPr>
              <w:t xml:space="preserve">, </w:t>
            </w:r>
            <w:r w:rsidRPr="5C5E9201" w:rsidR="0C8F7AF2">
              <w:rPr>
                <w:rFonts w:ascii="Times New Roman" w:hAnsi="Times New Roman"/>
                <w:color w:val="000000" w:themeColor="text1"/>
              </w:rPr>
              <w:t>Indemnification Assignment Note</w:t>
            </w:r>
            <w:r w:rsidRPr="5C5E9201" w:rsidR="5AF69C8C">
              <w:rPr>
                <w:rFonts w:ascii="Times New Roman" w:hAnsi="Times New Roman"/>
                <w:color w:val="000000" w:themeColor="text1"/>
              </w:rPr>
              <w:t xml:space="preserve">, </w:t>
            </w:r>
            <w:r w:rsidRPr="5C5E9201" w:rsidR="0C8F7AF2">
              <w:rPr>
                <w:rFonts w:ascii="Times New Roman" w:hAnsi="Times New Roman"/>
                <w:color w:val="000000" w:themeColor="text1"/>
              </w:rPr>
              <w:t>Indemnification Assignment - Deed of Trust or Mortgage</w:t>
            </w:r>
            <w:r w:rsidRPr="5C5E9201" w:rsidR="14FB302F">
              <w:rPr>
                <w:rFonts w:ascii="Times New Roman" w:hAnsi="Times New Roman"/>
                <w:color w:val="000000" w:themeColor="text1"/>
              </w:rPr>
              <w:t>,</w:t>
            </w:r>
            <w:r w:rsidRPr="5C5E9201" w:rsidR="0C8F7AF2">
              <w:rPr>
                <w:rFonts w:ascii="Times New Roman" w:hAnsi="Times New Roman"/>
                <w:color w:val="000000" w:themeColor="text1"/>
              </w:rPr>
              <w:t xml:space="preserve"> Indemnification Assignment - Security Agreement</w:t>
            </w:r>
            <w:r w:rsidRPr="5C5E9201" w:rsidR="0FFA8001">
              <w:rPr>
                <w:rFonts w:ascii="Times New Roman" w:hAnsi="Times New Roman"/>
                <w:color w:val="000000" w:themeColor="text1"/>
              </w:rPr>
              <w:t xml:space="preserve">, </w:t>
            </w:r>
            <w:r w:rsidRPr="5C5E9201" w:rsidR="0C8F7AF2">
              <w:rPr>
                <w:rFonts w:ascii="Times New Roman" w:hAnsi="Times New Roman"/>
                <w:color w:val="000000" w:themeColor="text1"/>
              </w:rPr>
              <w:t>Indemnification Assignment</w:t>
            </w:r>
            <w:r w:rsidRPr="5C5E9201" w:rsidR="7686D6A0">
              <w:rPr>
                <w:rFonts w:ascii="Times New Roman" w:hAnsi="Times New Roman"/>
                <w:color w:val="000000" w:themeColor="text1"/>
              </w:rPr>
              <w:t xml:space="preserve"> – </w:t>
            </w:r>
            <w:r w:rsidRPr="5C5E9201" w:rsidR="0C8F7AF2">
              <w:rPr>
                <w:rFonts w:ascii="Times New Roman" w:hAnsi="Times New Roman"/>
                <w:color w:val="000000" w:themeColor="text1"/>
              </w:rPr>
              <w:t>UCCS</w:t>
            </w:r>
            <w:r w:rsidRPr="5C5E9201" w:rsidR="7686D6A0">
              <w:rPr>
                <w:rFonts w:ascii="Times New Roman" w:hAnsi="Times New Roman"/>
                <w:color w:val="000000" w:themeColor="text1"/>
              </w:rPr>
              <w:t>, a</w:t>
            </w:r>
            <w:r w:rsidRPr="5C5E9201" w:rsidR="0DB0A1D6">
              <w:rPr>
                <w:rFonts w:ascii="Times New Roman" w:hAnsi="Times New Roman"/>
                <w:color w:val="000000" w:themeColor="text1"/>
              </w:rPr>
              <w:t>n</w:t>
            </w:r>
            <w:r w:rsidRPr="5C5E9201" w:rsidR="7686D6A0">
              <w:rPr>
                <w:rFonts w:ascii="Times New Roman" w:hAnsi="Times New Roman"/>
                <w:color w:val="000000" w:themeColor="text1"/>
              </w:rPr>
              <w:t xml:space="preserve">d </w:t>
            </w:r>
            <w:r w:rsidRPr="5C5E9201" w:rsidR="0C8F7AF2">
              <w:rPr>
                <w:rFonts w:ascii="Times New Roman" w:hAnsi="Times New Roman"/>
                <w:color w:val="000000" w:themeColor="text1"/>
              </w:rPr>
              <w:t>Indemnification Lost Note</w:t>
            </w:r>
            <w:r w:rsidRPr="5C5E9201" w:rsidR="263AC4A9">
              <w:rPr>
                <w:rFonts w:ascii="Times New Roman" w:hAnsi="Times New Roman"/>
                <w:color w:val="000000" w:themeColor="text1"/>
              </w:rPr>
              <w:t>.</w:t>
            </w:r>
            <w:r w:rsidRPr="5C5E9201" w:rsidR="5B2E220E">
              <w:rPr>
                <w:rFonts w:ascii="Times New Roman" w:hAnsi="Times New Roman"/>
                <w:color w:val="000000" w:themeColor="text1"/>
              </w:rPr>
              <w:t xml:space="preserve"> </w:t>
            </w:r>
            <w:r w:rsidR="0086168D">
              <w:rPr>
                <w:rFonts w:ascii="Times New Roman" w:hAnsi="Times New Roman"/>
                <w:color w:val="000000" w:themeColor="text1"/>
              </w:rPr>
              <w:t>Mortgagee’s counsel may use these sample</w:t>
            </w:r>
            <w:r w:rsidR="00E13961">
              <w:rPr>
                <w:rFonts w:ascii="Times New Roman" w:hAnsi="Times New Roman"/>
                <w:color w:val="000000" w:themeColor="text1"/>
              </w:rPr>
              <w:t xml:space="preserve"> documents in preparing the legal documents. </w:t>
            </w:r>
            <w:r w:rsidRPr="5C5E9201" w:rsidR="5B2E220E">
              <w:rPr>
                <w:rFonts w:ascii="Times New Roman" w:hAnsi="Times New Roman"/>
                <w:color w:val="000000" w:themeColor="text1"/>
              </w:rPr>
              <w:t xml:space="preserve">Mortgagees must also </w:t>
            </w:r>
            <w:r w:rsidRPr="5C5E9201" w:rsidR="22153497">
              <w:rPr>
                <w:rFonts w:ascii="Times New Roman" w:hAnsi="Times New Roman"/>
                <w:color w:val="000000" w:themeColor="text1"/>
              </w:rPr>
              <w:t xml:space="preserve">prepare </w:t>
            </w:r>
            <w:r w:rsidRPr="5C5E9201" w:rsidR="5B2E220E">
              <w:rPr>
                <w:rFonts w:ascii="Times New Roman" w:hAnsi="Times New Roman"/>
                <w:color w:val="000000" w:themeColor="text1"/>
              </w:rPr>
              <w:t xml:space="preserve">three </w:t>
            </w:r>
            <w:r w:rsidRPr="5C5E9201" w:rsidR="7B8542ED">
              <w:rPr>
                <w:rFonts w:ascii="Times New Roman" w:hAnsi="Times New Roman"/>
                <w:color w:val="000000" w:themeColor="text1"/>
              </w:rPr>
              <w:t xml:space="preserve">HUD </w:t>
            </w:r>
            <w:r w:rsidRPr="5C5E9201" w:rsidR="5B2E220E">
              <w:rPr>
                <w:rFonts w:ascii="Times New Roman" w:hAnsi="Times New Roman"/>
                <w:color w:val="000000" w:themeColor="text1"/>
              </w:rPr>
              <w:t>forms</w:t>
            </w:r>
            <w:r w:rsidRPr="5C5E9201" w:rsidR="62A738B3">
              <w:rPr>
                <w:rFonts w:ascii="Times New Roman" w:hAnsi="Times New Roman"/>
                <w:color w:val="000000" w:themeColor="text1"/>
              </w:rPr>
              <w:t>:</w:t>
            </w:r>
            <w:r w:rsidRPr="5C5E9201" w:rsidR="5B2E220E">
              <w:rPr>
                <w:rFonts w:ascii="Times New Roman" w:hAnsi="Times New Roman"/>
                <w:color w:val="000000" w:themeColor="text1"/>
              </w:rPr>
              <w:t xml:space="preserve"> HUD-1044-D</w:t>
            </w:r>
            <w:r w:rsidRPr="5C5E9201" w:rsidR="5AD7B586">
              <w:rPr>
                <w:rFonts w:ascii="Times New Roman" w:hAnsi="Times New Roman"/>
                <w:color w:val="000000" w:themeColor="text1"/>
              </w:rPr>
              <w:t xml:space="preserve">, </w:t>
            </w:r>
            <w:r w:rsidRPr="5C5E9201" w:rsidR="5B2E220E">
              <w:rPr>
                <w:rFonts w:ascii="Times New Roman" w:hAnsi="Times New Roman"/>
                <w:color w:val="000000" w:themeColor="text1"/>
              </w:rPr>
              <w:t>HUD-2537</w:t>
            </w:r>
            <w:r w:rsidRPr="5C5E9201" w:rsidR="252A19AB">
              <w:rPr>
                <w:rFonts w:ascii="Times New Roman" w:hAnsi="Times New Roman"/>
                <w:color w:val="000000" w:themeColor="text1"/>
              </w:rPr>
              <w:t xml:space="preserve">, </w:t>
            </w:r>
            <w:r w:rsidRPr="5C5E9201" w:rsidR="5B2E220E">
              <w:rPr>
                <w:rFonts w:ascii="Times New Roman" w:hAnsi="Times New Roman"/>
                <w:color w:val="000000" w:themeColor="text1"/>
              </w:rPr>
              <w:t>HUD-2747</w:t>
            </w:r>
            <w:r w:rsidRPr="5C5E9201" w:rsidR="65CDC6CC">
              <w:rPr>
                <w:rFonts w:ascii="Times New Roman" w:hAnsi="Times New Roman"/>
                <w:color w:val="000000" w:themeColor="text1"/>
              </w:rPr>
              <w:t>, which are administered under other OMB approvals</w:t>
            </w:r>
            <w:r w:rsidRPr="5C5E9201" w:rsidR="0AFA6C39">
              <w:rPr>
                <w:rFonts w:ascii="Times New Roman" w:hAnsi="Times New Roman"/>
                <w:color w:val="000000" w:themeColor="text1"/>
              </w:rPr>
              <w:t>.</w:t>
            </w:r>
          </w:p>
          <w:p w:rsidR="0068086B" w:rsidP="5C5E9201" w14:paraId="0D0B940D" w14:textId="5E8C782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60" w:line="240" w:lineRule="auto"/>
              <w:rPr>
                <w:rFonts w:ascii="Times New Roman" w:hAnsi="Times New Roman"/>
                <w:color w:val="000000"/>
                <w:sz w:val="24"/>
                <w:szCs w:val="24"/>
              </w:rPr>
            </w:pPr>
            <w:r w:rsidRPr="5C5E9201">
              <w:rPr>
                <w:rFonts w:ascii="Times New Roman" w:hAnsi="Times New Roman"/>
                <w:color w:val="000000" w:themeColor="text1"/>
                <w:sz w:val="24"/>
                <w:szCs w:val="24"/>
              </w:rPr>
              <w:t>A mortgagor may also default under its business agreements with HUD, thus causing a covenant default, a violation of the Regulatory Agreement, and thus the mortgage, resulting in HUD requiring the mortgagee to accelerate the mortgage.</w:t>
            </w:r>
            <w:r w:rsidRPr="5C5E9201" w:rsidR="00ED22F4">
              <w:rPr>
                <w:rFonts w:ascii="Times New Roman" w:hAnsi="Times New Roman"/>
                <w:color w:val="000000" w:themeColor="text1"/>
                <w:sz w:val="24"/>
                <w:szCs w:val="24"/>
              </w:rPr>
              <w:t xml:space="preserve"> </w:t>
            </w:r>
            <w:r w:rsidRPr="5C5E9201" w:rsidR="001568F6">
              <w:rPr>
                <w:rFonts w:ascii="Times New Roman" w:hAnsi="Times New Roman"/>
                <w:color w:val="000000" w:themeColor="text1"/>
                <w:sz w:val="24"/>
                <w:szCs w:val="24"/>
              </w:rPr>
              <w:t>This results in the mortgagee submitt</w:t>
            </w:r>
            <w:r w:rsidRPr="5C5E9201">
              <w:rPr>
                <w:rFonts w:ascii="Times New Roman" w:hAnsi="Times New Roman"/>
                <w:color w:val="000000" w:themeColor="text1"/>
                <w:sz w:val="24"/>
                <w:szCs w:val="24"/>
              </w:rPr>
              <w:t>ing</w:t>
            </w:r>
            <w:r w:rsidRPr="5C5E9201" w:rsidR="001568F6">
              <w:rPr>
                <w:rFonts w:ascii="Times New Roman" w:hAnsi="Times New Roman"/>
                <w:color w:val="000000" w:themeColor="text1"/>
                <w:sz w:val="24"/>
                <w:szCs w:val="24"/>
              </w:rPr>
              <w:t xml:space="preserve"> a notice of covenant default to HUD and an ultimate election to assign the loan to HUD.</w:t>
            </w:r>
          </w:p>
          <w:p w:rsidR="00077A88" w:rsidP="5C5E9201" w14:paraId="0E27B00A" w14:textId="540B9C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60" w:line="240" w:lineRule="auto"/>
              <w:rPr>
                <w:rFonts w:ascii="Times New Roman" w:hAnsi="Times New Roman"/>
                <w:color w:val="000000"/>
                <w:sz w:val="24"/>
                <w:szCs w:val="24"/>
              </w:rPr>
            </w:pPr>
            <w:r w:rsidRPr="5C5E9201">
              <w:rPr>
                <w:rFonts w:ascii="Times New Roman" w:hAnsi="Times New Roman"/>
                <w:color w:val="000000" w:themeColor="text1"/>
                <w:sz w:val="24"/>
                <w:szCs w:val="24"/>
              </w:rPr>
              <w:t>A</w:t>
            </w:r>
            <w:r w:rsidRPr="5C5E9201" w:rsidR="0068086B">
              <w:rPr>
                <w:rFonts w:ascii="Times New Roman" w:hAnsi="Times New Roman"/>
                <w:color w:val="000000" w:themeColor="text1"/>
                <w:sz w:val="24"/>
                <w:szCs w:val="24"/>
              </w:rPr>
              <w:t>n FHA-insured loan may go in and out of different statuses during its life cycle, prior to the mortgagee making an election to assign.</w:t>
            </w:r>
            <w:r w:rsidRPr="5C5E9201">
              <w:rPr>
                <w:rFonts w:ascii="Times New Roman" w:hAnsi="Times New Roman"/>
                <w:color w:val="000000" w:themeColor="text1"/>
                <w:sz w:val="24"/>
                <w:szCs w:val="24"/>
              </w:rPr>
              <w:t xml:space="preserve"> </w:t>
            </w:r>
            <w:r w:rsidRPr="5C5E9201" w:rsidR="0068086B">
              <w:rPr>
                <w:rFonts w:ascii="Times New Roman" w:hAnsi="Times New Roman"/>
                <w:color w:val="000000" w:themeColor="text1"/>
                <w:sz w:val="24"/>
                <w:szCs w:val="24"/>
              </w:rPr>
              <w:t xml:space="preserve">For example, a </w:t>
            </w:r>
            <w:r w:rsidRPr="5C5E9201">
              <w:rPr>
                <w:rFonts w:ascii="Times New Roman" w:hAnsi="Times New Roman"/>
                <w:color w:val="000000" w:themeColor="text1"/>
                <w:sz w:val="24"/>
                <w:szCs w:val="24"/>
              </w:rPr>
              <w:t xml:space="preserve">mortgagee may report a </w:t>
            </w:r>
            <w:r w:rsidRPr="5C5E9201" w:rsidR="0068086B">
              <w:rPr>
                <w:rFonts w:ascii="Times New Roman" w:hAnsi="Times New Roman"/>
                <w:color w:val="000000" w:themeColor="text1"/>
                <w:sz w:val="24"/>
                <w:szCs w:val="24"/>
              </w:rPr>
              <w:t xml:space="preserve">loan delinquent in a </w:t>
            </w:r>
            <w:r w:rsidRPr="5C5E9201" w:rsidR="00364FD0">
              <w:rPr>
                <w:rFonts w:ascii="Times New Roman" w:hAnsi="Times New Roman"/>
                <w:color w:val="000000" w:themeColor="text1"/>
                <w:sz w:val="24"/>
                <w:szCs w:val="24"/>
              </w:rPr>
              <w:t>month and</w:t>
            </w:r>
            <w:r w:rsidRPr="5C5E9201" w:rsidR="0068086B">
              <w:rPr>
                <w:rFonts w:ascii="Times New Roman" w:hAnsi="Times New Roman"/>
                <w:color w:val="000000" w:themeColor="text1"/>
                <w:sz w:val="24"/>
                <w:szCs w:val="24"/>
              </w:rPr>
              <w:t xml:space="preserve"> reinstated prior to the end of that month.</w:t>
            </w:r>
            <w:r w:rsidRPr="5C5E9201">
              <w:rPr>
                <w:rFonts w:ascii="Times New Roman" w:hAnsi="Times New Roman"/>
                <w:color w:val="000000" w:themeColor="text1"/>
                <w:sz w:val="24"/>
                <w:szCs w:val="24"/>
              </w:rPr>
              <w:t xml:space="preserve"> </w:t>
            </w:r>
            <w:r w:rsidRPr="5C5E9201" w:rsidR="0068086B">
              <w:rPr>
                <w:rFonts w:ascii="Times New Roman" w:hAnsi="Times New Roman"/>
                <w:color w:val="000000" w:themeColor="text1"/>
                <w:sz w:val="24"/>
                <w:szCs w:val="24"/>
              </w:rPr>
              <w:t xml:space="preserve">This </w:t>
            </w:r>
            <w:r w:rsidRPr="5C5E9201">
              <w:rPr>
                <w:rFonts w:ascii="Times New Roman" w:hAnsi="Times New Roman"/>
                <w:color w:val="000000" w:themeColor="text1"/>
                <w:sz w:val="24"/>
                <w:szCs w:val="24"/>
              </w:rPr>
              <w:t xml:space="preserve">pattern of </w:t>
            </w:r>
            <w:r w:rsidRPr="5C5E9201" w:rsidR="00364FD0">
              <w:rPr>
                <w:rFonts w:ascii="Times New Roman" w:hAnsi="Times New Roman"/>
                <w:color w:val="000000" w:themeColor="text1"/>
                <w:sz w:val="24"/>
                <w:szCs w:val="24"/>
              </w:rPr>
              <w:t>delinquency</w:t>
            </w:r>
            <w:r w:rsidRPr="5C5E9201" w:rsidR="0068086B">
              <w:rPr>
                <w:rFonts w:ascii="Times New Roman" w:hAnsi="Times New Roman"/>
                <w:color w:val="000000" w:themeColor="text1"/>
                <w:sz w:val="24"/>
                <w:szCs w:val="24"/>
              </w:rPr>
              <w:t xml:space="preserve"> could occur every month.</w:t>
            </w:r>
          </w:p>
          <w:p w:rsidR="00077A88" w:rsidP="5C5E9201" w14:paraId="0F5573C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60" w:line="240" w:lineRule="auto"/>
              <w:rPr>
                <w:rFonts w:ascii="Times New Roman" w:hAnsi="Times New Roman"/>
                <w:color w:val="000000"/>
                <w:sz w:val="24"/>
                <w:szCs w:val="24"/>
              </w:rPr>
            </w:pPr>
            <w:r w:rsidRPr="5C5E9201">
              <w:rPr>
                <w:rFonts w:ascii="Times New Roman" w:hAnsi="Times New Roman"/>
                <w:color w:val="000000" w:themeColor="text1"/>
                <w:sz w:val="24"/>
                <w:szCs w:val="24"/>
              </w:rPr>
              <w:t xml:space="preserve">HUD field and Headquarters staff use the data submitted in MDDR to monitor mortgagee compliance with </w:t>
            </w:r>
            <w:r w:rsidRPr="5C5E9201" w:rsidR="00344128">
              <w:rPr>
                <w:rFonts w:ascii="Times New Roman" w:hAnsi="Times New Roman"/>
                <w:color w:val="000000" w:themeColor="text1"/>
                <w:sz w:val="24"/>
                <w:szCs w:val="24"/>
              </w:rPr>
              <w:t>HUD’s loan servicing procedures and requirements, to monitor delinquent and defaulted loans to work with the owner/mortgagee to potentially reinstate the loan and avoid an assignment and insurance claim</w:t>
            </w:r>
            <w:r w:rsidRPr="5C5E9201" w:rsidR="00364FD0">
              <w:rPr>
                <w:rFonts w:ascii="Times New Roman" w:hAnsi="Times New Roman"/>
                <w:color w:val="000000" w:themeColor="text1"/>
                <w:sz w:val="24"/>
                <w:szCs w:val="24"/>
              </w:rPr>
              <w:t>.</w:t>
            </w:r>
            <w:r w:rsidRPr="5C5E9201" w:rsidR="00344128">
              <w:rPr>
                <w:rFonts w:ascii="Times New Roman" w:hAnsi="Times New Roman"/>
                <w:color w:val="000000" w:themeColor="text1"/>
                <w:sz w:val="24"/>
                <w:szCs w:val="24"/>
              </w:rPr>
              <w:t xml:space="preserve"> </w:t>
            </w:r>
            <w:r w:rsidRPr="5C5E9201" w:rsidR="00364FD0">
              <w:rPr>
                <w:rFonts w:ascii="Times New Roman" w:hAnsi="Times New Roman"/>
                <w:color w:val="000000" w:themeColor="text1"/>
                <w:sz w:val="24"/>
                <w:szCs w:val="24"/>
              </w:rPr>
              <w:t>A</w:t>
            </w:r>
            <w:r w:rsidRPr="5C5E9201" w:rsidR="00344128">
              <w:rPr>
                <w:rFonts w:ascii="Times New Roman" w:hAnsi="Times New Roman"/>
                <w:color w:val="000000" w:themeColor="text1"/>
                <w:sz w:val="24"/>
                <w:szCs w:val="24"/>
              </w:rPr>
              <w:t>ssignments can be costly to the government.</w:t>
            </w:r>
            <w:r w:rsidRPr="5C5E9201" w:rsidR="00ED22F4">
              <w:rPr>
                <w:rFonts w:ascii="Times New Roman" w:hAnsi="Times New Roman"/>
                <w:color w:val="000000" w:themeColor="text1"/>
                <w:sz w:val="24"/>
                <w:szCs w:val="24"/>
              </w:rPr>
              <w:t xml:space="preserve"> </w:t>
            </w:r>
            <w:r w:rsidRPr="5C5E9201" w:rsidR="00344128">
              <w:rPr>
                <w:rFonts w:ascii="Times New Roman" w:hAnsi="Times New Roman"/>
                <w:color w:val="000000" w:themeColor="text1"/>
                <w:sz w:val="24"/>
                <w:szCs w:val="24"/>
              </w:rPr>
              <w:t xml:space="preserve">The MDDR system </w:t>
            </w:r>
            <w:r w:rsidRPr="5C5E9201" w:rsidR="00344128">
              <w:rPr>
                <w:rFonts w:ascii="Times New Roman" w:hAnsi="Times New Roman"/>
                <w:color w:val="000000" w:themeColor="text1"/>
                <w:sz w:val="24"/>
                <w:szCs w:val="24"/>
              </w:rPr>
              <w:t>is the only mechanism for mortgagees to report this data to HUD, and ultimately file for an insurance claim if a loan goes to assignment.</w:t>
            </w:r>
          </w:p>
          <w:p w:rsidR="00772701" w:rsidP="001B4FB5" w14:paraId="60061E4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p w:rsidR="00772701" w:rsidP="001B4FB5" w14:paraId="3A910B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r>
              <w:rPr>
                <w:rFonts w:ascii="Times New Roman" w:hAnsi="Times New Roman"/>
                <w:color w:val="000000"/>
                <w:sz w:val="24"/>
              </w:rPr>
              <w:t>Link to the MDDR System:</w:t>
            </w:r>
          </w:p>
          <w:p w:rsidR="00772701" w:rsidP="001B4FB5" w14:paraId="5D8A314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hyperlink r:id="rId8" w:history="1">
              <w:r w:rsidRPr="00750BA9">
                <w:rPr>
                  <w:rStyle w:val="Hyperlink"/>
                  <w:rFonts w:ascii="Times New Roman" w:hAnsi="Times New Roman"/>
                  <w:sz w:val="24"/>
                </w:rPr>
                <w:t>https://hudapps2.hud.gov/ssmaster/mddr/fha/portmain.cfm?CFID=134569&amp;CFTOKEN=9dlbdb05141c568c-9DAD46A8-CDA3-1F1D-77C3190D135C4BC2</w:t>
              </w:r>
            </w:hyperlink>
          </w:p>
          <w:p w:rsidR="00772701" w:rsidRPr="00077A88" w:rsidP="001B4FB5" w14:paraId="44EAFD9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bl>
    <w:p w:rsidR="00FA2F70" w:rsidRPr="00C879B4" w:rsidP="00FA2F70" w14:paraId="4B94D5A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360"/>
      </w:tblGrid>
      <w:tr w14:paraId="0F265B59" w14:textId="77777777" w:rsidTr="00D35DDB">
        <w:tblPrEx>
          <w:tblW w:w="0" w:type="auto"/>
          <w:tblInd w:w="108" w:type="dxa"/>
          <w:tblLook w:val="04A0"/>
        </w:tblPrEx>
        <w:tc>
          <w:tcPr>
            <w:tcW w:w="9360" w:type="dxa"/>
            <w:shd w:val="clear" w:color="auto" w:fill="auto"/>
          </w:tcPr>
          <w:p w:rsidR="00FA2F70" w:rsidRPr="00C879B4" w:rsidP="001B4FB5" w14:paraId="22BF515F"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C879B4" w:rsidP="001B4FB5" w14:paraId="3DEEC669" w14:textId="77777777">
            <w:pPr>
              <w:spacing w:after="0" w:line="240" w:lineRule="auto"/>
              <w:rPr>
                <w:rFonts w:ascii="Times New Roman" w:hAnsi="Times New Roman"/>
                <w:b/>
                <w:color w:val="000000"/>
                <w:sz w:val="24"/>
                <w:szCs w:val="24"/>
              </w:rPr>
            </w:pPr>
          </w:p>
        </w:tc>
      </w:tr>
      <w:tr w14:paraId="2FA2D70A" w14:textId="77777777" w:rsidTr="00D35DDB">
        <w:tblPrEx>
          <w:tblW w:w="0" w:type="auto"/>
          <w:tblInd w:w="108" w:type="dxa"/>
          <w:tblLook w:val="04A0"/>
        </w:tblPrEx>
        <w:tc>
          <w:tcPr>
            <w:tcW w:w="9360" w:type="dxa"/>
            <w:shd w:val="clear" w:color="auto" w:fill="auto"/>
          </w:tcPr>
          <w:p w:rsidR="00FA2F70" w:rsidRPr="00344128" w:rsidP="001B4FB5" w14:paraId="0F1B0784"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This collection of information is remitted by mortgagees electronically through MDDR, a web-based application system.</w:t>
            </w:r>
            <w:r w:rsidR="00ED22F4">
              <w:rPr>
                <w:rFonts w:ascii="Times New Roman" w:hAnsi="Times New Roman"/>
                <w:color w:val="000000"/>
                <w:sz w:val="24"/>
                <w:szCs w:val="24"/>
              </w:rPr>
              <w:t xml:space="preserve"> </w:t>
            </w:r>
            <w:r>
              <w:rPr>
                <w:rFonts w:ascii="Times New Roman" w:hAnsi="Times New Roman"/>
                <w:color w:val="000000"/>
                <w:sz w:val="24"/>
                <w:szCs w:val="24"/>
              </w:rPr>
              <w:t xml:space="preserve">The system was developed to replace the paper form HUD-92426 </w:t>
            </w:r>
            <w:r w:rsidR="00174727">
              <w:rPr>
                <w:rFonts w:ascii="Times New Roman" w:hAnsi="Times New Roman"/>
                <w:color w:val="000000"/>
                <w:sz w:val="24"/>
                <w:szCs w:val="24"/>
              </w:rPr>
              <w:t>in</w:t>
            </w:r>
            <w:r>
              <w:rPr>
                <w:rFonts w:ascii="Times New Roman" w:hAnsi="Times New Roman"/>
                <w:color w:val="000000"/>
                <w:sz w:val="24"/>
                <w:szCs w:val="24"/>
              </w:rPr>
              <w:t xml:space="preserve"> compl</w:t>
            </w:r>
            <w:r w:rsidR="00174727">
              <w:rPr>
                <w:rFonts w:ascii="Times New Roman" w:hAnsi="Times New Roman"/>
                <w:color w:val="000000"/>
                <w:sz w:val="24"/>
                <w:szCs w:val="24"/>
              </w:rPr>
              <w:t>iance</w:t>
            </w:r>
            <w:r>
              <w:rPr>
                <w:rFonts w:ascii="Times New Roman" w:hAnsi="Times New Roman"/>
                <w:color w:val="000000"/>
                <w:sz w:val="24"/>
                <w:szCs w:val="24"/>
              </w:rPr>
              <w:t xml:space="preserve"> with the regulation at 24 CFR 200 which requires the electronic submission of this information.</w:t>
            </w:r>
          </w:p>
        </w:tc>
      </w:tr>
    </w:tbl>
    <w:p w:rsidR="00FA2F70" w:rsidRPr="00C879B4" w:rsidP="00FA2F70" w14:paraId="3656B9AB"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360"/>
      </w:tblGrid>
      <w:tr w14:paraId="7335C4B5" w14:textId="77777777" w:rsidTr="00D35DDB">
        <w:tblPrEx>
          <w:tblW w:w="0" w:type="auto"/>
          <w:tblInd w:w="108" w:type="dxa"/>
          <w:tblLook w:val="04A0"/>
        </w:tblPrEx>
        <w:tc>
          <w:tcPr>
            <w:tcW w:w="9360" w:type="dxa"/>
            <w:shd w:val="clear" w:color="auto" w:fill="auto"/>
          </w:tcPr>
          <w:p w:rsidR="00FA2F70" w:rsidRPr="00C879B4" w:rsidP="001B4FB5" w14:paraId="3409218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RPr="00C879B4" w:rsidP="001B4FB5" w14:paraId="45FB0818" w14:textId="77777777">
            <w:pPr>
              <w:spacing w:after="0" w:line="240" w:lineRule="auto"/>
              <w:rPr>
                <w:rFonts w:ascii="Times New Roman" w:hAnsi="Times New Roman"/>
                <w:b/>
                <w:color w:val="000000"/>
                <w:sz w:val="24"/>
                <w:szCs w:val="24"/>
              </w:rPr>
            </w:pPr>
          </w:p>
        </w:tc>
      </w:tr>
      <w:tr w14:paraId="24DB7529" w14:textId="77777777" w:rsidTr="00D35DDB">
        <w:tblPrEx>
          <w:tblW w:w="0" w:type="auto"/>
          <w:tblInd w:w="108" w:type="dxa"/>
          <w:tblLook w:val="04A0"/>
        </w:tblPrEx>
        <w:tc>
          <w:tcPr>
            <w:tcW w:w="9360" w:type="dxa"/>
            <w:shd w:val="clear" w:color="auto" w:fill="auto"/>
          </w:tcPr>
          <w:p w:rsidR="00FA2F70" w:rsidRPr="00344128" w:rsidP="001B4FB5" w14:paraId="67DFAB6E"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There is no duplication of this collection.</w:t>
            </w:r>
            <w:r w:rsidR="00ED22F4">
              <w:rPr>
                <w:rFonts w:ascii="Times New Roman" w:hAnsi="Times New Roman"/>
                <w:color w:val="000000"/>
                <w:sz w:val="24"/>
                <w:szCs w:val="24"/>
              </w:rPr>
              <w:t xml:space="preserve"> </w:t>
            </w:r>
            <w:r>
              <w:rPr>
                <w:rFonts w:ascii="Times New Roman" w:hAnsi="Times New Roman"/>
                <w:color w:val="000000"/>
                <w:sz w:val="24"/>
                <w:szCs w:val="24"/>
              </w:rPr>
              <w:t>MDDR is the only mechanism</w:t>
            </w:r>
            <w:r w:rsidR="00174727">
              <w:rPr>
                <w:rFonts w:ascii="Times New Roman" w:hAnsi="Times New Roman"/>
                <w:color w:val="000000"/>
                <w:sz w:val="24"/>
                <w:szCs w:val="24"/>
              </w:rPr>
              <w:t xml:space="preserve"> available</w:t>
            </w:r>
            <w:r>
              <w:rPr>
                <w:rFonts w:ascii="Times New Roman" w:hAnsi="Times New Roman"/>
                <w:color w:val="000000"/>
                <w:sz w:val="24"/>
                <w:szCs w:val="24"/>
              </w:rPr>
              <w:t xml:space="preserve"> for mortgagees to report this data to HUD.</w:t>
            </w:r>
          </w:p>
        </w:tc>
      </w:tr>
    </w:tbl>
    <w:p w:rsidR="00FA2F70" w:rsidRPr="00C879B4" w:rsidP="00FA2F70" w14:paraId="049F31CB"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360"/>
      </w:tblGrid>
      <w:tr w14:paraId="7556F582" w14:textId="77777777" w:rsidTr="00D35DDB">
        <w:tblPrEx>
          <w:tblW w:w="0" w:type="auto"/>
          <w:tblInd w:w="108" w:type="dxa"/>
          <w:tblLook w:val="04A0"/>
        </w:tblPrEx>
        <w:tc>
          <w:tcPr>
            <w:tcW w:w="9360" w:type="dxa"/>
            <w:shd w:val="clear" w:color="auto" w:fill="auto"/>
          </w:tcPr>
          <w:p w:rsidR="00FA2F70" w:rsidRPr="00C879B4" w:rsidP="001B4FB5" w14:paraId="6FF866E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53128261" w14:textId="77777777">
            <w:pPr>
              <w:spacing w:after="0" w:line="240" w:lineRule="auto"/>
              <w:rPr>
                <w:rFonts w:ascii="Times New Roman" w:hAnsi="Times New Roman"/>
                <w:b/>
                <w:color w:val="000000"/>
                <w:sz w:val="24"/>
                <w:szCs w:val="24"/>
              </w:rPr>
            </w:pPr>
          </w:p>
        </w:tc>
      </w:tr>
      <w:tr w14:paraId="30E78B31" w14:textId="77777777" w:rsidTr="00D35DDB">
        <w:tblPrEx>
          <w:tblW w:w="0" w:type="auto"/>
          <w:tblInd w:w="108" w:type="dxa"/>
          <w:tblLook w:val="04A0"/>
        </w:tblPrEx>
        <w:tc>
          <w:tcPr>
            <w:tcW w:w="9360" w:type="dxa"/>
            <w:shd w:val="clear" w:color="auto" w:fill="auto"/>
          </w:tcPr>
          <w:p w:rsidR="00FA2F70" w:rsidRPr="00344128" w:rsidP="00174727" w14:paraId="788B0AAC" w14:textId="77777777">
            <w:pPr>
              <w:pStyle w:val="NoSpacing"/>
            </w:pPr>
            <w:r w:rsidRPr="00174727">
              <w:t xml:space="preserve">The impact on small businesses </w:t>
            </w:r>
            <w:r w:rsidR="00D91C85">
              <w:t xml:space="preserve">lending or servicing </w:t>
            </w:r>
            <w:r w:rsidRPr="00174727">
              <w:t>firms is necessary to collect and prepare</w:t>
            </w:r>
            <w:r w:rsidR="00D91C85">
              <w:t xml:space="preserve"> delinquency and default </w:t>
            </w:r>
            <w:r w:rsidRPr="00174727">
              <w:t xml:space="preserve">data required for </w:t>
            </w:r>
            <w:r w:rsidR="00D91C85">
              <w:t>proper monitoring.</w:t>
            </w:r>
            <w:r w:rsidRPr="00174727">
              <w:t xml:space="preserve"> The burden would be</w:t>
            </w:r>
            <w:r w:rsidR="00D91C85">
              <w:t xml:space="preserve"> </w:t>
            </w:r>
            <w:r w:rsidRPr="00174727">
              <w:t>minimized when the continuous review of reports</w:t>
            </w:r>
            <w:r w:rsidR="00D91C85">
              <w:t xml:space="preserve"> </w:t>
            </w:r>
            <w:r w:rsidRPr="00174727">
              <w:t>indicate that the project owner/agent has established financial</w:t>
            </w:r>
            <w:r w:rsidR="00D91C85">
              <w:t xml:space="preserve"> </w:t>
            </w:r>
            <w:r w:rsidRPr="00174727">
              <w:t>stability</w:t>
            </w:r>
            <w:r w:rsidR="00D91C85">
              <w:t xml:space="preserve">, </w:t>
            </w:r>
            <w:r w:rsidRPr="00174727">
              <w:t xml:space="preserve">which time the requirement for </w:t>
            </w:r>
            <w:r w:rsidR="00D91C85">
              <w:t xml:space="preserve">periodic </w:t>
            </w:r>
            <w:r w:rsidRPr="00174727">
              <w:t>review is</w:t>
            </w:r>
            <w:r w:rsidR="00D91C85">
              <w:t xml:space="preserve"> </w:t>
            </w:r>
            <w:r w:rsidRPr="00174727">
              <w:t>ended.</w:t>
            </w:r>
          </w:p>
        </w:tc>
      </w:tr>
    </w:tbl>
    <w:p w:rsidR="00FA2F70" w:rsidRPr="00C879B4" w:rsidP="00FA2F70" w14:paraId="62486C0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468"/>
        <w:gridCol w:w="222"/>
      </w:tblGrid>
      <w:tr w14:paraId="67593554" w14:textId="77777777" w:rsidTr="3CA152E8">
        <w:tblPrEx>
          <w:tblW w:w="0" w:type="auto"/>
          <w:tblInd w:w="108" w:type="dxa"/>
          <w:tblLook w:val="04A0"/>
        </w:tblPrEx>
        <w:tc>
          <w:tcPr>
            <w:tcW w:w="9468" w:type="dxa"/>
            <w:shd w:val="clear" w:color="auto" w:fill="auto"/>
          </w:tcPr>
          <w:p w:rsidR="00FA2F70" w:rsidRPr="00C879B4" w:rsidP="001B4FB5" w14:paraId="78A0948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r w:rsidR="00D91C85">
              <w:rPr>
                <w:rFonts w:ascii="Times New Roman" w:hAnsi="Times New Roman"/>
                <w:b/>
                <w:color w:val="000000"/>
                <w:sz w:val="24"/>
                <w:szCs w:val="24"/>
              </w:rPr>
              <w:t xml:space="preserve"> </w:t>
            </w:r>
          </w:p>
        </w:tc>
      </w:tr>
      <w:tr w14:paraId="5557F9A8" w14:textId="77777777" w:rsidTr="3CA152E8">
        <w:tblPrEx>
          <w:tblW w:w="0" w:type="auto"/>
          <w:tblInd w:w="108" w:type="dxa"/>
          <w:tblLook w:val="04A0"/>
        </w:tblPrEx>
        <w:tc>
          <w:tcPr>
            <w:tcW w:w="9468" w:type="dxa"/>
            <w:shd w:val="clear" w:color="auto" w:fill="auto"/>
          </w:tcPr>
          <w:p w:rsidR="00FA2F70" w:rsidP="001B4FB5" w14:paraId="555A3962"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If </w:t>
            </w:r>
            <w:r w:rsidR="00E76DCC">
              <w:rPr>
                <w:rFonts w:ascii="Times New Roman" w:hAnsi="Times New Roman"/>
                <w:color w:val="000000"/>
                <w:sz w:val="24"/>
                <w:szCs w:val="24"/>
              </w:rPr>
              <w:t xml:space="preserve">HUD does </w:t>
            </w:r>
            <w:r>
              <w:rPr>
                <w:rFonts w:ascii="Times New Roman" w:hAnsi="Times New Roman"/>
                <w:color w:val="000000"/>
                <w:sz w:val="24"/>
                <w:szCs w:val="24"/>
              </w:rPr>
              <w:t xml:space="preserve">not </w:t>
            </w:r>
            <w:r w:rsidR="00E76DCC">
              <w:rPr>
                <w:rFonts w:ascii="Times New Roman" w:hAnsi="Times New Roman"/>
                <w:color w:val="000000"/>
                <w:sz w:val="24"/>
                <w:szCs w:val="24"/>
              </w:rPr>
              <w:t>collect</w:t>
            </w:r>
            <w:r>
              <w:rPr>
                <w:rFonts w:ascii="Times New Roman" w:hAnsi="Times New Roman"/>
                <w:color w:val="000000"/>
                <w:sz w:val="24"/>
                <w:szCs w:val="24"/>
              </w:rPr>
              <w:t xml:space="preserve"> or </w:t>
            </w:r>
            <w:r w:rsidR="00E76DCC">
              <w:rPr>
                <w:rFonts w:ascii="Times New Roman" w:hAnsi="Times New Roman"/>
                <w:color w:val="000000"/>
                <w:sz w:val="24"/>
                <w:szCs w:val="24"/>
              </w:rPr>
              <w:t>collects</w:t>
            </w:r>
            <w:r>
              <w:rPr>
                <w:rFonts w:ascii="Times New Roman" w:hAnsi="Times New Roman"/>
                <w:color w:val="000000"/>
                <w:sz w:val="24"/>
                <w:szCs w:val="24"/>
              </w:rPr>
              <w:t xml:space="preserve"> less frequently, this would conflict with the regulations that require mortgagees to report this data to HUD.</w:t>
            </w:r>
            <w:r w:rsidR="00ED22F4">
              <w:rPr>
                <w:rFonts w:ascii="Times New Roman" w:hAnsi="Times New Roman"/>
                <w:color w:val="000000"/>
                <w:sz w:val="24"/>
                <w:szCs w:val="24"/>
              </w:rPr>
              <w:t xml:space="preserve"> </w:t>
            </w:r>
            <w:r>
              <w:rPr>
                <w:rFonts w:ascii="Times New Roman" w:hAnsi="Times New Roman"/>
                <w:color w:val="000000"/>
                <w:sz w:val="24"/>
                <w:szCs w:val="24"/>
              </w:rPr>
              <w:t>Failure to report a notice of default and election to assign a defaulted loan to HUD timely will result in a penalty imposed o</w:t>
            </w:r>
            <w:r w:rsidR="00311A8B">
              <w:rPr>
                <w:rFonts w:ascii="Times New Roman" w:hAnsi="Times New Roman"/>
                <w:color w:val="000000"/>
                <w:sz w:val="24"/>
                <w:szCs w:val="24"/>
              </w:rPr>
              <w:t>n</w:t>
            </w:r>
            <w:r>
              <w:rPr>
                <w:rFonts w:ascii="Times New Roman" w:hAnsi="Times New Roman"/>
                <w:color w:val="000000"/>
                <w:sz w:val="24"/>
                <w:szCs w:val="24"/>
              </w:rPr>
              <w:t xml:space="preserve"> the mortgagee </w:t>
            </w:r>
            <w:r w:rsidR="00E76DCC">
              <w:rPr>
                <w:rFonts w:ascii="Times New Roman" w:hAnsi="Times New Roman"/>
                <w:color w:val="000000"/>
                <w:sz w:val="24"/>
                <w:szCs w:val="24"/>
              </w:rPr>
              <w:t>should</w:t>
            </w:r>
            <w:r>
              <w:rPr>
                <w:rFonts w:ascii="Times New Roman" w:hAnsi="Times New Roman"/>
                <w:color w:val="000000"/>
                <w:sz w:val="24"/>
                <w:szCs w:val="24"/>
              </w:rPr>
              <w:t xml:space="preserve"> an insurance claim </w:t>
            </w:r>
            <w:r w:rsidR="00E76DCC">
              <w:rPr>
                <w:rFonts w:ascii="Times New Roman" w:hAnsi="Times New Roman"/>
                <w:color w:val="000000"/>
                <w:sz w:val="24"/>
                <w:szCs w:val="24"/>
              </w:rPr>
              <w:t>be</w:t>
            </w:r>
            <w:r>
              <w:rPr>
                <w:rFonts w:ascii="Times New Roman" w:hAnsi="Times New Roman"/>
                <w:color w:val="000000"/>
                <w:sz w:val="24"/>
                <w:szCs w:val="24"/>
              </w:rPr>
              <w:t xml:space="preserve"> filed.</w:t>
            </w:r>
            <w:r w:rsidR="00ED22F4">
              <w:rPr>
                <w:rFonts w:ascii="Times New Roman" w:hAnsi="Times New Roman"/>
                <w:color w:val="000000"/>
                <w:sz w:val="24"/>
                <w:szCs w:val="24"/>
              </w:rPr>
              <w:t xml:space="preserve"> </w:t>
            </w:r>
            <w:r>
              <w:rPr>
                <w:rFonts w:ascii="Times New Roman" w:hAnsi="Times New Roman"/>
                <w:color w:val="000000"/>
                <w:sz w:val="24"/>
                <w:szCs w:val="24"/>
              </w:rPr>
              <w:t xml:space="preserve">This would also hamper HUD’s ability to monitor delinquencies </w:t>
            </w:r>
            <w:r w:rsidR="00E76DCC">
              <w:rPr>
                <w:rFonts w:ascii="Times New Roman" w:hAnsi="Times New Roman"/>
                <w:color w:val="000000"/>
                <w:sz w:val="24"/>
                <w:szCs w:val="24"/>
              </w:rPr>
              <w:t xml:space="preserve">and </w:t>
            </w:r>
            <w:r>
              <w:rPr>
                <w:rFonts w:ascii="Times New Roman" w:hAnsi="Times New Roman"/>
                <w:color w:val="000000"/>
                <w:sz w:val="24"/>
                <w:szCs w:val="24"/>
              </w:rPr>
              <w:t>to step in and possibly avoid an insurance claim.</w:t>
            </w:r>
          </w:p>
          <w:p w:rsidR="00E76DCC" w:rsidRPr="00344128" w:rsidP="001B4FB5" w14:paraId="4101652C" w14:textId="77777777">
            <w:pPr>
              <w:spacing w:after="0" w:line="240" w:lineRule="auto"/>
              <w:rPr>
                <w:rFonts w:ascii="Times New Roman" w:hAnsi="Times New Roman"/>
                <w:color w:val="000000"/>
                <w:sz w:val="24"/>
                <w:szCs w:val="24"/>
              </w:rPr>
            </w:pPr>
          </w:p>
        </w:tc>
      </w:tr>
      <w:tr w14:paraId="567F7CB5" w14:textId="77777777" w:rsidTr="3CA152E8">
        <w:tblPrEx>
          <w:tblW w:w="0" w:type="auto"/>
          <w:tblInd w:w="108" w:type="dxa"/>
          <w:tblLook w:val="04A0"/>
        </w:tblPrEx>
        <w:tc>
          <w:tcPr>
            <w:tcW w:w="9468" w:type="dxa"/>
            <w:shd w:val="clear" w:color="auto" w:fill="auto"/>
          </w:tcPr>
          <w:p w:rsidR="002F4BC7" w:rsidP="002F4BC7" w14:paraId="6F76D89E" w14:textId="77777777">
            <w:pPr>
              <w:spacing w:after="160" w:line="240" w:lineRule="auto"/>
              <w:rPr>
                <w:rFonts w:ascii="Times New Roman" w:hAnsi="Times New Roman"/>
                <w:b/>
                <w:color w:val="000000"/>
                <w:sz w:val="24"/>
                <w:szCs w:val="24"/>
              </w:rPr>
            </w:pPr>
            <w:r w:rsidRPr="00C879B4">
              <w:rPr>
                <w:rFonts w:ascii="Times New Roman" w:hAnsi="Times New Roman"/>
                <w:b/>
                <w:color w:val="000000"/>
                <w:sz w:val="24"/>
                <w:szCs w:val="24"/>
              </w:rPr>
              <w:t>7. Explain any special circumstances that would cause an information collection to be conducted in a manner:</w:t>
            </w:r>
            <w:r w:rsidR="00ED22F4">
              <w:rPr>
                <w:rFonts w:ascii="Times New Roman" w:hAnsi="Times New Roman"/>
                <w:b/>
                <w:color w:val="000000"/>
                <w:sz w:val="24"/>
                <w:szCs w:val="24"/>
              </w:rPr>
              <w:t xml:space="preserve"> </w:t>
            </w:r>
            <w:r w:rsidRPr="00C879B4" w:rsidR="00695EEE">
              <w:rPr>
                <w:rFonts w:ascii="Times New Roman" w:hAnsi="Times New Roman"/>
                <w:b/>
                <w:color w:val="000000"/>
                <w:sz w:val="24"/>
                <w:szCs w:val="24"/>
              </w:rPr>
              <w:t>(PLEASE ANSWER EACH BULLET SEPARATELY)</w:t>
            </w:r>
            <w:r w:rsidR="00D91C85">
              <w:rPr>
                <w:rFonts w:ascii="Times New Roman" w:hAnsi="Times New Roman"/>
                <w:b/>
                <w:color w:val="000000"/>
                <w:sz w:val="24"/>
                <w:szCs w:val="24"/>
              </w:rPr>
              <w:t xml:space="preserve"> </w:t>
            </w:r>
          </w:p>
          <w:p w:rsidR="002F4BC7" w:rsidP="002F4BC7" w14:paraId="5107FE00" w14:textId="77777777">
            <w:pPr>
              <w:spacing w:after="160" w:line="240" w:lineRule="auto"/>
              <w:rPr>
                <w:rFonts w:ascii="Times New Roman" w:hAnsi="Times New Roman"/>
                <w:b/>
                <w:color w:val="000000"/>
                <w:sz w:val="24"/>
                <w:szCs w:val="24"/>
              </w:rPr>
            </w:pPr>
            <w:r w:rsidRPr="002F4BC7">
              <w:rPr>
                <w:rFonts w:ascii="Times New Roman" w:hAnsi="Times New Roman"/>
                <w:b/>
                <w:color w:val="000000"/>
                <w:sz w:val="24"/>
                <w:szCs w:val="24"/>
              </w:rPr>
              <w:t xml:space="preserve">* requiring respondents to report information to the agency more often than quarterly; </w:t>
            </w:r>
          </w:p>
          <w:p w:rsidR="002F4BC7" w:rsidP="002F4BC7" w14:paraId="2555D8A4" w14:textId="414FB728">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The regulations require a mortgagee to report a notice of delinquency when a mortgage payment is not made within 15 days after its due date; if the non-payment continues for 30 days </w:t>
            </w:r>
            <w:r w:rsidRPr="002F4BC7">
              <w:rPr>
                <w:rFonts w:ascii="Times New Roman" w:hAnsi="Times New Roman"/>
                <w:bCs/>
                <w:color w:val="000000"/>
                <w:sz w:val="24"/>
                <w:szCs w:val="24"/>
              </w:rPr>
              <w:t>from its due date, the loan is in default and the mortgagee is required to submit a notice of fiscal default within 30 days thereafter; within 75 days from the date of default, the mortgagee must elect to assign the defaulted loan to HUD and thereafter submit an application for an insurance claim.</w:t>
            </w:r>
            <w:r>
              <w:rPr>
                <w:rFonts w:ascii="Times New Roman" w:hAnsi="Times New Roman"/>
                <w:bCs/>
                <w:color w:val="000000"/>
                <w:sz w:val="24"/>
                <w:szCs w:val="24"/>
              </w:rPr>
              <w:t xml:space="preserve"> </w:t>
            </w:r>
            <w:r w:rsidRPr="002F4BC7">
              <w:rPr>
                <w:rFonts w:ascii="Times New Roman" w:hAnsi="Times New Roman"/>
                <w:bCs/>
                <w:color w:val="000000"/>
                <w:sz w:val="24"/>
                <w:szCs w:val="24"/>
              </w:rPr>
              <w:t>These timeframes are regulatory.</w:t>
            </w:r>
            <w:r>
              <w:rPr>
                <w:rFonts w:ascii="Times New Roman" w:hAnsi="Times New Roman"/>
                <w:bCs/>
                <w:color w:val="000000"/>
                <w:sz w:val="24"/>
                <w:szCs w:val="24"/>
              </w:rPr>
              <w:t xml:space="preserve"> </w:t>
            </w:r>
            <w:r w:rsidRPr="002F4BC7">
              <w:rPr>
                <w:rFonts w:ascii="Times New Roman" w:hAnsi="Times New Roman"/>
                <w:bCs/>
                <w:color w:val="000000"/>
                <w:sz w:val="24"/>
                <w:szCs w:val="24"/>
              </w:rPr>
              <w:t xml:space="preserve">A </w:t>
            </w:r>
            <w:r>
              <w:rPr>
                <w:rFonts w:ascii="Times New Roman" w:hAnsi="Times New Roman"/>
                <w:bCs/>
                <w:color w:val="000000"/>
                <w:sz w:val="24"/>
                <w:szCs w:val="24"/>
              </w:rPr>
              <w:t xml:space="preserve">lender/servicer may </w:t>
            </w:r>
            <w:r w:rsidRPr="002F4BC7">
              <w:rPr>
                <w:rFonts w:ascii="Times New Roman" w:hAnsi="Times New Roman"/>
                <w:bCs/>
                <w:color w:val="000000"/>
                <w:sz w:val="24"/>
                <w:szCs w:val="24"/>
              </w:rPr>
              <w:t>report</w:t>
            </w:r>
            <w:r>
              <w:rPr>
                <w:rFonts w:ascii="Times New Roman" w:hAnsi="Times New Roman"/>
                <w:bCs/>
                <w:color w:val="000000"/>
                <w:sz w:val="24"/>
                <w:szCs w:val="24"/>
              </w:rPr>
              <w:t xml:space="preserve"> a </w:t>
            </w:r>
            <w:r w:rsidRPr="002F4BC7">
              <w:rPr>
                <w:rFonts w:ascii="Times New Roman" w:hAnsi="Times New Roman"/>
                <w:bCs/>
                <w:color w:val="000000"/>
                <w:sz w:val="24"/>
                <w:szCs w:val="24"/>
              </w:rPr>
              <w:t>loan as delinquent, and the mortgagor may make the payment prior to the loan going into default, thus requiring the mortgagee to submit a reinstatement of the loan.</w:t>
            </w:r>
            <w:r>
              <w:rPr>
                <w:rFonts w:ascii="Times New Roman" w:hAnsi="Times New Roman"/>
                <w:bCs/>
                <w:color w:val="000000"/>
                <w:sz w:val="24"/>
                <w:szCs w:val="24"/>
              </w:rPr>
              <w:t xml:space="preserve"> </w:t>
            </w:r>
            <w:r w:rsidRPr="002F4BC7">
              <w:rPr>
                <w:rFonts w:ascii="Times New Roman" w:hAnsi="Times New Roman"/>
                <w:bCs/>
                <w:color w:val="000000"/>
                <w:sz w:val="24"/>
                <w:szCs w:val="24"/>
              </w:rPr>
              <w:t>This could continue every month.</w:t>
            </w:r>
            <w:r>
              <w:rPr>
                <w:rFonts w:ascii="Times New Roman" w:hAnsi="Times New Roman"/>
                <w:bCs/>
                <w:color w:val="000000"/>
                <w:sz w:val="24"/>
                <w:szCs w:val="24"/>
              </w:rPr>
              <w:t xml:space="preserve"> </w:t>
            </w:r>
            <w:r w:rsidRPr="002F4BC7">
              <w:rPr>
                <w:rFonts w:ascii="Times New Roman" w:hAnsi="Times New Roman"/>
                <w:bCs/>
                <w:color w:val="000000"/>
                <w:sz w:val="24"/>
                <w:szCs w:val="24"/>
              </w:rPr>
              <w:t xml:space="preserve">Therefore, the reporting of loan statuses for delinquencies, defaults, </w:t>
            </w:r>
            <w:r w:rsidR="00CC3959">
              <w:rPr>
                <w:rFonts w:ascii="Times New Roman" w:hAnsi="Times New Roman"/>
                <w:bCs/>
                <w:color w:val="000000"/>
                <w:sz w:val="24"/>
                <w:szCs w:val="24"/>
              </w:rPr>
              <w:t xml:space="preserve">or </w:t>
            </w:r>
            <w:r w:rsidRPr="002F4BC7">
              <w:rPr>
                <w:rFonts w:ascii="Times New Roman" w:hAnsi="Times New Roman"/>
                <w:bCs/>
                <w:color w:val="000000"/>
                <w:sz w:val="24"/>
                <w:szCs w:val="24"/>
              </w:rPr>
              <w:t>elections to assign are triggered by the regulatory requirements for reporting and would be submitted more often than a quarterly basis.</w:t>
            </w:r>
          </w:p>
          <w:p w:rsidR="002F4BC7" w:rsidP="002F4BC7" w14:paraId="0D5A40D9"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 requiring respondents to prepare a written response to a collection of information in fewer than 30 days after receipt of it; </w:t>
            </w:r>
          </w:p>
          <w:p w:rsidR="002F4BC7" w:rsidP="002F4BC7" w14:paraId="0E889392"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There are no </w:t>
            </w:r>
            <w:r w:rsidRPr="002F4BC7" w:rsidR="00CC3959">
              <w:rPr>
                <w:rFonts w:ascii="Times New Roman" w:hAnsi="Times New Roman"/>
                <w:bCs/>
                <w:color w:val="000000"/>
                <w:sz w:val="24"/>
                <w:szCs w:val="24"/>
              </w:rPr>
              <w:t>extraordinary circumstances</w:t>
            </w:r>
            <w:r w:rsidRPr="002F4BC7">
              <w:rPr>
                <w:rFonts w:ascii="Times New Roman" w:hAnsi="Times New Roman"/>
                <w:bCs/>
                <w:color w:val="000000"/>
                <w:sz w:val="24"/>
                <w:szCs w:val="24"/>
              </w:rPr>
              <w:t xml:space="preserve"> that would require a </w:t>
            </w:r>
            <w:r w:rsidR="00CC3959">
              <w:rPr>
                <w:rFonts w:ascii="Times New Roman" w:hAnsi="Times New Roman"/>
                <w:bCs/>
                <w:color w:val="000000"/>
                <w:sz w:val="24"/>
                <w:szCs w:val="24"/>
              </w:rPr>
              <w:t xml:space="preserve">respondent </w:t>
            </w:r>
            <w:r w:rsidRPr="002F4BC7">
              <w:rPr>
                <w:rFonts w:ascii="Times New Roman" w:hAnsi="Times New Roman"/>
                <w:bCs/>
                <w:color w:val="000000"/>
                <w:sz w:val="24"/>
                <w:szCs w:val="24"/>
              </w:rPr>
              <w:t>to prepare a written response to a collection of information in fewer than 30 days after receipt.</w:t>
            </w:r>
            <w:r>
              <w:rPr>
                <w:rFonts w:ascii="Times New Roman" w:hAnsi="Times New Roman"/>
                <w:bCs/>
                <w:color w:val="000000"/>
                <w:sz w:val="24"/>
                <w:szCs w:val="24"/>
              </w:rPr>
              <w:t xml:space="preserve"> </w:t>
            </w:r>
          </w:p>
          <w:p w:rsidR="002F4BC7" w:rsidP="002F4BC7" w14:paraId="381B8864"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 requiring respondents to submit more than an original and two copies of any document; </w:t>
            </w:r>
          </w:p>
          <w:p w:rsidR="002F4BC7" w:rsidP="002F4BC7" w14:paraId="1B028A5B"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There are no circumstances that would require a mortgagee to submit more than an original of any document.</w:t>
            </w:r>
          </w:p>
          <w:p w:rsidR="002F4BC7" w:rsidP="002F4BC7" w14:paraId="4B456C48"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 requiring respondents to retain records, other than health, medical, government contract, grant-in-aid, or tax records, for more than three years; </w:t>
            </w:r>
          </w:p>
          <w:p w:rsidR="002F4BC7" w:rsidP="002F4BC7" w14:paraId="14523CDF"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There are no </w:t>
            </w:r>
            <w:r w:rsidRPr="002F4BC7" w:rsidR="00CC3959">
              <w:rPr>
                <w:rFonts w:ascii="Times New Roman" w:hAnsi="Times New Roman"/>
                <w:bCs/>
                <w:color w:val="000000"/>
                <w:sz w:val="24"/>
                <w:szCs w:val="24"/>
              </w:rPr>
              <w:t>extraordinary circumstances</w:t>
            </w:r>
            <w:r w:rsidRPr="002F4BC7">
              <w:rPr>
                <w:rFonts w:ascii="Times New Roman" w:hAnsi="Times New Roman"/>
                <w:bCs/>
                <w:color w:val="000000"/>
                <w:sz w:val="24"/>
                <w:szCs w:val="24"/>
              </w:rPr>
              <w:t xml:space="preserve"> that would require a mortgagee to retain records, other than health, medical, government contract, grant-in-aid, or tax records, for more than three years.</w:t>
            </w:r>
          </w:p>
          <w:p w:rsidR="002F4BC7" w:rsidP="002F4BC7" w14:paraId="6F0091C4"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 in connection with a statistical survey, that is not designed to produce valid and reliable results that can be generalized to the universe of study; </w:t>
            </w:r>
          </w:p>
          <w:p w:rsidR="002F4BC7" w:rsidP="002F4BC7" w14:paraId="3441DCB5"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There are no circumstances that would require this collection of information to be in connection with a statistical survey, that is not designed to produce valid and reliable results that can be generalized to the universe of study.</w:t>
            </w:r>
          </w:p>
          <w:p w:rsidR="002F4BC7" w:rsidP="002F4BC7" w14:paraId="006F0026"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 requiring the use of a statistical data classification that has not been reviewed and approved by OMB; </w:t>
            </w:r>
          </w:p>
          <w:p w:rsidR="002F4BC7" w:rsidP="002F4BC7" w14:paraId="5F2C5DC5"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There are no circumstances that would require the use of a statistical data classification that has not been reviewed and approved by HUD.</w:t>
            </w:r>
          </w:p>
          <w:p w:rsidR="002F4BC7" w:rsidP="002F4BC7" w14:paraId="05B0A9CB"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F4BC7" w:rsidP="002F4BC7" w14:paraId="4D117A86"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There are no special circumstances for this collection of information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2F4BC7" w:rsidP="002F4BC7" w14:paraId="106EB63F"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1568F6" w:rsidRPr="00895F89" w:rsidP="002F4BC7" w14:paraId="62B2BB34" w14:textId="77777777">
            <w:pPr>
              <w:spacing w:after="160" w:line="240" w:lineRule="auto"/>
              <w:rPr>
                <w:rFonts w:ascii="Times New Roman" w:hAnsi="Times New Roman"/>
                <w:bCs/>
                <w:color w:val="000000"/>
                <w:sz w:val="24"/>
                <w:szCs w:val="24"/>
              </w:rPr>
            </w:pPr>
            <w:r w:rsidRPr="002F4BC7">
              <w:rPr>
                <w:rFonts w:ascii="Times New Roman" w:hAnsi="Times New Roman"/>
                <w:bCs/>
                <w:color w:val="000000"/>
                <w:sz w:val="24"/>
                <w:szCs w:val="24"/>
              </w:rPr>
              <w:t xml:space="preserve">There are no special circumstances for this collection of information requiring respondents to submit proprietary trade secrets, or other confidential information unless the agency </w:t>
            </w:r>
            <w:r w:rsidR="00895F89">
              <w:rPr>
                <w:rFonts w:ascii="Times New Roman" w:hAnsi="Times New Roman"/>
                <w:bCs/>
                <w:color w:val="000000"/>
                <w:sz w:val="24"/>
                <w:szCs w:val="24"/>
              </w:rPr>
              <w:t>has</w:t>
            </w:r>
            <w:r w:rsidRPr="002F4BC7">
              <w:rPr>
                <w:rFonts w:ascii="Times New Roman" w:hAnsi="Times New Roman"/>
                <w:bCs/>
                <w:color w:val="000000"/>
                <w:sz w:val="24"/>
                <w:szCs w:val="24"/>
              </w:rPr>
              <w:t xml:space="preserve"> demonstrate</w:t>
            </w:r>
            <w:r w:rsidR="00895F89">
              <w:rPr>
                <w:rFonts w:ascii="Times New Roman" w:hAnsi="Times New Roman"/>
                <w:bCs/>
                <w:color w:val="000000"/>
                <w:sz w:val="24"/>
                <w:szCs w:val="24"/>
              </w:rPr>
              <w:t>d</w:t>
            </w:r>
            <w:r w:rsidRPr="002F4BC7">
              <w:rPr>
                <w:rFonts w:ascii="Times New Roman" w:hAnsi="Times New Roman"/>
                <w:bCs/>
                <w:color w:val="000000"/>
                <w:sz w:val="24"/>
                <w:szCs w:val="24"/>
              </w:rPr>
              <w:t xml:space="preserve"> that it has instituted procedures to protect the information’s confidentiality to the extent permitted by law.</w:t>
            </w:r>
          </w:p>
        </w:tc>
        <w:tc>
          <w:tcPr>
            <w:tcW w:w="0" w:type="auto"/>
          </w:tcPr>
          <w:p w:rsidR="00FA2F70" w:rsidRPr="00C879B4" w14:paraId="4B99056E" w14:textId="260E3C91">
            <w:pPr>
              <w:spacing w:after="0" w:line="240" w:lineRule="auto"/>
            </w:pPr>
          </w:p>
        </w:tc>
      </w:tr>
      <w:tr w14:paraId="1299C43A" w14:textId="77777777" w:rsidTr="3CA152E8">
        <w:tblPrEx>
          <w:tblW w:w="0" w:type="auto"/>
          <w:tblInd w:w="108" w:type="dxa"/>
          <w:tblLook w:val="04A0"/>
        </w:tblPrEx>
        <w:tc>
          <w:tcPr>
            <w:tcW w:w="9468" w:type="dxa"/>
            <w:shd w:val="clear" w:color="auto" w:fill="auto"/>
          </w:tcPr>
          <w:p w:rsidR="00FA2F70" w:rsidRPr="00C879B4" w:rsidP="001B4FB5" w14:paraId="4DDBEF00" w14:textId="77777777">
            <w:pPr>
              <w:spacing w:after="0" w:line="240" w:lineRule="auto"/>
              <w:rPr>
                <w:rFonts w:ascii="Times New Roman" w:hAnsi="Times New Roman"/>
                <w:b/>
                <w:color w:val="000000"/>
                <w:sz w:val="24"/>
                <w:szCs w:val="24"/>
              </w:rPr>
            </w:pPr>
          </w:p>
        </w:tc>
      </w:tr>
      <w:tr w14:paraId="60DE9485" w14:textId="77777777" w:rsidTr="3CA152E8">
        <w:tblPrEx>
          <w:tblW w:w="0" w:type="auto"/>
          <w:tblInd w:w="108" w:type="dxa"/>
          <w:tblLook w:val="04A0"/>
        </w:tblPrEx>
        <w:tc>
          <w:tcPr>
            <w:tcW w:w="9468" w:type="dxa"/>
            <w:shd w:val="clear" w:color="auto" w:fill="auto"/>
          </w:tcPr>
          <w:p w:rsidR="00895F89" w:rsidP="00895F89" w14:paraId="4C23432C" w14:textId="77777777">
            <w:pPr>
              <w:spacing w:after="160" w:line="240" w:lineRule="auto"/>
              <w:rPr>
                <w:rFonts w:ascii="Times New Roman" w:hAnsi="Times New Roman"/>
                <w:b/>
                <w:color w:val="000000"/>
                <w:sz w:val="24"/>
                <w:szCs w:val="24"/>
              </w:rPr>
            </w:pPr>
            <w:r w:rsidRPr="00C879B4">
              <w:rPr>
                <w:rFonts w:ascii="Times New Roman" w:hAnsi="Times New Roman"/>
                <w:b/>
                <w:color w:val="000000"/>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E76DCC">
              <w:rPr>
                <w:rFonts w:ascii="Times New Roman" w:hAnsi="Times New Roman"/>
                <w:b/>
                <w:color w:val="000000"/>
                <w:sz w:val="24"/>
                <w:szCs w:val="24"/>
              </w:rPr>
              <w:t xml:space="preserve"> </w:t>
            </w:r>
          </w:p>
          <w:p w:rsidR="00593CC4" w:rsidRPr="00593CC4" w:rsidP="00593CC4" w14:paraId="78368978" w14:textId="77777777">
            <w:pPr>
              <w:spacing w:after="0" w:line="240" w:lineRule="auto"/>
              <w:rPr>
                <w:rFonts w:ascii="Times New Roman" w:hAnsi="Times New Roman"/>
                <w:sz w:val="24"/>
                <w:szCs w:val="24"/>
              </w:rPr>
            </w:pPr>
            <w:bookmarkStart w:id="0" w:name="_Hlk508795324"/>
            <w:r w:rsidRPr="00593CC4">
              <w:rPr>
                <w:rFonts w:ascii="Times New Roman" w:hAnsi="Times New Roman"/>
                <w:sz w:val="24"/>
                <w:szCs w:val="24"/>
              </w:rPr>
              <w:t xml:space="preserve">In accordance with 5CFR 1320.8(d), this information collection soliciting public comments was announced in the </w:t>
            </w:r>
            <w:r w:rsidRPr="00593CC4">
              <w:rPr>
                <w:rFonts w:ascii="Times New Roman" w:hAnsi="Times New Roman"/>
                <w:i/>
                <w:sz w:val="24"/>
                <w:szCs w:val="24"/>
              </w:rPr>
              <w:t>Federal Register</w:t>
            </w:r>
            <w:r w:rsidRPr="00593CC4">
              <w:rPr>
                <w:rFonts w:ascii="Times New Roman" w:hAnsi="Times New Roman"/>
                <w:sz w:val="24"/>
                <w:szCs w:val="24"/>
              </w:rPr>
              <w:t xml:space="preserve"> on </w:t>
            </w:r>
            <w:r w:rsidRPr="00593CC4">
              <w:rPr>
                <w:rFonts w:ascii="Times New Roman" w:hAnsi="Times New Roman"/>
                <w:b/>
                <w:sz w:val="24"/>
                <w:szCs w:val="24"/>
              </w:rPr>
              <w:t>November 8, 2022</w:t>
            </w:r>
            <w:r w:rsidRPr="00593CC4">
              <w:rPr>
                <w:rFonts w:ascii="Times New Roman" w:hAnsi="Times New Roman"/>
                <w:sz w:val="24"/>
                <w:szCs w:val="24"/>
              </w:rPr>
              <w:t xml:space="preserve">, Volume </w:t>
            </w:r>
            <w:r w:rsidRPr="00593CC4">
              <w:rPr>
                <w:rFonts w:ascii="Times New Roman" w:hAnsi="Times New Roman"/>
                <w:b/>
                <w:sz w:val="24"/>
                <w:szCs w:val="24"/>
              </w:rPr>
              <w:t>87</w:t>
            </w:r>
            <w:r w:rsidRPr="00593CC4">
              <w:rPr>
                <w:rFonts w:ascii="Times New Roman" w:hAnsi="Times New Roman"/>
                <w:sz w:val="24"/>
                <w:szCs w:val="24"/>
              </w:rPr>
              <w:t xml:space="preserve">, No. </w:t>
            </w:r>
            <w:r w:rsidRPr="00593CC4">
              <w:rPr>
                <w:rFonts w:ascii="Times New Roman" w:hAnsi="Times New Roman"/>
                <w:b/>
                <w:sz w:val="24"/>
                <w:szCs w:val="24"/>
              </w:rPr>
              <w:t>215</w:t>
            </w:r>
            <w:r w:rsidRPr="00593CC4">
              <w:rPr>
                <w:rFonts w:ascii="Times New Roman" w:hAnsi="Times New Roman"/>
                <w:sz w:val="24"/>
                <w:szCs w:val="24"/>
              </w:rPr>
              <w:t xml:space="preserve">, Pages </w:t>
            </w:r>
            <w:r w:rsidRPr="00593CC4">
              <w:rPr>
                <w:rFonts w:ascii="Times New Roman" w:hAnsi="Times New Roman"/>
                <w:b/>
                <w:sz w:val="24"/>
                <w:szCs w:val="24"/>
              </w:rPr>
              <w:t>67482</w:t>
            </w:r>
            <w:r w:rsidRPr="00593CC4">
              <w:rPr>
                <w:rFonts w:ascii="Times New Roman" w:hAnsi="Times New Roman"/>
                <w:sz w:val="24"/>
                <w:szCs w:val="24"/>
              </w:rPr>
              <w:t>.  (0) Comments received.</w:t>
            </w:r>
          </w:p>
          <w:bookmarkEnd w:id="0"/>
          <w:p w:rsidR="00FA2F70" w:rsidRPr="00C879B4" w:rsidP="00895F89" w14:paraId="0F10AB04" w14:textId="46EE2577">
            <w:pPr>
              <w:spacing w:after="160" w:line="240" w:lineRule="auto"/>
              <w:rPr>
                <w:rFonts w:ascii="Times New Roman" w:hAnsi="Times New Roman"/>
                <w:b/>
                <w:color w:val="000000"/>
                <w:sz w:val="24"/>
                <w:szCs w:val="24"/>
              </w:rPr>
            </w:pPr>
          </w:p>
        </w:tc>
      </w:tr>
      <w:tr w14:paraId="3461D779" w14:textId="77777777" w:rsidTr="3CA152E8">
        <w:tblPrEx>
          <w:tblW w:w="0" w:type="auto"/>
          <w:tblInd w:w="108" w:type="dxa"/>
          <w:tblLook w:val="04A0"/>
        </w:tblPrEx>
        <w:tc>
          <w:tcPr>
            <w:tcW w:w="9468" w:type="dxa"/>
            <w:shd w:val="clear" w:color="auto" w:fill="auto"/>
          </w:tcPr>
          <w:p w:rsidR="00FA2F70" w:rsidRPr="001568F6" w:rsidP="001B4FB5" w14:paraId="3CF2D8B6" w14:textId="77777777">
            <w:pPr>
              <w:spacing w:after="0" w:line="240" w:lineRule="auto"/>
              <w:rPr>
                <w:rFonts w:ascii="Times New Roman" w:hAnsi="Times New Roman"/>
                <w:color w:val="000000"/>
                <w:sz w:val="24"/>
                <w:szCs w:val="24"/>
              </w:rPr>
            </w:pPr>
          </w:p>
        </w:tc>
      </w:tr>
      <w:tr w14:paraId="5FD7A4A5" w14:textId="77777777" w:rsidTr="3CA152E8">
        <w:tblPrEx>
          <w:tblW w:w="0" w:type="auto"/>
          <w:tblInd w:w="108" w:type="dxa"/>
          <w:tblLook w:val="04A0"/>
        </w:tblPrEx>
        <w:tc>
          <w:tcPr>
            <w:tcW w:w="9468" w:type="dxa"/>
            <w:shd w:val="clear" w:color="auto" w:fill="auto"/>
          </w:tcPr>
          <w:p w:rsidR="0021340A" w:rsidRPr="00C879B4" w:rsidP="00895F89" w14:paraId="6668E796" w14:textId="77777777">
            <w:pPr>
              <w:spacing w:after="160" w:line="240" w:lineRule="auto"/>
              <w:rPr>
                <w:rFonts w:ascii="Times New Roman" w:hAnsi="Times New Roman"/>
                <w:color w:val="000000"/>
                <w:sz w:val="24"/>
                <w:szCs w:val="24"/>
              </w:rPr>
            </w:pPr>
            <w:r w:rsidRPr="00C879B4">
              <w:rPr>
                <w:rFonts w:ascii="Times New Roman" w:hAnsi="Times New Roman"/>
                <w:b/>
                <w:color w:val="000000"/>
                <w:sz w:val="24"/>
                <w:szCs w:val="24"/>
              </w:rPr>
              <w:t>9. Explain any decision to provide any payment or gift to respondents, other than renumeration of contractors or grantees.</w:t>
            </w:r>
            <w:r w:rsidR="00E76DCC">
              <w:rPr>
                <w:rFonts w:ascii="Times New Roman" w:hAnsi="Times New Roman"/>
                <w:b/>
                <w:color w:val="000000"/>
                <w:sz w:val="24"/>
                <w:szCs w:val="24"/>
              </w:rPr>
              <w:t xml:space="preserve"> </w:t>
            </w:r>
          </w:p>
        </w:tc>
      </w:tr>
      <w:tr w14:paraId="5FEE55AD" w14:textId="77777777" w:rsidTr="3CA152E8">
        <w:tblPrEx>
          <w:tblW w:w="0" w:type="auto"/>
          <w:tblInd w:w="108" w:type="dxa"/>
          <w:tblLook w:val="04A0"/>
        </w:tblPrEx>
        <w:tc>
          <w:tcPr>
            <w:tcW w:w="9468" w:type="dxa"/>
            <w:shd w:val="clear" w:color="auto" w:fill="auto"/>
          </w:tcPr>
          <w:p w:rsidR="0021340A" w:rsidRPr="00C879B4" w:rsidP="00895F89" w14:paraId="41099550" w14:textId="77777777">
            <w:pPr>
              <w:spacing w:after="160" w:line="240" w:lineRule="auto"/>
              <w:rPr>
                <w:rFonts w:ascii="Times New Roman" w:hAnsi="Times New Roman"/>
                <w:color w:val="000000"/>
                <w:sz w:val="24"/>
                <w:szCs w:val="24"/>
              </w:rPr>
            </w:pPr>
            <w:r>
              <w:rPr>
                <w:rFonts w:ascii="Times New Roman" w:hAnsi="Times New Roman"/>
                <w:color w:val="000000"/>
                <w:sz w:val="24"/>
                <w:szCs w:val="24"/>
              </w:rPr>
              <w:t xml:space="preserve">There are no payments or gifts </w:t>
            </w:r>
            <w:r w:rsidR="00895F89">
              <w:rPr>
                <w:rFonts w:ascii="Times New Roman" w:hAnsi="Times New Roman"/>
                <w:color w:val="000000"/>
                <w:sz w:val="24"/>
                <w:szCs w:val="24"/>
              </w:rPr>
              <w:t xml:space="preserve">provided </w:t>
            </w:r>
            <w:r>
              <w:rPr>
                <w:rFonts w:ascii="Times New Roman" w:hAnsi="Times New Roman"/>
                <w:color w:val="000000"/>
                <w:sz w:val="24"/>
                <w:szCs w:val="24"/>
              </w:rPr>
              <w:t>to respondents.</w:t>
            </w:r>
          </w:p>
        </w:tc>
      </w:tr>
      <w:tr w14:paraId="492D0030" w14:textId="77777777" w:rsidTr="3CA152E8">
        <w:tblPrEx>
          <w:tblW w:w="0" w:type="auto"/>
          <w:tblInd w:w="108" w:type="dxa"/>
          <w:tblLook w:val="04A0"/>
        </w:tblPrEx>
        <w:tc>
          <w:tcPr>
            <w:tcW w:w="9468" w:type="dxa"/>
            <w:shd w:val="clear" w:color="auto" w:fill="auto"/>
          </w:tcPr>
          <w:p w:rsidR="00895F89" w:rsidP="00895F89" w14:paraId="079B1894" w14:textId="77777777">
            <w:pPr>
              <w:overflowPunct w:val="0"/>
              <w:autoSpaceDE w:val="0"/>
              <w:autoSpaceDN w:val="0"/>
              <w:adjustRightInd w:val="0"/>
              <w:spacing w:after="160" w:line="240" w:lineRule="auto"/>
              <w:textAlignment w:val="baseline"/>
              <w:rPr>
                <w:rFonts w:ascii="Times New Roman" w:hAnsi="Times New Roman"/>
                <w:b/>
                <w:color w:val="000000"/>
                <w:sz w:val="24"/>
                <w:szCs w:val="24"/>
              </w:rPr>
            </w:pPr>
            <w:r w:rsidRPr="00C879B4">
              <w:rPr>
                <w:rFonts w:ascii="Times New Roman" w:hAnsi="Times New Roman"/>
                <w:b/>
                <w:color w:val="000000"/>
                <w:sz w:val="24"/>
                <w:szCs w:val="24"/>
              </w:rPr>
              <w:t>10. Describe any assurance of confidentiality provided to respondents and the basis for the assurance in statute, regulation, or agency policy.</w:t>
            </w:r>
            <w:r w:rsidR="00E76DCC">
              <w:rPr>
                <w:rFonts w:ascii="Times New Roman" w:hAnsi="Times New Roman"/>
                <w:b/>
                <w:color w:val="000000"/>
                <w:sz w:val="24"/>
                <w:szCs w:val="24"/>
              </w:rPr>
              <w:t xml:space="preserve"> </w:t>
            </w:r>
          </w:p>
          <w:p w:rsidR="006A5173" w:rsidRPr="00C879B4" w:rsidP="00895F89" w14:paraId="780B321A" w14:textId="77777777">
            <w:pPr>
              <w:overflowPunct w:val="0"/>
              <w:autoSpaceDE w:val="0"/>
              <w:autoSpaceDN w:val="0"/>
              <w:adjustRightInd w:val="0"/>
              <w:spacing w:after="160" w:line="240" w:lineRule="auto"/>
              <w:textAlignment w:val="baseline"/>
              <w:rPr>
                <w:rFonts w:ascii="Times New Roman" w:hAnsi="Times New Roman"/>
                <w:b/>
                <w:color w:val="000000"/>
                <w:sz w:val="24"/>
                <w:szCs w:val="24"/>
              </w:rPr>
            </w:pPr>
            <w:r>
              <w:rPr>
                <w:rFonts w:ascii="Times New Roman" w:hAnsi="Times New Roman"/>
                <w:sz w:val="24"/>
                <w:szCs w:val="20"/>
              </w:rPr>
              <w:t xml:space="preserve">MDDR </w:t>
            </w:r>
            <w:r w:rsidRPr="00DF5D83">
              <w:rPr>
                <w:rFonts w:ascii="Times New Roman" w:hAnsi="Times New Roman"/>
                <w:sz w:val="24"/>
                <w:szCs w:val="20"/>
              </w:rPr>
              <w:t>does not collect personally identifiable information.</w:t>
            </w:r>
            <w:r w:rsidR="00ED22F4">
              <w:rPr>
                <w:rFonts w:ascii="Times New Roman" w:hAnsi="Times New Roman"/>
                <w:sz w:val="24"/>
                <w:szCs w:val="20"/>
              </w:rPr>
              <w:t xml:space="preserve"> </w:t>
            </w:r>
            <w:r>
              <w:rPr>
                <w:rFonts w:ascii="Times New Roman" w:hAnsi="Times New Roman"/>
                <w:sz w:val="24"/>
                <w:szCs w:val="20"/>
              </w:rPr>
              <w:t>Mortgagees register through a secure website for access to the system.</w:t>
            </w:r>
            <w:r w:rsidR="00ED22F4">
              <w:rPr>
                <w:rFonts w:ascii="Times New Roman" w:hAnsi="Times New Roman"/>
                <w:sz w:val="24"/>
                <w:szCs w:val="20"/>
              </w:rPr>
              <w:t xml:space="preserve"> </w:t>
            </w:r>
            <w:r w:rsidRPr="00DF5D83">
              <w:rPr>
                <w:rFonts w:ascii="Times New Roman" w:hAnsi="Times New Roman"/>
                <w:sz w:val="24"/>
                <w:szCs w:val="20"/>
              </w:rPr>
              <w:t xml:space="preserve">The data </w:t>
            </w:r>
            <w:r>
              <w:rPr>
                <w:rFonts w:ascii="Times New Roman" w:hAnsi="Times New Roman"/>
                <w:sz w:val="24"/>
                <w:szCs w:val="20"/>
              </w:rPr>
              <w:t>submitted includes FHA multifamily project name, FHA project number, the amount of the principal balance of the loan, and delinquent amounts of principal, interest, escrows.</w:t>
            </w:r>
            <w:r w:rsidR="00ED22F4">
              <w:rPr>
                <w:rFonts w:ascii="Times New Roman" w:hAnsi="Times New Roman"/>
                <w:sz w:val="24"/>
                <w:szCs w:val="20"/>
              </w:rPr>
              <w:t xml:space="preserve"> </w:t>
            </w:r>
            <w:r>
              <w:rPr>
                <w:rFonts w:ascii="Times New Roman" w:hAnsi="Times New Roman"/>
                <w:sz w:val="24"/>
                <w:szCs w:val="20"/>
              </w:rPr>
              <w:t>This information is for a property, n</w:t>
            </w:r>
            <w:r w:rsidRPr="00DF5D83">
              <w:rPr>
                <w:rFonts w:ascii="Times New Roman" w:hAnsi="Times New Roman"/>
                <w:sz w:val="24"/>
                <w:szCs w:val="20"/>
              </w:rPr>
              <w:t>ot an individual, and is therefore outside the scope of our privacy requirements.</w:t>
            </w:r>
            <w:r w:rsidR="00ED22F4">
              <w:rPr>
                <w:rFonts w:ascii="Times New Roman" w:hAnsi="Times New Roman"/>
                <w:sz w:val="24"/>
                <w:szCs w:val="20"/>
              </w:rPr>
              <w:t xml:space="preserve"> </w:t>
            </w:r>
            <w:r>
              <w:rPr>
                <w:rFonts w:ascii="Times New Roman" w:hAnsi="Times New Roman"/>
                <w:sz w:val="24"/>
                <w:szCs w:val="20"/>
              </w:rPr>
              <w:t>HUD may disclose this data only in response to a Freedom of Information Act request, however, some financial information may not be releasable.</w:t>
            </w:r>
            <w:r w:rsidR="00E76DCC">
              <w:rPr>
                <w:rFonts w:ascii="Times New Roman" w:hAnsi="Times New Roman"/>
                <w:sz w:val="24"/>
                <w:szCs w:val="20"/>
              </w:rPr>
              <w:t xml:space="preserve"> </w:t>
            </w:r>
          </w:p>
        </w:tc>
      </w:tr>
      <w:tr w14:paraId="0FB78278" w14:textId="77777777" w:rsidTr="3CA152E8">
        <w:tblPrEx>
          <w:tblW w:w="0" w:type="auto"/>
          <w:tblInd w:w="108" w:type="dxa"/>
          <w:tblLook w:val="04A0"/>
        </w:tblPrEx>
        <w:tc>
          <w:tcPr>
            <w:tcW w:w="9468" w:type="dxa"/>
            <w:shd w:val="clear" w:color="auto" w:fill="auto"/>
          </w:tcPr>
          <w:p w:rsidR="0021340A" w:rsidRPr="00C879B4" w:rsidP="001B4FB5" w14:paraId="1FC39945" w14:textId="77777777">
            <w:pPr>
              <w:spacing w:after="0" w:line="240" w:lineRule="auto"/>
              <w:rPr>
                <w:rFonts w:ascii="Times New Roman" w:hAnsi="Times New Roman"/>
                <w:b/>
                <w:color w:val="000000"/>
                <w:sz w:val="24"/>
                <w:szCs w:val="24"/>
              </w:rPr>
            </w:pPr>
          </w:p>
        </w:tc>
      </w:tr>
      <w:tr w14:paraId="34DF0823" w14:textId="77777777" w:rsidTr="3CA152E8">
        <w:tblPrEx>
          <w:tblW w:w="0" w:type="auto"/>
          <w:tblInd w:w="108" w:type="dxa"/>
          <w:tblLook w:val="04A0"/>
        </w:tblPrEx>
        <w:tc>
          <w:tcPr>
            <w:tcW w:w="9468" w:type="dxa"/>
            <w:shd w:val="clear" w:color="auto" w:fill="auto"/>
          </w:tcPr>
          <w:p w:rsidR="00DF5D83" w:rsidRPr="00DF5D83" w:rsidP="00895F89" w14:paraId="1948D897" w14:textId="77777777">
            <w:pPr>
              <w:spacing w:after="160" w:line="240" w:lineRule="auto"/>
              <w:rPr>
                <w:rFonts w:ascii="Times New Roman" w:hAnsi="Times New Roman"/>
                <w:color w:val="000000"/>
                <w:sz w:val="24"/>
                <w:szCs w:val="24"/>
              </w:rPr>
            </w:pPr>
            <w:r w:rsidRPr="00C879B4">
              <w:rPr>
                <w:rFonts w:ascii="Times New Roman" w:hAnsi="Times New Roman"/>
                <w:b/>
                <w:color w:val="000000"/>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E76DCC">
              <w:rPr>
                <w:rFonts w:ascii="Times New Roman" w:hAnsi="Times New Roman"/>
                <w:b/>
                <w:color w:val="000000"/>
                <w:sz w:val="24"/>
                <w:szCs w:val="24"/>
              </w:rPr>
              <w:t xml:space="preserve"> </w:t>
            </w:r>
            <w:r>
              <w:rPr>
                <w:rFonts w:ascii="Times New Roman" w:hAnsi="Times New Roman"/>
                <w:color w:val="000000"/>
                <w:sz w:val="24"/>
                <w:szCs w:val="24"/>
              </w:rPr>
              <w:t>There are no sensitive questions.</w:t>
            </w:r>
          </w:p>
        </w:tc>
      </w:tr>
      <w:tr w14:paraId="0562CB0E" w14:textId="77777777" w:rsidTr="3CA152E8">
        <w:tblPrEx>
          <w:tblW w:w="0" w:type="auto"/>
          <w:tblInd w:w="108" w:type="dxa"/>
          <w:tblLook w:val="04A0"/>
        </w:tblPrEx>
        <w:tc>
          <w:tcPr>
            <w:tcW w:w="9468" w:type="dxa"/>
            <w:shd w:val="clear" w:color="auto" w:fill="auto"/>
          </w:tcPr>
          <w:p w:rsidR="0021340A" w:rsidRPr="00C879B4" w:rsidP="00895F89" w14:paraId="34CE0A41" w14:textId="77777777">
            <w:pPr>
              <w:spacing w:after="160" w:line="240" w:lineRule="auto"/>
              <w:rPr>
                <w:rFonts w:ascii="Times New Roman" w:hAnsi="Times New Roman"/>
                <w:b/>
                <w:color w:val="000000"/>
                <w:sz w:val="24"/>
                <w:szCs w:val="24"/>
              </w:rPr>
            </w:pPr>
          </w:p>
        </w:tc>
      </w:tr>
      <w:tr w14:paraId="6D4FB5EA" w14:textId="77777777" w:rsidTr="3CA152E8">
        <w:tblPrEx>
          <w:tblW w:w="0" w:type="auto"/>
          <w:tblInd w:w="108" w:type="dxa"/>
          <w:tblLook w:val="04A0"/>
        </w:tblPrEx>
        <w:tc>
          <w:tcPr>
            <w:tcW w:w="9468" w:type="dxa"/>
            <w:shd w:val="clear" w:color="auto" w:fill="auto"/>
          </w:tcPr>
          <w:p w:rsidR="0021340A" w:rsidRPr="00C879B4" w:rsidP="00895F89" w14:paraId="09B37207" w14:textId="77777777">
            <w:pPr>
              <w:spacing w:after="160" w:line="240" w:lineRule="auto"/>
              <w:rPr>
                <w:rFonts w:ascii="Times New Roman" w:hAnsi="Times New Roman"/>
                <w:b/>
                <w:color w:val="000000"/>
                <w:sz w:val="24"/>
                <w:szCs w:val="24"/>
              </w:rPr>
            </w:pPr>
            <w:r w:rsidRPr="00C879B4">
              <w:rPr>
                <w:rFonts w:ascii="Times New Roman" w:hAnsi="Times New Roman"/>
                <w:b/>
                <w:color w:val="000000"/>
                <w:sz w:val="24"/>
                <w:szCs w:val="24"/>
              </w:rPr>
              <w:t>12. Provide estimates of the hour burden of the collection of information. The statement should:</w:t>
            </w:r>
            <w:r w:rsidR="002F4BC7">
              <w:rPr>
                <w:rFonts w:ascii="Times New Roman" w:hAnsi="Times New Roman"/>
                <w:b/>
                <w:color w:val="000000"/>
                <w:sz w:val="24"/>
                <w:szCs w:val="24"/>
              </w:rPr>
              <w:t xml:space="preserve"> </w:t>
            </w:r>
            <w:r w:rsidRPr="00C879B4">
              <w:rPr>
                <w:rFonts w:ascii="Times New Roman" w:hAnsi="Times New Roman"/>
                <w:color w:val="00000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2F4BC7">
              <w:rPr>
                <w:rFonts w:ascii="Times New Roman" w:hAnsi="Times New Roman"/>
                <w:color w:val="000000"/>
                <w:sz w:val="24"/>
                <w:szCs w:val="24"/>
              </w:rPr>
              <w:t xml:space="preserve"> </w:t>
            </w:r>
            <w:r w:rsidRPr="00C879B4">
              <w:rPr>
                <w:rFonts w:ascii="Times New Roman" w:hAnsi="Times New Roman"/>
                <w:color w:val="000000"/>
                <w:sz w:val="24"/>
                <w:szCs w:val="24"/>
              </w:rPr>
              <w:t>If this request for approval covers more than one form, provide separate hour burden estimates for each form and aggregate the hour burdens in Item 13 of OMB Form 83-I.</w:t>
            </w:r>
            <w:r w:rsidR="002F4BC7">
              <w:rPr>
                <w:rFonts w:ascii="Times New Roman" w:hAnsi="Times New Roman"/>
                <w:color w:val="000000"/>
                <w:sz w:val="24"/>
                <w:szCs w:val="24"/>
              </w:rPr>
              <w:t xml:space="preserve"> </w:t>
            </w:r>
            <w:r w:rsidRPr="00C879B4">
              <w:rPr>
                <w:rFonts w:ascii="Times New Roman" w:hAnsi="Times New Roman"/>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00E76DCC">
              <w:rPr>
                <w:rFonts w:ascii="Times New Roman" w:hAnsi="Times New Roman"/>
                <w:color w:val="000000"/>
                <w:sz w:val="24"/>
                <w:szCs w:val="24"/>
              </w:rPr>
              <w:t xml:space="preserve"> </w:t>
            </w:r>
          </w:p>
        </w:tc>
      </w:tr>
    </w:tbl>
    <w:p w:rsidR="00A81627" w:rsidP="00895F89" w14:paraId="62EBF3C5" w14:textId="77777777">
      <w:pPr>
        <w:spacing w:after="0" w:line="240" w:lineRule="auto"/>
        <w:rPr>
          <w:rFonts w:ascii="Times New Roman" w:hAnsi="Times New Roman"/>
          <w:b/>
          <w:color w:val="000000"/>
          <w:sz w:val="24"/>
          <w:szCs w:val="24"/>
        </w:rPr>
        <w:sectPr w:rsidSect="00551555">
          <w:footerReference w:type="even" r:id="rId9"/>
          <w:footerReference w:type="default" r:id="rId10"/>
          <w:pgSz w:w="12240" w:h="15840"/>
          <w:pgMar w:top="634" w:right="1080" w:bottom="1440" w:left="1080" w:header="360" w:footer="720" w:gutter="0"/>
          <w:cols w:space="720"/>
          <w:docGrid w:linePitch="360"/>
        </w:sectPr>
      </w:pPr>
    </w:p>
    <w:tbl>
      <w:tblPr>
        <w:tblStyle w:val="TableGrid"/>
        <w:tblW w:w="9495" w:type="dxa"/>
        <w:tblLayout w:type="fixed"/>
        <w:tblLook w:val="06A0"/>
      </w:tblPr>
      <w:tblGrid>
        <w:gridCol w:w="1650"/>
        <w:gridCol w:w="1455"/>
        <w:gridCol w:w="1200"/>
        <w:gridCol w:w="1245"/>
        <w:gridCol w:w="1125"/>
        <w:gridCol w:w="915"/>
        <w:gridCol w:w="870"/>
        <w:gridCol w:w="1035"/>
      </w:tblGrid>
      <w:tr w14:paraId="09707AEB" w14:textId="77777777" w:rsidTr="1F6B1E7A">
        <w:tblPrEx>
          <w:tblW w:w="9495" w:type="dxa"/>
          <w:tblLayout w:type="fixed"/>
          <w:tblLook w:val="06A0"/>
        </w:tblPrEx>
        <w:trPr>
          <w:trHeight w:val="285"/>
        </w:trPr>
        <w:tc>
          <w:tcPr>
            <w:tcW w:w="1650" w:type="dxa"/>
            <w:tcBorders>
              <w:top w:val="nil"/>
              <w:left w:val="nil"/>
              <w:bottom w:val="nil"/>
              <w:right w:val="nil"/>
            </w:tcBorders>
            <w:vAlign w:val="bottom"/>
          </w:tcPr>
          <w:p w:rsidR="0B68F786" w:rsidP="0B68F786" w14:paraId="710CFD4D" w14:textId="4FADA823">
            <w:pPr>
              <w:spacing w:after="0"/>
            </w:pPr>
          </w:p>
        </w:tc>
        <w:tc>
          <w:tcPr>
            <w:tcW w:w="7845" w:type="dxa"/>
            <w:gridSpan w:val="7"/>
            <w:tcBorders>
              <w:top w:val="nil"/>
              <w:left w:val="nil"/>
              <w:bottom w:val="nil"/>
              <w:right w:val="nil"/>
            </w:tcBorders>
            <w:vAlign w:val="bottom"/>
          </w:tcPr>
          <w:p w:rsidR="5DC9BB09" w:rsidP="0B68F786" w14:paraId="1BFAF2C3" w14:textId="694E59E9">
            <w:r w:rsidRPr="0B68F786">
              <w:rPr>
                <w:rFonts w:eastAsia="Calibri" w:cs="Calibri"/>
                <w:b/>
                <w:bCs/>
                <w:color w:val="000000" w:themeColor="text1"/>
              </w:rPr>
              <w:t>Estimates of the Hour burden of the Collection of Information</w:t>
            </w:r>
          </w:p>
        </w:tc>
      </w:tr>
      <w:tr w14:paraId="41D4E8B3" w14:textId="77777777" w:rsidTr="1F6B1E7A">
        <w:tblPrEx>
          <w:tblW w:w="9495" w:type="dxa"/>
          <w:tblLayout w:type="fixed"/>
          <w:tblLook w:val="06A0"/>
        </w:tblPrEx>
        <w:trPr>
          <w:trHeight w:val="1215"/>
        </w:trPr>
        <w:tc>
          <w:tcPr>
            <w:tcW w:w="1650" w:type="dxa"/>
            <w:tcBorders>
              <w:top w:val="single" w:sz="4" w:space="0" w:color="auto"/>
              <w:left w:val="single" w:sz="4" w:space="0" w:color="auto"/>
              <w:bottom w:val="nil"/>
              <w:right w:val="single" w:sz="4" w:space="0" w:color="auto"/>
            </w:tcBorders>
          </w:tcPr>
          <w:p w:rsidR="0B68F786" w:rsidP="0B68F786" w14:paraId="34B95969" w14:textId="477C68AA">
            <w:pPr>
              <w:jc w:val="center"/>
            </w:pPr>
            <w:r w:rsidRPr="0B68F786">
              <w:rPr>
                <w:rFonts w:eastAsia="Calibri" w:cs="Calibri"/>
                <w:b/>
                <w:bCs/>
                <w:color w:val="000000" w:themeColor="text1"/>
              </w:rPr>
              <w:t>Information</w:t>
            </w:r>
            <w:r>
              <w:br/>
            </w:r>
            <w:r w:rsidRPr="0B68F786">
              <w:rPr>
                <w:rFonts w:eastAsia="Calibri" w:cs="Calibri"/>
                <w:b/>
                <w:bCs/>
                <w:color w:val="000000" w:themeColor="text1"/>
              </w:rPr>
              <w:t xml:space="preserve"> Collection</w:t>
            </w:r>
          </w:p>
        </w:tc>
        <w:tc>
          <w:tcPr>
            <w:tcW w:w="1455" w:type="dxa"/>
            <w:tcBorders>
              <w:top w:val="single" w:sz="4" w:space="0" w:color="auto"/>
              <w:left w:val="single" w:sz="4" w:space="0" w:color="auto"/>
              <w:bottom w:val="single" w:sz="4" w:space="0" w:color="auto"/>
              <w:right w:val="single" w:sz="4" w:space="0" w:color="auto"/>
            </w:tcBorders>
          </w:tcPr>
          <w:p w:rsidR="0B68F786" w:rsidP="0B68F786" w14:paraId="086ED7D3" w14:textId="77DD5069">
            <w:pPr>
              <w:jc w:val="center"/>
            </w:pPr>
            <w:r w:rsidRPr="0B68F786">
              <w:rPr>
                <w:rFonts w:eastAsia="Calibri" w:cs="Calibri"/>
                <w:b/>
                <w:bCs/>
                <w:color w:val="000000" w:themeColor="text1"/>
              </w:rPr>
              <w:t xml:space="preserve">Number </w:t>
            </w:r>
            <w:r>
              <w:br/>
            </w:r>
            <w:r w:rsidRPr="0B68F786">
              <w:rPr>
                <w:rFonts w:eastAsia="Calibri" w:cs="Calibri"/>
                <w:b/>
                <w:bCs/>
                <w:color w:val="000000" w:themeColor="text1"/>
              </w:rPr>
              <w:t xml:space="preserve">of </w:t>
            </w:r>
            <w:r>
              <w:br/>
            </w:r>
            <w:r w:rsidRPr="0B68F786">
              <w:rPr>
                <w:rFonts w:eastAsia="Calibri" w:cs="Calibri"/>
                <w:b/>
                <w:bCs/>
                <w:color w:val="000000" w:themeColor="text1"/>
              </w:rPr>
              <w:t>Respondents*</w:t>
            </w:r>
          </w:p>
        </w:tc>
        <w:tc>
          <w:tcPr>
            <w:tcW w:w="1200" w:type="dxa"/>
            <w:tcBorders>
              <w:top w:val="single" w:sz="4" w:space="0" w:color="auto"/>
              <w:left w:val="single" w:sz="4" w:space="0" w:color="auto"/>
              <w:bottom w:val="single" w:sz="4" w:space="0" w:color="auto"/>
              <w:right w:val="single" w:sz="4" w:space="0" w:color="auto"/>
            </w:tcBorders>
          </w:tcPr>
          <w:p w:rsidR="0B68F786" w:rsidP="0B68F786" w14:paraId="433BBA35" w14:textId="0FCBE60D">
            <w:pPr>
              <w:jc w:val="center"/>
            </w:pPr>
            <w:r w:rsidRPr="0B68F786">
              <w:rPr>
                <w:rFonts w:eastAsia="Calibri" w:cs="Calibri"/>
                <w:b/>
                <w:bCs/>
                <w:color w:val="000000" w:themeColor="text1"/>
              </w:rPr>
              <w:t xml:space="preserve">Frequency of </w:t>
            </w:r>
            <w:r>
              <w:br/>
            </w:r>
            <w:r w:rsidRPr="0B68F786">
              <w:rPr>
                <w:rFonts w:eastAsia="Calibri" w:cs="Calibri"/>
                <w:b/>
                <w:bCs/>
                <w:color w:val="000000" w:themeColor="text1"/>
              </w:rPr>
              <w:t>Response</w:t>
            </w:r>
          </w:p>
        </w:tc>
        <w:tc>
          <w:tcPr>
            <w:tcW w:w="1245" w:type="dxa"/>
            <w:tcBorders>
              <w:top w:val="single" w:sz="4" w:space="0" w:color="auto"/>
              <w:left w:val="single" w:sz="4" w:space="0" w:color="auto"/>
              <w:bottom w:val="single" w:sz="4" w:space="0" w:color="auto"/>
              <w:right w:val="single" w:sz="4" w:space="0" w:color="auto"/>
            </w:tcBorders>
          </w:tcPr>
          <w:p w:rsidR="0B68F786" w:rsidP="0B68F786" w14:paraId="4082BD19" w14:textId="5FCFF55B">
            <w:pPr>
              <w:jc w:val="center"/>
            </w:pPr>
            <w:r w:rsidRPr="0B68F786">
              <w:rPr>
                <w:rFonts w:eastAsia="Calibri" w:cs="Calibri"/>
                <w:b/>
                <w:bCs/>
                <w:color w:val="000000" w:themeColor="text1"/>
              </w:rPr>
              <w:t xml:space="preserve">Total </w:t>
            </w:r>
            <w:r>
              <w:br/>
            </w:r>
            <w:r w:rsidRPr="0B68F786">
              <w:rPr>
                <w:rFonts w:eastAsia="Calibri" w:cs="Calibri"/>
                <w:b/>
                <w:bCs/>
                <w:color w:val="000000" w:themeColor="text1"/>
              </w:rPr>
              <w:t xml:space="preserve">Annual </w:t>
            </w:r>
            <w:r>
              <w:br/>
            </w:r>
            <w:r w:rsidRPr="0B68F786">
              <w:rPr>
                <w:rFonts w:eastAsia="Calibri" w:cs="Calibri"/>
                <w:b/>
                <w:bCs/>
                <w:color w:val="000000" w:themeColor="text1"/>
              </w:rPr>
              <w:t>Responses</w:t>
            </w:r>
          </w:p>
        </w:tc>
        <w:tc>
          <w:tcPr>
            <w:tcW w:w="1125" w:type="dxa"/>
            <w:tcBorders>
              <w:top w:val="single" w:sz="4" w:space="0" w:color="auto"/>
              <w:left w:val="single" w:sz="4" w:space="0" w:color="auto"/>
              <w:bottom w:val="single" w:sz="4" w:space="0" w:color="auto"/>
              <w:right w:val="single" w:sz="4" w:space="0" w:color="auto"/>
            </w:tcBorders>
          </w:tcPr>
          <w:p w:rsidR="0B68F786" w:rsidP="0B68F786" w14:paraId="4E30FB4B" w14:textId="6B9A1DD4">
            <w:pPr>
              <w:jc w:val="center"/>
            </w:pPr>
            <w:r w:rsidRPr="0B68F786">
              <w:rPr>
                <w:rFonts w:eastAsia="Calibri" w:cs="Calibri"/>
                <w:b/>
                <w:bCs/>
                <w:color w:val="000000" w:themeColor="text1"/>
              </w:rPr>
              <w:t xml:space="preserve">Burden </w:t>
            </w:r>
            <w:r>
              <w:br/>
            </w:r>
            <w:r w:rsidRPr="0B68F786">
              <w:rPr>
                <w:rFonts w:eastAsia="Calibri" w:cs="Calibri"/>
                <w:b/>
                <w:bCs/>
                <w:color w:val="000000" w:themeColor="text1"/>
              </w:rPr>
              <w:t>Hours per Response</w:t>
            </w:r>
          </w:p>
        </w:tc>
        <w:tc>
          <w:tcPr>
            <w:tcW w:w="915" w:type="dxa"/>
            <w:tcBorders>
              <w:top w:val="single" w:sz="4" w:space="0" w:color="auto"/>
              <w:left w:val="single" w:sz="4" w:space="0" w:color="auto"/>
              <w:bottom w:val="single" w:sz="4" w:space="0" w:color="auto"/>
              <w:right w:val="single" w:sz="4" w:space="0" w:color="auto"/>
            </w:tcBorders>
          </w:tcPr>
          <w:p w:rsidR="0B68F786" w:rsidP="0B68F786" w14:paraId="53900368" w14:textId="6AC378BF">
            <w:pPr>
              <w:jc w:val="center"/>
            </w:pPr>
            <w:r w:rsidRPr="0B68F786">
              <w:rPr>
                <w:rFonts w:eastAsia="Calibri" w:cs="Calibri"/>
                <w:b/>
                <w:bCs/>
                <w:color w:val="000000" w:themeColor="text1"/>
              </w:rPr>
              <w:t>Annual Burden Hours</w:t>
            </w:r>
          </w:p>
        </w:tc>
        <w:tc>
          <w:tcPr>
            <w:tcW w:w="870" w:type="dxa"/>
            <w:tcBorders>
              <w:top w:val="single" w:sz="4" w:space="0" w:color="auto"/>
              <w:left w:val="single" w:sz="4" w:space="0" w:color="auto"/>
              <w:bottom w:val="nil"/>
              <w:right w:val="single" w:sz="4" w:space="0" w:color="auto"/>
            </w:tcBorders>
          </w:tcPr>
          <w:p w:rsidR="0B68F786" w:rsidP="0B68F786" w14:paraId="4BAB91C7" w14:textId="0E3EDE29">
            <w:pPr>
              <w:jc w:val="center"/>
            </w:pPr>
            <w:r w:rsidRPr="24BDDF92">
              <w:rPr>
                <w:rFonts w:eastAsia="Calibri" w:cs="Calibri"/>
                <w:b/>
                <w:bCs/>
                <w:color w:val="000000" w:themeColor="text1"/>
              </w:rPr>
              <w:t>Hourly Cost*</w:t>
            </w:r>
            <w:r w:rsidRPr="24BDDF92" w:rsidR="647C070E">
              <w:rPr>
                <w:rFonts w:eastAsia="Calibri" w:cs="Calibri"/>
                <w:b/>
                <w:bCs/>
                <w:color w:val="000000" w:themeColor="text1"/>
              </w:rPr>
              <w:t>*</w:t>
            </w:r>
          </w:p>
        </w:tc>
        <w:tc>
          <w:tcPr>
            <w:tcW w:w="1035" w:type="dxa"/>
            <w:tcBorders>
              <w:top w:val="single" w:sz="4" w:space="0" w:color="auto"/>
              <w:left w:val="single" w:sz="4" w:space="0" w:color="auto"/>
              <w:bottom w:val="single" w:sz="4" w:space="0" w:color="auto"/>
              <w:right w:val="single" w:sz="4" w:space="0" w:color="auto"/>
            </w:tcBorders>
          </w:tcPr>
          <w:p w:rsidR="0B68F786" w:rsidP="0B68F786" w14:paraId="364F40FF" w14:textId="77AC17ED">
            <w:pPr>
              <w:jc w:val="center"/>
            </w:pPr>
            <w:r w:rsidRPr="0B68F786">
              <w:rPr>
                <w:rFonts w:eastAsia="Calibri" w:cs="Calibri"/>
                <w:b/>
                <w:bCs/>
                <w:color w:val="000000" w:themeColor="text1"/>
              </w:rPr>
              <w:t xml:space="preserve">Total </w:t>
            </w:r>
            <w:r>
              <w:br/>
            </w:r>
            <w:r w:rsidRPr="0B68F786">
              <w:rPr>
                <w:rFonts w:eastAsia="Calibri" w:cs="Calibri"/>
                <w:b/>
                <w:bCs/>
                <w:color w:val="000000" w:themeColor="text1"/>
              </w:rPr>
              <w:t xml:space="preserve">Annual </w:t>
            </w:r>
            <w:r>
              <w:br/>
            </w:r>
            <w:r w:rsidRPr="0B68F786">
              <w:rPr>
                <w:rFonts w:eastAsia="Calibri" w:cs="Calibri"/>
                <w:b/>
                <w:bCs/>
                <w:color w:val="000000" w:themeColor="text1"/>
              </w:rPr>
              <w:t>Cost</w:t>
            </w:r>
          </w:p>
        </w:tc>
      </w:tr>
      <w:tr w14:paraId="70163040" w14:textId="77777777" w:rsidTr="1F6B1E7A">
        <w:tblPrEx>
          <w:tblW w:w="9495" w:type="dxa"/>
          <w:tblLayout w:type="fixed"/>
          <w:tblLook w:val="06A0"/>
        </w:tblPrEx>
        <w:trPr>
          <w:trHeight w:val="615"/>
        </w:trPr>
        <w:tc>
          <w:tcPr>
            <w:tcW w:w="1650" w:type="dxa"/>
            <w:tcBorders>
              <w:top w:val="single" w:sz="4" w:space="0" w:color="000000" w:themeColor="text1"/>
              <w:left w:val="single" w:sz="4" w:space="0" w:color="000000" w:themeColor="text1"/>
              <w:bottom w:val="nil"/>
              <w:right w:val="single" w:sz="4" w:space="0" w:color="000000" w:themeColor="text1"/>
            </w:tcBorders>
            <w:vAlign w:val="center"/>
          </w:tcPr>
          <w:p w:rsidR="0B68F786" w:rsidP="0B68F786" w14:paraId="212BA0A5" w14:textId="7B2F6901">
            <w:pPr>
              <w:jc w:val="center"/>
            </w:pPr>
            <w:r w:rsidRPr="0B68F786">
              <w:rPr>
                <w:rFonts w:eastAsia="Calibri" w:cs="Calibri"/>
                <w:color w:val="000000" w:themeColor="text1"/>
              </w:rPr>
              <w:t xml:space="preserve">Initial </w:t>
            </w:r>
            <w:r>
              <w:br/>
            </w:r>
            <w:r w:rsidRPr="0B68F786">
              <w:rPr>
                <w:rFonts w:eastAsia="Calibri" w:cs="Calibri"/>
                <w:color w:val="000000" w:themeColor="text1"/>
              </w:rPr>
              <w:t>Defaults</w:t>
            </w:r>
          </w:p>
        </w:tc>
        <w:tc>
          <w:tcPr>
            <w:tcW w:w="1455" w:type="dxa"/>
            <w:tcBorders>
              <w:top w:val="single" w:sz="4" w:space="0" w:color="auto"/>
              <w:left w:val="single" w:sz="4" w:space="0" w:color="000000" w:themeColor="text1"/>
              <w:bottom w:val="single" w:sz="4" w:space="0" w:color="auto"/>
              <w:right w:val="single" w:sz="4" w:space="0" w:color="auto"/>
            </w:tcBorders>
            <w:vAlign w:val="center"/>
          </w:tcPr>
          <w:p w:rsidR="0B68F786" w:rsidP="0B68F786" w14:paraId="191DEC2A" w14:textId="70385792">
            <w:pPr>
              <w:jc w:val="center"/>
            </w:pPr>
            <w:r w:rsidRPr="0B68F786">
              <w:rPr>
                <w:rFonts w:eastAsia="Calibri" w:cs="Calibri"/>
                <w:color w:val="000000" w:themeColor="text1"/>
              </w:rPr>
              <w:t>114</w:t>
            </w:r>
          </w:p>
        </w:tc>
        <w:tc>
          <w:tcPr>
            <w:tcW w:w="1200" w:type="dxa"/>
            <w:tcBorders>
              <w:top w:val="single" w:sz="4" w:space="0" w:color="auto"/>
              <w:left w:val="single" w:sz="4" w:space="0" w:color="auto"/>
              <w:bottom w:val="single" w:sz="4" w:space="0" w:color="auto"/>
              <w:right w:val="single" w:sz="4" w:space="0" w:color="auto"/>
            </w:tcBorders>
            <w:vAlign w:val="center"/>
          </w:tcPr>
          <w:p w:rsidR="0B68F786" w:rsidP="0B68F786" w14:paraId="4C443C48" w14:textId="47B4D9B2">
            <w:pPr>
              <w:jc w:val="center"/>
            </w:pPr>
            <w:r w:rsidRPr="0B68F786">
              <w:rPr>
                <w:rFonts w:eastAsia="Calibri" w:cs="Calibri"/>
                <w:color w:val="000000" w:themeColor="text1"/>
              </w:rPr>
              <w:t>444</w:t>
            </w:r>
          </w:p>
        </w:tc>
        <w:tc>
          <w:tcPr>
            <w:tcW w:w="1245" w:type="dxa"/>
            <w:tcBorders>
              <w:top w:val="single" w:sz="4" w:space="0" w:color="auto"/>
              <w:left w:val="single" w:sz="4" w:space="0" w:color="auto"/>
              <w:bottom w:val="single" w:sz="4" w:space="0" w:color="auto"/>
              <w:right w:val="single" w:sz="4" w:space="0" w:color="auto"/>
            </w:tcBorders>
            <w:vAlign w:val="center"/>
          </w:tcPr>
          <w:p w:rsidR="0B68F786" w:rsidP="0B68F786" w14:paraId="738798F3" w14:textId="6265B2AD">
            <w:pPr>
              <w:jc w:val="center"/>
            </w:pPr>
            <w:r w:rsidRPr="0B68F786">
              <w:rPr>
                <w:rFonts w:eastAsia="Calibri" w:cs="Calibri"/>
                <w:color w:val="000000" w:themeColor="text1"/>
              </w:rPr>
              <w:t xml:space="preserve">444 </w:t>
            </w:r>
          </w:p>
        </w:tc>
        <w:tc>
          <w:tcPr>
            <w:tcW w:w="1125" w:type="dxa"/>
            <w:tcBorders>
              <w:top w:val="single" w:sz="4" w:space="0" w:color="auto"/>
              <w:left w:val="single" w:sz="4" w:space="0" w:color="auto"/>
              <w:bottom w:val="single" w:sz="4" w:space="0" w:color="auto"/>
              <w:right w:val="single" w:sz="4" w:space="0" w:color="auto"/>
            </w:tcBorders>
            <w:vAlign w:val="center"/>
          </w:tcPr>
          <w:p w:rsidR="0B68F786" w:rsidP="0B68F786" w14:paraId="548CC38F" w14:textId="44899476">
            <w:pPr>
              <w:jc w:val="center"/>
            </w:pPr>
            <w:r w:rsidRPr="0B68F786">
              <w:rPr>
                <w:rFonts w:eastAsia="Calibri" w:cs="Calibri"/>
                <w:color w:val="000000" w:themeColor="text1"/>
              </w:rPr>
              <w:t>0.1666</w:t>
            </w:r>
          </w:p>
        </w:tc>
        <w:tc>
          <w:tcPr>
            <w:tcW w:w="915" w:type="dxa"/>
            <w:tcBorders>
              <w:top w:val="single" w:sz="4" w:space="0" w:color="auto"/>
              <w:left w:val="single" w:sz="4" w:space="0" w:color="auto"/>
              <w:bottom w:val="single" w:sz="4" w:space="0" w:color="auto"/>
              <w:right w:val="nil"/>
            </w:tcBorders>
            <w:vAlign w:val="center"/>
          </w:tcPr>
          <w:p w:rsidR="0B68F786" w:rsidP="0B68F786" w14:paraId="239FD7CF" w14:textId="786F756F">
            <w:pPr>
              <w:jc w:val="center"/>
            </w:pPr>
            <w:r w:rsidRPr="0B68F786">
              <w:rPr>
                <w:rFonts w:eastAsia="Calibri" w:cs="Calibri"/>
                <w:color w:val="000000" w:themeColor="text1"/>
              </w:rPr>
              <w:t xml:space="preserve">74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78BEC4E7" w14:textId="3F9F73D6">
            <w:pPr>
              <w:jc w:val="center"/>
            </w:pPr>
            <w:r w:rsidRPr="0B68F786">
              <w:rPr>
                <w:color w:val="000000" w:themeColor="text1"/>
                <w:sz w:val="20"/>
                <w:szCs w:val="20"/>
              </w:rPr>
              <w:t xml:space="preserve"> $43.77 </w:t>
            </w:r>
          </w:p>
        </w:tc>
        <w:tc>
          <w:tcPr>
            <w:tcW w:w="1035" w:type="dxa"/>
            <w:tcBorders>
              <w:top w:val="single" w:sz="4" w:space="0" w:color="auto"/>
              <w:left w:val="single" w:sz="4" w:space="0" w:color="000000" w:themeColor="text1"/>
              <w:bottom w:val="single" w:sz="4" w:space="0" w:color="auto"/>
              <w:right w:val="single" w:sz="4" w:space="0" w:color="auto"/>
            </w:tcBorders>
            <w:vAlign w:val="center"/>
          </w:tcPr>
          <w:p w:rsidR="0B68F786" w:rsidP="0B68F786" w14:paraId="3A70693B" w14:textId="4346BC94">
            <w:pPr>
              <w:jc w:val="center"/>
            </w:pPr>
            <w:r w:rsidRPr="0B68F786">
              <w:rPr>
                <w:rFonts w:eastAsia="Calibri" w:cs="Calibri"/>
                <w:color w:val="000000" w:themeColor="text1"/>
              </w:rPr>
              <w:t xml:space="preserve">$3,237.76 </w:t>
            </w:r>
          </w:p>
        </w:tc>
      </w:tr>
      <w:tr w14:paraId="31326B02" w14:textId="77777777" w:rsidTr="1F6B1E7A">
        <w:tblPrEx>
          <w:tblW w:w="9495" w:type="dxa"/>
          <w:tblLayout w:type="fixed"/>
          <w:tblLook w:val="06A0"/>
        </w:tblPrEx>
        <w:trPr>
          <w:trHeight w:val="615"/>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B68F786" w:rsidP="0B68F786" w14:paraId="27247E79" w14:textId="0F116055">
            <w:pPr>
              <w:jc w:val="center"/>
            </w:pPr>
            <w:r w:rsidRPr="0B68F786">
              <w:rPr>
                <w:rFonts w:eastAsia="Calibri" w:cs="Calibri"/>
                <w:color w:val="000000" w:themeColor="text1"/>
              </w:rPr>
              <w:t>30-day Extension</w:t>
            </w:r>
          </w:p>
        </w:tc>
        <w:tc>
          <w:tcPr>
            <w:tcW w:w="1455" w:type="dxa"/>
            <w:tcBorders>
              <w:top w:val="single" w:sz="4" w:space="0" w:color="auto"/>
              <w:left w:val="single" w:sz="4" w:space="0" w:color="000000" w:themeColor="text1"/>
              <w:bottom w:val="single" w:sz="4" w:space="0" w:color="auto"/>
              <w:right w:val="single" w:sz="4" w:space="0" w:color="auto"/>
            </w:tcBorders>
            <w:vAlign w:val="center"/>
          </w:tcPr>
          <w:p w:rsidR="0B68F786" w:rsidP="0B68F786" w14:paraId="66AAB735" w14:textId="3DE848AF">
            <w:pPr>
              <w:jc w:val="center"/>
            </w:pPr>
            <w:r w:rsidRPr="0B68F786">
              <w:rPr>
                <w:rFonts w:eastAsia="Calibri" w:cs="Calibri"/>
                <w:color w:val="000000" w:themeColor="text1"/>
              </w:rPr>
              <w:t>114</w:t>
            </w:r>
          </w:p>
        </w:tc>
        <w:tc>
          <w:tcPr>
            <w:tcW w:w="1200" w:type="dxa"/>
            <w:tcBorders>
              <w:top w:val="single" w:sz="4" w:space="0" w:color="auto"/>
              <w:left w:val="single" w:sz="4" w:space="0" w:color="auto"/>
              <w:bottom w:val="single" w:sz="4" w:space="0" w:color="auto"/>
              <w:right w:val="single" w:sz="4" w:space="0" w:color="auto"/>
            </w:tcBorders>
            <w:vAlign w:val="center"/>
          </w:tcPr>
          <w:p w:rsidR="0B68F786" w:rsidP="0B68F786" w14:paraId="47D19755" w14:textId="6D70943C">
            <w:pPr>
              <w:jc w:val="center"/>
            </w:pPr>
            <w:r w:rsidRPr="0B68F786">
              <w:rPr>
                <w:rFonts w:eastAsia="Calibri" w:cs="Calibri"/>
                <w:color w:val="000000" w:themeColor="text1"/>
              </w:rPr>
              <w:t>978</w:t>
            </w:r>
          </w:p>
        </w:tc>
        <w:tc>
          <w:tcPr>
            <w:tcW w:w="1245" w:type="dxa"/>
            <w:tcBorders>
              <w:top w:val="single" w:sz="4" w:space="0" w:color="auto"/>
              <w:left w:val="single" w:sz="4" w:space="0" w:color="auto"/>
              <w:bottom w:val="single" w:sz="4" w:space="0" w:color="auto"/>
              <w:right w:val="single" w:sz="4" w:space="0" w:color="auto"/>
            </w:tcBorders>
            <w:vAlign w:val="center"/>
          </w:tcPr>
          <w:p w:rsidR="0B68F786" w:rsidP="0B68F786" w14:paraId="104AFC41" w14:textId="233C9726">
            <w:pPr>
              <w:jc w:val="center"/>
            </w:pPr>
            <w:r w:rsidRPr="0B68F786">
              <w:rPr>
                <w:rFonts w:eastAsia="Calibri" w:cs="Calibri"/>
                <w:color w:val="000000" w:themeColor="text1"/>
              </w:rPr>
              <w:t xml:space="preserve">978 </w:t>
            </w:r>
          </w:p>
        </w:tc>
        <w:tc>
          <w:tcPr>
            <w:tcW w:w="1125" w:type="dxa"/>
            <w:tcBorders>
              <w:top w:val="single" w:sz="4" w:space="0" w:color="auto"/>
              <w:left w:val="single" w:sz="4" w:space="0" w:color="auto"/>
              <w:bottom w:val="single" w:sz="4" w:space="0" w:color="auto"/>
              <w:right w:val="single" w:sz="4" w:space="0" w:color="auto"/>
            </w:tcBorders>
            <w:vAlign w:val="center"/>
          </w:tcPr>
          <w:p w:rsidR="0B68F786" w:rsidP="0B68F786" w14:paraId="200C1881" w14:textId="71633B2B">
            <w:pPr>
              <w:jc w:val="center"/>
            </w:pPr>
            <w:r w:rsidRPr="0B68F786">
              <w:rPr>
                <w:rFonts w:eastAsia="Calibri" w:cs="Calibri"/>
                <w:color w:val="000000" w:themeColor="text1"/>
              </w:rPr>
              <w:t>0.1666</w:t>
            </w:r>
          </w:p>
        </w:tc>
        <w:tc>
          <w:tcPr>
            <w:tcW w:w="915" w:type="dxa"/>
            <w:tcBorders>
              <w:top w:val="single" w:sz="4" w:space="0" w:color="auto"/>
              <w:left w:val="single" w:sz="4" w:space="0" w:color="auto"/>
              <w:bottom w:val="single" w:sz="4" w:space="0" w:color="auto"/>
              <w:right w:val="nil"/>
            </w:tcBorders>
            <w:vAlign w:val="center"/>
          </w:tcPr>
          <w:p w:rsidR="0B68F786" w:rsidP="0B68F786" w14:paraId="38F7EB48" w14:textId="1F5BA0E3">
            <w:pPr>
              <w:jc w:val="center"/>
            </w:pPr>
            <w:r w:rsidRPr="0B68F786">
              <w:rPr>
                <w:rFonts w:eastAsia="Calibri" w:cs="Calibri"/>
                <w:color w:val="000000" w:themeColor="text1"/>
              </w:rPr>
              <w:t xml:space="preserve">163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70793FEC" w14:textId="697B386C">
            <w:pPr>
              <w:jc w:val="center"/>
            </w:pPr>
            <w:r w:rsidRPr="0B68F786">
              <w:rPr>
                <w:color w:val="000000" w:themeColor="text1"/>
                <w:sz w:val="20"/>
                <w:szCs w:val="20"/>
              </w:rPr>
              <w:t xml:space="preserve"> $43.77 </w:t>
            </w:r>
          </w:p>
        </w:tc>
        <w:tc>
          <w:tcPr>
            <w:tcW w:w="1035" w:type="dxa"/>
            <w:tcBorders>
              <w:top w:val="single" w:sz="4" w:space="0" w:color="auto"/>
              <w:left w:val="single" w:sz="4" w:space="0" w:color="000000" w:themeColor="text1"/>
              <w:bottom w:val="single" w:sz="4" w:space="0" w:color="auto"/>
              <w:right w:val="single" w:sz="4" w:space="0" w:color="auto"/>
            </w:tcBorders>
            <w:vAlign w:val="center"/>
          </w:tcPr>
          <w:p w:rsidR="0B68F786" w:rsidP="0B68F786" w14:paraId="7535C38E" w14:textId="0BBD552F">
            <w:pPr>
              <w:jc w:val="center"/>
            </w:pPr>
            <w:r w:rsidRPr="0B68F786">
              <w:rPr>
                <w:rFonts w:eastAsia="Calibri" w:cs="Calibri"/>
                <w:color w:val="000000" w:themeColor="text1"/>
              </w:rPr>
              <w:t xml:space="preserve">$7,131.82 </w:t>
            </w:r>
          </w:p>
        </w:tc>
      </w:tr>
      <w:tr w14:paraId="436D1705" w14:textId="77777777" w:rsidTr="1F6B1E7A">
        <w:tblPrEx>
          <w:tblW w:w="9495" w:type="dxa"/>
          <w:tblLayout w:type="fixed"/>
          <w:tblLook w:val="06A0"/>
        </w:tblPrEx>
        <w:trPr>
          <w:trHeight w:val="615"/>
        </w:trPr>
        <w:tc>
          <w:tcPr>
            <w:tcW w:w="1650" w:type="dxa"/>
            <w:tcBorders>
              <w:top w:val="single" w:sz="4" w:space="0" w:color="000000" w:themeColor="text1"/>
              <w:left w:val="single" w:sz="4" w:space="0" w:color="auto"/>
              <w:bottom w:val="nil"/>
              <w:right w:val="single" w:sz="4" w:space="0" w:color="auto"/>
            </w:tcBorders>
          </w:tcPr>
          <w:p w:rsidR="0B68F786" w:rsidP="0B68F786" w14:paraId="60E5A21F" w14:textId="6D4C81FA">
            <w:pPr>
              <w:jc w:val="center"/>
            </w:pPr>
            <w:r w:rsidRPr="0B68F786">
              <w:rPr>
                <w:rFonts w:eastAsia="Calibri" w:cs="Calibri"/>
                <w:color w:val="000000" w:themeColor="text1"/>
              </w:rPr>
              <w:t>60-day Extension</w:t>
            </w:r>
          </w:p>
        </w:tc>
        <w:tc>
          <w:tcPr>
            <w:tcW w:w="1455" w:type="dxa"/>
            <w:tcBorders>
              <w:top w:val="single" w:sz="4" w:space="0" w:color="auto"/>
              <w:left w:val="single" w:sz="4" w:space="0" w:color="auto"/>
              <w:bottom w:val="single" w:sz="4" w:space="0" w:color="auto"/>
              <w:right w:val="single" w:sz="4" w:space="0" w:color="auto"/>
            </w:tcBorders>
            <w:vAlign w:val="center"/>
          </w:tcPr>
          <w:p w:rsidR="0B68F786" w:rsidP="0B68F786" w14:paraId="49C5F617" w14:textId="5E33A05E">
            <w:pPr>
              <w:jc w:val="center"/>
            </w:pPr>
            <w:r w:rsidRPr="0B68F786">
              <w:rPr>
                <w:rFonts w:eastAsia="Calibri" w:cs="Calibri"/>
                <w:color w:val="000000" w:themeColor="text1"/>
              </w:rPr>
              <w:t>114</w:t>
            </w:r>
          </w:p>
        </w:tc>
        <w:tc>
          <w:tcPr>
            <w:tcW w:w="1200" w:type="dxa"/>
            <w:tcBorders>
              <w:top w:val="single" w:sz="4" w:space="0" w:color="auto"/>
              <w:left w:val="single" w:sz="4" w:space="0" w:color="auto"/>
              <w:bottom w:val="single" w:sz="4" w:space="0" w:color="auto"/>
              <w:right w:val="single" w:sz="4" w:space="0" w:color="auto"/>
            </w:tcBorders>
            <w:vAlign w:val="center"/>
          </w:tcPr>
          <w:p w:rsidR="0B68F786" w:rsidP="0B68F786" w14:paraId="16DFFE6F" w14:textId="14ABE3FF">
            <w:pPr>
              <w:jc w:val="center"/>
            </w:pPr>
            <w:r w:rsidRPr="0B68F786">
              <w:rPr>
                <w:rFonts w:eastAsia="Calibri" w:cs="Calibri"/>
                <w:color w:val="000000" w:themeColor="text1"/>
              </w:rPr>
              <w:t>3</w:t>
            </w:r>
          </w:p>
        </w:tc>
        <w:tc>
          <w:tcPr>
            <w:tcW w:w="1245" w:type="dxa"/>
            <w:tcBorders>
              <w:top w:val="single" w:sz="4" w:space="0" w:color="auto"/>
              <w:left w:val="single" w:sz="4" w:space="0" w:color="auto"/>
              <w:bottom w:val="single" w:sz="4" w:space="0" w:color="auto"/>
              <w:right w:val="single" w:sz="4" w:space="0" w:color="auto"/>
            </w:tcBorders>
            <w:vAlign w:val="center"/>
          </w:tcPr>
          <w:p w:rsidR="0B68F786" w:rsidP="0B68F786" w14:paraId="2578F40D" w14:textId="3D6AC532">
            <w:pPr>
              <w:jc w:val="center"/>
            </w:pPr>
            <w:r w:rsidRPr="0B68F786">
              <w:rPr>
                <w:rFonts w:eastAsia="Calibri" w:cs="Calibri"/>
                <w:color w:val="000000" w:themeColor="text1"/>
              </w:rPr>
              <w:t xml:space="preserve">3 </w:t>
            </w:r>
          </w:p>
        </w:tc>
        <w:tc>
          <w:tcPr>
            <w:tcW w:w="1125" w:type="dxa"/>
            <w:tcBorders>
              <w:top w:val="single" w:sz="4" w:space="0" w:color="auto"/>
              <w:left w:val="single" w:sz="4" w:space="0" w:color="auto"/>
              <w:bottom w:val="single" w:sz="4" w:space="0" w:color="auto"/>
              <w:right w:val="single" w:sz="4" w:space="0" w:color="auto"/>
            </w:tcBorders>
            <w:vAlign w:val="center"/>
          </w:tcPr>
          <w:p w:rsidR="0B68F786" w:rsidP="0B68F786" w14:paraId="11537D80" w14:textId="68EC150C">
            <w:pPr>
              <w:jc w:val="center"/>
            </w:pPr>
            <w:r w:rsidRPr="0B68F786">
              <w:rPr>
                <w:rFonts w:eastAsia="Calibri" w:cs="Calibri"/>
                <w:color w:val="000000" w:themeColor="text1"/>
              </w:rPr>
              <w:t>0.1666</w:t>
            </w:r>
          </w:p>
        </w:tc>
        <w:tc>
          <w:tcPr>
            <w:tcW w:w="915" w:type="dxa"/>
            <w:tcBorders>
              <w:top w:val="single" w:sz="4" w:space="0" w:color="auto"/>
              <w:left w:val="single" w:sz="4" w:space="0" w:color="auto"/>
              <w:bottom w:val="single" w:sz="4" w:space="0" w:color="auto"/>
              <w:right w:val="nil"/>
            </w:tcBorders>
            <w:vAlign w:val="center"/>
          </w:tcPr>
          <w:p w:rsidR="0B68F786" w:rsidP="0B68F786" w14:paraId="455212B6" w14:textId="0553BA05">
            <w:pPr>
              <w:jc w:val="center"/>
            </w:pPr>
            <w:r w:rsidRPr="0B68F786">
              <w:rPr>
                <w:rFonts w:eastAsia="Calibri" w:cs="Calibri"/>
                <w:color w:val="000000" w:themeColor="text1"/>
              </w:rPr>
              <w:t xml:space="preserve">0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7A7988FF" w14:textId="06654AA9">
            <w:pPr>
              <w:jc w:val="center"/>
            </w:pPr>
            <w:r w:rsidRPr="0B68F786">
              <w:rPr>
                <w:color w:val="000000" w:themeColor="text1"/>
                <w:sz w:val="20"/>
                <w:szCs w:val="20"/>
              </w:rPr>
              <w:t xml:space="preserve"> $43.77 </w:t>
            </w:r>
          </w:p>
        </w:tc>
        <w:tc>
          <w:tcPr>
            <w:tcW w:w="1035" w:type="dxa"/>
            <w:tcBorders>
              <w:top w:val="single" w:sz="4" w:space="0" w:color="auto"/>
              <w:left w:val="single" w:sz="4" w:space="0" w:color="000000" w:themeColor="text1"/>
              <w:bottom w:val="single" w:sz="4" w:space="0" w:color="auto"/>
              <w:right w:val="single" w:sz="4" w:space="0" w:color="auto"/>
            </w:tcBorders>
            <w:vAlign w:val="center"/>
          </w:tcPr>
          <w:p w:rsidR="0B68F786" w:rsidP="0B68F786" w14:paraId="1ADBBE50" w14:textId="485073D1">
            <w:pPr>
              <w:jc w:val="center"/>
            </w:pPr>
            <w:r w:rsidRPr="0B68F786">
              <w:rPr>
                <w:rFonts w:eastAsia="Calibri" w:cs="Calibri"/>
                <w:color w:val="000000" w:themeColor="text1"/>
              </w:rPr>
              <w:t xml:space="preserve"> $21.88 </w:t>
            </w:r>
          </w:p>
        </w:tc>
      </w:tr>
      <w:tr w14:paraId="34F6CE8D" w14:textId="77777777" w:rsidTr="1F6B1E7A">
        <w:tblPrEx>
          <w:tblW w:w="9495" w:type="dxa"/>
          <w:tblLayout w:type="fixed"/>
          <w:tblLook w:val="06A0"/>
        </w:tblPrEx>
        <w:trPr>
          <w:trHeight w:val="615"/>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B68F786" w:rsidP="0B68F786" w14:paraId="33000620" w14:textId="5BACC634">
            <w:pPr>
              <w:jc w:val="center"/>
            </w:pPr>
            <w:r w:rsidRPr="0B68F786">
              <w:rPr>
                <w:rFonts w:eastAsia="Calibri" w:cs="Calibri"/>
                <w:color w:val="000000" w:themeColor="text1"/>
              </w:rPr>
              <w:t>90-day Extension</w:t>
            </w:r>
          </w:p>
        </w:tc>
        <w:tc>
          <w:tcPr>
            <w:tcW w:w="1455" w:type="dxa"/>
            <w:tcBorders>
              <w:top w:val="single" w:sz="4" w:space="0" w:color="auto"/>
              <w:left w:val="single" w:sz="4" w:space="0" w:color="000000" w:themeColor="text1"/>
              <w:bottom w:val="single" w:sz="4" w:space="0" w:color="auto"/>
              <w:right w:val="single" w:sz="4" w:space="0" w:color="auto"/>
            </w:tcBorders>
            <w:vAlign w:val="center"/>
          </w:tcPr>
          <w:p w:rsidR="0B68F786" w:rsidP="0B68F786" w14:paraId="2CBF44DA" w14:textId="44B5BCC1">
            <w:pPr>
              <w:jc w:val="center"/>
            </w:pPr>
            <w:r w:rsidRPr="0B68F786">
              <w:rPr>
                <w:rFonts w:eastAsia="Calibri" w:cs="Calibri"/>
                <w:color w:val="000000" w:themeColor="text1"/>
              </w:rPr>
              <w:t>114</w:t>
            </w:r>
          </w:p>
        </w:tc>
        <w:tc>
          <w:tcPr>
            <w:tcW w:w="1200" w:type="dxa"/>
            <w:tcBorders>
              <w:top w:val="single" w:sz="4" w:space="0" w:color="auto"/>
              <w:left w:val="single" w:sz="4" w:space="0" w:color="auto"/>
              <w:bottom w:val="single" w:sz="4" w:space="0" w:color="auto"/>
              <w:right w:val="single" w:sz="4" w:space="0" w:color="auto"/>
            </w:tcBorders>
            <w:vAlign w:val="center"/>
          </w:tcPr>
          <w:p w:rsidR="0B68F786" w:rsidP="0B68F786" w14:paraId="527EF233" w14:textId="3677760C">
            <w:pPr>
              <w:jc w:val="center"/>
            </w:pPr>
            <w:r w:rsidRPr="0B68F786">
              <w:rPr>
                <w:rFonts w:eastAsia="Calibri" w:cs="Calibri"/>
                <w:color w:val="000000" w:themeColor="text1"/>
              </w:rPr>
              <w:t>18</w:t>
            </w:r>
          </w:p>
        </w:tc>
        <w:tc>
          <w:tcPr>
            <w:tcW w:w="1245" w:type="dxa"/>
            <w:tcBorders>
              <w:top w:val="single" w:sz="4" w:space="0" w:color="auto"/>
              <w:left w:val="single" w:sz="4" w:space="0" w:color="auto"/>
              <w:bottom w:val="single" w:sz="4" w:space="0" w:color="auto"/>
              <w:right w:val="single" w:sz="4" w:space="0" w:color="auto"/>
            </w:tcBorders>
            <w:vAlign w:val="center"/>
          </w:tcPr>
          <w:p w:rsidR="0B68F786" w:rsidP="0B68F786" w14:paraId="048CBC5F" w14:textId="50549B5F">
            <w:pPr>
              <w:jc w:val="center"/>
            </w:pPr>
            <w:r w:rsidRPr="0B68F786">
              <w:rPr>
                <w:rFonts w:eastAsia="Calibri" w:cs="Calibri"/>
                <w:color w:val="000000" w:themeColor="text1"/>
              </w:rPr>
              <w:t xml:space="preserve">18 </w:t>
            </w:r>
          </w:p>
        </w:tc>
        <w:tc>
          <w:tcPr>
            <w:tcW w:w="1125" w:type="dxa"/>
            <w:tcBorders>
              <w:top w:val="single" w:sz="4" w:space="0" w:color="auto"/>
              <w:left w:val="single" w:sz="4" w:space="0" w:color="auto"/>
              <w:bottom w:val="single" w:sz="4" w:space="0" w:color="auto"/>
              <w:right w:val="single" w:sz="4" w:space="0" w:color="auto"/>
            </w:tcBorders>
            <w:vAlign w:val="center"/>
          </w:tcPr>
          <w:p w:rsidR="0B68F786" w:rsidP="0B68F786" w14:paraId="64972DC2" w14:textId="233203F8">
            <w:pPr>
              <w:jc w:val="center"/>
            </w:pPr>
            <w:r w:rsidRPr="0B68F786">
              <w:rPr>
                <w:rFonts w:eastAsia="Calibri" w:cs="Calibri"/>
                <w:color w:val="000000" w:themeColor="text1"/>
              </w:rPr>
              <w:t>0.1666</w:t>
            </w:r>
          </w:p>
        </w:tc>
        <w:tc>
          <w:tcPr>
            <w:tcW w:w="915" w:type="dxa"/>
            <w:tcBorders>
              <w:top w:val="single" w:sz="4" w:space="0" w:color="auto"/>
              <w:left w:val="single" w:sz="4" w:space="0" w:color="auto"/>
              <w:bottom w:val="single" w:sz="4" w:space="0" w:color="auto"/>
              <w:right w:val="nil"/>
            </w:tcBorders>
            <w:vAlign w:val="center"/>
          </w:tcPr>
          <w:p w:rsidR="0B68F786" w:rsidP="0B68F786" w14:paraId="5F318A14" w14:textId="2F513C56">
            <w:pPr>
              <w:jc w:val="center"/>
            </w:pPr>
            <w:r w:rsidRPr="0B68F786">
              <w:rPr>
                <w:rFonts w:eastAsia="Calibri" w:cs="Calibri"/>
                <w:color w:val="000000" w:themeColor="text1"/>
              </w:rPr>
              <w:t xml:space="preserve">3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0B927A16" w14:textId="07565600">
            <w:pPr>
              <w:jc w:val="center"/>
            </w:pPr>
            <w:r w:rsidRPr="0B68F786">
              <w:rPr>
                <w:color w:val="000000" w:themeColor="text1"/>
                <w:sz w:val="20"/>
                <w:szCs w:val="20"/>
              </w:rPr>
              <w:t xml:space="preserve"> $43.77 </w:t>
            </w:r>
          </w:p>
        </w:tc>
        <w:tc>
          <w:tcPr>
            <w:tcW w:w="1035" w:type="dxa"/>
            <w:tcBorders>
              <w:top w:val="single" w:sz="4" w:space="0" w:color="auto"/>
              <w:left w:val="single" w:sz="4" w:space="0" w:color="000000" w:themeColor="text1"/>
              <w:bottom w:val="single" w:sz="4" w:space="0" w:color="auto"/>
              <w:right w:val="single" w:sz="4" w:space="0" w:color="auto"/>
            </w:tcBorders>
            <w:vAlign w:val="center"/>
          </w:tcPr>
          <w:p w:rsidR="0B68F786" w:rsidP="0B68F786" w14:paraId="065CC373" w14:textId="30361706">
            <w:pPr>
              <w:jc w:val="center"/>
            </w:pPr>
            <w:r w:rsidRPr="0B68F786">
              <w:rPr>
                <w:rFonts w:eastAsia="Calibri" w:cs="Calibri"/>
                <w:color w:val="000000" w:themeColor="text1"/>
              </w:rPr>
              <w:t xml:space="preserve"> $131.26 </w:t>
            </w:r>
          </w:p>
        </w:tc>
      </w:tr>
      <w:tr w14:paraId="2C448EB8" w14:textId="77777777" w:rsidTr="1F6B1E7A">
        <w:tblPrEx>
          <w:tblW w:w="9495" w:type="dxa"/>
          <w:tblLayout w:type="fixed"/>
          <w:tblLook w:val="06A0"/>
        </w:tblPrEx>
        <w:trPr>
          <w:trHeight w:val="915"/>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08718FCD" w14:textId="0A51BCA5">
            <w:pPr>
              <w:jc w:val="center"/>
            </w:pPr>
            <w:r w:rsidRPr="0B68F786">
              <w:rPr>
                <w:rFonts w:eastAsia="Calibri" w:cs="Calibri"/>
                <w:color w:val="000000" w:themeColor="text1"/>
              </w:rPr>
              <w:t>ETA (Election to assign) Acknowledged</w:t>
            </w:r>
          </w:p>
        </w:tc>
        <w:tc>
          <w:tcPr>
            <w:tcW w:w="1455" w:type="dxa"/>
            <w:tcBorders>
              <w:top w:val="single" w:sz="4" w:space="0" w:color="auto"/>
              <w:left w:val="single" w:sz="4" w:space="0" w:color="000000" w:themeColor="text1"/>
              <w:bottom w:val="single" w:sz="4" w:space="0" w:color="auto"/>
              <w:right w:val="single" w:sz="4" w:space="0" w:color="auto"/>
            </w:tcBorders>
            <w:vAlign w:val="center"/>
          </w:tcPr>
          <w:p w:rsidR="0B68F786" w:rsidP="0B68F786" w14:paraId="74C017C4" w14:textId="142C953F">
            <w:pPr>
              <w:jc w:val="center"/>
            </w:pPr>
            <w:r w:rsidRPr="0B68F786">
              <w:rPr>
                <w:rFonts w:eastAsia="Calibri" w:cs="Calibri"/>
                <w:color w:val="000000" w:themeColor="text1"/>
              </w:rPr>
              <w:t>114</w:t>
            </w:r>
          </w:p>
        </w:tc>
        <w:tc>
          <w:tcPr>
            <w:tcW w:w="1200" w:type="dxa"/>
            <w:tcBorders>
              <w:top w:val="single" w:sz="4" w:space="0" w:color="auto"/>
              <w:left w:val="single" w:sz="4" w:space="0" w:color="auto"/>
              <w:bottom w:val="single" w:sz="4" w:space="0" w:color="auto"/>
              <w:right w:val="single" w:sz="4" w:space="0" w:color="auto"/>
            </w:tcBorders>
            <w:vAlign w:val="center"/>
          </w:tcPr>
          <w:p w:rsidR="0B68F786" w:rsidP="0B68F786" w14:paraId="1E5FBE3D" w14:textId="3B596468">
            <w:pPr>
              <w:jc w:val="center"/>
            </w:pPr>
            <w:r w:rsidRPr="0B68F786">
              <w:rPr>
                <w:rFonts w:eastAsia="Calibri" w:cs="Calibri"/>
                <w:color w:val="000000" w:themeColor="text1"/>
              </w:rPr>
              <w:t>2</w:t>
            </w:r>
          </w:p>
        </w:tc>
        <w:tc>
          <w:tcPr>
            <w:tcW w:w="1245" w:type="dxa"/>
            <w:tcBorders>
              <w:top w:val="single" w:sz="4" w:space="0" w:color="auto"/>
              <w:left w:val="single" w:sz="4" w:space="0" w:color="auto"/>
              <w:bottom w:val="single" w:sz="4" w:space="0" w:color="auto"/>
              <w:right w:val="single" w:sz="4" w:space="0" w:color="auto"/>
            </w:tcBorders>
            <w:vAlign w:val="center"/>
          </w:tcPr>
          <w:p w:rsidR="0B68F786" w:rsidP="0B68F786" w14:paraId="5691406C" w14:textId="1B66F21F">
            <w:pPr>
              <w:jc w:val="center"/>
            </w:pPr>
            <w:r w:rsidRPr="0B68F786">
              <w:rPr>
                <w:rFonts w:eastAsia="Calibri" w:cs="Calibri"/>
                <w:color w:val="000000" w:themeColor="text1"/>
              </w:rPr>
              <w:t xml:space="preserve">2 </w:t>
            </w:r>
          </w:p>
        </w:tc>
        <w:tc>
          <w:tcPr>
            <w:tcW w:w="1125" w:type="dxa"/>
            <w:tcBorders>
              <w:top w:val="single" w:sz="4" w:space="0" w:color="auto"/>
              <w:left w:val="single" w:sz="4" w:space="0" w:color="auto"/>
              <w:bottom w:val="single" w:sz="4" w:space="0" w:color="auto"/>
              <w:right w:val="single" w:sz="4" w:space="0" w:color="auto"/>
            </w:tcBorders>
            <w:vAlign w:val="center"/>
          </w:tcPr>
          <w:p w:rsidR="0B68F786" w:rsidP="0B68F786" w14:paraId="5DA6A619" w14:textId="43663260">
            <w:pPr>
              <w:jc w:val="center"/>
            </w:pPr>
            <w:r w:rsidRPr="0B68F786">
              <w:rPr>
                <w:rFonts w:eastAsia="Calibri" w:cs="Calibri"/>
                <w:color w:val="000000" w:themeColor="text1"/>
              </w:rPr>
              <w:t>0.1666</w:t>
            </w:r>
          </w:p>
        </w:tc>
        <w:tc>
          <w:tcPr>
            <w:tcW w:w="915" w:type="dxa"/>
            <w:tcBorders>
              <w:top w:val="single" w:sz="4" w:space="0" w:color="auto"/>
              <w:left w:val="single" w:sz="4" w:space="0" w:color="auto"/>
              <w:bottom w:val="nil"/>
              <w:right w:val="nil"/>
            </w:tcBorders>
            <w:vAlign w:val="center"/>
          </w:tcPr>
          <w:p w:rsidR="0B68F786" w:rsidP="0B68F786" w14:paraId="19A4AB9F" w14:textId="3D85B57F">
            <w:pPr>
              <w:jc w:val="center"/>
            </w:pPr>
            <w:r w:rsidRPr="0B68F786">
              <w:rPr>
                <w:rFonts w:eastAsia="Calibri" w:cs="Calibri"/>
                <w:color w:val="000000" w:themeColor="text1"/>
              </w:rPr>
              <w:t xml:space="preserve">0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1172315E" w14:textId="189F9129">
            <w:pPr>
              <w:jc w:val="center"/>
            </w:pPr>
            <w:r w:rsidRPr="0B68F786">
              <w:rPr>
                <w:color w:val="000000" w:themeColor="text1"/>
                <w:sz w:val="20"/>
                <w:szCs w:val="20"/>
              </w:rPr>
              <w:t xml:space="preserve"> $43.77 </w:t>
            </w:r>
          </w:p>
        </w:tc>
        <w:tc>
          <w:tcPr>
            <w:tcW w:w="1035" w:type="dxa"/>
            <w:tcBorders>
              <w:top w:val="single" w:sz="4" w:space="0" w:color="auto"/>
              <w:left w:val="single" w:sz="4" w:space="0" w:color="000000" w:themeColor="text1"/>
              <w:bottom w:val="nil"/>
              <w:right w:val="single" w:sz="4" w:space="0" w:color="auto"/>
            </w:tcBorders>
            <w:vAlign w:val="center"/>
          </w:tcPr>
          <w:p w:rsidR="0B68F786" w:rsidP="0B68F786" w14:paraId="09973A42" w14:textId="2788DF43">
            <w:pPr>
              <w:jc w:val="center"/>
            </w:pPr>
            <w:r w:rsidRPr="0B68F786">
              <w:rPr>
                <w:rFonts w:eastAsia="Calibri" w:cs="Calibri"/>
                <w:color w:val="000000" w:themeColor="text1"/>
              </w:rPr>
              <w:t xml:space="preserve"> $14.58 </w:t>
            </w:r>
          </w:p>
        </w:tc>
      </w:tr>
      <w:tr w14:paraId="780A80C1" w14:textId="77777777" w:rsidTr="1F6B1E7A">
        <w:tblPrEx>
          <w:tblW w:w="9495" w:type="dxa"/>
          <w:tblLayout w:type="fixed"/>
          <w:tblLook w:val="06A0"/>
        </w:tblPrEx>
        <w:trPr>
          <w:trHeight w:val="915"/>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683F0866" w14:textId="62B809C8">
            <w:pPr>
              <w:jc w:val="center"/>
            </w:pPr>
            <w:r w:rsidRPr="0B68F786">
              <w:rPr>
                <w:rFonts w:eastAsia="Calibri" w:cs="Calibri"/>
                <w:color w:val="000000" w:themeColor="text1"/>
              </w:rPr>
              <w:t>ETA (Election to assign) Denied</w:t>
            </w:r>
          </w:p>
        </w:tc>
        <w:tc>
          <w:tcPr>
            <w:tcW w:w="1455" w:type="dxa"/>
            <w:tcBorders>
              <w:top w:val="single" w:sz="4" w:space="0" w:color="auto"/>
              <w:left w:val="single" w:sz="4" w:space="0" w:color="000000" w:themeColor="text1"/>
              <w:bottom w:val="single" w:sz="4" w:space="0" w:color="auto"/>
              <w:right w:val="single" w:sz="4" w:space="0" w:color="auto"/>
            </w:tcBorders>
            <w:vAlign w:val="center"/>
          </w:tcPr>
          <w:p w:rsidR="0B68F786" w:rsidP="0B68F786" w14:paraId="1616E59A" w14:textId="153BE542">
            <w:pPr>
              <w:jc w:val="center"/>
            </w:pPr>
            <w:r w:rsidRPr="0B68F786">
              <w:rPr>
                <w:rFonts w:eastAsia="Calibri" w:cs="Calibri"/>
                <w:color w:val="000000" w:themeColor="text1"/>
              </w:rPr>
              <w:t>114</w:t>
            </w:r>
          </w:p>
        </w:tc>
        <w:tc>
          <w:tcPr>
            <w:tcW w:w="1200" w:type="dxa"/>
            <w:tcBorders>
              <w:top w:val="single" w:sz="4" w:space="0" w:color="auto"/>
              <w:left w:val="single" w:sz="4" w:space="0" w:color="auto"/>
              <w:bottom w:val="single" w:sz="4" w:space="0" w:color="auto"/>
              <w:right w:val="single" w:sz="4" w:space="0" w:color="auto"/>
            </w:tcBorders>
            <w:vAlign w:val="center"/>
          </w:tcPr>
          <w:p w:rsidR="0B68F786" w:rsidP="0B68F786" w14:paraId="48BBEA09" w14:textId="11772254">
            <w:pPr>
              <w:jc w:val="center"/>
            </w:pPr>
            <w:r w:rsidRPr="0B68F786">
              <w:rPr>
                <w:rFonts w:eastAsia="Calibri" w:cs="Calibri"/>
                <w:color w:val="000000" w:themeColor="text1"/>
              </w:rPr>
              <w:t>0</w:t>
            </w:r>
          </w:p>
        </w:tc>
        <w:tc>
          <w:tcPr>
            <w:tcW w:w="1245" w:type="dxa"/>
            <w:tcBorders>
              <w:top w:val="single" w:sz="4" w:space="0" w:color="auto"/>
              <w:left w:val="single" w:sz="4" w:space="0" w:color="auto"/>
              <w:bottom w:val="single" w:sz="4" w:space="0" w:color="auto"/>
              <w:right w:val="single" w:sz="4" w:space="0" w:color="auto"/>
            </w:tcBorders>
            <w:vAlign w:val="center"/>
          </w:tcPr>
          <w:p w:rsidR="0B68F786" w:rsidP="0B68F786" w14:paraId="5F2D53EA" w14:textId="7ED8006E">
            <w:pPr>
              <w:jc w:val="center"/>
            </w:pPr>
            <w:r w:rsidRPr="0B68F786">
              <w:rPr>
                <w:rFonts w:eastAsia="Calibri" w:cs="Calibri"/>
                <w:color w:val="000000" w:themeColor="text1"/>
              </w:rPr>
              <w:t xml:space="preserve">-   </w:t>
            </w:r>
          </w:p>
        </w:tc>
        <w:tc>
          <w:tcPr>
            <w:tcW w:w="1125" w:type="dxa"/>
            <w:tcBorders>
              <w:top w:val="single" w:sz="4" w:space="0" w:color="auto"/>
              <w:left w:val="single" w:sz="4" w:space="0" w:color="auto"/>
              <w:bottom w:val="single" w:sz="4" w:space="0" w:color="auto"/>
              <w:right w:val="nil"/>
            </w:tcBorders>
            <w:vAlign w:val="center"/>
          </w:tcPr>
          <w:p w:rsidR="0B68F786" w:rsidP="0B68F786" w14:paraId="252E6AC1" w14:textId="02EA70F5">
            <w:pPr>
              <w:jc w:val="center"/>
            </w:pPr>
            <w:r w:rsidRPr="0B68F786">
              <w:rPr>
                <w:rFonts w:eastAsia="Calibri" w:cs="Calibri"/>
                <w:color w:val="000000" w:themeColor="text1"/>
              </w:rPr>
              <w:t>0.1666</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10421F24" w14:textId="674A6C7E">
            <w:pPr>
              <w:jc w:val="center"/>
            </w:pPr>
            <w:r w:rsidRPr="0B68F786">
              <w:rPr>
                <w:rFonts w:eastAsia="Calibri" w:cs="Calibri"/>
                <w:color w:val="000000" w:themeColor="text1"/>
              </w:rPr>
              <w:t xml:space="preserve">-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177BA8A4" w14:textId="76E25C39">
            <w:pPr>
              <w:jc w:val="center"/>
            </w:pPr>
            <w:r w:rsidRPr="0B68F786">
              <w:rPr>
                <w:color w:val="000000" w:themeColor="text1"/>
                <w:sz w:val="20"/>
                <w:szCs w:val="20"/>
              </w:rPr>
              <w:t xml:space="preserve"> $43.77 </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B68F786" w:rsidP="0B68F786" w14:paraId="166DBB1A" w14:textId="69139EF8">
            <w:pPr>
              <w:jc w:val="center"/>
            </w:pPr>
            <w:r w:rsidRPr="0B68F786">
              <w:rPr>
                <w:rFonts w:eastAsia="Calibri" w:cs="Calibri"/>
                <w:color w:val="000000" w:themeColor="text1"/>
              </w:rPr>
              <w:t xml:space="preserve"> $-   </w:t>
            </w:r>
          </w:p>
        </w:tc>
      </w:tr>
      <w:tr w14:paraId="2FC247F7" w14:textId="77777777" w:rsidTr="1F6B1E7A">
        <w:tblPrEx>
          <w:tblW w:w="9495" w:type="dxa"/>
          <w:tblLayout w:type="fixed"/>
          <w:tblLook w:val="06A0"/>
        </w:tblPrEx>
        <w:trPr>
          <w:trHeight w:val="420"/>
        </w:trPr>
        <w:tc>
          <w:tcPr>
            <w:tcW w:w="1650" w:type="dxa"/>
            <w:tcBorders>
              <w:top w:val="single" w:sz="4" w:space="0" w:color="auto"/>
              <w:left w:val="single" w:sz="4" w:space="0" w:color="auto"/>
              <w:bottom w:val="single" w:sz="4" w:space="0" w:color="auto"/>
              <w:right w:val="single" w:sz="4" w:space="0" w:color="auto"/>
            </w:tcBorders>
            <w:vAlign w:val="center"/>
          </w:tcPr>
          <w:p w:rsidR="0B68F786" w:rsidP="007D3234" w14:paraId="23785945" w14:textId="6994A6F6">
            <w:pPr>
              <w:jc w:val="center"/>
            </w:pPr>
            <w:r w:rsidRPr="0B68F786">
              <w:rPr>
                <w:rFonts w:eastAsia="Calibri" w:cs="Calibri"/>
                <w:color w:val="000000" w:themeColor="text1"/>
              </w:rPr>
              <w:t>Total</w:t>
            </w:r>
          </w:p>
        </w:tc>
        <w:tc>
          <w:tcPr>
            <w:tcW w:w="1455" w:type="dxa"/>
            <w:tcBorders>
              <w:top w:val="single" w:sz="4" w:space="0" w:color="auto"/>
              <w:left w:val="single" w:sz="4" w:space="0" w:color="auto"/>
              <w:bottom w:val="single" w:sz="4" w:space="0" w:color="auto"/>
              <w:right w:val="single" w:sz="4" w:space="0" w:color="auto"/>
            </w:tcBorders>
            <w:vAlign w:val="center"/>
          </w:tcPr>
          <w:p w:rsidR="0B68F786" w:rsidRPr="00B3307E" w:rsidP="007D3234" w14:paraId="69442DAA" w14:textId="30AA54DD">
            <w:pPr>
              <w:jc w:val="center"/>
              <w:rPr>
                <w:b/>
                <w:bCs/>
              </w:rPr>
            </w:pPr>
            <w:r w:rsidRPr="00B3307E">
              <w:rPr>
                <w:rFonts w:eastAsia="Calibri" w:cs="Calibri"/>
                <w:b/>
                <w:bCs/>
                <w:color w:val="000000" w:themeColor="text1"/>
              </w:rPr>
              <w:t>114</w:t>
            </w: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B68F786" w:rsidP="007D3234" w14:paraId="3D648F0E" w14:textId="074EF6B7">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rsidR="0B68F786" w:rsidP="007D3234" w14:paraId="7D762C26" w14:textId="7006E147">
            <w:pPr>
              <w:jc w:val="center"/>
            </w:pPr>
            <w:r w:rsidRPr="0B68F786">
              <w:rPr>
                <w:rFonts w:eastAsia="Calibri" w:cs="Calibri"/>
                <w:color w:val="000000" w:themeColor="text1"/>
              </w:rPr>
              <w:t>1,001</w:t>
            </w:r>
          </w:p>
        </w:tc>
        <w:tc>
          <w:tcPr>
            <w:tcW w:w="1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B68F786" w:rsidP="007D3234" w14:paraId="0C7CC52A" w14:textId="5064C15B">
            <w:pPr>
              <w:jc w:val="center"/>
            </w:pPr>
          </w:p>
        </w:tc>
        <w:tc>
          <w:tcPr>
            <w:tcW w:w="915" w:type="dxa"/>
            <w:tcBorders>
              <w:top w:val="single" w:sz="4" w:space="0" w:color="000000" w:themeColor="text1"/>
              <w:left w:val="single" w:sz="4" w:space="0" w:color="auto"/>
              <w:bottom w:val="single" w:sz="4" w:space="0" w:color="auto"/>
              <w:right w:val="single" w:sz="4" w:space="0" w:color="auto"/>
            </w:tcBorders>
            <w:vAlign w:val="center"/>
          </w:tcPr>
          <w:p w:rsidR="0B68F786" w:rsidRPr="00B3307E" w:rsidP="007D3234" w14:paraId="48954A0E" w14:textId="59A214DF">
            <w:pPr>
              <w:jc w:val="center"/>
              <w:rPr>
                <w:b/>
                <w:bCs/>
              </w:rPr>
            </w:pPr>
            <w:r w:rsidRPr="00B3307E">
              <w:rPr>
                <w:rFonts w:eastAsia="Calibri" w:cs="Calibri"/>
                <w:b/>
                <w:bCs/>
                <w:color w:val="000000" w:themeColor="text1"/>
              </w:rPr>
              <w:t>167</w:t>
            </w:r>
          </w:p>
        </w:tc>
        <w:tc>
          <w:tcPr>
            <w:tcW w:w="870"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vAlign w:val="center"/>
          </w:tcPr>
          <w:p w:rsidR="0B68F786" w:rsidP="007D3234" w14:paraId="3AF3361C" w14:textId="5BAA4C49">
            <w:pPr>
              <w:jc w:val="center"/>
            </w:pPr>
          </w:p>
        </w:tc>
        <w:tc>
          <w:tcPr>
            <w:tcW w:w="1035" w:type="dxa"/>
            <w:tcBorders>
              <w:top w:val="single" w:sz="4" w:space="0" w:color="000000" w:themeColor="text1"/>
              <w:left w:val="single" w:sz="4" w:space="0" w:color="auto"/>
              <w:bottom w:val="single" w:sz="4" w:space="0" w:color="auto"/>
              <w:right w:val="single" w:sz="4" w:space="0" w:color="auto"/>
            </w:tcBorders>
            <w:vAlign w:val="center"/>
          </w:tcPr>
          <w:p w:rsidR="0B68F786" w:rsidP="007D3234" w14:paraId="0E459E79" w14:textId="79799043">
            <w:pPr>
              <w:jc w:val="center"/>
            </w:pPr>
            <w:r w:rsidRPr="0B68F786">
              <w:rPr>
                <w:rFonts w:eastAsia="Calibri" w:cs="Calibri"/>
                <w:color w:val="000000" w:themeColor="text1"/>
              </w:rPr>
              <w:t>$7,299.54</w:t>
            </w:r>
          </w:p>
        </w:tc>
      </w:tr>
    </w:tbl>
    <w:p w:rsidR="004C1DB9" w:rsidP="0B68F786" w14:paraId="0A1479F0" w14:textId="4C4810AC">
      <w:pPr>
        <w:spacing w:after="0" w:line="240" w:lineRule="auto"/>
        <w:rPr>
          <w:rFonts w:ascii="Times New Roman" w:hAnsi="Times New Roman"/>
          <w:b/>
          <w:bCs/>
          <w:sz w:val="24"/>
          <w:szCs w:val="24"/>
        </w:rPr>
      </w:pPr>
    </w:p>
    <w:p w:rsidR="004C1DB9" w:rsidP="24BDDF92" w14:paraId="765C3CE3" w14:textId="631605AC">
      <w:pPr>
        <w:spacing w:after="0" w:line="240" w:lineRule="auto"/>
        <w:rPr>
          <w:rFonts w:ascii="Times New Roman" w:hAnsi="Times New Roman"/>
          <w:sz w:val="24"/>
          <w:szCs w:val="24"/>
        </w:rPr>
      </w:pPr>
      <w:r w:rsidRPr="24BDDF92">
        <w:rPr>
          <w:rFonts w:ascii="Times New Roman" w:hAnsi="Times New Roman"/>
          <w:b/>
          <w:bCs/>
          <w:sz w:val="24"/>
          <w:szCs w:val="24"/>
        </w:rPr>
        <w:t>*</w:t>
      </w:r>
      <w:r w:rsidRPr="24BDDF92" w:rsidR="197846CE">
        <w:rPr>
          <w:rFonts w:ascii="Times New Roman" w:hAnsi="Times New Roman"/>
          <w:color w:val="000000" w:themeColor="text1"/>
          <w:sz w:val="24"/>
          <w:szCs w:val="24"/>
        </w:rPr>
        <w:t xml:space="preserve">There are currently 114 FHA-approved multifamily </w:t>
      </w:r>
      <w:r w:rsidRPr="24BDDF92" w:rsidR="197846CE">
        <w:rPr>
          <w:rFonts w:ascii="Times New Roman" w:hAnsi="Times New Roman"/>
          <w:color w:val="000000" w:themeColor="text1"/>
          <w:sz w:val="24"/>
          <w:szCs w:val="24"/>
        </w:rPr>
        <w:t>mortgagees</w:t>
      </w:r>
      <w:r w:rsidRPr="24BDDF92" w:rsidR="197846CE">
        <w:rPr>
          <w:rFonts w:ascii="Times New Roman" w:hAnsi="Times New Roman"/>
          <w:color w:val="000000" w:themeColor="text1"/>
          <w:sz w:val="24"/>
          <w:szCs w:val="24"/>
        </w:rPr>
        <w:t xml:space="preserve"> that service active FHA-insured loans.</w:t>
      </w:r>
      <w:r w:rsidRPr="24BDDF92" w:rsidR="5E2A44D2">
        <w:rPr>
          <w:rFonts w:ascii="Times New Roman" w:hAnsi="Times New Roman"/>
          <w:color w:val="000000" w:themeColor="text1"/>
          <w:sz w:val="24"/>
          <w:szCs w:val="24"/>
        </w:rPr>
        <w:t xml:space="preserve"> </w:t>
      </w:r>
      <w:r w:rsidRPr="24BDDF92" w:rsidR="197846CE">
        <w:rPr>
          <w:rFonts w:ascii="Times New Roman" w:hAnsi="Times New Roman"/>
          <w:color w:val="000000" w:themeColor="text1"/>
          <w:sz w:val="24"/>
          <w:szCs w:val="24"/>
        </w:rPr>
        <w:t xml:space="preserve">A loan can go in and out of a status (delinquency or default) every month, depending on the mortgagor’s ability to </w:t>
      </w:r>
      <w:r w:rsidRPr="24BDDF92" w:rsidR="0377A388">
        <w:rPr>
          <w:rFonts w:ascii="Times New Roman" w:hAnsi="Times New Roman"/>
          <w:color w:val="000000" w:themeColor="text1"/>
          <w:sz w:val="24"/>
          <w:szCs w:val="24"/>
        </w:rPr>
        <w:t xml:space="preserve">make their </w:t>
      </w:r>
      <w:r w:rsidRPr="24BDDF92" w:rsidR="197846CE">
        <w:rPr>
          <w:rFonts w:ascii="Times New Roman" w:hAnsi="Times New Roman"/>
          <w:color w:val="000000" w:themeColor="text1"/>
          <w:sz w:val="24"/>
          <w:szCs w:val="24"/>
        </w:rPr>
        <w:t>pay</w:t>
      </w:r>
      <w:r w:rsidRPr="24BDDF92" w:rsidR="0377A388">
        <w:rPr>
          <w:rFonts w:ascii="Times New Roman" w:hAnsi="Times New Roman"/>
          <w:color w:val="000000" w:themeColor="text1"/>
          <w:sz w:val="24"/>
          <w:szCs w:val="24"/>
        </w:rPr>
        <w:t>ment</w:t>
      </w:r>
      <w:r w:rsidRPr="24BDDF92" w:rsidR="197846CE">
        <w:rPr>
          <w:rFonts w:ascii="Times New Roman" w:hAnsi="Times New Roman"/>
          <w:color w:val="000000" w:themeColor="text1"/>
          <w:sz w:val="24"/>
          <w:szCs w:val="24"/>
        </w:rPr>
        <w:t xml:space="preserve"> </w:t>
      </w:r>
      <w:r w:rsidRPr="24BDDF92" w:rsidR="22F94447">
        <w:rPr>
          <w:rFonts w:ascii="Times New Roman" w:hAnsi="Times New Roman"/>
          <w:color w:val="000000" w:themeColor="text1"/>
          <w:sz w:val="24"/>
          <w:szCs w:val="24"/>
        </w:rPr>
        <w:t>timely</w:t>
      </w:r>
      <w:r w:rsidRPr="24BDDF92" w:rsidR="197846CE">
        <w:rPr>
          <w:rFonts w:ascii="Times New Roman" w:hAnsi="Times New Roman"/>
          <w:color w:val="000000" w:themeColor="text1"/>
          <w:sz w:val="24"/>
          <w:szCs w:val="24"/>
        </w:rPr>
        <w:t>.</w:t>
      </w:r>
      <w:r w:rsidRPr="24BDDF92" w:rsidR="5E2A44D2">
        <w:rPr>
          <w:rFonts w:ascii="Times New Roman" w:hAnsi="Times New Roman"/>
          <w:color w:val="000000" w:themeColor="text1"/>
          <w:sz w:val="24"/>
          <w:szCs w:val="24"/>
        </w:rPr>
        <w:t xml:space="preserve"> </w:t>
      </w:r>
      <w:r w:rsidRPr="24BDDF92" w:rsidR="67ADF931">
        <w:rPr>
          <w:rFonts w:ascii="Times New Roman" w:hAnsi="Times New Roman"/>
          <w:color w:val="000000" w:themeColor="text1"/>
          <w:sz w:val="24"/>
          <w:szCs w:val="24"/>
        </w:rPr>
        <w:t>U</w:t>
      </w:r>
      <w:r w:rsidRPr="24BDDF92" w:rsidR="197846CE">
        <w:rPr>
          <w:rFonts w:ascii="Times New Roman" w:hAnsi="Times New Roman"/>
          <w:color w:val="000000" w:themeColor="text1"/>
          <w:sz w:val="24"/>
          <w:szCs w:val="24"/>
        </w:rPr>
        <w:t xml:space="preserve">nless </w:t>
      </w:r>
      <w:r w:rsidRPr="24BDDF92" w:rsidR="5299C4A2">
        <w:rPr>
          <w:rFonts w:ascii="Times New Roman" w:hAnsi="Times New Roman"/>
          <w:color w:val="000000" w:themeColor="text1"/>
          <w:sz w:val="24"/>
          <w:szCs w:val="24"/>
        </w:rPr>
        <w:t>a</w:t>
      </w:r>
      <w:r w:rsidRPr="24BDDF92" w:rsidR="197846CE">
        <w:rPr>
          <w:rFonts w:ascii="Times New Roman" w:hAnsi="Times New Roman"/>
          <w:color w:val="000000" w:themeColor="text1"/>
          <w:sz w:val="24"/>
          <w:szCs w:val="24"/>
        </w:rPr>
        <w:t xml:space="preserve"> loan goes delinquent, in default, or an election to assign must be made</w:t>
      </w:r>
      <w:r w:rsidRPr="24BDDF92" w:rsidR="71133F8E">
        <w:rPr>
          <w:rFonts w:ascii="Times New Roman" w:hAnsi="Times New Roman"/>
          <w:color w:val="000000" w:themeColor="text1"/>
          <w:sz w:val="24"/>
          <w:szCs w:val="24"/>
        </w:rPr>
        <w:t xml:space="preserve"> no reports are required</w:t>
      </w:r>
      <w:r w:rsidRPr="24BDDF92" w:rsidR="41ECCE41">
        <w:rPr>
          <w:rFonts w:ascii="Times New Roman" w:hAnsi="Times New Roman"/>
          <w:color w:val="000000" w:themeColor="text1"/>
          <w:sz w:val="24"/>
          <w:szCs w:val="24"/>
        </w:rPr>
        <w:t xml:space="preserve"> by a mortgagee.</w:t>
      </w:r>
      <w:r w:rsidRPr="24BDDF92" w:rsidR="22F25F8B">
        <w:rPr>
          <w:rFonts w:ascii="Times New Roman" w:hAnsi="Times New Roman"/>
          <w:color w:val="000000" w:themeColor="text1"/>
          <w:sz w:val="24"/>
          <w:szCs w:val="24"/>
        </w:rPr>
        <w:t xml:space="preserve"> </w:t>
      </w:r>
      <w:r w:rsidRPr="24BDDF92" w:rsidR="0377A388">
        <w:rPr>
          <w:rFonts w:ascii="Times New Roman" w:hAnsi="Times New Roman"/>
          <w:color w:val="000000" w:themeColor="text1"/>
          <w:sz w:val="24"/>
          <w:szCs w:val="24"/>
        </w:rPr>
        <w:t>T</w:t>
      </w:r>
      <w:r w:rsidRPr="24BDDF92" w:rsidR="22F25F8B">
        <w:rPr>
          <w:rFonts w:ascii="Times New Roman" w:hAnsi="Times New Roman"/>
          <w:sz w:val="24"/>
          <w:szCs w:val="24"/>
        </w:rPr>
        <w:t xml:space="preserve">here are no restrictions or limits on how often this </w:t>
      </w:r>
      <w:r w:rsidRPr="24BDDF92" w:rsidR="0377A388">
        <w:rPr>
          <w:rFonts w:ascii="Times New Roman" w:hAnsi="Times New Roman"/>
          <w:sz w:val="24"/>
          <w:szCs w:val="24"/>
        </w:rPr>
        <w:t xml:space="preserve">process </w:t>
      </w:r>
      <w:r w:rsidRPr="24BDDF92" w:rsidR="22F25F8B">
        <w:rPr>
          <w:rFonts w:ascii="Times New Roman" w:hAnsi="Times New Roman"/>
          <w:sz w:val="24"/>
          <w:szCs w:val="24"/>
        </w:rPr>
        <w:t xml:space="preserve">can </w:t>
      </w:r>
      <w:r w:rsidRPr="24BDDF92" w:rsidR="63C77733">
        <w:rPr>
          <w:rFonts w:ascii="Times New Roman" w:hAnsi="Times New Roman"/>
          <w:sz w:val="24"/>
          <w:szCs w:val="24"/>
        </w:rPr>
        <w:t>repeat</w:t>
      </w:r>
      <w:r w:rsidRPr="24BDDF92" w:rsidR="0377A388">
        <w:rPr>
          <w:rFonts w:ascii="Times New Roman" w:hAnsi="Times New Roman"/>
          <w:sz w:val="24"/>
          <w:szCs w:val="24"/>
        </w:rPr>
        <w:t xml:space="preserve">. </w:t>
      </w:r>
    </w:p>
    <w:p w:rsidR="00C16485" w:rsidRPr="00C16485" w:rsidP="00895F89" w14:paraId="2C921DCE" w14:textId="77777777">
      <w:pPr>
        <w:spacing w:after="160" w:line="240" w:lineRule="auto"/>
        <w:rPr>
          <w:rFonts w:ascii="Times New Roman" w:hAnsi="Times New Roman"/>
          <w:bCs/>
          <w:color w:val="000000"/>
          <w:sz w:val="24"/>
          <w:szCs w:val="24"/>
        </w:rPr>
      </w:pPr>
      <w:r w:rsidRPr="00C16485">
        <w:rPr>
          <w:rFonts w:ascii="Times New Roman" w:hAnsi="Times New Roman"/>
          <w:bCs/>
          <w:color w:val="000000"/>
          <w:sz w:val="24"/>
          <w:szCs w:val="24"/>
        </w:rPr>
        <w:t>**B</w:t>
      </w:r>
      <w:r>
        <w:rPr>
          <w:rFonts w:ascii="Times New Roman" w:hAnsi="Times New Roman"/>
          <w:bCs/>
          <w:color w:val="000000"/>
          <w:sz w:val="24"/>
          <w:szCs w:val="24"/>
        </w:rPr>
        <w:t xml:space="preserve">ureau of </w:t>
      </w:r>
      <w:r w:rsidRPr="00C16485">
        <w:rPr>
          <w:rFonts w:ascii="Times New Roman" w:hAnsi="Times New Roman"/>
          <w:bCs/>
          <w:color w:val="000000"/>
          <w:sz w:val="24"/>
          <w:szCs w:val="24"/>
        </w:rPr>
        <w:t>L</w:t>
      </w:r>
      <w:r>
        <w:rPr>
          <w:rFonts w:ascii="Times New Roman" w:hAnsi="Times New Roman"/>
          <w:bCs/>
          <w:color w:val="000000"/>
          <w:sz w:val="24"/>
          <w:szCs w:val="24"/>
        </w:rPr>
        <w:t xml:space="preserve">abor </w:t>
      </w:r>
      <w:r w:rsidRPr="00C16485">
        <w:rPr>
          <w:rFonts w:ascii="Times New Roman" w:hAnsi="Times New Roman"/>
          <w:bCs/>
          <w:color w:val="000000"/>
          <w:sz w:val="24"/>
          <w:szCs w:val="24"/>
        </w:rPr>
        <w:t>S</w:t>
      </w:r>
      <w:r>
        <w:rPr>
          <w:rFonts w:ascii="Times New Roman" w:hAnsi="Times New Roman"/>
          <w:bCs/>
          <w:color w:val="000000"/>
          <w:sz w:val="24"/>
          <w:szCs w:val="24"/>
        </w:rPr>
        <w:t>tatistics</w:t>
      </w:r>
      <w:r w:rsidRPr="00C16485">
        <w:rPr>
          <w:rFonts w:ascii="Times New Roman" w:hAnsi="Times New Roman"/>
          <w:bCs/>
          <w:color w:val="000000"/>
          <w:sz w:val="24"/>
          <w:szCs w:val="24"/>
        </w:rPr>
        <w:t xml:space="preserve"> - total compensation when allowing for benefits</w:t>
      </w:r>
    </w:p>
    <w:tbl>
      <w:tblPr>
        <w:tblW w:w="0" w:type="auto"/>
        <w:tblInd w:w="108" w:type="dxa"/>
        <w:tblLook w:val="04A0"/>
      </w:tblPr>
      <w:tblGrid>
        <w:gridCol w:w="9972"/>
      </w:tblGrid>
      <w:tr w14:paraId="43811281" w14:textId="77777777" w:rsidTr="31646679">
        <w:tblPrEx>
          <w:tblW w:w="0" w:type="auto"/>
          <w:tblInd w:w="108" w:type="dxa"/>
          <w:tblLook w:val="04A0"/>
        </w:tblPrEx>
        <w:tc>
          <w:tcPr>
            <w:tcW w:w="9897" w:type="dxa"/>
            <w:shd w:val="clear" w:color="auto" w:fill="auto"/>
          </w:tcPr>
          <w:p w:rsidR="00895F89" w:rsidP="00895F89" w14:paraId="478B9C5B" w14:textId="77777777">
            <w:pPr>
              <w:spacing w:after="160" w:line="240" w:lineRule="auto"/>
              <w:rPr>
                <w:rFonts w:ascii="Times New Roman" w:hAnsi="Times New Roman"/>
                <w:b/>
                <w:color w:val="000000"/>
                <w:sz w:val="24"/>
                <w:szCs w:val="24"/>
              </w:rPr>
            </w:pPr>
            <w:r w:rsidRPr="00C879B4">
              <w:rPr>
                <w:rFonts w:ascii="Times New Roman" w:hAnsi="Times New Roman"/>
                <w:b/>
                <w:color w:val="000000"/>
                <w:sz w:val="24"/>
                <w:szCs w:val="24"/>
              </w:rPr>
              <w:t>13. Provide an estimate for the total annual cost burden to respondents or recordkeepers resulting from the collection of information. (Do not include the cost of any hour burden shown in Items 12 and 14).</w:t>
            </w:r>
          </w:p>
          <w:p w:rsidR="0021340A" w:rsidRPr="00C879B4" w:rsidP="3CA152E8" w14:paraId="4A4796B8" w14:textId="1DFDA73E">
            <w:pPr>
              <w:spacing w:after="160" w:line="240" w:lineRule="auto"/>
              <w:rPr>
                <w:rFonts w:ascii="Times New Roman" w:hAnsi="Times New Roman"/>
                <w:b/>
                <w:bCs/>
                <w:color w:val="000000" w:themeColor="text1"/>
                <w:sz w:val="24"/>
                <w:szCs w:val="24"/>
              </w:rPr>
            </w:pPr>
            <w:r w:rsidRPr="3CA152E8">
              <w:rPr>
                <w:rFonts w:ascii="Times New Roman" w:hAnsi="Times New Roman"/>
                <w:b/>
                <w:bCs/>
                <w:color w:val="000000" w:themeColor="text1"/>
                <w:sz w:val="24"/>
                <w:szCs w:val="24"/>
              </w:rPr>
              <w:t xml:space="preserve"> </w:t>
            </w:r>
            <w:r w:rsidRPr="3CA152E8">
              <w:rPr>
                <w:rFonts w:ascii="Times New Roman" w:hAnsi="Times New Roman"/>
                <w:color w:val="000000" w:themeColor="text1"/>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w:t>
            </w:r>
            <w:r w:rsidRPr="3CA152E8">
              <w:rPr>
                <w:rFonts w:ascii="Times New Roman" w:hAnsi="Times New Roman"/>
                <w:color w:val="000000" w:themeColor="text1"/>
                <w:sz w:val="24"/>
                <w:szCs w:val="24"/>
              </w:rPr>
              <w:t>incurred. Capital and start-up costs include, among other items, preparations for collecting information such as purchasing computers and software; monitoring, sampling, drilling and testing equipment; and record storage facilities.</w:t>
            </w:r>
            <w:r w:rsidRPr="3CA152E8">
              <w:rPr>
                <w:rFonts w:ascii="Times New Roman" w:hAnsi="Times New Roman"/>
                <w:color w:val="000000" w:themeColor="text1"/>
                <w:sz w:val="24"/>
                <w:szCs w:val="24"/>
              </w:rPr>
              <w:t xml:space="preserve"> </w:t>
            </w:r>
            <w:r w:rsidRPr="3CA152E8">
              <w:rPr>
                <w:rFonts w:ascii="Times New Roman" w:hAnsi="Times New Roman"/>
                <w:color w:val="000000" w:themeColor="text1"/>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3CA152E8">
              <w:rPr>
                <w:rFonts w:ascii="Times New Roman" w:hAnsi="Times New Roman"/>
                <w:color w:val="000000" w:themeColor="text1"/>
                <w:sz w:val="24"/>
                <w:szCs w:val="24"/>
              </w:rPr>
              <w:t xml:space="preserve"> </w:t>
            </w:r>
            <w:r w:rsidRPr="3CA152E8">
              <w:rPr>
                <w:rFonts w:ascii="Times New Roman" w:hAnsi="Times New Roman"/>
                <w:color w:val="000000" w:themeColor="text1"/>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3CA152E8" w:rsidR="00E76DCC">
              <w:rPr>
                <w:rFonts w:ascii="Times New Roman" w:hAnsi="Times New Roman"/>
                <w:color w:val="000000" w:themeColor="text1"/>
                <w:sz w:val="24"/>
                <w:szCs w:val="24"/>
              </w:rPr>
              <w:t xml:space="preserve"> </w:t>
            </w:r>
          </w:p>
          <w:p w:rsidR="0021340A" w:rsidRPr="00C879B4" w:rsidP="3CA152E8" w14:paraId="641E3594" w14:textId="58C91AED">
            <w:pPr>
              <w:spacing w:after="160" w:line="240" w:lineRule="auto"/>
              <w:rPr>
                <w:rFonts w:ascii="Times New Roman" w:hAnsi="Times New Roman"/>
                <w:b/>
                <w:bCs/>
                <w:color w:val="000000"/>
                <w:sz w:val="24"/>
                <w:szCs w:val="24"/>
              </w:rPr>
            </w:pPr>
            <w:r w:rsidRPr="3CA152E8">
              <w:rPr>
                <w:rFonts w:ascii="Times New Roman" w:hAnsi="Times New Roman"/>
                <w:color w:val="000000" w:themeColor="text1"/>
                <w:sz w:val="24"/>
                <w:szCs w:val="24"/>
              </w:rPr>
              <w:t>There are no additional capital/</w:t>
            </w:r>
            <w:r w:rsidRPr="3CA152E8" w:rsidR="04257F8D">
              <w:rPr>
                <w:rFonts w:ascii="Times New Roman" w:hAnsi="Times New Roman"/>
                <w:color w:val="000000" w:themeColor="text1"/>
                <w:sz w:val="24"/>
                <w:szCs w:val="24"/>
              </w:rPr>
              <w:t>start-up</w:t>
            </w:r>
            <w:r w:rsidRPr="3CA152E8">
              <w:rPr>
                <w:rFonts w:ascii="Times New Roman" w:hAnsi="Times New Roman"/>
                <w:color w:val="000000" w:themeColor="text1"/>
                <w:sz w:val="24"/>
                <w:szCs w:val="24"/>
              </w:rPr>
              <w:t xml:space="preserve"> costs associated with this collection of information.</w:t>
            </w:r>
            <w:r w:rsidRPr="3CA152E8" w:rsidR="00D91C85">
              <w:rPr>
                <w:rFonts w:ascii="Times New Roman" w:hAnsi="Times New Roman"/>
                <w:color w:val="000000" w:themeColor="text1"/>
                <w:sz w:val="24"/>
                <w:szCs w:val="24"/>
              </w:rPr>
              <w:t xml:space="preserve"> </w:t>
            </w:r>
          </w:p>
        </w:tc>
      </w:tr>
      <w:tr w14:paraId="637805D2" w14:textId="77777777" w:rsidTr="31646679">
        <w:tblPrEx>
          <w:tblW w:w="0" w:type="auto"/>
          <w:tblInd w:w="108" w:type="dxa"/>
          <w:tblLook w:val="04A0"/>
        </w:tblPrEx>
        <w:tc>
          <w:tcPr>
            <w:tcW w:w="9897" w:type="dxa"/>
            <w:shd w:val="clear" w:color="auto" w:fill="auto"/>
          </w:tcPr>
          <w:p w:rsidR="0021340A" w:rsidRPr="00C879B4" w:rsidP="00895F89" w14:paraId="463F29E8" w14:textId="77777777">
            <w:pPr>
              <w:spacing w:after="0" w:line="240" w:lineRule="auto"/>
              <w:rPr>
                <w:rFonts w:ascii="Times New Roman" w:hAnsi="Times New Roman"/>
                <w:b/>
                <w:color w:val="000000"/>
                <w:sz w:val="24"/>
                <w:szCs w:val="24"/>
              </w:rPr>
            </w:pPr>
          </w:p>
        </w:tc>
      </w:tr>
      <w:tr w14:paraId="422ACA40" w14:textId="77777777" w:rsidTr="3164667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897" w:type="dxa"/>
            <w:tcBorders>
              <w:top w:val="nil"/>
              <w:left w:val="nil"/>
              <w:bottom w:val="nil"/>
              <w:right w:val="nil"/>
            </w:tcBorders>
            <w:shd w:val="clear" w:color="auto" w:fill="auto"/>
          </w:tcPr>
          <w:p w:rsidR="0021340A" w:rsidRPr="00C879B4" w:rsidP="00346401" w14:paraId="476D509A" w14:textId="77777777">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E76DCC">
              <w:rPr>
                <w:rFonts w:ascii="Times New Roman" w:hAnsi="Times New Roman"/>
                <w:b/>
                <w:color w:val="000000"/>
                <w:sz w:val="24"/>
                <w:szCs w:val="24"/>
              </w:rPr>
              <w:t xml:space="preserve"> </w:t>
            </w:r>
          </w:p>
        </w:tc>
      </w:tr>
      <w:tr w14:paraId="3B7B4B86" w14:textId="77777777" w:rsidTr="3164667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897" w:type="dxa"/>
            <w:tcBorders>
              <w:top w:val="nil"/>
              <w:left w:val="nil"/>
              <w:bottom w:val="nil"/>
              <w:right w:val="nil"/>
            </w:tcBorders>
            <w:shd w:val="clear" w:color="auto" w:fill="auto"/>
          </w:tcPr>
          <w:p w:rsidR="00F467AA" w:rsidRPr="00C879B4" w:rsidP="00346401" w14:paraId="3A0FF5F2" w14:textId="77777777">
            <w:pPr>
              <w:spacing w:after="0" w:line="240" w:lineRule="auto"/>
              <w:rPr>
                <w:rFonts w:ascii="Times New Roman" w:hAnsi="Times New Roman"/>
                <w:b/>
                <w:color w:val="000000"/>
                <w:sz w:val="24"/>
                <w:szCs w:val="24"/>
              </w:rPr>
            </w:pPr>
          </w:p>
        </w:tc>
      </w:tr>
      <w:tr w14:paraId="5AFF36EA" w14:textId="77777777" w:rsidTr="3164667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897" w:type="dxa"/>
            <w:tcBorders>
              <w:top w:val="nil"/>
              <w:left w:val="nil"/>
              <w:bottom w:val="nil"/>
              <w:right w:val="nil"/>
            </w:tcBorders>
            <w:shd w:val="clear" w:color="auto" w:fill="auto"/>
          </w:tcPr>
          <w:tbl>
            <w:tblPr>
              <w:tblW w:w="9795" w:type="dxa"/>
              <w:tblCellMar>
                <w:top w:w="15" w:type="dxa"/>
                <w:bottom w:w="15" w:type="dxa"/>
              </w:tblCellMar>
              <w:tblLook w:val="04A0"/>
            </w:tblPr>
            <w:tblGrid>
              <w:gridCol w:w="1599"/>
              <w:gridCol w:w="1419"/>
              <w:gridCol w:w="1315"/>
              <w:gridCol w:w="1195"/>
              <w:gridCol w:w="1255"/>
              <w:gridCol w:w="1001"/>
              <w:gridCol w:w="1001"/>
              <w:gridCol w:w="971"/>
            </w:tblGrid>
            <w:tr w14:paraId="32193C9E" w14:textId="77777777" w:rsidTr="31646679">
              <w:tblPrEx>
                <w:tblW w:w="9795" w:type="dxa"/>
                <w:tblCellMar>
                  <w:top w:w="15" w:type="dxa"/>
                  <w:bottom w:w="15" w:type="dxa"/>
                </w:tblCellMar>
                <w:tblLook w:val="04A0"/>
              </w:tblPrEx>
              <w:trPr>
                <w:trHeight w:val="285"/>
              </w:trPr>
              <w:tc>
                <w:tcPr>
                  <w:tcW w:w="6810" w:type="dxa"/>
                  <w:gridSpan w:val="5"/>
                  <w:tcBorders>
                    <w:top w:val="nil"/>
                    <w:left w:val="nil"/>
                    <w:bottom w:val="nil"/>
                    <w:right w:val="nil"/>
                  </w:tcBorders>
                  <w:noWrap/>
                  <w:vAlign w:val="bottom"/>
                  <w:hideMark/>
                </w:tcPr>
                <w:p w:rsidR="00C16485" w:rsidRPr="00C16485" w:rsidP="00C16485" w14:paraId="323D1862" w14:textId="77777777">
                  <w:pPr>
                    <w:spacing w:after="0" w:line="240" w:lineRule="auto"/>
                    <w:rPr>
                      <w:rFonts w:cs="Calibri"/>
                      <w:b/>
                      <w:bCs/>
                      <w:color w:val="000000"/>
                    </w:rPr>
                  </w:pPr>
                  <w:r w:rsidRPr="00C16485">
                    <w:rPr>
                      <w:rFonts w:cs="Calibri"/>
                      <w:b/>
                      <w:bCs/>
                      <w:color w:val="000000"/>
                    </w:rPr>
                    <w:t>Estimates of Annualized Cost to the Federal Government</w:t>
                  </w:r>
                </w:p>
              </w:tc>
              <w:tc>
                <w:tcPr>
                  <w:tcW w:w="1005" w:type="dxa"/>
                  <w:tcBorders>
                    <w:top w:val="nil"/>
                    <w:left w:val="nil"/>
                    <w:bottom w:val="nil"/>
                    <w:right w:val="nil"/>
                  </w:tcBorders>
                  <w:noWrap/>
                  <w:vAlign w:val="bottom"/>
                  <w:hideMark/>
                </w:tcPr>
                <w:p w:rsidR="00C16485" w:rsidRPr="00C16485" w:rsidP="00C16485" w14:paraId="5630AD66" w14:textId="77777777">
                  <w:pPr>
                    <w:spacing w:after="0" w:line="240" w:lineRule="auto"/>
                    <w:rPr>
                      <w:rFonts w:cs="Calibri"/>
                      <w:b/>
                      <w:bCs/>
                      <w:color w:val="000000"/>
                    </w:rPr>
                  </w:pPr>
                </w:p>
              </w:tc>
              <w:tc>
                <w:tcPr>
                  <w:tcW w:w="1005" w:type="dxa"/>
                  <w:tcBorders>
                    <w:top w:val="nil"/>
                    <w:left w:val="nil"/>
                    <w:bottom w:val="nil"/>
                    <w:right w:val="nil"/>
                  </w:tcBorders>
                  <w:noWrap/>
                  <w:vAlign w:val="bottom"/>
                  <w:hideMark/>
                </w:tcPr>
                <w:p w:rsidR="00C16485" w:rsidRPr="00C16485" w:rsidP="00C16485" w14:paraId="61829076" w14:textId="77777777">
                  <w:pPr>
                    <w:spacing w:after="0" w:line="240" w:lineRule="auto"/>
                    <w:rPr>
                      <w:rFonts w:ascii="Times New Roman" w:hAnsi="Times New Roman"/>
                      <w:sz w:val="20"/>
                      <w:szCs w:val="20"/>
                    </w:rPr>
                  </w:pPr>
                </w:p>
              </w:tc>
              <w:tc>
                <w:tcPr>
                  <w:tcW w:w="975" w:type="dxa"/>
                  <w:tcBorders>
                    <w:top w:val="nil"/>
                    <w:left w:val="nil"/>
                    <w:bottom w:val="nil"/>
                    <w:right w:val="nil"/>
                  </w:tcBorders>
                  <w:noWrap/>
                  <w:vAlign w:val="bottom"/>
                  <w:hideMark/>
                </w:tcPr>
                <w:p w:rsidR="00C16485" w:rsidRPr="00C16485" w:rsidP="00C16485" w14:paraId="2BA226A1" w14:textId="77777777">
                  <w:pPr>
                    <w:spacing w:after="0" w:line="240" w:lineRule="auto"/>
                    <w:rPr>
                      <w:rFonts w:ascii="Times New Roman" w:hAnsi="Times New Roman"/>
                      <w:sz w:val="20"/>
                      <w:szCs w:val="20"/>
                    </w:rPr>
                  </w:pPr>
                </w:p>
              </w:tc>
            </w:tr>
            <w:tr w14:paraId="17AD93B2" w14:textId="77777777" w:rsidTr="31646679">
              <w:tblPrEx>
                <w:tblW w:w="9795" w:type="dxa"/>
                <w:tblCellMar>
                  <w:top w:w="15" w:type="dxa"/>
                  <w:bottom w:w="15" w:type="dxa"/>
                </w:tblCellMar>
                <w:tblLook w:val="04A0"/>
              </w:tblPrEx>
              <w:trPr>
                <w:trHeight w:val="135"/>
              </w:trPr>
              <w:tc>
                <w:tcPr>
                  <w:tcW w:w="1605" w:type="dxa"/>
                  <w:tcBorders>
                    <w:top w:val="nil"/>
                    <w:left w:val="nil"/>
                    <w:bottom w:val="nil"/>
                    <w:right w:val="nil"/>
                  </w:tcBorders>
                  <w:noWrap/>
                  <w:vAlign w:val="bottom"/>
                  <w:hideMark/>
                </w:tcPr>
                <w:p w:rsidR="00C16485" w:rsidRPr="00C16485" w:rsidP="00C16485" w14:paraId="0DE4B5B7" w14:textId="77777777">
                  <w:pPr>
                    <w:spacing w:after="0" w:line="240" w:lineRule="auto"/>
                    <w:rPr>
                      <w:rFonts w:ascii="Times New Roman" w:hAnsi="Times New Roman"/>
                      <w:sz w:val="20"/>
                      <w:szCs w:val="20"/>
                    </w:rPr>
                  </w:pPr>
                </w:p>
              </w:tc>
              <w:tc>
                <w:tcPr>
                  <w:tcW w:w="1425" w:type="dxa"/>
                  <w:tcBorders>
                    <w:top w:val="nil"/>
                    <w:left w:val="nil"/>
                    <w:bottom w:val="nil"/>
                    <w:right w:val="nil"/>
                  </w:tcBorders>
                  <w:noWrap/>
                  <w:vAlign w:val="bottom"/>
                  <w:hideMark/>
                </w:tcPr>
                <w:p w:rsidR="00C16485" w:rsidRPr="00C16485" w:rsidP="00C16485" w14:paraId="66204FF1" w14:textId="77777777">
                  <w:pPr>
                    <w:spacing w:after="0" w:line="240" w:lineRule="auto"/>
                    <w:rPr>
                      <w:rFonts w:ascii="Times New Roman" w:hAnsi="Times New Roman"/>
                      <w:sz w:val="20"/>
                      <w:szCs w:val="20"/>
                    </w:rPr>
                  </w:pPr>
                </w:p>
              </w:tc>
              <w:tc>
                <w:tcPr>
                  <w:tcW w:w="1320" w:type="dxa"/>
                  <w:tcBorders>
                    <w:top w:val="nil"/>
                    <w:left w:val="nil"/>
                    <w:bottom w:val="nil"/>
                    <w:right w:val="nil"/>
                  </w:tcBorders>
                  <w:noWrap/>
                  <w:vAlign w:val="bottom"/>
                  <w:hideMark/>
                </w:tcPr>
                <w:p w:rsidR="00C16485" w:rsidRPr="00C16485" w:rsidP="00C16485" w14:paraId="2DBF0D7D" w14:textId="77777777">
                  <w:pPr>
                    <w:spacing w:after="0" w:line="240" w:lineRule="auto"/>
                    <w:rPr>
                      <w:rFonts w:ascii="Times New Roman" w:hAnsi="Times New Roman"/>
                      <w:sz w:val="20"/>
                      <w:szCs w:val="20"/>
                    </w:rPr>
                  </w:pPr>
                </w:p>
              </w:tc>
              <w:tc>
                <w:tcPr>
                  <w:tcW w:w="1200" w:type="dxa"/>
                  <w:tcBorders>
                    <w:top w:val="nil"/>
                    <w:left w:val="nil"/>
                    <w:bottom w:val="nil"/>
                    <w:right w:val="nil"/>
                  </w:tcBorders>
                  <w:noWrap/>
                  <w:vAlign w:val="bottom"/>
                  <w:hideMark/>
                </w:tcPr>
                <w:p w:rsidR="00C16485" w:rsidRPr="00C16485" w:rsidP="00C16485" w14:paraId="6B62F1B3" w14:textId="77777777">
                  <w:pPr>
                    <w:spacing w:after="0" w:line="240" w:lineRule="auto"/>
                    <w:rPr>
                      <w:rFonts w:ascii="Times New Roman" w:hAnsi="Times New Roman"/>
                      <w:sz w:val="20"/>
                      <w:szCs w:val="20"/>
                    </w:rPr>
                  </w:pPr>
                </w:p>
              </w:tc>
              <w:tc>
                <w:tcPr>
                  <w:tcW w:w="1260" w:type="dxa"/>
                  <w:tcBorders>
                    <w:top w:val="nil"/>
                    <w:left w:val="nil"/>
                    <w:bottom w:val="nil"/>
                    <w:right w:val="nil"/>
                  </w:tcBorders>
                  <w:noWrap/>
                  <w:vAlign w:val="bottom"/>
                  <w:hideMark/>
                </w:tcPr>
                <w:p w:rsidR="00C16485" w:rsidRPr="00C16485" w:rsidP="00C16485" w14:paraId="02F2C34E" w14:textId="77777777">
                  <w:pPr>
                    <w:spacing w:after="0" w:line="240" w:lineRule="auto"/>
                    <w:rPr>
                      <w:rFonts w:ascii="Times New Roman" w:hAnsi="Times New Roman"/>
                      <w:sz w:val="20"/>
                      <w:szCs w:val="20"/>
                    </w:rPr>
                  </w:pPr>
                </w:p>
              </w:tc>
              <w:tc>
                <w:tcPr>
                  <w:tcW w:w="1005" w:type="dxa"/>
                  <w:tcBorders>
                    <w:top w:val="nil"/>
                    <w:left w:val="nil"/>
                    <w:bottom w:val="nil"/>
                    <w:right w:val="nil"/>
                  </w:tcBorders>
                  <w:noWrap/>
                  <w:vAlign w:val="bottom"/>
                  <w:hideMark/>
                </w:tcPr>
                <w:p w:rsidR="00C16485" w:rsidRPr="00C16485" w:rsidP="00C16485" w14:paraId="680A4E5D" w14:textId="77777777">
                  <w:pPr>
                    <w:spacing w:after="0" w:line="240" w:lineRule="auto"/>
                    <w:rPr>
                      <w:rFonts w:ascii="Times New Roman" w:hAnsi="Times New Roman"/>
                      <w:sz w:val="20"/>
                      <w:szCs w:val="20"/>
                    </w:rPr>
                  </w:pPr>
                </w:p>
              </w:tc>
              <w:tc>
                <w:tcPr>
                  <w:tcW w:w="1005" w:type="dxa"/>
                  <w:tcBorders>
                    <w:top w:val="nil"/>
                    <w:left w:val="nil"/>
                    <w:bottom w:val="nil"/>
                    <w:right w:val="nil"/>
                  </w:tcBorders>
                  <w:noWrap/>
                  <w:vAlign w:val="bottom"/>
                  <w:hideMark/>
                </w:tcPr>
                <w:p w:rsidR="00C16485" w:rsidRPr="00C16485" w:rsidP="00C16485" w14:paraId="19219836" w14:textId="77777777">
                  <w:pPr>
                    <w:spacing w:after="0" w:line="240" w:lineRule="auto"/>
                    <w:rPr>
                      <w:rFonts w:ascii="Times New Roman" w:hAnsi="Times New Roman"/>
                      <w:sz w:val="20"/>
                      <w:szCs w:val="20"/>
                    </w:rPr>
                  </w:pPr>
                </w:p>
              </w:tc>
              <w:tc>
                <w:tcPr>
                  <w:tcW w:w="975" w:type="dxa"/>
                  <w:tcBorders>
                    <w:top w:val="nil"/>
                    <w:left w:val="nil"/>
                    <w:bottom w:val="nil"/>
                    <w:right w:val="nil"/>
                  </w:tcBorders>
                  <w:noWrap/>
                  <w:vAlign w:val="bottom"/>
                  <w:hideMark/>
                </w:tcPr>
                <w:p w:rsidR="00C16485" w:rsidRPr="00C16485" w:rsidP="00C16485" w14:paraId="296FEF7D" w14:textId="77777777">
                  <w:pPr>
                    <w:spacing w:after="0" w:line="240" w:lineRule="auto"/>
                    <w:rPr>
                      <w:rFonts w:ascii="Times New Roman" w:hAnsi="Times New Roman"/>
                      <w:sz w:val="20"/>
                      <w:szCs w:val="20"/>
                    </w:rPr>
                  </w:pPr>
                </w:p>
              </w:tc>
            </w:tr>
            <w:tr w14:paraId="75AF465B" w14:textId="77777777" w:rsidTr="31646679">
              <w:tblPrEx>
                <w:tblW w:w="9795" w:type="dxa"/>
                <w:tblCellMar>
                  <w:top w:w="15" w:type="dxa"/>
                  <w:bottom w:w="15" w:type="dxa"/>
                </w:tblCellMar>
                <w:tblLook w:val="04A0"/>
              </w:tblPrEx>
              <w:trPr>
                <w:trHeight w:val="1215"/>
              </w:trPr>
              <w:tc>
                <w:tcPr>
                  <w:tcW w:w="1605" w:type="dxa"/>
                  <w:tcBorders>
                    <w:top w:val="single" w:sz="4" w:space="0" w:color="auto"/>
                    <w:left w:val="single" w:sz="4" w:space="0" w:color="auto"/>
                    <w:bottom w:val="single" w:sz="4" w:space="0" w:color="auto"/>
                    <w:right w:val="single" w:sz="4" w:space="0" w:color="auto"/>
                  </w:tcBorders>
                  <w:hideMark/>
                </w:tcPr>
                <w:p w:rsidR="00C16485" w:rsidRPr="00C16485" w:rsidP="00C16485" w14:paraId="6D2B09A5" w14:textId="77777777">
                  <w:pPr>
                    <w:spacing w:after="0" w:line="240" w:lineRule="auto"/>
                    <w:jc w:val="center"/>
                    <w:rPr>
                      <w:rFonts w:cs="Calibri"/>
                      <w:b/>
                      <w:bCs/>
                      <w:color w:val="000000"/>
                    </w:rPr>
                  </w:pPr>
                  <w:r w:rsidRPr="00C16485">
                    <w:rPr>
                      <w:rFonts w:cs="Calibri"/>
                      <w:b/>
                      <w:bCs/>
                      <w:color w:val="000000"/>
                    </w:rPr>
                    <w:t>Information</w:t>
                  </w:r>
                  <w:r w:rsidRPr="00C16485">
                    <w:rPr>
                      <w:rFonts w:cs="Calibri"/>
                      <w:b/>
                      <w:bCs/>
                      <w:color w:val="000000"/>
                    </w:rPr>
                    <w:br/>
                    <w:t>Collection</w:t>
                  </w:r>
                </w:p>
              </w:tc>
              <w:tc>
                <w:tcPr>
                  <w:tcW w:w="1425" w:type="dxa"/>
                  <w:tcBorders>
                    <w:top w:val="single" w:sz="4" w:space="0" w:color="auto"/>
                    <w:left w:val="single" w:sz="4" w:space="0" w:color="auto"/>
                    <w:bottom w:val="single" w:sz="4" w:space="0" w:color="auto"/>
                    <w:right w:val="single" w:sz="4" w:space="0" w:color="auto"/>
                  </w:tcBorders>
                  <w:hideMark/>
                </w:tcPr>
                <w:p w:rsidR="00C16485" w:rsidRPr="00C16485" w:rsidP="00C16485" w14:paraId="2514E71D" w14:textId="77777777">
                  <w:pPr>
                    <w:spacing w:after="0" w:line="240" w:lineRule="auto"/>
                    <w:jc w:val="center"/>
                    <w:rPr>
                      <w:rFonts w:cs="Calibri"/>
                      <w:b/>
                      <w:bCs/>
                      <w:color w:val="000000"/>
                    </w:rPr>
                  </w:pPr>
                  <w:r w:rsidRPr="00C16485">
                    <w:rPr>
                      <w:rFonts w:cs="Calibri"/>
                      <w:b/>
                      <w:bCs/>
                      <w:color w:val="000000"/>
                    </w:rPr>
                    <w:t xml:space="preserve">Number </w:t>
                  </w:r>
                  <w:r w:rsidRPr="00C16485">
                    <w:rPr>
                      <w:rFonts w:cs="Calibri"/>
                      <w:b/>
                      <w:bCs/>
                      <w:color w:val="000000"/>
                    </w:rPr>
                    <w:br/>
                    <w:t xml:space="preserve">of </w:t>
                  </w:r>
                  <w:r w:rsidRPr="00C16485">
                    <w:rPr>
                      <w:rFonts w:cs="Calibri"/>
                      <w:b/>
                      <w:bCs/>
                      <w:color w:val="000000"/>
                    </w:rPr>
                    <w:br/>
                    <w:t>Respondents</w:t>
                  </w:r>
                </w:p>
              </w:tc>
              <w:tc>
                <w:tcPr>
                  <w:tcW w:w="1320" w:type="dxa"/>
                  <w:tcBorders>
                    <w:top w:val="single" w:sz="4" w:space="0" w:color="auto"/>
                    <w:left w:val="single" w:sz="4" w:space="0" w:color="auto"/>
                    <w:bottom w:val="single" w:sz="4" w:space="0" w:color="auto"/>
                    <w:right w:val="single" w:sz="4" w:space="0" w:color="auto"/>
                  </w:tcBorders>
                  <w:hideMark/>
                </w:tcPr>
                <w:p w:rsidR="00C16485" w:rsidRPr="00C16485" w:rsidP="00C16485" w14:paraId="5DDC0057" w14:textId="77777777">
                  <w:pPr>
                    <w:spacing w:after="0" w:line="240" w:lineRule="auto"/>
                    <w:jc w:val="center"/>
                    <w:rPr>
                      <w:rFonts w:cs="Calibri"/>
                      <w:b/>
                      <w:bCs/>
                      <w:color w:val="000000"/>
                    </w:rPr>
                  </w:pPr>
                  <w:r w:rsidRPr="00C16485">
                    <w:rPr>
                      <w:rFonts w:cs="Calibri"/>
                      <w:b/>
                      <w:bCs/>
                      <w:color w:val="000000"/>
                    </w:rPr>
                    <w:t xml:space="preserve">Frequency </w:t>
                  </w:r>
                  <w:r w:rsidRPr="00C16485">
                    <w:rPr>
                      <w:rFonts w:cs="Calibri"/>
                      <w:b/>
                      <w:bCs/>
                      <w:color w:val="000000"/>
                    </w:rPr>
                    <w:br/>
                    <w:t xml:space="preserve">of </w:t>
                  </w:r>
                  <w:r w:rsidRPr="00C16485">
                    <w:rPr>
                      <w:rFonts w:cs="Calibri"/>
                      <w:b/>
                      <w:bCs/>
                      <w:color w:val="000000"/>
                    </w:rPr>
                    <w:br/>
                    <w:t>Response</w:t>
                  </w:r>
                </w:p>
              </w:tc>
              <w:tc>
                <w:tcPr>
                  <w:tcW w:w="1200" w:type="dxa"/>
                  <w:tcBorders>
                    <w:top w:val="single" w:sz="4" w:space="0" w:color="auto"/>
                    <w:left w:val="single" w:sz="4" w:space="0" w:color="auto"/>
                    <w:bottom w:val="single" w:sz="4" w:space="0" w:color="auto"/>
                    <w:right w:val="single" w:sz="4" w:space="0" w:color="auto"/>
                  </w:tcBorders>
                  <w:hideMark/>
                </w:tcPr>
                <w:p w:rsidR="00C16485" w:rsidRPr="00C16485" w:rsidP="00C16485" w14:paraId="109C09AF" w14:textId="77777777">
                  <w:pPr>
                    <w:spacing w:after="0" w:line="240" w:lineRule="auto"/>
                    <w:jc w:val="center"/>
                    <w:rPr>
                      <w:rFonts w:cs="Calibri"/>
                      <w:b/>
                      <w:bCs/>
                      <w:color w:val="000000"/>
                    </w:rPr>
                  </w:pPr>
                  <w:r w:rsidRPr="00C16485">
                    <w:rPr>
                      <w:rFonts w:cs="Calibri"/>
                      <w:b/>
                      <w:bCs/>
                      <w:color w:val="000000"/>
                    </w:rPr>
                    <w:t xml:space="preserve">Total </w:t>
                  </w:r>
                  <w:r w:rsidRPr="00C16485">
                    <w:rPr>
                      <w:rFonts w:cs="Calibri"/>
                      <w:b/>
                      <w:bCs/>
                      <w:color w:val="000000"/>
                    </w:rPr>
                    <w:br/>
                    <w:t xml:space="preserve">Annual </w:t>
                  </w:r>
                  <w:r w:rsidRPr="00C16485">
                    <w:rPr>
                      <w:rFonts w:cs="Calibri"/>
                      <w:b/>
                      <w:bCs/>
                      <w:color w:val="000000"/>
                    </w:rPr>
                    <w:br/>
                    <w:t>Responses</w:t>
                  </w:r>
                </w:p>
              </w:tc>
              <w:tc>
                <w:tcPr>
                  <w:tcW w:w="1260" w:type="dxa"/>
                  <w:tcBorders>
                    <w:top w:val="single" w:sz="4" w:space="0" w:color="auto"/>
                    <w:left w:val="single" w:sz="4" w:space="0" w:color="auto"/>
                    <w:bottom w:val="single" w:sz="4" w:space="0" w:color="auto"/>
                    <w:right w:val="single" w:sz="4" w:space="0" w:color="auto"/>
                  </w:tcBorders>
                  <w:hideMark/>
                </w:tcPr>
                <w:p w:rsidR="00C16485" w:rsidRPr="00C16485" w:rsidP="00C16485" w14:paraId="48AF6C68" w14:textId="77777777">
                  <w:pPr>
                    <w:spacing w:after="0" w:line="240" w:lineRule="auto"/>
                    <w:jc w:val="center"/>
                    <w:rPr>
                      <w:rFonts w:cs="Calibri"/>
                      <w:b/>
                      <w:bCs/>
                      <w:color w:val="000000"/>
                    </w:rPr>
                  </w:pPr>
                  <w:r w:rsidRPr="00C16485">
                    <w:rPr>
                      <w:rFonts w:cs="Calibri"/>
                      <w:b/>
                      <w:bCs/>
                      <w:color w:val="000000"/>
                    </w:rPr>
                    <w:t xml:space="preserve">Burden </w:t>
                  </w:r>
                  <w:r w:rsidRPr="00C16485">
                    <w:rPr>
                      <w:rFonts w:cs="Calibri"/>
                      <w:b/>
                      <w:bCs/>
                      <w:color w:val="000000"/>
                    </w:rPr>
                    <w:br/>
                    <w:t xml:space="preserve">Hours per </w:t>
                  </w:r>
                  <w:r w:rsidRPr="00C16485">
                    <w:rPr>
                      <w:rFonts w:cs="Calibri"/>
                      <w:b/>
                      <w:bCs/>
                      <w:color w:val="000000"/>
                    </w:rPr>
                    <w:br/>
                    <w:t>Response</w:t>
                  </w:r>
                </w:p>
              </w:tc>
              <w:tc>
                <w:tcPr>
                  <w:tcW w:w="1005" w:type="dxa"/>
                  <w:tcBorders>
                    <w:top w:val="single" w:sz="4" w:space="0" w:color="auto"/>
                    <w:left w:val="single" w:sz="4" w:space="0" w:color="auto"/>
                    <w:bottom w:val="single" w:sz="4" w:space="0" w:color="auto"/>
                    <w:right w:val="single" w:sz="4" w:space="0" w:color="auto"/>
                  </w:tcBorders>
                  <w:hideMark/>
                </w:tcPr>
                <w:p w:rsidR="00C16485" w:rsidRPr="00C16485" w:rsidP="00C16485" w14:paraId="6C21AAEF" w14:textId="77777777">
                  <w:pPr>
                    <w:spacing w:after="0" w:line="240" w:lineRule="auto"/>
                    <w:jc w:val="center"/>
                    <w:rPr>
                      <w:rFonts w:cs="Calibri"/>
                      <w:b/>
                      <w:bCs/>
                      <w:color w:val="000000"/>
                    </w:rPr>
                  </w:pPr>
                  <w:r w:rsidRPr="00C16485">
                    <w:rPr>
                      <w:rFonts w:cs="Calibri"/>
                      <w:b/>
                      <w:bCs/>
                      <w:color w:val="000000"/>
                    </w:rPr>
                    <w:t xml:space="preserve">Annual </w:t>
                  </w:r>
                  <w:r w:rsidRPr="00C16485">
                    <w:rPr>
                      <w:rFonts w:cs="Calibri"/>
                      <w:b/>
                      <w:bCs/>
                      <w:color w:val="000000"/>
                    </w:rPr>
                    <w:br/>
                    <w:t xml:space="preserve">Burden </w:t>
                  </w:r>
                  <w:r w:rsidRPr="00C16485">
                    <w:rPr>
                      <w:rFonts w:cs="Calibri"/>
                      <w:b/>
                      <w:bCs/>
                      <w:color w:val="000000"/>
                    </w:rPr>
                    <w:br/>
                    <w:t>Hours</w:t>
                  </w:r>
                </w:p>
              </w:tc>
              <w:tc>
                <w:tcPr>
                  <w:tcW w:w="1005" w:type="dxa"/>
                  <w:tcBorders>
                    <w:top w:val="single" w:sz="4" w:space="0" w:color="auto"/>
                    <w:left w:val="single" w:sz="4" w:space="0" w:color="auto"/>
                    <w:bottom w:val="nil"/>
                    <w:right w:val="single" w:sz="4" w:space="0" w:color="auto"/>
                  </w:tcBorders>
                  <w:hideMark/>
                </w:tcPr>
                <w:p w:rsidR="00C16485" w:rsidRPr="00C16485" w:rsidP="00C16485" w14:paraId="2E9C47CD" w14:textId="77777777">
                  <w:pPr>
                    <w:spacing w:after="0" w:line="240" w:lineRule="auto"/>
                    <w:jc w:val="center"/>
                    <w:rPr>
                      <w:rFonts w:cs="Calibri"/>
                      <w:b/>
                      <w:bCs/>
                      <w:color w:val="000000"/>
                    </w:rPr>
                  </w:pPr>
                  <w:r w:rsidRPr="00C16485">
                    <w:rPr>
                      <w:rFonts w:cs="Calibri"/>
                      <w:b/>
                      <w:bCs/>
                      <w:color w:val="000000"/>
                    </w:rPr>
                    <w:t xml:space="preserve">Hourly </w:t>
                  </w:r>
                  <w:r w:rsidRPr="00C16485">
                    <w:rPr>
                      <w:rFonts w:cs="Calibri"/>
                      <w:b/>
                      <w:bCs/>
                      <w:color w:val="000000"/>
                    </w:rPr>
                    <w:br/>
                    <w:t>Cost**</w:t>
                  </w:r>
                </w:p>
              </w:tc>
              <w:tc>
                <w:tcPr>
                  <w:tcW w:w="975" w:type="dxa"/>
                  <w:tcBorders>
                    <w:top w:val="single" w:sz="4" w:space="0" w:color="auto"/>
                    <w:left w:val="single" w:sz="4" w:space="0" w:color="auto"/>
                    <w:bottom w:val="single" w:sz="4" w:space="0" w:color="auto"/>
                    <w:right w:val="single" w:sz="4" w:space="0" w:color="auto"/>
                  </w:tcBorders>
                  <w:hideMark/>
                </w:tcPr>
                <w:p w:rsidR="00C16485" w:rsidRPr="00C16485" w:rsidP="00C16485" w14:paraId="4B8B5715" w14:textId="77777777">
                  <w:pPr>
                    <w:spacing w:after="0" w:line="240" w:lineRule="auto"/>
                    <w:jc w:val="center"/>
                    <w:rPr>
                      <w:rFonts w:cs="Calibri"/>
                      <w:b/>
                      <w:bCs/>
                      <w:color w:val="000000"/>
                    </w:rPr>
                  </w:pPr>
                  <w:r w:rsidRPr="00C16485">
                    <w:rPr>
                      <w:rFonts w:cs="Calibri"/>
                      <w:b/>
                      <w:bCs/>
                      <w:color w:val="000000"/>
                    </w:rPr>
                    <w:t xml:space="preserve">Total </w:t>
                  </w:r>
                  <w:r w:rsidRPr="00C16485">
                    <w:rPr>
                      <w:rFonts w:cs="Calibri"/>
                      <w:b/>
                      <w:bCs/>
                      <w:color w:val="000000"/>
                    </w:rPr>
                    <w:br/>
                    <w:t xml:space="preserve">Annual </w:t>
                  </w:r>
                  <w:r w:rsidRPr="00C16485">
                    <w:rPr>
                      <w:rFonts w:cs="Calibri"/>
                      <w:b/>
                      <w:bCs/>
                      <w:color w:val="000000"/>
                    </w:rPr>
                    <w:br/>
                    <w:t>Cost</w:t>
                  </w:r>
                </w:p>
              </w:tc>
            </w:tr>
            <w:tr w14:paraId="7AD3533A" w14:textId="77777777" w:rsidTr="31646679">
              <w:tblPrEx>
                <w:tblW w:w="9795" w:type="dxa"/>
                <w:tblCellMar>
                  <w:top w:w="15" w:type="dxa"/>
                  <w:bottom w:w="15" w:type="dxa"/>
                </w:tblCellMar>
                <w:tblLook w:val="04A0"/>
              </w:tblPrEx>
              <w:trPr>
                <w:trHeight w:val="615"/>
              </w:trPr>
              <w:tc>
                <w:tcPr>
                  <w:tcW w:w="1605" w:type="dxa"/>
                  <w:tcBorders>
                    <w:top w:val="single" w:sz="4" w:space="0" w:color="auto"/>
                    <w:left w:val="single" w:sz="4" w:space="0" w:color="auto"/>
                    <w:bottom w:val="single" w:sz="4" w:space="0" w:color="auto"/>
                    <w:right w:val="single" w:sz="4" w:space="0" w:color="auto"/>
                  </w:tcBorders>
                  <w:vAlign w:val="center"/>
                  <w:hideMark/>
                </w:tcPr>
                <w:p w:rsidR="00C16485" w:rsidRPr="00C16485" w:rsidP="00C16485" w14:paraId="626FEAD8" w14:textId="77777777">
                  <w:pPr>
                    <w:spacing w:after="0" w:line="240" w:lineRule="auto"/>
                    <w:jc w:val="center"/>
                    <w:rPr>
                      <w:rFonts w:cs="Calibri"/>
                      <w:color w:val="000000"/>
                    </w:rPr>
                  </w:pPr>
                  <w:r w:rsidRPr="00C16485">
                    <w:rPr>
                      <w:rFonts w:cs="Calibri"/>
                      <w:color w:val="000000"/>
                    </w:rPr>
                    <w:t xml:space="preserve">Initial </w:t>
                  </w:r>
                  <w:r w:rsidRPr="00C16485">
                    <w:rPr>
                      <w:rFonts w:cs="Calibri"/>
                      <w:color w:val="000000"/>
                    </w:rPr>
                    <w:br/>
                    <w:t>Defaults</w:t>
                  </w:r>
                </w:p>
              </w:tc>
              <w:tc>
                <w:tcPr>
                  <w:tcW w:w="142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65D5EFF7" w14:textId="77777777">
                  <w:pPr>
                    <w:spacing w:after="0" w:line="240" w:lineRule="auto"/>
                    <w:jc w:val="center"/>
                    <w:rPr>
                      <w:rFonts w:cs="Calibri"/>
                      <w:color w:val="000000"/>
                    </w:rPr>
                  </w:pPr>
                  <w:r w:rsidRPr="00C16485">
                    <w:rPr>
                      <w:rFonts w:cs="Calibri"/>
                      <w:color w:val="000000"/>
                    </w:rPr>
                    <w:t xml:space="preserve">114 </w:t>
                  </w:r>
                </w:p>
              </w:tc>
              <w:tc>
                <w:tcPr>
                  <w:tcW w:w="1320" w:type="dxa"/>
                  <w:tcBorders>
                    <w:top w:val="single" w:sz="4" w:space="0" w:color="auto"/>
                    <w:left w:val="single" w:sz="4" w:space="0" w:color="auto"/>
                    <w:bottom w:val="single" w:sz="4" w:space="0" w:color="auto"/>
                    <w:right w:val="single" w:sz="4" w:space="0" w:color="auto"/>
                  </w:tcBorders>
                  <w:vAlign w:val="center"/>
                  <w:hideMark/>
                </w:tcPr>
                <w:p w:rsidR="00C16485" w:rsidRPr="00C16485" w:rsidP="24BDDF92" w14:paraId="77C373C8" w14:textId="77777777">
                  <w:pPr>
                    <w:spacing w:after="0" w:line="240" w:lineRule="auto"/>
                    <w:jc w:val="center"/>
                    <w:rPr>
                      <w:rFonts w:cs="Calibri"/>
                      <w:color w:val="000000"/>
                    </w:rPr>
                  </w:pPr>
                  <w:r w:rsidRPr="24BDDF92">
                    <w:rPr>
                      <w:rFonts w:cs="Calibri"/>
                      <w:color w:val="000000" w:themeColor="text1"/>
                    </w:rPr>
                    <w:t>444</w:t>
                  </w:r>
                </w:p>
              </w:tc>
              <w:tc>
                <w:tcPr>
                  <w:tcW w:w="120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3E343870" w14:textId="77777777">
                  <w:pPr>
                    <w:spacing w:after="0" w:line="240" w:lineRule="auto"/>
                    <w:jc w:val="center"/>
                    <w:rPr>
                      <w:rFonts w:cs="Calibri"/>
                      <w:color w:val="000000"/>
                    </w:rPr>
                  </w:pPr>
                  <w:r w:rsidRPr="00C16485">
                    <w:rPr>
                      <w:rFonts w:cs="Calibri"/>
                      <w:color w:val="000000"/>
                    </w:rPr>
                    <w:t xml:space="preserve">444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75FCD600" w14:textId="77777777">
                  <w:pPr>
                    <w:spacing w:after="0" w:line="240" w:lineRule="auto"/>
                    <w:jc w:val="center"/>
                    <w:rPr>
                      <w:rFonts w:cs="Calibri"/>
                      <w:color w:val="000000"/>
                    </w:rPr>
                  </w:pPr>
                  <w:r w:rsidRPr="00C16485">
                    <w:rPr>
                      <w:rFonts w:cs="Calibri"/>
                      <w:color w:val="000000"/>
                    </w:rPr>
                    <w:t>0.1666</w:t>
                  </w:r>
                </w:p>
              </w:tc>
              <w:tc>
                <w:tcPr>
                  <w:tcW w:w="1005" w:type="dxa"/>
                  <w:tcBorders>
                    <w:top w:val="single" w:sz="4" w:space="0" w:color="auto"/>
                    <w:left w:val="single" w:sz="4" w:space="0" w:color="auto"/>
                    <w:bottom w:val="single" w:sz="4" w:space="0" w:color="auto"/>
                    <w:right w:val="nil"/>
                  </w:tcBorders>
                  <w:noWrap/>
                  <w:vAlign w:val="center"/>
                  <w:hideMark/>
                </w:tcPr>
                <w:p w:rsidR="00C16485" w:rsidRPr="00C16485" w:rsidP="00C16485" w14:paraId="66A63F3D" w14:textId="77777777">
                  <w:pPr>
                    <w:spacing w:after="0" w:line="240" w:lineRule="auto"/>
                    <w:jc w:val="center"/>
                    <w:rPr>
                      <w:rFonts w:cs="Calibri"/>
                      <w:color w:val="000000"/>
                    </w:rPr>
                  </w:pPr>
                  <w:r w:rsidRPr="00C16485">
                    <w:rPr>
                      <w:rFonts w:cs="Calibri"/>
                      <w:color w:val="000000"/>
                    </w:rPr>
                    <w:t xml:space="preserve">74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16485" w:rsidRPr="00C16485" w:rsidP="00C16485" w14:paraId="6B7DCB56" w14:textId="77777777">
                  <w:pPr>
                    <w:spacing w:after="0" w:line="240" w:lineRule="auto"/>
                    <w:jc w:val="center"/>
                    <w:rPr>
                      <w:rFonts w:ascii="Arial" w:hAnsi="Arial" w:cs="Arial"/>
                      <w:color w:val="000000"/>
                      <w:sz w:val="20"/>
                      <w:szCs w:val="20"/>
                    </w:rPr>
                  </w:pPr>
                  <w:r w:rsidRPr="00C16485">
                    <w:rPr>
                      <w:rFonts w:ascii="Arial" w:hAnsi="Arial" w:cs="Arial"/>
                      <w:color w:val="000000"/>
                      <w:sz w:val="20"/>
                      <w:szCs w:val="20"/>
                    </w:rPr>
                    <w:t xml:space="preserve"> $44.29 </w:t>
                  </w:r>
                </w:p>
              </w:tc>
              <w:tc>
                <w:tcPr>
                  <w:tcW w:w="975" w:type="dxa"/>
                  <w:tcBorders>
                    <w:top w:val="single" w:sz="4" w:space="0" w:color="auto"/>
                    <w:left w:val="nil"/>
                    <w:bottom w:val="single" w:sz="4" w:space="0" w:color="auto"/>
                    <w:right w:val="single" w:sz="4" w:space="0" w:color="auto"/>
                  </w:tcBorders>
                  <w:noWrap/>
                  <w:vAlign w:val="center"/>
                  <w:hideMark/>
                </w:tcPr>
                <w:p w:rsidR="00C16485" w:rsidRPr="00C16485" w:rsidP="00C16485" w14:paraId="31F4EFB7" w14:textId="77777777">
                  <w:pPr>
                    <w:spacing w:after="0" w:line="240" w:lineRule="auto"/>
                    <w:jc w:val="center"/>
                    <w:rPr>
                      <w:rFonts w:cs="Calibri"/>
                      <w:color w:val="000000"/>
                    </w:rPr>
                  </w:pPr>
                  <w:r w:rsidRPr="00C16485">
                    <w:rPr>
                      <w:rFonts w:cs="Calibri"/>
                      <w:color w:val="000000"/>
                    </w:rPr>
                    <w:t xml:space="preserve"> $3,276 </w:t>
                  </w:r>
                </w:p>
              </w:tc>
            </w:tr>
            <w:tr w14:paraId="31270ACF" w14:textId="77777777" w:rsidTr="31646679">
              <w:tblPrEx>
                <w:tblW w:w="9795" w:type="dxa"/>
                <w:tblCellMar>
                  <w:top w:w="15" w:type="dxa"/>
                  <w:bottom w:w="15" w:type="dxa"/>
                </w:tblCellMar>
                <w:tblLook w:val="04A0"/>
              </w:tblPrEx>
              <w:trPr>
                <w:trHeight w:val="450"/>
              </w:trPr>
              <w:tc>
                <w:tcPr>
                  <w:tcW w:w="1605" w:type="dxa"/>
                  <w:tcBorders>
                    <w:top w:val="single" w:sz="4" w:space="0" w:color="auto"/>
                    <w:left w:val="single" w:sz="4" w:space="0" w:color="auto"/>
                    <w:bottom w:val="single" w:sz="4" w:space="0" w:color="auto"/>
                    <w:right w:val="single" w:sz="4" w:space="0" w:color="auto"/>
                  </w:tcBorders>
                  <w:vAlign w:val="bottom"/>
                  <w:hideMark/>
                </w:tcPr>
                <w:p w:rsidR="00C16485" w:rsidRPr="00C16485" w:rsidP="00C16485" w14:paraId="2D851AB1" w14:textId="77777777">
                  <w:pPr>
                    <w:spacing w:after="0" w:line="240" w:lineRule="auto"/>
                    <w:jc w:val="center"/>
                    <w:rPr>
                      <w:rFonts w:ascii="Arial" w:hAnsi="Arial" w:cs="Arial"/>
                      <w:color w:val="000000"/>
                      <w:sz w:val="18"/>
                      <w:szCs w:val="18"/>
                    </w:rPr>
                  </w:pPr>
                  <w:r w:rsidRPr="00C16485">
                    <w:rPr>
                      <w:rFonts w:ascii="Arial" w:hAnsi="Arial" w:cs="Arial"/>
                      <w:color w:val="000000"/>
                      <w:sz w:val="18"/>
                      <w:szCs w:val="18"/>
                    </w:rPr>
                    <w:t>30-day Extension</w:t>
                  </w:r>
                </w:p>
              </w:tc>
              <w:tc>
                <w:tcPr>
                  <w:tcW w:w="142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35E4EAAF" w14:textId="77777777">
                  <w:pPr>
                    <w:spacing w:after="0" w:line="240" w:lineRule="auto"/>
                    <w:jc w:val="center"/>
                    <w:rPr>
                      <w:rFonts w:cs="Calibri"/>
                      <w:color w:val="000000"/>
                    </w:rPr>
                  </w:pPr>
                  <w:r w:rsidRPr="00C16485">
                    <w:rPr>
                      <w:rFonts w:cs="Calibri"/>
                      <w:color w:val="000000"/>
                    </w:rPr>
                    <w:t xml:space="preserve">114 </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295A53B8" w14:textId="77777777">
                  <w:pPr>
                    <w:spacing w:after="0" w:line="240" w:lineRule="auto"/>
                    <w:jc w:val="center"/>
                    <w:rPr>
                      <w:rFonts w:cs="Calibri"/>
                      <w:color w:val="000000"/>
                    </w:rPr>
                  </w:pPr>
                  <w:r w:rsidRPr="00C16485">
                    <w:rPr>
                      <w:rFonts w:cs="Calibri"/>
                      <w:color w:val="000000"/>
                    </w:rPr>
                    <w:t xml:space="preserve"> 978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5B22C92D" w14:textId="77777777">
                  <w:pPr>
                    <w:spacing w:after="0" w:line="240" w:lineRule="auto"/>
                    <w:jc w:val="center"/>
                    <w:rPr>
                      <w:rFonts w:cs="Calibri"/>
                      <w:color w:val="000000"/>
                    </w:rPr>
                  </w:pPr>
                  <w:r w:rsidRPr="00C16485">
                    <w:rPr>
                      <w:rFonts w:cs="Calibri"/>
                      <w:color w:val="000000"/>
                    </w:rPr>
                    <w:t xml:space="preserve"> 978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547095D7" w14:textId="77777777">
                  <w:pPr>
                    <w:spacing w:after="0" w:line="240" w:lineRule="auto"/>
                    <w:jc w:val="center"/>
                    <w:rPr>
                      <w:rFonts w:cs="Calibri"/>
                      <w:color w:val="000000"/>
                    </w:rPr>
                  </w:pPr>
                  <w:r w:rsidRPr="00C16485">
                    <w:rPr>
                      <w:rFonts w:cs="Calibri"/>
                      <w:color w:val="000000"/>
                    </w:rPr>
                    <w:t>0.1666</w:t>
                  </w:r>
                </w:p>
              </w:tc>
              <w:tc>
                <w:tcPr>
                  <w:tcW w:w="1005" w:type="dxa"/>
                  <w:tcBorders>
                    <w:top w:val="single" w:sz="4" w:space="0" w:color="auto"/>
                    <w:left w:val="single" w:sz="4" w:space="0" w:color="auto"/>
                    <w:bottom w:val="single" w:sz="4" w:space="0" w:color="auto"/>
                    <w:right w:val="nil"/>
                  </w:tcBorders>
                  <w:noWrap/>
                  <w:vAlign w:val="center"/>
                  <w:hideMark/>
                </w:tcPr>
                <w:p w:rsidR="00C16485" w:rsidRPr="00C16485" w:rsidP="00C16485" w14:paraId="45961E66" w14:textId="77777777">
                  <w:pPr>
                    <w:spacing w:after="0" w:line="240" w:lineRule="auto"/>
                    <w:jc w:val="center"/>
                    <w:rPr>
                      <w:rFonts w:cs="Calibri"/>
                      <w:color w:val="000000"/>
                    </w:rPr>
                  </w:pPr>
                  <w:r w:rsidRPr="00C16485">
                    <w:rPr>
                      <w:rFonts w:cs="Calibri"/>
                      <w:color w:val="000000"/>
                    </w:rPr>
                    <w:t xml:space="preserve">163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16485" w:rsidRPr="00C16485" w:rsidP="00C16485" w14:paraId="00998B0C" w14:textId="77777777">
                  <w:pPr>
                    <w:spacing w:after="0" w:line="240" w:lineRule="auto"/>
                    <w:jc w:val="center"/>
                    <w:rPr>
                      <w:rFonts w:ascii="Arial" w:hAnsi="Arial" w:cs="Arial"/>
                      <w:color w:val="000000"/>
                      <w:sz w:val="20"/>
                      <w:szCs w:val="20"/>
                    </w:rPr>
                  </w:pPr>
                  <w:r w:rsidRPr="00C16485">
                    <w:rPr>
                      <w:rFonts w:ascii="Arial" w:hAnsi="Arial" w:cs="Arial"/>
                      <w:color w:val="000000"/>
                      <w:sz w:val="20"/>
                      <w:szCs w:val="20"/>
                    </w:rPr>
                    <w:t xml:space="preserve"> $44.29 </w:t>
                  </w:r>
                </w:p>
              </w:tc>
              <w:tc>
                <w:tcPr>
                  <w:tcW w:w="975" w:type="dxa"/>
                  <w:tcBorders>
                    <w:top w:val="single" w:sz="4" w:space="0" w:color="auto"/>
                    <w:left w:val="nil"/>
                    <w:bottom w:val="single" w:sz="4" w:space="0" w:color="auto"/>
                    <w:right w:val="single" w:sz="4" w:space="0" w:color="auto"/>
                  </w:tcBorders>
                  <w:noWrap/>
                  <w:vAlign w:val="center"/>
                  <w:hideMark/>
                </w:tcPr>
                <w:p w:rsidR="00C16485" w:rsidRPr="00C16485" w:rsidP="00C16485" w14:paraId="269F3A0C" w14:textId="77777777">
                  <w:pPr>
                    <w:spacing w:after="0" w:line="240" w:lineRule="auto"/>
                    <w:jc w:val="center"/>
                    <w:rPr>
                      <w:rFonts w:cs="Calibri"/>
                      <w:color w:val="000000"/>
                    </w:rPr>
                  </w:pPr>
                  <w:r w:rsidRPr="00C16485">
                    <w:rPr>
                      <w:rFonts w:cs="Calibri"/>
                      <w:color w:val="000000"/>
                    </w:rPr>
                    <w:t xml:space="preserve"> $7,217 </w:t>
                  </w:r>
                </w:p>
              </w:tc>
            </w:tr>
            <w:tr w14:paraId="0AD986B9" w14:textId="77777777" w:rsidTr="31646679">
              <w:tblPrEx>
                <w:tblW w:w="9795" w:type="dxa"/>
                <w:tblCellMar>
                  <w:top w:w="15" w:type="dxa"/>
                  <w:bottom w:w="15" w:type="dxa"/>
                </w:tblCellMar>
                <w:tblLook w:val="04A0"/>
              </w:tblPrEx>
              <w:trPr>
                <w:trHeight w:val="450"/>
              </w:trPr>
              <w:tc>
                <w:tcPr>
                  <w:tcW w:w="1605" w:type="dxa"/>
                  <w:tcBorders>
                    <w:top w:val="single" w:sz="4" w:space="0" w:color="auto"/>
                    <w:left w:val="single" w:sz="4" w:space="0" w:color="auto"/>
                    <w:bottom w:val="single" w:sz="4" w:space="0" w:color="auto"/>
                    <w:right w:val="single" w:sz="4" w:space="0" w:color="auto"/>
                  </w:tcBorders>
                  <w:vAlign w:val="bottom"/>
                  <w:hideMark/>
                </w:tcPr>
                <w:p w:rsidR="00C16485" w:rsidRPr="00C16485" w:rsidP="00C16485" w14:paraId="22EB37CB" w14:textId="77777777">
                  <w:pPr>
                    <w:spacing w:after="0" w:line="240" w:lineRule="auto"/>
                    <w:jc w:val="center"/>
                    <w:rPr>
                      <w:rFonts w:ascii="Arial" w:hAnsi="Arial" w:cs="Arial"/>
                      <w:color w:val="000000"/>
                      <w:sz w:val="18"/>
                      <w:szCs w:val="18"/>
                    </w:rPr>
                  </w:pPr>
                  <w:r w:rsidRPr="00C16485">
                    <w:rPr>
                      <w:rFonts w:ascii="Arial" w:hAnsi="Arial" w:cs="Arial"/>
                      <w:color w:val="000000"/>
                      <w:sz w:val="18"/>
                      <w:szCs w:val="18"/>
                    </w:rPr>
                    <w:t>60-day Extension</w:t>
                  </w:r>
                </w:p>
              </w:tc>
              <w:tc>
                <w:tcPr>
                  <w:tcW w:w="142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07AF3851" w14:textId="77777777">
                  <w:pPr>
                    <w:spacing w:after="0" w:line="240" w:lineRule="auto"/>
                    <w:jc w:val="center"/>
                    <w:rPr>
                      <w:rFonts w:cs="Calibri"/>
                      <w:color w:val="000000"/>
                    </w:rPr>
                  </w:pPr>
                  <w:r w:rsidRPr="00C16485">
                    <w:rPr>
                      <w:rFonts w:cs="Calibri"/>
                      <w:color w:val="000000"/>
                    </w:rPr>
                    <w:t xml:space="preserve">114 </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5CB8EAB7" w14:textId="77777777">
                  <w:pPr>
                    <w:spacing w:after="0" w:line="240" w:lineRule="auto"/>
                    <w:jc w:val="center"/>
                    <w:rPr>
                      <w:rFonts w:cs="Calibri"/>
                      <w:color w:val="000000"/>
                    </w:rPr>
                  </w:pPr>
                  <w:r w:rsidRPr="00C16485">
                    <w:rPr>
                      <w:rFonts w:cs="Calibri"/>
                      <w:color w:val="000000"/>
                    </w:rPr>
                    <w:t xml:space="preserve"> 3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6CF55E59" w14:textId="77777777">
                  <w:pPr>
                    <w:spacing w:after="0" w:line="240" w:lineRule="auto"/>
                    <w:jc w:val="center"/>
                    <w:rPr>
                      <w:rFonts w:cs="Calibri"/>
                      <w:color w:val="000000"/>
                    </w:rPr>
                  </w:pPr>
                  <w:r w:rsidRPr="00C16485">
                    <w:rPr>
                      <w:rFonts w:cs="Calibri"/>
                      <w:color w:val="000000"/>
                    </w:rPr>
                    <w:t xml:space="preserve"> 3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4C0700BD" w14:textId="77777777">
                  <w:pPr>
                    <w:spacing w:after="0" w:line="240" w:lineRule="auto"/>
                    <w:jc w:val="center"/>
                    <w:rPr>
                      <w:rFonts w:cs="Calibri"/>
                      <w:color w:val="000000"/>
                    </w:rPr>
                  </w:pPr>
                  <w:r w:rsidRPr="00C16485">
                    <w:rPr>
                      <w:rFonts w:cs="Calibri"/>
                      <w:color w:val="000000"/>
                    </w:rPr>
                    <w:t>0.1666</w:t>
                  </w:r>
                </w:p>
              </w:tc>
              <w:tc>
                <w:tcPr>
                  <w:tcW w:w="1005" w:type="dxa"/>
                  <w:tcBorders>
                    <w:top w:val="single" w:sz="4" w:space="0" w:color="auto"/>
                    <w:left w:val="single" w:sz="4" w:space="0" w:color="auto"/>
                    <w:bottom w:val="single" w:sz="4" w:space="0" w:color="auto"/>
                    <w:right w:val="nil"/>
                  </w:tcBorders>
                  <w:noWrap/>
                  <w:vAlign w:val="center"/>
                  <w:hideMark/>
                </w:tcPr>
                <w:p w:rsidR="00C16485" w:rsidRPr="00C16485" w:rsidP="00C16485" w14:paraId="577CFC01" w14:textId="77777777">
                  <w:pPr>
                    <w:spacing w:after="0" w:line="240" w:lineRule="auto"/>
                    <w:jc w:val="center"/>
                    <w:rPr>
                      <w:rFonts w:cs="Calibri"/>
                      <w:color w:val="000000"/>
                    </w:rPr>
                  </w:pPr>
                  <w:r w:rsidRPr="00C16485">
                    <w:rPr>
                      <w:rFonts w:cs="Calibri"/>
                      <w:color w:val="000000"/>
                    </w:rPr>
                    <w:t xml:space="preserve">0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16485" w:rsidRPr="00C16485" w:rsidP="00C16485" w14:paraId="60DED1EB" w14:textId="77777777">
                  <w:pPr>
                    <w:spacing w:after="0" w:line="240" w:lineRule="auto"/>
                    <w:jc w:val="center"/>
                    <w:rPr>
                      <w:rFonts w:ascii="Arial" w:hAnsi="Arial" w:cs="Arial"/>
                      <w:color w:val="000000"/>
                      <w:sz w:val="20"/>
                      <w:szCs w:val="20"/>
                    </w:rPr>
                  </w:pPr>
                  <w:r w:rsidRPr="00C16485">
                    <w:rPr>
                      <w:rFonts w:ascii="Arial" w:hAnsi="Arial" w:cs="Arial"/>
                      <w:color w:val="000000"/>
                      <w:sz w:val="20"/>
                      <w:szCs w:val="20"/>
                    </w:rPr>
                    <w:t xml:space="preserve"> $44.29 </w:t>
                  </w:r>
                </w:p>
              </w:tc>
              <w:tc>
                <w:tcPr>
                  <w:tcW w:w="975" w:type="dxa"/>
                  <w:tcBorders>
                    <w:top w:val="single" w:sz="4" w:space="0" w:color="auto"/>
                    <w:left w:val="nil"/>
                    <w:bottom w:val="single" w:sz="4" w:space="0" w:color="auto"/>
                    <w:right w:val="single" w:sz="4" w:space="0" w:color="auto"/>
                  </w:tcBorders>
                  <w:noWrap/>
                  <w:vAlign w:val="center"/>
                  <w:hideMark/>
                </w:tcPr>
                <w:p w:rsidR="00C16485" w:rsidRPr="00C16485" w:rsidP="00C16485" w14:paraId="526A119A" w14:textId="77777777">
                  <w:pPr>
                    <w:spacing w:after="0" w:line="240" w:lineRule="auto"/>
                    <w:jc w:val="center"/>
                    <w:rPr>
                      <w:rFonts w:cs="Calibri"/>
                      <w:color w:val="000000"/>
                    </w:rPr>
                  </w:pPr>
                  <w:r w:rsidRPr="00C16485">
                    <w:rPr>
                      <w:rFonts w:cs="Calibri"/>
                      <w:color w:val="000000"/>
                    </w:rPr>
                    <w:t xml:space="preserve"> $22 </w:t>
                  </w:r>
                </w:p>
              </w:tc>
            </w:tr>
            <w:tr w14:paraId="54F1484D" w14:textId="77777777" w:rsidTr="31646679">
              <w:tblPrEx>
                <w:tblW w:w="9795" w:type="dxa"/>
                <w:tblCellMar>
                  <w:top w:w="15" w:type="dxa"/>
                  <w:bottom w:w="15" w:type="dxa"/>
                </w:tblCellMar>
                <w:tblLook w:val="04A0"/>
              </w:tblPrEx>
              <w:trPr>
                <w:trHeight w:val="450"/>
              </w:trPr>
              <w:tc>
                <w:tcPr>
                  <w:tcW w:w="1605" w:type="dxa"/>
                  <w:tcBorders>
                    <w:top w:val="single" w:sz="4" w:space="0" w:color="auto"/>
                    <w:left w:val="single" w:sz="4" w:space="0" w:color="auto"/>
                    <w:bottom w:val="nil"/>
                    <w:right w:val="single" w:sz="4" w:space="0" w:color="auto"/>
                  </w:tcBorders>
                  <w:vAlign w:val="bottom"/>
                  <w:hideMark/>
                </w:tcPr>
                <w:p w:rsidR="00C16485" w:rsidRPr="00C16485" w:rsidP="00C16485" w14:paraId="63A09EC1" w14:textId="77777777">
                  <w:pPr>
                    <w:spacing w:after="0" w:line="240" w:lineRule="auto"/>
                    <w:jc w:val="center"/>
                    <w:rPr>
                      <w:rFonts w:ascii="Arial" w:hAnsi="Arial" w:cs="Arial"/>
                      <w:color w:val="000000"/>
                      <w:sz w:val="18"/>
                      <w:szCs w:val="18"/>
                    </w:rPr>
                  </w:pPr>
                  <w:r w:rsidRPr="00C16485">
                    <w:rPr>
                      <w:rFonts w:ascii="Arial" w:hAnsi="Arial" w:cs="Arial"/>
                      <w:color w:val="000000"/>
                      <w:sz w:val="18"/>
                      <w:szCs w:val="18"/>
                    </w:rPr>
                    <w:t>90-day Extension</w:t>
                  </w:r>
                </w:p>
              </w:tc>
              <w:tc>
                <w:tcPr>
                  <w:tcW w:w="142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63AD157D" w14:textId="77777777">
                  <w:pPr>
                    <w:spacing w:after="0" w:line="240" w:lineRule="auto"/>
                    <w:jc w:val="center"/>
                    <w:rPr>
                      <w:rFonts w:cs="Calibri"/>
                      <w:color w:val="000000"/>
                    </w:rPr>
                  </w:pPr>
                  <w:r w:rsidRPr="00C16485">
                    <w:rPr>
                      <w:rFonts w:cs="Calibri"/>
                      <w:color w:val="000000"/>
                    </w:rPr>
                    <w:t xml:space="preserve">114 </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23735998" w14:textId="77777777">
                  <w:pPr>
                    <w:spacing w:after="0" w:line="240" w:lineRule="auto"/>
                    <w:jc w:val="center"/>
                    <w:rPr>
                      <w:rFonts w:cs="Calibri"/>
                      <w:color w:val="000000"/>
                    </w:rPr>
                  </w:pPr>
                  <w:r w:rsidRPr="00C16485">
                    <w:rPr>
                      <w:rFonts w:cs="Calibri"/>
                      <w:color w:val="000000"/>
                    </w:rPr>
                    <w:t xml:space="preserve"> 18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055ED6C2" w14:textId="77777777">
                  <w:pPr>
                    <w:spacing w:after="0" w:line="240" w:lineRule="auto"/>
                    <w:jc w:val="center"/>
                    <w:rPr>
                      <w:rFonts w:cs="Calibri"/>
                      <w:color w:val="000000"/>
                    </w:rPr>
                  </w:pPr>
                  <w:r w:rsidRPr="00C16485">
                    <w:rPr>
                      <w:rFonts w:cs="Calibri"/>
                      <w:color w:val="000000"/>
                    </w:rPr>
                    <w:t xml:space="preserve"> 18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1177237F" w14:textId="77777777">
                  <w:pPr>
                    <w:spacing w:after="0" w:line="240" w:lineRule="auto"/>
                    <w:jc w:val="center"/>
                    <w:rPr>
                      <w:rFonts w:cs="Calibri"/>
                      <w:color w:val="000000"/>
                    </w:rPr>
                  </w:pPr>
                  <w:r w:rsidRPr="00C16485">
                    <w:rPr>
                      <w:rFonts w:cs="Calibri"/>
                      <w:color w:val="000000"/>
                    </w:rPr>
                    <w:t>0.1666</w:t>
                  </w:r>
                </w:p>
              </w:tc>
              <w:tc>
                <w:tcPr>
                  <w:tcW w:w="1005" w:type="dxa"/>
                  <w:tcBorders>
                    <w:top w:val="single" w:sz="4" w:space="0" w:color="auto"/>
                    <w:left w:val="single" w:sz="4" w:space="0" w:color="auto"/>
                    <w:bottom w:val="single" w:sz="4" w:space="0" w:color="auto"/>
                    <w:right w:val="nil"/>
                  </w:tcBorders>
                  <w:noWrap/>
                  <w:vAlign w:val="center"/>
                  <w:hideMark/>
                </w:tcPr>
                <w:p w:rsidR="00C16485" w:rsidRPr="00C16485" w:rsidP="00C16485" w14:paraId="39AFDE3D" w14:textId="77777777">
                  <w:pPr>
                    <w:spacing w:after="0" w:line="240" w:lineRule="auto"/>
                    <w:jc w:val="center"/>
                    <w:rPr>
                      <w:rFonts w:cs="Calibri"/>
                      <w:color w:val="000000"/>
                    </w:rPr>
                  </w:pPr>
                  <w:r w:rsidRPr="00C16485">
                    <w:rPr>
                      <w:rFonts w:cs="Calibri"/>
                      <w:color w:val="000000"/>
                    </w:rPr>
                    <w:t xml:space="preserve">3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16485" w:rsidRPr="00C16485" w:rsidP="00C16485" w14:paraId="5802CF20" w14:textId="77777777">
                  <w:pPr>
                    <w:spacing w:after="0" w:line="240" w:lineRule="auto"/>
                    <w:jc w:val="center"/>
                    <w:rPr>
                      <w:rFonts w:ascii="Arial" w:hAnsi="Arial" w:cs="Arial"/>
                      <w:color w:val="000000"/>
                      <w:sz w:val="20"/>
                      <w:szCs w:val="20"/>
                    </w:rPr>
                  </w:pPr>
                  <w:r w:rsidRPr="00C16485">
                    <w:rPr>
                      <w:rFonts w:ascii="Arial" w:hAnsi="Arial" w:cs="Arial"/>
                      <w:color w:val="000000"/>
                      <w:sz w:val="20"/>
                      <w:szCs w:val="20"/>
                    </w:rPr>
                    <w:t xml:space="preserve"> $44.29 </w:t>
                  </w:r>
                </w:p>
              </w:tc>
              <w:tc>
                <w:tcPr>
                  <w:tcW w:w="975" w:type="dxa"/>
                  <w:tcBorders>
                    <w:top w:val="single" w:sz="4" w:space="0" w:color="auto"/>
                    <w:left w:val="nil"/>
                    <w:bottom w:val="single" w:sz="4" w:space="0" w:color="auto"/>
                    <w:right w:val="single" w:sz="4" w:space="0" w:color="auto"/>
                  </w:tcBorders>
                  <w:noWrap/>
                  <w:vAlign w:val="center"/>
                  <w:hideMark/>
                </w:tcPr>
                <w:p w:rsidR="00C16485" w:rsidRPr="00C16485" w:rsidP="00C16485" w14:paraId="33082AD1" w14:textId="77777777">
                  <w:pPr>
                    <w:spacing w:after="0" w:line="240" w:lineRule="auto"/>
                    <w:jc w:val="center"/>
                    <w:rPr>
                      <w:rFonts w:cs="Calibri"/>
                      <w:color w:val="000000"/>
                    </w:rPr>
                  </w:pPr>
                  <w:r w:rsidRPr="00C16485">
                    <w:rPr>
                      <w:rFonts w:cs="Calibri"/>
                      <w:color w:val="000000"/>
                    </w:rPr>
                    <w:t xml:space="preserve"> $133 </w:t>
                  </w:r>
                </w:p>
              </w:tc>
            </w:tr>
            <w:tr w14:paraId="4526966C" w14:textId="77777777" w:rsidTr="31646679">
              <w:tblPrEx>
                <w:tblW w:w="9795" w:type="dxa"/>
                <w:tblCellMar>
                  <w:top w:w="15" w:type="dxa"/>
                  <w:bottom w:w="15" w:type="dxa"/>
                </w:tblCellMar>
                <w:tblLook w:val="04A0"/>
              </w:tblPrEx>
              <w:trPr>
                <w:trHeight w:val="915"/>
              </w:trPr>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16485" w:rsidRPr="00C16485" w:rsidP="00C16485" w14:paraId="1B413133" w14:textId="77777777">
                  <w:pPr>
                    <w:spacing w:after="0" w:line="240" w:lineRule="auto"/>
                    <w:rPr>
                      <w:rFonts w:cs="Calibri"/>
                      <w:color w:val="000000"/>
                    </w:rPr>
                  </w:pPr>
                  <w:r w:rsidRPr="00C16485">
                    <w:rPr>
                      <w:rFonts w:cs="Calibri"/>
                      <w:color w:val="000000"/>
                    </w:rPr>
                    <w:t>ETA (Election to assign) Acknowledged</w:t>
                  </w:r>
                </w:p>
              </w:tc>
              <w:tc>
                <w:tcPr>
                  <w:tcW w:w="142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631E3903" w14:textId="77777777">
                  <w:pPr>
                    <w:spacing w:after="0" w:line="240" w:lineRule="auto"/>
                    <w:jc w:val="center"/>
                    <w:rPr>
                      <w:rFonts w:cs="Calibri"/>
                      <w:color w:val="000000"/>
                    </w:rPr>
                  </w:pPr>
                  <w:r w:rsidRPr="00C16485">
                    <w:rPr>
                      <w:rFonts w:cs="Calibri"/>
                      <w:color w:val="000000"/>
                    </w:rPr>
                    <w:t xml:space="preserve">114 </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7173A535" w14:textId="77777777">
                  <w:pPr>
                    <w:spacing w:after="0" w:line="240" w:lineRule="auto"/>
                    <w:jc w:val="center"/>
                    <w:rPr>
                      <w:rFonts w:cs="Calibri"/>
                      <w:color w:val="000000"/>
                    </w:rPr>
                  </w:pPr>
                  <w:r w:rsidRPr="00C16485">
                    <w:rPr>
                      <w:rFonts w:cs="Calibri"/>
                      <w:color w:val="000000"/>
                    </w:rPr>
                    <w:t xml:space="preserve"> 2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46313E3A" w14:textId="77777777">
                  <w:pPr>
                    <w:spacing w:after="0" w:line="240" w:lineRule="auto"/>
                    <w:jc w:val="center"/>
                    <w:rPr>
                      <w:rFonts w:cs="Calibri"/>
                      <w:color w:val="000000"/>
                    </w:rPr>
                  </w:pPr>
                  <w:r w:rsidRPr="00C16485">
                    <w:rPr>
                      <w:rFonts w:cs="Calibri"/>
                      <w:color w:val="000000"/>
                    </w:rPr>
                    <w:t xml:space="preserve"> 2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62EF20DF" w14:textId="77777777">
                  <w:pPr>
                    <w:spacing w:after="0" w:line="240" w:lineRule="auto"/>
                    <w:jc w:val="center"/>
                    <w:rPr>
                      <w:rFonts w:cs="Calibri"/>
                      <w:color w:val="000000"/>
                    </w:rPr>
                  </w:pPr>
                  <w:r w:rsidRPr="00C16485">
                    <w:rPr>
                      <w:rFonts w:cs="Calibri"/>
                      <w:color w:val="000000"/>
                    </w:rPr>
                    <w:t>0.1666</w:t>
                  </w:r>
                </w:p>
              </w:tc>
              <w:tc>
                <w:tcPr>
                  <w:tcW w:w="1005" w:type="dxa"/>
                  <w:tcBorders>
                    <w:top w:val="single" w:sz="4" w:space="0" w:color="auto"/>
                    <w:left w:val="single" w:sz="4" w:space="0" w:color="auto"/>
                    <w:bottom w:val="single" w:sz="4" w:space="0" w:color="auto"/>
                    <w:right w:val="nil"/>
                  </w:tcBorders>
                  <w:noWrap/>
                  <w:vAlign w:val="center"/>
                  <w:hideMark/>
                </w:tcPr>
                <w:p w:rsidR="00C16485" w:rsidRPr="00C16485" w:rsidP="00C16485" w14:paraId="2FF75003" w14:textId="77777777">
                  <w:pPr>
                    <w:spacing w:after="0" w:line="240" w:lineRule="auto"/>
                    <w:jc w:val="center"/>
                    <w:rPr>
                      <w:rFonts w:cs="Calibri"/>
                      <w:color w:val="000000"/>
                    </w:rPr>
                  </w:pPr>
                  <w:r w:rsidRPr="00C16485">
                    <w:rPr>
                      <w:rFonts w:cs="Calibri"/>
                      <w:color w:val="000000"/>
                    </w:rPr>
                    <w:t xml:space="preserve">0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16485" w:rsidRPr="00C16485" w:rsidP="00C16485" w14:paraId="02CA8148" w14:textId="77777777">
                  <w:pPr>
                    <w:spacing w:after="0" w:line="240" w:lineRule="auto"/>
                    <w:jc w:val="center"/>
                    <w:rPr>
                      <w:rFonts w:ascii="Arial" w:hAnsi="Arial" w:cs="Arial"/>
                      <w:color w:val="000000"/>
                      <w:sz w:val="20"/>
                      <w:szCs w:val="20"/>
                    </w:rPr>
                  </w:pPr>
                  <w:r w:rsidRPr="00C16485">
                    <w:rPr>
                      <w:rFonts w:ascii="Arial" w:hAnsi="Arial" w:cs="Arial"/>
                      <w:color w:val="000000"/>
                      <w:sz w:val="20"/>
                      <w:szCs w:val="20"/>
                    </w:rPr>
                    <w:t xml:space="preserve"> $44.29 </w:t>
                  </w:r>
                </w:p>
              </w:tc>
              <w:tc>
                <w:tcPr>
                  <w:tcW w:w="975" w:type="dxa"/>
                  <w:tcBorders>
                    <w:top w:val="single" w:sz="4" w:space="0" w:color="auto"/>
                    <w:left w:val="nil"/>
                    <w:bottom w:val="single" w:sz="4" w:space="0" w:color="auto"/>
                    <w:right w:val="single" w:sz="4" w:space="0" w:color="auto"/>
                  </w:tcBorders>
                  <w:noWrap/>
                  <w:vAlign w:val="center"/>
                  <w:hideMark/>
                </w:tcPr>
                <w:p w:rsidR="00C16485" w:rsidRPr="00C16485" w:rsidP="00C16485" w14:paraId="3C8313E1" w14:textId="77777777">
                  <w:pPr>
                    <w:spacing w:after="0" w:line="240" w:lineRule="auto"/>
                    <w:jc w:val="center"/>
                    <w:rPr>
                      <w:rFonts w:cs="Calibri"/>
                      <w:color w:val="000000"/>
                    </w:rPr>
                  </w:pPr>
                  <w:r w:rsidRPr="00C16485">
                    <w:rPr>
                      <w:rFonts w:cs="Calibri"/>
                      <w:color w:val="000000"/>
                    </w:rPr>
                    <w:t xml:space="preserve"> $15 </w:t>
                  </w:r>
                </w:p>
              </w:tc>
            </w:tr>
            <w:tr w14:paraId="2776FB72" w14:textId="77777777" w:rsidTr="31646679">
              <w:tblPrEx>
                <w:tblW w:w="9795" w:type="dxa"/>
                <w:tblCellMar>
                  <w:top w:w="15" w:type="dxa"/>
                  <w:bottom w:w="15" w:type="dxa"/>
                </w:tblCellMar>
                <w:tblLook w:val="04A0"/>
              </w:tblPrEx>
              <w:trPr>
                <w:trHeight w:val="915"/>
              </w:trPr>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16485" w:rsidRPr="00C16485" w:rsidP="00C16485" w14:paraId="349FBE89" w14:textId="77777777">
                  <w:pPr>
                    <w:spacing w:after="0" w:line="240" w:lineRule="auto"/>
                    <w:rPr>
                      <w:rFonts w:cs="Calibri"/>
                      <w:color w:val="000000"/>
                    </w:rPr>
                  </w:pPr>
                  <w:r w:rsidRPr="00C16485">
                    <w:rPr>
                      <w:rFonts w:cs="Calibri"/>
                      <w:color w:val="000000"/>
                    </w:rPr>
                    <w:t>ETA (Election to assign) Acknowledged</w:t>
                  </w:r>
                </w:p>
              </w:tc>
              <w:tc>
                <w:tcPr>
                  <w:tcW w:w="142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262CFCE5" w14:textId="77777777">
                  <w:pPr>
                    <w:spacing w:after="0" w:line="240" w:lineRule="auto"/>
                    <w:jc w:val="center"/>
                    <w:rPr>
                      <w:rFonts w:cs="Calibri"/>
                      <w:color w:val="000000"/>
                    </w:rPr>
                  </w:pPr>
                  <w:r w:rsidRPr="00C16485">
                    <w:rPr>
                      <w:rFonts w:cs="Calibri"/>
                      <w:color w:val="000000"/>
                    </w:rPr>
                    <w:t xml:space="preserve">114 </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57061386" w14:textId="77777777">
                  <w:pPr>
                    <w:spacing w:after="0" w:line="240" w:lineRule="auto"/>
                    <w:jc w:val="center"/>
                    <w:rPr>
                      <w:rFonts w:cs="Calibri"/>
                      <w:color w:val="000000"/>
                    </w:rPr>
                  </w:pPr>
                  <w:r w:rsidRPr="00C16485">
                    <w:rPr>
                      <w:rFonts w:cs="Calibri"/>
                      <w:color w:val="000000"/>
                    </w:rPr>
                    <w:t xml:space="preserve"> -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5605DB8C" w14:textId="77777777">
                  <w:pPr>
                    <w:spacing w:after="0" w:line="240" w:lineRule="auto"/>
                    <w:jc w:val="center"/>
                    <w:rPr>
                      <w:rFonts w:cs="Calibri"/>
                      <w:color w:val="000000"/>
                    </w:rPr>
                  </w:pPr>
                  <w:r w:rsidRPr="00C16485">
                    <w:rPr>
                      <w:rFonts w:cs="Calibri"/>
                      <w:color w:val="000000"/>
                    </w:rPr>
                    <w:t xml:space="preserve"> -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1723E65E" w14:textId="77777777">
                  <w:pPr>
                    <w:spacing w:after="0" w:line="240" w:lineRule="auto"/>
                    <w:jc w:val="center"/>
                    <w:rPr>
                      <w:rFonts w:cs="Calibri"/>
                      <w:color w:val="000000"/>
                    </w:rPr>
                  </w:pPr>
                  <w:r w:rsidRPr="00C16485">
                    <w:rPr>
                      <w:rFonts w:cs="Calibri"/>
                      <w:color w:val="000000"/>
                    </w:rPr>
                    <w:t>0.1666</w:t>
                  </w:r>
                </w:p>
              </w:tc>
              <w:tc>
                <w:tcPr>
                  <w:tcW w:w="1005" w:type="dxa"/>
                  <w:tcBorders>
                    <w:top w:val="single" w:sz="4" w:space="0" w:color="auto"/>
                    <w:left w:val="single" w:sz="4" w:space="0" w:color="auto"/>
                    <w:bottom w:val="single" w:sz="4" w:space="0" w:color="auto"/>
                    <w:right w:val="nil"/>
                  </w:tcBorders>
                  <w:noWrap/>
                  <w:vAlign w:val="center"/>
                  <w:hideMark/>
                </w:tcPr>
                <w:p w:rsidR="00C16485" w:rsidRPr="00C16485" w:rsidP="00C16485" w14:paraId="2B0BFD01" w14:textId="77777777">
                  <w:pPr>
                    <w:spacing w:after="0" w:line="240" w:lineRule="auto"/>
                    <w:jc w:val="center"/>
                    <w:rPr>
                      <w:rFonts w:cs="Calibri"/>
                      <w:color w:val="000000"/>
                    </w:rPr>
                  </w:pPr>
                  <w:r w:rsidRPr="00C16485">
                    <w:rPr>
                      <w:rFonts w:cs="Calibri"/>
                      <w:color w:val="000000"/>
                    </w:rPr>
                    <w:t xml:space="preserve">-   </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16485" w:rsidRPr="00C16485" w:rsidP="00C16485" w14:paraId="68C7E35F" w14:textId="77777777">
                  <w:pPr>
                    <w:spacing w:after="0" w:line="240" w:lineRule="auto"/>
                    <w:jc w:val="center"/>
                    <w:rPr>
                      <w:rFonts w:ascii="Arial" w:hAnsi="Arial" w:cs="Arial"/>
                      <w:color w:val="000000"/>
                      <w:sz w:val="20"/>
                      <w:szCs w:val="20"/>
                    </w:rPr>
                  </w:pPr>
                  <w:r w:rsidRPr="00C16485">
                    <w:rPr>
                      <w:rFonts w:ascii="Arial" w:hAnsi="Arial" w:cs="Arial"/>
                      <w:color w:val="000000"/>
                      <w:sz w:val="20"/>
                      <w:szCs w:val="20"/>
                    </w:rPr>
                    <w:t xml:space="preserve"> $44.29 </w:t>
                  </w:r>
                </w:p>
              </w:tc>
              <w:tc>
                <w:tcPr>
                  <w:tcW w:w="975" w:type="dxa"/>
                  <w:tcBorders>
                    <w:top w:val="single" w:sz="4" w:space="0" w:color="auto"/>
                    <w:left w:val="nil"/>
                    <w:bottom w:val="single" w:sz="4" w:space="0" w:color="auto"/>
                    <w:right w:val="single" w:sz="4" w:space="0" w:color="auto"/>
                  </w:tcBorders>
                  <w:noWrap/>
                  <w:vAlign w:val="center"/>
                  <w:hideMark/>
                </w:tcPr>
                <w:p w:rsidR="00C16485" w:rsidRPr="00C16485" w:rsidP="00C16485" w14:paraId="158D9F85" w14:textId="77777777">
                  <w:pPr>
                    <w:spacing w:after="0" w:line="240" w:lineRule="auto"/>
                    <w:jc w:val="center"/>
                    <w:rPr>
                      <w:rFonts w:cs="Calibri"/>
                      <w:color w:val="000000"/>
                    </w:rPr>
                  </w:pPr>
                  <w:r w:rsidRPr="00C16485">
                    <w:rPr>
                      <w:rFonts w:cs="Calibri"/>
                      <w:color w:val="000000"/>
                    </w:rPr>
                    <w:t xml:space="preserve"> $-   </w:t>
                  </w:r>
                </w:p>
              </w:tc>
            </w:tr>
            <w:tr w14:paraId="2AA4C449" w14:textId="77777777" w:rsidTr="31646679">
              <w:tblPrEx>
                <w:tblW w:w="9795" w:type="dxa"/>
                <w:tblCellMar>
                  <w:top w:w="15" w:type="dxa"/>
                  <w:bottom w:w="15" w:type="dxa"/>
                </w:tblCellMar>
                <w:tblLook w:val="04A0"/>
              </w:tblPrEx>
              <w:trPr>
                <w:trHeight w:val="285"/>
              </w:trPr>
              <w:tc>
                <w:tcPr>
                  <w:tcW w:w="160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51E8FDB7" w14:textId="77777777">
                  <w:pPr>
                    <w:spacing w:after="0" w:line="240" w:lineRule="auto"/>
                    <w:jc w:val="center"/>
                    <w:rPr>
                      <w:rFonts w:cs="Calibri"/>
                      <w:color w:val="000000"/>
                    </w:rPr>
                  </w:pPr>
                  <w:r w:rsidRPr="00C16485">
                    <w:rPr>
                      <w:rFonts w:cs="Calibri"/>
                      <w:color w:val="000000"/>
                    </w:rPr>
                    <w:t>Total</w:t>
                  </w:r>
                </w:p>
              </w:tc>
              <w:tc>
                <w:tcPr>
                  <w:tcW w:w="142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2C860792" w14:textId="77777777">
                  <w:pPr>
                    <w:spacing w:after="0" w:line="240" w:lineRule="auto"/>
                    <w:jc w:val="center"/>
                    <w:rPr>
                      <w:rFonts w:cs="Calibri"/>
                      <w:color w:val="000000"/>
                    </w:rPr>
                  </w:pPr>
                  <w:r w:rsidRPr="00C16485">
                    <w:rPr>
                      <w:rFonts w:cs="Calibri"/>
                      <w:color w:val="000000"/>
                    </w:rPr>
                    <w:t xml:space="preserve">114 </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16485" w:rsidRPr="00C16485" w:rsidP="00C16485" w14:paraId="7194DBDC" w14:textId="77777777">
                  <w:pPr>
                    <w:spacing w:after="0" w:line="240" w:lineRule="auto"/>
                    <w:jc w:val="center"/>
                    <w:rPr>
                      <w:rFonts w:cs="Calibri"/>
                      <w:color w:val="000000"/>
                    </w:rPr>
                  </w:pPr>
                </w:p>
              </w:tc>
              <w:tc>
                <w:tcPr>
                  <w:tcW w:w="1200"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58368AE9" w14:textId="77777777">
                  <w:pPr>
                    <w:spacing w:after="0" w:line="240" w:lineRule="auto"/>
                    <w:jc w:val="center"/>
                    <w:rPr>
                      <w:rFonts w:cs="Calibri"/>
                      <w:color w:val="000000"/>
                    </w:rPr>
                  </w:pPr>
                  <w:r w:rsidRPr="00C16485">
                    <w:rPr>
                      <w:rFonts w:cs="Calibri"/>
                      <w:color w:val="000000"/>
                    </w:rPr>
                    <w:t xml:space="preserve"> 1,001 </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16485" w:rsidRPr="00C16485" w:rsidP="00C16485" w14:paraId="769D0D3C" w14:textId="77777777">
                  <w:pPr>
                    <w:spacing w:after="0" w:line="240" w:lineRule="auto"/>
                    <w:jc w:val="center"/>
                    <w:rPr>
                      <w:rFonts w:cs="Calibri"/>
                      <w:color w:val="000000"/>
                    </w:rPr>
                  </w:pPr>
                </w:p>
              </w:tc>
              <w:tc>
                <w:tcPr>
                  <w:tcW w:w="100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189FF66B" w14:textId="77777777">
                  <w:pPr>
                    <w:spacing w:after="0" w:line="240" w:lineRule="auto"/>
                    <w:jc w:val="center"/>
                    <w:rPr>
                      <w:rFonts w:cs="Calibri"/>
                      <w:color w:val="000000"/>
                    </w:rPr>
                  </w:pPr>
                  <w:r w:rsidRPr="00C16485">
                    <w:rPr>
                      <w:rFonts w:cs="Calibri"/>
                      <w:color w:val="000000"/>
                    </w:rPr>
                    <w:t xml:space="preserve"> 167 </w:t>
                  </w:r>
                </w:p>
              </w:tc>
              <w:tc>
                <w:tcPr>
                  <w:tcW w:w="100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C16485" w:rsidRPr="00C16485" w:rsidP="00C16485" w14:paraId="54CD245A" w14:textId="77777777">
                  <w:pPr>
                    <w:spacing w:after="0" w:line="240" w:lineRule="auto"/>
                    <w:jc w:val="center"/>
                    <w:rPr>
                      <w:rFonts w:cs="Calibri"/>
                      <w:color w:val="000000"/>
                    </w:rPr>
                  </w:pPr>
                </w:p>
              </w:tc>
              <w:tc>
                <w:tcPr>
                  <w:tcW w:w="975" w:type="dxa"/>
                  <w:tcBorders>
                    <w:top w:val="single" w:sz="4" w:space="0" w:color="auto"/>
                    <w:left w:val="single" w:sz="4" w:space="0" w:color="auto"/>
                    <w:bottom w:val="single" w:sz="4" w:space="0" w:color="auto"/>
                    <w:right w:val="single" w:sz="4" w:space="0" w:color="auto"/>
                  </w:tcBorders>
                  <w:noWrap/>
                  <w:vAlign w:val="center"/>
                  <w:hideMark/>
                </w:tcPr>
                <w:p w:rsidR="00C16485" w:rsidRPr="00C16485" w:rsidP="00C16485" w14:paraId="7008FC44" w14:textId="77777777">
                  <w:pPr>
                    <w:spacing w:after="0" w:line="240" w:lineRule="auto"/>
                    <w:jc w:val="center"/>
                    <w:rPr>
                      <w:rFonts w:cs="Calibri"/>
                      <w:color w:val="000000"/>
                    </w:rPr>
                  </w:pPr>
                  <w:r w:rsidRPr="00C16485">
                    <w:rPr>
                      <w:rFonts w:cs="Calibri"/>
                      <w:color w:val="000000"/>
                    </w:rPr>
                    <w:t xml:space="preserve"> $10,662 </w:t>
                  </w:r>
                </w:p>
              </w:tc>
            </w:tr>
          </w:tbl>
          <w:p w:rsidR="00C16485" w:rsidRPr="00C879B4" w:rsidP="001B4FB5" w14:paraId="1231BE67" w14:textId="77777777">
            <w:pPr>
              <w:spacing w:after="0" w:line="240" w:lineRule="auto"/>
              <w:rPr>
                <w:rFonts w:ascii="Times New Roman" w:hAnsi="Times New Roman"/>
                <w:color w:val="000000"/>
                <w:sz w:val="24"/>
                <w:szCs w:val="24"/>
              </w:rPr>
            </w:pPr>
          </w:p>
        </w:tc>
      </w:tr>
    </w:tbl>
    <w:p w:rsidR="00D35DDB" w:rsidRPr="00C879B4" w:rsidP="00346401" w14:paraId="62C79038" w14:textId="77777777">
      <w:pPr>
        <w:spacing w:after="160" w:line="240" w:lineRule="auto"/>
        <w:rPr>
          <w:rFonts w:ascii="Times New Roman" w:hAnsi="Times New Roman"/>
          <w:color w:val="000000"/>
          <w:sz w:val="24"/>
          <w:szCs w:val="24"/>
        </w:rPr>
      </w:pPr>
      <w:r>
        <w:rPr>
          <w:rFonts w:ascii="Times New Roman" w:hAnsi="Times New Roman"/>
          <w:color w:val="000000"/>
          <w:sz w:val="24"/>
          <w:szCs w:val="24"/>
        </w:rPr>
        <w:t>*Estimated hourly cost is based on the annual salary of a GS-1101-12/Step 1 Account Executive</w:t>
      </w:r>
      <w:r w:rsidR="00D91C85">
        <w:rPr>
          <w:rFonts w:ascii="Times New Roman" w:hAnsi="Times New Roman"/>
          <w:color w:val="000000"/>
          <w:sz w:val="24"/>
          <w:szCs w:val="24"/>
        </w:rPr>
        <w:t xml:space="preserve"> </w:t>
      </w:r>
    </w:p>
    <w:tbl>
      <w:tblPr>
        <w:tblW w:w="0" w:type="auto"/>
        <w:tblInd w:w="108" w:type="dxa"/>
        <w:tblLook w:val="04A0"/>
      </w:tblPr>
      <w:tblGrid>
        <w:gridCol w:w="9360"/>
      </w:tblGrid>
      <w:tr w14:paraId="780B9B99" w14:textId="77777777" w:rsidTr="00D35DDB">
        <w:tblPrEx>
          <w:tblW w:w="0" w:type="auto"/>
          <w:tblInd w:w="108" w:type="dxa"/>
          <w:tblLook w:val="04A0"/>
        </w:tblPrEx>
        <w:tc>
          <w:tcPr>
            <w:tcW w:w="9360" w:type="dxa"/>
            <w:shd w:val="clear" w:color="auto" w:fill="auto"/>
          </w:tcPr>
          <w:p w:rsidR="00560E48" w:rsidRPr="00C879B4" w:rsidP="00346401" w14:paraId="617B8D09" w14:textId="77777777">
            <w:pPr>
              <w:spacing w:after="160" w:line="240" w:lineRule="auto"/>
              <w:rPr>
                <w:rFonts w:ascii="Times New Roman" w:hAnsi="Times New Roman"/>
                <w:color w:val="000000"/>
                <w:sz w:val="24"/>
                <w:szCs w:val="24"/>
              </w:rPr>
            </w:pPr>
            <w:r w:rsidRPr="00C879B4">
              <w:rPr>
                <w:rFonts w:ascii="Times New Roman" w:hAnsi="Times New Roman"/>
                <w:b/>
                <w:color w:val="000000"/>
                <w:sz w:val="24"/>
                <w:szCs w:val="24"/>
              </w:rPr>
              <w:t>15. Explain the reasons for any program changes or adjustments reported in Items 13 or 14 of the OMB Form 83-I.</w:t>
            </w:r>
            <w:r w:rsidR="00E76DCC">
              <w:rPr>
                <w:rFonts w:ascii="Times New Roman" w:hAnsi="Times New Roman"/>
                <w:b/>
                <w:color w:val="000000"/>
                <w:sz w:val="24"/>
                <w:szCs w:val="24"/>
              </w:rPr>
              <w:t xml:space="preserve"> </w:t>
            </w:r>
          </w:p>
        </w:tc>
      </w:tr>
      <w:tr w14:paraId="34F65A91" w14:textId="77777777" w:rsidTr="00D35DDB">
        <w:tblPrEx>
          <w:tblW w:w="0" w:type="auto"/>
          <w:tblInd w:w="108" w:type="dxa"/>
          <w:tblLook w:val="04A0"/>
        </w:tblPrEx>
        <w:tc>
          <w:tcPr>
            <w:tcW w:w="9360" w:type="dxa"/>
            <w:shd w:val="clear" w:color="auto" w:fill="auto"/>
          </w:tcPr>
          <w:p w:rsidR="0021340A" w:rsidRPr="000D1C25" w:rsidP="00346401" w14:paraId="60FC3F07" w14:textId="41BCB905">
            <w:pPr>
              <w:spacing w:after="160" w:line="240" w:lineRule="auto"/>
              <w:rPr>
                <w:rFonts w:ascii="Times New Roman" w:hAnsi="Times New Roman"/>
                <w:color w:val="000000"/>
                <w:sz w:val="24"/>
                <w:szCs w:val="24"/>
              </w:rPr>
            </w:pPr>
            <w:r w:rsidRPr="000D1C25">
              <w:rPr>
                <w:rFonts w:ascii="Times New Roman" w:hAnsi="Times New Roman"/>
                <w:color w:val="000000"/>
                <w:sz w:val="24"/>
                <w:szCs w:val="24"/>
              </w:rPr>
              <w:t>This is a</w:t>
            </w:r>
            <w:r w:rsidRPr="000D1C25" w:rsidR="000D1C25">
              <w:rPr>
                <w:rFonts w:ascii="Times New Roman" w:hAnsi="Times New Roman"/>
                <w:color w:val="000000"/>
                <w:sz w:val="24"/>
                <w:szCs w:val="24"/>
              </w:rPr>
              <w:t xml:space="preserve"> revision </w:t>
            </w:r>
            <w:r w:rsidRPr="000D1C25">
              <w:rPr>
                <w:rFonts w:ascii="Times New Roman" w:hAnsi="Times New Roman"/>
                <w:color w:val="000000"/>
                <w:sz w:val="24"/>
                <w:szCs w:val="24"/>
              </w:rPr>
              <w:t>of a currently approved collection.</w:t>
            </w:r>
            <w:r w:rsidR="00ED22F4">
              <w:rPr>
                <w:rFonts w:ascii="Times New Roman" w:hAnsi="Times New Roman"/>
                <w:color w:val="000000"/>
                <w:sz w:val="24"/>
                <w:szCs w:val="24"/>
              </w:rPr>
              <w:t xml:space="preserve"> </w:t>
            </w:r>
            <w:r w:rsidRPr="000D1C25" w:rsidR="00812C49">
              <w:rPr>
                <w:rFonts w:ascii="Times New Roman" w:hAnsi="Times New Roman"/>
                <w:sz w:val="24"/>
                <w:szCs w:val="24"/>
              </w:rPr>
              <w:t xml:space="preserve">There were no program changes, but </w:t>
            </w:r>
            <w:r w:rsidR="00346401">
              <w:rPr>
                <w:rFonts w:ascii="Times New Roman" w:hAnsi="Times New Roman"/>
                <w:sz w:val="24"/>
                <w:szCs w:val="24"/>
              </w:rPr>
              <w:t xml:space="preserve">for </w:t>
            </w:r>
            <w:r w:rsidRPr="000D1C25" w:rsidR="00812C49">
              <w:rPr>
                <w:rFonts w:ascii="Times New Roman" w:hAnsi="Times New Roman"/>
                <w:sz w:val="24"/>
                <w:szCs w:val="24"/>
              </w:rPr>
              <w:t>emphasis and clarity described to accurately reflect respondents and annual responses</w:t>
            </w:r>
            <w:r w:rsidR="00E820FF">
              <w:rPr>
                <w:rFonts w:ascii="Times New Roman" w:hAnsi="Times New Roman"/>
                <w:sz w:val="24"/>
                <w:szCs w:val="24"/>
              </w:rPr>
              <w:t xml:space="preserve"> there was a slight decrease in burden</w:t>
            </w:r>
            <w:r w:rsidRPr="000D1C25" w:rsidR="00812C49">
              <w:rPr>
                <w:rFonts w:ascii="Times New Roman" w:hAnsi="Times New Roman"/>
                <w:sz w:val="24"/>
                <w:szCs w:val="24"/>
              </w:rPr>
              <w:t>.</w:t>
            </w:r>
            <w:r w:rsidR="00ED22F4">
              <w:rPr>
                <w:rFonts w:ascii="Times New Roman" w:hAnsi="Times New Roman"/>
                <w:color w:val="FF0000"/>
                <w:sz w:val="24"/>
                <w:szCs w:val="24"/>
              </w:rPr>
              <w:t xml:space="preserve"> </w:t>
            </w:r>
            <w:r w:rsidRPr="000D1C25" w:rsidR="00F73A33">
              <w:rPr>
                <w:rFonts w:ascii="Times New Roman" w:hAnsi="Times New Roman"/>
                <w:color w:val="000000"/>
                <w:sz w:val="24"/>
                <w:szCs w:val="24"/>
              </w:rPr>
              <w:t>The number of respondents reflects the estimated number of FHA-approved multifamily servicing lenders that may submit information to the MDDR systems.</w:t>
            </w:r>
            <w:r w:rsidR="00ED22F4">
              <w:rPr>
                <w:rFonts w:ascii="Times New Roman" w:hAnsi="Times New Roman"/>
                <w:color w:val="000000"/>
                <w:sz w:val="24"/>
                <w:szCs w:val="24"/>
              </w:rPr>
              <w:t xml:space="preserve"> </w:t>
            </w:r>
            <w:r w:rsidRPr="000D1C25" w:rsidR="00F73A33">
              <w:rPr>
                <w:rFonts w:ascii="Times New Roman" w:hAnsi="Times New Roman"/>
                <w:color w:val="000000"/>
                <w:sz w:val="24"/>
                <w:szCs w:val="24"/>
              </w:rPr>
              <w:t>The total annual responses are the average number of submissions made annually by these lenders.</w:t>
            </w:r>
            <w:r w:rsidR="00ED22F4">
              <w:rPr>
                <w:rFonts w:ascii="Times New Roman" w:hAnsi="Times New Roman"/>
                <w:color w:val="000000"/>
                <w:sz w:val="24"/>
                <w:szCs w:val="24"/>
              </w:rPr>
              <w:t xml:space="preserve"> </w:t>
            </w:r>
            <w:r w:rsidRPr="000D1C25" w:rsidR="00F73A33">
              <w:rPr>
                <w:rFonts w:ascii="Times New Roman" w:hAnsi="Times New Roman"/>
                <w:color w:val="000000"/>
                <w:sz w:val="24"/>
                <w:szCs w:val="24"/>
              </w:rPr>
              <w:t>Most lenders service several FHA insured loans.</w:t>
            </w:r>
            <w:r w:rsidR="00ED22F4">
              <w:rPr>
                <w:rFonts w:ascii="Times New Roman" w:hAnsi="Times New Roman"/>
                <w:color w:val="000000"/>
                <w:sz w:val="24"/>
                <w:szCs w:val="24"/>
              </w:rPr>
              <w:t xml:space="preserve"> </w:t>
            </w:r>
            <w:r w:rsidRPr="000D1C25" w:rsidR="00DE492F">
              <w:rPr>
                <w:rFonts w:ascii="Times New Roman" w:hAnsi="Times New Roman"/>
                <w:color w:val="000000"/>
                <w:sz w:val="24"/>
                <w:szCs w:val="24"/>
              </w:rPr>
              <w:t xml:space="preserve">The adjustment from the previous collection is reflective of </w:t>
            </w:r>
            <w:r w:rsidRPr="000D1C25" w:rsidR="00A22A18">
              <w:rPr>
                <w:rFonts w:ascii="Times New Roman" w:hAnsi="Times New Roman"/>
                <w:color w:val="000000"/>
                <w:sz w:val="24"/>
                <w:szCs w:val="24"/>
              </w:rPr>
              <w:t xml:space="preserve">a </w:t>
            </w:r>
            <w:r w:rsidR="00346401">
              <w:rPr>
                <w:rFonts w:ascii="Times New Roman" w:hAnsi="Times New Roman"/>
                <w:color w:val="000000"/>
                <w:sz w:val="24"/>
                <w:szCs w:val="24"/>
              </w:rPr>
              <w:t xml:space="preserve">different </w:t>
            </w:r>
            <w:r w:rsidRPr="000D1C25" w:rsidR="00DE492F">
              <w:rPr>
                <w:rFonts w:ascii="Times New Roman" w:hAnsi="Times New Roman"/>
                <w:color w:val="000000"/>
                <w:sz w:val="24"/>
                <w:szCs w:val="24"/>
              </w:rPr>
              <w:t>number of loans being delinquent or in default.</w:t>
            </w:r>
            <w:r w:rsidR="00ED22F4">
              <w:rPr>
                <w:rFonts w:ascii="Times New Roman" w:hAnsi="Times New Roman"/>
                <w:color w:val="000000"/>
                <w:sz w:val="24"/>
                <w:szCs w:val="24"/>
              </w:rPr>
              <w:t xml:space="preserve"> </w:t>
            </w:r>
            <w:r w:rsidRPr="000D1C25" w:rsidR="00DE492F">
              <w:rPr>
                <w:rFonts w:ascii="Times New Roman" w:hAnsi="Times New Roman"/>
                <w:color w:val="000000"/>
                <w:sz w:val="24"/>
                <w:szCs w:val="24"/>
              </w:rPr>
              <w:t>Early detection and monitoring o</w:t>
            </w:r>
            <w:r w:rsidRPr="000D1C25" w:rsidR="00A22A18">
              <w:rPr>
                <w:rFonts w:ascii="Times New Roman" w:hAnsi="Times New Roman"/>
                <w:color w:val="000000"/>
                <w:sz w:val="24"/>
                <w:szCs w:val="24"/>
              </w:rPr>
              <w:t>f</w:t>
            </w:r>
            <w:r w:rsidRPr="000D1C25" w:rsidR="00DE492F">
              <w:rPr>
                <w:rFonts w:ascii="Times New Roman" w:hAnsi="Times New Roman"/>
                <w:color w:val="000000"/>
                <w:sz w:val="24"/>
                <w:szCs w:val="24"/>
              </w:rPr>
              <w:t xml:space="preserve"> problems can lead to a lower number of defaults.</w:t>
            </w:r>
            <w:r w:rsidR="00D91C85">
              <w:rPr>
                <w:rFonts w:ascii="Times New Roman" w:hAnsi="Times New Roman"/>
                <w:color w:val="000000"/>
                <w:sz w:val="24"/>
                <w:szCs w:val="24"/>
              </w:rPr>
              <w:t xml:space="preserve"> </w:t>
            </w:r>
          </w:p>
        </w:tc>
      </w:tr>
      <w:tr w14:paraId="586D06AA" w14:textId="77777777" w:rsidTr="00D35DDB">
        <w:tblPrEx>
          <w:tblW w:w="0" w:type="auto"/>
          <w:tblInd w:w="108" w:type="dxa"/>
          <w:tblLook w:val="04A0"/>
        </w:tblPrEx>
        <w:tc>
          <w:tcPr>
            <w:tcW w:w="9360" w:type="dxa"/>
            <w:shd w:val="clear" w:color="auto" w:fill="auto"/>
          </w:tcPr>
          <w:p w:rsidR="0021340A" w:rsidRPr="00C879B4" w:rsidP="00346401" w14:paraId="12F2FFD3" w14:textId="77777777">
            <w:pPr>
              <w:spacing w:after="160" w:line="240" w:lineRule="auto"/>
              <w:rPr>
                <w:rFonts w:ascii="Times New Roman" w:hAnsi="Times New Roman"/>
                <w:color w:val="000000"/>
                <w:sz w:val="24"/>
                <w:szCs w:val="24"/>
              </w:rPr>
            </w:pPr>
            <w:r w:rsidRPr="00C879B4">
              <w:rPr>
                <w:rFonts w:ascii="Times New Roman" w:hAnsi="Times New Roman"/>
                <w:b/>
                <w:color w:val="000000"/>
                <w:sz w:val="24"/>
                <w:szCs w:val="24"/>
              </w:rPr>
              <w:t>17. If seeking approval to not display the expiration date for OMB approval of the information collection, explain the reasons that display would be inappropriate.</w:t>
            </w:r>
            <w:r w:rsidR="00E76DCC">
              <w:rPr>
                <w:rFonts w:ascii="Times New Roman" w:hAnsi="Times New Roman"/>
                <w:b/>
                <w:color w:val="000000"/>
                <w:sz w:val="24"/>
                <w:szCs w:val="24"/>
              </w:rPr>
              <w:t xml:space="preserve"> </w:t>
            </w:r>
          </w:p>
        </w:tc>
      </w:tr>
      <w:tr w14:paraId="26E28E4D" w14:textId="77777777" w:rsidTr="00D35DDB">
        <w:tblPrEx>
          <w:tblW w:w="0" w:type="auto"/>
          <w:tblInd w:w="108" w:type="dxa"/>
          <w:tblLook w:val="04A0"/>
        </w:tblPrEx>
        <w:tc>
          <w:tcPr>
            <w:tcW w:w="9360" w:type="dxa"/>
            <w:shd w:val="clear" w:color="auto" w:fill="auto"/>
          </w:tcPr>
          <w:p w:rsidR="0021340A" w:rsidRPr="00C879B4" w:rsidP="00346401" w14:paraId="6B6D05A2" w14:textId="77777777">
            <w:pPr>
              <w:spacing w:after="160" w:line="240" w:lineRule="auto"/>
              <w:rPr>
                <w:rFonts w:ascii="Times New Roman" w:hAnsi="Times New Roman"/>
                <w:color w:val="000000"/>
                <w:sz w:val="24"/>
                <w:szCs w:val="24"/>
              </w:rPr>
            </w:pPr>
            <w:r>
              <w:rPr>
                <w:rFonts w:ascii="Times New Roman" w:hAnsi="Times New Roman"/>
                <w:color w:val="000000"/>
                <w:sz w:val="24"/>
                <w:szCs w:val="24"/>
              </w:rPr>
              <w:t xml:space="preserve">The OMB expiration date will be displayed </w:t>
            </w:r>
            <w:r w:rsidR="00346401">
              <w:rPr>
                <w:rFonts w:ascii="Times New Roman" w:hAnsi="Times New Roman"/>
                <w:color w:val="000000"/>
                <w:sz w:val="24"/>
                <w:szCs w:val="24"/>
              </w:rPr>
              <w:t>in</w:t>
            </w:r>
            <w:r>
              <w:rPr>
                <w:rFonts w:ascii="Times New Roman" w:hAnsi="Times New Roman"/>
                <w:color w:val="000000"/>
                <w:sz w:val="24"/>
                <w:szCs w:val="24"/>
              </w:rPr>
              <w:t xml:space="preserve"> the </w:t>
            </w:r>
            <w:r w:rsidR="00346401">
              <w:rPr>
                <w:rFonts w:ascii="Times New Roman" w:hAnsi="Times New Roman"/>
                <w:color w:val="000000"/>
                <w:sz w:val="24"/>
                <w:szCs w:val="24"/>
              </w:rPr>
              <w:t>application instructions</w:t>
            </w:r>
            <w:r>
              <w:rPr>
                <w:rFonts w:ascii="Times New Roman" w:hAnsi="Times New Roman"/>
                <w:color w:val="000000"/>
                <w:sz w:val="24"/>
                <w:szCs w:val="24"/>
              </w:rPr>
              <w:t>.</w:t>
            </w:r>
          </w:p>
        </w:tc>
      </w:tr>
      <w:tr w14:paraId="3956603E" w14:textId="77777777" w:rsidTr="00D35DDB">
        <w:tblPrEx>
          <w:tblW w:w="0" w:type="auto"/>
          <w:tblInd w:w="108" w:type="dxa"/>
          <w:tblLook w:val="04A0"/>
        </w:tblPrEx>
        <w:tc>
          <w:tcPr>
            <w:tcW w:w="9360" w:type="dxa"/>
            <w:shd w:val="clear" w:color="auto" w:fill="auto"/>
          </w:tcPr>
          <w:p w:rsidR="0021340A" w:rsidRPr="00C879B4" w:rsidP="00346401" w14:paraId="57307005" w14:textId="77777777">
            <w:pPr>
              <w:spacing w:after="160" w:line="240" w:lineRule="auto"/>
              <w:rPr>
                <w:rFonts w:ascii="Times New Roman" w:hAnsi="Times New Roman"/>
                <w:b/>
                <w:color w:val="000000"/>
                <w:sz w:val="24"/>
                <w:szCs w:val="24"/>
              </w:rPr>
            </w:pPr>
            <w:r w:rsidRPr="00C879B4">
              <w:rPr>
                <w:rFonts w:ascii="Times New Roman" w:hAnsi="Times New Roman"/>
                <w:b/>
                <w:color w:val="000000"/>
                <w:sz w:val="24"/>
                <w:szCs w:val="24"/>
              </w:rPr>
              <w:t>18. Explain each exception to the certification statement identified in Item 19, "Certification for Paperwork Reduction Act Submissions," of OMB Form 83-I.</w:t>
            </w:r>
            <w:r w:rsidR="00E76DCC">
              <w:rPr>
                <w:rFonts w:ascii="Times New Roman" w:hAnsi="Times New Roman"/>
                <w:b/>
                <w:color w:val="000000"/>
                <w:sz w:val="24"/>
                <w:szCs w:val="24"/>
              </w:rPr>
              <w:t xml:space="preserve"> </w:t>
            </w:r>
          </w:p>
        </w:tc>
      </w:tr>
      <w:tr w14:paraId="17B7B97A" w14:textId="77777777" w:rsidTr="00D35DDB">
        <w:tblPrEx>
          <w:tblW w:w="0" w:type="auto"/>
          <w:tblInd w:w="108" w:type="dxa"/>
          <w:tblLook w:val="04A0"/>
        </w:tblPrEx>
        <w:tc>
          <w:tcPr>
            <w:tcW w:w="9360" w:type="dxa"/>
            <w:shd w:val="clear" w:color="auto" w:fill="auto"/>
          </w:tcPr>
          <w:p w:rsidR="0021340A" w:rsidRPr="006A5173" w:rsidP="00346401" w14:paraId="794ECC7C" w14:textId="77777777">
            <w:pPr>
              <w:spacing w:after="160" w:line="240" w:lineRule="auto"/>
              <w:rPr>
                <w:rFonts w:ascii="Times New Roman" w:hAnsi="Times New Roman"/>
                <w:color w:val="000000"/>
                <w:sz w:val="24"/>
                <w:szCs w:val="24"/>
              </w:rPr>
            </w:pPr>
            <w:r>
              <w:rPr>
                <w:rFonts w:ascii="Times New Roman" w:hAnsi="Times New Roman"/>
                <w:color w:val="000000"/>
                <w:sz w:val="24"/>
                <w:szCs w:val="24"/>
              </w:rPr>
              <w:t>There are no exceptions to the “Certification for Paperwork Reduction Act Submissions.”</w:t>
            </w:r>
          </w:p>
        </w:tc>
      </w:tr>
    </w:tbl>
    <w:p w:rsidR="00346401" w:rsidP="00346401" w14:paraId="5AF571F5" w14:textId="77777777">
      <w:pPr>
        <w:spacing w:after="160" w:line="240" w:lineRule="auto"/>
        <w:rPr>
          <w:rFonts w:ascii="Times New Roman" w:hAnsi="Times New Roman"/>
          <w:b/>
          <w:bCs/>
          <w:color w:val="000000"/>
          <w:sz w:val="24"/>
          <w:szCs w:val="24"/>
        </w:rPr>
      </w:pPr>
      <w:r>
        <w:rPr>
          <w:rFonts w:ascii="Times New Roman" w:hAnsi="Times New Roman"/>
          <w:color w:val="000000"/>
          <w:sz w:val="24"/>
          <w:szCs w:val="24"/>
        </w:rPr>
        <w:t xml:space="preserve"> </w:t>
      </w:r>
      <w:r w:rsidRPr="00C879B4" w:rsidR="00075224">
        <w:rPr>
          <w:rFonts w:ascii="Times New Roman" w:hAnsi="Times New Roman"/>
          <w:b/>
          <w:bCs/>
          <w:color w:val="000000"/>
          <w:sz w:val="24"/>
          <w:szCs w:val="24"/>
        </w:rPr>
        <w:t>B. Collections of Information Employing Statistical Methods</w:t>
      </w:r>
      <w:r w:rsidR="00E76DCC">
        <w:rPr>
          <w:rFonts w:ascii="Times New Roman" w:hAnsi="Times New Roman"/>
          <w:b/>
          <w:bCs/>
          <w:color w:val="000000"/>
          <w:sz w:val="24"/>
          <w:szCs w:val="24"/>
        </w:rPr>
        <w:t xml:space="preserve"> </w:t>
      </w:r>
    </w:p>
    <w:p w:rsidR="002D1E1D" w:rsidP="00346401" w14:paraId="5E5D810B" w14:textId="77777777">
      <w:pPr>
        <w:spacing w:after="160" w:line="240" w:lineRule="auto"/>
        <w:rPr>
          <w:rFonts w:ascii="Times New Roman" w:hAnsi="Times New Roman"/>
          <w:color w:val="000000"/>
          <w:sz w:val="24"/>
          <w:szCs w:val="24"/>
        </w:rPr>
      </w:pPr>
      <w:r>
        <w:rPr>
          <w:rFonts w:ascii="Times New Roman" w:hAnsi="Times New Roman"/>
          <w:color w:val="000000"/>
          <w:sz w:val="24"/>
          <w:szCs w:val="24"/>
        </w:rPr>
        <w:t>There are no statistical methods used in this collection.</w:t>
      </w:r>
      <w:r w:rsidR="00D91C85">
        <w:rPr>
          <w:rFonts w:ascii="Times New Roman" w:hAnsi="Times New Roman"/>
          <w:color w:val="000000"/>
          <w:sz w:val="24"/>
          <w:szCs w:val="24"/>
        </w:rPr>
        <w:t xml:space="preserve"> </w:t>
      </w:r>
    </w:p>
    <w:sectPr w:rsidSect="00A81627">
      <w:pgSz w:w="12240" w:h="15840"/>
      <w:pgMar w:top="1440" w:right="1080" w:bottom="1440" w:left="108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53928121"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48A219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0364BA1D"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7196D064"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0D8A2155"/>
    <w:multiLevelType w:val="hybridMultilevel"/>
    <w:tmpl w:val="DD048B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5947433A"/>
    <w:multiLevelType w:val="multilevel"/>
    <w:tmpl w:val="849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693530765">
    <w:abstractNumId w:val="2"/>
  </w:num>
  <w:num w:numId="2" w16cid:durableId="2079403175">
    <w:abstractNumId w:val="6"/>
  </w:num>
  <w:num w:numId="3" w16cid:durableId="1235357906">
    <w:abstractNumId w:val="0"/>
  </w:num>
  <w:num w:numId="4" w16cid:durableId="219023409">
    <w:abstractNumId w:val="5"/>
  </w:num>
  <w:num w:numId="5" w16cid:durableId="1679696093">
    <w:abstractNumId w:val="4"/>
  </w:num>
  <w:num w:numId="6" w16cid:durableId="1988632461">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415906889">
    <w:abstractNumId w:val="1"/>
  </w:num>
  <w:num w:numId="8" w16cid:durableId="1982927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043B"/>
    <w:rsid w:val="00020F46"/>
    <w:rsid w:val="000679FF"/>
    <w:rsid w:val="00071FEA"/>
    <w:rsid w:val="00075224"/>
    <w:rsid w:val="00075ECA"/>
    <w:rsid w:val="00077A88"/>
    <w:rsid w:val="000B4874"/>
    <w:rsid w:val="000C62BB"/>
    <w:rsid w:val="000D1C25"/>
    <w:rsid w:val="000D7FD0"/>
    <w:rsid w:val="000E6119"/>
    <w:rsid w:val="00114C79"/>
    <w:rsid w:val="00142C95"/>
    <w:rsid w:val="001568F6"/>
    <w:rsid w:val="00164BAE"/>
    <w:rsid w:val="00167FD2"/>
    <w:rsid w:val="00174045"/>
    <w:rsid w:val="00174727"/>
    <w:rsid w:val="001B4FB5"/>
    <w:rsid w:val="001C6560"/>
    <w:rsid w:val="001F57BC"/>
    <w:rsid w:val="001F6A68"/>
    <w:rsid w:val="00202915"/>
    <w:rsid w:val="0021340A"/>
    <w:rsid w:val="002712B9"/>
    <w:rsid w:val="00276A7E"/>
    <w:rsid w:val="0029110D"/>
    <w:rsid w:val="00296DF2"/>
    <w:rsid w:val="002C0274"/>
    <w:rsid w:val="002D1E1D"/>
    <w:rsid w:val="002F0064"/>
    <w:rsid w:val="002F4BC7"/>
    <w:rsid w:val="00302D7C"/>
    <w:rsid w:val="003077DF"/>
    <w:rsid w:val="00311A8B"/>
    <w:rsid w:val="003141C7"/>
    <w:rsid w:val="00320358"/>
    <w:rsid w:val="00344128"/>
    <w:rsid w:val="00346401"/>
    <w:rsid w:val="00364FD0"/>
    <w:rsid w:val="0036628B"/>
    <w:rsid w:val="00397DF1"/>
    <w:rsid w:val="003B7677"/>
    <w:rsid w:val="003C400F"/>
    <w:rsid w:val="003D3048"/>
    <w:rsid w:val="003F4D24"/>
    <w:rsid w:val="004527CD"/>
    <w:rsid w:val="004939BF"/>
    <w:rsid w:val="004A66EE"/>
    <w:rsid w:val="004C1DB9"/>
    <w:rsid w:val="004D0A64"/>
    <w:rsid w:val="004F0EF3"/>
    <w:rsid w:val="0050120C"/>
    <w:rsid w:val="005440CA"/>
    <w:rsid w:val="00551555"/>
    <w:rsid w:val="005572C8"/>
    <w:rsid w:val="00560E48"/>
    <w:rsid w:val="00566A56"/>
    <w:rsid w:val="00576C1C"/>
    <w:rsid w:val="00593CC4"/>
    <w:rsid w:val="00594EA6"/>
    <w:rsid w:val="005A6EB8"/>
    <w:rsid w:val="005D21A4"/>
    <w:rsid w:val="00602206"/>
    <w:rsid w:val="00603E13"/>
    <w:rsid w:val="00626CA2"/>
    <w:rsid w:val="00646112"/>
    <w:rsid w:val="0066398E"/>
    <w:rsid w:val="00666CF0"/>
    <w:rsid w:val="006717F4"/>
    <w:rsid w:val="0068086B"/>
    <w:rsid w:val="00684B4A"/>
    <w:rsid w:val="00695EEE"/>
    <w:rsid w:val="006A5173"/>
    <w:rsid w:val="006A693D"/>
    <w:rsid w:val="006E48F8"/>
    <w:rsid w:val="00700570"/>
    <w:rsid w:val="007061CA"/>
    <w:rsid w:val="00711F61"/>
    <w:rsid w:val="00736935"/>
    <w:rsid w:val="00741B05"/>
    <w:rsid w:val="00750BA9"/>
    <w:rsid w:val="007524F0"/>
    <w:rsid w:val="0075410C"/>
    <w:rsid w:val="00760CC6"/>
    <w:rsid w:val="00772701"/>
    <w:rsid w:val="007731D8"/>
    <w:rsid w:val="00794E28"/>
    <w:rsid w:val="00797FB9"/>
    <w:rsid w:val="007C50E7"/>
    <w:rsid w:val="007D3234"/>
    <w:rsid w:val="007D5587"/>
    <w:rsid w:val="00812C49"/>
    <w:rsid w:val="008420D3"/>
    <w:rsid w:val="0086168D"/>
    <w:rsid w:val="00862F46"/>
    <w:rsid w:val="00895F89"/>
    <w:rsid w:val="008C7563"/>
    <w:rsid w:val="008C7982"/>
    <w:rsid w:val="008E2B46"/>
    <w:rsid w:val="008E735E"/>
    <w:rsid w:val="00902A8A"/>
    <w:rsid w:val="00917E7D"/>
    <w:rsid w:val="00922458"/>
    <w:rsid w:val="00934001"/>
    <w:rsid w:val="009419D6"/>
    <w:rsid w:val="00952AD1"/>
    <w:rsid w:val="009814CB"/>
    <w:rsid w:val="00982371"/>
    <w:rsid w:val="009866AE"/>
    <w:rsid w:val="009A3A5E"/>
    <w:rsid w:val="009B0365"/>
    <w:rsid w:val="009B3BD7"/>
    <w:rsid w:val="009B58A0"/>
    <w:rsid w:val="009E118C"/>
    <w:rsid w:val="00A22A18"/>
    <w:rsid w:val="00A33DED"/>
    <w:rsid w:val="00A352F3"/>
    <w:rsid w:val="00A6656E"/>
    <w:rsid w:val="00A80199"/>
    <w:rsid w:val="00A81627"/>
    <w:rsid w:val="00AA04EA"/>
    <w:rsid w:val="00AD6E7C"/>
    <w:rsid w:val="00AE2E96"/>
    <w:rsid w:val="00B004A7"/>
    <w:rsid w:val="00B07437"/>
    <w:rsid w:val="00B106EA"/>
    <w:rsid w:val="00B3307E"/>
    <w:rsid w:val="00B50CE5"/>
    <w:rsid w:val="00B7253E"/>
    <w:rsid w:val="00BA4D98"/>
    <w:rsid w:val="00BB0F74"/>
    <w:rsid w:val="00BE2ED5"/>
    <w:rsid w:val="00BF089B"/>
    <w:rsid w:val="00BF173E"/>
    <w:rsid w:val="00C16485"/>
    <w:rsid w:val="00C879B4"/>
    <w:rsid w:val="00C95D74"/>
    <w:rsid w:val="00CB45ED"/>
    <w:rsid w:val="00CC3959"/>
    <w:rsid w:val="00CE1320"/>
    <w:rsid w:val="00CF512D"/>
    <w:rsid w:val="00D127E8"/>
    <w:rsid w:val="00D35DDB"/>
    <w:rsid w:val="00D65195"/>
    <w:rsid w:val="00D720B2"/>
    <w:rsid w:val="00D91C85"/>
    <w:rsid w:val="00DC1E6C"/>
    <w:rsid w:val="00DE492F"/>
    <w:rsid w:val="00DF2C79"/>
    <w:rsid w:val="00DF5D83"/>
    <w:rsid w:val="00E13961"/>
    <w:rsid w:val="00E255EA"/>
    <w:rsid w:val="00E53DE7"/>
    <w:rsid w:val="00E73D93"/>
    <w:rsid w:val="00E76DCC"/>
    <w:rsid w:val="00E820FF"/>
    <w:rsid w:val="00EA779A"/>
    <w:rsid w:val="00EA7C8E"/>
    <w:rsid w:val="00EB66C6"/>
    <w:rsid w:val="00EC0BDB"/>
    <w:rsid w:val="00ED22F4"/>
    <w:rsid w:val="00EF50D4"/>
    <w:rsid w:val="00EF54ED"/>
    <w:rsid w:val="00F17541"/>
    <w:rsid w:val="00F20D4D"/>
    <w:rsid w:val="00F467AA"/>
    <w:rsid w:val="00F73A33"/>
    <w:rsid w:val="00FA0B1E"/>
    <w:rsid w:val="00FA2F70"/>
    <w:rsid w:val="00FD0662"/>
    <w:rsid w:val="00FE1CC8"/>
    <w:rsid w:val="02E82EB0"/>
    <w:rsid w:val="02E9A2D3"/>
    <w:rsid w:val="0377A388"/>
    <w:rsid w:val="04257F8D"/>
    <w:rsid w:val="042882D8"/>
    <w:rsid w:val="05E93918"/>
    <w:rsid w:val="06D5D115"/>
    <w:rsid w:val="072BC182"/>
    <w:rsid w:val="07752F68"/>
    <w:rsid w:val="0933C4D8"/>
    <w:rsid w:val="099F0A36"/>
    <w:rsid w:val="0AFA6C39"/>
    <w:rsid w:val="0B68F786"/>
    <w:rsid w:val="0BA4AFAC"/>
    <w:rsid w:val="0C3EA1A7"/>
    <w:rsid w:val="0C4D315E"/>
    <w:rsid w:val="0C8F7AF2"/>
    <w:rsid w:val="0C94BC5D"/>
    <w:rsid w:val="0D856779"/>
    <w:rsid w:val="0DB0A1D6"/>
    <w:rsid w:val="0FFA8001"/>
    <w:rsid w:val="105EF872"/>
    <w:rsid w:val="1457C735"/>
    <w:rsid w:val="14FB302F"/>
    <w:rsid w:val="15581204"/>
    <w:rsid w:val="16BE6B00"/>
    <w:rsid w:val="16F3E265"/>
    <w:rsid w:val="195DCD4A"/>
    <w:rsid w:val="197846CE"/>
    <w:rsid w:val="1F6B1E7A"/>
    <w:rsid w:val="220CD00E"/>
    <w:rsid w:val="22153497"/>
    <w:rsid w:val="22F25F8B"/>
    <w:rsid w:val="22F94447"/>
    <w:rsid w:val="2326112E"/>
    <w:rsid w:val="23AA4350"/>
    <w:rsid w:val="24BDDF92"/>
    <w:rsid w:val="252A19AB"/>
    <w:rsid w:val="263AC4A9"/>
    <w:rsid w:val="287C1192"/>
    <w:rsid w:val="2A68D374"/>
    <w:rsid w:val="2EDBCB05"/>
    <w:rsid w:val="2F90B7AE"/>
    <w:rsid w:val="2FC89618"/>
    <w:rsid w:val="3032EC90"/>
    <w:rsid w:val="31646679"/>
    <w:rsid w:val="320DC647"/>
    <w:rsid w:val="3574DC64"/>
    <w:rsid w:val="37DD09A6"/>
    <w:rsid w:val="38851714"/>
    <w:rsid w:val="3901F271"/>
    <w:rsid w:val="39C7EB8D"/>
    <w:rsid w:val="3B1C592E"/>
    <w:rsid w:val="3B3B04B6"/>
    <w:rsid w:val="3C1DDF76"/>
    <w:rsid w:val="3CA152E8"/>
    <w:rsid w:val="3E3706D1"/>
    <w:rsid w:val="40CE8C59"/>
    <w:rsid w:val="419A6ABC"/>
    <w:rsid w:val="41C8D358"/>
    <w:rsid w:val="41ECCE41"/>
    <w:rsid w:val="41F965A0"/>
    <w:rsid w:val="42286D85"/>
    <w:rsid w:val="43022B70"/>
    <w:rsid w:val="4337F149"/>
    <w:rsid w:val="438981DF"/>
    <w:rsid w:val="43C3AD2C"/>
    <w:rsid w:val="43FBD35C"/>
    <w:rsid w:val="446FF2DC"/>
    <w:rsid w:val="45562AAA"/>
    <w:rsid w:val="455F7D8D"/>
    <w:rsid w:val="47BC330C"/>
    <w:rsid w:val="4AF260B4"/>
    <w:rsid w:val="4B6F7B32"/>
    <w:rsid w:val="4C4778FB"/>
    <w:rsid w:val="4E5BDB65"/>
    <w:rsid w:val="4EB2B705"/>
    <w:rsid w:val="50051E11"/>
    <w:rsid w:val="5090BBCE"/>
    <w:rsid w:val="5299C4A2"/>
    <w:rsid w:val="53426029"/>
    <w:rsid w:val="5382B509"/>
    <w:rsid w:val="54801A9D"/>
    <w:rsid w:val="54CD93E9"/>
    <w:rsid w:val="576DC3DE"/>
    <w:rsid w:val="5854F9A1"/>
    <w:rsid w:val="59538BC0"/>
    <w:rsid w:val="5A2E9B4F"/>
    <w:rsid w:val="5AD7B586"/>
    <w:rsid w:val="5AF69C8C"/>
    <w:rsid w:val="5B2E220E"/>
    <w:rsid w:val="5C5E9201"/>
    <w:rsid w:val="5C77780A"/>
    <w:rsid w:val="5CCB8786"/>
    <w:rsid w:val="5DC9BB09"/>
    <w:rsid w:val="5E2A44D2"/>
    <w:rsid w:val="5ED6F7D7"/>
    <w:rsid w:val="60480FB4"/>
    <w:rsid w:val="6120C094"/>
    <w:rsid w:val="62A738B3"/>
    <w:rsid w:val="632EBEF5"/>
    <w:rsid w:val="63C77733"/>
    <w:rsid w:val="647C070E"/>
    <w:rsid w:val="64857889"/>
    <w:rsid w:val="65CDC6CC"/>
    <w:rsid w:val="65CEEEEA"/>
    <w:rsid w:val="65ECCCD6"/>
    <w:rsid w:val="66071BD8"/>
    <w:rsid w:val="66F3F5FA"/>
    <w:rsid w:val="678EAF19"/>
    <w:rsid w:val="67ADF931"/>
    <w:rsid w:val="6D7843B9"/>
    <w:rsid w:val="6EC228B1"/>
    <w:rsid w:val="71133F8E"/>
    <w:rsid w:val="73CD9AEF"/>
    <w:rsid w:val="746846E4"/>
    <w:rsid w:val="760C04CB"/>
    <w:rsid w:val="767B22BB"/>
    <w:rsid w:val="7686D6A0"/>
    <w:rsid w:val="7874A608"/>
    <w:rsid w:val="79EACDFA"/>
    <w:rsid w:val="7A9AC8EE"/>
    <w:rsid w:val="7B8542ED"/>
    <w:rsid w:val="7E17511C"/>
    <w:rsid w:val="7E4F3500"/>
    <w:rsid w:val="7F5511B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043F69"/>
  <w15:chartTrackingRefBased/>
  <w15:docId w15:val="{C029AA26-32CD-432E-930E-F7380067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12C49"/>
    <w:rPr>
      <w:sz w:val="16"/>
      <w:szCs w:val="16"/>
    </w:rPr>
  </w:style>
  <w:style w:type="paragraph" w:styleId="CommentText">
    <w:name w:val="annotation text"/>
    <w:basedOn w:val="Normal"/>
    <w:link w:val="CommentTextChar"/>
    <w:uiPriority w:val="99"/>
    <w:unhideWhenUsed/>
    <w:rsid w:val="00812C49"/>
    <w:rPr>
      <w:sz w:val="20"/>
      <w:szCs w:val="20"/>
    </w:rPr>
  </w:style>
  <w:style w:type="character" w:customStyle="1" w:styleId="CommentTextChar">
    <w:name w:val="Comment Text Char"/>
    <w:basedOn w:val="DefaultParagraphFont"/>
    <w:link w:val="CommentText"/>
    <w:uiPriority w:val="99"/>
    <w:rsid w:val="00812C49"/>
  </w:style>
  <w:style w:type="paragraph" w:styleId="CommentSubject">
    <w:name w:val="annotation subject"/>
    <w:basedOn w:val="CommentText"/>
    <w:next w:val="CommentText"/>
    <w:link w:val="CommentSubjectChar"/>
    <w:uiPriority w:val="99"/>
    <w:semiHidden/>
    <w:unhideWhenUsed/>
    <w:rsid w:val="00812C49"/>
    <w:rPr>
      <w:b/>
      <w:bCs/>
    </w:rPr>
  </w:style>
  <w:style w:type="character" w:customStyle="1" w:styleId="CommentSubjectChar">
    <w:name w:val="Comment Subject Char"/>
    <w:link w:val="CommentSubject"/>
    <w:uiPriority w:val="99"/>
    <w:semiHidden/>
    <w:rsid w:val="00812C49"/>
    <w:rPr>
      <w:b/>
      <w:bCs/>
    </w:rPr>
  </w:style>
  <w:style w:type="character" w:styleId="Hyperlink">
    <w:name w:val="Hyperlink"/>
    <w:uiPriority w:val="99"/>
    <w:unhideWhenUsed/>
    <w:rsid w:val="00772701"/>
    <w:rPr>
      <w:color w:val="0563C1"/>
      <w:u w:val="single"/>
    </w:rPr>
  </w:style>
  <w:style w:type="character" w:styleId="UnresolvedMention">
    <w:name w:val="Unresolved Mention"/>
    <w:uiPriority w:val="99"/>
    <w:semiHidden/>
    <w:unhideWhenUsed/>
    <w:rsid w:val="00772701"/>
    <w:rPr>
      <w:color w:val="605E5C"/>
      <w:shd w:val="clear" w:color="auto" w:fill="E1DFDD"/>
    </w:rPr>
  </w:style>
  <w:style w:type="character" w:styleId="FollowedHyperlink">
    <w:name w:val="FollowedHyperlink"/>
    <w:uiPriority w:val="99"/>
    <w:semiHidden/>
    <w:unhideWhenUsed/>
    <w:rsid w:val="00364FD0"/>
    <w:rPr>
      <w:color w:val="954F72"/>
      <w:u w:val="single"/>
    </w:rPr>
  </w:style>
  <w:style w:type="paragraph" w:styleId="NoSpacing">
    <w:name w:val="No Spacing"/>
    <w:uiPriority w:val="1"/>
    <w:qFormat/>
    <w:rsid w:val="00174727"/>
    <w:rPr>
      <w:sz w:val="22"/>
      <w:szCs w:val="22"/>
      <w:lang w:eastAsia="en-US"/>
    </w:rPr>
  </w:style>
  <w:style w:type="paragraph" w:styleId="Revision">
    <w:name w:val="Revision"/>
    <w:hidden/>
    <w:uiPriority w:val="99"/>
    <w:semiHidden/>
    <w:rsid w:val="008C7563"/>
    <w:rPr>
      <w:sz w:val="22"/>
      <w:szCs w:val="22"/>
      <w:lang w:eastAsia="en-US"/>
    </w:rPr>
  </w:style>
  <w:style w:type="character" w:styleId="Strong">
    <w:name w:val="Strong"/>
    <w:basedOn w:val="DefaultParagraphFont"/>
    <w:uiPriority w:val="22"/>
    <w:qFormat/>
    <w:rsid w:val="00202915"/>
    <w:rPr>
      <w:b/>
      <w:bCs/>
    </w:rPr>
  </w:style>
  <w:style w:type="paragraph" w:customStyle="1" w:styleId="Default">
    <w:name w:val="Default"/>
    <w:rsid w:val="002029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hudapps2.hud.gov/ssmaster/mddr/fha/portmain.cfm?CFID=134569&amp;CFTOKEN=9dlbdb05141c568c-9DAD46A8-CDA3-1F1D-77C3190D135C4BC2"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HUDOGC-1479810509-14723</_dlc_DocId>
    <_dlc_DocIdUrl xmlns="d4a638c4-874f-49c0-bb2b-5cb8563c2b18">
      <Url>https://hudgov.sharepoint.com/sites/OGC/OLR/_layouts/15/DocIdRedir.aspx?ID=HUDOGC-1479810509-14723</Url>
      <Description>HUDOGC-1479810509-14723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2" ma:contentTypeDescription="Create a new document." ma:contentTypeScope="" ma:versionID="1f89d76129f1133155b3dbb9e577cde5">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399a419bed92804ebc88194347a6277"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63510-E66B-40CE-9988-F94F9F8F5C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a71733-1480-480c-8178-737b92910626"/>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82AAC745-58B5-4516-B4D1-79AD55ABFB8D}">
  <ds:schemaRefs>
    <ds:schemaRef ds:uri="http://schemas.microsoft.com/sharepoint/v3/contenttype/forms"/>
  </ds:schemaRefs>
</ds:datastoreItem>
</file>

<file path=customXml/itemProps3.xml><?xml version="1.0" encoding="utf-8"?>
<ds:datastoreItem xmlns:ds="http://schemas.openxmlformats.org/officeDocument/2006/customXml" ds:itemID="{D8F6C6EC-5BB5-4238-801B-43C78BD0B8AC}">
  <ds:schemaRefs>
    <ds:schemaRef ds:uri="http://schemas.microsoft.com/sharepoint/events"/>
  </ds:schemaRefs>
</ds:datastoreItem>
</file>

<file path=customXml/itemProps4.xml><?xml version="1.0" encoding="utf-8"?>
<ds:datastoreItem xmlns:ds="http://schemas.openxmlformats.org/officeDocument/2006/customXml" ds:itemID="{8BA4F539-4088-47E2-969D-A13BF2857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Herring, Vivian M</dc:creator>
  <cp:lastModifiedBy>Herring, Vivian M</cp:lastModifiedBy>
  <cp:revision>3</cp:revision>
  <dcterms:created xsi:type="dcterms:W3CDTF">2023-04-05T16:53:00Z</dcterms:created>
  <dcterms:modified xsi:type="dcterms:W3CDTF">2023-04-05T17:07:00Z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lcf76f155ced4ddcb4097134ff3c332f">
    <vt:lpwstr/>
  </property>
  <property fmtid="{D5CDD505-2E9C-101B-9397-08002B2CF9AE}" pid="4" name="MediaServiceImageTags">
    <vt:lpwstr/>
  </property>
  <property fmtid="{D5CDD505-2E9C-101B-9397-08002B2CF9AE}" pid="5" name="POC">
    <vt:lpwstr/>
  </property>
  <property fmtid="{D5CDD505-2E9C-101B-9397-08002B2CF9AE}" pid="6" name="TaxCatchAll">
    <vt:lpwstr/>
  </property>
  <property fmtid="{D5CDD505-2E9C-101B-9397-08002B2CF9AE}" pid="7" name="_dlc_DocIdItemGuid">
    <vt:lpwstr>df2a3594-bc0e-47c5-918a-5fbdc03a0a8f</vt:lpwstr>
  </property>
</Properties>
</file>