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P="00FE2197" w14:paraId="6D9D6DC0"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0" b="0"/>
                    <wp:wrapThrough wrapText="bothSides">
                      <wp:wrapPolygon>
                        <wp:start x="0" y="0"/>
                        <wp:lineTo x="0" y="9000"/>
                        <wp:lineTo x="21540" y="9000"/>
                        <wp:lineTo x="21540" y="0"/>
                        <wp:lineTo x="0" y="0"/>
                      </wp:wrapPolygon>
                    </wp:wrapThrough>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w10:wrap type="through"/>
                  </v:rect>
                </w:pict>
              </mc:Fallback>
            </mc:AlternateContent>
          </w:r>
          <w:r w:rsidR="001F3A8F">
            <w:rPr>
              <w:noProof/>
            </w:rPr>
            <w:softHyphen/>
          </w:r>
          <w:r w:rsidR="001F3A8F">
            <w:rPr>
              <w:noProof/>
            </w:rPr>
            <w:softHyphen/>
          </w:r>
        </w:p>
      </w:sdtContent>
    </w:sdt>
    <w:p w:rsidR="00D928FD" w:rsidP="00D928FD" w14:paraId="4B88609A"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49EEC58B"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Environment, Safety and Health</w:t>
          </w:r>
        </w:p>
      </w:sdtContent>
    </w:sdt>
    <w:p w:rsidR="0059212D" w:rsidRPr="00EE2CAF" w:rsidP="00EE2CAF" w14:paraId="681D37EA" w14:textId="77777777">
      <w:pPr>
        <w:pStyle w:val="Heading1"/>
      </w:pPr>
      <w:bookmarkStart w:id="0" w:name="_Toc108505081"/>
      <w:r w:rsidRPr="00EE2CAF">
        <w:t>Part A: Justification</w:t>
      </w:r>
      <w:bookmarkEnd w:id="0"/>
    </w:p>
    <w:p w:rsidR="00711414" w:rsidRPr="00711414" w:rsidP="00D928FD" w14:paraId="43F704B8" w14:textId="77777777">
      <w:pPr>
        <w:rPr>
          <w:b/>
          <w:sz w:val="36"/>
          <w:szCs w:val="36"/>
        </w:rPr>
      </w:pPr>
      <w:r>
        <w:rPr>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wps:spPr>
                      <wps:txbx>
                        <w:txbxContent>
                          <w:p w:rsidR="005A3ED4" w:rsidRPr="005A3ED4" w:rsidP="005A3ED4" w14:textId="77777777">
                            <w:pPr>
                              <w:rPr>
                                <w:b/>
                                <w:i/>
                                <w:sz w:val="28"/>
                                <w:szCs w:val="28"/>
                              </w:rPr>
                            </w:pPr>
                            <w:r w:rsidRPr="005A3ED4">
                              <w:rPr>
                                <w:b/>
                                <w:i/>
                                <w:sz w:val="28"/>
                                <w:szCs w:val="28"/>
                              </w:rPr>
                              <w:t>Collection Instruments</w:t>
                            </w:r>
                          </w:p>
                          <w:p w:rsidR="005A3ED4" w:rsidRPr="005A3ED4" w:rsidP="005A3ED4" w14:textId="77777777">
                            <w:pPr>
                              <w:rPr>
                                <w:i/>
                                <w:sz w:val="28"/>
                                <w:szCs w:val="28"/>
                              </w:rPr>
                            </w:pPr>
                            <w:r w:rsidRPr="005A3ED4">
                              <w:rPr>
                                <w:i/>
                                <w:sz w:val="28"/>
                                <w:szCs w:val="28"/>
                              </w:rPr>
                              <w:t>Annual Fire Protection Program Database</w:t>
                            </w:r>
                          </w:p>
                          <w:p w:rsidR="005A3ED4" w:rsidRPr="005A3ED4" w:rsidP="005A3ED4" w14:textId="77777777">
                            <w:pPr>
                              <w:rPr>
                                <w:i/>
                                <w:sz w:val="28"/>
                                <w:szCs w:val="28"/>
                              </w:rPr>
                            </w:pPr>
                            <w:r w:rsidRPr="005A3ED4">
                              <w:rPr>
                                <w:i/>
                                <w:sz w:val="28"/>
                                <w:szCs w:val="28"/>
                              </w:rPr>
                              <w:t>Computerized Accident Incident Reporting System (CAIRS)</w:t>
                            </w:r>
                          </w:p>
                          <w:p w:rsidR="005A3ED4" w:rsidRPr="005A3ED4" w:rsidP="005A3ED4" w14:textId="77777777">
                            <w:pPr>
                              <w:rPr>
                                <w:i/>
                                <w:sz w:val="28"/>
                                <w:szCs w:val="28"/>
                              </w:rPr>
                            </w:pPr>
                            <w:r w:rsidRPr="005A3ED4">
                              <w:rPr>
                                <w:i/>
                                <w:sz w:val="28"/>
                                <w:szCs w:val="28"/>
                              </w:rPr>
                              <w:t>DOE OPEXShare Lessons Learned System</w:t>
                            </w:r>
                          </w:p>
                          <w:p w:rsidR="005A3ED4" w:rsidRPr="005A3ED4" w:rsidP="005A3ED4" w14:textId="77777777">
                            <w:pPr>
                              <w:rPr>
                                <w:i/>
                                <w:sz w:val="28"/>
                                <w:szCs w:val="28"/>
                              </w:rPr>
                            </w:pPr>
                            <w:r w:rsidRPr="005A3ED4">
                              <w:rPr>
                                <w:i/>
                                <w:sz w:val="28"/>
                                <w:szCs w:val="28"/>
                              </w:rPr>
                              <w:t>Occurrence Reporting and Processing System (ORPS)</w:t>
                            </w:r>
                          </w:p>
                          <w:p w:rsidR="005A3ED4" w:rsidRPr="005A3ED4" w:rsidP="005A3ED4" w14:textId="77777777">
                            <w:pPr>
                              <w:rPr>
                                <w:i/>
                                <w:sz w:val="28"/>
                                <w:szCs w:val="28"/>
                              </w:rPr>
                            </w:pPr>
                            <w:r w:rsidRPr="005A3ED4">
                              <w:rPr>
                                <w:i/>
                                <w:sz w:val="28"/>
                                <w:szCs w:val="28"/>
                              </w:rPr>
                              <w:t>Radiation Exposure Monitoring System (REMS)</w:t>
                            </w:r>
                          </w:p>
                          <w:p w:rsidR="005A3ED4" w:rsidRPr="005A3ED4" w:rsidP="005A3ED4" w14:textId="77777777">
                            <w:pPr>
                              <w:rPr>
                                <w:i/>
                                <w:sz w:val="28"/>
                                <w:szCs w:val="28"/>
                              </w:rPr>
                            </w:pPr>
                            <w:r w:rsidRPr="005A3ED4">
                              <w:rPr>
                                <w:i/>
                                <w:sz w:val="28"/>
                                <w:szCs w:val="28"/>
                              </w:rPr>
                              <w:t>Safety Basis Information System (SBIS)</w:t>
                            </w:r>
                          </w:p>
                          <w:p w:rsidR="008F16EC" w:rsidRPr="0059212D" w:rsidP="00FB6BF3"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5A3ED4" w:rsidRPr="005A3ED4" w:rsidP="005A3ED4" w14:paraId="451B3168" w14:textId="77777777">
                      <w:pPr>
                        <w:rPr>
                          <w:b/>
                          <w:i/>
                          <w:sz w:val="28"/>
                          <w:szCs w:val="28"/>
                        </w:rPr>
                      </w:pPr>
                      <w:r w:rsidRPr="005A3ED4">
                        <w:rPr>
                          <w:b/>
                          <w:i/>
                          <w:sz w:val="28"/>
                          <w:szCs w:val="28"/>
                        </w:rPr>
                        <w:t>Collection Instruments</w:t>
                      </w:r>
                    </w:p>
                    <w:p w:rsidR="005A3ED4" w:rsidRPr="005A3ED4" w:rsidP="005A3ED4" w14:paraId="3F433A26" w14:textId="77777777">
                      <w:pPr>
                        <w:rPr>
                          <w:i/>
                          <w:sz w:val="28"/>
                          <w:szCs w:val="28"/>
                        </w:rPr>
                      </w:pPr>
                      <w:r w:rsidRPr="005A3ED4">
                        <w:rPr>
                          <w:i/>
                          <w:sz w:val="28"/>
                          <w:szCs w:val="28"/>
                        </w:rPr>
                        <w:t>Annual Fire Protection Program Database</w:t>
                      </w:r>
                    </w:p>
                    <w:p w:rsidR="005A3ED4" w:rsidRPr="005A3ED4" w:rsidP="005A3ED4" w14:paraId="111A95B4" w14:textId="77777777">
                      <w:pPr>
                        <w:rPr>
                          <w:i/>
                          <w:sz w:val="28"/>
                          <w:szCs w:val="28"/>
                        </w:rPr>
                      </w:pPr>
                      <w:r w:rsidRPr="005A3ED4">
                        <w:rPr>
                          <w:i/>
                          <w:sz w:val="28"/>
                          <w:szCs w:val="28"/>
                        </w:rPr>
                        <w:t>Computerized Accident Incident Reporting System (CAIRS)</w:t>
                      </w:r>
                    </w:p>
                    <w:p w:rsidR="005A3ED4" w:rsidRPr="005A3ED4" w:rsidP="005A3ED4" w14:paraId="43EDE252" w14:textId="77777777">
                      <w:pPr>
                        <w:rPr>
                          <w:i/>
                          <w:sz w:val="28"/>
                          <w:szCs w:val="28"/>
                        </w:rPr>
                      </w:pPr>
                      <w:r w:rsidRPr="005A3ED4">
                        <w:rPr>
                          <w:i/>
                          <w:sz w:val="28"/>
                          <w:szCs w:val="28"/>
                        </w:rPr>
                        <w:t>DOE OPEXShare Lessons Learned System</w:t>
                      </w:r>
                    </w:p>
                    <w:p w:rsidR="005A3ED4" w:rsidRPr="005A3ED4" w:rsidP="005A3ED4" w14:paraId="18104C04" w14:textId="77777777">
                      <w:pPr>
                        <w:rPr>
                          <w:i/>
                          <w:sz w:val="28"/>
                          <w:szCs w:val="28"/>
                        </w:rPr>
                      </w:pPr>
                      <w:r w:rsidRPr="005A3ED4">
                        <w:rPr>
                          <w:i/>
                          <w:sz w:val="28"/>
                          <w:szCs w:val="28"/>
                        </w:rPr>
                        <w:t>Occurrence Reporting and Processing System (ORPS)</w:t>
                      </w:r>
                    </w:p>
                    <w:p w:rsidR="005A3ED4" w:rsidRPr="005A3ED4" w:rsidP="005A3ED4" w14:paraId="44410254" w14:textId="77777777">
                      <w:pPr>
                        <w:rPr>
                          <w:i/>
                          <w:sz w:val="28"/>
                          <w:szCs w:val="28"/>
                        </w:rPr>
                      </w:pPr>
                      <w:r w:rsidRPr="005A3ED4">
                        <w:rPr>
                          <w:i/>
                          <w:sz w:val="28"/>
                          <w:szCs w:val="28"/>
                        </w:rPr>
                        <w:t>Radiation Exposure Monitoring System (REMS)</w:t>
                      </w:r>
                    </w:p>
                    <w:p w:rsidR="005A3ED4" w:rsidRPr="005A3ED4" w:rsidP="005A3ED4" w14:paraId="0D03384B" w14:textId="77777777">
                      <w:pPr>
                        <w:rPr>
                          <w:i/>
                          <w:sz w:val="28"/>
                          <w:szCs w:val="28"/>
                        </w:rPr>
                      </w:pPr>
                      <w:r w:rsidRPr="005A3ED4">
                        <w:rPr>
                          <w:i/>
                          <w:sz w:val="28"/>
                          <w:szCs w:val="28"/>
                        </w:rPr>
                        <w:t>Safety Basis Information System (SBIS)</w:t>
                      </w:r>
                    </w:p>
                    <w:p w:rsidR="008F16EC" w:rsidRPr="0059212D" w:rsidP="00FB6BF3" w14:paraId="4F935EAD" w14:textId="77777777">
                      <w:pPr>
                        <w:rPr>
                          <w:i/>
                          <w:sz w:val="28"/>
                          <w:szCs w:val="28"/>
                        </w:rPr>
                      </w:pPr>
                    </w:p>
                  </w:txbxContent>
                </v:textbox>
                <w10:wrap type="square"/>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5A3ED4">
        <w:rPr>
          <w:rFonts w:ascii="Times New Roman" w:hAnsi="Times New Roman" w:cs="Times New Roman"/>
          <w:b/>
          <w:sz w:val="36"/>
          <w:szCs w:val="36"/>
        </w:rPr>
        <w:t>0300</w:t>
      </w:r>
    </w:p>
    <w:p w:rsidR="001F3A8F" w:rsidRPr="00711414" w:rsidP="00711414" w14:paraId="767CD238" w14:textId="77777777">
      <w:pPr>
        <w:rPr>
          <w:i/>
          <w:sz w:val="28"/>
          <w:szCs w:val="28"/>
        </w:rPr>
      </w:pPr>
      <w:r>
        <w:rPr>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wps:spPr>
                      <wps:txbx>
                        <w:txbxContent>
                          <w:p w:rsidR="008F16EC" w:rsidRPr="009818F9" w14:textId="4BBEBD2B">
                            <w:pPr>
                              <w:rPr>
                                <w:color w:val="A6A6A6" w:themeColor="background1" w:themeShade="A6"/>
                                <w:sz w:val="36"/>
                              </w:rPr>
                            </w:pPr>
                            <w:r>
                              <w:rPr>
                                <w:color w:val="A6A6A6" w:themeColor="background1" w:themeShade="A6"/>
                                <w:sz w:val="36"/>
                              </w:rPr>
                              <w:t>March 2023</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22C76D18" w14:textId="4BBEBD2B">
                      <w:pPr>
                        <w:rPr>
                          <w:color w:val="A6A6A6" w:themeColor="background1" w:themeShade="A6"/>
                          <w:sz w:val="36"/>
                        </w:rPr>
                      </w:pPr>
                      <w:r>
                        <w:rPr>
                          <w:color w:val="A6A6A6" w:themeColor="background1" w:themeShade="A6"/>
                          <w:sz w:val="36"/>
                        </w:rPr>
                        <w:t>March 2023</w:t>
                      </w:r>
                    </w:p>
                  </w:txbxContent>
                </v:textbox>
                <w10:wrap type="square"/>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0" b="0"/>
                <wp:wrapThrough wrapText="bothSides">
                  <wp:wrapPolygon>
                    <wp:start x="0" y="0"/>
                    <wp:lineTo x="0" y="13091"/>
                    <wp:lineTo x="21540" y="13091"/>
                    <wp:lineTo x="21540" y="0"/>
                    <wp:lineTo x="0" y="0"/>
                  </wp:wrapPolygon>
                </wp:wrapThrough>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w10:wrap type="through"/>
              </v:rect>
            </w:pict>
          </mc:Fallback>
        </mc:AlternateContent>
      </w:r>
      <w:r w:rsidR="00FB6BF3">
        <w:rPr>
          <w:noProof/>
        </w:rPr>
        <w:t xml:space="preserve"> </w:t>
      </w:r>
      <w:r>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3"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3B8B9BD9" w14:textId="77777777">
                      <w:pPr>
                        <w:spacing w:line="240" w:lineRule="auto"/>
                        <w:ind w:left="90"/>
                        <w:rPr>
                          <w:sz w:val="52"/>
                          <w:szCs w:val="52"/>
                        </w:rPr>
                      </w:pP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0"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2"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2F285F92" w14:textId="77777777">
                      <w:pPr>
                        <w:spacing w:before="40" w:after="0"/>
                      </w:pP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50B15B47"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3F078A16"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2D99A435" w14:textId="77777777">
      <w:pPr>
        <w:sectPr w:rsidSect="001F3A8F">
          <w:headerReference w:type="default" r:id="rId6"/>
          <w:footerReference w:type="default" r:id="rId7"/>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CA63E3" w14:paraId="7A3D5473" w14:textId="77777777">
          <w:pPr>
            <w:pStyle w:val="TOCHeading"/>
          </w:pPr>
          <w:r>
            <w:t>Table of Contents</w:t>
          </w:r>
        </w:p>
        <w:p w:rsidR="00E47D76" w14:paraId="1DDDBFC2" w14:textId="79A87B31">
          <w:pPr>
            <w:pStyle w:val="TOC1"/>
            <w:rPr>
              <w:rFonts w:eastAsiaTheme="minorEastAsia"/>
              <w:noProof/>
              <w:color w:val="auto"/>
            </w:rPr>
          </w:pPr>
          <w:r>
            <w:fldChar w:fldCharType="begin"/>
          </w:r>
          <w:r>
            <w:instrText xml:space="preserve"> TOC \o "1-3" \h \z \u </w:instrText>
          </w:r>
          <w:r>
            <w:fldChar w:fldCharType="separate"/>
          </w:r>
          <w:hyperlink w:anchor="_Toc108505081" w:history="1">
            <w:r w:rsidRPr="00C13580">
              <w:rPr>
                <w:rStyle w:val="Hyperlink"/>
                <w:noProof/>
              </w:rPr>
              <w:t>Part A: Justification</w:t>
            </w:r>
            <w:r>
              <w:rPr>
                <w:noProof/>
                <w:webHidden/>
              </w:rPr>
              <w:tab/>
            </w:r>
            <w:r>
              <w:rPr>
                <w:noProof/>
                <w:webHidden/>
              </w:rPr>
              <w:fldChar w:fldCharType="begin"/>
            </w:r>
            <w:r>
              <w:rPr>
                <w:noProof/>
                <w:webHidden/>
              </w:rPr>
              <w:instrText xml:space="preserve"> PAGEREF _Toc108505081 \h </w:instrText>
            </w:r>
            <w:r>
              <w:rPr>
                <w:noProof/>
                <w:webHidden/>
              </w:rPr>
              <w:fldChar w:fldCharType="separate"/>
            </w:r>
            <w:r>
              <w:rPr>
                <w:noProof/>
                <w:webHidden/>
              </w:rPr>
              <w:t>i</w:t>
            </w:r>
            <w:r>
              <w:rPr>
                <w:noProof/>
                <w:webHidden/>
              </w:rPr>
              <w:fldChar w:fldCharType="end"/>
            </w:r>
          </w:hyperlink>
        </w:p>
        <w:p w:rsidR="00E47D76" w14:paraId="5F12323E" w14:textId="615C7B62">
          <w:pPr>
            <w:pStyle w:val="TOC2"/>
            <w:rPr>
              <w:rFonts w:eastAsiaTheme="minorEastAsia"/>
              <w:noProof/>
              <w:color w:val="auto"/>
            </w:rPr>
          </w:pPr>
          <w:hyperlink w:anchor="_Toc108505082" w:history="1">
            <w:r w:rsidRPr="00C13580">
              <w:rPr>
                <w:rStyle w:val="Hyperlink"/>
                <w:noProof/>
              </w:rPr>
              <w:t>Introduction</w:t>
            </w:r>
            <w:r>
              <w:rPr>
                <w:noProof/>
                <w:webHidden/>
              </w:rPr>
              <w:tab/>
            </w:r>
            <w:r>
              <w:rPr>
                <w:noProof/>
                <w:webHidden/>
              </w:rPr>
              <w:fldChar w:fldCharType="begin"/>
            </w:r>
            <w:r>
              <w:rPr>
                <w:noProof/>
                <w:webHidden/>
              </w:rPr>
              <w:instrText xml:space="preserve"> PAGEREF _Toc108505082 \h </w:instrText>
            </w:r>
            <w:r>
              <w:rPr>
                <w:noProof/>
                <w:webHidden/>
              </w:rPr>
              <w:fldChar w:fldCharType="separate"/>
            </w:r>
            <w:r>
              <w:rPr>
                <w:noProof/>
                <w:webHidden/>
              </w:rPr>
              <w:t>2</w:t>
            </w:r>
            <w:r>
              <w:rPr>
                <w:noProof/>
                <w:webHidden/>
              </w:rPr>
              <w:fldChar w:fldCharType="end"/>
            </w:r>
          </w:hyperlink>
        </w:p>
        <w:p w:rsidR="00E47D76" w14:paraId="581E5A46" w14:textId="1A0AD5CB">
          <w:pPr>
            <w:pStyle w:val="TOC2"/>
            <w:rPr>
              <w:rFonts w:eastAsiaTheme="minorEastAsia"/>
              <w:noProof/>
              <w:color w:val="auto"/>
            </w:rPr>
          </w:pPr>
          <w:hyperlink w:anchor="_Toc108505083" w:history="1">
            <w:r w:rsidRPr="00C13580">
              <w:rPr>
                <w:rStyle w:val="Hyperlink"/>
                <w:noProof/>
              </w:rPr>
              <w:t>A.1. Legal Justification</w:t>
            </w:r>
            <w:r>
              <w:rPr>
                <w:noProof/>
                <w:webHidden/>
              </w:rPr>
              <w:tab/>
            </w:r>
            <w:r>
              <w:rPr>
                <w:noProof/>
                <w:webHidden/>
              </w:rPr>
              <w:fldChar w:fldCharType="begin"/>
            </w:r>
            <w:r>
              <w:rPr>
                <w:noProof/>
                <w:webHidden/>
              </w:rPr>
              <w:instrText xml:space="preserve"> PAGEREF _Toc108505083 \h </w:instrText>
            </w:r>
            <w:r>
              <w:rPr>
                <w:noProof/>
                <w:webHidden/>
              </w:rPr>
              <w:fldChar w:fldCharType="separate"/>
            </w:r>
            <w:r>
              <w:rPr>
                <w:noProof/>
                <w:webHidden/>
              </w:rPr>
              <w:t>2</w:t>
            </w:r>
            <w:r>
              <w:rPr>
                <w:noProof/>
                <w:webHidden/>
              </w:rPr>
              <w:fldChar w:fldCharType="end"/>
            </w:r>
          </w:hyperlink>
        </w:p>
        <w:p w:rsidR="00E47D76" w14:paraId="1F7A22E6" w14:textId="00CA7962">
          <w:pPr>
            <w:pStyle w:val="TOC2"/>
            <w:rPr>
              <w:rFonts w:eastAsiaTheme="minorEastAsia"/>
              <w:noProof/>
              <w:color w:val="auto"/>
            </w:rPr>
          </w:pPr>
          <w:hyperlink w:anchor="_Toc108505084" w:history="1">
            <w:r w:rsidRPr="00C13580">
              <w:rPr>
                <w:rStyle w:val="Hyperlink"/>
                <w:noProof/>
              </w:rPr>
              <w:t>A.2. Needs and Uses of Data</w:t>
            </w:r>
            <w:r>
              <w:rPr>
                <w:noProof/>
                <w:webHidden/>
              </w:rPr>
              <w:tab/>
            </w:r>
            <w:r>
              <w:rPr>
                <w:noProof/>
                <w:webHidden/>
              </w:rPr>
              <w:fldChar w:fldCharType="begin"/>
            </w:r>
            <w:r>
              <w:rPr>
                <w:noProof/>
                <w:webHidden/>
              </w:rPr>
              <w:instrText xml:space="preserve"> PAGEREF _Toc108505084 \h </w:instrText>
            </w:r>
            <w:r>
              <w:rPr>
                <w:noProof/>
                <w:webHidden/>
              </w:rPr>
              <w:fldChar w:fldCharType="separate"/>
            </w:r>
            <w:r>
              <w:rPr>
                <w:noProof/>
                <w:webHidden/>
              </w:rPr>
              <w:t>3</w:t>
            </w:r>
            <w:r>
              <w:rPr>
                <w:noProof/>
                <w:webHidden/>
              </w:rPr>
              <w:fldChar w:fldCharType="end"/>
            </w:r>
          </w:hyperlink>
        </w:p>
        <w:p w:rsidR="00E47D76" w14:paraId="2B998183" w14:textId="724A5E44">
          <w:pPr>
            <w:pStyle w:val="TOC2"/>
            <w:rPr>
              <w:rFonts w:eastAsiaTheme="minorEastAsia"/>
              <w:noProof/>
              <w:color w:val="auto"/>
            </w:rPr>
          </w:pPr>
          <w:hyperlink w:anchor="_Toc108505085" w:history="1">
            <w:r w:rsidRPr="00C13580">
              <w:rPr>
                <w:rStyle w:val="Hyperlink"/>
                <w:noProof/>
              </w:rPr>
              <w:t>A.3. Use of Technology</w:t>
            </w:r>
            <w:r>
              <w:rPr>
                <w:noProof/>
                <w:webHidden/>
              </w:rPr>
              <w:tab/>
            </w:r>
            <w:r>
              <w:rPr>
                <w:noProof/>
                <w:webHidden/>
              </w:rPr>
              <w:fldChar w:fldCharType="begin"/>
            </w:r>
            <w:r>
              <w:rPr>
                <w:noProof/>
                <w:webHidden/>
              </w:rPr>
              <w:instrText xml:space="preserve"> PAGEREF _Toc1</w:instrText>
            </w:r>
            <w:r>
              <w:rPr>
                <w:noProof/>
                <w:webHidden/>
              </w:rPr>
              <w:instrText xml:space="preserve">08505085 \h </w:instrText>
            </w:r>
            <w:r>
              <w:rPr>
                <w:noProof/>
                <w:webHidden/>
              </w:rPr>
              <w:fldChar w:fldCharType="separate"/>
            </w:r>
            <w:r>
              <w:rPr>
                <w:noProof/>
                <w:webHidden/>
              </w:rPr>
              <w:t>4</w:t>
            </w:r>
            <w:r>
              <w:rPr>
                <w:noProof/>
                <w:webHidden/>
              </w:rPr>
              <w:fldChar w:fldCharType="end"/>
            </w:r>
          </w:hyperlink>
        </w:p>
        <w:p w:rsidR="00E47D76" w14:paraId="3B0A3BA8" w14:textId="19610147">
          <w:pPr>
            <w:pStyle w:val="TOC2"/>
            <w:rPr>
              <w:rFonts w:eastAsiaTheme="minorEastAsia"/>
              <w:noProof/>
              <w:color w:val="auto"/>
            </w:rPr>
          </w:pPr>
          <w:hyperlink w:anchor="_Toc108505086" w:history="1">
            <w:r w:rsidRPr="00C13580">
              <w:rPr>
                <w:rStyle w:val="Hyperlink"/>
                <w:noProof/>
              </w:rPr>
              <w:t>A.4. Efforts to Identify Duplication</w:t>
            </w:r>
            <w:r>
              <w:rPr>
                <w:noProof/>
                <w:webHidden/>
              </w:rPr>
              <w:tab/>
            </w:r>
            <w:r>
              <w:rPr>
                <w:noProof/>
                <w:webHidden/>
              </w:rPr>
              <w:fldChar w:fldCharType="begin"/>
            </w:r>
            <w:r>
              <w:rPr>
                <w:noProof/>
                <w:webHidden/>
              </w:rPr>
              <w:instrText xml:space="preserve"> PAGEREF _Toc108505086 \h </w:instrText>
            </w:r>
            <w:r>
              <w:rPr>
                <w:noProof/>
                <w:webHidden/>
              </w:rPr>
              <w:fldChar w:fldCharType="separate"/>
            </w:r>
            <w:r>
              <w:rPr>
                <w:noProof/>
                <w:webHidden/>
              </w:rPr>
              <w:t>4</w:t>
            </w:r>
            <w:r>
              <w:rPr>
                <w:noProof/>
                <w:webHidden/>
              </w:rPr>
              <w:fldChar w:fldCharType="end"/>
            </w:r>
          </w:hyperlink>
        </w:p>
        <w:p w:rsidR="00E47D76" w14:paraId="129F774C" w14:textId="7590455A">
          <w:pPr>
            <w:pStyle w:val="TOC2"/>
            <w:rPr>
              <w:rFonts w:eastAsiaTheme="minorEastAsia"/>
              <w:noProof/>
              <w:color w:val="auto"/>
            </w:rPr>
          </w:pPr>
          <w:hyperlink w:anchor="_Toc108505087" w:history="1">
            <w:r w:rsidRPr="00C13580">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_Toc108505087 \h </w:instrText>
            </w:r>
            <w:r>
              <w:rPr>
                <w:noProof/>
                <w:webHidden/>
              </w:rPr>
              <w:fldChar w:fldCharType="separate"/>
            </w:r>
            <w:r>
              <w:rPr>
                <w:noProof/>
                <w:webHidden/>
              </w:rPr>
              <w:t>4</w:t>
            </w:r>
            <w:r>
              <w:rPr>
                <w:noProof/>
                <w:webHidden/>
              </w:rPr>
              <w:fldChar w:fldCharType="end"/>
            </w:r>
          </w:hyperlink>
        </w:p>
        <w:p w:rsidR="00E47D76" w14:paraId="0AB05B3B" w14:textId="31180402">
          <w:pPr>
            <w:pStyle w:val="TOC2"/>
            <w:rPr>
              <w:rFonts w:eastAsiaTheme="minorEastAsia"/>
              <w:noProof/>
              <w:color w:val="auto"/>
            </w:rPr>
          </w:pPr>
          <w:hyperlink w:anchor="_Toc108505088" w:history="1">
            <w:r w:rsidRPr="00C13580">
              <w:rPr>
                <w:rStyle w:val="Hyperlink"/>
                <w:noProof/>
              </w:rPr>
              <w:t>A.6. Consequences of Less-Frequent Reporting</w:t>
            </w:r>
            <w:r>
              <w:rPr>
                <w:noProof/>
                <w:webHidden/>
              </w:rPr>
              <w:tab/>
            </w:r>
            <w:r>
              <w:rPr>
                <w:noProof/>
                <w:webHidden/>
              </w:rPr>
              <w:fldChar w:fldCharType="begin"/>
            </w:r>
            <w:r>
              <w:rPr>
                <w:noProof/>
                <w:webHidden/>
              </w:rPr>
              <w:instrText xml:space="preserve"> PAGEREF _Toc108505088 \h </w:instrText>
            </w:r>
            <w:r>
              <w:rPr>
                <w:noProof/>
                <w:webHidden/>
              </w:rPr>
              <w:fldChar w:fldCharType="separate"/>
            </w:r>
            <w:r>
              <w:rPr>
                <w:noProof/>
                <w:webHidden/>
              </w:rPr>
              <w:t>5</w:t>
            </w:r>
            <w:r>
              <w:rPr>
                <w:noProof/>
                <w:webHidden/>
              </w:rPr>
              <w:fldChar w:fldCharType="end"/>
            </w:r>
          </w:hyperlink>
        </w:p>
        <w:p w:rsidR="00E47D76" w14:paraId="2AA897E3" w14:textId="7C028C9D">
          <w:pPr>
            <w:pStyle w:val="TOC2"/>
            <w:rPr>
              <w:rFonts w:eastAsiaTheme="minorEastAsia"/>
              <w:noProof/>
              <w:color w:val="auto"/>
            </w:rPr>
          </w:pPr>
          <w:hyperlink w:anchor="_Toc108505089" w:history="1">
            <w:r w:rsidRPr="00C13580">
              <w:rPr>
                <w:rStyle w:val="Hyperlink"/>
                <w:noProof/>
              </w:rPr>
              <w:t>A.7. Compliance with 5 CFR 1320.5</w:t>
            </w:r>
            <w:r>
              <w:rPr>
                <w:noProof/>
                <w:webHidden/>
              </w:rPr>
              <w:tab/>
            </w:r>
            <w:r>
              <w:rPr>
                <w:noProof/>
                <w:webHidden/>
              </w:rPr>
              <w:fldChar w:fldCharType="begin"/>
            </w:r>
            <w:r>
              <w:rPr>
                <w:noProof/>
                <w:webHidden/>
              </w:rPr>
              <w:instrText xml:space="preserve"> PAGEREF _Toc108505089 \h </w:instrText>
            </w:r>
            <w:r>
              <w:rPr>
                <w:noProof/>
                <w:webHidden/>
              </w:rPr>
              <w:fldChar w:fldCharType="separate"/>
            </w:r>
            <w:r>
              <w:rPr>
                <w:noProof/>
                <w:webHidden/>
              </w:rPr>
              <w:t>5</w:t>
            </w:r>
            <w:r>
              <w:rPr>
                <w:noProof/>
                <w:webHidden/>
              </w:rPr>
              <w:fldChar w:fldCharType="end"/>
            </w:r>
          </w:hyperlink>
        </w:p>
        <w:p w:rsidR="00E47D76" w14:paraId="20D7B4CF" w14:textId="2CF23763">
          <w:pPr>
            <w:pStyle w:val="TOC2"/>
            <w:rPr>
              <w:rFonts w:eastAsiaTheme="minorEastAsia"/>
              <w:noProof/>
              <w:color w:val="auto"/>
            </w:rPr>
          </w:pPr>
          <w:hyperlink w:anchor="_Toc108505090" w:history="1">
            <w:r w:rsidRPr="00C13580">
              <w:rPr>
                <w:rStyle w:val="Hyperlink"/>
                <w:noProof/>
              </w:rPr>
              <w:t>A.8. Summary of Consultations Outside of the Agency</w:t>
            </w:r>
            <w:r>
              <w:rPr>
                <w:noProof/>
                <w:webHidden/>
              </w:rPr>
              <w:tab/>
            </w:r>
            <w:r>
              <w:rPr>
                <w:noProof/>
                <w:webHidden/>
              </w:rPr>
              <w:fldChar w:fldCharType="begin"/>
            </w:r>
            <w:r>
              <w:rPr>
                <w:noProof/>
                <w:webHidden/>
              </w:rPr>
              <w:instrText xml:space="preserve"> PAGEREF _Toc108505090 \h </w:instrText>
            </w:r>
            <w:r>
              <w:rPr>
                <w:noProof/>
                <w:webHidden/>
              </w:rPr>
              <w:fldChar w:fldCharType="separate"/>
            </w:r>
            <w:r>
              <w:rPr>
                <w:noProof/>
                <w:webHidden/>
              </w:rPr>
              <w:t>6</w:t>
            </w:r>
            <w:r>
              <w:rPr>
                <w:noProof/>
                <w:webHidden/>
              </w:rPr>
              <w:fldChar w:fldCharType="end"/>
            </w:r>
          </w:hyperlink>
        </w:p>
        <w:p w:rsidR="00E47D76" w14:paraId="0E403EC5" w14:textId="567C3640">
          <w:pPr>
            <w:pStyle w:val="TOC2"/>
            <w:rPr>
              <w:rFonts w:eastAsiaTheme="minorEastAsia"/>
              <w:noProof/>
              <w:color w:val="auto"/>
            </w:rPr>
          </w:pPr>
          <w:hyperlink w:anchor="_Toc108505091" w:history="1">
            <w:r w:rsidRPr="00C13580">
              <w:rPr>
                <w:rStyle w:val="Hyperlink"/>
                <w:noProof/>
              </w:rPr>
              <w:t>A.9. Payments or Gifts to Respondents</w:t>
            </w:r>
            <w:r>
              <w:rPr>
                <w:noProof/>
                <w:webHidden/>
              </w:rPr>
              <w:tab/>
            </w:r>
            <w:r>
              <w:rPr>
                <w:noProof/>
                <w:webHidden/>
              </w:rPr>
              <w:fldChar w:fldCharType="begin"/>
            </w:r>
            <w:r>
              <w:rPr>
                <w:noProof/>
                <w:webHidden/>
              </w:rPr>
              <w:instrText xml:space="preserve"> PAGEREF _Toc108505091 \h </w:instrText>
            </w:r>
            <w:r>
              <w:rPr>
                <w:noProof/>
                <w:webHidden/>
              </w:rPr>
              <w:fldChar w:fldCharType="separate"/>
            </w:r>
            <w:r>
              <w:rPr>
                <w:noProof/>
                <w:webHidden/>
              </w:rPr>
              <w:t>6</w:t>
            </w:r>
            <w:r>
              <w:rPr>
                <w:noProof/>
                <w:webHidden/>
              </w:rPr>
              <w:fldChar w:fldCharType="end"/>
            </w:r>
          </w:hyperlink>
        </w:p>
        <w:p w:rsidR="00E47D76" w14:paraId="51B4CFAD" w14:textId="2FF1718F">
          <w:pPr>
            <w:pStyle w:val="TOC2"/>
            <w:rPr>
              <w:rFonts w:eastAsiaTheme="minorEastAsia"/>
              <w:noProof/>
              <w:color w:val="auto"/>
            </w:rPr>
          </w:pPr>
          <w:hyperlink w:anchor="_Toc108505092" w:history="1">
            <w:r w:rsidRPr="00C13580">
              <w:rPr>
                <w:rStyle w:val="Hyperlink"/>
                <w:noProof/>
              </w:rPr>
              <w:t xml:space="preserve">A.10. Provisions for </w:t>
            </w:r>
            <w:r w:rsidRPr="00C13580">
              <w:rPr>
                <w:rStyle w:val="Hyperlink"/>
                <w:noProof/>
              </w:rPr>
              <w:t>Protection of Information</w:t>
            </w:r>
            <w:r>
              <w:rPr>
                <w:noProof/>
                <w:webHidden/>
              </w:rPr>
              <w:tab/>
            </w:r>
            <w:r>
              <w:rPr>
                <w:noProof/>
                <w:webHidden/>
              </w:rPr>
              <w:fldChar w:fldCharType="begin"/>
            </w:r>
            <w:r>
              <w:rPr>
                <w:noProof/>
                <w:webHidden/>
              </w:rPr>
              <w:instrText xml:space="preserve"> PAGEREF _Toc108505092 \h </w:instrText>
            </w:r>
            <w:r>
              <w:rPr>
                <w:noProof/>
                <w:webHidden/>
              </w:rPr>
              <w:fldChar w:fldCharType="separate"/>
            </w:r>
            <w:r>
              <w:rPr>
                <w:noProof/>
                <w:webHidden/>
              </w:rPr>
              <w:t>6</w:t>
            </w:r>
            <w:r>
              <w:rPr>
                <w:noProof/>
                <w:webHidden/>
              </w:rPr>
              <w:fldChar w:fldCharType="end"/>
            </w:r>
          </w:hyperlink>
        </w:p>
        <w:p w:rsidR="00E47D76" w14:paraId="208FFDF6" w14:textId="4A0D8E33">
          <w:pPr>
            <w:pStyle w:val="TOC2"/>
            <w:rPr>
              <w:rFonts w:eastAsiaTheme="minorEastAsia"/>
              <w:noProof/>
              <w:color w:val="auto"/>
            </w:rPr>
          </w:pPr>
          <w:hyperlink w:anchor="_Toc108505093" w:history="1">
            <w:r w:rsidRPr="00C13580">
              <w:rPr>
                <w:rStyle w:val="Hyperlink"/>
                <w:noProof/>
              </w:rPr>
              <w:t>A.11. Justification for Sensitive Questions</w:t>
            </w:r>
            <w:r>
              <w:rPr>
                <w:noProof/>
                <w:webHidden/>
              </w:rPr>
              <w:tab/>
            </w:r>
            <w:r>
              <w:rPr>
                <w:noProof/>
                <w:webHidden/>
              </w:rPr>
              <w:fldChar w:fldCharType="begin"/>
            </w:r>
            <w:r>
              <w:rPr>
                <w:noProof/>
                <w:webHidden/>
              </w:rPr>
              <w:instrText xml:space="preserve"> PAGEREF _Toc108505093 \h</w:instrText>
            </w:r>
            <w:r>
              <w:rPr>
                <w:noProof/>
                <w:webHidden/>
              </w:rPr>
              <w:instrText xml:space="preserve"> </w:instrText>
            </w:r>
            <w:r>
              <w:rPr>
                <w:noProof/>
                <w:webHidden/>
              </w:rPr>
              <w:fldChar w:fldCharType="separate"/>
            </w:r>
            <w:r>
              <w:rPr>
                <w:noProof/>
                <w:webHidden/>
              </w:rPr>
              <w:t>7</w:t>
            </w:r>
            <w:r>
              <w:rPr>
                <w:noProof/>
                <w:webHidden/>
              </w:rPr>
              <w:fldChar w:fldCharType="end"/>
            </w:r>
          </w:hyperlink>
        </w:p>
        <w:p w:rsidR="00E47D76" w14:paraId="4F0E7F3D" w14:textId="47267446">
          <w:pPr>
            <w:pStyle w:val="TOC2"/>
            <w:rPr>
              <w:rFonts w:eastAsiaTheme="minorEastAsia"/>
              <w:noProof/>
              <w:color w:val="auto"/>
            </w:rPr>
          </w:pPr>
          <w:hyperlink w:anchor="_Toc108505094" w:history="1">
            <w:r w:rsidRPr="00C13580">
              <w:rPr>
                <w:rStyle w:val="Hyperlink"/>
                <w:noProof/>
              </w:rPr>
              <w:t>A.12A. Estimate of Respondent Burden Hours</w:t>
            </w:r>
            <w:r>
              <w:rPr>
                <w:noProof/>
                <w:webHidden/>
              </w:rPr>
              <w:tab/>
            </w:r>
            <w:r>
              <w:rPr>
                <w:noProof/>
                <w:webHidden/>
              </w:rPr>
              <w:fldChar w:fldCharType="begin"/>
            </w:r>
            <w:r>
              <w:rPr>
                <w:noProof/>
                <w:webHidden/>
              </w:rPr>
              <w:instrText xml:space="preserve"> PAGEREF _Toc108505094 \h </w:instrText>
            </w:r>
            <w:r>
              <w:rPr>
                <w:noProof/>
                <w:webHidden/>
              </w:rPr>
              <w:fldChar w:fldCharType="separate"/>
            </w:r>
            <w:r>
              <w:rPr>
                <w:noProof/>
                <w:webHidden/>
              </w:rPr>
              <w:t>8</w:t>
            </w:r>
            <w:r>
              <w:rPr>
                <w:noProof/>
                <w:webHidden/>
              </w:rPr>
              <w:fldChar w:fldCharType="end"/>
            </w:r>
          </w:hyperlink>
        </w:p>
        <w:p w:rsidR="00E47D76" w14:paraId="7A341BD3" w14:textId="2467F073">
          <w:pPr>
            <w:pStyle w:val="TOC2"/>
            <w:rPr>
              <w:rFonts w:eastAsiaTheme="minorEastAsia"/>
              <w:noProof/>
              <w:color w:val="auto"/>
            </w:rPr>
          </w:pPr>
          <w:hyperlink w:anchor="_Toc108505095" w:history="1">
            <w:r w:rsidRPr="00C13580">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_Toc108505095 \h </w:instrText>
            </w:r>
            <w:r>
              <w:rPr>
                <w:noProof/>
                <w:webHidden/>
              </w:rPr>
              <w:fldChar w:fldCharType="separate"/>
            </w:r>
            <w:r>
              <w:rPr>
                <w:noProof/>
                <w:webHidden/>
              </w:rPr>
              <w:t>8</w:t>
            </w:r>
            <w:r>
              <w:rPr>
                <w:noProof/>
                <w:webHidden/>
              </w:rPr>
              <w:fldChar w:fldCharType="end"/>
            </w:r>
          </w:hyperlink>
        </w:p>
        <w:p w:rsidR="00E47D76" w14:paraId="3C1C7799" w14:textId="425D2B3A">
          <w:pPr>
            <w:pStyle w:val="TOC2"/>
            <w:rPr>
              <w:rFonts w:eastAsiaTheme="minorEastAsia"/>
              <w:noProof/>
              <w:color w:val="auto"/>
            </w:rPr>
          </w:pPr>
          <w:hyperlink w:anchor="_Toc108505096" w:history="1">
            <w:r w:rsidRPr="00C13580">
              <w:rPr>
                <w:rStyle w:val="Hyperlink"/>
                <w:noProof/>
              </w:rPr>
              <w:t>A.13. Other Estimated Annual Cost to Respondents</w:t>
            </w:r>
            <w:r>
              <w:rPr>
                <w:noProof/>
                <w:webHidden/>
              </w:rPr>
              <w:tab/>
            </w:r>
            <w:r>
              <w:rPr>
                <w:noProof/>
                <w:webHidden/>
              </w:rPr>
              <w:fldChar w:fldCharType="begin"/>
            </w:r>
            <w:r>
              <w:rPr>
                <w:noProof/>
                <w:webHidden/>
              </w:rPr>
              <w:instrText xml:space="preserve"> PAGEREF _Toc108505096 \h </w:instrText>
            </w:r>
            <w:r>
              <w:rPr>
                <w:noProof/>
                <w:webHidden/>
              </w:rPr>
              <w:fldChar w:fldCharType="separate"/>
            </w:r>
            <w:r>
              <w:rPr>
                <w:noProof/>
                <w:webHidden/>
              </w:rPr>
              <w:t>9</w:t>
            </w:r>
            <w:r>
              <w:rPr>
                <w:noProof/>
                <w:webHidden/>
              </w:rPr>
              <w:fldChar w:fldCharType="end"/>
            </w:r>
          </w:hyperlink>
        </w:p>
        <w:p w:rsidR="00E47D76" w14:paraId="2B24EB7F" w14:textId="4D05A06E">
          <w:pPr>
            <w:pStyle w:val="TOC2"/>
            <w:rPr>
              <w:rFonts w:eastAsiaTheme="minorEastAsia"/>
              <w:noProof/>
              <w:color w:val="auto"/>
            </w:rPr>
          </w:pPr>
          <w:hyperlink w:anchor="_Toc108505097" w:history="1">
            <w:r w:rsidRPr="00C13580">
              <w:rPr>
                <w:rStyle w:val="Hyperlink"/>
                <w:noProof/>
              </w:rPr>
              <w:t>A.14. Annual Cost to the Federal Government</w:t>
            </w:r>
            <w:r>
              <w:rPr>
                <w:noProof/>
                <w:webHidden/>
              </w:rPr>
              <w:tab/>
            </w:r>
            <w:r>
              <w:rPr>
                <w:noProof/>
                <w:webHidden/>
              </w:rPr>
              <w:fldChar w:fldCharType="begin"/>
            </w:r>
            <w:r>
              <w:rPr>
                <w:noProof/>
                <w:webHidden/>
              </w:rPr>
              <w:instrText xml:space="preserve"> PAGEREF _Toc108505097 \h </w:instrText>
            </w:r>
            <w:r>
              <w:rPr>
                <w:noProof/>
                <w:webHidden/>
              </w:rPr>
              <w:fldChar w:fldCharType="separate"/>
            </w:r>
            <w:r>
              <w:rPr>
                <w:noProof/>
                <w:webHidden/>
              </w:rPr>
              <w:t>9</w:t>
            </w:r>
            <w:r>
              <w:rPr>
                <w:noProof/>
                <w:webHidden/>
              </w:rPr>
              <w:fldChar w:fldCharType="end"/>
            </w:r>
          </w:hyperlink>
        </w:p>
        <w:p w:rsidR="00E47D76" w14:paraId="426B227B" w14:textId="0E0CA442">
          <w:pPr>
            <w:pStyle w:val="TOC2"/>
            <w:rPr>
              <w:rFonts w:eastAsiaTheme="minorEastAsia"/>
              <w:noProof/>
              <w:color w:val="auto"/>
            </w:rPr>
          </w:pPr>
          <w:hyperlink w:anchor="_Toc108505098" w:history="1">
            <w:r w:rsidRPr="00C13580">
              <w:rPr>
                <w:rStyle w:val="Hyperlink"/>
                <w:noProof/>
              </w:rPr>
              <w:t>A.15. Reasons for Changes in Burden</w:t>
            </w:r>
            <w:r>
              <w:rPr>
                <w:noProof/>
                <w:webHidden/>
              </w:rPr>
              <w:tab/>
            </w:r>
            <w:r>
              <w:rPr>
                <w:noProof/>
                <w:webHidden/>
              </w:rPr>
              <w:fldChar w:fldCharType="begin"/>
            </w:r>
            <w:r>
              <w:rPr>
                <w:noProof/>
                <w:webHidden/>
              </w:rPr>
              <w:instrText xml:space="preserve"> PAGEREF _Toc108505098 \h </w:instrText>
            </w:r>
            <w:r>
              <w:rPr>
                <w:noProof/>
                <w:webHidden/>
              </w:rPr>
              <w:fldChar w:fldCharType="separate"/>
            </w:r>
            <w:r>
              <w:rPr>
                <w:noProof/>
                <w:webHidden/>
              </w:rPr>
              <w:t>10</w:t>
            </w:r>
            <w:r>
              <w:rPr>
                <w:noProof/>
                <w:webHidden/>
              </w:rPr>
              <w:fldChar w:fldCharType="end"/>
            </w:r>
          </w:hyperlink>
        </w:p>
        <w:p w:rsidR="00E47D76" w14:paraId="23169D21" w14:textId="4C558C59">
          <w:pPr>
            <w:pStyle w:val="TOC2"/>
            <w:rPr>
              <w:rFonts w:eastAsiaTheme="minorEastAsia"/>
              <w:noProof/>
              <w:color w:val="auto"/>
            </w:rPr>
          </w:pPr>
          <w:hyperlink w:anchor="_Toc108505099" w:history="1">
            <w:r w:rsidRPr="00C13580">
              <w:rPr>
                <w:rStyle w:val="Hyperlink"/>
                <w:noProof/>
              </w:rPr>
              <w:t>A.16. Collection, Tabulation, and Publication Plans</w:t>
            </w:r>
            <w:r>
              <w:rPr>
                <w:noProof/>
                <w:webHidden/>
              </w:rPr>
              <w:tab/>
            </w:r>
            <w:r>
              <w:rPr>
                <w:noProof/>
                <w:webHidden/>
              </w:rPr>
              <w:fldChar w:fldCharType="begin"/>
            </w:r>
            <w:r>
              <w:rPr>
                <w:noProof/>
                <w:webHidden/>
              </w:rPr>
              <w:instrText xml:space="preserve"> PAGEREF _Toc108505099 \h </w:instrText>
            </w:r>
            <w:r>
              <w:rPr>
                <w:noProof/>
                <w:webHidden/>
              </w:rPr>
              <w:fldChar w:fldCharType="separate"/>
            </w:r>
            <w:r>
              <w:rPr>
                <w:noProof/>
                <w:webHidden/>
              </w:rPr>
              <w:t>11</w:t>
            </w:r>
            <w:r>
              <w:rPr>
                <w:noProof/>
                <w:webHidden/>
              </w:rPr>
              <w:fldChar w:fldCharType="end"/>
            </w:r>
          </w:hyperlink>
        </w:p>
        <w:p w:rsidR="00E47D76" w14:paraId="3596C9AA" w14:textId="0D482B28">
          <w:pPr>
            <w:pStyle w:val="TOC2"/>
            <w:rPr>
              <w:rFonts w:eastAsiaTheme="minorEastAsia"/>
              <w:noProof/>
              <w:color w:val="auto"/>
            </w:rPr>
          </w:pPr>
          <w:hyperlink w:anchor="_Toc108505100" w:history="1">
            <w:r w:rsidRPr="00C13580">
              <w:rPr>
                <w:rStyle w:val="Hyperlink"/>
                <w:noProof/>
              </w:rPr>
              <w:t>A.17. OMB Number and Expiration Date</w:t>
            </w:r>
            <w:r>
              <w:rPr>
                <w:noProof/>
                <w:webHidden/>
              </w:rPr>
              <w:tab/>
            </w:r>
            <w:r>
              <w:rPr>
                <w:noProof/>
                <w:webHidden/>
              </w:rPr>
              <w:fldChar w:fldCharType="begin"/>
            </w:r>
            <w:r>
              <w:rPr>
                <w:noProof/>
                <w:webHidden/>
              </w:rPr>
              <w:instrText xml:space="preserve"> PAGEREF _Toc108505100 \h </w:instrText>
            </w:r>
            <w:r>
              <w:rPr>
                <w:noProof/>
                <w:webHidden/>
              </w:rPr>
              <w:fldChar w:fldCharType="separate"/>
            </w:r>
            <w:r>
              <w:rPr>
                <w:noProof/>
                <w:webHidden/>
              </w:rPr>
              <w:t>11</w:t>
            </w:r>
            <w:r>
              <w:rPr>
                <w:noProof/>
                <w:webHidden/>
              </w:rPr>
              <w:fldChar w:fldCharType="end"/>
            </w:r>
          </w:hyperlink>
        </w:p>
        <w:p w:rsidR="00E47D76" w14:paraId="74C34DF4" w14:textId="732F9FDD">
          <w:pPr>
            <w:pStyle w:val="TOC2"/>
            <w:rPr>
              <w:rFonts w:eastAsiaTheme="minorEastAsia"/>
              <w:noProof/>
              <w:color w:val="auto"/>
            </w:rPr>
          </w:pPr>
          <w:hyperlink w:anchor="_Toc108505101" w:history="1">
            <w:r w:rsidRPr="00C13580">
              <w:rPr>
                <w:rStyle w:val="Hyperlink"/>
                <w:noProof/>
              </w:rPr>
              <w:t>A.18. Certification Stateme</w:t>
            </w:r>
            <w:r w:rsidRPr="00C13580">
              <w:rPr>
                <w:rStyle w:val="Hyperlink"/>
                <w:noProof/>
              </w:rPr>
              <w:t>nt</w:t>
            </w:r>
            <w:r>
              <w:rPr>
                <w:noProof/>
                <w:webHidden/>
              </w:rPr>
              <w:tab/>
            </w:r>
            <w:r>
              <w:rPr>
                <w:noProof/>
                <w:webHidden/>
              </w:rPr>
              <w:fldChar w:fldCharType="begin"/>
            </w:r>
            <w:r>
              <w:rPr>
                <w:noProof/>
                <w:webHidden/>
              </w:rPr>
              <w:instrText xml:space="preserve"> PAGEREF _Toc108505101 \h </w:instrText>
            </w:r>
            <w:r>
              <w:rPr>
                <w:noProof/>
                <w:webHidden/>
              </w:rPr>
              <w:fldChar w:fldCharType="separate"/>
            </w:r>
            <w:r>
              <w:rPr>
                <w:noProof/>
                <w:webHidden/>
              </w:rPr>
              <w:t>12</w:t>
            </w:r>
            <w:r>
              <w:rPr>
                <w:noProof/>
                <w:webHidden/>
              </w:rPr>
              <w:fldChar w:fldCharType="end"/>
            </w:r>
          </w:hyperlink>
        </w:p>
        <w:p w:rsidR="0059212D" w14:paraId="0392899F" w14:textId="77777777">
          <w:r>
            <w:rPr>
              <w:b/>
              <w:bCs/>
              <w:noProof/>
            </w:rPr>
            <w:fldChar w:fldCharType="end"/>
          </w:r>
        </w:p>
      </w:sdtContent>
    </w:sdt>
    <w:p w:rsidR="001F3A8F" w:rsidP="00D928FD" w14:paraId="27B65588" w14:textId="77777777"/>
    <w:p w:rsidR="00D928FD" w:rsidP="00D928FD" w14:paraId="18FC01CC" w14:textId="77777777">
      <w:pPr>
        <w:sectPr w:rsidSect="00725453">
          <w:footerReference w:type="first" r:id="rId8"/>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16DDBC37" w14:textId="77777777">
      <w:pPr>
        <w:spacing w:line="240" w:lineRule="auto"/>
      </w:pPr>
    </w:p>
    <w:p w:rsidR="00933D5D" w:rsidP="00933D5D" w14:paraId="538A39EF" w14:textId="77777777">
      <w:pPr>
        <w:tabs>
          <w:tab w:val="left" w:pos="7365"/>
        </w:tabs>
      </w:pPr>
      <w:r>
        <w:tab/>
      </w:r>
    </w:p>
    <w:p w:rsidR="00041909" w:rsidRPr="00933D5D" w:rsidP="00933D5D" w14:paraId="78DD6940" w14:textId="77777777">
      <w:pPr>
        <w:tabs>
          <w:tab w:val="left" w:pos="7365"/>
        </w:tabs>
        <w:sectPr w:rsidSect="00725453">
          <w:footerReference w:type="first" r:id="rId9"/>
          <w:footnotePr>
            <w:pos w:val="beneathText"/>
          </w:footnotePr>
          <w:type w:val="continuous"/>
          <w:pgSz w:w="12240" w:h="15840"/>
          <w:pgMar w:top="1440" w:right="1440" w:bottom="1440" w:left="1440" w:header="720" w:footer="720" w:gutter="0"/>
          <w:pgNumType w:fmt="lowerRoman"/>
          <w:cols w:space="720"/>
          <w:docGrid w:linePitch="360"/>
        </w:sectPr>
      </w:pPr>
    </w:p>
    <w:p w:rsidR="008C734C" w:rsidP="00CA63E3" w14:paraId="611BBDE0" w14:textId="77777777">
      <w:pPr>
        <w:pStyle w:val="Heading2"/>
      </w:pPr>
      <w:bookmarkStart w:id="1" w:name="_Toc108505082"/>
      <w:r>
        <w:t>Introdu</w:t>
      </w:r>
      <w:r w:rsidR="00844524">
        <w:t>ction</w:t>
      </w:r>
      <w:bookmarkEnd w:id="1"/>
    </w:p>
    <w:p w:rsidR="006D42EC" w:rsidP="00844524" w14:paraId="00501D82" w14:textId="77777777">
      <w:pPr>
        <w:rPr>
          <w:b/>
        </w:rPr>
      </w:pPr>
      <w:r w:rsidRPr="006D42EC">
        <w:rPr>
          <w:b/>
        </w:rPr>
        <w:t xml:space="preserve">Provide a brief introduction of the </w:t>
      </w:r>
      <w:r w:rsidRPr="006D42EC">
        <w:rPr>
          <w:b/>
        </w:rPr>
        <w:t>Information Collection Request.  Include the purpose of this collection, note the publication of the 60-Day Federal Register Notice, and provide the list of forms within this collection.</w:t>
      </w:r>
    </w:p>
    <w:p w:rsidR="005A3ED4" w:rsidP="005A3ED4" w14:paraId="1C88C39E" w14:textId="77777777">
      <w:pPr>
        <w:ind w:left="360"/>
      </w:pPr>
      <w:r w:rsidRPr="00CE5178">
        <w:t xml:space="preserve">The purpose of the Information Collection Request is to </w:t>
      </w:r>
      <w:r>
        <w:t>gather</w:t>
      </w:r>
      <w:r w:rsidRPr="00CE5178">
        <w:t xml:space="preserve"> inform</w:t>
      </w:r>
      <w:r w:rsidRPr="00CE5178">
        <w:t xml:space="preserve">ation from </w:t>
      </w:r>
      <w:r w:rsidR="00E61892">
        <w:t>Department of Energy (</w:t>
      </w:r>
      <w:r w:rsidRPr="004D7524">
        <w:t>DOE</w:t>
      </w:r>
      <w:r w:rsidR="00E61892">
        <w:t>)</w:t>
      </w:r>
      <w:r w:rsidRPr="004D7524">
        <w:t xml:space="preserve"> contractors </w:t>
      </w:r>
      <w:r>
        <w:t xml:space="preserve">at DOE sites </w:t>
      </w:r>
      <w:r w:rsidRPr="004D7524">
        <w:t xml:space="preserve">pertaining to environment, </w:t>
      </w:r>
      <w:r>
        <w:t xml:space="preserve">health, and </w:t>
      </w:r>
      <w:r w:rsidRPr="004D7524">
        <w:t xml:space="preserve">safety </w:t>
      </w:r>
      <w:r>
        <w:t xml:space="preserve">to include information on injuries, illnesses, accidents, radiation exposure, and </w:t>
      </w:r>
      <w:r w:rsidRPr="007953B2">
        <w:t>events that could adversely affect the health and safety of the p</w:t>
      </w:r>
      <w:r w:rsidRPr="007953B2">
        <w:t xml:space="preserve">ublic </w:t>
      </w:r>
      <w:r>
        <w:t>and/o</w:t>
      </w:r>
      <w:r w:rsidRPr="007953B2">
        <w:t>r workers, the environment, DOE missions, or the credibility of the Department.</w:t>
      </w:r>
    </w:p>
    <w:p w:rsidR="005A3ED4" w:rsidRPr="00F54459" w:rsidP="005A3ED4" w14:paraId="45C55180" w14:textId="77777777">
      <w:pPr>
        <w:ind w:left="360"/>
        <w:rPr>
          <w:color w:val="000000"/>
        </w:rPr>
      </w:pPr>
      <w:r w:rsidRPr="00F54459">
        <w:rPr>
          <w:color w:val="000000"/>
        </w:rPr>
        <w:t xml:space="preserve">The Department published a 60-day Federal Register Notice and Request for Comments concerning this collection in the Federal Register on </w:t>
      </w:r>
      <w:r w:rsidR="00B94A61">
        <w:rPr>
          <w:color w:val="000000"/>
        </w:rPr>
        <w:t>October 2, 2022</w:t>
      </w:r>
      <w:r w:rsidRPr="004D7524" w:rsidR="00B94A61">
        <w:rPr>
          <w:color w:val="000000"/>
        </w:rPr>
        <w:t>, volume 8</w:t>
      </w:r>
      <w:r w:rsidR="00B94A61">
        <w:rPr>
          <w:color w:val="000000"/>
        </w:rPr>
        <w:t>7</w:t>
      </w:r>
      <w:r w:rsidRPr="004D7524" w:rsidR="00B94A61">
        <w:rPr>
          <w:color w:val="000000"/>
        </w:rPr>
        <w:t>, number 1</w:t>
      </w:r>
      <w:r w:rsidR="00B94A61">
        <w:rPr>
          <w:color w:val="000000"/>
        </w:rPr>
        <w:t>94</w:t>
      </w:r>
      <w:r w:rsidRPr="004D7524" w:rsidR="00B94A61">
        <w:rPr>
          <w:color w:val="000000"/>
        </w:rPr>
        <w:t xml:space="preserve">, page </w:t>
      </w:r>
      <w:r w:rsidR="00B94A61">
        <w:rPr>
          <w:color w:val="000000"/>
        </w:rPr>
        <w:t xml:space="preserve">61007. </w:t>
      </w:r>
      <w:r w:rsidRPr="00F54459">
        <w:rPr>
          <w:color w:val="000000"/>
        </w:rPr>
        <w:t>The notice described the collection and invited interested parties to submit comments or recommendations regarding the collection.  No comments were received.</w:t>
      </w:r>
    </w:p>
    <w:p w:rsidR="005A3ED4" w:rsidP="005A3ED4" w14:paraId="3DD48034" w14:textId="77777777">
      <w:pPr>
        <w:ind w:left="360"/>
      </w:pPr>
      <w:r>
        <w:t xml:space="preserve">Information in the collection is gathered through a series of </w:t>
      </w:r>
      <w:r>
        <w:t xml:space="preserve">systems and databases (listed below): </w:t>
      </w:r>
    </w:p>
    <w:p w:rsidR="005A3ED4" w:rsidP="005A3ED4" w14:paraId="1C472987" w14:textId="77777777">
      <w:pPr>
        <w:spacing w:after="0"/>
        <w:ind w:left="360"/>
      </w:pPr>
      <w:r w:rsidRPr="004D7524">
        <w:rPr>
          <w:b/>
        </w:rPr>
        <w:t>Computerized Accident/Incident Reporting System (CAIRS)</w:t>
      </w:r>
      <w:r w:rsidRPr="004D7524">
        <w:t xml:space="preserve"> </w:t>
      </w:r>
    </w:p>
    <w:p w:rsidR="005A3ED4" w:rsidRPr="004D7524" w:rsidP="005A3ED4" w14:paraId="7110E353" w14:textId="77777777">
      <w:pPr>
        <w:spacing w:after="0"/>
        <w:ind w:left="360"/>
        <w:rPr>
          <w:i/>
        </w:rPr>
      </w:pPr>
      <w:r w:rsidRPr="004D7524">
        <w:rPr>
          <w:b/>
        </w:rPr>
        <w:t>Occurrence Reporting and Processing System (ORPS)</w:t>
      </w:r>
      <w:r w:rsidRPr="004D7524">
        <w:t xml:space="preserve"> </w:t>
      </w:r>
    </w:p>
    <w:p w:rsidR="005A3ED4" w:rsidRPr="004D7524" w:rsidP="005A3ED4" w14:paraId="2FEDEBB4" w14:textId="77777777">
      <w:pPr>
        <w:spacing w:after="0"/>
        <w:ind w:left="360"/>
      </w:pPr>
      <w:r w:rsidRPr="004D7524">
        <w:rPr>
          <w:b/>
        </w:rPr>
        <w:t>Radiation Exposure Monitoring System (REMS)</w:t>
      </w:r>
      <w:r w:rsidRPr="004D7524">
        <w:t xml:space="preserve"> </w:t>
      </w:r>
    </w:p>
    <w:p w:rsidR="005A3ED4" w:rsidRPr="004D7524" w:rsidP="005A3ED4" w14:paraId="5578184E" w14:textId="77777777">
      <w:pPr>
        <w:spacing w:after="0"/>
        <w:ind w:left="360"/>
      </w:pPr>
      <w:r w:rsidRPr="004D7524">
        <w:rPr>
          <w:b/>
        </w:rPr>
        <w:t xml:space="preserve">Annual Fire Protection </w:t>
      </w:r>
      <w:r>
        <w:rPr>
          <w:b/>
        </w:rPr>
        <w:t>Program Database</w:t>
      </w:r>
      <w:r w:rsidRPr="004D7524">
        <w:rPr>
          <w:b/>
        </w:rPr>
        <w:t xml:space="preserve"> </w:t>
      </w:r>
    </w:p>
    <w:p w:rsidR="005A3ED4" w:rsidRPr="004D7524" w:rsidP="005A3ED4" w14:paraId="7B493FD9" w14:textId="77777777">
      <w:pPr>
        <w:spacing w:after="0"/>
        <w:ind w:left="360"/>
      </w:pPr>
      <w:r w:rsidRPr="004D7524">
        <w:rPr>
          <w:b/>
        </w:rPr>
        <w:t>Safety Basis Informatio</w:t>
      </w:r>
      <w:r w:rsidRPr="004D7524">
        <w:rPr>
          <w:b/>
        </w:rPr>
        <w:t>n System</w:t>
      </w:r>
      <w:r w:rsidRPr="004D7524">
        <w:t xml:space="preserve"> </w:t>
      </w:r>
      <w:r w:rsidRPr="009F5011">
        <w:rPr>
          <w:b/>
          <w:bCs/>
        </w:rPr>
        <w:t>(SBIS)</w:t>
      </w:r>
    </w:p>
    <w:p w:rsidR="005A3ED4" w:rsidP="005A3ED4" w14:paraId="44236E07" w14:textId="77777777">
      <w:pPr>
        <w:spacing w:after="0"/>
        <w:ind w:left="360"/>
      </w:pPr>
      <w:r w:rsidRPr="009F5011">
        <w:rPr>
          <w:b/>
          <w:bCs/>
        </w:rPr>
        <w:t>DOE OPEXShare</w:t>
      </w:r>
      <w:r w:rsidRPr="004D7524">
        <w:t xml:space="preserve"> </w:t>
      </w:r>
      <w:r w:rsidRPr="004D7524">
        <w:rPr>
          <w:b/>
        </w:rPr>
        <w:t>Lessons Learned System</w:t>
      </w:r>
      <w:r w:rsidRPr="004D7524">
        <w:rPr>
          <w:color w:val="000000"/>
        </w:rPr>
        <w:t xml:space="preserve">  </w:t>
      </w:r>
    </w:p>
    <w:p w:rsidR="008C734C" w:rsidP="00CA63E3" w14:paraId="1E40E8AC" w14:textId="77777777">
      <w:pPr>
        <w:pStyle w:val="Heading2"/>
      </w:pPr>
      <w:bookmarkStart w:id="2" w:name="_Toc108505083"/>
      <w:r>
        <w:t>A.1. Legal Justification</w:t>
      </w:r>
      <w:bookmarkEnd w:id="2"/>
    </w:p>
    <w:p w:rsidR="00A41763" w:rsidRPr="00A41763" w:rsidP="00A41763" w14:paraId="3B2AD811" w14:textId="77777777">
      <w:r w:rsidRPr="00A41763">
        <w:rPr>
          <w:b/>
          <w:bCs/>
        </w:rPr>
        <w:t>Explain the circumstances that make the collection of information necessary. Identify any legal or administrative requirements that necessitate the collection. Attach a copy of</w:t>
      </w:r>
      <w:r w:rsidRPr="00A41763">
        <w:rPr>
          <w:b/>
          <w:bCs/>
        </w:rPr>
        <w:t xml:space="preserve"> the appropriate section of each statute and regulation mandating or authorizing the information collection. </w:t>
      </w:r>
    </w:p>
    <w:p w:rsidR="005A3ED4" w:rsidRPr="004D7524" w:rsidP="005A3ED4" w14:paraId="75AFC5E3" w14:textId="77777777">
      <w:pPr>
        <w:ind w:left="360"/>
      </w:pPr>
      <w:r w:rsidRPr="004D7524">
        <w:t>This package contains information collections that are used by Departmental management to exercise management oversight and control over Managemen</w:t>
      </w:r>
      <w:r w:rsidRPr="004D7524">
        <w:t xml:space="preserve">t and Operating (M&amp;O) contractors of DOE’s Government-Owned Contractor-Operated (GOCO) facilities, and offsite contractors.  The contractor management oversight and control function </w:t>
      </w:r>
      <w:r w:rsidRPr="004D7524" w:rsidR="002B3883">
        <w:t>concern</w:t>
      </w:r>
      <w:r w:rsidRPr="004D7524">
        <w:t xml:space="preserve"> the ways in which DOE contractors provide goods and services for D</w:t>
      </w:r>
      <w:r w:rsidRPr="004D7524">
        <w:t>OE organizations and activities in accordance with the terms of their contract</w:t>
      </w:r>
      <w:r>
        <w:t>s</w:t>
      </w:r>
      <w:r w:rsidRPr="004D7524">
        <w:t>; the applicable statutory, regulatory and mission support requirements of the Department; and regulations in the functional area</w:t>
      </w:r>
      <w:r>
        <w:t>s</w:t>
      </w:r>
      <w:r w:rsidRPr="004D7524">
        <w:t xml:space="preserve"> covered by this package.</w:t>
      </w:r>
    </w:p>
    <w:p w:rsidR="005A3ED4" w:rsidP="005A3ED4" w14:paraId="73477AC4" w14:textId="77777777">
      <w:pPr>
        <w:ind w:left="360"/>
      </w:pPr>
      <w:r w:rsidRPr="004D7524">
        <w:t xml:space="preserve">The basic </w:t>
      </w:r>
      <w:r w:rsidRPr="004D7524">
        <w:t>authority for these collections is the statute establishing the Department of Energy (“Department of Energy Organization Act,” Public Law 95-91, of August 4, 1977) which vests the Secretary of Energy with the executive direction and management functions, a</w:t>
      </w:r>
      <w:r w:rsidRPr="004D7524">
        <w:t>uthorit</w:t>
      </w:r>
      <w:r>
        <w:t>ies</w:t>
      </w:r>
      <w:r w:rsidR="00CA63E3">
        <w:t>,</w:t>
      </w:r>
      <w:r w:rsidRPr="004D7524">
        <w:t xml:space="preserve"> and responsibilities for the Department, including contract management.  Under the provisions of 42 U</w:t>
      </w:r>
      <w:r w:rsidR="002B3883">
        <w:t>.</w:t>
      </w:r>
      <w:r w:rsidRPr="004D7524">
        <w:t>S</w:t>
      </w:r>
      <w:r w:rsidR="002B3883">
        <w:t>.</w:t>
      </w:r>
      <w:r w:rsidRPr="004D7524">
        <w:t>C 7254 and 42 U</w:t>
      </w:r>
      <w:r w:rsidR="002B3883">
        <w:t>.</w:t>
      </w:r>
      <w:r w:rsidRPr="004D7524">
        <w:t>S</w:t>
      </w:r>
      <w:r w:rsidR="002B3883">
        <w:t>.</w:t>
      </w:r>
      <w:r w:rsidRPr="004D7524">
        <w:t xml:space="preserve">C 7256(a) the Secretary of Energy is authorized to prescribe such procedural and administrative rules, including information collections pertaining to management of DOE programs or contracts, as deemed necessary or appropriate. </w:t>
      </w:r>
    </w:p>
    <w:p w:rsidR="008C734C" w:rsidRPr="00A41763" w:rsidP="00A41763" w14:paraId="183DA139" w14:textId="77777777"/>
    <w:p w:rsidR="008C734C" w:rsidP="00CA63E3" w14:paraId="0F5ED077" w14:textId="77777777">
      <w:pPr>
        <w:pStyle w:val="Heading2"/>
      </w:pPr>
      <w:bookmarkStart w:id="3" w:name="_Toc108505084"/>
      <w:r>
        <w:t>A.2. Needs and Uses of Dat</w:t>
      </w:r>
      <w:r>
        <w:t>a</w:t>
      </w:r>
      <w:bookmarkEnd w:id="3"/>
    </w:p>
    <w:p w:rsidR="00A41763" w:rsidRPr="00A41763" w:rsidP="00A41763" w14:paraId="43702705" w14:textId="77777777">
      <w:r w:rsidRPr="00A41763">
        <w:rPr>
          <w:b/>
          <w:bCs/>
        </w:rPr>
        <w:t>Indicate how, by whom, and for what purpose the information is to be used. Except for a new collection, indicate the actual use the agency has made of the information received from the current collection</w:t>
      </w:r>
      <w:r w:rsidR="00CA63E3">
        <w:rPr>
          <w:b/>
          <w:bCs/>
        </w:rPr>
        <w:t>.</w:t>
      </w:r>
      <w:r w:rsidRPr="00A41763">
        <w:rPr>
          <w:b/>
          <w:bCs/>
        </w:rPr>
        <w:t xml:space="preserve"> </w:t>
      </w:r>
    </w:p>
    <w:p w:rsidR="005A3ED4" w:rsidP="005A3ED4" w14:paraId="4095B0BA" w14:textId="77777777">
      <w:pPr>
        <w:ind w:left="360"/>
      </w:pPr>
      <w:r w:rsidRPr="004D7524">
        <w:t>The information obtained from DOE contractors by</w:t>
      </w:r>
      <w:r w:rsidRPr="004D7524">
        <w:t xml:space="preserve"> this information collection is used by Department management at the appropriate levels to manage the work pertaining to environment, safety and health throughout DOE and will include automated reporting of information into the following systems:</w:t>
      </w:r>
    </w:p>
    <w:p w:rsidR="005A3ED4" w:rsidRPr="004D7524" w:rsidP="005A3ED4" w14:paraId="49A9951A" w14:textId="77777777">
      <w:pPr>
        <w:ind w:left="360"/>
      </w:pPr>
      <w:r w:rsidRPr="004D7524">
        <w:rPr>
          <w:b/>
        </w:rPr>
        <w:t>Computeri</w:t>
      </w:r>
      <w:r w:rsidRPr="004D7524">
        <w:rPr>
          <w:b/>
        </w:rPr>
        <w:t>zed Accident/Incident Reporting System (CAIRS)</w:t>
      </w:r>
      <w:r w:rsidRPr="004D7524">
        <w:t xml:space="preserve"> – The CAIRS is a database used to collect and analyze DOE and DOE contractor reports of injuries</w:t>
      </w:r>
      <w:r>
        <w:t xml:space="preserve"> and</w:t>
      </w:r>
      <w:r w:rsidRPr="004D7524">
        <w:t xml:space="preserve"> illnesses, and other accidents that occur during DOE operations as described in DOE O</w:t>
      </w:r>
      <w:r w:rsidR="00192694">
        <w:t>rder</w:t>
      </w:r>
      <w:r w:rsidRPr="004D7524">
        <w:t xml:space="preserve"> 231.1B, </w:t>
      </w:r>
      <w:r w:rsidRPr="004D7524">
        <w:rPr>
          <w:i/>
        </w:rPr>
        <w:t>Environmen</w:t>
      </w:r>
      <w:r w:rsidRPr="004D7524">
        <w:rPr>
          <w:i/>
        </w:rPr>
        <w:t>t, Safety and Health Reporting</w:t>
      </w:r>
      <w:r w:rsidRPr="004D7524">
        <w:t xml:space="preserve">, and associated instructions.  This system contains information from </w:t>
      </w:r>
      <w:r>
        <w:t>DOE and DOE contractors</w:t>
      </w:r>
      <w:r w:rsidRPr="004D7524">
        <w:t>.</w:t>
      </w:r>
    </w:p>
    <w:p w:rsidR="005A3ED4" w:rsidRPr="004D7524" w:rsidP="005A3ED4" w14:paraId="09C9F5DE" w14:textId="77777777">
      <w:pPr>
        <w:pStyle w:val="Default"/>
        <w:ind w:left="360"/>
        <w:rPr>
          <w:rFonts w:asciiTheme="minorHAnsi" w:hAnsiTheme="minorHAnsi"/>
          <w:i/>
          <w:sz w:val="22"/>
          <w:szCs w:val="22"/>
        </w:rPr>
      </w:pPr>
      <w:r w:rsidRPr="004D7524">
        <w:rPr>
          <w:rFonts w:asciiTheme="minorHAnsi" w:hAnsiTheme="minorHAnsi"/>
          <w:b/>
          <w:sz w:val="22"/>
          <w:szCs w:val="22"/>
        </w:rPr>
        <w:t>Occurrence Reporting and Processing System (ORPS)</w:t>
      </w:r>
      <w:r w:rsidRPr="004D7524">
        <w:rPr>
          <w:rFonts w:asciiTheme="minorHAnsi" w:hAnsiTheme="minorHAnsi"/>
          <w:sz w:val="22"/>
          <w:szCs w:val="22"/>
        </w:rPr>
        <w:t xml:space="preserve"> – The DOE’s Occurrence Reporting </w:t>
      </w:r>
      <w:r>
        <w:rPr>
          <w:rFonts w:asciiTheme="minorHAnsi" w:hAnsiTheme="minorHAnsi"/>
          <w:sz w:val="22"/>
          <w:szCs w:val="22"/>
        </w:rPr>
        <w:t>Program</w:t>
      </w:r>
      <w:r w:rsidRPr="004D7524">
        <w:rPr>
          <w:rFonts w:asciiTheme="minorHAnsi" w:hAnsiTheme="minorHAnsi"/>
          <w:sz w:val="22"/>
          <w:szCs w:val="22"/>
        </w:rPr>
        <w:t xml:space="preserve"> is used to notify DOE personnel, includi</w:t>
      </w:r>
      <w:r w:rsidRPr="004D7524">
        <w:rPr>
          <w:rFonts w:asciiTheme="minorHAnsi" w:hAnsiTheme="minorHAnsi"/>
          <w:sz w:val="22"/>
          <w:szCs w:val="22"/>
        </w:rPr>
        <w:t>ng National Nuclear Security Administration (NNSA) personnel, about events that could adversely affect the health and safety of the public or the workers, the environment, DOE missions, or the credibility of the Department.  It also promotes organizational</w:t>
      </w:r>
      <w:r w:rsidRPr="004D7524">
        <w:rPr>
          <w:rFonts w:asciiTheme="minorHAnsi" w:hAnsiTheme="minorHAnsi"/>
          <w:sz w:val="22"/>
          <w:szCs w:val="22"/>
        </w:rPr>
        <w:t xml:space="preserve"> learning consistent with DOE’s Integrated Safety Management System’s goal</w:t>
      </w:r>
      <w:r>
        <w:rPr>
          <w:rFonts w:asciiTheme="minorHAnsi" w:hAnsiTheme="minorHAnsi"/>
          <w:sz w:val="22"/>
          <w:szCs w:val="22"/>
        </w:rPr>
        <w:t>s</w:t>
      </w:r>
      <w:r w:rsidRPr="004D7524">
        <w:rPr>
          <w:rFonts w:asciiTheme="minorHAnsi" w:hAnsiTheme="minorHAnsi"/>
          <w:sz w:val="22"/>
          <w:szCs w:val="22"/>
        </w:rPr>
        <w:t xml:space="preserve"> of enhancing mission safety and sharing effective practices to support continuous improvement and adaptation to change.  The Occurrence Reporting Program, including the ORPS requir</w:t>
      </w:r>
      <w:r w:rsidRPr="004D7524">
        <w:rPr>
          <w:rFonts w:asciiTheme="minorHAnsi" w:hAnsiTheme="minorHAnsi"/>
          <w:sz w:val="22"/>
          <w:szCs w:val="22"/>
        </w:rPr>
        <w:t xml:space="preserve">ements, </w:t>
      </w:r>
      <w:r>
        <w:rPr>
          <w:rFonts w:asciiTheme="minorHAnsi" w:hAnsiTheme="minorHAnsi"/>
          <w:sz w:val="22"/>
          <w:szCs w:val="22"/>
        </w:rPr>
        <w:t>is</w:t>
      </w:r>
      <w:r w:rsidRPr="004D7524">
        <w:rPr>
          <w:rFonts w:asciiTheme="minorHAnsi" w:hAnsiTheme="minorHAnsi"/>
          <w:sz w:val="22"/>
          <w:szCs w:val="22"/>
        </w:rPr>
        <w:t xml:space="preserve"> described in DOE O</w:t>
      </w:r>
      <w:r w:rsidR="00192694">
        <w:rPr>
          <w:rFonts w:asciiTheme="minorHAnsi" w:hAnsiTheme="minorHAnsi"/>
          <w:sz w:val="22"/>
          <w:szCs w:val="22"/>
        </w:rPr>
        <w:t>rder</w:t>
      </w:r>
      <w:r w:rsidRPr="004D7524">
        <w:rPr>
          <w:rFonts w:asciiTheme="minorHAnsi" w:hAnsiTheme="minorHAnsi"/>
          <w:sz w:val="22"/>
          <w:szCs w:val="22"/>
        </w:rPr>
        <w:t xml:space="preserve"> 232.2A, </w:t>
      </w:r>
      <w:r w:rsidRPr="004D7524">
        <w:rPr>
          <w:rFonts w:asciiTheme="minorHAnsi" w:hAnsiTheme="minorHAnsi"/>
          <w:i/>
          <w:sz w:val="22"/>
          <w:szCs w:val="22"/>
        </w:rPr>
        <w:t xml:space="preserve">Occurrence Reporting and Processing of Operations Information. </w:t>
      </w:r>
    </w:p>
    <w:p w:rsidR="005A3ED4" w:rsidRPr="004D7524" w:rsidP="005A3ED4" w14:paraId="23E9FCF3" w14:textId="77777777">
      <w:pPr>
        <w:pStyle w:val="Default"/>
        <w:ind w:left="360"/>
        <w:rPr>
          <w:rFonts w:asciiTheme="minorHAnsi" w:hAnsiTheme="minorHAnsi"/>
        </w:rPr>
      </w:pPr>
    </w:p>
    <w:p w:rsidR="005A3ED4" w:rsidRPr="004D7524" w:rsidP="005A3ED4" w14:paraId="6299ABB3" w14:textId="77777777">
      <w:pPr>
        <w:spacing w:after="0"/>
        <w:ind w:left="360"/>
      </w:pPr>
      <w:r w:rsidRPr="004D7524">
        <w:rPr>
          <w:b/>
        </w:rPr>
        <w:t>Radiation Exposure Monitoring System (REMS)</w:t>
      </w:r>
      <w:r w:rsidRPr="004D7524">
        <w:t xml:space="preserve"> – This is a database of occupational radiation exposure for all </w:t>
      </w:r>
      <w:r w:rsidRPr="004D7524">
        <w:rPr>
          <w:u w:val="single"/>
        </w:rPr>
        <w:t>monitored</w:t>
      </w:r>
      <w:r w:rsidRPr="004D7524">
        <w:t xml:space="preserve"> DOE employees, contractors, subcontractors</w:t>
      </w:r>
      <w:r>
        <w:t>,</w:t>
      </w:r>
      <w:r w:rsidRPr="004D7524">
        <w:t xml:space="preserve"> and members of the public.  The Rule 10 CFR 835</w:t>
      </w:r>
      <w:r w:rsidR="00192694">
        <w:t>.</w:t>
      </w:r>
      <w:r w:rsidRPr="004D7524">
        <w:t>702(a) and (b) requires Annual Individual Radiation Exposure Records to be recorded.  The DOE Order 231.1B,</w:t>
      </w:r>
      <w:r w:rsidRPr="004D7524">
        <w:rPr>
          <w:i/>
        </w:rPr>
        <w:t xml:space="preserve"> Environment, Safety and Health Reporting</w:t>
      </w:r>
      <w:r w:rsidRPr="004D7524">
        <w:t xml:space="preserve">, requires the </w:t>
      </w:r>
      <w:r w:rsidRPr="004D7524">
        <w:t xml:space="preserve">data to be reported into the Radiation Exposure Monitoring System Repository. </w:t>
      </w:r>
      <w:r w:rsidRPr="004D7524">
        <w:br/>
      </w:r>
    </w:p>
    <w:p w:rsidR="005A3ED4" w:rsidRPr="004D7524" w:rsidP="005A3ED4" w14:paraId="3C5CDF6C" w14:textId="77777777">
      <w:pPr>
        <w:spacing w:after="0"/>
        <w:ind w:left="360"/>
      </w:pPr>
      <w:r w:rsidRPr="004D7524">
        <w:rPr>
          <w:b/>
        </w:rPr>
        <w:t xml:space="preserve">Annual Fire Protection </w:t>
      </w:r>
      <w:r>
        <w:rPr>
          <w:b/>
        </w:rPr>
        <w:t>Program Database</w:t>
      </w:r>
      <w:r w:rsidRPr="004D7524">
        <w:t xml:space="preserve"> – This system contains information from reporting contractors and subcontractors for an Annual Fire Protection Program Summary (AFPPS). </w:t>
      </w:r>
      <w:r w:rsidRPr="004D7524">
        <w:t xml:space="preserve"> The AFPPS report is required by section 5a(8) of DOE Order 231.1B, </w:t>
      </w:r>
      <w:r w:rsidRPr="004D7524">
        <w:rPr>
          <w:i/>
        </w:rPr>
        <w:t>Environment, Safety and Health Reporting</w:t>
      </w:r>
      <w:r w:rsidRPr="004D7524">
        <w:t xml:space="preserve">.  The DOE’s Fire Protection Program is multi-faceted, and includes published fire safety directives (Orders, standards, and guidance documents), a </w:t>
      </w:r>
      <w:r w:rsidRPr="004D7524">
        <w:t>range of oversight activities, an annual fire protection program summary, and a directory of fire safety professionals.  DOE also sponsors fire safety conferences, training initiatives, and technical assistance activities.</w:t>
      </w:r>
      <w:r w:rsidRPr="004D7524">
        <w:br/>
      </w:r>
    </w:p>
    <w:p w:rsidR="005A3ED4" w:rsidRPr="004D7524" w:rsidP="005A3ED4" w14:paraId="51F41391" w14:textId="77777777">
      <w:pPr>
        <w:ind w:left="360"/>
      </w:pPr>
      <w:r w:rsidRPr="004D7524">
        <w:rPr>
          <w:b/>
        </w:rPr>
        <w:t>Safety Basis Information System</w:t>
      </w:r>
      <w:r w:rsidRPr="004D7524">
        <w:t xml:space="preserve"> </w:t>
      </w:r>
      <w:r w:rsidRPr="004D7524">
        <w:t xml:space="preserve">– Subpart B of 10 CFR Part 830, </w:t>
      </w:r>
      <w:r w:rsidRPr="004D7524">
        <w:rPr>
          <w:i/>
        </w:rPr>
        <w:t>Nuclear Safety Management,</w:t>
      </w:r>
      <w:r w:rsidRPr="004D7524">
        <w:t xml:space="preserve"> requires contractors and operators of DOE hazard category 1, 2, and 3 nuclear facilities to develop and maintain a Safety Basis for each facility</w:t>
      </w:r>
      <w:r>
        <w:t>,</w:t>
      </w:r>
      <w:r w:rsidRPr="004D7524">
        <w:t xml:space="preserve"> and to perform work in accordance with that Safety</w:t>
      </w:r>
      <w:r w:rsidRPr="004D7524">
        <w:t xml:space="preserve"> Basis.  In 10 CFR Part 830</w:t>
      </w:r>
      <w:r>
        <w:t>, Subpart B, Appendix A</w:t>
      </w:r>
      <w:r w:rsidRPr="004D7524">
        <w:t xml:space="preserve">, DOE committed to provide members of the public </w:t>
      </w:r>
      <w:r w:rsidRPr="004D7524">
        <w:t>with up-to-date information on its nuclear facility Safety Basis.  The Safety Basis Information System was created to meet this requirement and to provide DO</w:t>
      </w:r>
      <w:r w:rsidRPr="004D7524">
        <w:t>E line manage</w:t>
      </w:r>
      <w:r>
        <w:t>ment</w:t>
      </w:r>
      <w:r w:rsidRPr="004D7524">
        <w:t xml:space="preserve"> with a tool for obtaining regularly updated profiles of the entire inventory of Safety Basis for DOE hazard category 1, 2, and 3 nuclear facilities.  </w:t>
      </w:r>
    </w:p>
    <w:p w:rsidR="005A3ED4" w:rsidP="005A3ED4" w14:paraId="1B9F79A5" w14:textId="77777777">
      <w:pPr>
        <w:ind w:left="360"/>
      </w:pPr>
      <w:r w:rsidRPr="009F5011">
        <w:rPr>
          <w:b/>
          <w:bCs/>
        </w:rPr>
        <w:t>DOE OPEXShare</w:t>
      </w:r>
      <w:r w:rsidRPr="004D7524">
        <w:t xml:space="preserve"> </w:t>
      </w:r>
      <w:r w:rsidRPr="004D7524">
        <w:rPr>
          <w:b/>
        </w:rPr>
        <w:t>Lessons Learned System</w:t>
      </w:r>
      <w:r w:rsidRPr="004D7524">
        <w:rPr>
          <w:color w:val="000000"/>
        </w:rPr>
        <w:t xml:space="preserve"> – This system supports and promotes the integratio</w:t>
      </w:r>
      <w:r w:rsidRPr="004D7524">
        <w:rPr>
          <w:color w:val="000000"/>
        </w:rPr>
        <w:t>n and sharing of information both internally and externally to DOE in order to prevent adverse operating incidents and improve operational safety awareness.  Lessons learned are developed from significant and recurring events, operational emergencies</w:t>
      </w:r>
      <w:r>
        <w:rPr>
          <w:color w:val="000000"/>
        </w:rPr>
        <w:t>,</w:t>
      </w:r>
      <w:r w:rsidRPr="004D7524">
        <w:rPr>
          <w:color w:val="000000"/>
        </w:rPr>
        <w:t xml:space="preserve"> and </w:t>
      </w:r>
      <w:r w:rsidRPr="004D7524">
        <w:rPr>
          <w:color w:val="000000"/>
        </w:rPr>
        <w:t xml:space="preserve">good work practices to meet the requirements of DOE O 210.2A, </w:t>
      </w:r>
      <w:r w:rsidRPr="004D7524">
        <w:rPr>
          <w:i/>
          <w:color w:val="000000"/>
        </w:rPr>
        <w:t>DOE Corporate Operating Experience Program</w:t>
      </w:r>
      <w:r w:rsidRPr="004D7524">
        <w:rPr>
          <w:color w:val="000000"/>
        </w:rPr>
        <w:t xml:space="preserve">.  </w:t>
      </w:r>
      <w:bookmarkStart w:id="4" w:name=""/>
      <w:bookmarkEnd w:id="4"/>
      <w:r w:rsidRPr="004D7524">
        <w:rPr>
          <w:color w:val="000000"/>
        </w:rPr>
        <w:t xml:space="preserve">Information is </w:t>
      </w:r>
      <w:r w:rsidRPr="004D7524">
        <w:t xml:space="preserve">facilitated through the DOE </w:t>
      </w:r>
      <w:r>
        <w:t>OPEXShare</w:t>
      </w:r>
      <w:r w:rsidRPr="004D7524">
        <w:t xml:space="preserve"> Lessons Learned database which is designed to collect and share lessons learned from operating e</w:t>
      </w:r>
      <w:r w:rsidRPr="004D7524">
        <w:t>xperiences throughout the DOE complex. </w:t>
      </w:r>
    </w:p>
    <w:p w:rsidR="008C734C" w:rsidP="00CA63E3" w14:paraId="500A6BDC" w14:textId="77777777">
      <w:pPr>
        <w:pStyle w:val="Heading2"/>
      </w:pPr>
      <w:bookmarkStart w:id="5" w:name="_Toc108505085"/>
      <w:r>
        <w:t>A.</w:t>
      </w:r>
      <w:r w:rsidRPr="00A41763" w:rsidR="00A41763">
        <w:t xml:space="preserve">3. </w:t>
      </w:r>
      <w:r>
        <w:t>Use of Technology</w:t>
      </w:r>
      <w:bookmarkEnd w:id="5"/>
    </w:p>
    <w:p w:rsidR="00A41763" w:rsidRPr="00A41763" w:rsidP="00A41763" w14:paraId="3AD8A440" w14:textId="77777777">
      <w:r w:rsidRPr="00A41763">
        <w:rPr>
          <w:b/>
          <w:bCs/>
        </w:rPr>
        <w:t>Describe whether, and to what extent, the collection of information involves the use of automated, electronic, mechanical, or other technological collection techniques or other forms of informa</w:t>
      </w:r>
      <w:r w:rsidRPr="00A41763">
        <w:rPr>
          <w:b/>
          <w:bCs/>
        </w:rPr>
        <w:t xml:space="preserve">tion technology, e.g., permitting electronic submission of responses. </w:t>
      </w:r>
    </w:p>
    <w:p w:rsidR="005A3ED4" w:rsidP="005A3ED4" w14:paraId="2421F01C" w14:textId="77777777">
      <w:pPr>
        <w:ind w:left="360"/>
      </w:pPr>
      <w:r w:rsidRPr="004D7524">
        <w:t xml:space="preserve">All systems and databases in this collection incorporate </w:t>
      </w:r>
      <w:r w:rsidR="00132F2F">
        <w:t xml:space="preserve">100 percent </w:t>
      </w:r>
      <w:r w:rsidRPr="004D7524">
        <w:t xml:space="preserve">electronic entry for respondents.  Within existing budget and resource constraints, Department program managers and </w:t>
      </w:r>
      <w:r w:rsidRPr="004D7524">
        <w:t>contractors continually work to apply the latest appropriate-level information technology (hardware and software) to reduce the contractor’s information collection burden</w:t>
      </w:r>
      <w:r>
        <w:t>;</w:t>
      </w:r>
      <w:r w:rsidRPr="004D7524">
        <w:t xml:space="preserve"> and improve the timeliness and usefulness of the management information being collec</w:t>
      </w:r>
      <w:r w:rsidRPr="004D7524">
        <w:t xml:space="preserve">ted.  This includes automation of previously manual processes, where appropriate.  As resources allow, the Department </w:t>
      </w:r>
      <w:r>
        <w:t>will</w:t>
      </w:r>
      <w:r w:rsidRPr="004D7524">
        <w:t xml:space="preserve"> updat</w:t>
      </w:r>
      <w:r>
        <w:t>e</w:t>
      </w:r>
      <w:r w:rsidRPr="004D7524">
        <w:t xml:space="preserve"> some of these databases to incorporate more user-friendly</w:t>
      </w:r>
      <w:r>
        <w:t xml:space="preserve"> and modern</w:t>
      </w:r>
      <w:r w:rsidRPr="004D7524">
        <w:t xml:space="preserve"> capabilities and analysis techniques to enhance the knowl</w:t>
      </w:r>
      <w:r w:rsidRPr="004D7524">
        <w:t>edge that can be gained from the data collected.</w:t>
      </w:r>
    </w:p>
    <w:p w:rsidR="008C734C" w:rsidP="00CA63E3" w14:paraId="4505393D" w14:textId="77777777">
      <w:pPr>
        <w:pStyle w:val="Heading2"/>
      </w:pPr>
      <w:bookmarkStart w:id="6" w:name="_Toc108505086"/>
      <w:r>
        <w:t>A.</w:t>
      </w:r>
      <w:r w:rsidRPr="00A41763" w:rsidR="00A41763">
        <w:t xml:space="preserve">4. </w:t>
      </w:r>
      <w:r>
        <w:t>Efforts to Identify Duplication</w:t>
      </w:r>
      <w:bookmarkEnd w:id="6"/>
    </w:p>
    <w:p w:rsidR="00A41763" w:rsidRPr="00A41763" w:rsidP="00A41763" w14:paraId="7471B58B" w14:textId="77777777">
      <w:r w:rsidRPr="00A41763">
        <w:rPr>
          <w:b/>
          <w:bCs/>
        </w:rPr>
        <w:t xml:space="preserve">Describe efforts to identify duplication. </w:t>
      </w:r>
    </w:p>
    <w:p w:rsidR="005A3ED4" w:rsidP="005A3ED4" w14:paraId="494E9446" w14:textId="77777777">
      <w:pPr>
        <w:ind w:left="360"/>
      </w:pPr>
      <w:r w:rsidRPr="004D7524">
        <w:t>The collections in this package are applicable to contract management in DOE</w:t>
      </w:r>
      <w:r>
        <w:t>.  They are</w:t>
      </w:r>
      <w:r w:rsidRPr="004D7524">
        <w:t xml:space="preserve"> collected by DOE to monitor and manage </w:t>
      </w:r>
      <w:r w:rsidRPr="004D7524">
        <w:t>the safety performance of its contractors and to fulfill federal reporting requirements.  Therefore, meaningful duplication of these collections at DOE or in other agencies is unlikely.</w:t>
      </w:r>
    </w:p>
    <w:p w:rsidR="008C734C" w:rsidP="00CA63E3" w14:paraId="669B2828" w14:textId="77777777">
      <w:pPr>
        <w:pStyle w:val="Heading2"/>
      </w:pPr>
      <w:bookmarkStart w:id="7" w:name="_Toc108505087"/>
      <w:r>
        <w:t>A.</w:t>
      </w:r>
      <w:r w:rsidRPr="00A41763" w:rsidR="00A41763">
        <w:t xml:space="preserve">5. </w:t>
      </w:r>
      <w:r w:rsidRPr="008C734C">
        <w:t>Provisions for Reducing Burden on Small Businesses</w:t>
      </w:r>
      <w:bookmarkEnd w:id="7"/>
      <w:r w:rsidRPr="008C734C">
        <w:t xml:space="preserve"> </w:t>
      </w:r>
    </w:p>
    <w:p w:rsidR="00A41763" w:rsidRPr="00A41763" w:rsidP="00A41763" w14:paraId="6960617E" w14:textId="77777777">
      <w:r w:rsidRPr="00A41763">
        <w:rPr>
          <w:b/>
          <w:bCs/>
        </w:rPr>
        <w:t xml:space="preserve">If the collection of information impacts small businesses or other small entities, describe any methods used to minimize burden. </w:t>
      </w:r>
    </w:p>
    <w:p w:rsidR="005A3ED4" w:rsidP="005A3ED4" w14:paraId="31890C3F" w14:textId="77777777">
      <w:pPr>
        <w:ind w:left="360"/>
      </w:pPr>
      <w:r w:rsidRPr="004D7524">
        <w:t xml:space="preserve">This information collection will not have a significant economic impact on small businesses or small entities. </w:t>
      </w:r>
      <w:r w:rsidR="00192694">
        <w:t xml:space="preserve"> </w:t>
      </w:r>
      <w:r w:rsidRPr="004D7524">
        <w:t xml:space="preserve">The impact of </w:t>
      </w:r>
      <w:r w:rsidRPr="004D7524">
        <w:t>the collection of information from small business is considered in the development of the contract requirements and documents</w:t>
      </w:r>
      <w:r>
        <w:t>;</w:t>
      </w:r>
      <w:r w:rsidRPr="004D7524">
        <w:t xml:space="preserve"> and is minimized to the extent permitted by applicable statutory requirements and other legal and management constraints.</w:t>
      </w:r>
    </w:p>
    <w:p w:rsidR="008C734C" w:rsidP="00CA63E3" w14:paraId="71A78ED2" w14:textId="77777777">
      <w:pPr>
        <w:pStyle w:val="Heading2"/>
      </w:pPr>
      <w:bookmarkStart w:id="8" w:name="_Toc108505088"/>
      <w:r>
        <w:t>A.</w:t>
      </w:r>
      <w:r w:rsidRPr="00A41763" w:rsidR="00A41763">
        <w:t xml:space="preserve">6. </w:t>
      </w:r>
      <w:r w:rsidRPr="008C734C">
        <w:t>Co</w:t>
      </w:r>
      <w:r w:rsidRPr="008C734C">
        <w:t>nsequences of Less-Frequent Reporting</w:t>
      </w:r>
      <w:bookmarkEnd w:id="8"/>
    </w:p>
    <w:p w:rsidR="00A41763" w:rsidRPr="00A41763" w:rsidP="00A41763" w14:paraId="441F087F"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5A3ED4" w:rsidRPr="004D7524" w:rsidP="005A3ED4" w14:paraId="7595D3DD" w14:textId="77777777">
      <w:pPr>
        <w:ind w:left="360" w:right="-180"/>
      </w:pPr>
      <w:r w:rsidRPr="004D7524">
        <w:t xml:space="preserve">If the </w:t>
      </w:r>
      <w:r w:rsidRPr="004D7524">
        <w:t>information about safety and health performance affecting DOE employees</w:t>
      </w:r>
      <w:r>
        <w:t xml:space="preserve">, </w:t>
      </w:r>
      <w:r w:rsidRPr="004D7524">
        <w:t xml:space="preserve">contractors, the public, environment, and DOE facilities is not collected, then injury or accident rates may increase due to a failure to </w:t>
      </w:r>
      <w:r>
        <w:t>recognize and mitigate</w:t>
      </w:r>
      <w:r w:rsidRPr="004D7524">
        <w:t xml:space="preserve"> safety issues.</w:t>
      </w:r>
      <w:r w:rsidR="00192694">
        <w:t xml:space="preserve"> </w:t>
      </w:r>
      <w:r w:rsidRPr="004D7524">
        <w:t xml:space="preserve"> Poor o</w:t>
      </w:r>
      <w:r w:rsidRPr="004D7524">
        <w:t>r declining safety performance would be detrimental to personnel and public safety</w:t>
      </w:r>
      <w:r>
        <w:t>;</w:t>
      </w:r>
      <w:r w:rsidRPr="004D7524">
        <w:t xml:space="preserve"> and could significantly increase the cost of Departmental operations.</w:t>
      </w:r>
      <w:r w:rsidR="00192694">
        <w:t xml:space="preserve"> </w:t>
      </w:r>
      <w:r w:rsidRPr="004D7524">
        <w:t xml:space="preserve"> Lack of reporting </w:t>
      </w:r>
      <w:r>
        <w:t>results in</w:t>
      </w:r>
      <w:r w:rsidRPr="004D7524">
        <w:t xml:space="preserve"> insufficient information for performance monitoring, trending</w:t>
      </w:r>
      <w:r>
        <w:t>,</w:t>
      </w:r>
      <w:r w:rsidRPr="004D7524">
        <w:t xml:space="preserve"> and root </w:t>
      </w:r>
      <w:r w:rsidRPr="004D7524">
        <w:t>cause analyses; therefore, safety issues are more likely to go uncorrected or recur.  As a result, Federal safety and health programs and policies may not be effective if the information collection (reporting) is not conducted.</w:t>
      </w:r>
    </w:p>
    <w:p w:rsidR="005A3ED4" w:rsidP="005A3ED4" w14:paraId="0FEDBC6D" w14:textId="77777777">
      <w:pPr>
        <w:ind w:left="360" w:right="-180"/>
      </w:pPr>
      <w:r w:rsidRPr="004D7524">
        <w:t xml:space="preserve">The frequency of collection </w:t>
      </w:r>
      <w:r w:rsidRPr="004D7524">
        <w:t>is dictated by sound management practice, external laws and regulations, requirements of interagency reports, and Departmental orders and requirements.  When any of these conditions change to permit reduction of the frequency of information collections, th</w:t>
      </w:r>
      <w:r w:rsidRPr="004D7524">
        <w:t>e reduction is made</w:t>
      </w:r>
      <w:r>
        <w:t>,</w:t>
      </w:r>
      <w:r w:rsidRPr="004D7524">
        <w:t xml:space="preserve"> and the contract documents are changed accordingly.</w:t>
      </w:r>
    </w:p>
    <w:p w:rsidR="008C734C" w:rsidP="00CA63E3" w14:paraId="2E624DE2" w14:textId="77777777">
      <w:pPr>
        <w:pStyle w:val="Heading2"/>
      </w:pPr>
      <w:bookmarkStart w:id="9" w:name="_Toc108505089"/>
      <w:r>
        <w:t>A.</w:t>
      </w:r>
      <w:r w:rsidRPr="00A41763" w:rsidR="00A41763">
        <w:t xml:space="preserve">7. </w:t>
      </w:r>
      <w:r w:rsidRPr="008C734C">
        <w:t>Compliance with 5 CFR 1320.5</w:t>
      </w:r>
      <w:bookmarkEnd w:id="9"/>
    </w:p>
    <w:p w:rsidR="00DB6FBD" w:rsidP="00A41763" w14:paraId="0C5297FE"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DB6FBD" w:rsidP="00A41763" w14:paraId="579DAA49" w14:textId="77777777">
      <w:pPr>
        <w:rPr>
          <w:b/>
          <w:bCs/>
        </w:rPr>
      </w:pPr>
      <w:r w:rsidRPr="00A41763">
        <w:rPr>
          <w:b/>
          <w:bCs/>
        </w:rPr>
        <w:t>(a) requiring respondent</w:t>
      </w:r>
      <w:r w:rsidRPr="00A41763">
        <w:rPr>
          <w:b/>
          <w:bCs/>
        </w:rPr>
        <w:t xml:space="preserve">s to report information to the agency more often than quarterly; </w:t>
      </w:r>
    </w:p>
    <w:p w:rsidR="00DB6FBD" w:rsidP="00A41763" w14:paraId="569AA981" w14:textId="77777777">
      <w:pPr>
        <w:rPr>
          <w:b/>
          <w:bCs/>
        </w:rPr>
      </w:pPr>
      <w:r w:rsidRPr="00A41763">
        <w:rPr>
          <w:b/>
          <w:bCs/>
        </w:rPr>
        <w:t xml:space="preserve">(b) requiring respondents to prepare a written response to a collection of information in fewer than 30 days after receipt of it; </w:t>
      </w:r>
    </w:p>
    <w:p w:rsidR="00DB6FBD" w:rsidP="00A41763" w14:paraId="0665A4CA" w14:textId="77777777">
      <w:pPr>
        <w:rPr>
          <w:b/>
          <w:bCs/>
        </w:rPr>
      </w:pPr>
      <w:r w:rsidRPr="00A41763">
        <w:rPr>
          <w:b/>
          <w:bCs/>
        </w:rPr>
        <w:t>(c) requiring respondents to submit more than an original a</w:t>
      </w:r>
      <w:r w:rsidRPr="00A41763">
        <w:rPr>
          <w:b/>
          <w:bCs/>
        </w:rPr>
        <w:t xml:space="preserve">nd two copies of any document; </w:t>
      </w:r>
    </w:p>
    <w:p w:rsidR="00DB6FBD" w:rsidP="00A41763" w14:paraId="046F9495" w14:textId="77777777">
      <w:pPr>
        <w:rPr>
          <w:b/>
          <w:bCs/>
        </w:rPr>
      </w:pPr>
      <w:r w:rsidRPr="00A41763">
        <w:rPr>
          <w:b/>
          <w:bCs/>
        </w:rPr>
        <w:t xml:space="preserve">(d) requiring respondents to retain records, other than health, medical government contract, grant-in-aid, or tax records, for more than three years; </w:t>
      </w:r>
    </w:p>
    <w:p w:rsidR="00DB6FBD" w:rsidP="00A41763" w14:paraId="47A3B846" w14:textId="77777777">
      <w:pPr>
        <w:rPr>
          <w:b/>
          <w:bCs/>
        </w:rPr>
      </w:pPr>
      <w:r w:rsidRPr="00A41763">
        <w:rPr>
          <w:b/>
          <w:bCs/>
        </w:rPr>
        <w:t>(e) in connection with a statistical survey, that is not designed to prod</w:t>
      </w:r>
      <w:r w:rsidRPr="00A41763">
        <w:rPr>
          <w:b/>
          <w:bCs/>
        </w:rPr>
        <w:t xml:space="preserve">uct valid and reliable results that can be generalized to the universe of study; </w:t>
      </w:r>
    </w:p>
    <w:p w:rsidR="00DB6FBD" w:rsidP="00A41763" w14:paraId="6EE12C58" w14:textId="77777777">
      <w:pPr>
        <w:rPr>
          <w:b/>
          <w:bCs/>
        </w:rPr>
      </w:pPr>
      <w:r w:rsidRPr="00A41763">
        <w:rPr>
          <w:b/>
          <w:bCs/>
        </w:rPr>
        <w:t xml:space="preserve">(f) requiring the use of statistical data classification that has not been reviewed and approved by OMB; </w:t>
      </w:r>
    </w:p>
    <w:p w:rsidR="00DB6FBD" w:rsidP="00A41763" w14:paraId="4F6F20C8" w14:textId="77777777">
      <w:pPr>
        <w:rPr>
          <w:b/>
          <w:bCs/>
        </w:rPr>
      </w:pPr>
      <w:r w:rsidRPr="00A41763">
        <w:rPr>
          <w:b/>
          <w:bCs/>
        </w:rPr>
        <w:t>(g) that includes a pledge of confidentially that is not supported b</w:t>
      </w:r>
      <w:r w:rsidRPr="00A41763">
        <w:rPr>
          <w:b/>
          <w:bCs/>
        </w:rPr>
        <w:t xml:space="preserve">y authority established in stature of regulation, that is not supported by disclosure and data security policies that are consistent with the pledge, or which unnecessarily impedes sharing of data with other agencies for compatible confidential use; </w:t>
      </w:r>
      <w:r>
        <w:rPr>
          <w:b/>
          <w:bCs/>
        </w:rPr>
        <w:t>or</w:t>
      </w:r>
    </w:p>
    <w:p w:rsidR="00A41763" w:rsidRPr="00A41763" w:rsidP="00A41763" w14:paraId="75497963" w14:textId="77777777">
      <w:r w:rsidRPr="00A41763">
        <w:rPr>
          <w:b/>
          <w:bCs/>
        </w:rPr>
        <w:t>(h)</w:t>
      </w:r>
      <w:r w:rsidRPr="00A41763">
        <w:rPr>
          <w:b/>
          <w:bCs/>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5A3ED4" w:rsidP="005A3ED4" w14:paraId="1EC2B7EA" w14:textId="77777777">
      <w:pPr>
        <w:ind w:left="360" w:right="-180"/>
      </w:pPr>
      <w:r>
        <w:t>Some collections</w:t>
      </w:r>
      <w:r>
        <w:t xml:space="preserve"> in this package (CAIRS, ORPS) require respondents to report information to the agency more frequently than that prescribed by the OMB guidelines listed above (e.g., (a), (b)).  This includes data on events/occurrences and injury/illness that vary based on</w:t>
      </w:r>
      <w:r>
        <w:t xml:space="preserve"> the severity of the event or injury.  Timely information is needed to support internal notifications for emergency response, corrective actions, and further communication for prevention of additional adverse impacts to safe operations.  With this exceptio</w:t>
      </w:r>
      <w:r>
        <w:t>n, t</w:t>
      </w:r>
      <w:r w:rsidRPr="004D7524">
        <w:t xml:space="preserve">he </w:t>
      </w:r>
      <w:r>
        <w:t xml:space="preserve">other </w:t>
      </w:r>
      <w:r w:rsidRPr="004D7524">
        <w:t>collections contained in the package are consistent with Title 5 of the Code of Federal Regulations and OMB guidelines.</w:t>
      </w:r>
    </w:p>
    <w:p w:rsidR="008C734C" w:rsidP="00CA63E3" w14:paraId="2F1643AE" w14:textId="77777777">
      <w:pPr>
        <w:pStyle w:val="Heading2"/>
      </w:pPr>
      <w:bookmarkStart w:id="10" w:name="_Toc108505090"/>
      <w:r>
        <w:t>A.</w:t>
      </w:r>
      <w:r w:rsidRPr="00A41763" w:rsidR="00A41763">
        <w:t xml:space="preserve">8. </w:t>
      </w:r>
      <w:r w:rsidRPr="008C734C">
        <w:t>Summary of Consultations Outside of the Agency</w:t>
      </w:r>
      <w:bookmarkEnd w:id="10"/>
    </w:p>
    <w:p w:rsidR="00A41763" w:rsidRPr="00A41763" w:rsidP="00A41763" w14:paraId="042F427B" w14:textId="77777777">
      <w:r w:rsidRPr="00A41763">
        <w:rPr>
          <w:b/>
          <w:bCs/>
        </w:rPr>
        <w:t xml:space="preserve">If applicable, provide a copy and identify the date and page number of </w:t>
      </w:r>
      <w:r w:rsidRPr="00A41763">
        <w:rPr>
          <w:b/>
          <w:bCs/>
        </w:rPr>
        <w:t>publication in the Federal Register of the agency’s notice, required by 5CFR 320.8(d), soliciting comments on the information collection prior to submission to OMB. Summarize public comments received in response to that notice and describe actions taken in</w:t>
      </w:r>
      <w:r w:rsidRPr="00A41763">
        <w:rPr>
          <w:b/>
          <w:bCs/>
        </w:rPr>
        <w:t xml:space="preserve"> response to the comments. Specifically address comments received on cost and hour burden. Describe efforts to consult with persons outside DOE to obtain their views on the availability of data, frequency of collection, the clarity of instructions and reco</w:t>
      </w:r>
      <w:r w:rsidRPr="00A41763">
        <w:rPr>
          <w:b/>
          <w:bCs/>
        </w:rPr>
        <w:t>rdkeeping, disclosure, or reporting format (if any), and on the data elements to be recorded, disclosed, or report.</w:t>
      </w:r>
    </w:p>
    <w:p w:rsidR="005A3ED4" w:rsidP="005A3ED4" w14:paraId="24161B1D" w14:textId="0B4C7F0F">
      <w:pPr>
        <w:ind w:left="360"/>
        <w:rPr>
          <w:color w:val="000000"/>
        </w:rPr>
      </w:pPr>
      <w:r w:rsidRPr="004D7524">
        <w:rPr>
          <w:color w:val="000000"/>
        </w:rPr>
        <w:t xml:space="preserve">The Department published a 60-day Federal Register Notice and Request for Comments concerning this collection in the Federal Register on </w:t>
      </w:r>
      <w:r w:rsidR="003B5446">
        <w:rPr>
          <w:color w:val="000000"/>
        </w:rPr>
        <w:t>October 2, 2022</w:t>
      </w:r>
      <w:r w:rsidRPr="004D7524">
        <w:rPr>
          <w:color w:val="000000"/>
        </w:rPr>
        <w:t xml:space="preserve">, volume </w:t>
      </w:r>
      <w:r w:rsidRPr="004D7524" w:rsidR="003B5446">
        <w:rPr>
          <w:color w:val="000000"/>
        </w:rPr>
        <w:t>8</w:t>
      </w:r>
      <w:r w:rsidR="003B5446">
        <w:rPr>
          <w:color w:val="000000"/>
        </w:rPr>
        <w:t>7</w:t>
      </w:r>
      <w:r w:rsidRPr="004D7524">
        <w:rPr>
          <w:color w:val="000000"/>
        </w:rPr>
        <w:t xml:space="preserve">, number </w:t>
      </w:r>
      <w:r w:rsidRPr="004D7524" w:rsidR="003B5446">
        <w:rPr>
          <w:color w:val="000000"/>
        </w:rPr>
        <w:t>1</w:t>
      </w:r>
      <w:r w:rsidR="003B5446">
        <w:rPr>
          <w:color w:val="000000"/>
        </w:rPr>
        <w:t>94</w:t>
      </w:r>
      <w:r w:rsidRPr="004D7524">
        <w:rPr>
          <w:color w:val="000000"/>
        </w:rPr>
        <w:t xml:space="preserve">, page </w:t>
      </w:r>
      <w:r w:rsidR="003B5446">
        <w:rPr>
          <w:color w:val="000000"/>
        </w:rPr>
        <w:t xml:space="preserve">61007. </w:t>
      </w:r>
      <w:r>
        <w:rPr>
          <w:color w:val="000000"/>
        </w:rPr>
        <w:t xml:space="preserve"> </w:t>
      </w:r>
      <w:r w:rsidR="003B5446">
        <w:rPr>
          <w:color w:val="000000"/>
        </w:rPr>
        <w:t xml:space="preserve">The Department also published a 30-day Federal Register Notice and Request for Comments concerning this collection in the Federal Register on January 20, 2023, volume 88, number 13, page </w:t>
      </w:r>
      <w:r w:rsidR="00132F2F">
        <w:rPr>
          <w:color w:val="000000"/>
        </w:rPr>
        <w:t>3732</w:t>
      </w:r>
      <w:r w:rsidRPr="004D7524">
        <w:rPr>
          <w:color w:val="000000"/>
        </w:rPr>
        <w:t>.  The notice</w:t>
      </w:r>
      <w:r w:rsidR="00132F2F">
        <w:rPr>
          <w:color w:val="000000"/>
        </w:rPr>
        <w:t>s</w:t>
      </w:r>
      <w:r w:rsidRPr="004D7524">
        <w:rPr>
          <w:color w:val="000000"/>
        </w:rPr>
        <w:t xml:space="preserve"> described the collection and invited interested parties to submit comments or recommendations regarding the collection.  No comments were received</w:t>
      </w:r>
      <w:r w:rsidR="00132F2F">
        <w:rPr>
          <w:color w:val="000000"/>
        </w:rPr>
        <w:t xml:space="preserve"> for both 60-day and 30-day Federal Register Notices. </w:t>
      </w:r>
      <w:r w:rsidR="00C5745E">
        <w:rPr>
          <w:color w:val="000000"/>
        </w:rPr>
        <w:t xml:space="preserve"> Some DOE ES&amp;H reporting database information is available to the public on public facing dashboards.</w:t>
      </w:r>
      <w:r>
        <w:rPr>
          <w:color w:val="000000"/>
        </w:rPr>
        <w:t xml:space="preserve"> </w:t>
      </w:r>
      <w:r w:rsidR="00C5745E">
        <w:rPr>
          <w:color w:val="000000"/>
        </w:rPr>
        <w:t xml:space="preserve"> No additional efforts were made other than the formal 60-day and 30-day Federal Register Notices.</w:t>
      </w:r>
    </w:p>
    <w:p w:rsidR="008C734C" w:rsidP="00CA63E3" w14:paraId="7F1AE460" w14:textId="77777777">
      <w:pPr>
        <w:pStyle w:val="Heading2"/>
      </w:pPr>
      <w:bookmarkStart w:id="11" w:name="_Toc108505091"/>
      <w:r>
        <w:t>A.</w:t>
      </w:r>
      <w:r w:rsidRPr="00A41763" w:rsidR="00A41763">
        <w:t xml:space="preserve">9. </w:t>
      </w:r>
      <w:r w:rsidRPr="008C734C">
        <w:t>Payments or Gifts to Respondents</w:t>
      </w:r>
      <w:bookmarkEnd w:id="11"/>
      <w:r w:rsidRPr="008C734C">
        <w:t xml:space="preserve"> </w:t>
      </w:r>
    </w:p>
    <w:p w:rsidR="00A41763" w:rsidRPr="00A41763" w:rsidP="00A41763" w14:paraId="45B82399" w14:textId="77777777">
      <w:r w:rsidRPr="00A41763">
        <w:rPr>
          <w:b/>
          <w:bCs/>
        </w:rPr>
        <w:t>Explain any decision to provide any payment or gift to respondents, oth</w:t>
      </w:r>
      <w:r w:rsidRPr="00A41763">
        <w:rPr>
          <w:b/>
          <w:bCs/>
        </w:rPr>
        <w:t xml:space="preserve">er than </w:t>
      </w:r>
      <w:r w:rsidRPr="00A41763" w:rsidR="001A6E9A">
        <w:rPr>
          <w:b/>
          <w:bCs/>
        </w:rPr>
        <w:t>remuneration</w:t>
      </w:r>
      <w:r w:rsidRPr="00A41763">
        <w:rPr>
          <w:b/>
          <w:bCs/>
        </w:rPr>
        <w:t xml:space="preserve"> of contractors or grantees. </w:t>
      </w:r>
    </w:p>
    <w:p w:rsidR="005A3ED4" w:rsidP="005A3ED4" w14:paraId="443A6DA3" w14:textId="77777777">
      <w:pPr>
        <w:ind w:left="360"/>
      </w:pPr>
      <w:r w:rsidRPr="004D7524">
        <w:t>There is no remuneration given for submission of any of the information other than the fact that the expense of responding is treated as an allowable cost for contractors.</w:t>
      </w:r>
    </w:p>
    <w:p w:rsidR="008C734C" w:rsidP="00CA63E3" w14:paraId="108CE3E1" w14:textId="77777777">
      <w:pPr>
        <w:pStyle w:val="Heading2"/>
      </w:pPr>
      <w:bookmarkStart w:id="12" w:name="_Toc108505092"/>
      <w:r>
        <w:t>A.</w:t>
      </w:r>
      <w:r w:rsidRPr="00A41763" w:rsidR="00A41763">
        <w:t xml:space="preserve">10. </w:t>
      </w:r>
      <w:r w:rsidRPr="008C734C">
        <w:t>Provisions for Protection of</w:t>
      </w:r>
      <w:r w:rsidRPr="008C734C">
        <w:t xml:space="preserve"> Information</w:t>
      </w:r>
      <w:bookmarkEnd w:id="12"/>
      <w:r w:rsidRPr="008C734C">
        <w:t xml:space="preserve"> </w:t>
      </w:r>
    </w:p>
    <w:p w:rsidR="00A41763" w:rsidRPr="00A41763" w:rsidP="00A41763" w14:paraId="080EE42A" w14:textId="77777777">
      <w:r w:rsidRPr="00A41763">
        <w:rPr>
          <w:b/>
          <w:bCs/>
        </w:rPr>
        <w:t xml:space="preserve">Describe any assurance of confidentiality provided to respondents and the basis for the assurance in statute, regulation, or agency policy. </w:t>
      </w:r>
    </w:p>
    <w:p w:rsidR="00A44A94" w:rsidRPr="004D7524" w:rsidP="00A44A94" w14:paraId="3E53E64A" w14:textId="77777777">
      <w:pPr>
        <w:ind w:left="360"/>
      </w:pPr>
      <w:r w:rsidRPr="004D7524">
        <w:t>The sensitivity of information provided by respondents is assured by the Department’s practices in ac</w:t>
      </w:r>
      <w:r w:rsidRPr="004D7524">
        <w:t>cordance with the following statute, regulation, and policies.</w:t>
      </w:r>
    </w:p>
    <w:p w:rsidR="00A44A94" w:rsidRPr="004D7524" w:rsidP="00A44A94" w14:paraId="33B68637" w14:textId="77777777">
      <w:pPr>
        <w:numPr>
          <w:ilvl w:val="1"/>
          <w:numId w:val="9"/>
        </w:numPr>
        <w:tabs>
          <w:tab w:val="num" w:pos="720"/>
          <w:tab w:val="clear" w:pos="864"/>
        </w:tabs>
        <w:spacing w:after="0" w:line="240" w:lineRule="auto"/>
        <w:ind w:left="360"/>
      </w:pPr>
      <w:r w:rsidRPr="004D7524">
        <w:t>Privacy Act of 1974, as amended</w:t>
      </w:r>
    </w:p>
    <w:p w:rsidR="00A44A94" w:rsidRPr="004D7524" w:rsidP="00A44A94" w14:paraId="7C47C3F1" w14:textId="77777777">
      <w:pPr>
        <w:numPr>
          <w:ilvl w:val="1"/>
          <w:numId w:val="9"/>
        </w:numPr>
        <w:tabs>
          <w:tab w:val="num" w:pos="720"/>
          <w:tab w:val="clear" w:pos="864"/>
        </w:tabs>
        <w:spacing w:after="0" w:line="240" w:lineRule="auto"/>
        <w:ind w:left="360"/>
      </w:pPr>
      <w:r w:rsidRPr="004D7524">
        <w:t xml:space="preserve">DOE Order 206.1, </w:t>
      </w:r>
      <w:r w:rsidRPr="004D7524">
        <w:rPr>
          <w:i/>
        </w:rPr>
        <w:t>Department of Energy Privacy Program,</w:t>
      </w:r>
      <w:r w:rsidRPr="004D7524">
        <w:t xml:space="preserve"> 11/1/18</w:t>
      </w:r>
    </w:p>
    <w:p w:rsidR="00A44A94" w:rsidRPr="004D7524" w:rsidP="00A44A94" w14:paraId="6834FE31" w14:textId="77777777">
      <w:pPr>
        <w:numPr>
          <w:ilvl w:val="1"/>
          <w:numId w:val="9"/>
        </w:numPr>
        <w:tabs>
          <w:tab w:val="num" w:pos="720"/>
          <w:tab w:val="clear" w:pos="864"/>
        </w:tabs>
        <w:spacing w:after="0" w:line="240" w:lineRule="auto"/>
        <w:ind w:left="360"/>
      </w:pPr>
      <w:r w:rsidRPr="004D7524">
        <w:t xml:space="preserve">DOE Order 205.1C, </w:t>
      </w:r>
      <w:r w:rsidRPr="004D7524">
        <w:rPr>
          <w:i/>
        </w:rPr>
        <w:t>Department of Energy Cyber Security Program</w:t>
      </w:r>
      <w:r w:rsidRPr="004D7524">
        <w:t xml:space="preserve">, </w:t>
      </w:r>
      <w:r>
        <w:t>2/3/22</w:t>
      </w:r>
    </w:p>
    <w:p w:rsidR="00A44A94" w:rsidRPr="004D7524" w:rsidP="00A44A94" w14:paraId="54089190" w14:textId="77777777">
      <w:pPr>
        <w:numPr>
          <w:ilvl w:val="1"/>
          <w:numId w:val="9"/>
        </w:numPr>
        <w:tabs>
          <w:tab w:val="num" w:pos="720"/>
          <w:tab w:val="clear" w:pos="864"/>
        </w:tabs>
        <w:spacing w:after="0" w:line="240" w:lineRule="auto"/>
        <w:ind w:left="360"/>
      </w:pPr>
      <w:r w:rsidRPr="004D7524">
        <w:t xml:space="preserve">DOE Order 200.2, </w:t>
      </w:r>
      <w:r w:rsidRPr="004D7524">
        <w:rPr>
          <w:i/>
        </w:rPr>
        <w:t>Information Collection Management Program</w:t>
      </w:r>
      <w:r w:rsidRPr="004D7524">
        <w:t>, 10/11/06</w:t>
      </w:r>
    </w:p>
    <w:p w:rsidR="00A44A94" w:rsidRPr="004D7524" w:rsidP="00A44A94" w14:paraId="67C53380" w14:textId="77777777">
      <w:pPr>
        <w:numPr>
          <w:ilvl w:val="1"/>
          <w:numId w:val="9"/>
        </w:numPr>
        <w:tabs>
          <w:tab w:val="num" w:pos="720"/>
          <w:tab w:val="clear" w:pos="864"/>
        </w:tabs>
        <w:spacing w:after="0" w:line="240" w:lineRule="auto"/>
        <w:ind w:left="360"/>
      </w:pPr>
      <w:r w:rsidRPr="004D7524">
        <w:t xml:space="preserve">DOE Order 231.1B, </w:t>
      </w:r>
      <w:r w:rsidRPr="004D7524">
        <w:rPr>
          <w:i/>
        </w:rPr>
        <w:t>Environment, Safety, and Health Reporting</w:t>
      </w:r>
      <w:r w:rsidRPr="004D7524">
        <w:t>, 11/28/12</w:t>
      </w:r>
    </w:p>
    <w:p w:rsidR="00A44A94" w:rsidRPr="004D7524" w:rsidP="00A44A94" w14:paraId="1355AED0" w14:textId="77777777">
      <w:pPr>
        <w:numPr>
          <w:ilvl w:val="1"/>
          <w:numId w:val="9"/>
        </w:numPr>
        <w:tabs>
          <w:tab w:val="num" w:pos="720"/>
          <w:tab w:val="clear" w:pos="864"/>
        </w:tabs>
        <w:spacing w:after="0" w:line="240" w:lineRule="auto"/>
        <w:ind w:left="360"/>
      </w:pPr>
      <w:r w:rsidRPr="004D7524">
        <w:t xml:space="preserve">DOE Order 414.1D, </w:t>
      </w:r>
      <w:r w:rsidRPr="004D7524">
        <w:rPr>
          <w:i/>
        </w:rPr>
        <w:t>Quality Assurance</w:t>
      </w:r>
      <w:r w:rsidRPr="004D7524">
        <w:t xml:space="preserve">, </w:t>
      </w:r>
      <w:r>
        <w:t>9/15/20</w:t>
      </w:r>
    </w:p>
    <w:p w:rsidR="00A44A94" w:rsidRPr="004D7524" w:rsidP="00A44A94" w14:paraId="592017F6" w14:textId="77777777">
      <w:pPr>
        <w:numPr>
          <w:ilvl w:val="1"/>
          <w:numId w:val="9"/>
        </w:numPr>
        <w:tabs>
          <w:tab w:val="num" w:pos="720"/>
          <w:tab w:val="clear" w:pos="864"/>
        </w:tabs>
        <w:spacing w:after="0" w:line="240" w:lineRule="auto"/>
        <w:ind w:left="360"/>
      </w:pPr>
      <w:r w:rsidRPr="004D7524">
        <w:rPr>
          <w:color w:val="000000"/>
        </w:rPr>
        <w:t xml:space="preserve">DOE Order 210.2A, </w:t>
      </w:r>
      <w:r w:rsidRPr="004D7524">
        <w:rPr>
          <w:i/>
          <w:color w:val="000000"/>
        </w:rPr>
        <w:t>DOE Corporate Operating Experience Program</w:t>
      </w:r>
      <w:r w:rsidRPr="004D7524">
        <w:rPr>
          <w:color w:val="000000"/>
        </w:rPr>
        <w:t xml:space="preserve">, </w:t>
      </w:r>
      <w:r w:rsidRPr="004D7524">
        <w:rPr>
          <w:color w:val="000000"/>
        </w:rPr>
        <w:t>4/8/11</w:t>
      </w:r>
    </w:p>
    <w:p w:rsidR="00A44A94" w:rsidP="00A44A94" w14:paraId="3F440D43" w14:textId="77777777">
      <w:pPr>
        <w:numPr>
          <w:ilvl w:val="1"/>
          <w:numId w:val="9"/>
        </w:numPr>
        <w:tabs>
          <w:tab w:val="num" w:pos="720"/>
          <w:tab w:val="clear" w:pos="864"/>
        </w:tabs>
        <w:spacing w:after="0" w:line="240" w:lineRule="auto"/>
        <w:ind w:left="360"/>
      </w:pPr>
      <w:r w:rsidRPr="004D7524">
        <w:t xml:space="preserve">DOE Order 232.2A, </w:t>
      </w:r>
      <w:r w:rsidRPr="004D7524">
        <w:rPr>
          <w:i/>
        </w:rPr>
        <w:t>Occurrence Reporting and Processing of Operations Information</w:t>
      </w:r>
      <w:r w:rsidRPr="004D7524">
        <w:t xml:space="preserve">, </w:t>
      </w:r>
      <w:r>
        <w:t>10/4/19</w:t>
      </w:r>
    </w:p>
    <w:p w:rsidR="00F056C3" w:rsidP="00CA63E3" w14:paraId="30BD9576" w14:textId="77777777">
      <w:pPr>
        <w:pStyle w:val="Heading2"/>
      </w:pPr>
      <w:bookmarkStart w:id="13" w:name="_Toc108505093"/>
      <w:r>
        <w:t>A.</w:t>
      </w:r>
      <w:r w:rsidRPr="00A41763" w:rsidR="00A41763">
        <w:t xml:space="preserve">11. </w:t>
      </w:r>
      <w:r w:rsidRPr="00F056C3">
        <w:t>Justification for Sensitive Questions</w:t>
      </w:r>
      <w:bookmarkEnd w:id="13"/>
      <w:r w:rsidRPr="00F056C3">
        <w:t xml:space="preserve"> </w:t>
      </w:r>
    </w:p>
    <w:p w:rsidR="00A41763" w:rsidRPr="00A41763" w:rsidP="00A41763" w14:paraId="741BACB3" w14:textId="77777777">
      <w:r w:rsidRPr="00A41763">
        <w:rPr>
          <w:b/>
          <w:bCs/>
        </w:rPr>
        <w:t>Provide additional justification for any questions of a sensitive nature, such as sexual behavior and attitudes, re</w:t>
      </w:r>
      <w:r w:rsidRPr="00A41763">
        <w:rPr>
          <w:b/>
          <w:bCs/>
        </w:rPr>
        <w:t>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the explanation to be given to persons from w</w:t>
      </w:r>
      <w:r w:rsidRPr="00A41763">
        <w:rPr>
          <w:b/>
          <w:bCs/>
        </w:rPr>
        <w:t xml:space="preserve">hom the information is requested, and any steps to be taken to obtain their consent. </w:t>
      </w:r>
    </w:p>
    <w:p w:rsidR="00A44A94" w:rsidRPr="004D7524" w:rsidP="00A44A94" w14:paraId="64BD5140" w14:textId="77777777">
      <w:pPr>
        <w:ind w:left="360" w:right="-180"/>
      </w:pPr>
      <w:r w:rsidRPr="004D7524">
        <w:t xml:space="preserve">This information collection </w:t>
      </w:r>
      <w:r w:rsidRPr="00D421A1">
        <w:rPr>
          <w:bCs/>
        </w:rPr>
        <w:t>does not</w:t>
      </w:r>
      <w:r w:rsidRPr="004D7524">
        <w:t xml:space="preserve"> collect information pertaining to sexual behavior, attitudes, or religious beliefs.</w:t>
      </w:r>
    </w:p>
    <w:p w:rsidR="00A44A94" w:rsidRPr="004D7524" w:rsidP="00A44A94" w14:paraId="4DE2F8C3" w14:textId="77777777">
      <w:pPr>
        <w:pStyle w:val="BodyTextIndent"/>
      </w:pPr>
      <w:r w:rsidRPr="004D7524">
        <w:t>Collections that involve questions of a sensitive</w:t>
      </w:r>
      <w:r w:rsidRPr="004D7524">
        <w:t>, personal, or private nature, including Personally Identifiable Information (PII) are protected from disclosure under Departmental directives.</w:t>
      </w:r>
    </w:p>
    <w:p w:rsidR="00A44A94" w:rsidRPr="00CE7EA2" w:rsidP="00A44A94" w14:paraId="176E3BFD" w14:textId="77777777">
      <w:pPr>
        <w:pStyle w:val="BodyTextIndent"/>
      </w:pPr>
      <w:r w:rsidRPr="00CE7EA2">
        <w:t>PII Directives/Guidance:</w:t>
      </w:r>
    </w:p>
    <w:p w:rsidR="00A44A94" w:rsidRPr="00CE7EA2" w:rsidP="00A44A94" w14:paraId="7B002901" w14:textId="77777777">
      <w:pPr>
        <w:pStyle w:val="BodyTextIndent"/>
        <w:numPr>
          <w:ilvl w:val="0"/>
          <w:numId w:val="10"/>
        </w:numPr>
        <w:spacing w:after="0" w:line="240" w:lineRule="auto"/>
      </w:pPr>
      <w:r w:rsidRPr="00CE7EA2">
        <w:t>In accordance with the Privacy Act, DOE has established requirements for the protection</w:t>
      </w:r>
      <w:r w:rsidRPr="00CE7EA2">
        <w:t xml:space="preserve"> of PII in DOE Order 206.1, DOE Privacy Program, and DOE Order 205.1C, Department of Energy Cyber Security Program</w:t>
      </w:r>
    </w:p>
    <w:p w:rsidR="00A44A94" w:rsidRPr="000F3F64" w:rsidP="00A44A94" w14:paraId="5032123C" w14:textId="77777777">
      <w:pPr>
        <w:pStyle w:val="ListParagraph"/>
        <w:numPr>
          <w:ilvl w:val="0"/>
          <w:numId w:val="10"/>
        </w:numPr>
        <w:spacing w:after="0" w:line="240" w:lineRule="auto"/>
        <w:contextualSpacing w:val="0"/>
      </w:pPr>
      <w:r w:rsidRPr="000F3F64">
        <w:t>Privacy Act of 1974, as amended at Title 5 USC 552a, Section 208 of the E-Government Act of 2002</w:t>
      </w:r>
    </w:p>
    <w:p w:rsidR="00A44A94" w:rsidRPr="000F3F64" w:rsidP="00A44A94" w14:paraId="2BF25FD7" w14:textId="77777777">
      <w:pPr>
        <w:pStyle w:val="ListParagraph"/>
        <w:numPr>
          <w:ilvl w:val="0"/>
          <w:numId w:val="10"/>
        </w:numPr>
        <w:spacing w:after="0" w:line="240" w:lineRule="auto"/>
        <w:contextualSpacing w:val="0"/>
      </w:pPr>
      <w:r w:rsidRPr="000F3F64">
        <w:t>DOE employees are made aware of their respon</w:t>
      </w:r>
      <w:r w:rsidRPr="000F3F64">
        <w:t>sibilities to protect PII through the mandatory DOE Privacy Awareness Training: The Privacy Act and Safeguarding Personally Identifiable Information (PII).</w:t>
      </w:r>
    </w:p>
    <w:p w:rsidR="00A44A94" w:rsidRPr="000F3F64" w:rsidP="00A44A94" w14:paraId="0C537EFE" w14:textId="77777777">
      <w:pPr>
        <w:pStyle w:val="ListParagraph"/>
        <w:numPr>
          <w:ilvl w:val="0"/>
          <w:numId w:val="10"/>
        </w:numPr>
        <w:spacing w:after="0" w:line="240" w:lineRule="auto"/>
        <w:contextualSpacing w:val="0"/>
      </w:pPr>
      <w:r w:rsidRPr="000F3F64">
        <w:t>Federal Register Notice, January 9, 2009, Privacy Act of 1974, Publication of Privacy Act Systems of</w:t>
      </w:r>
      <w:r w:rsidRPr="000F3F64">
        <w:t xml:space="preserve"> Records; Notice/Vol. 74, No. 6</w:t>
      </w:r>
      <w:r w:rsidRPr="000F3F64">
        <w:br/>
      </w:r>
    </w:p>
    <w:p w:rsidR="00A44A94" w:rsidRPr="004D7524" w:rsidP="00A44A94" w14:paraId="7A3B9F7A" w14:textId="77777777">
      <w:r w:rsidRPr="004D7524">
        <w:t>The following data sets may or may not have PII and a recent Privacy Impact Assessment (PIA), however, with the exception of the one as noted, there is no System of Records Notice (SORN) for these data sets as the informati</w:t>
      </w:r>
      <w:r w:rsidRPr="004D7524">
        <w:t xml:space="preserve">on cannot be retrieved or sorted by personal identifier.   </w:t>
      </w:r>
    </w:p>
    <w:p w:rsidR="00A44A94" w:rsidRPr="004D7524" w:rsidP="00A44A94" w14:paraId="5C61F6EA" w14:textId="77777777">
      <w:pPr>
        <w:numPr>
          <w:ilvl w:val="0"/>
          <w:numId w:val="11"/>
        </w:numPr>
        <w:spacing w:after="120" w:line="240" w:lineRule="auto"/>
      </w:pPr>
      <w:r w:rsidRPr="004D7524">
        <w:t>CAIRS is a database used to collect and analyze DOE and DOE contractor reports of injuries, illnesses, and other accidents that occur during DOE operations.  PII, PIA, No SORN.</w:t>
      </w:r>
    </w:p>
    <w:p w:rsidR="00A44A94" w:rsidRPr="004D7524" w:rsidP="00A44A94" w14:paraId="354A68EB" w14:textId="77777777">
      <w:pPr>
        <w:numPr>
          <w:ilvl w:val="0"/>
          <w:numId w:val="11"/>
        </w:numPr>
        <w:spacing w:after="120" w:line="240" w:lineRule="auto"/>
      </w:pPr>
      <w:r w:rsidRPr="004D7524">
        <w:t xml:space="preserve">ORPS permits </w:t>
      </w:r>
      <w:r w:rsidRPr="004D7524">
        <w:t>notification to the DOE complex of events that could adversely affect public or DOE worker health and safety, the environment, or operations of DOE facilities. PII, PIA, No SORN</w:t>
      </w:r>
      <w:r w:rsidR="00054B18">
        <w:t>.</w:t>
      </w:r>
    </w:p>
    <w:p w:rsidR="00A44A94" w:rsidRPr="004D7524" w:rsidP="00A44A94" w14:paraId="02A7C728" w14:textId="77777777">
      <w:pPr>
        <w:numPr>
          <w:ilvl w:val="0"/>
          <w:numId w:val="11"/>
        </w:numPr>
        <w:spacing w:after="120" w:line="240" w:lineRule="auto"/>
      </w:pPr>
      <w:r w:rsidRPr="004D7524">
        <w:t xml:space="preserve">REMS is a database of occupational radiation exposures for all monitored DOE </w:t>
      </w:r>
      <w:r w:rsidRPr="004D7524">
        <w:t xml:space="preserve">employees, contractors, subcontractors and members of the public.  The Rule 10 CFR 835.702 (a) and (b), </w:t>
      </w:r>
      <w:r w:rsidRPr="004D7524">
        <w:rPr>
          <w:i/>
        </w:rPr>
        <w:t>Occupational Radiation Program</w:t>
      </w:r>
      <w:r w:rsidRPr="004D7524">
        <w:t xml:space="preserve">, requires Annual Individual Radiation Exposure Records to be recorded, and reported to the Radiation Exposure Monitoring </w:t>
      </w:r>
      <w:r w:rsidRPr="004D7524">
        <w:t>System Repository.  PII, DOE SORN #35.</w:t>
      </w:r>
    </w:p>
    <w:p w:rsidR="00A44A94" w:rsidRPr="00CE7EA2" w:rsidP="00A44A94" w14:paraId="798FFD74" w14:textId="77777777">
      <w:pPr>
        <w:numPr>
          <w:ilvl w:val="0"/>
          <w:numId w:val="11"/>
        </w:numPr>
        <w:spacing w:after="120" w:line="240" w:lineRule="auto"/>
      </w:pPr>
      <w:r w:rsidRPr="00CE7EA2">
        <w:t xml:space="preserve">The Fire Protection database contains information from reporting contractors and subcontractors for the </w:t>
      </w:r>
      <w:r w:rsidRPr="00CE7EA2">
        <w:rPr>
          <w:i/>
        </w:rPr>
        <w:t>Annual Fire Protection Program Summary.</w:t>
      </w:r>
      <w:r w:rsidRPr="00CE7EA2">
        <w:t xml:space="preserve">  No PII, PIA, No SORN</w:t>
      </w:r>
      <w:r w:rsidR="00192694">
        <w:t>.</w:t>
      </w:r>
    </w:p>
    <w:p w:rsidR="00A44A94" w:rsidRPr="00CE7EA2" w:rsidP="00A44A94" w14:paraId="23FB46A0" w14:textId="77777777">
      <w:pPr>
        <w:numPr>
          <w:ilvl w:val="0"/>
          <w:numId w:val="11"/>
        </w:numPr>
        <w:spacing w:after="120" w:line="240" w:lineRule="auto"/>
      </w:pPr>
      <w:r w:rsidRPr="00CE7EA2">
        <w:t>Safety Basis Information System was created to mee</w:t>
      </w:r>
      <w:r w:rsidRPr="00CE7EA2">
        <w:t xml:space="preserve">t the requirement in 10 CFR 830, </w:t>
      </w:r>
      <w:r w:rsidRPr="00CE7EA2">
        <w:rPr>
          <w:i/>
        </w:rPr>
        <w:t>Nuclear Safety Management</w:t>
      </w:r>
      <w:r w:rsidRPr="00CE7EA2">
        <w:t xml:space="preserve">, which requires contractors and operators of DOE hazard category 1, 2, and 3 nuclear facilities to develop and maintain a Safety Basis for each facility and to perform work in accordance with that </w:t>
      </w:r>
      <w:r w:rsidRPr="00CE7EA2">
        <w:t>Safety Basis.  It also provides DOE line managers with a tool for obtaining regularly updated profiles of the entire inventory of Safety Bases for DOE hazard category 1, 2, and 3 nuclear facilities.  No PII, PIA, No SORN</w:t>
      </w:r>
      <w:r w:rsidR="00054B18">
        <w:t>.</w:t>
      </w:r>
    </w:p>
    <w:p w:rsidR="00A44A94" w:rsidRPr="000F3F64" w:rsidP="00A44A94" w14:paraId="79D13FDD" w14:textId="77777777">
      <w:pPr>
        <w:pStyle w:val="NormalWeb"/>
        <w:numPr>
          <w:ilvl w:val="0"/>
          <w:numId w:val="11"/>
        </w:numPr>
        <w:spacing w:before="100" w:beforeAutospacing="1" w:after="120" w:line="240" w:lineRule="auto"/>
        <w:rPr>
          <w:rFonts w:asciiTheme="minorHAnsi" w:hAnsiTheme="minorHAnsi"/>
          <w:sz w:val="22"/>
          <w:szCs w:val="22"/>
        </w:rPr>
      </w:pPr>
      <w:r w:rsidRPr="000F3F64">
        <w:rPr>
          <w:rFonts w:asciiTheme="minorHAnsi" w:hAnsiTheme="minorHAnsi"/>
          <w:color w:val="000000"/>
          <w:sz w:val="22"/>
          <w:szCs w:val="22"/>
        </w:rPr>
        <w:t>DOE OPEXShare Lessons Learned System supports and promotes the integration and sharing of information both internally and externally, to DOE, in order to prevent adverse operating incidents, improve operational safety awareness and mission quality, and sup</w:t>
      </w:r>
      <w:r w:rsidRPr="000F3F64">
        <w:rPr>
          <w:rFonts w:asciiTheme="minorHAnsi" w:hAnsiTheme="minorHAnsi"/>
          <w:color w:val="000000"/>
          <w:sz w:val="22"/>
          <w:szCs w:val="22"/>
        </w:rPr>
        <w:t>port a learning organization culture.  No PII, PIA, No SORN</w:t>
      </w:r>
      <w:r w:rsidR="00054B18">
        <w:rPr>
          <w:rFonts w:asciiTheme="minorHAnsi" w:hAnsiTheme="minorHAnsi"/>
          <w:color w:val="000000"/>
          <w:sz w:val="22"/>
          <w:szCs w:val="22"/>
        </w:rPr>
        <w:t>.</w:t>
      </w:r>
    </w:p>
    <w:p w:rsidR="00F056C3" w:rsidP="00CA63E3" w14:paraId="6B8BF605" w14:textId="77777777">
      <w:pPr>
        <w:pStyle w:val="Heading2"/>
      </w:pPr>
      <w:bookmarkStart w:id="14" w:name="_Toc108505094"/>
      <w:r>
        <w:t>A.</w:t>
      </w:r>
      <w:r w:rsidRPr="00A41763" w:rsidR="00A41763">
        <w:t>12</w:t>
      </w:r>
      <w:r w:rsidR="006F3C12">
        <w:t>A</w:t>
      </w:r>
      <w:r w:rsidRPr="00A41763" w:rsidR="00A41763">
        <w:t xml:space="preserve">. </w:t>
      </w:r>
      <w:r w:rsidRPr="00F056C3">
        <w:t>Estimate of Respondent Burden Hours</w:t>
      </w:r>
      <w:bookmarkEnd w:id="14"/>
      <w:r w:rsidRPr="00F056C3">
        <w:t xml:space="preserve"> </w:t>
      </w:r>
    </w:p>
    <w:p w:rsidR="00AC69E8" w:rsidP="00AC69E8" w14:paraId="736A1E04" w14:textId="77777777">
      <w:pPr>
        <w:pStyle w:val="Default"/>
      </w:pPr>
      <w:r w:rsidRPr="00A41763">
        <w:rPr>
          <w:b/>
          <w:bCs/>
        </w:rPr>
        <w:t xml:space="preserve">Provide estimates of the hour burden of the collection of information. The statement should indicate the number of respondents, frequency of response, </w:t>
      </w:r>
      <w:r w:rsidRPr="00A41763">
        <w:rPr>
          <w:b/>
          <w:bCs/>
        </w:rPr>
        <w:t xml:space="preserve">annual hour burden, and </w:t>
      </w:r>
      <w:r w:rsidRPr="00537A91">
        <w:rPr>
          <w:b/>
          <w:bCs/>
          <w:u w:val="single"/>
        </w:rPr>
        <w:t>an explanation of how the burden was estimated</w:t>
      </w:r>
      <w:r w:rsidRPr="00A41763">
        <w:rPr>
          <w:b/>
          <w:bCs/>
        </w:rPr>
        <w:t>. Unless directed to do so, DOE should not conduct special surveys to obtain information on which to base hour burden estimates. Consultation with a sample fewer than 10 potential respon</w:t>
      </w:r>
      <w:r w:rsidRPr="00A41763">
        <w:rPr>
          <w:b/>
          <w:bCs/>
        </w:rPr>
        <w:t xml:space="preserve">dents is desirable. </w:t>
      </w:r>
    </w:p>
    <w:p w:rsidR="00555876" w:rsidP="002E4FAD" w14:paraId="490E7790" w14:textId="77777777">
      <w:pPr>
        <w:pStyle w:val="Default"/>
        <w:rPr>
          <w:i/>
          <w:iCs/>
        </w:rPr>
      </w:pPr>
    </w:p>
    <w:p w:rsidR="00555876" w:rsidP="00555876" w14:paraId="4B0DAFBF" w14:textId="77777777">
      <w:pPr>
        <w:pStyle w:val="BodyTextIndent"/>
        <w:rPr>
          <w:b/>
        </w:rPr>
      </w:pPr>
      <w:r w:rsidRPr="004D7524">
        <w:t xml:space="preserve">The estimated burden hours are the sum of the burden reported by Departmental elements and field organizations as compiled from their respective contractors or estimated by expert personnel familiar with these collections.  The chart </w:t>
      </w:r>
      <w:r w:rsidRPr="004D7524">
        <w:t xml:space="preserve">below provides information for each collection.  The consolidated annual burden hours of this package is </w:t>
      </w:r>
      <w:r>
        <w:t>33,</w:t>
      </w:r>
      <w:r w:rsidR="002F5B07">
        <w:t>771</w:t>
      </w:r>
      <w:r w:rsidRPr="004D7524">
        <w:t xml:space="preserve"> hours and the total annual responses </w:t>
      </w:r>
      <w:r w:rsidR="00054B18">
        <w:t>is</w:t>
      </w:r>
      <w:r w:rsidRPr="004D7524" w:rsidR="00054B18">
        <w:t xml:space="preserve"> </w:t>
      </w:r>
      <w:r>
        <w:t>73,</w:t>
      </w:r>
      <w:r w:rsidR="002F5B07">
        <w:t>040</w:t>
      </w:r>
      <w:r w:rsidRPr="004D7524">
        <w:rPr>
          <w:b/>
        </w:rPr>
        <w:t>.</w:t>
      </w:r>
    </w:p>
    <w:p w:rsidR="002E4FAD" w:rsidP="00A41763" w14:paraId="671C0375" w14:textId="77777777">
      <w:pPr>
        <w:rPr>
          <w:b/>
          <w:bCs/>
        </w:rPr>
      </w:pPr>
    </w:p>
    <w:tbl>
      <w:tblPr>
        <w:tblW w:w="10020" w:type="dxa"/>
        <w:tblLook w:val="04A0"/>
      </w:tblPr>
      <w:tblGrid>
        <w:gridCol w:w="1830"/>
        <w:gridCol w:w="2314"/>
        <w:gridCol w:w="1296"/>
        <w:gridCol w:w="1158"/>
        <w:gridCol w:w="1157"/>
        <w:gridCol w:w="1155"/>
        <w:gridCol w:w="1110"/>
      </w:tblGrid>
      <w:tr w14:paraId="0D342103" w14:textId="77777777" w:rsidTr="006F3C12">
        <w:tblPrEx>
          <w:tblW w:w="10020" w:type="dxa"/>
          <w:tblLook w:val="04A0"/>
        </w:tblPrEx>
        <w:trPr>
          <w:trHeight w:val="360"/>
        </w:trPr>
        <w:tc>
          <w:tcPr>
            <w:tcW w:w="8910" w:type="dxa"/>
            <w:gridSpan w:val="6"/>
            <w:tcBorders>
              <w:top w:val="nil"/>
              <w:left w:val="nil"/>
              <w:bottom w:val="single" w:sz="4" w:space="0" w:color="auto"/>
              <w:right w:val="nil"/>
            </w:tcBorders>
            <w:shd w:val="clear" w:color="auto" w:fill="auto"/>
            <w:hideMark/>
          </w:tcPr>
          <w:p w:rsidR="006F3C12" w:rsidRPr="006F3C12" w:rsidP="006F3C12" w14:paraId="38BD8DE0" w14:textId="77777777">
            <w:pPr>
              <w:spacing w:after="0" w:line="240" w:lineRule="auto"/>
              <w:jc w:val="center"/>
              <w:rPr>
                <w:rFonts w:ascii="Calibri" w:eastAsia="Times New Roman" w:hAnsi="Calibri" w:cs="Arial"/>
                <w:b/>
                <w:bCs/>
                <w:color w:val="0070C0"/>
                <w:sz w:val="28"/>
                <w:szCs w:val="28"/>
              </w:rPr>
            </w:pPr>
            <w:r w:rsidRPr="006F3C12">
              <w:rPr>
                <w:rFonts w:ascii="Calibri" w:eastAsia="Times New Roman" w:hAnsi="Calibri" w:cs="Arial"/>
                <w:b/>
                <w:bCs/>
                <w:color w:val="0070C0"/>
                <w:sz w:val="28"/>
                <w:szCs w:val="28"/>
              </w:rPr>
              <w:t xml:space="preserve">Table A1. Estimated Respondent </w:t>
            </w:r>
            <w:r w:rsidR="00537A91">
              <w:rPr>
                <w:rFonts w:ascii="Calibri" w:eastAsia="Times New Roman" w:hAnsi="Calibri" w:cs="Arial"/>
                <w:b/>
                <w:bCs/>
                <w:color w:val="0070C0"/>
                <w:sz w:val="28"/>
                <w:szCs w:val="28"/>
              </w:rPr>
              <w:t xml:space="preserve">Hour </w:t>
            </w:r>
            <w:r w:rsidRPr="006F3C12">
              <w:rPr>
                <w:rFonts w:ascii="Calibri" w:eastAsia="Times New Roman" w:hAnsi="Calibri"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006F3C12" w:rsidRPr="006F3C12" w:rsidP="006F3C12" w14:paraId="5AF89334" w14:textId="77777777">
            <w:pPr>
              <w:spacing w:after="0" w:line="240" w:lineRule="auto"/>
              <w:jc w:val="center"/>
              <w:rPr>
                <w:rFonts w:ascii="Calibri" w:eastAsia="Times New Roman" w:hAnsi="Calibri" w:cs="Arial"/>
                <w:b/>
                <w:bCs/>
                <w:color w:val="0070C0"/>
                <w:sz w:val="28"/>
                <w:szCs w:val="28"/>
              </w:rPr>
            </w:pPr>
          </w:p>
        </w:tc>
      </w:tr>
      <w:tr w14:paraId="65BDDB9C" w14:textId="77777777" w:rsidTr="00BE37E0">
        <w:tblPrEx>
          <w:tblW w:w="10020" w:type="dxa"/>
          <w:tblLook w:val="04A0"/>
        </w:tblPrEx>
        <w:trPr>
          <w:trHeight w:val="765"/>
        </w:trPr>
        <w:tc>
          <w:tcPr>
            <w:tcW w:w="1830" w:type="dxa"/>
            <w:tcBorders>
              <w:top w:val="nil"/>
              <w:left w:val="single" w:sz="4" w:space="0" w:color="auto"/>
              <w:bottom w:val="single" w:sz="4" w:space="0" w:color="auto"/>
              <w:right w:val="single" w:sz="4" w:space="0" w:color="auto"/>
            </w:tcBorders>
            <w:shd w:val="clear" w:color="000000" w:fill="00B0F0"/>
            <w:vAlign w:val="center"/>
            <w:hideMark/>
          </w:tcPr>
          <w:p w:rsidR="006F3C12" w:rsidRPr="006F3C12" w:rsidP="006F3C12" w14:paraId="23E331E1"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 xml:space="preserve">Form Number/Title (and/or other </w:t>
            </w:r>
            <w:r w:rsidRPr="006F3C12">
              <w:rPr>
                <w:rFonts w:ascii="Calibri" w:eastAsia="Times New Roman" w:hAnsi="Calibri" w:cs="Arial"/>
                <w:b/>
                <w:bCs/>
                <w:sz w:val="20"/>
                <w:szCs w:val="20"/>
              </w:rPr>
              <w:t>Collection Instrument name)</w:t>
            </w:r>
          </w:p>
        </w:tc>
        <w:tc>
          <w:tcPr>
            <w:tcW w:w="2314" w:type="dxa"/>
            <w:tcBorders>
              <w:top w:val="nil"/>
              <w:left w:val="nil"/>
              <w:bottom w:val="single" w:sz="4" w:space="0" w:color="auto"/>
              <w:right w:val="single" w:sz="4" w:space="0" w:color="auto"/>
            </w:tcBorders>
            <w:shd w:val="clear" w:color="000000" w:fill="00B0F0"/>
            <w:vAlign w:val="center"/>
            <w:hideMark/>
          </w:tcPr>
          <w:p w:rsidR="006F3C12" w:rsidRPr="006F3C12" w:rsidP="006F3C12" w14:paraId="5DFD4AA5"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296" w:type="dxa"/>
            <w:tcBorders>
              <w:top w:val="nil"/>
              <w:left w:val="nil"/>
              <w:bottom w:val="single" w:sz="4" w:space="0" w:color="auto"/>
              <w:right w:val="single" w:sz="4" w:space="0" w:color="auto"/>
            </w:tcBorders>
            <w:shd w:val="clear" w:color="000000" w:fill="00B0F0"/>
            <w:vAlign w:val="center"/>
            <w:hideMark/>
          </w:tcPr>
          <w:p w:rsidR="006F3C12" w:rsidRPr="006F3C12" w:rsidP="006F3C12" w14:paraId="592587D6"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6F3C12" w:rsidRPr="006F3C12" w:rsidP="006F3C12" w14:paraId="0FD90C2A"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6F3C12" w:rsidRPr="006F3C12" w:rsidP="006F3C12" w14:paraId="14B45E8F"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6F3C12" w:rsidRPr="006F3C12" w:rsidP="006F3C12" w14:paraId="669C495F"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rsidR="006F3C12" w:rsidRPr="006F3C12" w:rsidP="006F3C12" w14:paraId="14B7AEE9"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Reporting Frequency</w:t>
            </w:r>
          </w:p>
        </w:tc>
      </w:tr>
      <w:tr w14:paraId="197817B5" w14:textId="77777777" w:rsidTr="00BE37E0">
        <w:tblPrEx>
          <w:tblW w:w="10020" w:type="dxa"/>
          <w:tblLook w:val="04A0"/>
        </w:tblPrEx>
        <w:trPr>
          <w:trHeight w:val="255"/>
        </w:trPr>
        <w:tc>
          <w:tcPr>
            <w:tcW w:w="1830" w:type="dxa"/>
            <w:tcBorders>
              <w:top w:val="nil"/>
              <w:left w:val="single" w:sz="4" w:space="0" w:color="auto"/>
              <w:bottom w:val="single" w:sz="4" w:space="0" w:color="auto"/>
              <w:right w:val="single" w:sz="4" w:space="0" w:color="auto"/>
            </w:tcBorders>
            <w:shd w:val="clear" w:color="auto" w:fill="auto"/>
            <w:vAlign w:val="bottom"/>
            <w:hideMark/>
          </w:tcPr>
          <w:p w:rsidR="006F3C12" w:rsidRPr="006F3C12" w:rsidP="006F3C12" w14:paraId="3F9EEE00"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5876">
              <w:rPr>
                <w:rFonts w:ascii="Calibri" w:eastAsia="Times New Roman" w:hAnsi="Calibri" w:cs="Arial"/>
                <w:color w:val="000000"/>
                <w:sz w:val="20"/>
                <w:szCs w:val="20"/>
              </w:rPr>
              <w:t>CAIRS</w:t>
            </w:r>
          </w:p>
        </w:tc>
        <w:tc>
          <w:tcPr>
            <w:tcW w:w="2314"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4F1D5948"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2F5B07">
              <w:rPr>
                <w:rFonts w:ascii="Calibri" w:eastAsia="Times New Roman" w:hAnsi="Calibri" w:cs="Arial"/>
                <w:color w:val="000000"/>
                <w:sz w:val="20"/>
                <w:szCs w:val="20"/>
              </w:rPr>
              <w:t>Reporting/recordkeeping</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33F6EC7C"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5876">
              <w:rPr>
                <w:rFonts w:ascii="Calibri" w:eastAsia="Times New Roman" w:hAnsi="Calibri" w:cs="Arial"/>
                <w:color w:val="000000"/>
                <w:sz w:val="20"/>
                <w:szCs w:val="20"/>
              </w:rPr>
              <w:t>420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6F3C12" w:rsidP="000F3F64" w14:paraId="22DB15E8"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1825</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49E43C59"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5876">
              <w:rPr>
                <w:rFonts w:ascii="Calibri" w:eastAsia="Times New Roman" w:hAnsi="Calibri" w:cs="Arial"/>
                <w:color w:val="000000"/>
                <w:sz w:val="20"/>
                <w:szCs w:val="20"/>
              </w:rPr>
              <w:t>0.9167</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6F3C12" w:rsidP="000F3F64" w14:paraId="53EBFEB8"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1,673</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1F97B143"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12</w:t>
            </w:r>
          </w:p>
        </w:tc>
      </w:tr>
      <w:tr w14:paraId="2BBD4F18" w14:textId="77777777" w:rsidTr="00BE37E0">
        <w:tblPrEx>
          <w:tblW w:w="10020" w:type="dxa"/>
          <w:tblLook w:val="04A0"/>
        </w:tblPrEx>
        <w:trPr>
          <w:trHeight w:val="255"/>
        </w:trPr>
        <w:tc>
          <w:tcPr>
            <w:tcW w:w="1830" w:type="dxa"/>
            <w:tcBorders>
              <w:top w:val="nil"/>
              <w:left w:val="single" w:sz="4" w:space="0" w:color="auto"/>
              <w:bottom w:val="single" w:sz="4" w:space="0" w:color="auto"/>
              <w:right w:val="single" w:sz="4" w:space="0" w:color="auto"/>
            </w:tcBorders>
            <w:shd w:val="clear" w:color="auto" w:fill="auto"/>
            <w:vAlign w:val="bottom"/>
            <w:hideMark/>
          </w:tcPr>
          <w:p w:rsidR="006F3C12" w:rsidRPr="006F3C12" w:rsidP="006F3C12" w14:paraId="2F322F5B"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5876">
              <w:rPr>
                <w:rFonts w:ascii="Calibri" w:eastAsia="Times New Roman" w:hAnsi="Calibri" w:cs="Arial"/>
                <w:color w:val="000000"/>
                <w:sz w:val="20"/>
                <w:szCs w:val="20"/>
              </w:rPr>
              <w:t>ORPS</w:t>
            </w:r>
          </w:p>
        </w:tc>
        <w:tc>
          <w:tcPr>
            <w:tcW w:w="2314"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334F7D2B"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2F5B07">
              <w:rPr>
                <w:rFonts w:ascii="Calibri" w:eastAsia="Times New Roman" w:hAnsi="Calibri" w:cs="Arial"/>
                <w:color w:val="000000"/>
                <w:sz w:val="20"/>
                <w:szCs w:val="20"/>
              </w:rPr>
              <w:t>Reporting</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0B819C90"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5876">
              <w:rPr>
                <w:rFonts w:ascii="Calibri" w:eastAsia="Times New Roman" w:hAnsi="Calibri" w:cs="Arial"/>
                <w:color w:val="000000"/>
                <w:sz w:val="20"/>
                <w:szCs w:val="20"/>
              </w:rPr>
              <w:t>120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6F3C12" w:rsidP="000F3F64" w14:paraId="065FEDCC"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750</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29326867"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5876">
              <w:rPr>
                <w:rFonts w:ascii="Calibri" w:eastAsia="Times New Roman" w:hAnsi="Calibri" w:cs="Arial"/>
                <w:color w:val="000000"/>
                <w:sz w:val="20"/>
                <w:szCs w:val="20"/>
              </w:rPr>
              <w:t>5</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6F3C12" w:rsidP="000F3F64" w14:paraId="0DDC013A"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3,750</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4C27BE53"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365</w:t>
            </w:r>
          </w:p>
        </w:tc>
      </w:tr>
      <w:tr w14:paraId="1AB384C4" w14:textId="77777777" w:rsidTr="00BE37E0">
        <w:tblPrEx>
          <w:tblW w:w="10020" w:type="dxa"/>
          <w:tblLook w:val="04A0"/>
        </w:tblPrEx>
        <w:trPr>
          <w:trHeight w:val="255"/>
        </w:trPr>
        <w:tc>
          <w:tcPr>
            <w:tcW w:w="1830" w:type="dxa"/>
            <w:tcBorders>
              <w:top w:val="nil"/>
              <w:left w:val="single" w:sz="4" w:space="0" w:color="auto"/>
              <w:bottom w:val="single" w:sz="4" w:space="0" w:color="auto"/>
              <w:right w:val="single" w:sz="4" w:space="0" w:color="auto"/>
            </w:tcBorders>
            <w:shd w:val="clear" w:color="auto" w:fill="auto"/>
            <w:vAlign w:val="bottom"/>
            <w:hideMark/>
          </w:tcPr>
          <w:p w:rsidR="006F3C12" w:rsidRPr="006F3C12" w:rsidP="006F3C12" w14:paraId="18901680"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5876">
              <w:rPr>
                <w:rFonts w:ascii="Calibri" w:eastAsia="Times New Roman" w:hAnsi="Calibri" w:cs="Arial"/>
                <w:color w:val="000000"/>
                <w:sz w:val="20"/>
                <w:szCs w:val="20"/>
              </w:rPr>
              <w:t>REMS</w:t>
            </w:r>
          </w:p>
        </w:tc>
        <w:tc>
          <w:tcPr>
            <w:tcW w:w="2314"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6ABBEA9D"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2F5B07">
              <w:rPr>
                <w:rFonts w:ascii="Calibri" w:eastAsia="Times New Roman" w:hAnsi="Calibri" w:cs="Arial"/>
                <w:color w:val="000000"/>
                <w:sz w:val="20"/>
                <w:szCs w:val="20"/>
              </w:rPr>
              <w:t>Reporting</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46247921"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5876">
              <w:rPr>
                <w:rFonts w:ascii="Calibri" w:eastAsia="Times New Roman" w:hAnsi="Calibri" w:cs="Arial"/>
                <w:color w:val="000000"/>
                <w:sz w:val="20"/>
                <w:szCs w:val="20"/>
              </w:rPr>
              <w:t>100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6F3C12" w:rsidP="000F3F64" w14:paraId="0047B6A4"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70,000</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5A366846"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5876">
              <w:rPr>
                <w:rFonts w:ascii="Calibri" w:eastAsia="Times New Roman" w:hAnsi="Calibri" w:cs="Arial"/>
                <w:color w:val="000000"/>
                <w:sz w:val="20"/>
                <w:szCs w:val="20"/>
              </w:rPr>
              <w:t>0.3833</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6F3C12" w:rsidP="000F3F64" w14:paraId="744B3632"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26,833</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046B128E"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w:t>
            </w:r>
          </w:p>
        </w:tc>
      </w:tr>
      <w:tr w14:paraId="4AB99F34" w14:textId="77777777" w:rsidTr="00BE37E0">
        <w:tblPrEx>
          <w:tblW w:w="10020" w:type="dxa"/>
          <w:tblLook w:val="04A0"/>
        </w:tblPrEx>
        <w:trPr>
          <w:trHeight w:val="255"/>
        </w:trPr>
        <w:tc>
          <w:tcPr>
            <w:tcW w:w="1830" w:type="dxa"/>
            <w:tcBorders>
              <w:top w:val="nil"/>
              <w:left w:val="single" w:sz="4" w:space="0" w:color="auto"/>
              <w:bottom w:val="single" w:sz="4" w:space="0" w:color="auto"/>
              <w:right w:val="single" w:sz="4" w:space="0" w:color="auto"/>
            </w:tcBorders>
            <w:shd w:val="clear" w:color="auto" w:fill="auto"/>
            <w:vAlign w:val="bottom"/>
            <w:hideMark/>
          </w:tcPr>
          <w:p w:rsidR="006F3C12" w:rsidRPr="006F3C12" w:rsidP="006F3C12" w14:paraId="73F90900"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5876">
              <w:rPr>
                <w:rFonts w:ascii="Calibri" w:eastAsia="Times New Roman" w:hAnsi="Calibri" w:cs="Arial"/>
                <w:color w:val="000000"/>
                <w:sz w:val="20"/>
                <w:szCs w:val="20"/>
              </w:rPr>
              <w:t>Fire Protection</w:t>
            </w:r>
          </w:p>
        </w:tc>
        <w:tc>
          <w:tcPr>
            <w:tcW w:w="2314"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33DB2EE0"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2F5B07">
              <w:rPr>
                <w:rFonts w:ascii="Calibri" w:eastAsia="Times New Roman" w:hAnsi="Calibri" w:cs="Arial"/>
                <w:color w:val="000000"/>
                <w:sz w:val="20"/>
                <w:szCs w:val="20"/>
              </w:rPr>
              <w:t>Reporting</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7AA2142C"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5876">
              <w:rPr>
                <w:rFonts w:ascii="Calibri" w:eastAsia="Times New Roman" w:hAnsi="Calibri" w:cs="Arial"/>
                <w:color w:val="000000"/>
                <w:sz w:val="20"/>
                <w:szCs w:val="20"/>
              </w:rPr>
              <w:t>45</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6F3C12" w:rsidP="000F3F64" w14:paraId="36ECE328"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45</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38D34315"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5876">
              <w:rPr>
                <w:rFonts w:ascii="Calibri" w:eastAsia="Times New Roman" w:hAnsi="Calibri" w:cs="Arial"/>
                <w:color w:val="000000"/>
                <w:sz w:val="20"/>
                <w:szCs w:val="20"/>
              </w:rPr>
              <w:t>16</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6F3C12" w:rsidP="000F3F64" w14:paraId="1BC15665"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720</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631C2B65"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w:t>
            </w:r>
          </w:p>
        </w:tc>
      </w:tr>
      <w:tr w14:paraId="439DD2DF" w14:textId="77777777" w:rsidTr="00BE37E0">
        <w:tblPrEx>
          <w:tblW w:w="10020" w:type="dxa"/>
          <w:tblLook w:val="04A0"/>
        </w:tblPrEx>
        <w:trPr>
          <w:trHeight w:val="255"/>
        </w:trPr>
        <w:tc>
          <w:tcPr>
            <w:tcW w:w="1830" w:type="dxa"/>
            <w:tcBorders>
              <w:top w:val="nil"/>
              <w:left w:val="single" w:sz="4" w:space="0" w:color="auto"/>
              <w:bottom w:val="single" w:sz="4" w:space="0" w:color="auto"/>
              <w:right w:val="single" w:sz="4" w:space="0" w:color="auto"/>
            </w:tcBorders>
            <w:shd w:val="clear" w:color="auto" w:fill="auto"/>
            <w:vAlign w:val="bottom"/>
            <w:hideMark/>
          </w:tcPr>
          <w:p w:rsidR="006F3C12" w:rsidRPr="006F3C12" w:rsidP="006F3C12" w14:paraId="4E1D5BBE"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5876">
              <w:rPr>
                <w:rFonts w:ascii="Calibri" w:eastAsia="Times New Roman" w:hAnsi="Calibri" w:cs="Arial"/>
                <w:color w:val="000000"/>
                <w:sz w:val="20"/>
                <w:szCs w:val="20"/>
              </w:rPr>
              <w:t>Safety Basis Information System</w:t>
            </w:r>
          </w:p>
        </w:tc>
        <w:tc>
          <w:tcPr>
            <w:tcW w:w="2314"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5755574C"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2F5B07">
              <w:rPr>
                <w:rFonts w:ascii="Calibri" w:eastAsia="Times New Roman" w:hAnsi="Calibri" w:cs="Arial"/>
                <w:color w:val="000000"/>
                <w:sz w:val="20"/>
                <w:szCs w:val="20"/>
              </w:rPr>
              <w:t>Reporting</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0002DF32"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5876">
              <w:rPr>
                <w:rFonts w:ascii="Calibri" w:eastAsia="Times New Roman" w:hAnsi="Calibri" w:cs="Arial"/>
                <w:color w:val="000000"/>
                <w:sz w:val="20"/>
                <w:szCs w:val="20"/>
              </w:rPr>
              <w:t>20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6F3C12" w:rsidP="000F3F64" w14:paraId="093939D0"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20</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736BA053"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5876">
              <w:rPr>
                <w:rFonts w:ascii="Calibri" w:eastAsia="Times New Roman" w:hAnsi="Calibri" w:cs="Arial"/>
                <w:color w:val="000000"/>
                <w:sz w:val="20"/>
                <w:szCs w:val="20"/>
              </w:rPr>
              <w:t>2</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6F3C12" w:rsidP="000F3F64" w14:paraId="02F28DEF"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40</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2E3BB50F"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7E0355">
              <w:rPr>
                <w:rFonts w:ascii="Calibri" w:eastAsia="Times New Roman" w:hAnsi="Calibri" w:cs="Arial"/>
                <w:color w:val="000000"/>
                <w:sz w:val="20"/>
                <w:szCs w:val="20"/>
              </w:rPr>
              <w:t>Varies</w:t>
            </w:r>
          </w:p>
        </w:tc>
      </w:tr>
      <w:tr w14:paraId="161BDE3F" w14:textId="77777777" w:rsidTr="00BE37E0">
        <w:tblPrEx>
          <w:tblW w:w="10020" w:type="dxa"/>
          <w:tblLook w:val="04A0"/>
        </w:tblPrEx>
        <w:trPr>
          <w:trHeight w:val="255"/>
        </w:trPr>
        <w:tc>
          <w:tcPr>
            <w:tcW w:w="1830" w:type="dxa"/>
            <w:tcBorders>
              <w:top w:val="nil"/>
              <w:left w:val="single" w:sz="4" w:space="0" w:color="auto"/>
              <w:bottom w:val="single" w:sz="4" w:space="0" w:color="auto"/>
              <w:right w:val="single" w:sz="4" w:space="0" w:color="auto"/>
            </w:tcBorders>
            <w:shd w:val="clear" w:color="auto" w:fill="auto"/>
            <w:vAlign w:val="bottom"/>
            <w:hideMark/>
          </w:tcPr>
          <w:p w:rsidR="006F3C12" w:rsidRPr="006F3C12" w:rsidP="006F3C12" w14:paraId="18AF9E5D"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5876">
              <w:rPr>
                <w:rFonts w:ascii="Calibri" w:eastAsia="Times New Roman" w:hAnsi="Calibri" w:cs="Arial"/>
                <w:color w:val="000000"/>
                <w:sz w:val="20"/>
                <w:szCs w:val="20"/>
              </w:rPr>
              <w:t>DOE OPEXShare Lessons Learned</w:t>
            </w:r>
          </w:p>
        </w:tc>
        <w:tc>
          <w:tcPr>
            <w:tcW w:w="2314"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245B1819"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BE37E0">
              <w:rPr>
                <w:rFonts w:ascii="Calibri" w:eastAsia="Times New Roman" w:hAnsi="Calibri" w:cs="Arial"/>
                <w:color w:val="000000"/>
                <w:sz w:val="20"/>
                <w:szCs w:val="20"/>
              </w:rPr>
              <w:t>Reporting</w:t>
            </w:r>
          </w:p>
        </w:tc>
        <w:tc>
          <w:tcPr>
            <w:tcW w:w="1296"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55B84767"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5876">
              <w:rPr>
                <w:rFonts w:ascii="Calibri" w:eastAsia="Times New Roman" w:hAnsi="Calibri" w:cs="Arial"/>
                <w:color w:val="000000"/>
                <w:sz w:val="20"/>
                <w:szCs w:val="20"/>
              </w:rPr>
              <w:t>70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6F3C12" w:rsidP="000F3F64" w14:paraId="19982FD5"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400</w:t>
            </w:r>
          </w:p>
        </w:tc>
        <w:tc>
          <w:tcPr>
            <w:tcW w:w="1157"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7E6FCA0E"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555876">
              <w:rPr>
                <w:rFonts w:ascii="Calibri" w:eastAsia="Times New Roman" w:hAnsi="Calibri" w:cs="Arial"/>
                <w:color w:val="000000"/>
                <w:sz w:val="20"/>
                <w:szCs w:val="20"/>
              </w:rPr>
              <w:t>1.89</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6F3C12" w:rsidP="000F3F64" w14:paraId="21A76676"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755</w:t>
            </w:r>
          </w:p>
        </w:tc>
        <w:tc>
          <w:tcPr>
            <w:tcW w:w="1110" w:type="dxa"/>
            <w:tcBorders>
              <w:top w:val="nil"/>
              <w:left w:val="nil"/>
              <w:bottom w:val="single" w:sz="4" w:space="0" w:color="auto"/>
              <w:right w:val="single" w:sz="4" w:space="0" w:color="auto"/>
            </w:tcBorders>
            <w:shd w:val="clear" w:color="auto" w:fill="auto"/>
            <w:noWrap/>
            <w:vAlign w:val="bottom"/>
            <w:hideMark/>
          </w:tcPr>
          <w:p w:rsidR="006F3C12" w:rsidRPr="006F3C12" w:rsidP="006F3C12" w14:paraId="2E127B95"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7E0355">
              <w:rPr>
                <w:rFonts w:ascii="Calibri" w:eastAsia="Times New Roman" w:hAnsi="Calibri" w:cs="Arial"/>
                <w:color w:val="000000"/>
                <w:sz w:val="20"/>
                <w:szCs w:val="20"/>
              </w:rPr>
              <w:t>Varies</w:t>
            </w:r>
          </w:p>
        </w:tc>
      </w:tr>
      <w:tr w14:paraId="0ED63B65" w14:textId="77777777" w:rsidTr="00BE37E0">
        <w:tblPrEx>
          <w:tblW w:w="10020" w:type="dxa"/>
          <w:tblLook w:val="04A0"/>
        </w:tblPrEx>
        <w:trPr>
          <w:trHeight w:val="255"/>
        </w:trPr>
        <w:tc>
          <w:tcPr>
            <w:tcW w:w="1830" w:type="dxa"/>
            <w:tcBorders>
              <w:top w:val="nil"/>
              <w:left w:val="single" w:sz="4" w:space="0" w:color="auto"/>
              <w:bottom w:val="single" w:sz="4" w:space="0" w:color="auto"/>
              <w:right w:val="single" w:sz="4" w:space="0" w:color="auto"/>
            </w:tcBorders>
            <w:shd w:val="clear" w:color="auto" w:fill="auto"/>
            <w:vAlign w:val="bottom"/>
            <w:hideMark/>
          </w:tcPr>
          <w:p w:rsidR="006F3C12" w:rsidRPr="006F3C12" w:rsidP="006F3C12" w14:paraId="4629C591"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2314" w:type="dxa"/>
            <w:tcBorders>
              <w:top w:val="nil"/>
              <w:left w:val="nil"/>
              <w:bottom w:val="single" w:sz="4" w:space="0" w:color="auto"/>
              <w:right w:val="single" w:sz="4" w:space="0" w:color="auto"/>
            </w:tcBorders>
            <w:shd w:val="clear" w:color="000000" w:fill="333333"/>
            <w:noWrap/>
            <w:vAlign w:val="bottom"/>
            <w:hideMark/>
          </w:tcPr>
          <w:p w:rsidR="006F3C12" w:rsidRPr="006F3C12" w:rsidP="006F3C12" w14:paraId="4B8D2BBC"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296" w:type="dxa"/>
            <w:tcBorders>
              <w:top w:val="nil"/>
              <w:left w:val="nil"/>
              <w:bottom w:val="single" w:sz="4" w:space="0" w:color="auto"/>
              <w:right w:val="single" w:sz="4" w:space="0" w:color="auto"/>
            </w:tcBorders>
            <w:shd w:val="clear" w:color="000000" w:fill="E2A5AC"/>
            <w:noWrap/>
            <w:vAlign w:val="bottom"/>
            <w:hideMark/>
          </w:tcPr>
          <w:p w:rsidR="006F3C12" w:rsidRPr="006F3C12" w:rsidP="000F3F64" w14:paraId="01D39FE5" w14:textId="77777777">
            <w:pPr>
              <w:spacing w:after="0" w:line="240" w:lineRule="auto"/>
              <w:rPr>
                <w:rFonts w:ascii="Calibri" w:eastAsia="Times New Roman" w:hAnsi="Calibri" w:cs="Arial"/>
                <w:b/>
                <w:bCs/>
                <w:color w:val="000000"/>
                <w:sz w:val="20"/>
                <w:szCs w:val="20"/>
              </w:rPr>
            </w:pPr>
            <w:r>
              <w:rPr>
                <w:rFonts w:ascii="Calibri" w:eastAsia="Times New Roman" w:hAnsi="Calibri" w:cs="Arial"/>
                <w:b/>
                <w:bCs/>
                <w:color w:val="000000"/>
                <w:sz w:val="20"/>
                <w:szCs w:val="20"/>
              </w:rPr>
              <w:t>775</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6F3C12" w:rsidP="000F3F64" w14:paraId="2EA9CA71" w14:textId="77777777">
            <w:pPr>
              <w:spacing w:after="0" w:line="240" w:lineRule="auto"/>
              <w:rPr>
                <w:rFonts w:ascii="Calibri" w:eastAsia="Times New Roman" w:hAnsi="Calibri" w:cs="Arial"/>
                <w:b/>
                <w:bCs/>
                <w:color w:val="000000"/>
                <w:sz w:val="20"/>
                <w:szCs w:val="20"/>
              </w:rPr>
            </w:pPr>
            <w:r>
              <w:rPr>
                <w:rFonts w:ascii="Calibri" w:eastAsia="Times New Roman" w:hAnsi="Calibri" w:cs="Arial"/>
                <w:b/>
                <w:bCs/>
                <w:color w:val="000000"/>
                <w:sz w:val="20"/>
                <w:szCs w:val="20"/>
              </w:rPr>
              <w:t>73,040</w:t>
            </w:r>
          </w:p>
        </w:tc>
        <w:tc>
          <w:tcPr>
            <w:tcW w:w="1157" w:type="dxa"/>
            <w:tcBorders>
              <w:top w:val="nil"/>
              <w:left w:val="nil"/>
              <w:bottom w:val="single" w:sz="4" w:space="0" w:color="auto"/>
              <w:right w:val="single" w:sz="4" w:space="0" w:color="auto"/>
            </w:tcBorders>
            <w:shd w:val="clear" w:color="000000" w:fill="333333"/>
            <w:noWrap/>
            <w:vAlign w:val="bottom"/>
            <w:hideMark/>
          </w:tcPr>
          <w:p w:rsidR="006F3C12" w:rsidRPr="006F3C12" w:rsidP="006F3C12" w14:paraId="42C81803"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6F3C12" w:rsidP="000F3F64" w14:paraId="114DF619" w14:textId="77777777">
            <w:pPr>
              <w:spacing w:after="0" w:line="240" w:lineRule="auto"/>
              <w:rPr>
                <w:rFonts w:ascii="Calibri" w:eastAsia="Times New Roman" w:hAnsi="Calibri" w:cs="Arial"/>
                <w:b/>
                <w:bCs/>
                <w:color w:val="000000"/>
                <w:sz w:val="20"/>
                <w:szCs w:val="20"/>
              </w:rPr>
            </w:pPr>
            <w:r>
              <w:rPr>
                <w:rFonts w:ascii="Calibri" w:eastAsia="Times New Roman" w:hAnsi="Calibri" w:cs="Arial"/>
                <w:b/>
                <w:bCs/>
                <w:color w:val="000000"/>
                <w:sz w:val="20"/>
                <w:szCs w:val="20"/>
              </w:rPr>
              <w:t>33,771</w:t>
            </w:r>
          </w:p>
        </w:tc>
        <w:tc>
          <w:tcPr>
            <w:tcW w:w="1110" w:type="dxa"/>
            <w:tcBorders>
              <w:top w:val="nil"/>
              <w:left w:val="nil"/>
              <w:bottom w:val="single" w:sz="4" w:space="0" w:color="auto"/>
              <w:right w:val="single" w:sz="4" w:space="0" w:color="auto"/>
            </w:tcBorders>
            <w:shd w:val="clear" w:color="000000" w:fill="333333"/>
            <w:noWrap/>
            <w:vAlign w:val="bottom"/>
            <w:hideMark/>
          </w:tcPr>
          <w:p w:rsidR="006F3C12" w:rsidRPr="006F3C12" w:rsidP="006F3C12" w14:paraId="76E6C9BC"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r>
    </w:tbl>
    <w:p w:rsidR="00AE6862" w:rsidRPr="00A41763" w:rsidP="00A41763" w14:paraId="4BB13C2D" w14:textId="77777777"/>
    <w:p w:rsidR="006F3C12" w:rsidP="00CA63E3" w14:paraId="695E63CF" w14:textId="77777777">
      <w:pPr>
        <w:pStyle w:val="Heading2"/>
      </w:pPr>
      <w:bookmarkStart w:id="15" w:name="_Toc108505095"/>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5"/>
      <w:r w:rsidRPr="00F056C3">
        <w:t xml:space="preserve"> </w:t>
      </w:r>
    </w:p>
    <w:p w:rsidR="000B43BF" w:rsidP="000B43BF" w14:paraId="6527F7C1" w14:textId="77777777">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w:t>
      </w:r>
      <w:r w:rsidRPr="00AC69E8">
        <w:rPr>
          <w:b/>
          <w:bCs/>
        </w:rPr>
        <w:t>contracting out or paying outside parties for information collection activities should not be included here. Instead, this cost should be included u</w:t>
      </w:r>
      <w:r w:rsidRPr="00AC69E8">
        <w:rPr>
          <w:b/>
          <w:bCs/>
        </w:rPr>
        <w:t xml:space="preserve">nder ‘Annual Cost to Federal Government’. </w:t>
      </w:r>
    </w:p>
    <w:p w:rsidR="002E4FAD" w:rsidP="000B43BF" w14:paraId="4958951C" w14:textId="77777777">
      <w:pPr>
        <w:pStyle w:val="Default"/>
        <w:rPr>
          <w:b/>
          <w:bCs/>
        </w:rPr>
      </w:pPr>
    </w:p>
    <w:p w:rsidR="006F3C12" w:rsidP="00993A94" w14:paraId="665D1F86" w14:textId="77777777">
      <w:pPr>
        <w:pStyle w:val="Default"/>
        <w:rPr>
          <w:rFonts w:asciiTheme="minorHAnsi" w:hAnsiTheme="minorHAnsi" w:cstheme="minorHAnsi"/>
          <w:sz w:val="22"/>
          <w:szCs w:val="22"/>
        </w:rPr>
      </w:pPr>
      <w:r w:rsidRPr="008933E6">
        <w:rPr>
          <w:rFonts w:asciiTheme="minorHAnsi" w:hAnsiTheme="minorHAnsi" w:cstheme="minorHAnsi"/>
          <w:sz w:val="22"/>
          <w:szCs w:val="22"/>
        </w:rPr>
        <w:t xml:space="preserve">To determine an </w:t>
      </w:r>
      <w:r w:rsidR="00D57D80">
        <w:rPr>
          <w:rFonts w:asciiTheme="minorHAnsi" w:hAnsiTheme="minorHAnsi" w:cstheme="minorHAnsi"/>
          <w:sz w:val="22"/>
          <w:szCs w:val="22"/>
        </w:rPr>
        <w:t xml:space="preserve">extremely conservative </w:t>
      </w:r>
      <w:r w:rsidRPr="008933E6">
        <w:rPr>
          <w:rFonts w:asciiTheme="minorHAnsi" w:hAnsiTheme="minorHAnsi" w:cstheme="minorHAnsi"/>
          <w:sz w:val="22"/>
          <w:szCs w:val="22"/>
        </w:rPr>
        <w:t>estimate of the annual cost for respondents to perform the reporting for these systems, we used</w:t>
      </w:r>
      <w:r w:rsidR="00AF11E0">
        <w:rPr>
          <w:rFonts w:asciiTheme="minorHAnsi" w:hAnsiTheme="minorHAnsi" w:cstheme="minorHAnsi"/>
          <w:sz w:val="22"/>
          <w:szCs w:val="22"/>
        </w:rPr>
        <w:t xml:space="preserve"> BLS link</w:t>
      </w:r>
      <w:r w:rsidRPr="008933E6">
        <w:rPr>
          <w:rFonts w:asciiTheme="minorHAnsi" w:hAnsiTheme="minorHAnsi" w:cstheme="minorHAnsi"/>
          <w:sz w:val="22"/>
          <w:szCs w:val="22"/>
        </w:rPr>
        <w:t xml:space="preserve"> </w:t>
      </w:r>
      <w:hyperlink r:id="rId10" w:history="1">
        <w:r w:rsidRPr="008933E6">
          <w:rPr>
            <w:rStyle w:val="Hyperlink"/>
            <w:rFonts w:cstheme="minorHAnsi"/>
            <w:sz w:val="22"/>
            <w:szCs w:val="22"/>
          </w:rPr>
          <w:t>http://ww</w:t>
        </w:r>
        <w:r w:rsidRPr="008933E6">
          <w:rPr>
            <w:rStyle w:val="Hyperlink"/>
            <w:rFonts w:cstheme="minorHAnsi"/>
            <w:sz w:val="22"/>
            <w:szCs w:val="22"/>
          </w:rPr>
          <w:t>w.bls.gov/news.release/ecec.nr0.htm</w:t>
        </w:r>
      </w:hyperlink>
      <w:r w:rsidR="00AF11E0">
        <w:rPr>
          <w:rFonts w:asciiTheme="minorHAnsi" w:hAnsiTheme="minorHAnsi" w:cstheme="minorHAnsi"/>
          <w:sz w:val="22"/>
          <w:szCs w:val="22"/>
        </w:rPr>
        <w:t xml:space="preserve">.  </w:t>
      </w:r>
      <w:r w:rsidRPr="008933E6">
        <w:rPr>
          <w:rFonts w:asciiTheme="minorHAnsi" w:hAnsiTheme="minorHAnsi" w:cstheme="minorHAnsi"/>
          <w:sz w:val="22"/>
          <w:szCs w:val="22"/>
        </w:rPr>
        <w:t xml:space="preserve">Specifically, </w:t>
      </w:r>
      <w:hyperlink r:id="rId11" w:history="1">
        <w:r w:rsidRPr="008933E6">
          <w:rPr>
            <w:rStyle w:val="Hyperlink"/>
            <w:rFonts w:cstheme="minorHAnsi"/>
            <w:color w:val="003399"/>
            <w:sz w:val="22"/>
            <w:szCs w:val="22"/>
            <w:shd w:val="clear" w:color="auto" w:fill="FFFFFF"/>
          </w:rPr>
          <w:t>Table 4. Private industry workers by occupational and industry group</w:t>
        </w:r>
      </w:hyperlink>
      <w:r w:rsidR="00993A94">
        <w:rPr>
          <w:rFonts w:asciiTheme="minorHAnsi" w:hAnsiTheme="minorHAnsi" w:cstheme="minorHAnsi"/>
          <w:sz w:val="22"/>
          <w:szCs w:val="22"/>
        </w:rPr>
        <w:t>, professional, scientific, and technical service industry at $62.75 per hour</w:t>
      </w:r>
      <w:r w:rsidR="00AF11E0">
        <w:rPr>
          <w:rFonts w:asciiTheme="minorHAnsi" w:hAnsiTheme="minorHAnsi" w:cstheme="minorHAnsi"/>
          <w:sz w:val="22"/>
          <w:szCs w:val="22"/>
        </w:rPr>
        <w:t xml:space="preserve"> multiplied by</w:t>
      </w:r>
      <w:r w:rsidR="00993A94">
        <w:rPr>
          <w:rFonts w:asciiTheme="minorHAnsi" w:hAnsiTheme="minorHAnsi" w:cstheme="minorHAnsi"/>
          <w:sz w:val="22"/>
          <w:szCs w:val="22"/>
        </w:rPr>
        <w:t xml:space="preserve"> 1.4, or $87.85 per hour, was used.</w:t>
      </w:r>
    </w:p>
    <w:p w:rsidR="00D57D80" w:rsidRPr="00993A94" w:rsidP="00993A94" w14:paraId="1D8F350B" w14:textId="77777777">
      <w:pPr>
        <w:pStyle w:val="Default"/>
        <w:rPr>
          <w:rFonts w:asciiTheme="minorHAnsi" w:hAnsiTheme="minorHAnsi" w:cstheme="minorHAnsi"/>
          <w:i/>
          <w:iCs/>
          <w:sz w:val="22"/>
          <w:szCs w:val="22"/>
        </w:rPr>
      </w:pPr>
    </w:p>
    <w:tbl>
      <w:tblPr>
        <w:tblW w:w="10020" w:type="dxa"/>
        <w:tblLook w:val="04A0"/>
      </w:tblPr>
      <w:tblGrid>
        <w:gridCol w:w="2226"/>
        <w:gridCol w:w="2184"/>
        <w:gridCol w:w="1890"/>
        <w:gridCol w:w="2424"/>
        <w:gridCol w:w="1296"/>
      </w:tblGrid>
      <w:tr w14:paraId="704AD4BA" w14:textId="77777777" w:rsidTr="0097299A">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6F3C12" w:rsidP="008F16EC" w14:paraId="19F2A6EA" w14:textId="77777777">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Table A2</w:t>
            </w:r>
            <w:r w:rsidRPr="006F3C12">
              <w:rPr>
                <w:rFonts w:ascii="Calibri" w:eastAsia="Times New Roman" w:hAnsi="Calibri" w:cs="Arial"/>
                <w:b/>
                <w:bCs/>
                <w:color w:val="0070C0"/>
                <w:sz w:val="28"/>
                <w:szCs w:val="28"/>
              </w:rPr>
              <w:t xml:space="preserve">. Estimated Respondent </w:t>
            </w:r>
            <w:r>
              <w:rPr>
                <w:rFonts w:ascii="Calibri" w:eastAsia="Times New Roman" w:hAnsi="Calibri" w:cs="Arial"/>
                <w:b/>
                <w:bCs/>
                <w:color w:val="0070C0"/>
                <w:sz w:val="28"/>
                <w:szCs w:val="28"/>
              </w:rPr>
              <w:t xml:space="preserve">Cost </w:t>
            </w:r>
            <w:r w:rsidRPr="006F3C12">
              <w:rPr>
                <w:rFonts w:ascii="Calibri" w:eastAsia="Times New Roman" w:hAnsi="Calibri"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006F3C12" w:rsidRPr="006F3C12" w:rsidP="008F16EC" w14:paraId="0CFA102A" w14:textId="77777777">
            <w:pPr>
              <w:spacing w:after="0" w:line="240" w:lineRule="auto"/>
              <w:jc w:val="center"/>
              <w:rPr>
                <w:rFonts w:ascii="Calibri" w:eastAsia="Times New Roman" w:hAnsi="Calibri" w:cs="Arial"/>
                <w:b/>
                <w:bCs/>
                <w:color w:val="0070C0"/>
                <w:sz w:val="28"/>
                <w:szCs w:val="28"/>
              </w:rPr>
            </w:pPr>
          </w:p>
        </w:tc>
      </w:tr>
      <w:tr w14:paraId="2C376A45" w14:textId="77777777" w:rsidTr="00D01BEA">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6F3C12" w:rsidP="008F16EC" w14:paraId="01CFC9A0"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6F3C12" w:rsidP="008F16EC" w14:paraId="1B76C1E3"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6F3C12" w:rsidP="008F16EC" w14:paraId="35F8F53D"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01BEA" w:rsidRPr="006F3C12" w:rsidP="008F16EC" w14:paraId="2AE4F27D"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Total </w:t>
            </w:r>
            <w:r>
              <w:rPr>
                <w:rFonts w:ascii="Calibri" w:eastAsia="Times New Roman" w:hAnsi="Calibri" w:cs="Arial"/>
                <w:b/>
                <w:bCs/>
                <w:sz w:val="20"/>
                <w:szCs w:val="20"/>
              </w:rPr>
              <w:t>Respondent Costs</w:t>
            </w:r>
          </w:p>
        </w:tc>
      </w:tr>
      <w:tr w14:paraId="1BD69574"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BE37E0" w:rsidRPr="006F3C12" w:rsidP="00BE37E0" w14:paraId="64F4B022"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CAIRS</w:t>
            </w:r>
          </w:p>
        </w:tc>
        <w:tc>
          <w:tcPr>
            <w:tcW w:w="2184" w:type="dxa"/>
            <w:tcBorders>
              <w:top w:val="nil"/>
              <w:left w:val="nil"/>
              <w:bottom w:val="single" w:sz="4" w:space="0" w:color="auto"/>
              <w:right w:val="single" w:sz="4" w:space="0" w:color="auto"/>
            </w:tcBorders>
            <w:shd w:val="clear" w:color="auto" w:fill="auto"/>
            <w:noWrap/>
            <w:vAlign w:val="bottom"/>
            <w:hideMark/>
          </w:tcPr>
          <w:p w:rsidR="00BE37E0" w:rsidRPr="006F3C12" w:rsidP="00BE37E0" w14:paraId="1A15E4BE"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1,673</w:t>
            </w:r>
          </w:p>
        </w:tc>
        <w:tc>
          <w:tcPr>
            <w:tcW w:w="1890" w:type="dxa"/>
            <w:tcBorders>
              <w:top w:val="nil"/>
              <w:left w:val="nil"/>
              <w:bottom w:val="single" w:sz="4" w:space="0" w:color="auto"/>
              <w:right w:val="single" w:sz="4" w:space="0" w:color="auto"/>
            </w:tcBorders>
            <w:shd w:val="clear" w:color="auto" w:fill="auto"/>
            <w:noWrap/>
            <w:vAlign w:val="bottom"/>
            <w:hideMark/>
          </w:tcPr>
          <w:p w:rsidR="00BE37E0" w:rsidRPr="006F3C12" w:rsidP="00BE37E0" w14:paraId="54F4FF13"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993A94">
              <w:rPr>
                <w:rFonts w:ascii="Calibri" w:eastAsia="Times New Roman" w:hAnsi="Calibri" w:cs="Arial"/>
                <w:color w:val="000000"/>
                <w:sz w:val="20"/>
                <w:szCs w:val="20"/>
              </w:rPr>
              <w:t>87.85</w:t>
            </w:r>
          </w:p>
        </w:tc>
        <w:tc>
          <w:tcPr>
            <w:tcW w:w="2424" w:type="dxa"/>
            <w:tcBorders>
              <w:top w:val="nil"/>
              <w:left w:val="nil"/>
              <w:bottom w:val="single" w:sz="4" w:space="0" w:color="auto"/>
              <w:right w:val="single" w:sz="4" w:space="0" w:color="auto"/>
            </w:tcBorders>
            <w:shd w:val="clear" w:color="000000" w:fill="E2A5AC"/>
            <w:noWrap/>
            <w:vAlign w:val="bottom"/>
            <w:hideMark/>
          </w:tcPr>
          <w:p w:rsidR="007D393D" w:rsidRPr="006F3C12" w:rsidP="000F3F64" w14:paraId="55EA62A1"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146,973</w:t>
            </w:r>
          </w:p>
        </w:tc>
      </w:tr>
      <w:tr w14:paraId="1B06E25F"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993A94" w:rsidRPr="006F3C12" w:rsidP="00993A94" w14:paraId="12304A40"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ORPS</w:t>
            </w:r>
          </w:p>
        </w:tc>
        <w:tc>
          <w:tcPr>
            <w:tcW w:w="2184" w:type="dxa"/>
            <w:tcBorders>
              <w:top w:val="nil"/>
              <w:left w:val="nil"/>
              <w:bottom w:val="single" w:sz="4" w:space="0" w:color="auto"/>
              <w:right w:val="single" w:sz="4" w:space="0" w:color="auto"/>
            </w:tcBorders>
            <w:shd w:val="clear" w:color="auto" w:fill="auto"/>
            <w:noWrap/>
            <w:vAlign w:val="bottom"/>
            <w:hideMark/>
          </w:tcPr>
          <w:p w:rsidR="00993A94" w:rsidRPr="006F3C12" w:rsidP="00993A94" w14:paraId="619D3B2F"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3,750</w:t>
            </w:r>
          </w:p>
        </w:tc>
        <w:tc>
          <w:tcPr>
            <w:tcW w:w="1890" w:type="dxa"/>
            <w:tcBorders>
              <w:top w:val="nil"/>
              <w:left w:val="nil"/>
              <w:bottom w:val="single" w:sz="4" w:space="0" w:color="auto"/>
              <w:right w:val="single" w:sz="4" w:space="0" w:color="auto"/>
            </w:tcBorders>
            <w:shd w:val="clear" w:color="auto" w:fill="auto"/>
            <w:noWrap/>
            <w:vAlign w:val="bottom"/>
            <w:hideMark/>
          </w:tcPr>
          <w:p w:rsidR="00993A94" w:rsidRPr="006F3C12" w:rsidP="00993A94" w14:paraId="67F47448"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87.85</w:t>
            </w:r>
          </w:p>
        </w:tc>
        <w:tc>
          <w:tcPr>
            <w:tcW w:w="2424" w:type="dxa"/>
            <w:tcBorders>
              <w:top w:val="nil"/>
              <w:left w:val="nil"/>
              <w:bottom w:val="single" w:sz="4" w:space="0" w:color="auto"/>
              <w:right w:val="single" w:sz="4" w:space="0" w:color="auto"/>
            </w:tcBorders>
            <w:shd w:val="clear" w:color="000000" w:fill="E2A5AC"/>
            <w:noWrap/>
            <w:vAlign w:val="bottom"/>
            <w:hideMark/>
          </w:tcPr>
          <w:p w:rsidR="00993A94" w:rsidRPr="006F3C12" w:rsidP="000F3F64" w14:paraId="281DD1D0"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329,438</w:t>
            </w:r>
          </w:p>
        </w:tc>
      </w:tr>
      <w:tr w14:paraId="4E9A7E46" w14:textId="77777777" w:rsidTr="007D393D">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993A94" w:rsidRPr="006F3C12" w:rsidP="00993A94" w14:paraId="722706C3"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REMS</w:t>
            </w:r>
          </w:p>
        </w:tc>
        <w:tc>
          <w:tcPr>
            <w:tcW w:w="2184" w:type="dxa"/>
            <w:tcBorders>
              <w:top w:val="nil"/>
              <w:left w:val="nil"/>
              <w:bottom w:val="single" w:sz="4" w:space="0" w:color="auto"/>
              <w:right w:val="single" w:sz="4" w:space="0" w:color="auto"/>
            </w:tcBorders>
            <w:shd w:val="clear" w:color="auto" w:fill="auto"/>
            <w:noWrap/>
            <w:vAlign w:val="bottom"/>
            <w:hideMark/>
          </w:tcPr>
          <w:p w:rsidR="00993A94" w:rsidRPr="006F3C12" w:rsidP="00993A94" w14:paraId="5E3B6624"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26,833</w:t>
            </w:r>
          </w:p>
        </w:tc>
        <w:tc>
          <w:tcPr>
            <w:tcW w:w="1890" w:type="dxa"/>
            <w:tcBorders>
              <w:top w:val="nil"/>
              <w:left w:val="nil"/>
              <w:bottom w:val="single" w:sz="4" w:space="0" w:color="auto"/>
              <w:right w:val="single" w:sz="4" w:space="0" w:color="auto"/>
            </w:tcBorders>
            <w:shd w:val="clear" w:color="auto" w:fill="auto"/>
            <w:noWrap/>
            <w:vAlign w:val="bottom"/>
            <w:hideMark/>
          </w:tcPr>
          <w:p w:rsidR="00993A94" w:rsidRPr="006F3C12" w:rsidP="00993A94" w14:paraId="27CA644C"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87.85</w:t>
            </w:r>
          </w:p>
        </w:tc>
        <w:tc>
          <w:tcPr>
            <w:tcW w:w="2424" w:type="dxa"/>
            <w:tcBorders>
              <w:top w:val="nil"/>
              <w:left w:val="nil"/>
              <w:bottom w:val="single" w:sz="4" w:space="0" w:color="auto"/>
              <w:right w:val="single" w:sz="4" w:space="0" w:color="auto"/>
            </w:tcBorders>
            <w:shd w:val="clear" w:color="000000" w:fill="E2A5AC"/>
            <w:noWrap/>
            <w:vAlign w:val="bottom"/>
          </w:tcPr>
          <w:p w:rsidR="00993A94" w:rsidRPr="006F3C12" w:rsidP="00054B18" w14:paraId="1A767CB2"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2,357,279</w:t>
            </w:r>
            <w:r w:rsidR="00D57D80">
              <w:rPr>
                <w:rFonts w:ascii="Calibri" w:eastAsia="Times New Roman" w:hAnsi="Calibri" w:cs="Arial"/>
                <w:color w:val="000000"/>
                <w:sz w:val="20"/>
                <w:szCs w:val="20"/>
              </w:rPr>
              <w:t xml:space="preserve"> </w:t>
            </w:r>
          </w:p>
        </w:tc>
      </w:tr>
      <w:tr w14:paraId="1EDFC1C5" w14:textId="77777777" w:rsidTr="007D393D">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993A94" w:rsidRPr="006F3C12" w:rsidP="00993A94" w14:paraId="17EB1375"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Fire Protection</w:t>
            </w:r>
          </w:p>
        </w:tc>
        <w:tc>
          <w:tcPr>
            <w:tcW w:w="2184" w:type="dxa"/>
            <w:tcBorders>
              <w:top w:val="nil"/>
              <w:left w:val="nil"/>
              <w:bottom w:val="single" w:sz="4" w:space="0" w:color="auto"/>
              <w:right w:val="single" w:sz="4" w:space="0" w:color="auto"/>
            </w:tcBorders>
            <w:shd w:val="clear" w:color="auto" w:fill="auto"/>
            <w:noWrap/>
            <w:vAlign w:val="bottom"/>
            <w:hideMark/>
          </w:tcPr>
          <w:p w:rsidR="00993A94" w:rsidRPr="006F3C12" w:rsidP="00993A94" w14:paraId="305622AE"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720</w:t>
            </w:r>
          </w:p>
        </w:tc>
        <w:tc>
          <w:tcPr>
            <w:tcW w:w="1890" w:type="dxa"/>
            <w:tcBorders>
              <w:top w:val="nil"/>
              <w:left w:val="nil"/>
              <w:bottom w:val="single" w:sz="4" w:space="0" w:color="auto"/>
              <w:right w:val="single" w:sz="4" w:space="0" w:color="auto"/>
            </w:tcBorders>
            <w:shd w:val="clear" w:color="auto" w:fill="auto"/>
            <w:noWrap/>
            <w:vAlign w:val="bottom"/>
            <w:hideMark/>
          </w:tcPr>
          <w:p w:rsidR="00993A94" w:rsidRPr="006F3C12" w:rsidP="00993A94" w14:paraId="737D495F"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87.85</w:t>
            </w:r>
          </w:p>
        </w:tc>
        <w:tc>
          <w:tcPr>
            <w:tcW w:w="2424" w:type="dxa"/>
            <w:tcBorders>
              <w:top w:val="nil"/>
              <w:left w:val="nil"/>
              <w:bottom w:val="single" w:sz="4" w:space="0" w:color="auto"/>
              <w:right w:val="single" w:sz="4" w:space="0" w:color="auto"/>
            </w:tcBorders>
            <w:shd w:val="clear" w:color="000000" w:fill="E2A5AC"/>
            <w:noWrap/>
            <w:vAlign w:val="bottom"/>
          </w:tcPr>
          <w:p w:rsidR="00993A94" w:rsidRPr="006F3C12" w:rsidP="000F3F64" w14:paraId="2874AB63"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63,252</w:t>
            </w:r>
          </w:p>
        </w:tc>
      </w:tr>
      <w:tr w14:paraId="76F037FE" w14:textId="77777777" w:rsidTr="007D393D">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993A94" w:rsidRPr="006F3C12" w:rsidP="00993A94" w14:paraId="09195D04"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Safety Basis Information System</w:t>
            </w:r>
          </w:p>
        </w:tc>
        <w:tc>
          <w:tcPr>
            <w:tcW w:w="2184" w:type="dxa"/>
            <w:tcBorders>
              <w:top w:val="nil"/>
              <w:left w:val="nil"/>
              <w:bottom w:val="single" w:sz="4" w:space="0" w:color="auto"/>
              <w:right w:val="single" w:sz="4" w:space="0" w:color="auto"/>
            </w:tcBorders>
            <w:shd w:val="clear" w:color="auto" w:fill="auto"/>
            <w:noWrap/>
            <w:vAlign w:val="bottom"/>
            <w:hideMark/>
          </w:tcPr>
          <w:p w:rsidR="00993A94" w:rsidRPr="006F3C12" w:rsidP="00993A94" w14:paraId="2D1209A4"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40</w:t>
            </w:r>
          </w:p>
        </w:tc>
        <w:tc>
          <w:tcPr>
            <w:tcW w:w="1890" w:type="dxa"/>
            <w:tcBorders>
              <w:top w:val="nil"/>
              <w:left w:val="nil"/>
              <w:bottom w:val="single" w:sz="4" w:space="0" w:color="auto"/>
              <w:right w:val="single" w:sz="4" w:space="0" w:color="auto"/>
            </w:tcBorders>
            <w:shd w:val="clear" w:color="auto" w:fill="auto"/>
            <w:noWrap/>
            <w:vAlign w:val="bottom"/>
            <w:hideMark/>
          </w:tcPr>
          <w:p w:rsidR="00993A94" w:rsidRPr="006F3C12" w:rsidP="00993A94" w14:paraId="2808B258"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87.85</w:t>
            </w:r>
          </w:p>
        </w:tc>
        <w:tc>
          <w:tcPr>
            <w:tcW w:w="2424" w:type="dxa"/>
            <w:tcBorders>
              <w:top w:val="nil"/>
              <w:left w:val="nil"/>
              <w:bottom w:val="single" w:sz="4" w:space="0" w:color="auto"/>
              <w:right w:val="single" w:sz="4" w:space="0" w:color="auto"/>
            </w:tcBorders>
            <w:shd w:val="clear" w:color="000000" w:fill="E2A5AC"/>
            <w:noWrap/>
            <w:vAlign w:val="bottom"/>
          </w:tcPr>
          <w:p w:rsidR="00993A94" w:rsidRPr="006F3C12" w:rsidP="000F3F64" w14:paraId="70AEA4AB"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3,514</w:t>
            </w:r>
          </w:p>
        </w:tc>
      </w:tr>
      <w:tr w14:paraId="50B8E281" w14:textId="77777777" w:rsidTr="007D393D">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993A94" w:rsidRPr="006F3C12" w:rsidP="00993A94" w14:paraId="78A0FF7C"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DOE OPEXShare Lessons Learned</w:t>
            </w:r>
          </w:p>
        </w:tc>
        <w:tc>
          <w:tcPr>
            <w:tcW w:w="2184" w:type="dxa"/>
            <w:tcBorders>
              <w:top w:val="nil"/>
              <w:left w:val="nil"/>
              <w:bottom w:val="single" w:sz="4" w:space="0" w:color="auto"/>
              <w:right w:val="single" w:sz="4" w:space="0" w:color="auto"/>
            </w:tcBorders>
            <w:shd w:val="clear" w:color="auto" w:fill="auto"/>
            <w:noWrap/>
            <w:vAlign w:val="bottom"/>
            <w:hideMark/>
          </w:tcPr>
          <w:p w:rsidR="00993A94" w:rsidRPr="006F3C12" w:rsidP="00993A94" w14:paraId="53762DC2"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755</w:t>
            </w:r>
          </w:p>
        </w:tc>
        <w:tc>
          <w:tcPr>
            <w:tcW w:w="1890" w:type="dxa"/>
            <w:tcBorders>
              <w:top w:val="nil"/>
              <w:left w:val="nil"/>
              <w:bottom w:val="single" w:sz="4" w:space="0" w:color="auto"/>
              <w:right w:val="single" w:sz="4" w:space="0" w:color="auto"/>
            </w:tcBorders>
            <w:shd w:val="clear" w:color="auto" w:fill="auto"/>
            <w:noWrap/>
            <w:vAlign w:val="bottom"/>
            <w:hideMark/>
          </w:tcPr>
          <w:p w:rsidR="00993A94" w:rsidRPr="006F3C12" w:rsidP="00993A94" w14:paraId="77C65319"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87.85</w:t>
            </w:r>
          </w:p>
        </w:tc>
        <w:tc>
          <w:tcPr>
            <w:tcW w:w="2424" w:type="dxa"/>
            <w:tcBorders>
              <w:top w:val="nil"/>
              <w:left w:val="nil"/>
              <w:bottom w:val="single" w:sz="4" w:space="0" w:color="auto"/>
              <w:right w:val="single" w:sz="4" w:space="0" w:color="auto"/>
            </w:tcBorders>
            <w:shd w:val="clear" w:color="000000" w:fill="E2A5AC"/>
            <w:noWrap/>
            <w:vAlign w:val="bottom"/>
          </w:tcPr>
          <w:p w:rsidR="00993A94" w:rsidRPr="006F3C12" w:rsidP="000F3F64" w14:paraId="0E6EEE4E"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66,327</w:t>
            </w:r>
          </w:p>
        </w:tc>
      </w:tr>
      <w:tr w14:paraId="0228ABB8" w14:textId="77777777" w:rsidTr="007D393D">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993A94" w:rsidRPr="006F3C12" w:rsidP="00993A94" w14:paraId="5FD6433B"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993A94" w:rsidRPr="006F3C12" w:rsidP="000F3F64" w14:paraId="39DE1C81" w14:textId="77777777">
            <w:pPr>
              <w:spacing w:after="0" w:line="240" w:lineRule="auto"/>
              <w:rPr>
                <w:rFonts w:ascii="Calibri" w:eastAsia="Times New Roman" w:hAnsi="Calibri" w:cs="Arial"/>
                <w:b/>
                <w:bCs/>
                <w:color w:val="000000"/>
                <w:sz w:val="20"/>
                <w:szCs w:val="20"/>
              </w:rPr>
            </w:pPr>
            <w:r>
              <w:rPr>
                <w:rFonts w:ascii="Calibri" w:eastAsia="Times New Roman" w:hAnsi="Calibri" w:cs="Arial"/>
                <w:b/>
                <w:bCs/>
                <w:color w:val="000000"/>
                <w:sz w:val="20"/>
                <w:szCs w:val="20"/>
              </w:rPr>
              <w:t>33,771</w:t>
            </w:r>
          </w:p>
        </w:tc>
        <w:tc>
          <w:tcPr>
            <w:tcW w:w="1890" w:type="dxa"/>
            <w:tcBorders>
              <w:top w:val="nil"/>
              <w:left w:val="nil"/>
              <w:bottom w:val="single" w:sz="4" w:space="0" w:color="auto"/>
              <w:right w:val="single" w:sz="4" w:space="0" w:color="auto"/>
            </w:tcBorders>
            <w:shd w:val="clear" w:color="000000" w:fill="333333"/>
            <w:noWrap/>
            <w:vAlign w:val="bottom"/>
            <w:hideMark/>
          </w:tcPr>
          <w:p w:rsidR="00993A94" w:rsidRPr="006F3C12" w:rsidP="00993A94" w14:paraId="18F85430"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tcPr>
          <w:p w:rsidR="00993A94" w:rsidRPr="006F3C12" w:rsidP="000F3F64" w14:paraId="09C26851" w14:textId="77777777">
            <w:pPr>
              <w:spacing w:after="0" w:line="240" w:lineRule="auto"/>
              <w:rPr>
                <w:rFonts w:ascii="Calibri" w:eastAsia="Times New Roman" w:hAnsi="Calibri" w:cs="Arial"/>
                <w:b/>
                <w:bCs/>
                <w:color w:val="000000"/>
                <w:sz w:val="20"/>
                <w:szCs w:val="20"/>
              </w:rPr>
            </w:pPr>
            <w:r>
              <w:rPr>
                <w:rFonts w:ascii="Calibri" w:eastAsia="Times New Roman" w:hAnsi="Calibri" w:cs="Arial"/>
                <w:b/>
                <w:bCs/>
                <w:color w:val="000000"/>
                <w:sz w:val="20"/>
                <w:szCs w:val="20"/>
              </w:rPr>
              <w:t>2,966,783</w:t>
            </w:r>
          </w:p>
        </w:tc>
      </w:tr>
    </w:tbl>
    <w:p w:rsidR="00F056C3" w:rsidRPr="00D57D80" w:rsidP="00A41763" w14:paraId="6D505F79" w14:textId="77777777">
      <w:pPr>
        <w:rPr>
          <w:sz w:val="18"/>
          <w:szCs w:val="18"/>
        </w:rPr>
      </w:pPr>
    </w:p>
    <w:p w:rsidR="00F056C3" w:rsidP="00CA63E3" w14:paraId="3F6B968D" w14:textId="77777777">
      <w:pPr>
        <w:pStyle w:val="Heading2"/>
      </w:pPr>
      <w:bookmarkStart w:id="16" w:name="_Toc108505096"/>
      <w:r>
        <w:t>A.</w:t>
      </w:r>
      <w:r w:rsidRPr="00A41763" w:rsidR="00A41763">
        <w:t xml:space="preserve">13. </w:t>
      </w:r>
      <w:r w:rsidR="006F3C12">
        <w:t xml:space="preserve">Other Estimated </w:t>
      </w:r>
      <w:r w:rsidRPr="00F056C3">
        <w:t xml:space="preserve">Annual Cost to </w:t>
      </w:r>
      <w:r w:rsidR="00FE2197">
        <w:t>Respondents</w:t>
      </w:r>
      <w:bookmarkEnd w:id="16"/>
    </w:p>
    <w:p w:rsidR="00A41763" w:rsidRPr="00A41763" w:rsidP="00A41763" w14:paraId="1D7B77DE" w14:textId="77777777">
      <w:r w:rsidRPr="00A41763">
        <w:rPr>
          <w:b/>
          <w:bCs/>
        </w:rPr>
        <w:t xml:space="preserve">Provide an estimate for the total annual cost burden to respondents or recordkeepers resulting from the collection of information. </w:t>
      </w:r>
    </w:p>
    <w:p w:rsidR="00B10968" w:rsidP="00B10968" w14:paraId="24B22E8E" w14:textId="77777777">
      <w:pPr>
        <w:ind w:left="360"/>
      </w:pPr>
      <w:r w:rsidRPr="004D7524">
        <w:t>The</w:t>
      </w:r>
      <w:r w:rsidR="0000662A">
        <w:t xml:space="preserve"> other</w:t>
      </w:r>
      <w:r w:rsidRPr="004D7524">
        <w:t xml:space="preserve"> estimated annualized cost to the contractor/public respondents for the data in this </w:t>
      </w:r>
      <w:r w:rsidR="0000662A">
        <w:t>package is all included in the above table.  No additional costs are known.</w:t>
      </w:r>
      <w:r w:rsidRPr="004D7524">
        <w:t xml:space="preserve">  </w:t>
      </w:r>
    </w:p>
    <w:p w:rsidR="00F056C3" w:rsidP="00CA63E3" w14:paraId="62B0CC2F" w14:textId="77777777">
      <w:pPr>
        <w:pStyle w:val="Heading2"/>
      </w:pPr>
      <w:bookmarkStart w:id="17" w:name="_Toc108505097"/>
      <w:r>
        <w:t>A.</w:t>
      </w:r>
      <w:r w:rsidRPr="00A41763" w:rsidR="00A41763">
        <w:t xml:space="preserve">14. </w:t>
      </w:r>
      <w:r w:rsidR="00FE2197">
        <w:t>Annual Cost to the Federal Government</w:t>
      </w:r>
      <w:bookmarkEnd w:id="17"/>
      <w:r w:rsidRPr="00F056C3">
        <w:t xml:space="preserve"> </w:t>
      </w:r>
    </w:p>
    <w:p w:rsidR="00A41763" w:rsidRPr="00A41763" w:rsidP="00A41763" w14:paraId="339615AB" w14:textId="77777777">
      <w:bookmarkStart w:id="18" w:name="_Hlk57385461"/>
      <w:r w:rsidRPr="00A41763">
        <w:rPr>
          <w:b/>
          <w:bCs/>
        </w:rPr>
        <w:t>Provide estimates of annualized cost to the Fede</w:t>
      </w:r>
      <w:r w:rsidRPr="00A41763">
        <w:rPr>
          <w:b/>
          <w:bCs/>
        </w:rPr>
        <w:t xml:space="preserve">ral government. </w:t>
      </w:r>
    </w:p>
    <w:bookmarkEnd w:id="18"/>
    <w:p w:rsidR="000142BF" w:rsidRPr="004D7524" w:rsidP="000142BF" w14:paraId="1FCA1EDC" w14:textId="77777777">
      <w:pPr>
        <w:ind w:left="360"/>
      </w:pPr>
      <w:r w:rsidRPr="004D7524">
        <w:t>The estimated annualized cost to the Federal government is based on an estimate of $</w:t>
      </w:r>
      <w:r>
        <w:t>105.80</w:t>
      </w:r>
      <w:r w:rsidRPr="004D7524">
        <w:t xml:space="preserve"> per hour (20</w:t>
      </w:r>
      <w:r>
        <w:t>22</w:t>
      </w:r>
      <w:r w:rsidRPr="004D7524">
        <w:t xml:space="preserve"> GS-13, Step 10 Hourly Rate</w:t>
      </w:r>
      <w:r>
        <w:t xml:space="preserve"> with DC locality pay</w:t>
      </w:r>
      <w:r w:rsidRPr="004D7524">
        <w:t xml:space="preserve">), including an additional 29% for employee fringe benefits and </w:t>
      </w:r>
      <w:r>
        <w:t xml:space="preserve">30% </w:t>
      </w:r>
      <w:r w:rsidRPr="004D7524">
        <w:t>overhead cost.  Th</w:t>
      </w:r>
      <w:r w:rsidRPr="004D7524">
        <w:t>is federal employee salary is rounded to $</w:t>
      </w:r>
      <w:r>
        <w:t>106</w:t>
      </w:r>
      <w:r w:rsidRPr="004D7524">
        <w:t xml:space="preserve"> per hour.  It is assumed that the record keeping burden is 0.25 hour (15 minutes) per response.</w:t>
      </w:r>
    </w:p>
    <w:p w:rsidR="000142BF" w:rsidRPr="004D7524" w:rsidP="000142BF" w14:paraId="280E9A51" w14:textId="77777777">
      <w:pPr>
        <w:numPr>
          <w:ilvl w:val="0"/>
          <w:numId w:val="12"/>
        </w:numPr>
        <w:spacing w:after="0" w:line="240" w:lineRule="auto"/>
        <w:ind w:left="360"/>
      </w:pPr>
      <w:r w:rsidRPr="004D7524">
        <w:t>Government cost, at $1</w:t>
      </w:r>
      <w:r>
        <w:t>06</w:t>
      </w:r>
      <w:r w:rsidRPr="004D7524">
        <w:t>/burden hour:  $</w:t>
      </w:r>
      <w:r>
        <w:t>151,448</w:t>
      </w:r>
      <w:r w:rsidRPr="004D7524">
        <w:t> </w:t>
      </w:r>
    </w:p>
    <w:p w:rsidR="000142BF" w:rsidRPr="004D7524" w:rsidP="000142BF" w14:paraId="5342D856" w14:textId="77777777">
      <w:pPr>
        <w:numPr>
          <w:ilvl w:val="0"/>
          <w:numId w:val="12"/>
        </w:numPr>
        <w:spacing w:after="0" w:line="240" w:lineRule="auto"/>
        <w:ind w:left="360"/>
      </w:pPr>
      <w:r w:rsidRPr="004D7524">
        <w:t xml:space="preserve">Estimated annualized Federal IT system cost </w:t>
      </w:r>
      <w:r w:rsidRPr="004D7524">
        <w:t>(collection instruments are combined under one IT contract (including equipment, software, hardware, programming,</w:t>
      </w:r>
      <w:r>
        <w:t xml:space="preserve"> cloud service,</w:t>
      </w:r>
      <w:r w:rsidRPr="004D7524">
        <w:t xml:space="preserve"> and estimated annual updates):  $</w:t>
      </w:r>
      <w:r>
        <w:t xml:space="preserve">1,163,000 </w:t>
      </w:r>
    </w:p>
    <w:p w:rsidR="000142BF" w:rsidP="000142BF" w14:paraId="46723CF3" w14:textId="77777777">
      <w:pPr>
        <w:numPr>
          <w:ilvl w:val="0"/>
          <w:numId w:val="12"/>
        </w:numPr>
        <w:spacing w:after="0" w:line="240" w:lineRule="auto"/>
        <w:ind w:left="360"/>
      </w:pPr>
      <w:r w:rsidRPr="004D7524">
        <w:t>Total estimated annualized cost for this package:  $1,</w:t>
      </w:r>
      <w:r>
        <w:t>314,448</w:t>
      </w:r>
    </w:p>
    <w:p w:rsidR="000142BF" w:rsidP="000142BF" w14:paraId="27990AB9" w14:textId="77777777">
      <w:pPr>
        <w:spacing w:after="0" w:line="240" w:lineRule="auto"/>
      </w:pPr>
    </w:p>
    <w:p w:rsidR="00000464" w:rsidP="000F3F64" w14:paraId="353D29E2" w14:textId="77777777">
      <w:pPr>
        <w:spacing w:after="0" w:line="240" w:lineRule="auto"/>
        <w:jc w:val="center"/>
      </w:pPr>
      <w:r w:rsidRPr="006F3C12">
        <w:rPr>
          <w:rFonts w:ascii="Calibri" w:eastAsia="Times New Roman" w:hAnsi="Calibri" w:cs="Arial"/>
          <w:b/>
          <w:bCs/>
          <w:color w:val="0070C0"/>
          <w:sz w:val="28"/>
          <w:szCs w:val="28"/>
        </w:rPr>
        <w:t>Table A</w:t>
      </w:r>
      <w:r>
        <w:rPr>
          <w:rFonts w:ascii="Calibri" w:eastAsia="Times New Roman" w:hAnsi="Calibri" w:cs="Arial"/>
          <w:b/>
          <w:bCs/>
          <w:color w:val="0070C0"/>
          <w:sz w:val="28"/>
          <w:szCs w:val="28"/>
        </w:rPr>
        <w:t>3</w:t>
      </w:r>
      <w:r w:rsidRPr="006F3C12">
        <w:rPr>
          <w:rFonts w:ascii="Calibri" w:eastAsia="Times New Roman" w:hAnsi="Calibri" w:cs="Arial"/>
          <w:b/>
          <w:bCs/>
          <w:color w:val="0070C0"/>
          <w:sz w:val="28"/>
          <w:szCs w:val="28"/>
        </w:rPr>
        <w:t xml:space="preserve">. </w:t>
      </w:r>
      <w:r>
        <w:rPr>
          <w:rFonts w:ascii="Calibri" w:eastAsia="Times New Roman" w:hAnsi="Calibri" w:cs="Arial"/>
          <w:b/>
          <w:bCs/>
          <w:color w:val="0070C0"/>
          <w:sz w:val="28"/>
          <w:szCs w:val="28"/>
        </w:rPr>
        <w:t xml:space="preserve">Estimated </w:t>
      </w:r>
      <w:r>
        <w:rPr>
          <w:rFonts w:ascii="Calibri" w:eastAsia="Times New Roman" w:hAnsi="Calibri" w:cs="Arial"/>
          <w:b/>
          <w:bCs/>
          <w:color w:val="0070C0"/>
          <w:sz w:val="28"/>
          <w:szCs w:val="28"/>
        </w:rPr>
        <w:t>Cost to the Federal Government</w:t>
      </w:r>
    </w:p>
    <w:tbl>
      <w:tblPr>
        <w:tblW w:w="901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68"/>
        <w:gridCol w:w="1170"/>
        <w:gridCol w:w="1350"/>
        <w:gridCol w:w="3330"/>
      </w:tblGrid>
      <w:tr w14:paraId="1891DBFC" w14:textId="77777777" w:rsidTr="000F3F64">
        <w:tblPrEx>
          <w:tblW w:w="901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821"/>
        </w:trPr>
        <w:tc>
          <w:tcPr>
            <w:tcW w:w="3168" w:type="dxa"/>
            <w:shd w:val="clear" w:color="auto" w:fill="0096D7" w:themeFill="accent1"/>
          </w:tcPr>
          <w:p w:rsidR="00000464" w:rsidP="00000464" w14:paraId="067C924E" w14:textId="77777777">
            <w:pPr>
              <w:spacing w:after="0" w:line="240" w:lineRule="auto"/>
              <w:jc w:val="center"/>
              <w:rPr>
                <w:rFonts w:ascii="Calibri" w:eastAsia="Times New Roman" w:hAnsi="Calibri" w:cs="Arial"/>
                <w:b/>
                <w:bCs/>
                <w:sz w:val="20"/>
                <w:szCs w:val="20"/>
              </w:rPr>
            </w:pPr>
          </w:p>
          <w:p w:rsidR="00000464" w:rsidP="00000464" w14:paraId="74056D96" w14:textId="77777777">
            <w:pPr>
              <w:spacing w:after="0" w:line="240" w:lineRule="auto"/>
              <w:jc w:val="center"/>
              <w:rPr>
                <w:rFonts w:ascii="Calibri" w:eastAsia="Times New Roman" w:hAnsi="Calibri" w:cs="Arial"/>
                <w:b/>
                <w:bCs/>
                <w:sz w:val="20"/>
                <w:szCs w:val="20"/>
              </w:rPr>
            </w:pPr>
          </w:p>
          <w:p w:rsidR="00000464" w:rsidRPr="000F3F64" w:rsidP="000F3F64" w14:paraId="0F49F6A0" w14:textId="77777777">
            <w:pPr>
              <w:spacing w:after="0" w:line="240" w:lineRule="auto"/>
              <w:jc w:val="center"/>
              <w:rPr>
                <w:rFonts w:ascii="Calibri" w:eastAsia="Times New Roman" w:hAnsi="Calibri" w:cs="Arial"/>
                <w:b/>
                <w:bCs/>
                <w:sz w:val="20"/>
                <w:szCs w:val="20"/>
              </w:rPr>
            </w:pPr>
            <w:r w:rsidRPr="000F3F64">
              <w:rPr>
                <w:rFonts w:ascii="Calibri" w:eastAsia="Times New Roman" w:hAnsi="Calibri" w:cs="Arial"/>
                <w:b/>
                <w:bCs/>
                <w:sz w:val="20"/>
                <w:szCs w:val="20"/>
              </w:rPr>
              <w:t>Collection Instrument</w:t>
            </w:r>
          </w:p>
        </w:tc>
        <w:tc>
          <w:tcPr>
            <w:tcW w:w="1170" w:type="dxa"/>
            <w:shd w:val="clear" w:color="auto" w:fill="0096D7" w:themeFill="accent1"/>
          </w:tcPr>
          <w:p w:rsidR="00000464" w:rsidP="00000464" w14:paraId="23871797" w14:textId="77777777">
            <w:pPr>
              <w:spacing w:after="0" w:line="240" w:lineRule="auto"/>
              <w:jc w:val="center"/>
              <w:rPr>
                <w:rFonts w:ascii="Calibri" w:eastAsia="Times New Roman" w:hAnsi="Calibri" w:cs="Arial"/>
                <w:b/>
                <w:bCs/>
                <w:sz w:val="20"/>
                <w:szCs w:val="20"/>
              </w:rPr>
            </w:pPr>
          </w:p>
          <w:p w:rsidR="00000464" w:rsidP="00000464" w14:paraId="10A0CFEE" w14:textId="77777777">
            <w:pPr>
              <w:spacing w:after="0" w:line="240" w:lineRule="auto"/>
              <w:jc w:val="center"/>
              <w:rPr>
                <w:rFonts w:ascii="Calibri" w:eastAsia="Times New Roman" w:hAnsi="Calibri" w:cs="Arial"/>
                <w:b/>
                <w:bCs/>
                <w:sz w:val="20"/>
                <w:szCs w:val="20"/>
              </w:rPr>
            </w:pPr>
          </w:p>
          <w:p w:rsidR="00000464" w:rsidRPr="000F3F64" w:rsidP="000F3F64" w14:paraId="0455894C" w14:textId="77777777">
            <w:pPr>
              <w:spacing w:after="0" w:line="240" w:lineRule="auto"/>
              <w:jc w:val="center"/>
              <w:rPr>
                <w:rFonts w:ascii="Calibri" w:eastAsia="Times New Roman" w:hAnsi="Calibri" w:cs="Arial"/>
                <w:b/>
                <w:bCs/>
                <w:sz w:val="20"/>
                <w:szCs w:val="20"/>
              </w:rPr>
            </w:pPr>
            <w:r w:rsidRPr="000F3F64">
              <w:rPr>
                <w:rFonts w:ascii="Calibri" w:eastAsia="Times New Roman" w:hAnsi="Calibri" w:cs="Arial"/>
                <w:b/>
                <w:bCs/>
                <w:sz w:val="20"/>
                <w:szCs w:val="20"/>
              </w:rPr>
              <w:t>Number of responses per year</w:t>
            </w:r>
          </w:p>
        </w:tc>
        <w:tc>
          <w:tcPr>
            <w:tcW w:w="1350" w:type="dxa"/>
            <w:shd w:val="clear" w:color="auto" w:fill="0096D7" w:themeFill="accent1"/>
          </w:tcPr>
          <w:p w:rsidR="00000464" w:rsidP="00000464" w14:paraId="6080E60D" w14:textId="77777777">
            <w:pPr>
              <w:spacing w:after="0" w:line="240" w:lineRule="auto"/>
              <w:jc w:val="center"/>
              <w:rPr>
                <w:rFonts w:ascii="Calibri" w:eastAsia="Times New Roman" w:hAnsi="Calibri" w:cs="Arial"/>
                <w:b/>
                <w:bCs/>
                <w:sz w:val="20"/>
                <w:szCs w:val="20"/>
              </w:rPr>
            </w:pPr>
          </w:p>
          <w:p w:rsidR="00000464" w:rsidP="00000464" w14:paraId="4C065877" w14:textId="77777777">
            <w:pPr>
              <w:spacing w:after="0" w:line="240" w:lineRule="auto"/>
              <w:jc w:val="center"/>
              <w:rPr>
                <w:rFonts w:ascii="Calibri" w:eastAsia="Times New Roman" w:hAnsi="Calibri" w:cs="Arial"/>
                <w:b/>
                <w:bCs/>
                <w:sz w:val="20"/>
                <w:szCs w:val="20"/>
              </w:rPr>
            </w:pPr>
          </w:p>
          <w:p w:rsidR="00000464" w:rsidP="00000464" w14:paraId="2A7C9B9B"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3330" w:type="dxa"/>
            <w:tcBorders>
              <w:top w:val="single" w:sz="4" w:space="0" w:color="auto"/>
              <w:left w:val="single" w:sz="4" w:space="0" w:color="auto"/>
              <w:bottom w:val="single" w:sz="4" w:space="0" w:color="auto"/>
              <w:right w:val="single" w:sz="4" w:space="0" w:color="auto"/>
            </w:tcBorders>
            <w:shd w:val="clear" w:color="auto" w:fill="0096D7" w:themeFill="accent1"/>
          </w:tcPr>
          <w:p w:rsidR="00000464" w:rsidP="00000464" w14:paraId="096A6300" w14:textId="77777777">
            <w:pPr>
              <w:spacing w:after="0" w:line="240" w:lineRule="auto"/>
              <w:jc w:val="center"/>
              <w:rPr>
                <w:rFonts w:ascii="Calibri" w:eastAsia="Times New Roman" w:hAnsi="Calibri" w:cs="Arial"/>
                <w:b/>
                <w:bCs/>
                <w:sz w:val="20"/>
                <w:szCs w:val="20"/>
              </w:rPr>
            </w:pPr>
          </w:p>
          <w:p w:rsidR="00000464" w:rsidP="00000464" w14:paraId="5164BABC" w14:textId="77777777">
            <w:pPr>
              <w:spacing w:after="0" w:line="240" w:lineRule="auto"/>
              <w:jc w:val="center"/>
              <w:rPr>
                <w:rFonts w:ascii="Calibri" w:eastAsia="Times New Roman" w:hAnsi="Calibri" w:cs="Arial"/>
                <w:b/>
                <w:bCs/>
                <w:sz w:val="20"/>
                <w:szCs w:val="20"/>
              </w:rPr>
            </w:pPr>
          </w:p>
          <w:p w:rsidR="00000464" w:rsidRPr="000F3F64" w:rsidP="000F3F64" w14:paraId="205C9FEE" w14:textId="77777777">
            <w:pPr>
              <w:spacing w:after="0" w:line="240" w:lineRule="auto"/>
              <w:jc w:val="center"/>
              <w:rPr>
                <w:rFonts w:ascii="Calibri" w:eastAsia="Times New Roman" w:hAnsi="Calibri" w:cs="Arial"/>
                <w:b/>
                <w:bCs/>
                <w:sz w:val="20"/>
                <w:szCs w:val="20"/>
              </w:rPr>
            </w:pPr>
            <w:r w:rsidRPr="000F3F64">
              <w:rPr>
                <w:rFonts w:ascii="Calibri" w:eastAsia="Times New Roman" w:hAnsi="Calibri" w:cs="Arial"/>
                <w:b/>
                <w:bCs/>
                <w:sz w:val="20"/>
                <w:szCs w:val="20"/>
              </w:rPr>
              <w:t>Estimated Costs to Recordkeepers (federal employees)</w:t>
            </w:r>
          </w:p>
          <w:p w:rsidR="00000464" w:rsidRPr="000F3F64" w:rsidP="000F3F64" w14:paraId="1C703AF0" w14:textId="77777777">
            <w:pPr>
              <w:spacing w:after="0" w:line="240" w:lineRule="auto"/>
              <w:jc w:val="center"/>
              <w:rPr>
                <w:rFonts w:ascii="Calibri" w:eastAsia="Times New Roman" w:hAnsi="Calibri" w:cs="Arial"/>
                <w:b/>
                <w:bCs/>
                <w:sz w:val="20"/>
                <w:szCs w:val="20"/>
              </w:rPr>
            </w:pPr>
            <w:r w:rsidRPr="000F3F64">
              <w:rPr>
                <w:rFonts w:ascii="Calibri" w:eastAsia="Times New Roman" w:hAnsi="Calibri" w:cs="Arial"/>
                <w:b/>
                <w:bCs/>
                <w:sz w:val="20"/>
                <w:szCs w:val="20"/>
              </w:rPr>
              <w:t>(Formula: $106 x15 min/60 min x reponse)</w:t>
            </w:r>
          </w:p>
        </w:tc>
      </w:tr>
      <w:tr w14:paraId="3F59B548" w14:textId="77777777" w:rsidTr="000F3F64">
        <w:tblPrEx>
          <w:tblW w:w="9018" w:type="dxa"/>
          <w:tblInd w:w="360" w:type="dxa"/>
          <w:tblLayout w:type="fixed"/>
          <w:tblLook w:val="04A0"/>
        </w:tblPrEx>
        <w:trPr>
          <w:trHeight w:val="484"/>
        </w:trPr>
        <w:tc>
          <w:tcPr>
            <w:tcW w:w="3168" w:type="dxa"/>
            <w:shd w:val="clear" w:color="auto" w:fill="auto"/>
          </w:tcPr>
          <w:p w:rsidR="00000464" w:rsidRPr="000F3F64" w14:paraId="2EB1215F" w14:textId="77777777">
            <w:pPr>
              <w:rPr>
                <w:rFonts w:eastAsia="Calibri"/>
                <w:sz w:val="20"/>
                <w:szCs w:val="20"/>
              </w:rPr>
            </w:pPr>
            <w:r w:rsidRPr="000F3F64">
              <w:rPr>
                <w:rFonts w:eastAsia="Calibri"/>
                <w:sz w:val="20"/>
                <w:szCs w:val="20"/>
              </w:rPr>
              <w:t>CAIRS</w:t>
            </w:r>
          </w:p>
        </w:tc>
        <w:tc>
          <w:tcPr>
            <w:tcW w:w="1170" w:type="dxa"/>
            <w:shd w:val="clear" w:color="auto" w:fill="auto"/>
            <w:vAlign w:val="bottom"/>
          </w:tcPr>
          <w:p w:rsidR="00000464" w:rsidRPr="000F3F64" w:rsidP="000F3F64" w14:paraId="5C5A16A5" w14:textId="77777777">
            <w:pPr>
              <w:rPr>
                <w:rFonts w:eastAsia="Calibri"/>
                <w:sz w:val="20"/>
                <w:szCs w:val="20"/>
              </w:rPr>
            </w:pPr>
            <w:r w:rsidRPr="000F3F64">
              <w:rPr>
                <w:rFonts w:eastAsia="Calibri"/>
                <w:sz w:val="20"/>
                <w:szCs w:val="20"/>
              </w:rPr>
              <w:t>1825</w:t>
            </w:r>
          </w:p>
        </w:tc>
        <w:tc>
          <w:tcPr>
            <w:tcW w:w="1350" w:type="dxa"/>
          </w:tcPr>
          <w:p w:rsidR="00000464" w:rsidRPr="000F3F64" w:rsidP="000F3F64" w14:paraId="0723AFAE" w14:textId="77777777">
            <w:pPr>
              <w:rPr>
                <w:sz w:val="20"/>
                <w:szCs w:val="20"/>
              </w:rPr>
            </w:pPr>
            <w:r w:rsidRPr="000F3F64">
              <w:rPr>
                <w:sz w:val="20"/>
                <w:szCs w:val="20"/>
              </w:rPr>
              <w:t>$106</w:t>
            </w:r>
          </w:p>
        </w:tc>
        <w:tc>
          <w:tcPr>
            <w:tcW w:w="3330" w:type="dxa"/>
            <w:tcBorders>
              <w:top w:val="nil"/>
              <w:left w:val="single" w:sz="4" w:space="0" w:color="auto"/>
              <w:bottom w:val="single" w:sz="4" w:space="0" w:color="auto"/>
              <w:right w:val="single" w:sz="4" w:space="0" w:color="auto"/>
            </w:tcBorders>
            <w:shd w:val="clear" w:color="auto" w:fill="FFFFFF"/>
            <w:vAlign w:val="bottom"/>
          </w:tcPr>
          <w:p w:rsidR="00000464" w:rsidRPr="000F3F64" w:rsidP="000F3F64" w14:paraId="7F1763B9" w14:textId="77777777">
            <w:pPr>
              <w:rPr>
                <w:sz w:val="20"/>
                <w:szCs w:val="20"/>
              </w:rPr>
            </w:pPr>
            <w:r w:rsidRPr="000F3F64">
              <w:rPr>
                <w:sz w:val="20"/>
                <w:szCs w:val="20"/>
              </w:rPr>
              <w:t>$48,363</w:t>
            </w:r>
          </w:p>
        </w:tc>
      </w:tr>
      <w:tr w14:paraId="2FD612C9" w14:textId="77777777" w:rsidTr="000F3F64">
        <w:tblPrEx>
          <w:tblW w:w="9018" w:type="dxa"/>
          <w:tblInd w:w="360" w:type="dxa"/>
          <w:tblLayout w:type="fixed"/>
          <w:tblLook w:val="04A0"/>
        </w:tblPrEx>
        <w:trPr>
          <w:trHeight w:val="472"/>
        </w:trPr>
        <w:tc>
          <w:tcPr>
            <w:tcW w:w="3168" w:type="dxa"/>
            <w:shd w:val="clear" w:color="auto" w:fill="auto"/>
          </w:tcPr>
          <w:p w:rsidR="00000464" w:rsidRPr="000F3F64" w:rsidP="00000464" w14:paraId="6F8C5568" w14:textId="77777777">
            <w:pPr>
              <w:rPr>
                <w:rFonts w:eastAsia="Calibri"/>
                <w:sz w:val="20"/>
                <w:szCs w:val="20"/>
              </w:rPr>
            </w:pPr>
            <w:r w:rsidRPr="000F3F64">
              <w:rPr>
                <w:rFonts w:eastAsia="Calibri"/>
                <w:sz w:val="20"/>
                <w:szCs w:val="20"/>
              </w:rPr>
              <w:t>ORPS</w:t>
            </w:r>
          </w:p>
        </w:tc>
        <w:tc>
          <w:tcPr>
            <w:tcW w:w="1170" w:type="dxa"/>
            <w:shd w:val="clear" w:color="auto" w:fill="auto"/>
            <w:vAlign w:val="bottom"/>
          </w:tcPr>
          <w:p w:rsidR="00000464" w:rsidRPr="000F3F64" w:rsidP="000F3F64" w14:paraId="75B57735" w14:textId="77777777">
            <w:pPr>
              <w:rPr>
                <w:rFonts w:eastAsia="Calibri"/>
                <w:sz w:val="20"/>
                <w:szCs w:val="20"/>
              </w:rPr>
            </w:pPr>
            <w:r w:rsidRPr="000F3F64">
              <w:rPr>
                <w:rFonts w:eastAsia="Calibri"/>
                <w:sz w:val="20"/>
                <w:szCs w:val="20"/>
              </w:rPr>
              <w:t>750</w:t>
            </w:r>
          </w:p>
        </w:tc>
        <w:tc>
          <w:tcPr>
            <w:tcW w:w="1350" w:type="dxa"/>
          </w:tcPr>
          <w:p w:rsidR="00000464" w:rsidRPr="000F3F64" w:rsidP="000F3F64" w14:paraId="4DAB12FB" w14:textId="77777777">
            <w:pPr>
              <w:rPr>
                <w:sz w:val="20"/>
                <w:szCs w:val="20"/>
              </w:rPr>
            </w:pPr>
            <w:r w:rsidRPr="000F3F64">
              <w:rPr>
                <w:sz w:val="20"/>
                <w:szCs w:val="20"/>
              </w:rPr>
              <w:t>$106</w:t>
            </w:r>
          </w:p>
        </w:tc>
        <w:tc>
          <w:tcPr>
            <w:tcW w:w="3330" w:type="dxa"/>
            <w:tcBorders>
              <w:top w:val="nil"/>
              <w:left w:val="single" w:sz="4" w:space="0" w:color="auto"/>
              <w:bottom w:val="single" w:sz="4" w:space="0" w:color="auto"/>
              <w:right w:val="single" w:sz="4" w:space="0" w:color="auto"/>
            </w:tcBorders>
            <w:shd w:val="clear" w:color="auto" w:fill="FFFFFF"/>
            <w:vAlign w:val="bottom"/>
          </w:tcPr>
          <w:p w:rsidR="00000464" w:rsidRPr="000F3F64" w:rsidP="000F3F64" w14:paraId="37040239" w14:textId="77777777">
            <w:pPr>
              <w:rPr>
                <w:sz w:val="20"/>
                <w:szCs w:val="20"/>
              </w:rPr>
            </w:pPr>
            <w:r w:rsidRPr="000F3F64">
              <w:rPr>
                <w:sz w:val="20"/>
                <w:szCs w:val="20"/>
              </w:rPr>
              <w:t>$19,875</w:t>
            </w:r>
          </w:p>
        </w:tc>
      </w:tr>
      <w:tr w14:paraId="4D76044D" w14:textId="77777777" w:rsidTr="000F3F64">
        <w:tblPrEx>
          <w:tblW w:w="9018" w:type="dxa"/>
          <w:tblInd w:w="360" w:type="dxa"/>
          <w:tblLayout w:type="fixed"/>
          <w:tblLook w:val="04A0"/>
        </w:tblPrEx>
        <w:trPr>
          <w:trHeight w:val="484"/>
        </w:trPr>
        <w:tc>
          <w:tcPr>
            <w:tcW w:w="3168" w:type="dxa"/>
            <w:shd w:val="clear" w:color="auto" w:fill="auto"/>
          </w:tcPr>
          <w:p w:rsidR="00000464" w:rsidRPr="000F3F64" w:rsidP="00000464" w14:paraId="429B66D6" w14:textId="77777777">
            <w:pPr>
              <w:rPr>
                <w:rFonts w:eastAsia="Calibri"/>
                <w:sz w:val="20"/>
                <w:szCs w:val="20"/>
              </w:rPr>
            </w:pPr>
            <w:r w:rsidRPr="000F3F64">
              <w:rPr>
                <w:rFonts w:eastAsia="Calibri"/>
                <w:sz w:val="20"/>
                <w:szCs w:val="20"/>
              </w:rPr>
              <w:t>REMS</w:t>
            </w:r>
          </w:p>
        </w:tc>
        <w:tc>
          <w:tcPr>
            <w:tcW w:w="1170" w:type="dxa"/>
            <w:shd w:val="clear" w:color="auto" w:fill="auto"/>
            <w:vAlign w:val="bottom"/>
          </w:tcPr>
          <w:p w:rsidR="00000464" w:rsidRPr="000F3F64" w:rsidP="000F3F64" w14:paraId="5EC4F3F6" w14:textId="77777777">
            <w:pPr>
              <w:spacing w:line="240" w:lineRule="auto"/>
              <w:rPr>
                <w:rFonts w:eastAsia="Calibri"/>
                <w:sz w:val="20"/>
                <w:szCs w:val="20"/>
              </w:rPr>
            </w:pPr>
            <w:r w:rsidRPr="000F3F64">
              <w:rPr>
                <w:rFonts w:eastAsia="Calibri"/>
                <w:sz w:val="20"/>
                <w:szCs w:val="20"/>
              </w:rPr>
              <w:t>70,000</w:t>
            </w:r>
          </w:p>
        </w:tc>
        <w:tc>
          <w:tcPr>
            <w:tcW w:w="1350" w:type="dxa"/>
          </w:tcPr>
          <w:p w:rsidR="00000464" w:rsidRPr="000F3F64" w:rsidP="00000464" w14:paraId="44D00480" w14:textId="77777777">
            <w:pPr>
              <w:rPr>
                <w:sz w:val="20"/>
                <w:szCs w:val="20"/>
              </w:rPr>
            </w:pPr>
            <w:r w:rsidRPr="000F3F64">
              <w:rPr>
                <w:sz w:val="20"/>
                <w:szCs w:val="20"/>
              </w:rPr>
              <w:t>$106</w:t>
            </w:r>
          </w:p>
        </w:tc>
        <w:tc>
          <w:tcPr>
            <w:tcW w:w="3330" w:type="dxa"/>
            <w:tcBorders>
              <w:top w:val="nil"/>
              <w:left w:val="single" w:sz="4" w:space="0" w:color="auto"/>
              <w:bottom w:val="single" w:sz="4" w:space="0" w:color="auto"/>
              <w:right w:val="single" w:sz="4" w:space="0" w:color="auto"/>
            </w:tcBorders>
            <w:shd w:val="clear" w:color="auto" w:fill="FFFFFF"/>
            <w:vAlign w:val="bottom"/>
          </w:tcPr>
          <w:p w:rsidR="00000464" w:rsidRPr="000F3F64" w:rsidP="00000464" w14:paraId="7B497E0F" w14:textId="77777777">
            <w:pPr>
              <w:rPr>
                <w:sz w:val="20"/>
                <w:szCs w:val="20"/>
              </w:rPr>
            </w:pPr>
            <w:r w:rsidRPr="000F3F64">
              <w:rPr>
                <w:sz w:val="20"/>
                <w:szCs w:val="20"/>
              </w:rPr>
              <w:t>$53,000**</w:t>
            </w:r>
          </w:p>
        </w:tc>
      </w:tr>
      <w:tr w14:paraId="6DB80EAA" w14:textId="77777777" w:rsidTr="000F3F64">
        <w:tblPrEx>
          <w:tblW w:w="9018" w:type="dxa"/>
          <w:tblInd w:w="360" w:type="dxa"/>
          <w:tblLayout w:type="fixed"/>
          <w:tblLook w:val="04A0"/>
        </w:tblPrEx>
        <w:trPr>
          <w:trHeight w:val="595"/>
        </w:trPr>
        <w:tc>
          <w:tcPr>
            <w:tcW w:w="3168" w:type="dxa"/>
            <w:shd w:val="clear" w:color="auto" w:fill="auto"/>
          </w:tcPr>
          <w:p w:rsidR="00000464" w:rsidRPr="000F3F64" w:rsidP="00000464" w14:paraId="438FEBBE" w14:textId="77777777">
            <w:pPr>
              <w:rPr>
                <w:rFonts w:eastAsia="Calibri"/>
                <w:sz w:val="20"/>
                <w:szCs w:val="20"/>
              </w:rPr>
            </w:pPr>
            <w:r w:rsidRPr="000F3F64">
              <w:rPr>
                <w:rFonts w:eastAsia="Calibri"/>
                <w:sz w:val="20"/>
                <w:szCs w:val="20"/>
              </w:rPr>
              <w:t>Fire Protection</w:t>
            </w:r>
          </w:p>
        </w:tc>
        <w:tc>
          <w:tcPr>
            <w:tcW w:w="1170" w:type="dxa"/>
            <w:shd w:val="clear" w:color="auto" w:fill="auto"/>
            <w:vAlign w:val="bottom"/>
          </w:tcPr>
          <w:p w:rsidR="00000464" w:rsidRPr="000F3F64" w:rsidP="000F3F64" w14:paraId="0353B5D6" w14:textId="77777777">
            <w:pPr>
              <w:rPr>
                <w:rFonts w:eastAsia="Calibri"/>
                <w:sz w:val="20"/>
                <w:szCs w:val="20"/>
              </w:rPr>
            </w:pPr>
            <w:r w:rsidRPr="000F3F64">
              <w:rPr>
                <w:rFonts w:eastAsia="Calibri"/>
                <w:sz w:val="20"/>
                <w:szCs w:val="20"/>
              </w:rPr>
              <w:t>45</w:t>
            </w:r>
          </w:p>
        </w:tc>
        <w:tc>
          <w:tcPr>
            <w:tcW w:w="1350" w:type="dxa"/>
          </w:tcPr>
          <w:p w:rsidR="00000464" w:rsidRPr="000F3F64" w:rsidP="000F3F64" w14:paraId="3D73961A" w14:textId="77777777">
            <w:pPr>
              <w:rPr>
                <w:sz w:val="20"/>
                <w:szCs w:val="20"/>
              </w:rPr>
            </w:pPr>
            <w:r w:rsidRPr="000F3F64">
              <w:rPr>
                <w:sz w:val="20"/>
                <w:szCs w:val="20"/>
              </w:rPr>
              <w:t>$106</w:t>
            </w:r>
          </w:p>
        </w:tc>
        <w:tc>
          <w:tcPr>
            <w:tcW w:w="3330" w:type="dxa"/>
            <w:tcBorders>
              <w:top w:val="nil"/>
              <w:left w:val="single" w:sz="4" w:space="0" w:color="auto"/>
              <w:right w:val="single" w:sz="4" w:space="0" w:color="auto"/>
            </w:tcBorders>
            <w:shd w:val="clear" w:color="auto" w:fill="FFFFFF"/>
            <w:vAlign w:val="bottom"/>
          </w:tcPr>
          <w:p w:rsidR="00000464" w:rsidRPr="000F3F64" w:rsidP="000F3F64" w14:paraId="1652489B" w14:textId="77777777">
            <w:pPr>
              <w:rPr>
                <w:sz w:val="20"/>
                <w:szCs w:val="20"/>
              </w:rPr>
            </w:pPr>
            <w:r w:rsidRPr="000F3F64">
              <w:rPr>
                <w:sz w:val="20"/>
                <w:szCs w:val="20"/>
              </w:rPr>
              <w:t>$19,080</w:t>
            </w:r>
          </w:p>
        </w:tc>
      </w:tr>
      <w:tr w14:paraId="1DBF3841" w14:textId="77777777" w:rsidTr="000F3F64">
        <w:tblPrEx>
          <w:tblW w:w="9018" w:type="dxa"/>
          <w:tblInd w:w="360" w:type="dxa"/>
          <w:tblLayout w:type="fixed"/>
          <w:tblLook w:val="04A0"/>
        </w:tblPrEx>
        <w:trPr>
          <w:trHeight w:val="521"/>
        </w:trPr>
        <w:tc>
          <w:tcPr>
            <w:tcW w:w="3168" w:type="dxa"/>
            <w:shd w:val="clear" w:color="auto" w:fill="auto"/>
          </w:tcPr>
          <w:p w:rsidR="00000464" w:rsidRPr="000F3F64" w:rsidP="00000464" w14:paraId="49177DFA" w14:textId="77777777">
            <w:pPr>
              <w:rPr>
                <w:rFonts w:eastAsia="Calibri"/>
                <w:sz w:val="20"/>
                <w:szCs w:val="20"/>
              </w:rPr>
            </w:pPr>
            <w:r w:rsidRPr="000F3F64">
              <w:rPr>
                <w:rFonts w:eastAsia="Calibri"/>
                <w:sz w:val="20"/>
                <w:szCs w:val="20"/>
              </w:rPr>
              <w:t>Safety Basis Information System</w:t>
            </w:r>
          </w:p>
        </w:tc>
        <w:tc>
          <w:tcPr>
            <w:tcW w:w="1170" w:type="dxa"/>
            <w:shd w:val="clear" w:color="auto" w:fill="auto"/>
            <w:vAlign w:val="bottom"/>
          </w:tcPr>
          <w:p w:rsidR="00000464" w:rsidRPr="000F3F64" w:rsidP="000F3F64" w14:paraId="2548C127" w14:textId="77777777">
            <w:pPr>
              <w:rPr>
                <w:rFonts w:eastAsia="Calibri"/>
                <w:sz w:val="20"/>
                <w:szCs w:val="20"/>
              </w:rPr>
            </w:pPr>
            <w:r w:rsidRPr="000F3F64">
              <w:rPr>
                <w:rFonts w:eastAsia="Calibri"/>
                <w:sz w:val="20"/>
                <w:szCs w:val="20"/>
              </w:rPr>
              <w:t>20</w:t>
            </w:r>
          </w:p>
        </w:tc>
        <w:tc>
          <w:tcPr>
            <w:tcW w:w="1350" w:type="dxa"/>
          </w:tcPr>
          <w:p w:rsidR="00000464" w:rsidRPr="000F3F64" w:rsidP="000F3F64" w14:paraId="7326CD22" w14:textId="77777777">
            <w:pPr>
              <w:rPr>
                <w:sz w:val="20"/>
                <w:szCs w:val="20"/>
              </w:rPr>
            </w:pPr>
            <w:r w:rsidRPr="000F3F64">
              <w:rPr>
                <w:sz w:val="20"/>
                <w:szCs w:val="20"/>
              </w:rPr>
              <w:t>$106</w:t>
            </w:r>
          </w:p>
        </w:tc>
        <w:tc>
          <w:tcPr>
            <w:tcW w:w="3330" w:type="dxa"/>
            <w:tcBorders>
              <w:left w:val="single" w:sz="4" w:space="0" w:color="auto"/>
              <w:right w:val="single" w:sz="4" w:space="0" w:color="auto"/>
            </w:tcBorders>
            <w:shd w:val="clear" w:color="auto" w:fill="FFFFFF"/>
            <w:vAlign w:val="bottom"/>
          </w:tcPr>
          <w:p w:rsidR="00000464" w:rsidRPr="000F3F64" w:rsidP="000F3F64" w14:paraId="329874A2" w14:textId="77777777">
            <w:pPr>
              <w:rPr>
                <w:sz w:val="20"/>
                <w:szCs w:val="20"/>
              </w:rPr>
            </w:pPr>
            <w:r w:rsidRPr="000F3F64">
              <w:rPr>
                <w:sz w:val="20"/>
                <w:szCs w:val="20"/>
              </w:rPr>
              <w:t>$530</w:t>
            </w:r>
          </w:p>
        </w:tc>
      </w:tr>
      <w:tr w14:paraId="67D0F3E4" w14:textId="77777777" w:rsidTr="000F3F64">
        <w:tblPrEx>
          <w:tblW w:w="9018" w:type="dxa"/>
          <w:tblInd w:w="360" w:type="dxa"/>
          <w:tblLayout w:type="fixed"/>
          <w:tblLook w:val="04A0"/>
        </w:tblPrEx>
        <w:trPr>
          <w:trHeight w:val="800"/>
        </w:trPr>
        <w:tc>
          <w:tcPr>
            <w:tcW w:w="3168" w:type="dxa"/>
            <w:shd w:val="clear" w:color="auto" w:fill="auto"/>
          </w:tcPr>
          <w:p w:rsidR="00000464" w:rsidRPr="000F3F64" w:rsidP="000F3F64" w14:paraId="4BDDE171" w14:textId="77777777">
            <w:pPr>
              <w:spacing w:after="0"/>
              <w:rPr>
                <w:rFonts w:eastAsia="Calibri"/>
                <w:sz w:val="20"/>
                <w:szCs w:val="20"/>
              </w:rPr>
            </w:pPr>
            <w:r w:rsidRPr="000F3F64">
              <w:rPr>
                <w:rFonts w:eastAsia="Calibri"/>
                <w:sz w:val="20"/>
                <w:szCs w:val="20"/>
              </w:rPr>
              <w:t>DOE OPEXShare Lessons Learned System</w:t>
            </w:r>
          </w:p>
        </w:tc>
        <w:tc>
          <w:tcPr>
            <w:tcW w:w="1170" w:type="dxa"/>
            <w:shd w:val="clear" w:color="auto" w:fill="auto"/>
            <w:vAlign w:val="bottom"/>
          </w:tcPr>
          <w:p w:rsidR="00000464" w:rsidRPr="000F3F64" w:rsidP="000F3F64" w14:paraId="1A1E7F00" w14:textId="77777777">
            <w:pPr>
              <w:spacing w:after="0"/>
              <w:rPr>
                <w:rFonts w:eastAsia="Calibri"/>
                <w:sz w:val="20"/>
                <w:szCs w:val="20"/>
              </w:rPr>
            </w:pPr>
            <w:r w:rsidRPr="000F3F64">
              <w:rPr>
                <w:rFonts w:eastAsia="Calibri"/>
                <w:sz w:val="20"/>
                <w:szCs w:val="20"/>
              </w:rPr>
              <w:t>400</w:t>
            </w:r>
          </w:p>
        </w:tc>
        <w:tc>
          <w:tcPr>
            <w:tcW w:w="1350" w:type="dxa"/>
          </w:tcPr>
          <w:p w:rsidR="00000464" w:rsidP="00000464" w14:paraId="1EFAD966" w14:textId="77777777">
            <w:pPr>
              <w:spacing w:after="0"/>
              <w:rPr>
                <w:sz w:val="20"/>
                <w:szCs w:val="20"/>
              </w:rPr>
            </w:pPr>
          </w:p>
          <w:p w:rsidR="00000464" w:rsidRPr="000F3F64" w:rsidP="000F3F64" w14:paraId="1872F2F4" w14:textId="77777777">
            <w:pPr>
              <w:spacing w:after="0"/>
              <w:rPr>
                <w:sz w:val="20"/>
                <w:szCs w:val="20"/>
              </w:rPr>
            </w:pPr>
            <w:r w:rsidRPr="000F3F64">
              <w:rPr>
                <w:sz w:val="20"/>
                <w:szCs w:val="20"/>
              </w:rPr>
              <w:t>$106</w:t>
            </w:r>
          </w:p>
        </w:tc>
        <w:tc>
          <w:tcPr>
            <w:tcW w:w="3330" w:type="dxa"/>
            <w:tcBorders>
              <w:left w:val="single" w:sz="4" w:space="0" w:color="auto"/>
              <w:right w:val="single" w:sz="4" w:space="0" w:color="auto"/>
            </w:tcBorders>
            <w:shd w:val="clear" w:color="auto" w:fill="FFFFFF"/>
            <w:vAlign w:val="bottom"/>
          </w:tcPr>
          <w:p w:rsidR="00000464" w:rsidRPr="000F3F64" w:rsidP="000F3F64" w14:paraId="0CDF2667" w14:textId="77777777">
            <w:pPr>
              <w:spacing w:after="0"/>
              <w:rPr>
                <w:sz w:val="20"/>
                <w:szCs w:val="20"/>
              </w:rPr>
            </w:pPr>
            <w:r w:rsidRPr="000F3F64">
              <w:rPr>
                <w:sz w:val="20"/>
                <w:szCs w:val="20"/>
              </w:rPr>
              <w:t>$10,600</w:t>
            </w:r>
          </w:p>
        </w:tc>
      </w:tr>
      <w:tr w14:paraId="712BA4C9" w14:textId="77777777" w:rsidTr="000F3F64">
        <w:tblPrEx>
          <w:tblW w:w="9018" w:type="dxa"/>
          <w:tblInd w:w="360" w:type="dxa"/>
          <w:tblLayout w:type="fixed"/>
          <w:tblLook w:val="04A0"/>
        </w:tblPrEx>
        <w:trPr>
          <w:trHeight w:val="260"/>
        </w:trPr>
        <w:tc>
          <w:tcPr>
            <w:tcW w:w="3168" w:type="dxa"/>
            <w:shd w:val="clear" w:color="auto" w:fill="FFFFFF"/>
          </w:tcPr>
          <w:p w:rsidR="00000464" w:rsidRPr="005C1EA3" w:rsidP="00000464" w14:paraId="56294DB0" w14:textId="77777777">
            <w:pPr>
              <w:spacing w:after="0" w:line="240" w:lineRule="auto"/>
              <w:rPr>
                <w:rFonts w:ascii="Calibri" w:eastAsia="Times New Roman" w:hAnsi="Calibri" w:cs="Arial"/>
                <w:b/>
                <w:bCs/>
                <w:color w:val="000000"/>
                <w:sz w:val="20"/>
                <w:szCs w:val="20"/>
              </w:rPr>
            </w:pPr>
          </w:p>
          <w:p w:rsidR="00000464" w:rsidRPr="000F3F64" w:rsidP="000F3F64" w14:paraId="09964D4E" w14:textId="77777777">
            <w:pPr>
              <w:spacing w:after="0" w:line="240" w:lineRule="auto"/>
              <w:rPr>
                <w:rFonts w:eastAsia="Calibri"/>
                <w:b/>
                <w:bCs/>
                <w:sz w:val="20"/>
                <w:szCs w:val="20"/>
              </w:rPr>
            </w:pPr>
            <w:r w:rsidRPr="005C1EA3">
              <w:rPr>
                <w:rFonts w:ascii="Calibri" w:eastAsia="Times New Roman" w:hAnsi="Calibri" w:cs="Arial"/>
                <w:b/>
                <w:bCs/>
                <w:color w:val="000000"/>
                <w:sz w:val="20"/>
                <w:szCs w:val="20"/>
              </w:rPr>
              <w:t>TOTAL</w:t>
            </w:r>
          </w:p>
        </w:tc>
        <w:tc>
          <w:tcPr>
            <w:tcW w:w="1170" w:type="dxa"/>
            <w:shd w:val="clear" w:color="auto" w:fill="E2A4AC" w:themeFill="accent5" w:themeFillTint="66"/>
            <w:vAlign w:val="bottom"/>
          </w:tcPr>
          <w:p w:rsidR="00000464" w:rsidRPr="000F3F64" w:rsidP="000F3F64" w14:paraId="6620602E" w14:textId="77777777">
            <w:pPr>
              <w:rPr>
                <w:rFonts w:eastAsia="Calibri"/>
                <w:b/>
                <w:bCs/>
                <w:sz w:val="20"/>
                <w:szCs w:val="20"/>
              </w:rPr>
            </w:pPr>
            <w:r w:rsidRPr="000F3F64">
              <w:rPr>
                <w:rFonts w:eastAsia="Calibri"/>
                <w:b/>
                <w:bCs/>
                <w:sz w:val="20"/>
                <w:szCs w:val="20"/>
              </w:rPr>
              <w:t>73,040</w:t>
            </w:r>
          </w:p>
        </w:tc>
        <w:tc>
          <w:tcPr>
            <w:tcW w:w="1350" w:type="dxa"/>
            <w:shd w:val="clear" w:color="auto" w:fill="333333" w:themeFill="background2"/>
          </w:tcPr>
          <w:p w:rsidR="00000464" w:rsidRPr="000F3F64" w:rsidP="00000464" w14:paraId="0316C36B" w14:textId="77777777">
            <w:pPr>
              <w:jc w:val="right"/>
              <w:rPr>
                <w:b/>
                <w:bCs/>
                <w:sz w:val="20"/>
                <w:szCs w:val="20"/>
              </w:rPr>
            </w:pPr>
          </w:p>
        </w:tc>
        <w:tc>
          <w:tcPr>
            <w:tcW w:w="3330" w:type="dxa"/>
            <w:tcBorders>
              <w:left w:val="single" w:sz="4" w:space="0" w:color="auto"/>
              <w:bottom w:val="single" w:sz="4" w:space="0" w:color="auto"/>
              <w:right w:val="single" w:sz="4" w:space="0" w:color="auto"/>
            </w:tcBorders>
            <w:shd w:val="clear" w:color="auto" w:fill="E2A4AC" w:themeFill="accent5" w:themeFillTint="66"/>
            <w:vAlign w:val="bottom"/>
          </w:tcPr>
          <w:p w:rsidR="00000464" w:rsidRPr="000F3F64" w:rsidP="000F3F64" w14:paraId="1B539945" w14:textId="77777777">
            <w:pPr>
              <w:rPr>
                <w:b/>
                <w:bCs/>
                <w:sz w:val="20"/>
                <w:szCs w:val="20"/>
              </w:rPr>
            </w:pPr>
            <w:r w:rsidRPr="000F3F64">
              <w:rPr>
                <w:b/>
                <w:bCs/>
                <w:sz w:val="20"/>
                <w:szCs w:val="20"/>
              </w:rPr>
              <w:t>$151,448**</w:t>
            </w:r>
          </w:p>
        </w:tc>
      </w:tr>
    </w:tbl>
    <w:p w:rsidR="000142BF" w:rsidP="000142BF" w14:paraId="325DB71F" w14:textId="77777777">
      <w:pPr>
        <w:spacing w:after="0" w:line="240" w:lineRule="auto"/>
      </w:pPr>
    </w:p>
    <w:p w:rsidR="000142BF" w:rsidP="000142BF" w14:paraId="5046DCBA" w14:textId="77777777">
      <w:pPr>
        <w:spacing w:after="0" w:line="240" w:lineRule="auto"/>
      </w:pPr>
      <w:r>
        <w:t>** Note for REMS: Calculation of costs to recordkeepers for REMS is based on actual hours expended (~500) rather than the estimated rate of 0.25 hr/response, as this estimate results in a gross overestimation. 500 hours X $106/hour = $53,000 per year.  The</w:t>
      </w:r>
      <w:r>
        <w:t xml:space="preserve"> total cost ($151,448) only includes this alternate estimate ($53,000) for federal hours spent on REMS responses.</w:t>
      </w:r>
    </w:p>
    <w:p w:rsidR="006D42EC" w:rsidP="00CA63E3" w14:paraId="498EBBD0" w14:textId="77777777">
      <w:pPr>
        <w:pStyle w:val="Heading2"/>
      </w:pPr>
      <w:bookmarkStart w:id="19" w:name="_Toc108505098"/>
      <w:r>
        <w:t>A.</w:t>
      </w:r>
      <w:r w:rsidRPr="00A41763" w:rsidR="00A41763">
        <w:t xml:space="preserve">15. </w:t>
      </w:r>
      <w:r>
        <w:t>Reasons for Changes in Burden</w:t>
      </w:r>
      <w:bookmarkEnd w:id="19"/>
    </w:p>
    <w:p w:rsidR="00A41763" w:rsidRPr="00A41763" w:rsidP="00A41763" w14:paraId="03C7F827" w14:textId="77777777">
      <w:bookmarkStart w:id="20" w:name="_Hlk57385469"/>
      <w:r w:rsidRPr="00A41763">
        <w:rPr>
          <w:b/>
          <w:bCs/>
        </w:rPr>
        <w:t xml:space="preserve">Explain the reasons for any program changes or adjustments reported in Items 13 (or 14) of OMB Form 83-I. </w:t>
      </w:r>
    </w:p>
    <w:bookmarkEnd w:id="20"/>
    <w:p w:rsidR="00B10968" w:rsidRPr="001D5DE2" w14:paraId="29879EA0" w14:textId="77777777">
      <w:pPr>
        <w:pStyle w:val="BodyTextIndent"/>
        <w:ind w:left="400"/>
      </w:pPr>
      <w:r w:rsidRPr="00F54459">
        <w:t xml:space="preserve">The consolidated annual burden of this package is </w:t>
      </w:r>
      <w:r>
        <w:t xml:space="preserve">33,771 hours which represents a decrease of 3,509 hours.  </w:t>
      </w:r>
      <w:r w:rsidRPr="001D5DE2">
        <w:t xml:space="preserve">We have determined that </w:t>
      </w:r>
      <w:r>
        <w:t xml:space="preserve">adjustment to this </w:t>
      </w:r>
      <w:r w:rsidRPr="001D5DE2">
        <w:t xml:space="preserve">burden hour of </w:t>
      </w:r>
      <w:r>
        <w:t>33,771</w:t>
      </w:r>
      <w:r w:rsidRPr="001D5DE2">
        <w:t xml:space="preserve"> hours should be made as follows:</w:t>
      </w:r>
    </w:p>
    <w:p w:rsidR="00B10968" w:rsidRPr="00721339" w14:paraId="52DD2B47" w14:textId="77777777">
      <w:pPr>
        <w:pStyle w:val="BodyTextIndent"/>
        <w:ind w:left="400"/>
        <w:rPr>
          <w:color w:val="FF0000"/>
          <w:highlight w:val="yellow"/>
        </w:rPr>
      </w:pPr>
      <w:r w:rsidRPr="00F54459">
        <w:tab/>
      </w:r>
      <w:r>
        <w:t xml:space="preserve">Current </w:t>
      </w:r>
      <w:r w:rsidRPr="00721339">
        <w:t>OMB Burden Hours Inventory</w:t>
      </w:r>
      <w:r w:rsidR="00996F9C">
        <w:t xml:space="preserve">: </w:t>
      </w:r>
      <w:r>
        <w:t>37,280</w:t>
      </w:r>
      <w:r w:rsidRPr="00721339">
        <w:t xml:space="preserve"> </w:t>
      </w:r>
    </w:p>
    <w:p w:rsidR="00B10968" w:rsidRPr="00A64D9A" w14:paraId="09D223C1" w14:textId="77777777">
      <w:pPr>
        <w:pStyle w:val="BodyTextIndent"/>
        <w:ind w:left="720"/>
        <w:rPr>
          <w:color w:val="FF0000"/>
        </w:rPr>
      </w:pPr>
      <w:r w:rsidRPr="00721339">
        <w:rPr>
          <w:u w:val="single"/>
        </w:rPr>
        <w:t xml:space="preserve">OMB </w:t>
      </w:r>
      <w:r w:rsidRPr="00721339">
        <w:rPr>
          <w:u w:val="single"/>
        </w:rPr>
        <w:t>Burden Hour Reduction</w:t>
      </w:r>
      <w:r>
        <w:rPr>
          <w:u w:val="single"/>
        </w:rPr>
        <w:t xml:space="preserve"> </w:t>
      </w:r>
    </w:p>
    <w:p w:rsidR="00B10968" w14:paraId="5DB2583C" w14:textId="77777777">
      <w:pPr>
        <w:pStyle w:val="BodyTextIndent"/>
        <w:numPr>
          <w:ilvl w:val="0"/>
          <w:numId w:val="13"/>
        </w:numPr>
        <w:spacing w:before="240" w:after="0" w:line="240" w:lineRule="auto"/>
        <w:ind w:left="1440"/>
      </w:pPr>
      <w:r w:rsidRPr="003F23C0">
        <w:t xml:space="preserve">CAIRS:  </w:t>
      </w:r>
      <w:r>
        <w:t>No Change</w:t>
      </w:r>
      <w:r w:rsidRPr="003F23C0">
        <w:t xml:space="preserve"> </w:t>
      </w:r>
    </w:p>
    <w:p w:rsidR="00B10968" w:rsidRPr="00F54459" w14:paraId="1DEFEDAF" w14:textId="77777777">
      <w:pPr>
        <w:pStyle w:val="BodyTextIndent"/>
        <w:numPr>
          <w:ilvl w:val="0"/>
          <w:numId w:val="13"/>
        </w:numPr>
        <w:spacing w:before="240" w:after="0" w:line="240" w:lineRule="auto"/>
        <w:ind w:left="1440"/>
      </w:pPr>
      <w:r w:rsidRPr="00F54459">
        <w:t xml:space="preserve">ORPS: </w:t>
      </w:r>
      <w:r>
        <w:t xml:space="preserve"> No Change</w:t>
      </w:r>
    </w:p>
    <w:p w:rsidR="00B10968" w:rsidRPr="000B3B8E" w14:paraId="187E1E08" w14:textId="77777777">
      <w:pPr>
        <w:pStyle w:val="BodyTextIndent"/>
        <w:numPr>
          <w:ilvl w:val="0"/>
          <w:numId w:val="13"/>
        </w:numPr>
        <w:spacing w:before="240" w:after="0" w:line="240" w:lineRule="auto"/>
        <w:ind w:left="1440"/>
        <w:rPr>
          <w:rFonts w:ascii="Calibri" w:hAnsi="Calibri" w:cs="Arial"/>
        </w:rPr>
      </w:pPr>
      <w:r>
        <w:rPr>
          <w:rFonts w:ascii="Calibri" w:hAnsi="Calibri" w:cs="Arial"/>
        </w:rPr>
        <w:t xml:space="preserve">Noncompliance Tracking System (NTS): </w:t>
      </w:r>
      <w:r>
        <w:t xml:space="preserve">The ownership of the NTS database has been transferred to a different organization (Office of Enterprise Assessments).  This request, therefore, adjusts future data collection needs for NTS to “0” for collection instruments associated with the EHSS Office </w:t>
      </w:r>
      <w:r>
        <w:t xml:space="preserve">of ES&amp;H Reporting and Analysis </w:t>
      </w:r>
      <w:r>
        <w:rPr>
          <w:rFonts w:ascii="Calibri" w:hAnsi="Calibri" w:cs="Arial"/>
        </w:rPr>
        <w:t>(788</w:t>
      </w:r>
      <w:r w:rsidR="005C1EA3">
        <w:rPr>
          <w:rFonts w:ascii="Calibri" w:hAnsi="Calibri" w:cs="Arial"/>
        </w:rPr>
        <w:t>-</w:t>
      </w:r>
      <w:r>
        <w:rPr>
          <w:rFonts w:ascii="Calibri" w:hAnsi="Calibri" w:cs="Arial"/>
        </w:rPr>
        <w:t>hour decrease).</w:t>
      </w:r>
    </w:p>
    <w:p w:rsidR="00B10968" w:rsidRPr="00AB2562" w14:paraId="3952C903" w14:textId="77777777">
      <w:pPr>
        <w:pStyle w:val="BodyTextIndent"/>
        <w:numPr>
          <w:ilvl w:val="0"/>
          <w:numId w:val="13"/>
        </w:numPr>
        <w:spacing w:before="240" w:after="0" w:line="240" w:lineRule="auto"/>
        <w:ind w:left="1440"/>
        <w:rPr>
          <w:rFonts w:ascii="Calibri" w:hAnsi="Calibri" w:cs="Arial"/>
        </w:rPr>
      </w:pPr>
      <w:r w:rsidRPr="00F54459">
        <w:t xml:space="preserve">REMS:  </w:t>
      </w:r>
      <w:r w:rsidRPr="00E05311">
        <w:t>Due to the</w:t>
      </w:r>
      <w:r>
        <w:t xml:space="preserve"> annual variation of activities, allocated budgets, and an effort to ensure safe working conditions, the number of monitored individuals can change from year to year.  There was a decreas</w:t>
      </w:r>
      <w:r>
        <w:t>e in approximately 9,000 monitored individuals from the 2019 response</w:t>
      </w:r>
      <w:r w:rsidRPr="00E05311">
        <w:t xml:space="preserve"> </w:t>
      </w:r>
      <w:r w:rsidRPr="00950241">
        <w:t>(</w:t>
      </w:r>
      <w:r>
        <w:t>3</w:t>
      </w:r>
      <w:r w:rsidR="00996F9C">
        <w:t>,</w:t>
      </w:r>
      <w:r>
        <w:t>450</w:t>
      </w:r>
      <w:r w:rsidR="005C1EA3">
        <w:t>-</w:t>
      </w:r>
      <w:r>
        <w:t>hour decrease</w:t>
      </w:r>
      <w:r w:rsidRPr="00950241">
        <w:t>)</w:t>
      </w:r>
      <w:r>
        <w:t>.</w:t>
      </w:r>
    </w:p>
    <w:p w:rsidR="00B10968" w:rsidRPr="00E73CF5" w14:paraId="37F64318" w14:textId="77777777">
      <w:pPr>
        <w:pStyle w:val="BodyTextIndent"/>
        <w:numPr>
          <w:ilvl w:val="0"/>
          <w:numId w:val="13"/>
        </w:numPr>
        <w:spacing w:before="240" w:after="0" w:line="240" w:lineRule="auto"/>
        <w:ind w:left="1440"/>
        <w:rPr>
          <w:rFonts w:ascii="Calibri" w:hAnsi="Calibri" w:cs="Arial"/>
        </w:rPr>
      </w:pPr>
      <w:r w:rsidRPr="00F54459">
        <w:t xml:space="preserve">Fire Protection:  </w:t>
      </w:r>
      <w:r>
        <w:t xml:space="preserve"> Number of respondents increased by 15 to 45 due to more sites and sub-organizations being identified to respond.  Time to submit responses doubled (980 min/response, or 2 days per response) to reflect more accurate data submittals (360</w:t>
      </w:r>
      <w:r w:rsidR="005C1EA3">
        <w:t>-</w:t>
      </w:r>
      <w:r>
        <w:t>hour increase).</w:t>
      </w:r>
    </w:p>
    <w:p w:rsidR="00B10968" w:rsidRPr="00E73CF5" w14:paraId="7D78C2BC" w14:textId="77777777">
      <w:pPr>
        <w:pStyle w:val="BodyTextIndent"/>
        <w:numPr>
          <w:ilvl w:val="0"/>
          <w:numId w:val="13"/>
        </w:numPr>
        <w:spacing w:before="240" w:after="0" w:line="240" w:lineRule="auto"/>
        <w:ind w:left="1440"/>
      </w:pPr>
      <w:r w:rsidRPr="00F54459">
        <w:t>Saf</w:t>
      </w:r>
      <w:r w:rsidRPr="00F54459">
        <w:t xml:space="preserve">ety Basis:  </w:t>
      </w:r>
      <w:r w:rsidRPr="00E73CF5">
        <w:t xml:space="preserve">Due to the </w:t>
      </w:r>
      <w:r>
        <w:t>pandemic situation and reduced need for updates to safety bases of nuclear facilities, the number of responses decreased, and the burden hours decreased (106</w:t>
      </w:r>
      <w:r w:rsidR="005C1EA3">
        <w:t>-</w:t>
      </w:r>
      <w:r>
        <w:t>hour decrease)</w:t>
      </w:r>
      <w:r w:rsidRPr="00E73CF5">
        <w:t>.</w:t>
      </w:r>
    </w:p>
    <w:p w:rsidR="00B10968" w14:paraId="1CD3B064" w14:textId="77777777">
      <w:pPr>
        <w:pStyle w:val="BodyTextIndent"/>
        <w:numPr>
          <w:ilvl w:val="0"/>
          <w:numId w:val="13"/>
        </w:numPr>
        <w:spacing w:before="240" w:after="0" w:line="240" w:lineRule="auto"/>
        <w:ind w:left="1440"/>
      </w:pPr>
      <w:r>
        <w:t xml:space="preserve">DOE OPEXShare Lessons Learned System:  Over </w:t>
      </w:r>
      <w:r w:rsidRPr="00605653">
        <w:t xml:space="preserve">the past year, </w:t>
      </w:r>
      <w:r w:rsidRPr="00605653">
        <w:t xml:space="preserve">there </w:t>
      </w:r>
      <w:r>
        <w:t>has been</w:t>
      </w:r>
      <w:r w:rsidRPr="00605653">
        <w:t xml:space="preserve"> a </w:t>
      </w:r>
      <w:r>
        <w:t>doubling</w:t>
      </w:r>
      <w:r w:rsidRPr="00605653">
        <w:t xml:space="preserve"> in lessons learned submittals</w:t>
      </w:r>
      <w:r>
        <w:t>.</w:t>
      </w:r>
      <w:r w:rsidRPr="00605653">
        <w:t xml:space="preserve"> This is a result of </w:t>
      </w:r>
      <w:r>
        <w:t>strengthening of the Lessons Learned program, modernization of the collection database, and more active users.  The system has been well received by DOE and DOE contractors as a v</w:t>
      </w:r>
      <w:r>
        <w:t xml:space="preserve">enue to share operating experience and improve organizational learning, resulting in improved safety and mission quality </w:t>
      </w:r>
      <w:r w:rsidRPr="00605653">
        <w:t>(</w:t>
      </w:r>
      <w:r>
        <w:t>355</w:t>
      </w:r>
      <w:r w:rsidR="005C1EA3">
        <w:t>-</w:t>
      </w:r>
      <w:r w:rsidRPr="00605653">
        <w:t xml:space="preserve">hour </w:t>
      </w:r>
      <w:r>
        <w:t>increase</w:t>
      </w:r>
      <w:r w:rsidRPr="00605653">
        <w:t>)</w:t>
      </w:r>
      <w:r>
        <w:t>.</w:t>
      </w:r>
    </w:p>
    <w:p w:rsidR="00B10968" w14:paraId="0022BD2E" w14:textId="77777777">
      <w:pPr>
        <w:pStyle w:val="BodyTextIndent"/>
        <w:ind w:left="400"/>
      </w:pPr>
    </w:p>
    <w:p w:rsidR="00B10968" w:rsidP="000F3F64" w14:paraId="4FC040D0" w14:textId="77777777">
      <w:pPr>
        <w:spacing w:after="0" w:line="240" w:lineRule="auto"/>
        <w:ind w:left="1080"/>
        <w:rPr>
          <w:b/>
        </w:rPr>
      </w:pPr>
      <w:r w:rsidRPr="00F54459">
        <w:rPr>
          <w:b/>
        </w:rPr>
        <w:t>Burden H</w:t>
      </w:r>
      <w:r>
        <w:rPr>
          <w:b/>
        </w:rPr>
        <w:t>ou</w:t>
      </w:r>
      <w:r w:rsidRPr="00F54459">
        <w:rPr>
          <w:b/>
        </w:rPr>
        <w:t>rs</w:t>
      </w:r>
      <w:r w:rsidR="005C1EA3">
        <w:rPr>
          <w:b/>
        </w:rPr>
        <w:t xml:space="preserve">: </w:t>
      </w:r>
      <w:r>
        <w:rPr>
          <w:b/>
        </w:rPr>
        <w:t>33,771</w:t>
      </w:r>
      <w:r w:rsidRPr="00F54459">
        <w:rPr>
          <w:b/>
        </w:rPr>
        <w:tab/>
      </w:r>
      <w:r w:rsidRPr="00F54459">
        <w:rPr>
          <w:b/>
        </w:rPr>
        <w:tab/>
      </w:r>
      <w:r w:rsidRPr="00F54459">
        <w:rPr>
          <w:b/>
        </w:rPr>
        <w:tab/>
      </w:r>
      <w:r w:rsidRPr="00F54459">
        <w:rPr>
          <w:b/>
        </w:rPr>
        <w:tab/>
      </w:r>
      <w:r w:rsidRPr="00F54459">
        <w:rPr>
          <w:b/>
        </w:rPr>
        <w:tab/>
      </w:r>
      <w:r w:rsidR="005C1EA3">
        <w:rPr>
          <w:b/>
        </w:rPr>
        <w:br/>
      </w:r>
      <w:r w:rsidRPr="00F54459">
        <w:rPr>
          <w:b/>
        </w:rPr>
        <w:t>Respondents/Responses</w:t>
      </w:r>
      <w:r w:rsidR="005C1EA3">
        <w:rPr>
          <w:b/>
        </w:rPr>
        <w:t xml:space="preserve">: </w:t>
      </w:r>
      <w:r>
        <w:rPr>
          <w:b/>
        </w:rPr>
        <w:t>775/73,040</w:t>
      </w:r>
    </w:p>
    <w:p w:rsidR="00B10968" w:rsidP="002F5B07" w14:paraId="1D8340C3" w14:textId="77777777">
      <w:pPr>
        <w:spacing w:after="0" w:line="240" w:lineRule="auto"/>
      </w:pPr>
    </w:p>
    <w:tbl>
      <w:tblPr>
        <w:tblW w:w="9360" w:type="dxa"/>
        <w:jc w:val="center"/>
        <w:tblLayout w:type="fixed"/>
        <w:tblCellMar>
          <w:left w:w="115" w:type="dxa"/>
          <w:right w:w="115" w:type="dxa"/>
        </w:tblCellMar>
        <w:tblLook w:val="04A0"/>
      </w:tblPr>
      <w:tblGrid>
        <w:gridCol w:w="1872"/>
        <w:gridCol w:w="1872"/>
        <w:gridCol w:w="1872"/>
        <w:gridCol w:w="1872"/>
        <w:gridCol w:w="1872"/>
      </w:tblGrid>
      <w:tr w14:paraId="041657B2" w14:textId="77777777" w:rsidTr="00545C0F">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8A7E5F" w:rsidRPr="007073A7" w:rsidP="00E47D76" w14:paraId="4F58287E" w14:textId="77777777">
            <w:pPr>
              <w:spacing w:after="0" w:line="240" w:lineRule="auto"/>
              <w:jc w:val="center"/>
              <w:rPr>
                <w:rFonts w:ascii="Arial" w:eastAsia="Times New Roman" w:hAnsi="Arial" w:cs="Arial"/>
                <w:b/>
                <w:sz w:val="28"/>
                <w:szCs w:val="28"/>
              </w:rPr>
            </w:pPr>
            <w:bookmarkStart w:id="21" w:name="_Hlk57385531"/>
            <w:r w:rsidRPr="007073A7">
              <w:br w:type="page"/>
            </w:r>
            <w:r w:rsidRPr="000F3F64">
              <w:rPr>
                <w:rFonts w:ascii="Calibri" w:eastAsia="Times New Roman" w:hAnsi="Calibri" w:cs="Arial"/>
                <w:b/>
                <w:bCs/>
                <w:color w:val="0070C0"/>
                <w:sz w:val="28"/>
                <w:szCs w:val="28"/>
              </w:rPr>
              <w:t>Table A</w:t>
            </w:r>
            <w:r w:rsidR="00000464">
              <w:rPr>
                <w:rFonts w:ascii="Calibri" w:eastAsia="Times New Roman" w:hAnsi="Calibri" w:cs="Arial"/>
                <w:b/>
                <w:bCs/>
                <w:color w:val="0070C0"/>
                <w:sz w:val="28"/>
                <w:szCs w:val="28"/>
              </w:rPr>
              <w:t>4</w:t>
            </w:r>
            <w:r w:rsidRPr="000F3F64">
              <w:rPr>
                <w:rFonts w:ascii="Calibri" w:eastAsia="Times New Roman" w:hAnsi="Calibri" w:cs="Arial"/>
                <w:b/>
                <w:bCs/>
                <w:color w:val="0070C0"/>
                <w:sz w:val="28"/>
                <w:szCs w:val="28"/>
              </w:rPr>
              <w:t>. ICR Summary of Burden</w:t>
            </w:r>
          </w:p>
        </w:tc>
      </w:tr>
      <w:tr w14:paraId="3F395BF9" w14:textId="77777777" w:rsidTr="006B6657">
        <w:tblPrEx>
          <w:tblW w:w="9360" w:type="dxa"/>
          <w:jc w:val="center"/>
          <w:tblLayout w:type="fixed"/>
          <w:tblCellMar>
            <w:left w:w="115" w:type="dxa"/>
            <w:right w:w="115" w:type="dxa"/>
          </w:tblCellMar>
          <w:tblLook w:val="04A0"/>
        </w:tblPrEx>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0F3F64" w:rsidP="008F16EC" w14:paraId="682F0D0C" w14:textId="77777777">
            <w:pPr>
              <w:spacing w:after="0" w:line="240" w:lineRule="auto"/>
              <w:jc w:val="center"/>
              <w:rPr>
                <w:rFonts w:eastAsia="Times New Roman" w:cstheme="minorHAnsi"/>
                <w:b/>
                <w:bCs/>
                <w:sz w:val="20"/>
                <w:szCs w:val="20"/>
              </w:rPr>
            </w:pPr>
            <w:r w:rsidRPr="000F3F64">
              <w:rPr>
                <w:rFonts w:eastAsia="Times New Roman" w:cstheme="minorHAnsi"/>
                <w:b/>
                <w:bCs/>
                <w:sz w:val="20"/>
                <w:szCs w:val="20"/>
              </w:rPr>
              <w:t> </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0F3F64" w:rsidP="008F16EC" w14:paraId="701466D7" w14:textId="77777777">
            <w:pPr>
              <w:spacing w:after="0" w:line="240" w:lineRule="auto"/>
              <w:jc w:val="center"/>
              <w:rPr>
                <w:rFonts w:eastAsia="Times New Roman" w:cstheme="minorHAnsi"/>
                <w:b/>
                <w:bCs/>
                <w:sz w:val="20"/>
                <w:szCs w:val="20"/>
              </w:rPr>
            </w:pPr>
            <w:r w:rsidRPr="000F3F64">
              <w:rPr>
                <w:rFonts w:eastAsia="Times New Roman" w:cstheme="minorHAnsi"/>
                <w:b/>
                <w:bCs/>
                <w:sz w:val="20"/>
                <w:szCs w:val="20"/>
              </w:rPr>
              <w:t>Requested</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0F3F64" w:rsidP="008F16EC" w14:paraId="59BA2C02" w14:textId="77777777">
            <w:pPr>
              <w:spacing w:after="0" w:line="240" w:lineRule="auto"/>
              <w:jc w:val="center"/>
              <w:rPr>
                <w:rFonts w:eastAsia="Times New Roman" w:cstheme="minorHAnsi"/>
                <w:b/>
                <w:bCs/>
                <w:sz w:val="20"/>
                <w:szCs w:val="20"/>
              </w:rPr>
            </w:pPr>
            <w:r w:rsidRPr="000F3F64">
              <w:rPr>
                <w:rFonts w:eastAsia="Times New Roman" w:cstheme="minorHAnsi"/>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0F3F64" w:rsidP="008F16EC" w14:paraId="563723C3" w14:textId="77777777">
            <w:pPr>
              <w:spacing w:after="0" w:line="240" w:lineRule="auto"/>
              <w:jc w:val="center"/>
              <w:rPr>
                <w:rFonts w:eastAsia="Times New Roman" w:cstheme="minorHAnsi"/>
                <w:b/>
                <w:bCs/>
                <w:sz w:val="20"/>
                <w:szCs w:val="20"/>
              </w:rPr>
            </w:pPr>
            <w:r w:rsidRPr="000F3F64">
              <w:rPr>
                <w:rFonts w:eastAsia="Times New Roman" w:cstheme="minorHAnsi"/>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8A7E5F" w:rsidRPr="000F3F64" w:rsidP="008F16EC" w14:paraId="1C63E448" w14:textId="77777777">
            <w:pPr>
              <w:spacing w:after="0" w:line="240" w:lineRule="auto"/>
              <w:jc w:val="center"/>
              <w:rPr>
                <w:rFonts w:eastAsia="Times New Roman" w:cstheme="minorHAnsi"/>
                <w:b/>
                <w:bCs/>
                <w:sz w:val="20"/>
                <w:szCs w:val="20"/>
              </w:rPr>
            </w:pPr>
            <w:r w:rsidRPr="000F3F64">
              <w:rPr>
                <w:rFonts w:eastAsia="Times New Roman" w:cstheme="minorHAnsi"/>
                <w:b/>
                <w:bCs/>
                <w:sz w:val="20"/>
                <w:szCs w:val="20"/>
              </w:rPr>
              <w:t>Previously Approved</w:t>
            </w:r>
          </w:p>
        </w:tc>
      </w:tr>
      <w:tr w14:paraId="45194D62" w14:textId="77777777" w:rsidTr="006B6657">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6B6657" w:rsidRPr="000F3F64" w:rsidP="006B6657" w14:paraId="168A33AE" w14:textId="77777777">
            <w:pPr>
              <w:spacing w:after="0" w:line="240" w:lineRule="auto"/>
              <w:rPr>
                <w:rFonts w:eastAsia="Times New Roman" w:cstheme="minorHAnsi"/>
                <w:sz w:val="20"/>
                <w:szCs w:val="20"/>
              </w:rPr>
            </w:pPr>
            <w:r w:rsidRPr="000F3F64">
              <w:rPr>
                <w:rFonts w:eastAsia="Times New Roman" w:cstheme="minorHAnsi"/>
                <w:sz w:val="20"/>
                <w:szCs w:val="20"/>
              </w:rPr>
              <w:t>Total Number of Responses</w:t>
            </w:r>
          </w:p>
        </w:tc>
        <w:tc>
          <w:tcPr>
            <w:tcW w:w="1872" w:type="dxa"/>
            <w:tcBorders>
              <w:top w:val="nil"/>
              <w:left w:val="nil"/>
              <w:bottom w:val="single" w:sz="4" w:space="0" w:color="auto"/>
              <w:right w:val="single" w:sz="4" w:space="0" w:color="auto"/>
            </w:tcBorders>
            <w:shd w:val="clear" w:color="auto" w:fill="auto"/>
            <w:vAlign w:val="center"/>
            <w:hideMark/>
          </w:tcPr>
          <w:p w:rsidR="006B6657" w:rsidRPr="000F3F64" w:rsidP="006B6657" w14:paraId="4EED53FB" w14:textId="77777777">
            <w:pPr>
              <w:spacing w:after="0" w:line="240" w:lineRule="auto"/>
              <w:rPr>
                <w:rFonts w:eastAsia="Times New Roman" w:cstheme="minorHAnsi"/>
                <w:sz w:val="20"/>
                <w:szCs w:val="20"/>
              </w:rPr>
            </w:pPr>
            <w:r w:rsidRPr="00CE7EA2">
              <w:rPr>
                <w:rFonts w:eastAsia="Times New Roman" w:cstheme="minorHAnsi"/>
                <w:sz w:val="20"/>
                <w:szCs w:val="20"/>
              </w:rPr>
              <w:t> 73,040</w:t>
            </w:r>
          </w:p>
        </w:tc>
        <w:tc>
          <w:tcPr>
            <w:tcW w:w="1872" w:type="dxa"/>
            <w:tcBorders>
              <w:top w:val="nil"/>
              <w:left w:val="nil"/>
              <w:bottom w:val="single" w:sz="4" w:space="0" w:color="auto"/>
              <w:right w:val="single" w:sz="4" w:space="0" w:color="auto"/>
            </w:tcBorders>
            <w:shd w:val="clear" w:color="auto" w:fill="auto"/>
            <w:vAlign w:val="center"/>
            <w:hideMark/>
          </w:tcPr>
          <w:p w:rsidR="006B6657" w:rsidRPr="000F3F64" w:rsidP="006B6657" w14:paraId="01BB9FC0" w14:textId="77777777">
            <w:pPr>
              <w:spacing w:after="0" w:line="240" w:lineRule="auto"/>
              <w:rPr>
                <w:rFonts w:eastAsia="Times New Roman" w:cstheme="minorHAnsi"/>
                <w:sz w:val="20"/>
                <w:szCs w:val="20"/>
              </w:rPr>
            </w:pPr>
            <w:r w:rsidRPr="00CE7EA2">
              <w:rPr>
                <w:rFonts w:eastAsia="Times New Roman" w:cstheme="minorHAnsi"/>
                <w:sz w:val="20"/>
                <w:szCs w:val="20"/>
              </w:rPr>
              <w:t> </w:t>
            </w:r>
            <w:r w:rsidRPr="00CE7EA2" w:rsidR="007073A7">
              <w:rPr>
                <w:rFonts w:eastAsia="Times New Roman" w:cstheme="minorHAnsi"/>
                <w:sz w:val="20"/>
                <w:szCs w:val="20"/>
              </w:rPr>
              <w:t>0</w:t>
            </w:r>
          </w:p>
        </w:tc>
        <w:tc>
          <w:tcPr>
            <w:tcW w:w="1872" w:type="dxa"/>
            <w:tcBorders>
              <w:top w:val="nil"/>
              <w:left w:val="nil"/>
              <w:bottom w:val="single" w:sz="4" w:space="0" w:color="auto"/>
              <w:right w:val="single" w:sz="4" w:space="0" w:color="auto"/>
            </w:tcBorders>
            <w:shd w:val="clear" w:color="auto" w:fill="auto"/>
            <w:vAlign w:val="center"/>
            <w:hideMark/>
          </w:tcPr>
          <w:p w:rsidR="006B6657" w:rsidRPr="000F3F64" w:rsidP="006B6657" w14:paraId="15EC3AE1" w14:textId="77777777">
            <w:pPr>
              <w:spacing w:after="0" w:line="240" w:lineRule="auto"/>
              <w:rPr>
                <w:rFonts w:eastAsia="Times New Roman" w:cstheme="minorHAnsi"/>
                <w:sz w:val="20"/>
                <w:szCs w:val="20"/>
              </w:rPr>
            </w:pPr>
            <w:r w:rsidRPr="000F3F64">
              <w:rPr>
                <w:rFonts w:eastAsia="Times New Roman" w:cstheme="minorHAnsi"/>
                <w:sz w:val="20"/>
                <w:szCs w:val="20"/>
              </w:rPr>
              <w:t>-9115</w:t>
            </w:r>
          </w:p>
        </w:tc>
        <w:tc>
          <w:tcPr>
            <w:tcW w:w="1872" w:type="dxa"/>
            <w:tcBorders>
              <w:top w:val="nil"/>
              <w:left w:val="nil"/>
              <w:bottom w:val="single" w:sz="4" w:space="0" w:color="auto"/>
              <w:right w:val="single" w:sz="4" w:space="0" w:color="auto"/>
            </w:tcBorders>
            <w:shd w:val="clear" w:color="auto" w:fill="auto"/>
            <w:vAlign w:val="center"/>
            <w:hideMark/>
          </w:tcPr>
          <w:p w:rsidR="006B6657" w:rsidRPr="000F3F64" w:rsidP="006B6657" w14:paraId="229B9113" w14:textId="77777777">
            <w:pPr>
              <w:spacing w:after="0" w:line="240" w:lineRule="auto"/>
              <w:rPr>
                <w:rFonts w:eastAsia="Times New Roman" w:cstheme="minorHAnsi"/>
                <w:sz w:val="20"/>
                <w:szCs w:val="20"/>
              </w:rPr>
            </w:pPr>
            <w:r w:rsidRPr="00CE7EA2">
              <w:rPr>
                <w:rFonts w:eastAsia="Times New Roman" w:cstheme="minorHAnsi"/>
                <w:sz w:val="20"/>
                <w:szCs w:val="20"/>
              </w:rPr>
              <w:t>82,155</w:t>
            </w:r>
          </w:p>
        </w:tc>
      </w:tr>
      <w:tr w14:paraId="523845D9" w14:textId="77777777" w:rsidTr="006B6657">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6657" w:rsidRPr="000F3F64" w:rsidP="006B6657" w14:paraId="76BA8D61" w14:textId="77777777">
            <w:pPr>
              <w:spacing w:after="0" w:line="240" w:lineRule="auto"/>
              <w:rPr>
                <w:rFonts w:eastAsia="Times New Roman" w:cstheme="minorHAnsi"/>
                <w:sz w:val="20"/>
                <w:szCs w:val="20"/>
              </w:rPr>
            </w:pPr>
            <w:r w:rsidRPr="000F3F64">
              <w:rPr>
                <w:rFonts w:eastAsia="Times New Roman" w:cstheme="minorHAnsi"/>
                <w:sz w:val="20"/>
                <w:szCs w:val="20"/>
              </w:rPr>
              <w:t>Total Time Burden (Hr)</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6B6657" w:rsidRPr="000F3F64" w:rsidP="006B6657" w14:paraId="6DCEA7D7" w14:textId="77777777">
            <w:pPr>
              <w:spacing w:after="0" w:line="240" w:lineRule="auto"/>
              <w:rPr>
                <w:rFonts w:eastAsia="Times New Roman" w:cstheme="minorHAnsi"/>
                <w:sz w:val="20"/>
                <w:szCs w:val="20"/>
              </w:rPr>
            </w:pPr>
            <w:r w:rsidRPr="00CE7EA2">
              <w:rPr>
                <w:rFonts w:eastAsia="Times New Roman" w:cstheme="minorHAnsi"/>
                <w:sz w:val="20"/>
                <w:szCs w:val="20"/>
              </w:rPr>
              <w:t> 33,771</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6B6657" w:rsidRPr="000F3F64" w:rsidP="006B6657" w14:paraId="2C09C8A3" w14:textId="77777777">
            <w:pPr>
              <w:spacing w:after="0" w:line="240" w:lineRule="auto"/>
              <w:rPr>
                <w:rFonts w:eastAsia="Times New Roman" w:cstheme="minorHAnsi"/>
                <w:sz w:val="20"/>
                <w:szCs w:val="20"/>
              </w:rPr>
            </w:pPr>
            <w:r w:rsidRPr="00CE7EA2">
              <w:rPr>
                <w:rFonts w:eastAsia="Times New Roman" w:cstheme="minorHAnsi"/>
                <w:sz w:val="20"/>
                <w:szCs w:val="20"/>
              </w:rPr>
              <w:t> </w:t>
            </w:r>
            <w:r w:rsidRPr="00CE7EA2" w:rsidR="007073A7">
              <w:rPr>
                <w:rFonts w:eastAsia="Times New Roman" w:cstheme="minorHAnsi"/>
                <w:sz w:val="20"/>
                <w:szCs w:val="20"/>
              </w:rPr>
              <w:t>0</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6B6657" w:rsidRPr="000F3F64" w:rsidP="006B6657" w14:paraId="0E62CD7D" w14:textId="77777777">
            <w:pPr>
              <w:spacing w:after="0" w:line="240" w:lineRule="auto"/>
              <w:rPr>
                <w:rFonts w:eastAsia="Times New Roman" w:cstheme="minorHAnsi"/>
                <w:sz w:val="20"/>
                <w:szCs w:val="20"/>
              </w:rPr>
            </w:pPr>
            <w:r w:rsidRPr="000F3F64">
              <w:rPr>
                <w:rFonts w:eastAsia="Times New Roman" w:cstheme="minorHAnsi"/>
                <w:sz w:val="20"/>
                <w:szCs w:val="20"/>
              </w:rPr>
              <w:t>-3509</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6B6657" w:rsidRPr="000F3F64" w:rsidP="006B6657" w14:paraId="7F71F7B1" w14:textId="77777777">
            <w:pPr>
              <w:spacing w:after="0" w:line="240" w:lineRule="auto"/>
              <w:rPr>
                <w:rFonts w:eastAsia="Times New Roman" w:cstheme="minorHAnsi"/>
                <w:sz w:val="20"/>
                <w:szCs w:val="20"/>
              </w:rPr>
            </w:pPr>
            <w:r w:rsidRPr="00CE7EA2">
              <w:rPr>
                <w:rFonts w:eastAsia="Times New Roman" w:cstheme="minorHAnsi"/>
                <w:sz w:val="20"/>
                <w:szCs w:val="20"/>
              </w:rPr>
              <w:t>37,280</w:t>
            </w:r>
          </w:p>
        </w:tc>
      </w:tr>
      <w:tr w14:paraId="67A909C8" w14:textId="77777777" w:rsidTr="006B6657">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144760" w:rsidRPr="000F3F64" w:rsidP="008F16EC" w14:paraId="53DC7C1C" w14:textId="77777777">
            <w:pPr>
              <w:spacing w:after="0" w:line="240" w:lineRule="auto"/>
              <w:rPr>
                <w:rFonts w:eastAsia="Times New Roman" w:cstheme="minorHAnsi"/>
                <w:sz w:val="20"/>
                <w:szCs w:val="20"/>
              </w:rPr>
            </w:pPr>
            <w:r w:rsidRPr="000F3F64">
              <w:rPr>
                <w:rFonts w:eastAsia="Times New Roman" w:cstheme="minorHAnsi"/>
                <w:sz w:val="20"/>
                <w:szCs w:val="20"/>
              </w:rPr>
              <w:t>Total Cost Burden</w:t>
            </w:r>
          </w:p>
        </w:tc>
        <w:tc>
          <w:tcPr>
            <w:tcW w:w="1872" w:type="dxa"/>
            <w:tcBorders>
              <w:top w:val="single" w:sz="4" w:space="0" w:color="auto"/>
              <w:left w:val="nil"/>
              <w:bottom w:val="single" w:sz="4" w:space="0" w:color="auto"/>
              <w:right w:val="single" w:sz="4" w:space="0" w:color="auto"/>
            </w:tcBorders>
            <w:shd w:val="clear" w:color="auto" w:fill="auto"/>
            <w:vAlign w:val="center"/>
          </w:tcPr>
          <w:p w:rsidR="00144760" w:rsidRPr="000F3F64" w:rsidP="008F16EC" w14:paraId="4C9215B0" w14:textId="77777777">
            <w:pPr>
              <w:spacing w:after="0" w:line="240" w:lineRule="auto"/>
              <w:rPr>
                <w:rFonts w:eastAsia="Times New Roman" w:cstheme="minorHAnsi"/>
                <w:sz w:val="20"/>
                <w:szCs w:val="20"/>
              </w:rPr>
            </w:pPr>
            <w:r w:rsidRPr="000F3F64">
              <w:rPr>
                <w:rFonts w:eastAsia="Times New Roman" w:cstheme="minorHAnsi"/>
                <w:color w:val="000000"/>
                <w:sz w:val="20"/>
                <w:szCs w:val="20"/>
              </w:rPr>
              <w:t>$2,966,783</w:t>
            </w:r>
          </w:p>
        </w:tc>
        <w:tc>
          <w:tcPr>
            <w:tcW w:w="1872" w:type="dxa"/>
            <w:tcBorders>
              <w:top w:val="single" w:sz="4" w:space="0" w:color="auto"/>
              <w:left w:val="nil"/>
              <w:bottom w:val="single" w:sz="4" w:space="0" w:color="auto"/>
              <w:right w:val="single" w:sz="4" w:space="0" w:color="auto"/>
            </w:tcBorders>
            <w:shd w:val="clear" w:color="auto" w:fill="auto"/>
            <w:vAlign w:val="center"/>
          </w:tcPr>
          <w:p w:rsidR="00144760" w:rsidRPr="000F3F64" w:rsidP="008F16EC" w14:paraId="1B56E0C6" w14:textId="77777777">
            <w:pPr>
              <w:spacing w:after="0" w:line="240" w:lineRule="auto"/>
              <w:rPr>
                <w:rFonts w:eastAsia="Times New Roman" w:cstheme="minorHAnsi"/>
                <w:sz w:val="20"/>
                <w:szCs w:val="20"/>
              </w:rPr>
            </w:pPr>
            <w:r>
              <w:rPr>
                <w:rFonts w:eastAsia="Times New Roman" w:cstheme="minorHAnsi"/>
                <w:sz w:val="20"/>
                <w:szCs w:val="20"/>
              </w:rPr>
              <w:t>0</w:t>
            </w:r>
          </w:p>
        </w:tc>
        <w:tc>
          <w:tcPr>
            <w:tcW w:w="1872" w:type="dxa"/>
            <w:tcBorders>
              <w:top w:val="single" w:sz="4" w:space="0" w:color="auto"/>
              <w:left w:val="nil"/>
              <w:bottom w:val="single" w:sz="4" w:space="0" w:color="auto"/>
              <w:right w:val="single" w:sz="4" w:space="0" w:color="auto"/>
            </w:tcBorders>
            <w:shd w:val="clear" w:color="auto" w:fill="auto"/>
            <w:vAlign w:val="center"/>
          </w:tcPr>
          <w:p w:rsidR="00144760" w:rsidRPr="000F3F64" w:rsidP="008F16EC" w14:paraId="6EF9CB9E" w14:textId="77777777">
            <w:pPr>
              <w:spacing w:after="0" w:line="240" w:lineRule="auto"/>
              <w:rPr>
                <w:rFonts w:eastAsia="Times New Roman" w:cstheme="minorHAnsi"/>
                <w:sz w:val="20"/>
                <w:szCs w:val="20"/>
              </w:rPr>
            </w:pPr>
            <w:r w:rsidRPr="000F3F64">
              <w:rPr>
                <w:rFonts w:eastAsia="Times New Roman" w:cstheme="minorHAnsi"/>
                <w:sz w:val="20"/>
                <w:szCs w:val="20"/>
              </w:rPr>
              <w:t>-1,506,817</w:t>
            </w:r>
          </w:p>
        </w:tc>
        <w:tc>
          <w:tcPr>
            <w:tcW w:w="1872" w:type="dxa"/>
            <w:tcBorders>
              <w:top w:val="single" w:sz="4" w:space="0" w:color="auto"/>
              <w:left w:val="nil"/>
              <w:bottom w:val="single" w:sz="4" w:space="0" w:color="auto"/>
              <w:right w:val="single" w:sz="4" w:space="0" w:color="auto"/>
            </w:tcBorders>
            <w:shd w:val="clear" w:color="auto" w:fill="auto"/>
            <w:vAlign w:val="center"/>
          </w:tcPr>
          <w:p w:rsidR="00144760" w:rsidRPr="000F3F64" w:rsidP="008F16EC" w14:paraId="00055561" w14:textId="77777777">
            <w:pPr>
              <w:spacing w:after="0" w:line="240" w:lineRule="auto"/>
              <w:rPr>
                <w:rFonts w:eastAsia="Times New Roman" w:cstheme="minorHAnsi"/>
                <w:sz w:val="20"/>
                <w:szCs w:val="20"/>
              </w:rPr>
            </w:pPr>
            <w:r w:rsidRPr="000F3F64">
              <w:rPr>
                <w:rFonts w:cstheme="minorHAnsi"/>
                <w:sz w:val="20"/>
                <w:szCs w:val="20"/>
              </w:rPr>
              <w:t>$4,473,600</w:t>
            </w:r>
          </w:p>
        </w:tc>
      </w:tr>
      <w:bookmarkEnd w:id="21"/>
    </w:tbl>
    <w:p w:rsidR="00D854D8" w:rsidRPr="00A41763" w:rsidP="00A41763" w14:paraId="5AE9298E" w14:textId="77777777"/>
    <w:p w:rsidR="00F056C3" w:rsidP="00CA63E3" w14:paraId="3DEC0381" w14:textId="77777777">
      <w:pPr>
        <w:pStyle w:val="Heading2"/>
      </w:pPr>
      <w:bookmarkStart w:id="22" w:name="_Toc108505099"/>
      <w:r>
        <w:t>A.</w:t>
      </w:r>
      <w:r w:rsidRPr="00A41763" w:rsidR="00A41763">
        <w:t xml:space="preserve">16. </w:t>
      </w:r>
      <w:r w:rsidRPr="00F056C3">
        <w:t>Collection, Tabulation, and Publication Plans</w:t>
      </w:r>
      <w:bookmarkEnd w:id="22"/>
      <w:r w:rsidRPr="00F056C3">
        <w:t xml:space="preserve"> </w:t>
      </w:r>
    </w:p>
    <w:p w:rsidR="00A41763" w:rsidRPr="00A41763" w:rsidP="00A41763" w14:paraId="224F3A51" w14:textId="77777777">
      <w:bookmarkStart w:id="23" w:name="_Hlk57385487"/>
      <w:r w:rsidRPr="00A41763">
        <w:rPr>
          <w:b/>
          <w:bCs/>
        </w:rPr>
        <w:t xml:space="preserve">For collections whose results will be published, outline the plans for tabulation and publication. </w:t>
      </w:r>
    </w:p>
    <w:bookmarkEnd w:id="23"/>
    <w:p w:rsidR="00A44A94" w:rsidRPr="00F54459" w:rsidP="00A44A94" w14:paraId="547CEFB8" w14:textId="77777777">
      <w:pPr>
        <w:ind w:left="360"/>
      </w:pPr>
      <w:r w:rsidRPr="00F54459">
        <w:t>This package contains no collections whose results will be published for statistical use.</w:t>
      </w:r>
      <w:r>
        <w:t xml:space="preserve">  </w:t>
      </w:r>
    </w:p>
    <w:p w:rsidR="00F056C3" w:rsidP="00CA63E3" w14:paraId="58054BD2" w14:textId="77777777">
      <w:pPr>
        <w:pStyle w:val="Heading2"/>
      </w:pPr>
      <w:bookmarkStart w:id="24" w:name="_Toc108505100"/>
      <w:r>
        <w:t>A.</w:t>
      </w:r>
      <w:r w:rsidRPr="00A41763" w:rsidR="00A41763">
        <w:t xml:space="preserve">17. </w:t>
      </w:r>
      <w:r w:rsidRPr="00F056C3">
        <w:t>OMB Number and Expiration Date</w:t>
      </w:r>
      <w:bookmarkEnd w:id="24"/>
      <w:r w:rsidRPr="00F056C3">
        <w:t xml:space="preserve"> </w:t>
      </w:r>
    </w:p>
    <w:p w:rsidR="00A41763" w:rsidRPr="00A41763" w:rsidP="00A41763" w14:paraId="5E3A994B" w14:textId="77777777">
      <w:bookmarkStart w:id="25" w:name="_Hlk57385506"/>
      <w:r w:rsidRPr="00A41763">
        <w:rPr>
          <w:b/>
          <w:bCs/>
        </w:rPr>
        <w:t>If seeking approval to not</w:t>
      </w:r>
      <w:r w:rsidRPr="00A41763">
        <w:rPr>
          <w:b/>
          <w:bCs/>
        </w:rPr>
        <w:t xml:space="preserve"> display the expiration date for OMB approval of the information collection, explain the reasons why display would be inappropriate. </w:t>
      </w:r>
    </w:p>
    <w:bookmarkEnd w:id="25"/>
    <w:p w:rsidR="00A44A94" w:rsidRPr="00F54459" w:rsidP="00A44A94" w14:paraId="0917C291" w14:textId="77777777">
      <w:pPr>
        <w:ind w:left="360" w:right="-180"/>
      </w:pPr>
      <w:r>
        <w:t>The OMB number and expiration date will be displayed in systems/databases in this collection.</w:t>
      </w:r>
    </w:p>
    <w:p w:rsidR="00F056C3" w:rsidP="00CA63E3" w14:paraId="6F8FF2DD" w14:textId="77777777">
      <w:pPr>
        <w:pStyle w:val="Heading2"/>
      </w:pPr>
      <w:bookmarkStart w:id="26" w:name="_Toc108505101"/>
      <w:r>
        <w:t>A.</w:t>
      </w:r>
      <w:r w:rsidRPr="00A41763" w:rsidR="00A41763">
        <w:t xml:space="preserve">18. </w:t>
      </w:r>
      <w:r w:rsidRPr="00F056C3">
        <w:t>Certification Statemen</w:t>
      </w:r>
      <w:r w:rsidRPr="00F056C3">
        <w:t>t</w:t>
      </w:r>
      <w:bookmarkEnd w:id="26"/>
      <w:r w:rsidRPr="00F056C3">
        <w:t xml:space="preserve"> </w:t>
      </w:r>
    </w:p>
    <w:p w:rsidR="00A41763" w:rsidRPr="00A41763" w:rsidP="00A41763" w14:paraId="0064FF5A" w14:textId="77777777">
      <w:bookmarkStart w:id="27" w:name="_Hlk57385515"/>
      <w:r w:rsidRPr="00A41763">
        <w:rPr>
          <w:b/>
          <w:bCs/>
        </w:rPr>
        <w:t xml:space="preserve">Explain each exception to the certification statement identified in Item 19 of OMB Form 83-I. </w:t>
      </w:r>
    </w:p>
    <w:bookmarkEnd w:id="27"/>
    <w:p w:rsidR="00A44A94" w:rsidRPr="00F54459" w:rsidP="00A44A94" w14:paraId="3DA4C4EF" w14:textId="77777777">
      <w:pPr>
        <w:ind w:left="360"/>
        <w:rPr>
          <w:b/>
          <w:u w:val="single"/>
        </w:rPr>
      </w:pPr>
      <w:r w:rsidRPr="00F54459">
        <w:t>The Department of Energy is not requesting any exceptions to the certification statement provided in Item 19 of OMB Form 83-I.</w:t>
      </w:r>
    </w:p>
    <w:p w:rsidR="00A41763" w:rsidRPr="00A41763" w:rsidP="00A44A94" w14:paraId="7523E93A" w14:textId="77777777"/>
    <w:sectPr w:rsidSect="00933D5D">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58E7EB49" w14:textId="77777777">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5A3ED4">
          <w:t>Supporting Statement for Environment, Safety and Health</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9CC9800"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18F02C3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4AB8E332"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31F0D42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04745C1E" w14:textId="77777777">
    <w:pPr>
      <w:pStyle w:val="Footer"/>
      <w:tabs>
        <w:tab w:val="left" w:pos="8655"/>
        <w:tab w:val="clear" w:pos="9720"/>
      </w:tabs>
    </w:pPr>
    <w:r>
      <w:t xml:space="preserve">U.S. Department of </w:t>
    </w:r>
    <w:r>
      <w:t>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5A3ED4">
          <w:t>Supporting Statement for Environment, Safety and Health</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51AE5F64"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35C13A2"/>
    <w:multiLevelType w:val="hybridMultilevel"/>
    <w:tmpl w:val="C716362C"/>
    <w:lvl w:ilvl="0">
      <w:start w:val="1"/>
      <w:numFmt w:val="decimal"/>
      <w:lvlText w:val="%1."/>
      <w:lvlJc w:val="left"/>
      <w:pPr>
        <w:tabs>
          <w:tab w:val="num" w:pos="360"/>
        </w:tabs>
        <w:ind w:left="360" w:hanging="360"/>
      </w:pPr>
      <w:rPr>
        <w:rFonts w:ascii="Times New Roman" w:hAnsi="Times New Roman" w:hint="default"/>
        <w:b/>
        <w:i w:val="0"/>
        <w:u w:val="none"/>
      </w:rPr>
    </w:lvl>
    <w:lvl w:ilvl="1">
      <w:start w:val="1"/>
      <w:numFmt w:val="bullet"/>
      <w:lvlText w:val=""/>
      <w:lvlJc w:val="left"/>
      <w:pPr>
        <w:tabs>
          <w:tab w:val="num" w:pos="864"/>
        </w:tabs>
        <w:ind w:left="720" w:firstLine="0"/>
      </w:pPr>
      <w:rPr>
        <w:rFonts w:ascii="Symbol" w:hAnsi="Symbol" w:hint="default"/>
        <w:b w:val="0"/>
        <w:i w:val="0"/>
        <w:sz w:val="16"/>
        <w:szCs w:val="16"/>
        <w:u w:val="none"/>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8">
    <w:nsid w:val="07805809"/>
    <w:multiLevelType w:val="hybridMultilevel"/>
    <w:tmpl w:val="6BD6509E"/>
    <w:lvl w:ilvl="0">
      <w:start w:val="1"/>
      <w:numFmt w:val="bullet"/>
      <w:lvlText w:val=""/>
      <w:lvlJc w:val="left"/>
      <w:pPr>
        <w:ind w:left="1080" w:hanging="360"/>
      </w:pPr>
      <w:rPr>
        <w:rFonts w:ascii="Symbol" w:hAnsi="Symbol" w:hint="default"/>
        <w:sz w:val="16"/>
        <w:szCs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F9E7DB7"/>
    <w:multiLevelType w:val="hybridMultilevel"/>
    <w:tmpl w:val="3CCA6D0E"/>
    <w:lvl w:ilvl="0">
      <w:start w:val="1"/>
      <w:numFmt w:val="bullet"/>
      <w:lvlText w:val=""/>
      <w:lvlJc w:val="left"/>
      <w:pPr>
        <w:ind w:left="720" w:hanging="360"/>
      </w:pPr>
      <w:rPr>
        <w:rFonts w:ascii="Symbol" w:hAnsi="Symbol"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FF4D07"/>
    <w:multiLevelType w:val="hybridMultilevel"/>
    <w:tmpl w:val="EF88CEBC"/>
    <w:lvl w:ilvl="0">
      <w:start w:val="1"/>
      <w:numFmt w:val="bullet"/>
      <w:lvlText w:val=""/>
      <w:lvlJc w:val="left"/>
      <w:pPr>
        <w:ind w:left="720" w:hanging="360"/>
      </w:pPr>
      <w:rPr>
        <w:rFonts w:ascii="Symbol" w:hAnsi="Symbol"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F8112C5"/>
    <w:multiLevelType w:val="hybridMultilevel"/>
    <w:tmpl w:val="13BA0B4C"/>
    <w:lvl w:ilvl="0">
      <w:start w:val="1"/>
      <w:numFmt w:val="bullet"/>
      <w:lvlText w:val=""/>
      <w:lvlJc w:val="left"/>
      <w:pPr>
        <w:ind w:left="720" w:hanging="360"/>
      </w:pPr>
      <w:rPr>
        <w:rFonts w:ascii="Symbol" w:hAnsi="Symbol"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1738240369">
    <w:abstractNumId w:val="3"/>
  </w:num>
  <w:num w:numId="2" w16cid:durableId="1760786859">
    <w:abstractNumId w:val="7"/>
  </w:num>
  <w:num w:numId="3" w16cid:durableId="337971206">
    <w:abstractNumId w:val="5"/>
  </w:num>
  <w:num w:numId="4" w16cid:durableId="941181498">
    <w:abstractNumId w:val="4"/>
  </w:num>
  <w:num w:numId="5" w16cid:durableId="1824276269">
    <w:abstractNumId w:val="2"/>
  </w:num>
  <w:num w:numId="6" w16cid:durableId="838038526">
    <w:abstractNumId w:val="1"/>
  </w:num>
  <w:num w:numId="7" w16cid:durableId="1852185400">
    <w:abstractNumId w:val="0"/>
  </w:num>
  <w:num w:numId="8" w16cid:durableId="1765684398">
    <w:abstractNumId w:val="12"/>
  </w:num>
  <w:num w:numId="9" w16cid:durableId="426002048">
    <w:abstractNumId w:val="6"/>
  </w:num>
  <w:num w:numId="10" w16cid:durableId="128207010">
    <w:abstractNumId w:val="10"/>
  </w:num>
  <w:num w:numId="11" w16cid:durableId="622884837">
    <w:abstractNumId w:val="11"/>
  </w:num>
  <w:num w:numId="12" w16cid:durableId="350573454">
    <w:abstractNumId w:val="8"/>
  </w:num>
  <w:num w:numId="13" w16cid:durableId="84555653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63"/>
    <w:rsid w:val="0000019D"/>
    <w:rsid w:val="00000464"/>
    <w:rsid w:val="0000364C"/>
    <w:rsid w:val="00004135"/>
    <w:rsid w:val="000041A1"/>
    <w:rsid w:val="000053BB"/>
    <w:rsid w:val="0000662A"/>
    <w:rsid w:val="00011B3F"/>
    <w:rsid w:val="00013373"/>
    <w:rsid w:val="000142BF"/>
    <w:rsid w:val="000142E5"/>
    <w:rsid w:val="00015DA7"/>
    <w:rsid w:val="000248CE"/>
    <w:rsid w:val="00024E1E"/>
    <w:rsid w:val="00034A4B"/>
    <w:rsid w:val="00041909"/>
    <w:rsid w:val="000457E4"/>
    <w:rsid w:val="00046593"/>
    <w:rsid w:val="00047C08"/>
    <w:rsid w:val="00053FF7"/>
    <w:rsid w:val="0005401F"/>
    <w:rsid w:val="00054B18"/>
    <w:rsid w:val="00055769"/>
    <w:rsid w:val="00056EC3"/>
    <w:rsid w:val="00062CFE"/>
    <w:rsid w:val="0007097E"/>
    <w:rsid w:val="0007129A"/>
    <w:rsid w:val="000831C4"/>
    <w:rsid w:val="000844CA"/>
    <w:rsid w:val="00086E65"/>
    <w:rsid w:val="000A6F86"/>
    <w:rsid w:val="000B3B8E"/>
    <w:rsid w:val="000B3FBE"/>
    <w:rsid w:val="000B43BF"/>
    <w:rsid w:val="000C28E1"/>
    <w:rsid w:val="000C5311"/>
    <w:rsid w:val="000F040A"/>
    <w:rsid w:val="000F3F64"/>
    <w:rsid w:val="000F7623"/>
    <w:rsid w:val="001034E8"/>
    <w:rsid w:val="00112A69"/>
    <w:rsid w:val="0011541D"/>
    <w:rsid w:val="00132F2F"/>
    <w:rsid w:val="00132F4A"/>
    <w:rsid w:val="00144760"/>
    <w:rsid w:val="00154192"/>
    <w:rsid w:val="00160BC8"/>
    <w:rsid w:val="00167425"/>
    <w:rsid w:val="001807A3"/>
    <w:rsid w:val="00192694"/>
    <w:rsid w:val="001947D5"/>
    <w:rsid w:val="0019798A"/>
    <w:rsid w:val="001A4456"/>
    <w:rsid w:val="001A4B80"/>
    <w:rsid w:val="001A6E1E"/>
    <w:rsid w:val="001A6E9A"/>
    <w:rsid w:val="001B0E69"/>
    <w:rsid w:val="001B6585"/>
    <w:rsid w:val="001D03A8"/>
    <w:rsid w:val="001D5DE2"/>
    <w:rsid w:val="001F3A8F"/>
    <w:rsid w:val="002008B4"/>
    <w:rsid w:val="00201C17"/>
    <w:rsid w:val="00201F24"/>
    <w:rsid w:val="002127CE"/>
    <w:rsid w:val="00215842"/>
    <w:rsid w:val="002207DF"/>
    <w:rsid w:val="00221AC2"/>
    <w:rsid w:val="00227E4B"/>
    <w:rsid w:val="0023015A"/>
    <w:rsid w:val="0023708A"/>
    <w:rsid w:val="002447B0"/>
    <w:rsid w:val="0025022D"/>
    <w:rsid w:val="002530BB"/>
    <w:rsid w:val="002556F3"/>
    <w:rsid w:val="00260EDF"/>
    <w:rsid w:val="00264148"/>
    <w:rsid w:val="002722D9"/>
    <w:rsid w:val="00274179"/>
    <w:rsid w:val="002A0C60"/>
    <w:rsid w:val="002B0FD2"/>
    <w:rsid w:val="002B3883"/>
    <w:rsid w:val="002C378C"/>
    <w:rsid w:val="002E3FD5"/>
    <w:rsid w:val="002E4FAD"/>
    <w:rsid w:val="002E7A38"/>
    <w:rsid w:val="002F5B07"/>
    <w:rsid w:val="00306516"/>
    <w:rsid w:val="00313FDB"/>
    <w:rsid w:val="003469CB"/>
    <w:rsid w:val="00350C8B"/>
    <w:rsid w:val="00351313"/>
    <w:rsid w:val="00351A73"/>
    <w:rsid w:val="00363331"/>
    <w:rsid w:val="00371E14"/>
    <w:rsid w:val="00373208"/>
    <w:rsid w:val="00383DB3"/>
    <w:rsid w:val="003854B2"/>
    <w:rsid w:val="00385AE6"/>
    <w:rsid w:val="00387C8D"/>
    <w:rsid w:val="00392DD0"/>
    <w:rsid w:val="00393EA7"/>
    <w:rsid w:val="00395DDB"/>
    <w:rsid w:val="00396BCB"/>
    <w:rsid w:val="00397825"/>
    <w:rsid w:val="003A1073"/>
    <w:rsid w:val="003A10F3"/>
    <w:rsid w:val="003A3906"/>
    <w:rsid w:val="003B03A4"/>
    <w:rsid w:val="003B5446"/>
    <w:rsid w:val="003C03EA"/>
    <w:rsid w:val="003C690C"/>
    <w:rsid w:val="003E40FA"/>
    <w:rsid w:val="003F23C0"/>
    <w:rsid w:val="003F24ED"/>
    <w:rsid w:val="003F529E"/>
    <w:rsid w:val="00407CCE"/>
    <w:rsid w:val="00426481"/>
    <w:rsid w:val="00432966"/>
    <w:rsid w:val="00435146"/>
    <w:rsid w:val="0045608E"/>
    <w:rsid w:val="0045662F"/>
    <w:rsid w:val="00466959"/>
    <w:rsid w:val="0047784B"/>
    <w:rsid w:val="004946F0"/>
    <w:rsid w:val="00497C2A"/>
    <w:rsid w:val="004B1075"/>
    <w:rsid w:val="004C277B"/>
    <w:rsid w:val="004D05FB"/>
    <w:rsid w:val="004D29C7"/>
    <w:rsid w:val="004D7524"/>
    <w:rsid w:val="00504119"/>
    <w:rsid w:val="005065CF"/>
    <w:rsid w:val="00506BB4"/>
    <w:rsid w:val="0050705F"/>
    <w:rsid w:val="005170D3"/>
    <w:rsid w:val="0052493A"/>
    <w:rsid w:val="00526AA2"/>
    <w:rsid w:val="0052783E"/>
    <w:rsid w:val="00535CAF"/>
    <w:rsid w:val="00536054"/>
    <w:rsid w:val="0053654B"/>
    <w:rsid w:val="00536CE1"/>
    <w:rsid w:val="00537A91"/>
    <w:rsid w:val="0054180D"/>
    <w:rsid w:val="00545C0F"/>
    <w:rsid w:val="00547B53"/>
    <w:rsid w:val="005515CD"/>
    <w:rsid w:val="00555876"/>
    <w:rsid w:val="00571D8F"/>
    <w:rsid w:val="0057367D"/>
    <w:rsid w:val="00585BE3"/>
    <w:rsid w:val="0059212D"/>
    <w:rsid w:val="005A3ED4"/>
    <w:rsid w:val="005B2B58"/>
    <w:rsid w:val="005C00FA"/>
    <w:rsid w:val="005C1EA3"/>
    <w:rsid w:val="005C2D89"/>
    <w:rsid w:val="005C485B"/>
    <w:rsid w:val="005D39D7"/>
    <w:rsid w:val="005D5956"/>
    <w:rsid w:val="005D6F63"/>
    <w:rsid w:val="005F4848"/>
    <w:rsid w:val="00605653"/>
    <w:rsid w:val="0061607D"/>
    <w:rsid w:val="00616E46"/>
    <w:rsid w:val="0062008C"/>
    <w:rsid w:val="00620797"/>
    <w:rsid w:val="00626494"/>
    <w:rsid w:val="00630240"/>
    <w:rsid w:val="00641DE2"/>
    <w:rsid w:val="00643384"/>
    <w:rsid w:val="0065406F"/>
    <w:rsid w:val="00663EC4"/>
    <w:rsid w:val="00674D0E"/>
    <w:rsid w:val="00677C5F"/>
    <w:rsid w:val="00693A94"/>
    <w:rsid w:val="006A0BC7"/>
    <w:rsid w:val="006B6657"/>
    <w:rsid w:val="006C0062"/>
    <w:rsid w:val="006C097E"/>
    <w:rsid w:val="006C2DC3"/>
    <w:rsid w:val="006D0439"/>
    <w:rsid w:val="006D42EC"/>
    <w:rsid w:val="006F3C12"/>
    <w:rsid w:val="006F6BB2"/>
    <w:rsid w:val="00704B7D"/>
    <w:rsid w:val="007073A7"/>
    <w:rsid w:val="00711414"/>
    <w:rsid w:val="00714478"/>
    <w:rsid w:val="00721339"/>
    <w:rsid w:val="00725453"/>
    <w:rsid w:val="00730DA0"/>
    <w:rsid w:val="00737591"/>
    <w:rsid w:val="007438F2"/>
    <w:rsid w:val="00755C3D"/>
    <w:rsid w:val="007574D9"/>
    <w:rsid w:val="007576EF"/>
    <w:rsid w:val="00760677"/>
    <w:rsid w:val="00761C12"/>
    <w:rsid w:val="007658BA"/>
    <w:rsid w:val="00776CF4"/>
    <w:rsid w:val="00777E63"/>
    <w:rsid w:val="00784F89"/>
    <w:rsid w:val="00786336"/>
    <w:rsid w:val="0079081D"/>
    <w:rsid w:val="007951D6"/>
    <w:rsid w:val="007953B2"/>
    <w:rsid w:val="00796508"/>
    <w:rsid w:val="007A0E7F"/>
    <w:rsid w:val="007A4378"/>
    <w:rsid w:val="007C5CE9"/>
    <w:rsid w:val="007D393D"/>
    <w:rsid w:val="007D39CC"/>
    <w:rsid w:val="007D6AAF"/>
    <w:rsid w:val="007E0355"/>
    <w:rsid w:val="007E29F8"/>
    <w:rsid w:val="007E5A11"/>
    <w:rsid w:val="007E73E6"/>
    <w:rsid w:val="007F1954"/>
    <w:rsid w:val="007F21D7"/>
    <w:rsid w:val="008057F8"/>
    <w:rsid w:val="00811910"/>
    <w:rsid w:val="00812C91"/>
    <w:rsid w:val="008213F9"/>
    <w:rsid w:val="008307E1"/>
    <w:rsid w:val="00836D62"/>
    <w:rsid w:val="00844524"/>
    <w:rsid w:val="00867160"/>
    <w:rsid w:val="0087205B"/>
    <w:rsid w:val="00874FB8"/>
    <w:rsid w:val="00887306"/>
    <w:rsid w:val="00891537"/>
    <w:rsid w:val="008933E6"/>
    <w:rsid w:val="00895669"/>
    <w:rsid w:val="00897946"/>
    <w:rsid w:val="008A3276"/>
    <w:rsid w:val="008A3447"/>
    <w:rsid w:val="008A7E5F"/>
    <w:rsid w:val="008C734C"/>
    <w:rsid w:val="008E4BF2"/>
    <w:rsid w:val="008F16EC"/>
    <w:rsid w:val="008F4CBD"/>
    <w:rsid w:val="009017AD"/>
    <w:rsid w:val="00901BED"/>
    <w:rsid w:val="00905735"/>
    <w:rsid w:val="009131B9"/>
    <w:rsid w:val="0091409C"/>
    <w:rsid w:val="00933D5D"/>
    <w:rsid w:val="00935805"/>
    <w:rsid w:val="009368F3"/>
    <w:rsid w:val="00947C42"/>
    <w:rsid w:val="00950241"/>
    <w:rsid w:val="00950489"/>
    <w:rsid w:val="00957DE9"/>
    <w:rsid w:val="009616F7"/>
    <w:rsid w:val="00965A44"/>
    <w:rsid w:val="00967D7C"/>
    <w:rsid w:val="0097299A"/>
    <w:rsid w:val="009757AD"/>
    <w:rsid w:val="00980B6A"/>
    <w:rsid w:val="009818F9"/>
    <w:rsid w:val="0098618F"/>
    <w:rsid w:val="00987C32"/>
    <w:rsid w:val="00991646"/>
    <w:rsid w:val="00993A94"/>
    <w:rsid w:val="0099448B"/>
    <w:rsid w:val="00996F9C"/>
    <w:rsid w:val="00997347"/>
    <w:rsid w:val="009A31C1"/>
    <w:rsid w:val="009B19CE"/>
    <w:rsid w:val="009C202F"/>
    <w:rsid w:val="009C77F7"/>
    <w:rsid w:val="009E48F1"/>
    <w:rsid w:val="009E5ABC"/>
    <w:rsid w:val="009E5B9C"/>
    <w:rsid w:val="009E75B6"/>
    <w:rsid w:val="009F4ED1"/>
    <w:rsid w:val="009F5011"/>
    <w:rsid w:val="00A00D71"/>
    <w:rsid w:val="00A00EDF"/>
    <w:rsid w:val="00A2559F"/>
    <w:rsid w:val="00A26A17"/>
    <w:rsid w:val="00A30169"/>
    <w:rsid w:val="00A312A3"/>
    <w:rsid w:val="00A33D9F"/>
    <w:rsid w:val="00A37229"/>
    <w:rsid w:val="00A41763"/>
    <w:rsid w:val="00A418C9"/>
    <w:rsid w:val="00A44A94"/>
    <w:rsid w:val="00A64D9A"/>
    <w:rsid w:val="00A72AA8"/>
    <w:rsid w:val="00A74C9B"/>
    <w:rsid w:val="00A874E4"/>
    <w:rsid w:val="00A93478"/>
    <w:rsid w:val="00A9584F"/>
    <w:rsid w:val="00A97FE7"/>
    <w:rsid w:val="00AA3D91"/>
    <w:rsid w:val="00AA3FD0"/>
    <w:rsid w:val="00AA46CA"/>
    <w:rsid w:val="00AA7EFA"/>
    <w:rsid w:val="00AB2562"/>
    <w:rsid w:val="00AB61B3"/>
    <w:rsid w:val="00AC323A"/>
    <w:rsid w:val="00AC69E8"/>
    <w:rsid w:val="00AD6357"/>
    <w:rsid w:val="00AD7F81"/>
    <w:rsid w:val="00AE4CA9"/>
    <w:rsid w:val="00AE6862"/>
    <w:rsid w:val="00AF11E0"/>
    <w:rsid w:val="00AF367D"/>
    <w:rsid w:val="00AF45FD"/>
    <w:rsid w:val="00B10968"/>
    <w:rsid w:val="00B2386E"/>
    <w:rsid w:val="00B35E2A"/>
    <w:rsid w:val="00B4263D"/>
    <w:rsid w:val="00B56F49"/>
    <w:rsid w:val="00B61775"/>
    <w:rsid w:val="00B7442A"/>
    <w:rsid w:val="00B94A61"/>
    <w:rsid w:val="00B97002"/>
    <w:rsid w:val="00BB2F70"/>
    <w:rsid w:val="00BB6CF4"/>
    <w:rsid w:val="00BC14C3"/>
    <w:rsid w:val="00BC1ABE"/>
    <w:rsid w:val="00BD2F20"/>
    <w:rsid w:val="00BD4F62"/>
    <w:rsid w:val="00BE37E0"/>
    <w:rsid w:val="00BE4AFD"/>
    <w:rsid w:val="00BF348B"/>
    <w:rsid w:val="00C00590"/>
    <w:rsid w:val="00C04647"/>
    <w:rsid w:val="00C058CF"/>
    <w:rsid w:val="00C12551"/>
    <w:rsid w:val="00C13580"/>
    <w:rsid w:val="00C211CD"/>
    <w:rsid w:val="00C25328"/>
    <w:rsid w:val="00C3744D"/>
    <w:rsid w:val="00C43A84"/>
    <w:rsid w:val="00C5745E"/>
    <w:rsid w:val="00C64137"/>
    <w:rsid w:val="00C658E4"/>
    <w:rsid w:val="00C711A2"/>
    <w:rsid w:val="00C7266E"/>
    <w:rsid w:val="00C76C66"/>
    <w:rsid w:val="00C82DF9"/>
    <w:rsid w:val="00C87190"/>
    <w:rsid w:val="00CA1564"/>
    <w:rsid w:val="00CA63E3"/>
    <w:rsid w:val="00CA7C8A"/>
    <w:rsid w:val="00CB180D"/>
    <w:rsid w:val="00CB44E8"/>
    <w:rsid w:val="00CB7978"/>
    <w:rsid w:val="00CC1D12"/>
    <w:rsid w:val="00CE42E9"/>
    <w:rsid w:val="00CE5178"/>
    <w:rsid w:val="00CE7EA2"/>
    <w:rsid w:val="00D001E4"/>
    <w:rsid w:val="00D00AA8"/>
    <w:rsid w:val="00D01BEA"/>
    <w:rsid w:val="00D02778"/>
    <w:rsid w:val="00D13E84"/>
    <w:rsid w:val="00D17918"/>
    <w:rsid w:val="00D300F4"/>
    <w:rsid w:val="00D3344B"/>
    <w:rsid w:val="00D40175"/>
    <w:rsid w:val="00D421A1"/>
    <w:rsid w:val="00D55243"/>
    <w:rsid w:val="00D57D80"/>
    <w:rsid w:val="00D6000F"/>
    <w:rsid w:val="00D62F90"/>
    <w:rsid w:val="00D63E74"/>
    <w:rsid w:val="00D701F6"/>
    <w:rsid w:val="00D715C4"/>
    <w:rsid w:val="00D854D8"/>
    <w:rsid w:val="00D928FD"/>
    <w:rsid w:val="00D96837"/>
    <w:rsid w:val="00DB6FBD"/>
    <w:rsid w:val="00DC79E3"/>
    <w:rsid w:val="00DD51E1"/>
    <w:rsid w:val="00DE2D54"/>
    <w:rsid w:val="00E02BB0"/>
    <w:rsid w:val="00E03CE6"/>
    <w:rsid w:val="00E05311"/>
    <w:rsid w:val="00E06B89"/>
    <w:rsid w:val="00E13716"/>
    <w:rsid w:val="00E266FF"/>
    <w:rsid w:val="00E27661"/>
    <w:rsid w:val="00E47D76"/>
    <w:rsid w:val="00E47DB3"/>
    <w:rsid w:val="00E509A9"/>
    <w:rsid w:val="00E51F8B"/>
    <w:rsid w:val="00E5242A"/>
    <w:rsid w:val="00E53398"/>
    <w:rsid w:val="00E61892"/>
    <w:rsid w:val="00E66AE2"/>
    <w:rsid w:val="00E70964"/>
    <w:rsid w:val="00E73CF5"/>
    <w:rsid w:val="00E74DA4"/>
    <w:rsid w:val="00E80DD4"/>
    <w:rsid w:val="00E81B89"/>
    <w:rsid w:val="00E91432"/>
    <w:rsid w:val="00E91B5A"/>
    <w:rsid w:val="00ED6E45"/>
    <w:rsid w:val="00EE2CAF"/>
    <w:rsid w:val="00EE43E4"/>
    <w:rsid w:val="00EF3E50"/>
    <w:rsid w:val="00F001EA"/>
    <w:rsid w:val="00F056C3"/>
    <w:rsid w:val="00F16B90"/>
    <w:rsid w:val="00F34F19"/>
    <w:rsid w:val="00F44A21"/>
    <w:rsid w:val="00F54459"/>
    <w:rsid w:val="00F575F0"/>
    <w:rsid w:val="00F6664C"/>
    <w:rsid w:val="00F750E7"/>
    <w:rsid w:val="00F80AF1"/>
    <w:rsid w:val="00F8298C"/>
    <w:rsid w:val="00F858F8"/>
    <w:rsid w:val="00F90245"/>
    <w:rsid w:val="00F920D9"/>
    <w:rsid w:val="00F94781"/>
    <w:rsid w:val="00FA5388"/>
    <w:rsid w:val="00FB08E3"/>
    <w:rsid w:val="00FB6BF3"/>
    <w:rsid w:val="00FD397B"/>
    <w:rsid w:val="00FD4B01"/>
    <w:rsid w:val="00FD52F2"/>
    <w:rsid w:val="00FD7CDC"/>
    <w:rsid w:val="00FE2197"/>
    <w:rsid w:val="00FE58E0"/>
    <w:rsid w:val="00FE74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F6B269"/>
  <w15:docId w15:val="{0F53DE13-ADE9-45E0-BEE8-FBDCDC6E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CA63E3"/>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CA63E3"/>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CA63E3"/>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paragraph" w:styleId="Revision">
    <w:name w:val="Revision"/>
    <w:hidden/>
    <w:uiPriority w:val="99"/>
    <w:semiHidden/>
    <w:rsid w:val="005A3ED4"/>
    <w:pPr>
      <w:spacing w:after="0"/>
    </w:pPr>
  </w:style>
  <w:style w:type="character" w:styleId="CommentReference">
    <w:name w:val="annotation reference"/>
    <w:basedOn w:val="DefaultParagraphFont"/>
    <w:uiPriority w:val="99"/>
    <w:semiHidden/>
    <w:unhideWhenUsed/>
    <w:locked/>
    <w:rsid w:val="005A3ED4"/>
    <w:rPr>
      <w:sz w:val="16"/>
      <w:szCs w:val="16"/>
    </w:rPr>
  </w:style>
  <w:style w:type="paragraph" w:styleId="CommentText">
    <w:name w:val="annotation text"/>
    <w:basedOn w:val="Normal"/>
    <w:link w:val="CommentTextChar"/>
    <w:uiPriority w:val="99"/>
    <w:unhideWhenUsed/>
    <w:locked/>
    <w:rsid w:val="005A3ED4"/>
    <w:pPr>
      <w:spacing w:line="240" w:lineRule="auto"/>
    </w:pPr>
    <w:rPr>
      <w:sz w:val="20"/>
      <w:szCs w:val="20"/>
    </w:rPr>
  </w:style>
  <w:style w:type="character" w:customStyle="1" w:styleId="CommentTextChar">
    <w:name w:val="Comment Text Char"/>
    <w:basedOn w:val="DefaultParagraphFont"/>
    <w:link w:val="CommentText"/>
    <w:uiPriority w:val="99"/>
    <w:rsid w:val="005A3ED4"/>
    <w:rPr>
      <w:sz w:val="20"/>
      <w:szCs w:val="20"/>
    </w:rPr>
  </w:style>
  <w:style w:type="paragraph" w:styleId="BodyTextIndent">
    <w:name w:val="Body Text Indent"/>
    <w:basedOn w:val="Normal"/>
    <w:link w:val="BodyTextIndentChar"/>
    <w:uiPriority w:val="99"/>
    <w:semiHidden/>
    <w:unhideWhenUsed/>
    <w:locked/>
    <w:rsid w:val="00A44A94"/>
    <w:pPr>
      <w:spacing w:after="120"/>
      <w:ind w:left="360"/>
    </w:pPr>
  </w:style>
  <w:style w:type="character" w:customStyle="1" w:styleId="BodyTextIndentChar">
    <w:name w:val="Body Text Indent Char"/>
    <w:basedOn w:val="DefaultParagraphFont"/>
    <w:link w:val="BodyTextIndent"/>
    <w:uiPriority w:val="99"/>
    <w:semiHidden/>
    <w:rsid w:val="00A44A94"/>
  </w:style>
  <w:style w:type="character" w:styleId="UnresolvedMention">
    <w:name w:val="Unresolved Mention"/>
    <w:basedOn w:val="DefaultParagraphFont"/>
    <w:uiPriority w:val="99"/>
    <w:semiHidden/>
    <w:unhideWhenUsed/>
    <w:rsid w:val="008933E6"/>
    <w:rPr>
      <w:color w:val="605E5C"/>
      <w:shd w:val="clear" w:color="auto" w:fill="E1DFDD"/>
    </w:rPr>
  </w:style>
  <w:style w:type="character" w:styleId="FollowedHyperlink">
    <w:name w:val="FollowedHyperlink"/>
    <w:basedOn w:val="DefaultParagraphFont"/>
    <w:uiPriority w:val="99"/>
    <w:semiHidden/>
    <w:unhideWhenUsed/>
    <w:locked/>
    <w:rsid w:val="008933E6"/>
    <w:rPr>
      <w:color w:val="5D9732" w:themeColor="followedHyperlink"/>
      <w:u w:val="single"/>
    </w:rPr>
  </w:style>
  <w:style w:type="paragraph" w:styleId="CommentSubject">
    <w:name w:val="annotation subject"/>
    <w:basedOn w:val="CommentText"/>
    <w:next w:val="CommentText"/>
    <w:link w:val="CommentSubjectChar"/>
    <w:uiPriority w:val="99"/>
    <w:semiHidden/>
    <w:unhideWhenUsed/>
    <w:locked/>
    <w:rsid w:val="00053FF7"/>
    <w:rPr>
      <w:b/>
      <w:bCs/>
    </w:rPr>
  </w:style>
  <w:style w:type="character" w:customStyle="1" w:styleId="CommentSubjectChar">
    <w:name w:val="Comment Subject Char"/>
    <w:basedOn w:val="CommentTextChar"/>
    <w:link w:val="CommentSubject"/>
    <w:uiPriority w:val="99"/>
    <w:semiHidden/>
    <w:rsid w:val="00053F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news.release/ecec.nr0.htm" TargetMode="External" /><Relationship Id="rId11" Type="http://schemas.openxmlformats.org/officeDocument/2006/relationships/hyperlink" Target="https://www.bls.gov/news.release/ecec.t04.htm" TargetMode="External" /><Relationship Id="rId12" Type="http://schemas.openxmlformats.org/officeDocument/2006/relationships/footer" Target="footer4.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264FF4"/>
    <w:rsid w:val="003E7FB2"/>
    <w:rsid w:val="004B57DC"/>
    <w:rsid w:val="0065501B"/>
    <w:rsid w:val="0067217B"/>
    <w:rsid w:val="0097548D"/>
    <w:rsid w:val="009E75B6"/>
    <w:rsid w:val="00AF6CE6"/>
    <w:rsid w:val="00B95848"/>
    <w:rsid w:val="00D17918"/>
    <w:rsid w:val="00D2448B"/>
    <w:rsid w:val="00D73A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4344</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 for Environment, Safety and Health</vt:lpstr>
    </vt:vector>
  </TitlesOfParts>
  <Company/>
  <LinksUpToDate>false</LinksUpToDate>
  <CharactersWithSpaces>29047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Environment, Safety and Health</dc:title>
  <dc:subject>Improving the Quality and Scope of EIA Data</dc:subject>
  <dc:creator>Stroud, Lawrence</dc:creator>
  <cp:lastModifiedBy>Freeman, Yohanna</cp:lastModifiedBy>
  <cp:revision>2</cp:revision>
  <cp:lastPrinted>2011-12-12T20:42:00Z</cp:lastPrinted>
  <dcterms:created xsi:type="dcterms:W3CDTF">2023-03-31T17:14:00Z</dcterms:created>
  <dcterms:modified xsi:type="dcterms:W3CDTF">2023-03-31T17:14:00Z</dcterms:modified>
</cp:coreProperties>
</file>