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7BAB" w:rsidR="00FA10EE" w:rsidP="00550295" w:rsidRDefault="00774866" w14:paraId="39AE064E" w14:textId="71029633">
      <w:pPr>
        <w:jc w:val="center"/>
        <w:rPr>
          <w:rFonts w:ascii="Times New Roman" w:hAnsi="Times New Roman"/>
          <w:szCs w:val="24"/>
        </w:rPr>
      </w:pPr>
      <w:r w:rsidRPr="00677BAB">
        <w:rPr>
          <w:rFonts w:ascii="Times New Roman" w:hAnsi="Times New Roman"/>
          <w:szCs w:val="24"/>
        </w:rPr>
        <w:t>UNITED STATES FOOD</w:t>
      </w:r>
      <w:r>
        <w:rPr>
          <w:rFonts w:ascii="Times New Roman" w:hAnsi="Times New Roman"/>
          <w:szCs w:val="24"/>
        </w:rPr>
        <w:t xml:space="preserve"> &amp; </w:t>
      </w:r>
      <w:r w:rsidRPr="00677BAB">
        <w:rPr>
          <w:rFonts w:ascii="Times New Roman" w:hAnsi="Times New Roman"/>
          <w:szCs w:val="24"/>
        </w:rPr>
        <w:t>DRUG ADMINISTRATION</w:t>
      </w:r>
    </w:p>
    <w:p w:rsidRPr="00677BAB" w:rsidR="00FA10EE" w:rsidP="00550295" w:rsidRDefault="00FA10EE" w14:paraId="6434A943" w14:textId="77777777">
      <w:pPr>
        <w:jc w:val="center"/>
        <w:rPr>
          <w:rFonts w:ascii="Times New Roman" w:hAnsi="Times New Roman"/>
          <w:szCs w:val="24"/>
        </w:rPr>
      </w:pPr>
    </w:p>
    <w:p w:rsidRPr="00677BAB" w:rsidR="00FA10EE" w:rsidP="00550295" w:rsidRDefault="00E76970" w14:paraId="534E61C1" w14:textId="1193C90F">
      <w:pPr>
        <w:jc w:val="center"/>
        <w:rPr>
          <w:rFonts w:ascii="Times New Roman" w:hAnsi="Times New Roman"/>
          <w:szCs w:val="24"/>
        </w:rPr>
      </w:pPr>
      <w:r w:rsidRPr="00677BAB">
        <w:rPr>
          <w:rFonts w:ascii="Times New Roman" w:hAnsi="Times New Roman"/>
          <w:szCs w:val="24"/>
        </w:rPr>
        <w:t>Shortages Data Collection</w:t>
      </w:r>
    </w:p>
    <w:p w:rsidRPr="00677BAB" w:rsidR="00FA10EE" w:rsidP="00550295" w:rsidRDefault="00FA10EE" w14:paraId="010910F8" w14:textId="77777777">
      <w:pPr>
        <w:jc w:val="center"/>
        <w:rPr>
          <w:rFonts w:ascii="Times New Roman" w:hAnsi="Times New Roman"/>
          <w:szCs w:val="24"/>
        </w:rPr>
      </w:pPr>
    </w:p>
    <w:p w:rsidR="00FA10EE" w:rsidP="00550295" w:rsidRDefault="00FA10EE" w14:paraId="53DCA421" w14:textId="066D51EF">
      <w:pPr>
        <w:jc w:val="center"/>
        <w:rPr>
          <w:rFonts w:ascii="Times New Roman" w:hAnsi="Times New Roman"/>
          <w:szCs w:val="24"/>
        </w:rPr>
      </w:pPr>
      <w:r w:rsidRPr="00677BAB">
        <w:rPr>
          <w:rFonts w:ascii="Times New Roman" w:hAnsi="Times New Roman"/>
          <w:szCs w:val="24"/>
          <w:u w:val="single"/>
        </w:rPr>
        <w:t>OMB Control No. 0910-0491</w:t>
      </w:r>
      <w:r w:rsidR="00550295">
        <w:rPr>
          <w:rFonts w:ascii="Times New Roman" w:hAnsi="Times New Roman"/>
          <w:szCs w:val="24"/>
        </w:rPr>
        <w:t xml:space="preserve"> – Revision</w:t>
      </w:r>
    </w:p>
    <w:p w:rsidRPr="00550295" w:rsidR="00AD4FBB" w:rsidP="00550295" w:rsidRDefault="00AD4FBB" w14:paraId="2AECE876" w14:textId="77777777">
      <w:pPr>
        <w:jc w:val="center"/>
        <w:rPr>
          <w:rFonts w:ascii="Times New Roman" w:hAnsi="Times New Roman"/>
          <w:szCs w:val="24"/>
        </w:rPr>
      </w:pPr>
    </w:p>
    <w:p w:rsidR="00677BAB" w:rsidP="00677BAB" w:rsidRDefault="00677BAB" w14:paraId="23FA325E" w14:textId="77777777">
      <w:pPr>
        <w:rPr>
          <w:rFonts w:ascii="Times New Roman" w:hAnsi="Times New Roman"/>
          <w:szCs w:val="24"/>
        </w:rPr>
      </w:pPr>
    </w:p>
    <w:p w:rsidR="00892703" w:rsidP="00677BAB" w:rsidRDefault="00FA10EE" w14:paraId="41E37667" w14:textId="39ABA54D">
      <w:pPr>
        <w:rPr>
          <w:rFonts w:ascii="Times New Roman" w:hAnsi="Times New Roman"/>
          <w:szCs w:val="24"/>
        </w:rPr>
      </w:pPr>
      <w:r w:rsidRPr="00677BAB">
        <w:rPr>
          <w:rFonts w:ascii="Times New Roman" w:hAnsi="Times New Roman"/>
          <w:szCs w:val="24"/>
        </w:rPr>
        <w:t>SUPPORTING STATEMENT</w:t>
      </w:r>
      <w:r w:rsidR="00677BAB">
        <w:rPr>
          <w:rFonts w:ascii="Times New Roman" w:hAnsi="Times New Roman"/>
          <w:szCs w:val="24"/>
        </w:rPr>
        <w:t xml:space="preserve"> </w:t>
      </w:r>
      <w:r w:rsidRPr="00550295" w:rsidR="00677BAB">
        <w:rPr>
          <w:rFonts w:ascii="Times New Roman" w:hAnsi="Times New Roman"/>
          <w:b/>
          <w:bCs/>
          <w:szCs w:val="24"/>
        </w:rPr>
        <w:t>Part A:  Justification</w:t>
      </w:r>
    </w:p>
    <w:p w:rsidR="00677BAB" w:rsidP="00677BAB" w:rsidRDefault="00677BAB" w14:paraId="08F14E5F" w14:textId="2C584C5C">
      <w:pPr>
        <w:rPr>
          <w:rFonts w:ascii="Times New Roman" w:hAnsi="Times New Roman"/>
          <w:szCs w:val="24"/>
        </w:rPr>
      </w:pPr>
    </w:p>
    <w:p w:rsidR="00677BAB" w:rsidP="00677BAB" w:rsidRDefault="00677BAB" w14:paraId="5EDC05A6" w14:textId="77777777">
      <w:pPr>
        <w:rPr>
          <w:rFonts w:ascii="Times New Roman" w:hAnsi="Times New Roman"/>
          <w:szCs w:val="24"/>
        </w:rPr>
      </w:pPr>
      <w:r>
        <w:rPr>
          <w:rFonts w:ascii="Times New Roman" w:hAnsi="Times New Roman"/>
          <w:szCs w:val="24"/>
        </w:rPr>
        <w:t xml:space="preserve">1.  </w:t>
      </w:r>
      <w:r w:rsidRPr="00550295" w:rsidR="00892703">
        <w:rPr>
          <w:rFonts w:ascii="Times New Roman" w:hAnsi="Times New Roman"/>
          <w:szCs w:val="24"/>
          <w:u w:val="single"/>
        </w:rPr>
        <w:t>Circumstances Making the Collection of Information Necessary</w:t>
      </w:r>
    </w:p>
    <w:p w:rsidR="00677BAB" w:rsidP="00677BAB" w:rsidRDefault="00677BAB" w14:paraId="390FE261" w14:textId="77777777">
      <w:pPr>
        <w:rPr>
          <w:rFonts w:ascii="Times New Roman" w:hAnsi="Times New Roman"/>
          <w:szCs w:val="24"/>
        </w:rPr>
      </w:pPr>
    </w:p>
    <w:p w:rsidR="00981679" w:rsidP="00677BAB" w:rsidRDefault="00677BAB" w14:paraId="7F47A8F7" w14:textId="555E3882">
      <w:pPr>
        <w:rPr>
          <w:rFonts w:ascii="Times New Roman" w:hAnsi="Times New Roman"/>
          <w:szCs w:val="24"/>
        </w:rPr>
      </w:pPr>
      <w:r>
        <w:rPr>
          <w:rFonts w:ascii="Times New Roman" w:hAnsi="Times New Roman"/>
          <w:szCs w:val="24"/>
        </w:rPr>
        <w:t xml:space="preserve">This information collection supports </w:t>
      </w:r>
      <w:r w:rsidR="00BD40F5">
        <w:rPr>
          <w:rFonts w:ascii="Times New Roman" w:hAnsi="Times New Roman"/>
          <w:szCs w:val="24"/>
        </w:rPr>
        <w:t xml:space="preserve">implementation of provisions </w:t>
      </w:r>
      <w:r>
        <w:rPr>
          <w:rFonts w:ascii="Times New Roman" w:hAnsi="Times New Roman"/>
          <w:szCs w:val="24"/>
        </w:rPr>
        <w:t xml:space="preserve">of </w:t>
      </w:r>
      <w:r w:rsidRPr="00677BAB" w:rsidR="0086299F">
        <w:rPr>
          <w:rFonts w:ascii="Times New Roman" w:hAnsi="Times New Roman"/>
          <w:szCs w:val="24"/>
        </w:rPr>
        <w:t xml:space="preserve">the </w:t>
      </w:r>
      <w:r>
        <w:rPr>
          <w:rFonts w:ascii="Times New Roman" w:hAnsi="Times New Roman"/>
          <w:szCs w:val="24"/>
        </w:rPr>
        <w:t>Federal Food, Drug, and Cosmetic Act (</w:t>
      </w:r>
      <w:r w:rsidRPr="00677BAB" w:rsidR="0086299F">
        <w:rPr>
          <w:rFonts w:ascii="Times New Roman" w:hAnsi="Times New Roman"/>
          <w:szCs w:val="24"/>
        </w:rPr>
        <w:t>FD&amp;C Act</w:t>
      </w:r>
      <w:r>
        <w:rPr>
          <w:rFonts w:ascii="Times New Roman" w:hAnsi="Times New Roman"/>
          <w:szCs w:val="24"/>
        </w:rPr>
        <w:t>)</w:t>
      </w:r>
      <w:r w:rsidR="00BD40F5">
        <w:rPr>
          <w:rFonts w:ascii="Times New Roman" w:hAnsi="Times New Roman"/>
          <w:szCs w:val="24"/>
        </w:rPr>
        <w:t xml:space="preserve">, along with provisions of the Public Health Service Act (PHS Act), </w:t>
      </w:r>
      <w:r>
        <w:rPr>
          <w:rFonts w:ascii="Times New Roman" w:hAnsi="Times New Roman"/>
          <w:szCs w:val="24"/>
        </w:rPr>
        <w:t>with regard to medical device shortages</w:t>
      </w:r>
      <w:r w:rsidRPr="00677BAB" w:rsidR="0086299F">
        <w:rPr>
          <w:rFonts w:ascii="Times New Roman" w:hAnsi="Times New Roman"/>
          <w:szCs w:val="24"/>
        </w:rPr>
        <w:t>.</w:t>
      </w:r>
      <w:r>
        <w:rPr>
          <w:rFonts w:ascii="Times New Roman" w:hAnsi="Times New Roman"/>
          <w:szCs w:val="24"/>
        </w:rPr>
        <w:t xml:space="preserve">  </w:t>
      </w:r>
      <w:r w:rsidRPr="00677BAB" w:rsidR="00981679">
        <w:rPr>
          <w:rFonts w:ascii="Times New Roman" w:hAnsi="Times New Roman"/>
          <w:szCs w:val="24"/>
        </w:rPr>
        <w:t xml:space="preserve">Under section 1003(d)(2) </w:t>
      </w:r>
      <w:r>
        <w:rPr>
          <w:rFonts w:ascii="Times New Roman" w:hAnsi="Times New Roman"/>
          <w:szCs w:val="24"/>
        </w:rPr>
        <w:t xml:space="preserve">of the </w:t>
      </w:r>
      <w:r w:rsidRPr="00677BAB" w:rsidR="00981679">
        <w:rPr>
          <w:rFonts w:ascii="Times New Roman" w:hAnsi="Times New Roman"/>
          <w:szCs w:val="24"/>
        </w:rPr>
        <w:t>FD&amp;C Act (21 U.S.C. 393(d)(2)), the Commissioner of Food and Drugs is authorized to implement general powers (including conducting research) to carry out effectively the mission of FDA.</w:t>
      </w:r>
      <w:r>
        <w:rPr>
          <w:rFonts w:ascii="Times New Roman" w:hAnsi="Times New Roman"/>
          <w:szCs w:val="24"/>
        </w:rPr>
        <w:t xml:space="preserve">  </w:t>
      </w:r>
      <w:r w:rsidRPr="00677BAB" w:rsidR="00981679">
        <w:rPr>
          <w:rFonts w:ascii="Times New Roman" w:hAnsi="Times New Roman"/>
          <w:szCs w:val="24"/>
        </w:rPr>
        <w:t xml:space="preserve">After the events of September 11, 2001, and as part of broader counterterrorism and emergency preparedness activities, </w:t>
      </w:r>
      <w:r>
        <w:rPr>
          <w:rFonts w:ascii="Times New Roman" w:hAnsi="Times New Roman"/>
          <w:szCs w:val="24"/>
        </w:rPr>
        <w:t xml:space="preserve">our </w:t>
      </w:r>
      <w:r w:rsidRPr="00677BAB" w:rsidR="00981679">
        <w:rPr>
          <w:rFonts w:ascii="Times New Roman" w:hAnsi="Times New Roman"/>
          <w:szCs w:val="24"/>
        </w:rPr>
        <w:t>Center for Devices and Radiological Health (CDRH) began developing operational plans and interventions that would enable CDRH to anticipate and respond to medical device shortages that might arise in the context of federally declared disasters/emergencies or regulatory actions.</w:t>
      </w:r>
      <w:r w:rsidR="00BD40F5">
        <w:rPr>
          <w:rFonts w:ascii="Times New Roman" w:hAnsi="Times New Roman"/>
          <w:szCs w:val="24"/>
        </w:rPr>
        <w:t xml:space="preserve"> </w:t>
      </w:r>
      <w:r w:rsidRPr="00677BAB" w:rsidR="00981679">
        <w:rPr>
          <w:rFonts w:ascii="Times New Roman" w:hAnsi="Times New Roman"/>
          <w:szCs w:val="24"/>
        </w:rPr>
        <w:t>This voluntary data collection process consists of outreach to firms who have been identified as producing or distributing medical devices that may be considered essential to the response effort.</w:t>
      </w:r>
      <w:r w:rsidR="00BD40F5">
        <w:rPr>
          <w:rFonts w:ascii="Times New Roman" w:hAnsi="Times New Roman"/>
          <w:szCs w:val="24"/>
        </w:rPr>
        <w:t xml:space="preserve">  </w:t>
      </w:r>
      <w:r w:rsidRPr="00677BAB" w:rsidR="00981679">
        <w:rPr>
          <w:rFonts w:ascii="Times New Roman" w:hAnsi="Times New Roman"/>
          <w:szCs w:val="24"/>
        </w:rPr>
        <w:t>Additional follow-up correspondence may occasionally be needed to verify/validate data, confirm receipt of follow-up correspondence(s), and/or request additional details to further inform FDA's public health response.</w:t>
      </w:r>
    </w:p>
    <w:p w:rsidRPr="00677BAB" w:rsidR="00BD40F5" w:rsidP="00677BAB" w:rsidRDefault="00BD40F5" w14:paraId="20E4AD6A" w14:textId="77777777">
      <w:pPr>
        <w:rPr>
          <w:rFonts w:ascii="Times New Roman" w:hAnsi="Times New Roman"/>
          <w:szCs w:val="24"/>
        </w:rPr>
      </w:pPr>
    </w:p>
    <w:p w:rsidRPr="00677BAB" w:rsidR="00981679" w:rsidP="00677BAB" w:rsidRDefault="00BD40F5" w14:paraId="15A5D255" w14:textId="63D89AEB">
      <w:pPr>
        <w:rPr>
          <w:rFonts w:ascii="Times New Roman" w:hAnsi="Times New Roman"/>
          <w:szCs w:val="24"/>
        </w:rPr>
      </w:pPr>
      <w:r>
        <w:rPr>
          <w:rFonts w:ascii="Times New Roman" w:hAnsi="Times New Roman"/>
          <w:szCs w:val="24"/>
        </w:rPr>
        <w:t xml:space="preserve">Enacted on March 27, 2020, the </w:t>
      </w:r>
      <w:r w:rsidRPr="00677BAB" w:rsidR="00981679">
        <w:rPr>
          <w:rFonts w:ascii="Times New Roman" w:hAnsi="Times New Roman"/>
          <w:szCs w:val="24"/>
        </w:rPr>
        <w:t xml:space="preserve">Coronavirus Aid, Relief, and Economic Security Act (CARES Act) </w:t>
      </w:r>
      <w:r>
        <w:rPr>
          <w:rFonts w:ascii="Times New Roman" w:hAnsi="Times New Roman"/>
          <w:szCs w:val="24"/>
        </w:rPr>
        <w:t xml:space="preserve">added section </w:t>
      </w:r>
      <w:r w:rsidRPr="00677BAB" w:rsidR="00981679">
        <w:rPr>
          <w:rFonts w:ascii="Times New Roman" w:hAnsi="Times New Roman"/>
          <w:szCs w:val="24"/>
        </w:rPr>
        <w:t xml:space="preserve">506J </w:t>
      </w:r>
      <w:r>
        <w:rPr>
          <w:rFonts w:ascii="Times New Roman" w:hAnsi="Times New Roman"/>
          <w:szCs w:val="24"/>
        </w:rPr>
        <w:t xml:space="preserve">to the FD&amp;C Act.  </w:t>
      </w:r>
      <w:r w:rsidRPr="00677BAB" w:rsidR="00981679">
        <w:rPr>
          <w:rFonts w:ascii="Times New Roman" w:hAnsi="Times New Roman"/>
          <w:szCs w:val="24"/>
        </w:rPr>
        <w:t>Section 506J of the FD&amp;C Act requires manufacturers of certain devices to</w:t>
      </w:r>
      <w:r w:rsidRPr="00677BAB" w:rsidDel="007F2D60" w:rsidR="00981679">
        <w:rPr>
          <w:rFonts w:ascii="Times New Roman" w:hAnsi="Times New Roman"/>
          <w:szCs w:val="24"/>
        </w:rPr>
        <w:t xml:space="preserve"> </w:t>
      </w:r>
      <w:r w:rsidRPr="00677BAB" w:rsidR="00981679">
        <w:rPr>
          <w:rFonts w:ascii="Times New Roman" w:hAnsi="Times New Roman"/>
          <w:szCs w:val="24"/>
        </w:rPr>
        <w:t>notify FDA “</w:t>
      </w:r>
      <w:r w:rsidRPr="00BD40F5" w:rsidR="00981679">
        <w:rPr>
          <w:rFonts w:ascii="Times New Roman" w:hAnsi="Times New Roman"/>
          <w:i/>
          <w:iCs/>
          <w:szCs w:val="24"/>
        </w:rPr>
        <w:t>of a permanent discontinuance in the manufacture of the device</w:t>
      </w:r>
      <w:r w:rsidRPr="00677BAB" w:rsidR="00981679">
        <w:rPr>
          <w:rFonts w:ascii="Times New Roman" w:hAnsi="Times New Roman"/>
          <w:szCs w:val="24"/>
        </w:rPr>
        <w:t>” or “</w:t>
      </w:r>
      <w:r w:rsidRPr="00BD40F5" w:rsidR="00981679">
        <w:rPr>
          <w:rFonts w:ascii="Times New Roman" w:hAnsi="Times New Roman"/>
          <w:i/>
          <w:iCs/>
          <w:szCs w:val="24"/>
        </w:rPr>
        <w:t>an interruption in the manufacture of the device that is likely to lead to a meaningful disruption in supply of that device in the United States</w:t>
      </w:r>
      <w:r w:rsidRPr="00677BAB" w:rsidR="00981679">
        <w:rPr>
          <w:rFonts w:ascii="Times New Roman" w:hAnsi="Times New Roman"/>
          <w:szCs w:val="24"/>
        </w:rPr>
        <w:t>” during or in advance of a declared public health emergency, and the reason for such discontinuance or interruption.</w:t>
      </w:r>
      <w:r>
        <w:rPr>
          <w:rFonts w:ascii="Times New Roman" w:hAnsi="Times New Roman"/>
          <w:szCs w:val="24"/>
        </w:rPr>
        <w:t xml:space="preserve">  </w:t>
      </w:r>
      <w:r w:rsidRPr="00677BAB" w:rsidR="00981679">
        <w:rPr>
          <w:rFonts w:ascii="Times New Roman" w:hAnsi="Times New Roman"/>
          <w:szCs w:val="24"/>
        </w:rPr>
        <w:t xml:space="preserve">Section 506J </w:t>
      </w:r>
      <w:r>
        <w:rPr>
          <w:rFonts w:ascii="Times New Roman" w:hAnsi="Times New Roman"/>
          <w:szCs w:val="24"/>
        </w:rPr>
        <w:t xml:space="preserve">sets forth content and timing requirements and provides for FDA action on </w:t>
      </w:r>
      <w:r w:rsidRPr="00677BAB" w:rsidR="00981679">
        <w:rPr>
          <w:rFonts w:ascii="Times New Roman" w:hAnsi="Times New Roman"/>
          <w:szCs w:val="24"/>
        </w:rPr>
        <w:t xml:space="preserve">information, including (1) publicly posting a list of devices it determines to be in shortage, (2) publicly posting the reasons for the shortage, and (3) issuing letters to manufacturers that fail to comply with the notification requirements of section 506J.       </w:t>
      </w:r>
    </w:p>
    <w:p w:rsidR="00BD40F5" w:rsidP="00677BAB" w:rsidRDefault="00BD40F5" w14:paraId="554C63D6" w14:textId="77777777">
      <w:pPr>
        <w:rPr>
          <w:rFonts w:ascii="Times New Roman" w:hAnsi="Times New Roman"/>
          <w:szCs w:val="24"/>
        </w:rPr>
      </w:pPr>
    </w:p>
    <w:p w:rsidR="00550295" w:rsidP="00677BAB" w:rsidRDefault="00BD40F5" w14:paraId="4D35D396" w14:textId="77777777">
      <w:pPr>
        <w:rPr>
          <w:rFonts w:ascii="Times New Roman" w:hAnsi="Times New Roman"/>
          <w:szCs w:val="24"/>
        </w:rPr>
      </w:pPr>
      <w:r>
        <w:rPr>
          <w:rFonts w:ascii="Times New Roman" w:hAnsi="Times New Roman"/>
          <w:szCs w:val="24"/>
        </w:rPr>
        <w:t>Under s</w:t>
      </w:r>
      <w:r w:rsidRPr="00677BAB" w:rsidR="00981679">
        <w:rPr>
          <w:rFonts w:ascii="Times New Roman" w:hAnsi="Times New Roman"/>
          <w:szCs w:val="24"/>
        </w:rPr>
        <w:t xml:space="preserve">ection </w:t>
      </w:r>
      <w:r>
        <w:rPr>
          <w:rFonts w:ascii="Times New Roman" w:hAnsi="Times New Roman"/>
          <w:szCs w:val="24"/>
        </w:rPr>
        <w:t xml:space="preserve">319(f) of the PHS Act, added by </w:t>
      </w:r>
      <w:r w:rsidRPr="00677BAB" w:rsidR="00981679">
        <w:rPr>
          <w:rFonts w:ascii="Times New Roman" w:hAnsi="Times New Roman"/>
          <w:szCs w:val="24"/>
        </w:rPr>
        <w:t xml:space="preserve">the 21st Century Cures Act, </w:t>
      </w:r>
      <w:r w:rsidR="00C9454F">
        <w:rPr>
          <w:rFonts w:ascii="Times New Roman" w:hAnsi="Times New Roman"/>
          <w:szCs w:val="24"/>
        </w:rPr>
        <w:t>the Secretary issued the immediately-in-effect guidance entitled, “</w:t>
      </w:r>
      <w:r w:rsidRPr="00C9454F" w:rsidR="00C9454F">
        <w:rPr>
          <w:rFonts w:ascii="Times New Roman" w:hAnsi="Times New Roman"/>
          <w:i/>
          <w:iCs/>
          <w:szCs w:val="24"/>
        </w:rPr>
        <w:t>Notifying CDRH of a Permanent Discontinuance or Interruption in Manufacturing of a Device under Section 506J of the FD&amp;C Act During the COVID-19 Public Health Emergenc</w:t>
      </w:r>
      <w:r w:rsidRPr="00C9454F" w:rsidR="00C9454F">
        <w:rPr>
          <w:rFonts w:ascii="Times New Roman" w:hAnsi="Times New Roman"/>
          <w:i/>
          <w:iCs/>
          <w:szCs w:val="24"/>
        </w:rPr>
        <w:t>y</w:t>
      </w:r>
      <w:r w:rsidR="00C9454F">
        <w:rPr>
          <w:rFonts w:ascii="Times New Roman" w:hAnsi="Times New Roman"/>
          <w:szCs w:val="24"/>
        </w:rPr>
        <w:t>”</w:t>
      </w:r>
      <w:r w:rsidRPr="00C9454F" w:rsidR="00C9454F">
        <w:rPr>
          <w:rFonts w:ascii="Times New Roman" w:hAnsi="Times New Roman"/>
          <w:szCs w:val="24"/>
        </w:rPr>
        <w:t xml:space="preserve"> (Revised</w:t>
      </w:r>
      <w:r w:rsidR="00C9454F">
        <w:rPr>
          <w:rFonts w:ascii="Times New Roman" w:hAnsi="Times New Roman"/>
          <w:szCs w:val="24"/>
        </w:rPr>
        <w:t xml:space="preserve"> November 2020</w:t>
      </w:r>
      <w:r w:rsidRPr="00C9454F" w:rsidR="00C9454F">
        <w:rPr>
          <w:rFonts w:ascii="Times New Roman" w:hAnsi="Times New Roman"/>
          <w:szCs w:val="24"/>
        </w:rPr>
        <w:t xml:space="preserve">) </w:t>
      </w:r>
      <w:r w:rsidRPr="00677BAB" w:rsidR="00981679">
        <w:rPr>
          <w:rFonts w:ascii="Times New Roman" w:hAnsi="Times New Roman"/>
          <w:szCs w:val="24"/>
        </w:rPr>
        <w:t>to implement section 506J of the FD&amp;C Act, as it relates to device shortages and potential device shortages occurring during the COVID-19 pandemic, for the duration of the COVID-19 public health emergency.</w:t>
      </w:r>
      <w:r w:rsidR="00C9454F">
        <w:rPr>
          <w:rFonts w:ascii="Times New Roman" w:hAnsi="Times New Roman"/>
          <w:szCs w:val="24"/>
        </w:rPr>
        <w:t xml:space="preserve">  </w:t>
      </w:r>
      <w:r w:rsidRPr="00677BAB" w:rsidR="00981679">
        <w:rPr>
          <w:rFonts w:ascii="Times New Roman" w:hAnsi="Times New Roman"/>
          <w:szCs w:val="24"/>
        </w:rPr>
        <w:t xml:space="preserve">The guidance </w:t>
      </w:r>
      <w:r w:rsidR="00C9454F">
        <w:rPr>
          <w:rFonts w:ascii="Times New Roman" w:hAnsi="Times New Roman"/>
          <w:szCs w:val="24"/>
        </w:rPr>
        <w:t xml:space="preserve">discusses </w:t>
      </w:r>
      <w:r w:rsidRPr="00677BAB" w:rsidR="00981679">
        <w:rPr>
          <w:rFonts w:ascii="Times New Roman" w:hAnsi="Times New Roman"/>
          <w:szCs w:val="24"/>
        </w:rPr>
        <w:t xml:space="preserve">additional voluntary </w:t>
      </w:r>
      <w:r w:rsidR="00C9454F">
        <w:rPr>
          <w:rFonts w:ascii="Times New Roman" w:hAnsi="Times New Roman"/>
          <w:szCs w:val="24"/>
        </w:rPr>
        <w:t xml:space="preserve">information </w:t>
      </w:r>
      <w:r w:rsidR="00C9454F">
        <w:rPr>
          <w:rFonts w:ascii="Times New Roman" w:hAnsi="Times New Roman"/>
          <w:szCs w:val="24"/>
        </w:rPr>
        <w:lastRenderedPageBreak/>
        <w:t xml:space="preserve">collection </w:t>
      </w:r>
      <w:r w:rsidRPr="00677BAB" w:rsidR="00981679">
        <w:rPr>
          <w:rFonts w:ascii="Times New Roman" w:hAnsi="Times New Roman"/>
          <w:szCs w:val="24"/>
        </w:rPr>
        <w:t xml:space="preserve">manufacturers could provide </w:t>
      </w:r>
      <w:r w:rsidR="00C9454F">
        <w:rPr>
          <w:rFonts w:ascii="Times New Roman" w:hAnsi="Times New Roman"/>
          <w:szCs w:val="24"/>
        </w:rPr>
        <w:t xml:space="preserve">to FDA, </w:t>
      </w:r>
      <w:r w:rsidRPr="00677BAB" w:rsidR="00981679">
        <w:rPr>
          <w:rFonts w:ascii="Times New Roman" w:hAnsi="Times New Roman"/>
          <w:szCs w:val="24"/>
        </w:rPr>
        <w:t>including additional information about device manufacturing and supply, and updates to initial notifications.</w:t>
      </w:r>
    </w:p>
    <w:p w:rsidR="00550295" w:rsidP="00677BAB" w:rsidRDefault="00550295" w14:paraId="7DBE8591" w14:textId="77777777">
      <w:pPr>
        <w:rPr>
          <w:rFonts w:ascii="Times New Roman" w:hAnsi="Times New Roman"/>
          <w:szCs w:val="24"/>
        </w:rPr>
      </w:pPr>
    </w:p>
    <w:p w:rsidRPr="00677BAB" w:rsidR="00981679" w:rsidP="00677BAB" w:rsidRDefault="00550295" w14:paraId="1582C273" w14:textId="46DA35B8">
      <w:pPr>
        <w:rPr>
          <w:rFonts w:ascii="Times New Roman" w:hAnsi="Times New Roman"/>
          <w:szCs w:val="24"/>
        </w:rPr>
      </w:pPr>
      <w:r>
        <w:rPr>
          <w:rFonts w:ascii="Times New Roman" w:hAnsi="Times New Roman"/>
          <w:szCs w:val="24"/>
        </w:rPr>
        <w:t>Having previously requested emergency review and approval of the revised information collection, we are now requesting continued approval, as discussed in this supporting statement.</w:t>
      </w:r>
    </w:p>
    <w:p w:rsidRPr="00677BAB" w:rsidR="001412C2" w:rsidP="00677BAB" w:rsidRDefault="001412C2" w14:paraId="57133821" w14:textId="77777777">
      <w:pPr>
        <w:rPr>
          <w:rFonts w:ascii="Times New Roman" w:hAnsi="Times New Roman"/>
          <w:szCs w:val="24"/>
        </w:rPr>
      </w:pPr>
    </w:p>
    <w:p w:rsidRPr="00677BAB" w:rsidR="00892703" w:rsidP="00677BAB" w:rsidRDefault="00892703" w14:paraId="508D5C84" w14:textId="6B9A86BE">
      <w:pPr>
        <w:rPr>
          <w:rFonts w:ascii="Times New Roman" w:hAnsi="Times New Roman"/>
          <w:szCs w:val="24"/>
        </w:rPr>
      </w:pPr>
      <w:r w:rsidRPr="00677BAB">
        <w:rPr>
          <w:rFonts w:ascii="Times New Roman" w:hAnsi="Times New Roman"/>
          <w:szCs w:val="24"/>
        </w:rPr>
        <w:t>2.</w:t>
      </w:r>
      <w:r w:rsidR="00C9454F">
        <w:rPr>
          <w:rFonts w:ascii="Times New Roman" w:hAnsi="Times New Roman"/>
          <w:szCs w:val="24"/>
        </w:rPr>
        <w:t xml:space="preserve">  </w:t>
      </w:r>
      <w:r w:rsidRPr="00AD7F02">
        <w:rPr>
          <w:rFonts w:ascii="Times New Roman" w:hAnsi="Times New Roman"/>
          <w:szCs w:val="24"/>
          <w:u w:val="single"/>
        </w:rPr>
        <w:t>Purpose and Use of the Information</w:t>
      </w:r>
      <w:r w:rsidRPr="00AD7F02" w:rsidR="00C04E1B">
        <w:rPr>
          <w:rFonts w:ascii="Times New Roman" w:hAnsi="Times New Roman"/>
          <w:szCs w:val="24"/>
          <w:u w:val="single"/>
        </w:rPr>
        <w:t xml:space="preserve"> Collection</w:t>
      </w:r>
    </w:p>
    <w:p w:rsidRPr="00677BAB" w:rsidR="00892703" w:rsidP="00677BAB" w:rsidRDefault="00892703" w14:paraId="5A23186E" w14:textId="77777777">
      <w:pPr>
        <w:rPr>
          <w:rFonts w:ascii="Times New Roman" w:hAnsi="Times New Roman"/>
          <w:szCs w:val="24"/>
        </w:rPr>
      </w:pPr>
    </w:p>
    <w:p w:rsidRPr="00677BAB" w:rsidR="007E37A4" w:rsidP="00AD7F02" w:rsidRDefault="00C9454F" w14:paraId="41E738AF" w14:textId="3FBB2BB0">
      <w:pPr>
        <w:rPr>
          <w:rFonts w:ascii="Times New Roman" w:hAnsi="Times New Roman"/>
          <w:szCs w:val="24"/>
        </w:rPr>
      </w:pPr>
      <w:r>
        <w:rPr>
          <w:rFonts w:ascii="Times New Roman" w:hAnsi="Times New Roman"/>
          <w:szCs w:val="24"/>
        </w:rPr>
        <w:t>We use the information to help</w:t>
      </w:r>
      <w:r w:rsidRPr="00677BAB" w:rsidR="00892703">
        <w:rPr>
          <w:rFonts w:ascii="Times New Roman" w:hAnsi="Times New Roman"/>
          <w:szCs w:val="24"/>
        </w:rPr>
        <w:t xml:space="preserve"> </w:t>
      </w:r>
      <w:r w:rsidRPr="00677BAB" w:rsidR="00D17CD3">
        <w:rPr>
          <w:rFonts w:ascii="Times New Roman" w:hAnsi="Times New Roman"/>
          <w:szCs w:val="24"/>
        </w:rPr>
        <w:t xml:space="preserve">mitigate </w:t>
      </w:r>
      <w:r>
        <w:rPr>
          <w:rFonts w:ascii="Times New Roman" w:hAnsi="Times New Roman"/>
          <w:szCs w:val="24"/>
        </w:rPr>
        <w:t xml:space="preserve">potential and </w:t>
      </w:r>
      <w:r w:rsidRPr="00677BAB" w:rsidR="00FA54B2">
        <w:rPr>
          <w:rFonts w:ascii="Times New Roman" w:hAnsi="Times New Roman"/>
          <w:szCs w:val="24"/>
        </w:rPr>
        <w:t xml:space="preserve">actual </w:t>
      </w:r>
      <w:r w:rsidRPr="00677BAB" w:rsidR="00D17CD3">
        <w:rPr>
          <w:rFonts w:ascii="Times New Roman" w:hAnsi="Times New Roman"/>
          <w:szCs w:val="24"/>
        </w:rPr>
        <w:t>medical device shortages.</w:t>
      </w:r>
      <w:r w:rsidR="00AD7F02">
        <w:rPr>
          <w:rFonts w:ascii="Times New Roman" w:hAnsi="Times New Roman"/>
          <w:szCs w:val="24"/>
        </w:rPr>
        <w:t xml:space="preserve">  We also use the information as prescribed in section 506J regarding the publicly posting device shortage information.</w:t>
      </w:r>
    </w:p>
    <w:p w:rsidRPr="00677BAB" w:rsidR="00892703" w:rsidP="00677BAB" w:rsidRDefault="00892703" w14:paraId="690CFCBC" w14:textId="77777777">
      <w:pPr>
        <w:rPr>
          <w:rFonts w:ascii="Times New Roman" w:hAnsi="Times New Roman"/>
          <w:szCs w:val="24"/>
        </w:rPr>
      </w:pPr>
    </w:p>
    <w:p w:rsidRPr="00677BAB" w:rsidR="00892703" w:rsidP="00677BAB" w:rsidRDefault="00892703" w14:paraId="3248955C" w14:textId="5B36CD1E">
      <w:pPr>
        <w:rPr>
          <w:rFonts w:ascii="Times New Roman" w:hAnsi="Times New Roman"/>
          <w:szCs w:val="24"/>
        </w:rPr>
      </w:pPr>
      <w:r w:rsidRPr="00677BAB">
        <w:rPr>
          <w:rFonts w:ascii="Times New Roman" w:hAnsi="Times New Roman"/>
          <w:szCs w:val="24"/>
        </w:rPr>
        <w:t>3.</w:t>
      </w:r>
      <w:r w:rsidR="00AD7F02">
        <w:rPr>
          <w:rFonts w:ascii="Times New Roman" w:hAnsi="Times New Roman"/>
          <w:szCs w:val="24"/>
        </w:rPr>
        <w:t xml:space="preserve">  </w:t>
      </w:r>
      <w:r w:rsidRPr="00AD7F02">
        <w:rPr>
          <w:rFonts w:ascii="Times New Roman" w:hAnsi="Times New Roman"/>
          <w:szCs w:val="24"/>
          <w:u w:val="single"/>
        </w:rPr>
        <w:t xml:space="preserve">Use of </w:t>
      </w:r>
      <w:r w:rsidRPr="00AD7F02" w:rsidR="00C04E1B">
        <w:rPr>
          <w:rFonts w:ascii="Times New Roman" w:hAnsi="Times New Roman"/>
          <w:szCs w:val="24"/>
          <w:u w:val="single"/>
        </w:rPr>
        <w:t xml:space="preserve">Improved </w:t>
      </w:r>
      <w:r w:rsidRPr="00AD7F02">
        <w:rPr>
          <w:rFonts w:ascii="Times New Roman" w:hAnsi="Times New Roman"/>
          <w:szCs w:val="24"/>
          <w:u w:val="single"/>
        </w:rPr>
        <w:t>Information Technology and Burden Reduction</w:t>
      </w:r>
    </w:p>
    <w:p w:rsidRPr="00677BAB" w:rsidR="00892703" w:rsidP="00677BAB" w:rsidRDefault="00892703" w14:paraId="2596B4D4" w14:textId="77777777">
      <w:pPr>
        <w:rPr>
          <w:rFonts w:ascii="Times New Roman" w:hAnsi="Times New Roman"/>
          <w:szCs w:val="24"/>
        </w:rPr>
      </w:pPr>
    </w:p>
    <w:p w:rsidRPr="00677BAB" w:rsidR="00742E55" w:rsidP="00677BAB" w:rsidRDefault="00AD7F02" w14:paraId="195C6CFC" w14:textId="5A211287">
      <w:pPr>
        <w:rPr>
          <w:rFonts w:ascii="Times New Roman" w:hAnsi="Times New Roman"/>
          <w:szCs w:val="24"/>
        </w:rPr>
      </w:pPr>
      <w:r>
        <w:rPr>
          <w:rFonts w:ascii="Times New Roman" w:hAnsi="Times New Roman"/>
          <w:szCs w:val="24"/>
        </w:rPr>
        <w:t>We utilize electronic means to implement the information collection, seeking least burdensome ways to gather and receive necessary data.</w:t>
      </w:r>
    </w:p>
    <w:p w:rsidRPr="00677BAB" w:rsidR="00892703" w:rsidP="00677BAB" w:rsidRDefault="00892703" w14:paraId="3E866788" w14:textId="77777777">
      <w:pPr>
        <w:rPr>
          <w:rFonts w:ascii="Times New Roman" w:hAnsi="Times New Roman"/>
          <w:szCs w:val="24"/>
        </w:rPr>
      </w:pPr>
    </w:p>
    <w:p w:rsidRPr="00677BAB" w:rsidR="00892703" w:rsidP="00677BAB" w:rsidRDefault="00892703" w14:paraId="453EA3EC" w14:textId="495575A5">
      <w:pPr>
        <w:rPr>
          <w:rFonts w:ascii="Times New Roman" w:hAnsi="Times New Roman"/>
          <w:szCs w:val="24"/>
        </w:rPr>
      </w:pPr>
      <w:r w:rsidRPr="00677BAB">
        <w:rPr>
          <w:rFonts w:ascii="Times New Roman" w:hAnsi="Times New Roman"/>
          <w:szCs w:val="24"/>
        </w:rPr>
        <w:t>4.</w:t>
      </w:r>
      <w:r w:rsidR="00AD7F02">
        <w:rPr>
          <w:rFonts w:ascii="Times New Roman" w:hAnsi="Times New Roman"/>
          <w:szCs w:val="24"/>
        </w:rPr>
        <w:t xml:space="preserve">  </w:t>
      </w:r>
      <w:r w:rsidRPr="00AD7F02">
        <w:rPr>
          <w:rFonts w:ascii="Times New Roman" w:hAnsi="Times New Roman"/>
          <w:szCs w:val="24"/>
          <w:u w:val="single"/>
        </w:rPr>
        <w:t>Efforts to Identify Duplication and Use of Similar Information</w:t>
      </w:r>
    </w:p>
    <w:p w:rsidRPr="00677BAB" w:rsidR="00892703" w:rsidP="00677BAB" w:rsidRDefault="00892703" w14:paraId="0F237492" w14:textId="77777777">
      <w:pPr>
        <w:rPr>
          <w:rFonts w:ascii="Times New Roman" w:hAnsi="Times New Roman"/>
          <w:szCs w:val="24"/>
        </w:rPr>
      </w:pPr>
    </w:p>
    <w:p w:rsidRPr="00677BAB" w:rsidR="00992965" w:rsidP="00AD7F02" w:rsidRDefault="00AD7F02" w14:paraId="4DDB4776" w14:textId="0EC7898D">
      <w:pPr>
        <w:rPr>
          <w:rFonts w:ascii="Times New Roman" w:hAnsi="Times New Roman"/>
          <w:szCs w:val="24"/>
        </w:rPr>
      </w:pPr>
      <w:r>
        <w:rPr>
          <w:rFonts w:ascii="Times New Roman" w:hAnsi="Times New Roman"/>
          <w:szCs w:val="24"/>
        </w:rPr>
        <w:t xml:space="preserve">We are </w:t>
      </w:r>
      <w:r w:rsidR="000D5A40">
        <w:rPr>
          <w:rFonts w:ascii="Times New Roman" w:hAnsi="Times New Roman"/>
          <w:szCs w:val="24"/>
        </w:rPr>
        <w:t>unaware</w:t>
      </w:r>
      <w:r>
        <w:rPr>
          <w:rFonts w:ascii="Times New Roman" w:hAnsi="Times New Roman"/>
          <w:szCs w:val="24"/>
        </w:rPr>
        <w:t xml:space="preserve"> of duplicative information collection.</w:t>
      </w:r>
      <w:r w:rsidRPr="00677BAB" w:rsidR="009E307B">
        <w:rPr>
          <w:rFonts w:ascii="Times New Roman" w:hAnsi="Times New Roman"/>
          <w:szCs w:val="24"/>
        </w:rPr>
        <w:t xml:space="preserve"> </w:t>
      </w:r>
    </w:p>
    <w:p w:rsidRPr="00677BAB" w:rsidR="00F64A7D" w:rsidP="00677BAB" w:rsidRDefault="00F64A7D" w14:paraId="33E2073B" w14:textId="77777777">
      <w:pPr>
        <w:rPr>
          <w:rFonts w:ascii="Times New Roman" w:hAnsi="Times New Roman"/>
          <w:szCs w:val="24"/>
        </w:rPr>
      </w:pPr>
    </w:p>
    <w:p w:rsidRPr="00677BAB" w:rsidR="00892703" w:rsidP="00677BAB" w:rsidRDefault="00892703" w14:paraId="013C2F9D" w14:textId="7C185051">
      <w:pPr>
        <w:rPr>
          <w:rFonts w:ascii="Times New Roman" w:hAnsi="Times New Roman"/>
          <w:szCs w:val="24"/>
        </w:rPr>
      </w:pPr>
      <w:r w:rsidRPr="00677BAB">
        <w:rPr>
          <w:rFonts w:ascii="Times New Roman" w:hAnsi="Times New Roman"/>
          <w:szCs w:val="24"/>
        </w:rPr>
        <w:t>5.</w:t>
      </w:r>
      <w:r w:rsidR="00AD7F02">
        <w:rPr>
          <w:rFonts w:ascii="Times New Roman" w:hAnsi="Times New Roman"/>
          <w:szCs w:val="24"/>
        </w:rPr>
        <w:t xml:space="preserve">  </w:t>
      </w:r>
      <w:r w:rsidRPr="00AD7F02">
        <w:rPr>
          <w:rFonts w:ascii="Times New Roman" w:hAnsi="Times New Roman"/>
          <w:szCs w:val="24"/>
          <w:u w:val="single"/>
        </w:rPr>
        <w:t>Impact on Small Business</w:t>
      </w:r>
      <w:r w:rsidRPr="00AD7F02" w:rsidR="0035468B">
        <w:rPr>
          <w:rFonts w:ascii="Times New Roman" w:hAnsi="Times New Roman"/>
          <w:szCs w:val="24"/>
          <w:u w:val="single"/>
        </w:rPr>
        <w:t>es</w:t>
      </w:r>
      <w:r w:rsidRPr="00AD7F02">
        <w:rPr>
          <w:rFonts w:ascii="Times New Roman" w:hAnsi="Times New Roman"/>
          <w:szCs w:val="24"/>
          <w:u w:val="single"/>
        </w:rPr>
        <w:t xml:space="preserve"> or Other Small Entities</w:t>
      </w:r>
    </w:p>
    <w:p w:rsidRPr="00677BAB" w:rsidR="00892703" w:rsidP="00677BAB" w:rsidRDefault="00892703" w14:paraId="7CFB50F4" w14:textId="77777777">
      <w:pPr>
        <w:rPr>
          <w:rFonts w:ascii="Times New Roman" w:hAnsi="Times New Roman"/>
          <w:szCs w:val="24"/>
        </w:rPr>
      </w:pPr>
    </w:p>
    <w:p w:rsidRPr="00677BAB" w:rsidR="00892703" w:rsidP="00AD7F02" w:rsidRDefault="00AD7F02" w14:paraId="505DA650" w14:textId="7B51AA09">
      <w:pPr>
        <w:rPr>
          <w:rFonts w:ascii="Times New Roman" w:hAnsi="Times New Roman"/>
          <w:szCs w:val="24"/>
        </w:rPr>
      </w:pPr>
      <w:r>
        <w:rPr>
          <w:rFonts w:ascii="Times New Roman" w:hAnsi="Times New Roman"/>
          <w:szCs w:val="24"/>
        </w:rPr>
        <w:t xml:space="preserve">Although some respondents to the information collection may be small businesses, FDA </w:t>
      </w:r>
      <w:r w:rsidR="000D5A40">
        <w:rPr>
          <w:rFonts w:ascii="Times New Roman" w:hAnsi="Times New Roman"/>
          <w:szCs w:val="24"/>
        </w:rPr>
        <w:t>utilizes</w:t>
      </w:r>
      <w:r>
        <w:rPr>
          <w:rFonts w:ascii="Times New Roman" w:hAnsi="Times New Roman"/>
          <w:szCs w:val="24"/>
        </w:rPr>
        <w:t xml:space="preserve"> the least burdensome means to gather information.</w:t>
      </w:r>
    </w:p>
    <w:p w:rsidRPr="00677BAB" w:rsidR="00892703" w:rsidP="00677BAB" w:rsidRDefault="00892703" w14:paraId="33C2323D" w14:textId="77777777">
      <w:pPr>
        <w:rPr>
          <w:rFonts w:ascii="Times New Roman" w:hAnsi="Times New Roman"/>
          <w:szCs w:val="24"/>
        </w:rPr>
      </w:pPr>
    </w:p>
    <w:p w:rsidR="00892703" w:rsidP="00677BAB" w:rsidRDefault="00892703" w14:paraId="3C0E2C92" w14:textId="67CA734B">
      <w:pPr>
        <w:rPr>
          <w:rFonts w:ascii="Times New Roman" w:hAnsi="Times New Roman"/>
          <w:szCs w:val="24"/>
        </w:rPr>
      </w:pPr>
      <w:r w:rsidRPr="00677BAB">
        <w:rPr>
          <w:rFonts w:ascii="Times New Roman" w:hAnsi="Times New Roman"/>
          <w:szCs w:val="24"/>
        </w:rPr>
        <w:t>6.</w:t>
      </w:r>
      <w:r w:rsidR="00AD7F02">
        <w:rPr>
          <w:rFonts w:ascii="Times New Roman" w:hAnsi="Times New Roman"/>
          <w:szCs w:val="24"/>
        </w:rPr>
        <w:t xml:space="preserve">  </w:t>
      </w:r>
      <w:r w:rsidRPr="00550295">
        <w:rPr>
          <w:rFonts w:ascii="Times New Roman" w:hAnsi="Times New Roman"/>
          <w:szCs w:val="24"/>
          <w:u w:val="single"/>
        </w:rPr>
        <w:t>Consequences of Collecting the Information Less Frequently</w:t>
      </w:r>
    </w:p>
    <w:p w:rsidR="00AD7F02" w:rsidP="00677BAB" w:rsidRDefault="00AD7F02" w14:paraId="5CB5FE01" w14:textId="4CDE4C92">
      <w:pPr>
        <w:rPr>
          <w:rFonts w:ascii="Times New Roman" w:hAnsi="Times New Roman"/>
          <w:szCs w:val="24"/>
        </w:rPr>
      </w:pPr>
    </w:p>
    <w:p w:rsidRPr="00677BAB" w:rsidR="005A24FD" w:rsidP="00677BAB" w:rsidRDefault="00AD7F02" w14:paraId="5E579DCC" w14:textId="7639D436">
      <w:pPr>
        <w:rPr>
          <w:rFonts w:ascii="Times New Roman" w:hAnsi="Times New Roman"/>
          <w:szCs w:val="24"/>
        </w:rPr>
      </w:pPr>
      <w:r>
        <w:rPr>
          <w:rFonts w:ascii="Times New Roman" w:hAnsi="Times New Roman"/>
          <w:szCs w:val="24"/>
        </w:rPr>
        <w:t xml:space="preserve">The timing of mandatory information collection is consistent with statutory requirements.  Voluntary information collection is conducted </w:t>
      </w:r>
      <w:r w:rsidRPr="00677BAB" w:rsidR="000578D7">
        <w:rPr>
          <w:rFonts w:ascii="Times New Roman" w:hAnsi="Times New Roman"/>
          <w:szCs w:val="24"/>
        </w:rPr>
        <w:t>quarter</w:t>
      </w:r>
      <w:r w:rsidRPr="00677BAB" w:rsidR="0039199B">
        <w:rPr>
          <w:rFonts w:ascii="Times New Roman" w:hAnsi="Times New Roman"/>
          <w:szCs w:val="24"/>
        </w:rPr>
        <w:t>ly</w:t>
      </w:r>
      <w:r w:rsidRPr="00677BAB" w:rsidR="000578D7">
        <w:rPr>
          <w:rFonts w:ascii="Times New Roman" w:hAnsi="Times New Roman"/>
          <w:szCs w:val="24"/>
        </w:rPr>
        <w:t xml:space="preserve"> (</w:t>
      </w:r>
      <w:r w:rsidRPr="00677BAB" w:rsidR="0039199B">
        <w:rPr>
          <w:rFonts w:ascii="Times New Roman" w:hAnsi="Times New Roman"/>
          <w:szCs w:val="24"/>
        </w:rPr>
        <w:t xml:space="preserve">every </w:t>
      </w:r>
      <w:r w:rsidRPr="00677BAB" w:rsidR="000578D7">
        <w:rPr>
          <w:rFonts w:ascii="Times New Roman" w:hAnsi="Times New Roman"/>
          <w:szCs w:val="24"/>
        </w:rPr>
        <w:t xml:space="preserve">3 months), or upon a significant change in a manufacturer’s ability to </w:t>
      </w:r>
      <w:r w:rsidRPr="00677BAB" w:rsidR="0039199B">
        <w:rPr>
          <w:rFonts w:ascii="Times New Roman" w:hAnsi="Times New Roman"/>
          <w:szCs w:val="24"/>
        </w:rPr>
        <w:t xml:space="preserve">produce and/or </w:t>
      </w:r>
      <w:r w:rsidRPr="00677BAB" w:rsidR="000578D7">
        <w:rPr>
          <w:rFonts w:ascii="Times New Roman" w:hAnsi="Times New Roman"/>
          <w:szCs w:val="24"/>
        </w:rPr>
        <w:t>market a</w:t>
      </w:r>
      <w:r w:rsidRPr="00677BAB" w:rsidR="0039199B">
        <w:rPr>
          <w:rFonts w:ascii="Times New Roman" w:hAnsi="Times New Roman"/>
          <w:szCs w:val="24"/>
        </w:rPr>
        <w:t xml:space="preserve">n essential </w:t>
      </w:r>
      <w:r w:rsidRPr="00677BAB" w:rsidR="000578D7">
        <w:rPr>
          <w:rFonts w:ascii="Times New Roman" w:hAnsi="Times New Roman"/>
          <w:szCs w:val="24"/>
        </w:rPr>
        <w:t>device.</w:t>
      </w:r>
      <w:r w:rsidR="00550295">
        <w:rPr>
          <w:rFonts w:ascii="Times New Roman" w:hAnsi="Times New Roman"/>
          <w:szCs w:val="24"/>
        </w:rPr>
        <w:t xml:space="preserve">  </w:t>
      </w:r>
      <w:r w:rsidRPr="00677BAB" w:rsidR="000578D7">
        <w:rPr>
          <w:rFonts w:ascii="Times New Roman" w:hAnsi="Times New Roman"/>
          <w:szCs w:val="24"/>
        </w:rPr>
        <w:t xml:space="preserve">The consequences of collecting this information less frequently is that CDRH’s ability to make the correct decision or to disseminate the correct information </w:t>
      </w:r>
      <w:r w:rsidRPr="00677BAB" w:rsidR="0039199B">
        <w:rPr>
          <w:rFonts w:ascii="Times New Roman" w:hAnsi="Times New Roman"/>
          <w:szCs w:val="24"/>
        </w:rPr>
        <w:t xml:space="preserve">to the public </w:t>
      </w:r>
      <w:r w:rsidRPr="00677BAB" w:rsidR="000578D7">
        <w:rPr>
          <w:rFonts w:ascii="Times New Roman" w:hAnsi="Times New Roman"/>
          <w:szCs w:val="24"/>
        </w:rPr>
        <w:t xml:space="preserve">may be compromised, hampering its mission to protect the public health. </w:t>
      </w:r>
    </w:p>
    <w:p w:rsidRPr="00677BAB" w:rsidR="00892703" w:rsidP="00677BAB" w:rsidRDefault="00892703" w14:paraId="52E31FF8" w14:textId="77777777">
      <w:pPr>
        <w:rPr>
          <w:rFonts w:ascii="Times New Roman" w:hAnsi="Times New Roman"/>
          <w:szCs w:val="24"/>
        </w:rPr>
      </w:pPr>
    </w:p>
    <w:p w:rsidRPr="00677BAB" w:rsidR="00892703" w:rsidP="00677BAB" w:rsidRDefault="00892703" w14:paraId="6E4E4834" w14:textId="11075342">
      <w:pPr>
        <w:rPr>
          <w:rFonts w:ascii="Times New Roman" w:hAnsi="Times New Roman"/>
          <w:szCs w:val="24"/>
        </w:rPr>
      </w:pPr>
      <w:r w:rsidRPr="00677BAB">
        <w:rPr>
          <w:rFonts w:ascii="Times New Roman" w:hAnsi="Times New Roman"/>
          <w:szCs w:val="24"/>
        </w:rPr>
        <w:t>7.</w:t>
      </w:r>
      <w:r w:rsidR="00550295">
        <w:rPr>
          <w:rFonts w:ascii="Times New Roman" w:hAnsi="Times New Roman"/>
          <w:szCs w:val="24"/>
        </w:rPr>
        <w:t xml:space="preserve">  </w:t>
      </w:r>
      <w:r w:rsidRPr="00550295">
        <w:rPr>
          <w:rFonts w:ascii="Times New Roman" w:hAnsi="Times New Roman"/>
          <w:szCs w:val="24"/>
          <w:u w:val="single"/>
        </w:rPr>
        <w:t>Special Circumstances Relating to the Guidelines of 5 CFR 1320.5</w:t>
      </w:r>
    </w:p>
    <w:p w:rsidRPr="00677BAB" w:rsidR="00892703" w:rsidP="00677BAB" w:rsidRDefault="00892703" w14:paraId="4C34EE4C" w14:textId="77777777">
      <w:pPr>
        <w:rPr>
          <w:rFonts w:ascii="Times New Roman" w:hAnsi="Times New Roman"/>
          <w:szCs w:val="24"/>
        </w:rPr>
      </w:pPr>
    </w:p>
    <w:p w:rsidRPr="00677BAB" w:rsidR="00892703" w:rsidP="00677BAB" w:rsidRDefault="00DA6A76" w14:paraId="25A6B9BF" w14:textId="77777777">
      <w:pPr>
        <w:rPr>
          <w:rFonts w:ascii="Times New Roman" w:hAnsi="Times New Roman"/>
          <w:szCs w:val="24"/>
        </w:rPr>
      </w:pPr>
      <w:r w:rsidRPr="00677BAB">
        <w:rPr>
          <w:rFonts w:ascii="Times New Roman" w:hAnsi="Times New Roman"/>
          <w:szCs w:val="24"/>
        </w:rPr>
        <w:t>There are no special circumstances for this collection of information.</w:t>
      </w:r>
    </w:p>
    <w:p w:rsidRPr="00677BAB" w:rsidR="00892703" w:rsidP="00677BAB" w:rsidRDefault="00892703" w14:paraId="08308997" w14:textId="77777777">
      <w:pPr>
        <w:rPr>
          <w:rFonts w:ascii="Times New Roman" w:hAnsi="Times New Roman"/>
          <w:szCs w:val="24"/>
        </w:rPr>
      </w:pPr>
    </w:p>
    <w:p w:rsidRPr="00677BAB" w:rsidR="00892703" w:rsidP="00677BAB" w:rsidRDefault="00892703" w14:paraId="491B17FB" w14:textId="0C2EF410">
      <w:pPr>
        <w:rPr>
          <w:rFonts w:ascii="Times New Roman" w:hAnsi="Times New Roman"/>
          <w:szCs w:val="24"/>
        </w:rPr>
      </w:pPr>
      <w:r w:rsidRPr="00677BAB">
        <w:rPr>
          <w:rFonts w:ascii="Times New Roman" w:hAnsi="Times New Roman"/>
          <w:szCs w:val="24"/>
        </w:rPr>
        <w:t>8.</w:t>
      </w:r>
      <w:r w:rsidR="00550295">
        <w:rPr>
          <w:rFonts w:ascii="Times New Roman" w:hAnsi="Times New Roman"/>
          <w:szCs w:val="24"/>
        </w:rPr>
        <w:t xml:space="preserve">  </w:t>
      </w:r>
      <w:r w:rsidRPr="00550295">
        <w:rPr>
          <w:rFonts w:ascii="Times New Roman" w:hAnsi="Times New Roman"/>
          <w:szCs w:val="24"/>
          <w:u w:val="single"/>
        </w:rPr>
        <w:t xml:space="preserve">Comments in Response to the Federal Register Notice and Efforts to Consult Outside </w:t>
      </w:r>
      <w:r w:rsidRPr="00550295" w:rsidR="00E21309">
        <w:rPr>
          <w:rFonts w:ascii="Times New Roman" w:hAnsi="Times New Roman"/>
          <w:szCs w:val="24"/>
          <w:u w:val="single"/>
        </w:rPr>
        <w:t xml:space="preserve">the </w:t>
      </w:r>
      <w:r w:rsidRPr="00550295">
        <w:rPr>
          <w:rFonts w:ascii="Times New Roman" w:hAnsi="Times New Roman"/>
          <w:szCs w:val="24"/>
          <w:u w:val="single"/>
        </w:rPr>
        <w:t>Agency</w:t>
      </w:r>
    </w:p>
    <w:p w:rsidRPr="00677BAB" w:rsidR="00892703" w:rsidP="00677BAB" w:rsidRDefault="00892703" w14:paraId="2F73E5E1" w14:textId="77777777">
      <w:pPr>
        <w:rPr>
          <w:rFonts w:ascii="Times New Roman" w:hAnsi="Times New Roman"/>
          <w:szCs w:val="24"/>
        </w:rPr>
      </w:pPr>
    </w:p>
    <w:p w:rsidRPr="00677BAB" w:rsidR="007C1DBD" w:rsidP="00550295" w:rsidRDefault="00DA6A76" w14:paraId="0C760B74" w14:textId="3CA337AF">
      <w:pPr>
        <w:rPr>
          <w:rFonts w:ascii="Times New Roman" w:hAnsi="Times New Roman"/>
          <w:szCs w:val="24"/>
        </w:rPr>
      </w:pPr>
      <w:r w:rsidRPr="00677BAB">
        <w:rPr>
          <w:rFonts w:ascii="Times New Roman" w:hAnsi="Times New Roman"/>
          <w:szCs w:val="24"/>
        </w:rPr>
        <w:t xml:space="preserve">In accordance with 5 CFR 1320.8(d), </w:t>
      </w:r>
      <w:r w:rsidR="00550295">
        <w:rPr>
          <w:rFonts w:ascii="Times New Roman" w:hAnsi="Times New Roman"/>
          <w:szCs w:val="24"/>
        </w:rPr>
        <w:t xml:space="preserve">we </w:t>
      </w:r>
      <w:r w:rsidRPr="00677BAB" w:rsidR="00892703">
        <w:rPr>
          <w:rFonts w:ascii="Times New Roman" w:hAnsi="Times New Roman"/>
          <w:szCs w:val="24"/>
        </w:rPr>
        <w:t>published</w:t>
      </w:r>
      <w:r w:rsidRPr="00677BAB">
        <w:rPr>
          <w:rFonts w:ascii="Times New Roman" w:hAnsi="Times New Roman"/>
          <w:szCs w:val="24"/>
        </w:rPr>
        <w:t xml:space="preserve"> a 60-day notice for public comment</w:t>
      </w:r>
      <w:r w:rsidRPr="00677BAB" w:rsidR="00892703">
        <w:rPr>
          <w:rFonts w:ascii="Times New Roman" w:hAnsi="Times New Roman"/>
          <w:szCs w:val="24"/>
        </w:rPr>
        <w:t xml:space="preserve"> in the Federal Register </w:t>
      </w:r>
      <w:r w:rsidRPr="00677BAB">
        <w:rPr>
          <w:rFonts w:ascii="Times New Roman" w:hAnsi="Times New Roman"/>
          <w:szCs w:val="24"/>
        </w:rPr>
        <w:t>of</w:t>
      </w:r>
      <w:r w:rsidRPr="00677BAB" w:rsidR="00A76034">
        <w:rPr>
          <w:rFonts w:ascii="Times New Roman" w:hAnsi="Times New Roman"/>
          <w:szCs w:val="24"/>
        </w:rPr>
        <w:t xml:space="preserve"> </w:t>
      </w:r>
      <w:r w:rsidRPr="00677BAB" w:rsidR="001412C2">
        <w:rPr>
          <w:rFonts w:ascii="Times New Roman" w:hAnsi="Times New Roman"/>
          <w:szCs w:val="24"/>
        </w:rPr>
        <w:t>February 2</w:t>
      </w:r>
      <w:r w:rsidRPr="00677BAB" w:rsidR="004A3186">
        <w:rPr>
          <w:rFonts w:ascii="Times New Roman" w:hAnsi="Times New Roman"/>
          <w:szCs w:val="24"/>
        </w:rPr>
        <w:t>3</w:t>
      </w:r>
      <w:r w:rsidRPr="00677BAB" w:rsidR="001412C2">
        <w:rPr>
          <w:rFonts w:ascii="Times New Roman" w:hAnsi="Times New Roman"/>
          <w:szCs w:val="24"/>
        </w:rPr>
        <w:t>, 2021</w:t>
      </w:r>
      <w:r w:rsidRPr="00677BAB" w:rsidR="00A76034">
        <w:rPr>
          <w:rFonts w:ascii="Times New Roman" w:hAnsi="Times New Roman"/>
          <w:szCs w:val="24"/>
        </w:rPr>
        <w:t xml:space="preserve"> </w:t>
      </w:r>
      <w:r w:rsidRPr="00677BAB" w:rsidR="006F52A6">
        <w:rPr>
          <w:rFonts w:ascii="Times New Roman" w:hAnsi="Times New Roman"/>
          <w:szCs w:val="24"/>
        </w:rPr>
        <w:t>(</w:t>
      </w:r>
      <w:r w:rsidRPr="00677BAB" w:rsidR="00A860DC">
        <w:rPr>
          <w:rFonts w:ascii="Times New Roman" w:hAnsi="Times New Roman"/>
          <w:szCs w:val="24"/>
        </w:rPr>
        <w:t>86 FR 10972</w:t>
      </w:r>
      <w:r w:rsidRPr="00677BAB" w:rsidR="006F52A6">
        <w:rPr>
          <w:rFonts w:ascii="Times New Roman" w:hAnsi="Times New Roman"/>
          <w:szCs w:val="24"/>
        </w:rPr>
        <w:t>)</w:t>
      </w:r>
      <w:r w:rsidRPr="00677BAB" w:rsidR="00892703">
        <w:rPr>
          <w:rFonts w:ascii="Times New Roman" w:hAnsi="Times New Roman"/>
          <w:szCs w:val="24"/>
        </w:rPr>
        <w:t>.</w:t>
      </w:r>
      <w:r w:rsidR="00550295">
        <w:rPr>
          <w:rFonts w:ascii="Times New Roman" w:hAnsi="Times New Roman"/>
          <w:szCs w:val="24"/>
        </w:rPr>
        <w:t xml:space="preserve">  No comments were received.</w:t>
      </w:r>
    </w:p>
    <w:p w:rsidRPr="00677BAB" w:rsidR="00892703" w:rsidP="00677BAB" w:rsidRDefault="00892703" w14:paraId="27A22062" w14:textId="77777777">
      <w:pPr>
        <w:rPr>
          <w:rFonts w:ascii="Times New Roman" w:hAnsi="Times New Roman"/>
          <w:szCs w:val="24"/>
        </w:rPr>
      </w:pPr>
      <w:bookmarkStart w:name="sec301" w:id="0"/>
      <w:bookmarkEnd w:id="0"/>
    </w:p>
    <w:p w:rsidRPr="00677BAB" w:rsidR="00892703" w:rsidP="00677BAB" w:rsidRDefault="00AD4FBB" w14:paraId="11C10EC5" w14:textId="5C68E3C7">
      <w:pPr>
        <w:rPr>
          <w:rFonts w:ascii="Times New Roman" w:hAnsi="Times New Roman"/>
          <w:szCs w:val="24"/>
        </w:rPr>
      </w:pPr>
      <w:r>
        <w:rPr>
          <w:rFonts w:ascii="Times New Roman" w:hAnsi="Times New Roman"/>
          <w:szCs w:val="24"/>
        </w:rPr>
        <w:br w:type="page"/>
      </w:r>
      <w:r w:rsidRPr="00677BAB" w:rsidR="00892703">
        <w:rPr>
          <w:rFonts w:ascii="Times New Roman" w:hAnsi="Times New Roman"/>
          <w:szCs w:val="24"/>
        </w:rPr>
        <w:lastRenderedPageBreak/>
        <w:t>9.</w:t>
      </w:r>
      <w:r w:rsidR="00550295">
        <w:rPr>
          <w:rFonts w:ascii="Times New Roman" w:hAnsi="Times New Roman"/>
          <w:szCs w:val="24"/>
        </w:rPr>
        <w:t xml:space="preserve">  </w:t>
      </w:r>
      <w:r w:rsidRPr="00550295" w:rsidR="00892703">
        <w:rPr>
          <w:rFonts w:ascii="Times New Roman" w:hAnsi="Times New Roman"/>
          <w:szCs w:val="24"/>
          <w:u w:val="single"/>
        </w:rPr>
        <w:t>Explanation of Any Payment or Gift to Respondents</w:t>
      </w:r>
    </w:p>
    <w:p w:rsidRPr="00677BAB" w:rsidR="00892703" w:rsidP="00677BAB" w:rsidRDefault="00892703" w14:paraId="366053C3" w14:textId="77777777">
      <w:pPr>
        <w:rPr>
          <w:rFonts w:ascii="Times New Roman" w:hAnsi="Times New Roman"/>
          <w:szCs w:val="24"/>
        </w:rPr>
      </w:pPr>
    </w:p>
    <w:p w:rsidRPr="00677BAB" w:rsidR="00892703" w:rsidP="00677BAB" w:rsidRDefault="00892703" w14:paraId="287A4286" w14:textId="77777777">
      <w:pPr>
        <w:rPr>
          <w:rFonts w:ascii="Times New Roman" w:hAnsi="Times New Roman"/>
          <w:szCs w:val="24"/>
        </w:rPr>
      </w:pPr>
      <w:r w:rsidRPr="00677BAB">
        <w:rPr>
          <w:rFonts w:ascii="Times New Roman" w:hAnsi="Times New Roman"/>
          <w:szCs w:val="24"/>
        </w:rPr>
        <w:t>No payment or gifts shall be provided to respondents under this regulation.</w:t>
      </w:r>
    </w:p>
    <w:p w:rsidRPr="00677BAB" w:rsidR="00892703" w:rsidP="00677BAB" w:rsidRDefault="00892703" w14:paraId="7556CA9F" w14:textId="77777777">
      <w:pPr>
        <w:rPr>
          <w:rFonts w:ascii="Times New Roman" w:hAnsi="Times New Roman"/>
          <w:szCs w:val="24"/>
        </w:rPr>
      </w:pPr>
    </w:p>
    <w:p w:rsidRPr="00677BAB" w:rsidR="00892703" w:rsidP="00677BAB" w:rsidRDefault="00892703" w14:paraId="1DA81B97" w14:textId="7ED3B37E">
      <w:pPr>
        <w:rPr>
          <w:rFonts w:ascii="Times New Roman" w:hAnsi="Times New Roman"/>
          <w:szCs w:val="24"/>
        </w:rPr>
      </w:pPr>
      <w:r w:rsidRPr="00677BAB">
        <w:rPr>
          <w:rFonts w:ascii="Times New Roman" w:hAnsi="Times New Roman"/>
          <w:szCs w:val="24"/>
        </w:rPr>
        <w:t>10.</w:t>
      </w:r>
      <w:r w:rsidR="00550295">
        <w:rPr>
          <w:rFonts w:ascii="Times New Roman" w:hAnsi="Times New Roman"/>
          <w:szCs w:val="24"/>
        </w:rPr>
        <w:t xml:space="preserve">  </w:t>
      </w:r>
      <w:r w:rsidRPr="00550295">
        <w:rPr>
          <w:rFonts w:ascii="Times New Roman" w:hAnsi="Times New Roman"/>
          <w:szCs w:val="24"/>
          <w:u w:val="single"/>
        </w:rPr>
        <w:t>Assurance of Confidentiality Provided to Respondent</w:t>
      </w:r>
      <w:r w:rsidRPr="00550295" w:rsidR="00657222">
        <w:rPr>
          <w:rFonts w:ascii="Times New Roman" w:hAnsi="Times New Roman"/>
          <w:szCs w:val="24"/>
          <w:u w:val="single"/>
        </w:rPr>
        <w:t>s</w:t>
      </w:r>
    </w:p>
    <w:p w:rsidRPr="00677BAB" w:rsidR="00892703" w:rsidP="00677BAB" w:rsidRDefault="00892703" w14:paraId="55374400" w14:textId="77777777">
      <w:pPr>
        <w:rPr>
          <w:rFonts w:ascii="Times New Roman" w:hAnsi="Times New Roman"/>
          <w:szCs w:val="24"/>
        </w:rPr>
      </w:pPr>
    </w:p>
    <w:p w:rsidR="001F64EC" w:rsidP="00677BAB" w:rsidRDefault="00550295" w14:paraId="27EC2054" w14:textId="24E760DD">
      <w:pPr>
        <w:rPr>
          <w:rFonts w:ascii="Times New Roman" w:hAnsi="Times New Roman"/>
          <w:szCs w:val="24"/>
        </w:rPr>
      </w:pPr>
      <w:r w:rsidRPr="00550295">
        <w:rPr>
          <w:rFonts w:ascii="Times New Roman" w:hAnsi="Times New Roman"/>
          <w:szCs w:val="24"/>
        </w:rPr>
        <w:t xml:space="preserve">In preparing this </w:t>
      </w:r>
      <w:r>
        <w:rPr>
          <w:rFonts w:ascii="Times New Roman" w:hAnsi="Times New Roman"/>
          <w:szCs w:val="24"/>
        </w:rPr>
        <w:t>s</w:t>
      </w:r>
      <w:r w:rsidRPr="00550295">
        <w:rPr>
          <w:rFonts w:ascii="Times New Roman" w:hAnsi="Times New Roman"/>
          <w:szCs w:val="24"/>
        </w:rPr>
        <w:t xml:space="preserve">upporting </w:t>
      </w:r>
      <w:r>
        <w:rPr>
          <w:rFonts w:ascii="Times New Roman" w:hAnsi="Times New Roman"/>
          <w:szCs w:val="24"/>
        </w:rPr>
        <w:t>s</w:t>
      </w:r>
      <w:r w:rsidRPr="00550295">
        <w:rPr>
          <w:rFonts w:ascii="Times New Roman" w:hAnsi="Times New Roman"/>
          <w:szCs w:val="24"/>
        </w:rPr>
        <w:t xml:space="preserve">tatement, </w:t>
      </w:r>
      <w:r>
        <w:rPr>
          <w:rFonts w:ascii="Times New Roman" w:hAnsi="Times New Roman"/>
          <w:szCs w:val="24"/>
        </w:rPr>
        <w:t xml:space="preserve">we </w:t>
      </w:r>
      <w:r w:rsidRPr="00550295">
        <w:rPr>
          <w:rFonts w:ascii="Times New Roman" w:hAnsi="Times New Roman"/>
          <w:szCs w:val="24"/>
        </w:rPr>
        <w:t xml:space="preserve">consulted </w:t>
      </w:r>
      <w:r>
        <w:rPr>
          <w:rFonts w:ascii="Times New Roman" w:hAnsi="Times New Roman"/>
          <w:szCs w:val="24"/>
        </w:rPr>
        <w:t xml:space="preserve">our </w:t>
      </w:r>
      <w:r w:rsidRPr="00550295">
        <w:rPr>
          <w:rFonts w:ascii="Times New Roman" w:hAnsi="Times New Roman"/>
          <w:szCs w:val="24"/>
        </w:rPr>
        <w:t>Privacy Office to ensure appropriate handling of information collected.</w:t>
      </w:r>
      <w:r>
        <w:rPr>
          <w:rFonts w:ascii="Times New Roman" w:hAnsi="Times New Roman"/>
          <w:szCs w:val="24"/>
        </w:rPr>
        <w:t xml:space="preserve">  We have minimized personally identifiable information (PII) collected </w:t>
      </w:r>
      <w:r w:rsidRPr="00550295">
        <w:rPr>
          <w:rFonts w:ascii="Times New Roman" w:hAnsi="Times New Roman"/>
          <w:szCs w:val="24"/>
        </w:rPr>
        <w:t>to protect the privacy of individuals.</w:t>
      </w:r>
      <w:r>
        <w:rPr>
          <w:rFonts w:ascii="Times New Roman" w:hAnsi="Times New Roman"/>
          <w:szCs w:val="24"/>
        </w:rPr>
        <w:t xml:space="preserve">  The information collection </w:t>
      </w:r>
      <w:r w:rsidR="0048006F">
        <w:rPr>
          <w:rFonts w:ascii="Times New Roman" w:hAnsi="Times New Roman"/>
          <w:szCs w:val="24"/>
        </w:rPr>
        <w:t xml:space="preserve">includes PII pertaining to </w:t>
      </w:r>
      <w:r w:rsidRPr="00677BAB" w:rsidR="001F64EC">
        <w:rPr>
          <w:rFonts w:ascii="Times New Roman" w:hAnsi="Times New Roman"/>
          <w:szCs w:val="24"/>
        </w:rPr>
        <w:t>name, phone number, email address, fax number, and address</w:t>
      </w:r>
      <w:r w:rsidR="0048006F">
        <w:rPr>
          <w:rFonts w:ascii="Times New Roman" w:hAnsi="Times New Roman"/>
          <w:szCs w:val="24"/>
        </w:rPr>
        <w:t xml:space="preserve"> and </w:t>
      </w:r>
      <w:r w:rsidRPr="00677BAB" w:rsidR="001F64EC">
        <w:rPr>
          <w:rFonts w:ascii="Times New Roman" w:hAnsi="Times New Roman"/>
          <w:szCs w:val="24"/>
        </w:rPr>
        <w:t>is collected in the context of the subject individuals’ professional capacity and the FDA-related work they perform for their employer (e.g., point of contact at a regulated entity).</w:t>
      </w:r>
      <w:r w:rsidR="0048006F">
        <w:rPr>
          <w:rFonts w:ascii="Times New Roman" w:hAnsi="Times New Roman"/>
          <w:szCs w:val="24"/>
        </w:rPr>
        <w:t xml:space="preserve">  We have </w:t>
      </w:r>
      <w:r w:rsidRPr="00677BAB" w:rsidR="001F64EC">
        <w:rPr>
          <w:rFonts w:ascii="Times New Roman" w:hAnsi="Times New Roman"/>
          <w:szCs w:val="24"/>
        </w:rPr>
        <w:t>determined that</w:t>
      </w:r>
      <w:r w:rsidR="0048006F">
        <w:rPr>
          <w:rFonts w:ascii="Times New Roman" w:hAnsi="Times New Roman"/>
          <w:szCs w:val="24"/>
        </w:rPr>
        <w:t>,</w:t>
      </w:r>
      <w:r w:rsidRPr="00677BAB" w:rsidR="001F64EC">
        <w:rPr>
          <w:rFonts w:ascii="Times New Roman" w:hAnsi="Times New Roman"/>
          <w:szCs w:val="24"/>
        </w:rPr>
        <w:t xml:space="preserve"> although PII is collected</w:t>
      </w:r>
      <w:r w:rsidR="0048006F">
        <w:rPr>
          <w:rFonts w:ascii="Times New Roman" w:hAnsi="Times New Roman"/>
          <w:szCs w:val="24"/>
        </w:rPr>
        <w:t>,</w:t>
      </w:r>
      <w:r w:rsidRPr="00677BAB" w:rsidR="001F64EC">
        <w:rPr>
          <w:rFonts w:ascii="Times New Roman" w:hAnsi="Times New Roman"/>
          <w:szCs w:val="24"/>
        </w:rPr>
        <w:t xml:space="preserve"> the collection is not subject to the Privacy Act of 1974 and the particular notice and other requirements of the Act do not apply.</w:t>
      </w:r>
      <w:r w:rsidR="0048006F">
        <w:rPr>
          <w:rFonts w:ascii="Times New Roman" w:hAnsi="Times New Roman"/>
          <w:szCs w:val="24"/>
        </w:rPr>
        <w:t xml:space="preserve">  </w:t>
      </w:r>
      <w:r w:rsidRPr="00677BAB" w:rsidR="001F64EC">
        <w:rPr>
          <w:rFonts w:ascii="Times New Roman" w:hAnsi="Times New Roman"/>
          <w:szCs w:val="24"/>
        </w:rPr>
        <w:t>Specifically, FDA does not use name or any other personal identifier to routinely retrieve records from the information collected.</w:t>
      </w:r>
    </w:p>
    <w:p w:rsidRPr="00677BAB" w:rsidR="00550295" w:rsidP="00677BAB" w:rsidRDefault="00550295" w14:paraId="3B000A6B" w14:textId="77777777">
      <w:pPr>
        <w:rPr>
          <w:rFonts w:ascii="Times New Roman" w:hAnsi="Times New Roman"/>
          <w:szCs w:val="24"/>
        </w:rPr>
      </w:pPr>
    </w:p>
    <w:p w:rsidRPr="00677BAB" w:rsidR="001F64EC" w:rsidP="00677BAB" w:rsidRDefault="001F64EC" w14:paraId="45A7089C" w14:textId="77777777">
      <w:pPr>
        <w:rPr>
          <w:rFonts w:ascii="Times New Roman" w:hAnsi="Times New Roman"/>
          <w:szCs w:val="24"/>
        </w:rPr>
      </w:pPr>
      <w:r w:rsidRPr="00677BAB">
        <w:rPr>
          <w:rFonts w:ascii="Times New Roman" w:hAnsi="Times New Roman"/>
          <w:szCs w:val="24"/>
        </w:rPr>
        <w:t xml:space="preserve">Recognizing that some of the information collected may be commercially confidential, it will be subject to protections outlined in section 301(j) of the FD&amp;C Act (21 U.S.C. 331(j)), which, among other things, prohibits employees of the FDA from revealing trade secrets (http://www.fda.gov/opacom/laws/fdcact/fdcact3.htm). Before sharing information from this data collection with other federal agencies, verification of appropriate sharing agreements will be made.  Also, the information is subject to the exemption under the Freedom of Information Act (FOI) requirements with the applicable limitations on exemptions disclosure for Federal, State, and local governments. </w:t>
      </w:r>
    </w:p>
    <w:p w:rsidRPr="00677BAB" w:rsidR="001F64EC" w:rsidP="00677BAB" w:rsidRDefault="001F64EC" w14:paraId="34022A9B" w14:textId="77777777">
      <w:pPr>
        <w:rPr>
          <w:rFonts w:ascii="Times New Roman" w:hAnsi="Times New Roman"/>
          <w:szCs w:val="24"/>
        </w:rPr>
      </w:pPr>
    </w:p>
    <w:p w:rsidRPr="00677BAB" w:rsidR="003B0A72" w:rsidP="00677BAB" w:rsidRDefault="001F64EC" w14:paraId="1E2F0858" w14:textId="52293F4B">
      <w:pPr>
        <w:rPr>
          <w:rFonts w:ascii="Times New Roman" w:hAnsi="Times New Roman"/>
          <w:szCs w:val="24"/>
        </w:rPr>
      </w:pPr>
      <w:r w:rsidRPr="00677BAB">
        <w:rPr>
          <w:rFonts w:ascii="Times New Roman" w:hAnsi="Times New Roman"/>
          <w:szCs w:val="24"/>
        </w:rPr>
        <w:t>To further assure commercial confidentiality, data access is restricted to CDRH staff engaged in the public health response to a shortage with a need to know. This named group, typically fewer than 10 people, is permitted to use the data only for decision making and planning in the context of a shortage or potential shortage, an official emergency-preparedness exercise, or an actual or potential public health risk posed by non-disaster-related device shortage.</w:t>
      </w:r>
    </w:p>
    <w:p w:rsidRPr="00677BAB" w:rsidR="003B0A72" w:rsidP="00677BAB" w:rsidRDefault="003B0A72" w14:paraId="64758A72" w14:textId="77777777">
      <w:pPr>
        <w:rPr>
          <w:rFonts w:ascii="Times New Roman" w:hAnsi="Times New Roman"/>
          <w:szCs w:val="24"/>
        </w:rPr>
      </w:pPr>
    </w:p>
    <w:p w:rsidRPr="00677BAB" w:rsidR="00892703" w:rsidP="00677BAB" w:rsidRDefault="00892703" w14:paraId="4CE2ECAA" w14:textId="3A2EFEAC">
      <w:pPr>
        <w:rPr>
          <w:rFonts w:ascii="Times New Roman" w:hAnsi="Times New Roman"/>
          <w:szCs w:val="24"/>
        </w:rPr>
      </w:pPr>
      <w:r w:rsidRPr="00677BAB">
        <w:rPr>
          <w:rFonts w:ascii="Times New Roman" w:hAnsi="Times New Roman"/>
          <w:szCs w:val="24"/>
        </w:rPr>
        <w:t>11.</w:t>
      </w:r>
      <w:r w:rsidR="0048006F">
        <w:rPr>
          <w:rFonts w:ascii="Times New Roman" w:hAnsi="Times New Roman"/>
          <w:szCs w:val="24"/>
        </w:rPr>
        <w:t xml:space="preserve">  </w:t>
      </w:r>
      <w:r w:rsidRPr="0048006F">
        <w:rPr>
          <w:rFonts w:ascii="Times New Roman" w:hAnsi="Times New Roman"/>
          <w:szCs w:val="24"/>
          <w:u w:val="single"/>
        </w:rPr>
        <w:t>Justification for Sensitive Questions</w:t>
      </w:r>
    </w:p>
    <w:p w:rsidRPr="00677BAB" w:rsidR="00892703" w:rsidP="00677BAB" w:rsidRDefault="00892703" w14:paraId="389E26FA" w14:textId="77777777">
      <w:pPr>
        <w:rPr>
          <w:rFonts w:ascii="Times New Roman" w:hAnsi="Times New Roman"/>
          <w:szCs w:val="24"/>
        </w:rPr>
      </w:pPr>
    </w:p>
    <w:p w:rsidRPr="00677BAB" w:rsidR="00892703" w:rsidP="00677BAB" w:rsidRDefault="00B006AA" w14:paraId="264A09E8" w14:textId="77777777">
      <w:pPr>
        <w:rPr>
          <w:rFonts w:ascii="Times New Roman" w:hAnsi="Times New Roman"/>
          <w:szCs w:val="24"/>
        </w:rPr>
      </w:pPr>
      <w:r w:rsidRPr="00677BAB">
        <w:rPr>
          <w:rFonts w:ascii="Times New Roman" w:hAnsi="Times New Roman"/>
          <w:szCs w:val="24"/>
        </w:rPr>
        <w:t>This information collection does not include questions about sexual behavior, attitude, religious beliefs, or any other matters that are commonly considered private or sensitive in nature.</w:t>
      </w:r>
    </w:p>
    <w:p w:rsidRPr="00677BAB" w:rsidR="00892703" w:rsidP="00677BAB" w:rsidRDefault="00892703" w14:paraId="016ACEE5" w14:textId="77777777">
      <w:pPr>
        <w:rPr>
          <w:rFonts w:ascii="Times New Roman" w:hAnsi="Times New Roman"/>
          <w:szCs w:val="24"/>
        </w:rPr>
      </w:pPr>
    </w:p>
    <w:p w:rsidR="00AD4FBB" w:rsidRDefault="00AD4FBB" w14:paraId="7AD80404" w14:textId="77777777">
      <w:pPr>
        <w:rPr>
          <w:rFonts w:ascii="Times New Roman" w:hAnsi="Times New Roman"/>
          <w:szCs w:val="24"/>
        </w:rPr>
      </w:pPr>
      <w:r>
        <w:rPr>
          <w:rFonts w:ascii="Times New Roman" w:hAnsi="Times New Roman"/>
          <w:szCs w:val="24"/>
        </w:rPr>
        <w:br w:type="page"/>
      </w:r>
    </w:p>
    <w:p w:rsidRPr="00677BAB" w:rsidR="00892703" w:rsidP="00677BAB" w:rsidRDefault="00892703" w14:paraId="798FD0D9" w14:textId="429C222E">
      <w:pPr>
        <w:rPr>
          <w:rFonts w:ascii="Times New Roman" w:hAnsi="Times New Roman"/>
          <w:szCs w:val="24"/>
        </w:rPr>
      </w:pPr>
      <w:r w:rsidRPr="00677BAB">
        <w:rPr>
          <w:rFonts w:ascii="Times New Roman" w:hAnsi="Times New Roman"/>
          <w:szCs w:val="24"/>
        </w:rPr>
        <w:lastRenderedPageBreak/>
        <w:t>12.</w:t>
      </w:r>
      <w:r w:rsidR="0048006F">
        <w:rPr>
          <w:rFonts w:ascii="Times New Roman" w:hAnsi="Times New Roman"/>
          <w:szCs w:val="24"/>
        </w:rPr>
        <w:t xml:space="preserve">  </w:t>
      </w:r>
      <w:r w:rsidRPr="0048006F">
        <w:rPr>
          <w:rFonts w:ascii="Times New Roman" w:hAnsi="Times New Roman"/>
          <w:szCs w:val="24"/>
          <w:u w:val="single"/>
        </w:rPr>
        <w:t>Estimate</w:t>
      </w:r>
      <w:r w:rsidRPr="0048006F" w:rsidR="00B006AA">
        <w:rPr>
          <w:rFonts w:ascii="Times New Roman" w:hAnsi="Times New Roman"/>
          <w:szCs w:val="24"/>
          <w:u w:val="single"/>
        </w:rPr>
        <w:t>s</w:t>
      </w:r>
      <w:r w:rsidRPr="0048006F">
        <w:rPr>
          <w:rFonts w:ascii="Times New Roman" w:hAnsi="Times New Roman"/>
          <w:szCs w:val="24"/>
          <w:u w:val="single"/>
        </w:rPr>
        <w:t xml:space="preserve"> of </w:t>
      </w:r>
      <w:r w:rsidRPr="0048006F" w:rsidR="00B006AA">
        <w:rPr>
          <w:rFonts w:ascii="Times New Roman" w:hAnsi="Times New Roman"/>
          <w:szCs w:val="24"/>
          <w:u w:val="single"/>
        </w:rPr>
        <w:t xml:space="preserve">Annualized </w:t>
      </w:r>
      <w:r w:rsidRPr="0048006F">
        <w:rPr>
          <w:rFonts w:ascii="Times New Roman" w:hAnsi="Times New Roman"/>
          <w:szCs w:val="24"/>
          <w:u w:val="single"/>
        </w:rPr>
        <w:t xml:space="preserve">Burden </w:t>
      </w:r>
      <w:r w:rsidRPr="0048006F" w:rsidR="00B006AA">
        <w:rPr>
          <w:rFonts w:ascii="Times New Roman" w:hAnsi="Times New Roman"/>
          <w:szCs w:val="24"/>
          <w:u w:val="single"/>
        </w:rPr>
        <w:t>Hours and</w:t>
      </w:r>
      <w:r w:rsidRPr="0048006F">
        <w:rPr>
          <w:rFonts w:ascii="Times New Roman" w:hAnsi="Times New Roman"/>
          <w:szCs w:val="24"/>
          <w:u w:val="single"/>
        </w:rPr>
        <w:t xml:space="preserve"> Costs</w:t>
      </w:r>
    </w:p>
    <w:p w:rsidR="0048006F" w:rsidP="00677BAB" w:rsidRDefault="0048006F" w14:paraId="300380A3" w14:textId="77777777">
      <w:pPr>
        <w:rPr>
          <w:rFonts w:ascii="Times New Roman" w:hAnsi="Times New Roman"/>
          <w:szCs w:val="24"/>
        </w:rPr>
      </w:pPr>
    </w:p>
    <w:p w:rsidRPr="0048006F" w:rsidR="00BF18BC" w:rsidP="00677BAB" w:rsidRDefault="0048006F" w14:paraId="46B9BDD2" w14:textId="47E4BB73">
      <w:pPr>
        <w:rPr>
          <w:rFonts w:ascii="Times New Roman" w:hAnsi="Times New Roman"/>
          <w:i/>
          <w:iCs/>
          <w:szCs w:val="24"/>
        </w:rPr>
      </w:pPr>
      <w:r>
        <w:rPr>
          <w:rFonts w:ascii="Times New Roman" w:hAnsi="Times New Roman"/>
          <w:szCs w:val="24"/>
        </w:rPr>
        <w:tab/>
      </w:r>
      <w:r w:rsidRPr="0048006F" w:rsidR="00B006AA">
        <w:rPr>
          <w:rFonts w:ascii="Times New Roman" w:hAnsi="Times New Roman"/>
          <w:i/>
          <w:iCs/>
          <w:szCs w:val="24"/>
        </w:rPr>
        <w:t>12a. Annualized Hour Burden Estimate</w:t>
      </w:r>
    </w:p>
    <w:p w:rsidRPr="00677BAB" w:rsidR="00BF18BC" w:rsidP="00677BAB" w:rsidRDefault="00BF18BC" w14:paraId="3C2B7657" w14:textId="77777777">
      <w:pPr>
        <w:rPr>
          <w:rFonts w:ascii="Times New Roman" w:hAnsi="Times New Roman"/>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0"/>
        <w:gridCol w:w="1482"/>
        <w:gridCol w:w="1308"/>
        <w:gridCol w:w="1221"/>
        <w:gridCol w:w="1221"/>
        <w:gridCol w:w="960"/>
      </w:tblGrid>
      <w:tr w:rsidRPr="006926D4" w:rsidR="00B92112" w:rsidTr="00B92112" w14:paraId="0FDD6508" w14:textId="77777777">
        <w:trPr>
          <w:cantSplit/>
          <w:trHeight w:val="20"/>
          <w:tblHeader/>
        </w:trPr>
        <w:tc>
          <w:tcPr>
            <w:tcW w:w="5000" w:type="pct"/>
            <w:gridSpan w:val="6"/>
            <w:tcBorders>
              <w:top w:val="nil"/>
              <w:left w:val="nil"/>
              <w:bottom w:val="single" w:color="auto" w:sz="4" w:space="0"/>
              <w:right w:val="nil"/>
            </w:tcBorders>
            <w:shd w:val="clear" w:color="auto" w:fill="auto"/>
          </w:tcPr>
          <w:p w:rsidRPr="006926D4" w:rsidR="00B92112" w:rsidP="003C1839" w:rsidRDefault="00B92112" w14:paraId="6B5DFDC5" w14:textId="77777777">
            <w:pPr>
              <w:jc w:val="center"/>
              <w:rPr>
                <w:rFonts w:ascii="Times New Roman" w:hAnsi="Times New Roman"/>
                <w:sz w:val="22"/>
                <w:szCs w:val="22"/>
              </w:rPr>
            </w:pPr>
            <w:r w:rsidRPr="006926D4">
              <w:rPr>
                <w:rFonts w:ascii="Times New Roman" w:hAnsi="Times New Roman"/>
                <w:sz w:val="22"/>
                <w:szCs w:val="22"/>
              </w:rPr>
              <w:t>Table 1.--Estimated Annual Reporting Burden</w:t>
            </w:r>
            <w:r w:rsidRPr="006926D4">
              <w:rPr>
                <w:rFonts w:ascii="Times New Roman" w:hAnsi="Times New Roman"/>
                <w:sz w:val="22"/>
                <w:szCs w:val="22"/>
                <w:vertAlign w:val="superscript"/>
              </w:rPr>
              <w:t>1</w:t>
            </w:r>
          </w:p>
        </w:tc>
      </w:tr>
      <w:tr w:rsidRPr="006926D4" w:rsidR="00B92112" w:rsidTr="0066787E" w14:paraId="2574D280" w14:textId="77777777">
        <w:tblPrEx>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1587" w:type="pct"/>
            <w:tcBorders>
              <w:top w:val="single" w:color="auto" w:sz="2" w:space="0"/>
              <w:left w:val="single" w:color="auto" w:sz="2" w:space="0"/>
              <w:bottom w:val="single" w:color="auto" w:sz="2" w:space="0"/>
              <w:right w:val="single" w:color="auto" w:sz="2" w:space="0"/>
            </w:tcBorders>
          </w:tcPr>
          <w:p w:rsidRPr="006926D4" w:rsidR="00B92112" w:rsidP="0066787E" w:rsidRDefault="00B92112" w14:paraId="3B799E20" w14:textId="77777777">
            <w:pPr>
              <w:jc w:val="center"/>
              <w:rPr>
                <w:rFonts w:ascii="Times New Roman" w:hAnsi="Times New Roman"/>
                <w:sz w:val="22"/>
                <w:szCs w:val="22"/>
              </w:rPr>
            </w:pPr>
            <w:r w:rsidRPr="006926D4">
              <w:rPr>
                <w:rFonts w:ascii="Times New Roman" w:hAnsi="Times New Roman"/>
                <w:sz w:val="22"/>
                <w:szCs w:val="22"/>
              </w:rPr>
              <w:t>Activity</w:t>
            </w:r>
          </w:p>
        </w:tc>
        <w:tc>
          <w:tcPr>
            <w:tcW w:w="817" w:type="pct"/>
            <w:tcBorders>
              <w:top w:val="single" w:color="auto" w:sz="2" w:space="0"/>
              <w:left w:val="single" w:color="auto" w:sz="2" w:space="0"/>
              <w:bottom w:val="single" w:color="auto" w:sz="2" w:space="0"/>
              <w:right w:val="single" w:color="auto" w:sz="2" w:space="0"/>
            </w:tcBorders>
          </w:tcPr>
          <w:p w:rsidRPr="006926D4" w:rsidR="00B92112" w:rsidP="0066787E" w:rsidRDefault="00B92112" w14:paraId="43B410A2" w14:textId="77777777">
            <w:pPr>
              <w:jc w:val="center"/>
              <w:rPr>
                <w:rFonts w:ascii="Times New Roman" w:hAnsi="Times New Roman"/>
                <w:sz w:val="22"/>
                <w:szCs w:val="22"/>
              </w:rPr>
            </w:pPr>
            <w:r w:rsidRPr="006926D4">
              <w:rPr>
                <w:rFonts w:ascii="Times New Roman" w:hAnsi="Times New Roman"/>
                <w:sz w:val="22"/>
                <w:szCs w:val="22"/>
              </w:rPr>
              <w:t>No. of Respondents</w:t>
            </w:r>
          </w:p>
        </w:tc>
        <w:tc>
          <w:tcPr>
            <w:tcW w:w="721" w:type="pct"/>
            <w:tcBorders>
              <w:top w:val="single" w:color="auto" w:sz="2" w:space="0"/>
              <w:left w:val="single" w:color="auto" w:sz="2" w:space="0"/>
              <w:bottom w:val="single" w:color="auto" w:sz="2" w:space="0"/>
              <w:right w:val="single" w:color="auto" w:sz="2" w:space="0"/>
            </w:tcBorders>
          </w:tcPr>
          <w:p w:rsidRPr="006926D4" w:rsidR="00B92112" w:rsidP="0066787E" w:rsidRDefault="00B92112" w14:paraId="6DEEFCFA" w14:textId="3843734E">
            <w:pPr>
              <w:jc w:val="center"/>
              <w:rPr>
                <w:rFonts w:ascii="Times New Roman" w:hAnsi="Times New Roman"/>
                <w:sz w:val="22"/>
                <w:szCs w:val="22"/>
              </w:rPr>
            </w:pPr>
            <w:r w:rsidRPr="006926D4">
              <w:rPr>
                <w:rFonts w:ascii="Times New Roman" w:hAnsi="Times New Roman"/>
                <w:sz w:val="22"/>
                <w:szCs w:val="22"/>
              </w:rPr>
              <w:t>No. of Responses per Respondent</w:t>
            </w:r>
          </w:p>
        </w:tc>
        <w:tc>
          <w:tcPr>
            <w:tcW w:w="673" w:type="pct"/>
            <w:tcBorders>
              <w:top w:val="single" w:color="auto" w:sz="2" w:space="0"/>
              <w:left w:val="single" w:color="auto" w:sz="2" w:space="0"/>
              <w:bottom w:val="single" w:color="auto" w:sz="2" w:space="0"/>
              <w:right w:val="single" w:color="auto" w:sz="2" w:space="0"/>
            </w:tcBorders>
          </w:tcPr>
          <w:p w:rsidRPr="006926D4" w:rsidR="00B92112" w:rsidP="0066787E" w:rsidRDefault="00B92112" w14:paraId="046BF2C4" w14:textId="77777777">
            <w:pPr>
              <w:jc w:val="center"/>
              <w:rPr>
                <w:rFonts w:ascii="Times New Roman" w:hAnsi="Times New Roman"/>
                <w:sz w:val="22"/>
                <w:szCs w:val="22"/>
              </w:rPr>
            </w:pPr>
            <w:r w:rsidRPr="006926D4">
              <w:rPr>
                <w:rFonts w:ascii="Times New Roman" w:hAnsi="Times New Roman"/>
                <w:sz w:val="22"/>
                <w:szCs w:val="22"/>
              </w:rPr>
              <w:t>Total Annual Responses</w:t>
            </w:r>
          </w:p>
        </w:tc>
        <w:tc>
          <w:tcPr>
            <w:tcW w:w="673" w:type="pct"/>
            <w:tcBorders>
              <w:top w:val="single" w:color="auto" w:sz="2" w:space="0"/>
              <w:left w:val="single" w:color="auto" w:sz="2" w:space="0"/>
              <w:bottom w:val="single" w:color="auto" w:sz="2" w:space="0"/>
              <w:right w:val="single" w:color="auto" w:sz="2" w:space="0"/>
            </w:tcBorders>
          </w:tcPr>
          <w:p w:rsidRPr="006926D4" w:rsidR="00B92112" w:rsidP="0066787E" w:rsidRDefault="00B92112" w14:paraId="3C4D0B11" w14:textId="77777777">
            <w:pPr>
              <w:jc w:val="center"/>
              <w:rPr>
                <w:rFonts w:ascii="Times New Roman" w:hAnsi="Times New Roman"/>
                <w:sz w:val="22"/>
                <w:szCs w:val="22"/>
              </w:rPr>
            </w:pPr>
            <w:r w:rsidRPr="006926D4">
              <w:rPr>
                <w:rFonts w:ascii="Times New Roman" w:hAnsi="Times New Roman"/>
                <w:sz w:val="22"/>
                <w:szCs w:val="22"/>
              </w:rPr>
              <w:t>Average Burden per Response (hours)</w:t>
            </w:r>
          </w:p>
        </w:tc>
        <w:tc>
          <w:tcPr>
            <w:tcW w:w="529" w:type="pct"/>
            <w:tcBorders>
              <w:top w:val="single" w:color="auto" w:sz="2" w:space="0"/>
              <w:left w:val="single" w:color="auto" w:sz="2" w:space="0"/>
              <w:bottom w:val="single" w:color="auto" w:sz="2" w:space="0"/>
              <w:right w:val="single" w:color="auto" w:sz="2" w:space="0"/>
            </w:tcBorders>
          </w:tcPr>
          <w:p w:rsidRPr="006926D4" w:rsidR="00B92112" w:rsidP="0066787E" w:rsidRDefault="00B92112" w14:paraId="72AE580D" w14:textId="31E1EEF7">
            <w:pPr>
              <w:jc w:val="center"/>
              <w:rPr>
                <w:rFonts w:ascii="Times New Roman" w:hAnsi="Times New Roman"/>
                <w:sz w:val="22"/>
                <w:szCs w:val="22"/>
              </w:rPr>
            </w:pPr>
            <w:r w:rsidRPr="006926D4">
              <w:rPr>
                <w:rFonts w:ascii="Times New Roman" w:hAnsi="Times New Roman"/>
                <w:sz w:val="22"/>
                <w:szCs w:val="22"/>
              </w:rPr>
              <w:t>Total Hours</w:t>
            </w:r>
          </w:p>
        </w:tc>
      </w:tr>
      <w:tr w:rsidRPr="006926D4" w:rsidR="00B92112" w:rsidTr="0066787E" w14:paraId="51A52112" w14:textId="77777777">
        <w:tblPrEx>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1587" w:type="pct"/>
            <w:tcBorders>
              <w:top w:val="single" w:color="auto" w:sz="2" w:space="0"/>
              <w:left w:val="single" w:color="auto" w:sz="2" w:space="0"/>
              <w:bottom w:val="single" w:color="auto" w:sz="2" w:space="0"/>
              <w:right w:val="single" w:color="auto" w:sz="2" w:space="0"/>
            </w:tcBorders>
          </w:tcPr>
          <w:p w:rsidRPr="006926D4" w:rsidR="00B92112" w:rsidP="00677BAB" w:rsidRDefault="00B92112" w14:paraId="0DBC4202" w14:textId="77777777">
            <w:pPr>
              <w:rPr>
                <w:rFonts w:ascii="Times New Roman" w:hAnsi="Times New Roman"/>
                <w:sz w:val="22"/>
                <w:szCs w:val="22"/>
              </w:rPr>
            </w:pPr>
            <w:r w:rsidRPr="006926D4">
              <w:rPr>
                <w:rFonts w:ascii="Times New Roman" w:hAnsi="Times New Roman"/>
                <w:sz w:val="22"/>
                <w:szCs w:val="22"/>
              </w:rPr>
              <w:t>Shortages data collection</w:t>
            </w:r>
          </w:p>
        </w:tc>
        <w:tc>
          <w:tcPr>
            <w:tcW w:w="817"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0A3D0179" w14:textId="77777777">
            <w:pPr>
              <w:jc w:val="right"/>
              <w:rPr>
                <w:rFonts w:ascii="Times New Roman" w:hAnsi="Times New Roman"/>
                <w:sz w:val="22"/>
                <w:szCs w:val="22"/>
              </w:rPr>
            </w:pPr>
            <w:r w:rsidRPr="006926D4">
              <w:rPr>
                <w:rFonts w:ascii="Times New Roman" w:hAnsi="Times New Roman"/>
                <w:sz w:val="22"/>
                <w:szCs w:val="22"/>
              </w:rPr>
              <w:t>500</w:t>
            </w:r>
          </w:p>
        </w:tc>
        <w:tc>
          <w:tcPr>
            <w:tcW w:w="721"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616E4204" w14:textId="77777777">
            <w:pPr>
              <w:jc w:val="right"/>
              <w:rPr>
                <w:rFonts w:ascii="Times New Roman" w:hAnsi="Times New Roman"/>
                <w:sz w:val="22"/>
                <w:szCs w:val="22"/>
              </w:rPr>
            </w:pPr>
            <w:r w:rsidRPr="006926D4">
              <w:rPr>
                <w:rFonts w:ascii="Times New Roman" w:hAnsi="Times New Roman"/>
                <w:sz w:val="22"/>
                <w:szCs w:val="22"/>
              </w:rPr>
              <w:t>4</w:t>
            </w:r>
          </w:p>
        </w:tc>
        <w:tc>
          <w:tcPr>
            <w:tcW w:w="673"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5DE78318" w14:textId="77777777">
            <w:pPr>
              <w:jc w:val="right"/>
              <w:rPr>
                <w:rFonts w:ascii="Times New Roman" w:hAnsi="Times New Roman"/>
                <w:sz w:val="22"/>
                <w:szCs w:val="22"/>
              </w:rPr>
            </w:pPr>
            <w:r w:rsidRPr="006926D4">
              <w:rPr>
                <w:rFonts w:ascii="Times New Roman" w:hAnsi="Times New Roman"/>
                <w:sz w:val="22"/>
                <w:szCs w:val="22"/>
              </w:rPr>
              <w:t>2,000</w:t>
            </w:r>
          </w:p>
        </w:tc>
        <w:tc>
          <w:tcPr>
            <w:tcW w:w="673"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159D2249" w14:textId="77777777">
            <w:pPr>
              <w:jc w:val="right"/>
              <w:rPr>
                <w:rFonts w:ascii="Times New Roman" w:hAnsi="Times New Roman"/>
                <w:sz w:val="22"/>
                <w:szCs w:val="22"/>
              </w:rPr>
            </w:pPr>
            <w:r w:rsidRPr="006926D4">
              <w:rPr>
                <w:rFonts w:ascii="Times New Roman" w:hAnsi="Times New Roman"/>
                <w:sz w:val="22"/>
                <w:szCs w:val="22"/>
              </w:rPr>
              <w:t>0.5</w:t>
            </w:r>
          </w:p>
        </w:tc>
        <w:tc>
          <w:tcPr>
            <w:tcW w:w="529"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483919F1" w14:textId="77777777">
            <w:pPr>
              <w:jc w:val="right"/>
              <w:rPr>
                <w:rFonts w:ascii="Times New Roman" w:hAnsi="Times New Roman"/>
                <w:sz w:val="22"/>
                <w:szCs w:val="22"/>
              </w:rPr>
            </w:pPr>
            <w:r w:rsidRPr="006926D4">
              <w:rPr>
                <w:rFonts w:ascii="Times New Roman" w:hAnsi="Times New Roman"/>
                <w:sz w:val="22"/>
                <w:szCs w:val="22"/>
              </w:rPr>
              <w:t>1,000</w:t>
            </w:r>
          </w:p>
        </w:tc>
      </w:tr>
      <w:tr w:rsidRPr="006926D4" w:rsidR="00B92112" w:rsidTr="0066787E" w14:paraId="1E393C21" w14:textId="77777777">
        <w:tblPrEx>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1587" w:type="pct"/>
            <w:tcBorders>
              <w:top w:val="single" w:color="auto" w:sz="2" w:space="0"/>
              <w:left w:val="single" w:color="auto" w:sz="2" w:space="0"/>
              <w:bottom w:val="single" w:color="auto" w:sz="2" w:space="0"/>
              <w:right w:val="single" w:color="auto" w:sz="2" w:space="0"/>
            </w:tcBorders>
          </w:tcPr>
          <w:p w:rsidRPr="006926D4" w:rsidR="00B92112" w:rsidP="00677BAB" w:rsidRDefault="00B92112" w14:paraId="46F2864E" w14:textId="77777777">
            <w:pPr>
              <w:rPr>
                <w:rFonts w:ascii="Times New Roman" w:hAnsi="Times New Roman"/>
                <w:sz w:val="22"/>
                <w:szCs w:val="22"/>
              </w:rPr>
            </w:pPr>
            <w:r w:rsidRPr="006926D4">
              <w:rPr>
                <w:rFonts w:ascii="Times New Roman" w:hAnsi="Times New Roman"/>
                <w:sz w:val="22"/>
                <w:szCs w:val="22"/>
              </w:rPr>
              <w:t>Information collection under Section 506J</w:t>
            </w:r>
          </w:p>
        </w:tc>
        <w:tc>
          <w:tcPr>
            <w:tcW w:w="817"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61174536" w14:textId="77777777">
            <w:pPr>
              <w:jc w:val="right"/>
              <w:rPr>
                <w:rFonts w:ascii="Times New Roman" w:hAnsi="Times New Roman"/>
                <w:sz w:val="22"/>
                <w:szCs w:val="22"/>
              </w:rPr>
            </w:pPr>
            <w:r w:rsidRPr="006926D4">
              <w:rPr>
                <w:rFonts w:ascii="Times New Roman" w:hAnsi="Times New Roman"/>
                <w:sz w:val="22"/>
                <w:szCs w:val="22"/>
              </w:rPr>
              <w:t>8,400</w:t>
            </w:r>
          </w:p>
        </w:tc>
        <w:tc>
          <w:tcPr>
            <w:tcW w:w="721"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54C71184" w14:textId="77777777">
            <w:pPr>
              <w:jc w:val="right"/>
              <w:rPr>
                <w:rFonts w:ascii="Times New Roman" w:hAnsi="Times New Roman"/>
                <w:sz w:val="22"/>
                <w:szCs w:val="22"/>
              </w:rPr>
            </w:pPr>
            <w:r w:rsidRPr="006926D4">
              <w:rPr>
                <w:rFonts w:ascii="Times New Roman" w:hAnsi="Times New Roman"/>
                <w:sz w:val="22"/>
                <w:szCs w:val="22"/>
              </w:rPr>
              <w:t>1</w:t>
            </w:r>
          </w:p>
        </w:tc>
        <w:tc>
          <w:tcPr>
            <w:tcW w:w="673"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73F7DA2E" w14:textId="77777777">
            <w:pPr>
              <w:jc w:val="right"/>
              <w:rPr>
                <w:rFonts w:ascii="Times New Roman" w:hAnsi="Times New Roman"/>
                <w:sz w:val="22"/>
                <w:szCs w:val="22"/>
              </w:rPr>
            </w:pPr>
            <w:r w:rsidRPr="006926D4">
              <w:rPr>
                <w:rFonts w:ascii="Times New Roman" w:hAnsi="Times New Roman"/>
                <w:sz w:val="22"/>
                <w:szCs w:val="22"/>
              </w:rPr>
              <w:t>8,400</w:t>
            </w:r>
          </w:p>
        </w:tc>
        <w:tc>
          <w:tcPr>
            <w:tcW w:w="673"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0679FFC4" w14:textId="77777777">
            <w:pPr>
              <w:jc w:val="right"/>
              <w:rPr>
                <w:rFonts w:ascii="Times New Roman" w:hAnsi="Times New Roman"/>
                <w:sz w:val="22"/>
                <w:szCs w:val="22"/>
              </w:rPr>
            </w:pPr>
            <w:r w:rsidRPr="006926D4">
              <w:rPr>
                <w:rFonts w:ascii="Times New Roman" w:hAnsi="Times New Roman"/>
                <w:sz w:val="22"/>
                <w:szCs w:val="22"/>
              </w:rPr>
              <w:t>0.25</w:t>
            </w:r>
          </w:p>
        </w:tc>
        <w:tc>
          <w:tcPr>
            <w:tcW w:w="529"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1155A8CB" w14:textId="77777777">
            <w:pPr>
              <w:jc w:val="right"/>
              <w:rPr>
                <w:rFonts w:ascii="Times New Roman" w:hAnsi="Times New Roman"/>
                <w:sz w:val="22"/>
                <w:szCs w:val="22"/>
              </w:rPr>
            </w:pPr>
            <w:r w:rsidRPr="006926D4">
              <w:rPr>
                <w:rFonts w:ascii="Times New Roman" w:hAnsi="Times New Roman"/>
                <w:sz w:val="22"/>
                <w:szCs w:val="22"/>
              </w:rPr>
              <w:t>2,100</w:t>
            </w:r>
          </w:p>
        </w:tc>
      </w:tr>
      <w:tr w:rsidRPr="006926D4" w:rsidR="00B92112" w:rsidTr="0066787E" w14:paraId="035071A2" w14:textId="77777777">
        <w:tblPrEx>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1587" w:type="pct"/>
            <w:tcBorders>
              <w:top w:val="single" w:color="auto" w:sz="2" w:space="0"/>
              <w:left w:val="single" w:color="auto" w:sz="2" w:space="0"/>
              <w:bottom w:val="single" w:color="auto" w:sz="2" w:space="0"/>
              <w:right w:val="single" w:color="auto" w:sz="2" w:space="0"/>
            </w:tcBorders>
          </w:tcPr>
          <w:p w:rsidRPr="006926D4" w:rsidR="00B92112" w:rsidP="00677BAB" w:rsidRDefault="00B92112" w14:paraId="14C4834D" w14:textId="77777777">
            <w:pPr>
              <w:rPr>
                <w:rFonts w:ascii="Times New Roman" w:hAnsi="Times New Roman"/>
                <w:sz w:val="22"/>
                <w:szCs w:val="22"/>
              </w:rPr>
            </w:pPr>
            <w:r w:rsidRPr="006926D4">
              <w:rPr>
                <w:rFonts w:ascii="Times New Roman" w:hAnsi="Times New Roman"/>
                <w:sz w:val="22"/>
                <w:szCs w:val="22"/>
              </w:rPr>
              <w:t>Additional voluntary collections related to 506J</w:t>
            </w:r>
          </w:p>
        </w:tc>
        <w:tc>
          <w:tcPr>
            <w:tcW w:w="817" w:type="pct"/>
            <w:tcBorders>
              <w:top w:val="single" w:color="auto" w:sz="2" w:space="0"/>
              <w:left w:val="single" w:color="auto" w:sz="2" w:space="0"/>
              <w:bottom w:val="single" w:color="auto" w:sz="2" w:space="0"/>
              <w:right w:val="single" w:color="auto" w:sz="2" w:space="0"/>
            </w:tcBorders>
          </w:tcPr>
          <w:p w:rsidRPr="006926D4" w:rsidR="00B92112" w:rsidDel="008D2826" w:rsidP="003C1839" w:rsidRDefault="00B92112" w14:paraId="51EDD51F" w14:textId="77777777">
            <w:pPr>
              <w:jc w:val="right"/>
              <w:rPr>
                <w:rFonts w:ascii="Times New Roman" w:hAnsi="Times New Roman"/>
                <w:sz w:val="22"/>
                <w:szCs w:val="22"/>
              </w:rPr>
            </w:pPr>
            <w:r w:rsidRPr="006926D4">
              <w:rPr>
                <w:rFonts w:ascii="Times New Roman" w:hAnsi="Times New Roman"/>
                <w:sz w:val="22"/>
                <w:szCs w:val="22"/>
              </w:rPr>
              <w:t>8,400</w:t>
            </w:r>
          </w:p>
        </w:tc>
        <w:tc>
          <w:tcPr>
            <w:tcW w:w="721"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2C15F049" w14:textId="77777777">
            <w:pPr>
              <w:jc w:val="right"/>
              <w:rPr>
                <w:rFonts w:ascii="Times New Roman" w:hAnsi="Times New Roman"/>
                <w:sz w:val="22"/>
                <w:szCs w:val="22"/>
              </w:rPr>
            </w:pPr>
            <w:r w:rsidRPr="006926D4">
              <w:rPr>
                <w:rFonts w:ascii="Times New Roman" w:hAnsi="Times New Roman"/>
                <w:sz w:val="22"/>
                <w:szCs w:val="22"/>
              </w:rPr>
              <w:t>1</w:t>
            </w:r>
          </w:p>
        </w:tc>
        <w:tc>
          <w:tcPr>
            <w:tcW w:w="673" w:type="pct"/>
            <w:tcBorders>
              <w:top w:val="single" w:color="auto" w:sz="2" w:space="0"/>
              <w:left w:val="single" w:color="auto" w:sz="2" w:space="0"/>
              <w:bottom w:val="single" w:color="auto" w:sz="2" w:space="0"/>
              <w:right w:val="single" w:color="auto" w:sz="2" w:space="0"/>
            </w:tcBorders>
          </w:tcPr>
          <w:p w:rsidRPr="006926D4" w:rsidR="00B92112" w:rsidDel="008D2826" w:rsidP="003C1839" w:rsidRDefault="00B92112" w14:paraId="60AFFB2E" w14:textId="77777777">
            <w:pPr>
              <w:jc w:val="right"/>
              <w:rPr>
                <w:rFonts w:ascii="Times New Roman" w:hAnsi="Times New Roman"/>
                <w:sz w:val="22"/>
                <w:szCs w:val="22"/>
              </w:rPr>
            </w:pPr>
            <w:r w:rsidRPr="006926D4">
              <w:rPr>
                <w:rFonts w:ascii="Times New Roman" w:hAnsi="Times New Roman"/>
                <w:sz w:val="22"/>
                <w:szCs w:val="22"/>
              </w:rPr>
              <w:t>8,400</w:t>
            </w:r>
          </w:p>
        </w:tc>
        <w:tc>
          <w:tcPr>
            <w:tcW w:w="673"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5A440BAB" w14:textId="77777777">
            <w:pPr>
              <w:jc w:val="right"/>
              <w:rPr>
                <w:rFonts w:ascii="Times New Roman" w:hAnsi="Times New Roman"/>
                <w:sz w:val="22"/>
                <w:szCs w:val="22"/>
              </w:rPr>
            </w:pPr>
            <w:r w:rsidRPr="006926D4">
              <w:rPr>
                <w:rFonts w:ascii="Times New Roman" w:hAnsi="Times New Roman"/>
                <w:sz w:val="22"/>
                <w:szCs w:val="22"/>
              </w:rPr>
              <w:t>0.25</w:t>
            </w:r>
          </w:p>
        </w:tc>
        <w:tc>
          <w:tcPr>
            <w:tcW w:w="529"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7F8097E7" w14:textId="77777777">
            <w:pPr>
              <w:jc w:val="right"/>
              <w:rPr>
                <w:rFonts w:ascii="Times New Roman" w:hAnsi="Times New Roman"/>
                <w:sz w:val="22"/>
                <w:szCs w:val="22"/>
              </w:rPr>
            </w:pPr>
            <w:r w:rsidRPr="006926D4">
              <w:rPr>
                <w:rFonts w:ascii="Times New Roman" w:hAnsi="Times New Roman"/>
                <w:sz w:val="22"/>
                <w:szCs w:val="22"/>
              </w:rPr>
              <w:t>2,100</w:t>
            </w:r>
          </w:p>
        </w:tc>
      </w:tr>
      <w:tr w:rsidRPr="006926D4" w:rsidR="00B92112" w:rsidTr="0066787E" w14:paraId="17422814" w14:textId="77777777">
        <w:tblPrEx>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1587" w:type="pct"/>
            <w:tcBorders>
              <w:top w:val="single" w:color="auto" w:sz="2" w:space="0"/>
              <w:left w:val="single" w:color="auto" w:sz="2" w:space="0"/>
              <w:bottom w:val="single" w:color="auto" w:sz="2" w:space="0"/>
              <w:right w:val="single" w:color="auto" w:sz="2" w:space="0"/>
            </w:tcBorders>
          </w:tcPr>
          <w:p w:rsidRPr="006926D4" w:rsidR="00B92112" w:rsidP="00677BAB" w:rsidRDefault="00B92112" w14:paraId="4023F8F1" w14:textId="7A07170A">
            <w:pPr>
              <w:rPr>
                <w:rFonts w:ascii="Times New Roman" w:hAnsi="Times New Roman"/>
                <w:sz w:val="22"/>
                <w:szCs w:val="22"/>
              </w:rPr>
            </w:pPr>
            <w:r w:rsidRPr="006926D4">
              <w:rPr>
                <w:rFonts w:ascii="Times New Roman" w:hAnsi="Times New Roman"/>
                <w:sz w:val="22"/>
                <w:szCs w:val="22"/>
              </w:rPr>
              <w:t>T</w:t>
            </w:r>
            <w:r w:rsidR="0066787E">
              <w:rPr>
                <w:rFonts w:ascii="Times New Roman" w:hAnsi="Times New Roman"/>
                <w:sz w:val="22"/>
                <w:szCs w:val="22"/>
              </w:rPr>
              <w:t>OTAL</w:t>
            </w:r>
          </w:p>
        </w:tc>
        <w:tc>
          <w:tcPr>
            <w:tcW w:w="817"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3F120C05" w14:textId="77777777">
            <w:pPr>
              <w:jc w:val="right"/>
              <w:rPr>
                <w:rFonts w:ascii="Times New Roman" w:hAnsi="Times New Roman"/>
                <w:sz w:val="22"/>
                <w:szCs w:val="22"/>
              </w:rPr>
            </w:pPr>
          </w:p>
        </w:tc>
        <w:tc>
          <w:tcPr>
            <w:tcW w:w="721"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3263FDD3" w14:textId="77777777">
            <w:pPr>
              <w:jc w:val="right"/>
              <w:rPr>
                <w:rFonts w:ascii="Times New Roman" w:hAnsi="Times New Roman"/>
                <w:sz w:val="22"/>
                <w:szCs w:val="22"/>
              </w:rPr>
            </w:pPr>
          </w:p>
        </w:tc>
        <w:tc>
          <w:tcPr>
            <w:tcW w:w="673"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410D519B" w14:textId="77777777">
            <w:pPr>
              <w:jc w:val="right"/>
              <w:rPr>
                <w:rFonts w:ascii="Times New Roman" w:hAnsi="Times New Roman"/>
                <w:sz w:val="22"/>
                <w:szCs w:val="22"/>
              </w:rPr>
            </w:pPr>
            <w:r w:rsidRPr="006926D4">
              <w:rPr>
                <w:rFonts w:ascii="Times New Roman" w:hAnsi="Times New Roman"/>
                <w:sz w:val="22"/>
                <w:szCs w:val="22"/>
              </w:rPr>
              <w:t>18,800</w:t>
            </w:r>
          </w:p>
        </w:tc>
        <w:tc>
          <w:tcPr>
            <w:tcW w:w="673"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37008BDD" w14:textId="77777777">
            <w:pPr>
              <w:jc w:val="right"/>
              <w:rPr>
                <w:rFonts w:ascii="Times New Roman" w:hAnsi="Times New Roman"/>
                <w:sz w:val="22"/>
                <w:szCs w:val="22"/>
              </w:rPr>
            </w:pPr>
          </w:p>
        </w:tc>
        <w:tc>
          <w:tcPr>
            <w:tcW w:w="529" w:type="pct"/>
            <w:tcBorders>
              <w:top w:val="single" w:color="auto" w:sz="2" w:space="0"/>
              <w:left w:val="single" w:color="auto" w:sz="2" w:space="0"/>
              <w:bottom w:val="single" w:color="auto" w:sz="2" w:space="0"/>
              <w:right w:val="single" w:color="auto" w:sz="2" w:space="0"/>
            </w:tcBorders>
          </w:tcPr>
          <w:p w:rsidRPr="006926D4" w:rsidR="00B92112" w:rsidP="003C1839" w:rsidRDefault="00B92112" w14:paraId="2B026DFC" w14:textId="77777777">
            <w:pPr>
              <w:jc w:val="right"/>
              <w:rPr>
                <w:rFonts w:ascii="Times New Roman" w:hAnsi="Times New Roman"/>
                <w:sz w:val="22"/>
                <w:szCs w:val="22"/>
              </w:rPr>
            </w:pPr>
            <w:r w:rsidRPr="006926D4">
              <w:rPr>
                <w:rFonts w:ascii="Times New Roman" w:hAnsi="Times New Roman"/>
                <w:sz w:val="22"/>
                <w:szCs w:val="22"/>
              </w:rPr>
              <w:t>5,200</w:t>
            </w:r>
            <w:r w:rsidRPr="006926D4" w:rsidDel="00624BC5">
              <w:rPr>
                <w:rFonts w:ascii="Times New Roman" w:hAnsi="Times New Roman"/>
                <w:sz w:val="22"/>
                <w:szCs w:val="22"/>
              </w:rPr>
              <w:t xml:space="preserve"> </w:t>
            </w:r>
          </w:p>
        </w:tc>
      </w:tr>
      <w:tr w:rsidRPr="006926D4" w:rsidR="00B92112" w:rsidTr="00B92112" w14:paraId="374C567D" w14:textId="77777777">
        <w:tblPrEx>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5000" w:type="pct"/>
            <w:gridSpan w:val="6"/>
            <w:tcBorders>
              <w:top w:val="single" w:color="auto" w:sz="2" w:space="0"/>
              <w:bottom w:val="nil"/>
            </w:tcBorders>
          </w:tcPr>
          <w:p w:rsidRPr="00AD4FBB" w:rsidR="00B92112" w:rsidP="00677BAB" w:rsidRDefault="00B92112" w14:paraId="60083E56" w14:textId="77777777">
            <w:pPr>
              <w:rPr>
                <w:rFonts w:ascii="Times New Roman" w:hAnsi="Times New Roman"/>
                <w:sz w:val="20"/>
              </w:rPr>
            </w:pPr>
            <w:r w:rsidRPr="00AD4FBB">
              <w:rPr>
                <w:rFonts w:ascii="Times New Roman" w:hAnsi="Times New Roman"/>
                <w:sz w:val="20"/>
                <w:vertAlign w:val="superscript"/>
              </w:rPr>
              <w:t>1</w:t>
            </w:r>
            <w:r w:rsidRPr="00AD4FBB">
              <w:rPr>
                <w:rFonts w:ascii="Times New Roman" w:hAnsi="Times New Roman"/>
                <w:sz w:val="20"/>
              </w:rPr>
              <w:t xml:space="preserve"> There are no capital costs or operating and maintenance costs associated with this collection of information.</w:t>
            </w:r>
          </w:p>
        </w:tc>
      </w:tr>
    </w:tbl>
    <w:p w:rsidR="00E83069" w:rsidP="00677BAB" w:rsidRDefault="00E83069" w14:paraId="08C11484" w14:textId="77777777">
      <w:pPr>
        <w:rPr>
          <w:rFonts w:ascii="Times New Roman" w:hAnsi="Times New Roman"/>
          <w:szCs w:val="24"/>
        </w:rPr>
      </w:pPr>
    </w:p>
    <w:p w:rsidRPr="00E83069" w:rsidR="00D03D3A" w:rsidP="00E83069" w:rsidRDefault="00F05605" w14:paraId="2AB5665D" w14:textId="3FBFF2BD">
      <w:pPr>
        <w:jc w:val="center"/>
        <w:rPr>
          <w:rFonts w:ascii="Times New Roman" w:hAnsi="Times New Roman"/>
          <w:szCs w:val="24"/>
          <w:u w:val="single"/>
        </w:rPr>
      </w:pPr>
      <w:r>
        <w:rPr>
          <w:rFonts w:ascii="Times New Roman" w:hAnsi="Times New Roman"/>
          <w:szCs w:val="24"/>
          <w:u w:val="single"/>
        </w:rPr>
        <w:t xml:space="preserve">I.  </w:t>
      </w:r>
      <w:r w:rsidRPr="00E83069" w:rsidR="00D03D3A">
        <w:rPr>
          <w:rFonts w:ascii="Times New Roman" w:hAnsi="Times New Roman"/>
          <w:szCs w:val="24"/>
          <w:u w:val="single"/>
        </w:rPr>
        <w:t xml:space="preserve">Shortages Data </w:t>
      </w:r>
      <w:r w:rsidRPr="00E83069" w:rsidR="00E83069">
        <w:rPr>
          <w:rFonts w:ascii="Times New Roman" w:hAnsi="Times New Roman"/>
          <w:szCs w:val="24"/>
          <w:u w:val="single"/>
        </w:rPr>
        <w:t>Collection</w:t>
      </w:r>
    </w:p>
    <w:p w:rsidRPr="00677BAB" w:rsidR="00D03D3A" w:rsidP="00677BAB" w:rsidRDefault="00D03D3A" w14:paraId="1CC9477C" w14:textId="77777777">
      <w:pPr>
        <w:rPr>
          <w:rFonts w:ascii="Times New Roman" w:hAnsi="Times New Roman"/>
          <w:szCs w:val="24"/>
        </w:rPr>
      </w:pPr>
    </w:p>
    <w:p w:rsidRPr="00677BAB" w:rsidR="00D03D3A" w:rsidP="00677BAB" w:rsidRDefault="00465615" w14:paraId="7C206A6A" w14:textId="60F6A84F">
      <w:pPr>
        <w:rPr>
          <w:rFonts w:ascii="Times New Roman" w:hAnsi="Times New Roman"/>
          <w:szCs w:val="24"/>
        </w:rPr>
      </w:pPr>
      <w:r>
        <w:rPr>
          <w:rFonts w:ascii="Times New Roman" w:hAnsi="Times New Roman"/>
          <w:szCs w:val="24"/>
        </w:rPr>
        <w:tab/>
        <w:t xml:space="preserve">Our estimate is based on our experience with the collection and informal </w:t>
      </w:r>
      <w:r w:rsidRPr="00677BAB" w:rsidR="00D03D3A">
        <w:rPr>
          <w:rFonts w:ascii="Times New Roman" w:hAnsi="Times New Roman"/>
          <w:szCs w:val="24"/>
        </w:rPr>
        <w:t xml:space="preserve">direct contact with </w:t>
      </w:r>
      <w:r w:rsidR="00A64903">
        <w:rPr>
          <w:rFonts w:ascii="Times New Roman" w:hAnsi="Times New Roman"/>
          <w:szCs w:val="24"/>
        </w:rPr>
        <w:t>respondents</w:t>
      </w:r>
      <w:r w:rsidR="00696E25">
        <w:rPr>
          <w:rFonts w:ascii="Times New Roman" w:hAnsi="Times New Roman"/>
          <w:szCs w:val="24"/>
        </w:rPr>
        <w:t xml:space="preserve">.  We </w:t>
      </w:r>
      <w:r w:rsidR="00F05605">
        <w:rPr>
          <w:rFonts w:ascii="Times New Roman" w:hAnsi="Times New Roman"/>
          <w:szCs w:val="24"/>
        </w:rPr>
        <w:t xml:space="preserve">estimate </w:t>
      </w:r>
      <w:r w:rsidRPr="00677BAB" w:rsidR="00D03D3A">
        <w:rPr>
          <w:rFonts w:ascii="Times New Roman" w:hAnsi="Times New Roman"/>
          <w:szCs w:val="24"/>
        </w:rPr>
        <w:t xml:space="preserve">up to 500 manufacturers and distributors for which there may be targeted outreach because their devices may be essential to the response effort.  This targeted outreach will be conducted quarterly to either obtain primary data or to verify/validate updated data (although additional outreach may be undertaken as needed). </w:t>
      </w:r>
      <w:r w:rsidR="00F05605">
        <w:rPr>
          <w:rFonts w:ascii="Times New Roman" w:hAnsi="Times New Roman"/>
          <w:szCs w:val="24"/>
        </w:rPr>
        <w:t xml:space="preserve">  </w:t>
      </w:r>
      <w:r w:rsidRPr="00677BAB" w:rsidR="00D03D3A">
        <w:rPr>
          <w:rFonts w:ascii="Times New Roman" w:hAnsi="Times New Roman"/>
          <w:szCs w:val="24"/>
        </w:rPr>
        <w:t>From the manufacturer and distributor's point of view, the data being requested represent common data elements that they monitor and track as part of routine business operations and therefore are readily available.  It is anticipated that for most manufacturers and distributors, the estimated time to fulfill CDRH's data request will not exceed 30 minutes per request, or 2 hours per year.</w:t>
      </w:r>
    </w:p>
    <w:p w:rsidRPr="00677BAB" w:rsidR="00D03D3A" w:rsidP="00677BAB" w:rsidRDefault="00D03D3A" w14:paraId="398F8A67" w14:textId="77777777">
      <w:pPr>
        <w:rPr>
          <w:rFonts w:ascii="Times New Roman" w:hAnsi="Times New Roman"/>
          <w:szCs w:val="24"/>
        </w:rPr>
      </w:pPr>
    </w:p>
    <w:p w:rsidRPr="00F05605" w:rsidR="00D03D3A" w:rsidP="00F05605" w:rsidRDefault="00F05605" w14:paraId="029F6490" w14:textId="4A460BCE">
      <w:pPr>
        <w:jc w:val="center"/>
        <w:rPr>
          <w:rFonts w:ascii="Times New Roman" w:hAnsi="Times New Roman"/>
          <w:szCs w:val="24"/>
          <w:u w:val="single"/>
        </w:rPr>
      </w:pPr>
      <w:r w:rsidRPr="00F05605">
        <w:rPr>
          <w:rFonts w:ascii="Times New Roman" w:hAnsi="Times New Roman"/>
          <w:szCs w:val="24"/>
          <w:u w:val="single"/>
        </w:rPr>
        <w:t xml:space="preserve">II.  </w:t>
      </w:r>
      <w:r w:rsidRPr="00F05605" w:rsidR="00D03D3A">
        <w:rPr>
          <w:rFonts w:ascii="Times New Roman" w:hAnsi="Times New Roman"/>
          <w:szCs w:val="24"/>
          <w:u w:val="single"/>
        </w:rPr>
        <w:t>Information Collection Under Section 506J of the FD&amp;C Act and Related Voluntary Collections</w:t>
      </w:r>
    </w:p>
    <w:p w:rsidRPr="00677BAB" w:rsidR="00D03D3A" w:rsidP="00677BAB" w:rsidRDefault="00D03D3A" w14:paraId="4ADD7C98" w14:textId="77777777">
      <w:pPr>
        <w:rPr>
          <w:rFonts w:ascii="Times New Roman" w:hAnsi="Times New Roman"/>
          <w:szCs w:val="24"/>
        </w:rPr>
      </w:pPr>
    </w:p>
    <w:p w:rsidRPr="00677BAB" w:rsidR="0047790D" w:rsidP="00677BAB" w:rsidRDefault="00F05605" w14:paraId="7BD483C1" w14:textId="7C3FB8A5">
      <w:pPr>
        <w:rPr>
          <w:rFonts w:ascii="Times New Roman" w:hAnsi="Times New Roman"/>
          <w:szCs w:val="24"/>
        </w:rPr>
      </w:pPr>
      <w:r>
        <w:rPr>
          <w:rFonts w:ascii="Times New Roman" w:hAnsi="Times New Roman"/>
          <w:szCs w:val="24"/>
        </w:rPr>
        <w:tab/>
      </w:r>
      <w:r w:rsidRPr="00677BAB" w:rsidR="00D03D3A">
        <w:rPr>
          <w:rFonts w:ascii="Times New Roman" w:hAnsi="Times New Roman"/>
          <w:szCs w:val="24"/>
        </w:rPr>
        <w:t>Based on current registration and listing data (approved under OMB control number 0910-0625), we estimate the number of respondents that will submit a notification under section 506J of the FD&amp;C Act to be approximately 20 percent of currently registered manufacturers.  Data from our Registration &amp; Listing system indicates that there are approximately 42,000 unique FDA Establishment Identification registered manufacturers.  Therefore, we estimate 8,400 respondents per year.  We believe that the burden as well as the provision of required information under section 506J of the FD&amp;C Act--as well as additional voluntary information related to the determination (including additional issues that may impact the availability of the device, such as information about critical suppliers, potential mitigations, production capacity and market share, and notification updates)--is minimal and such information is readily available to manufacturers of the applicable devices.  Therefore, we estimate the burden of this information collection to be 15 minutes or less per determination and notification.</w:t>
      </w:r>
    </w:p>
    <w:p w:rsidR="00AD4FBB" w:rsidP="00677BAB" w:rsidRDefault="00AD4FBB" w14:paraId="5E75968A" w14:textId="48D49F2D">
      <w:pPr>
        <w:rPr>
          <w:rFonts w:ascii="Times New Roman" w:hAnsi="Times New Roman"/>
          <w:szCs w:val="24"/>
        </w:rPr>
      </w:pPr>
    </w:p>
    <w:p w:rsidRPr="00D842DF" w:rsidR="0077620F" w:rsidP="00677BAB" w:rsidRDefault="00AD4FBB" w14:paraId="22CF8FC1" w14:textId="2D5ACF1D">
      <w:pPr>
        <w:rPr>
          <w:rFonts w:ascii="Times New Roman" w:hAnsi="Times New Roman"/>
          <w:szCs w:val="24"/>
        </w:rPr>
      </w:pPr>
      <w:r>
        <w:rPr>
          <w:rFonts w:ascii="Times New Roman" w:hAnsi="Times New Roman"/>
          <w:szCs w:val="24"/>
        </w:rPr>
        <w:br w:type="page"/>
      </w:r>
      <w:r w:rsidR="00D842DF">
        <w:rPr>
          <w:rFonts w:ascii="Times New Roman" w:hAnsi="Times New Roman"/>
          <w:szCs w:val="24"/>
        </w:rPr>
        <w:lastRenderedPageBreak/>
        <w:tab/>
      </w:r>
      <w:r w:rsidRPr="004D5EC0" w:rsidR="0077620F">
        <w:rPr>
          <w:rFonts w:ascii="Times New Roman" w:hAnsi="Times New Roman"/>
          <w:i/>
          <w:iCs/>
          <w:szCs w:val="24"/>
        </w:rPr>
        <w:t>12b. Annualized Cost Burden Estimate</w:t>
      </w:r>
    </w:p>
    <w:p w:rsidRPr="00677BAB" w:rsidR="0077620F" w:rsidP="00677BAB" w:rsidRDefault="0077620F" w14:paraId="0FCAB6B5" w14:textId="77777777">
      <w:pPr>
        <w:rPr>
          <w:rFonts w:ascii="Times New Roman" w:hAnsi="Times New Roman"/>
          <w:szCs w:val="24"/>
        </w:rPr>
      </w:pPr>
    </w:p>
    <w:p w:rsidRPr="00677BAB" w:rsidR="001E2ED8" w:rsidP="00677BAB" w:rsidRDefault="003852AD" w14:paraId="6ECFFE31" w14:textId="7C52D0D0">
      <w:pPr>
        <w:rPr>
          <w:rFonts w:ascii="Times New Roman" w:hAnsi="Times New Roman"/>
          <w:szCs w:val="24"/>
        </w:rPr>
      </w:pPr>
      <w:r w:rsidRPr="00677BAB">
        <w:rPr>
          <w:rFonts w:ascii="Times New Roman" w:hAnsi="Times New Roman"/>
          <w:szCs w:val="24"/>
        </w:rPr>
        <w:t xml:space="preserve">We </w:t>
      </w:r>
      <w:r w:rsidR="00A64903">
        <w:rPr>
          <w:rFonts w:ascii="Times New Roman" w:hAnsi="Times New Roman"/>
          <w:szCs w:val="24"/>
        </w:rPr>
        <w:t>calculate</w:t>
      </w:r>
      <w:r w:rsidR="004D5EC0">
        <w:rPr>
          <w:rFonts w:ascii="Times New Roman" w:hAnsi="Times New Roman"/>
          <w:szCs w:val="24"/>
        </w:rPr>
        <w:t xml:space="preserve"> an </w:t>
      </w:r>
      <w:r w:rsidR="001C1428">
        <w:rPr>
          <w:rFonts w:ascii="Times New Roman" w:hAnsi="Times New Roman"/>
          <w:szCs w:val="24"/>
        </w:rPr>
        <w:t xml:space="preserve">estimated </w:t>
      </w:r>
      <w:r w:rsidRPr="00677BAB" w:rsidR="00212859">
        <w:rPr>
          <w:rFonts w:ascii="Times New Roman" w:hAnsi="Times New Roman"/>
          <w:szCs w:val="24"/>
        </w:rPr>
        <w:t>annual cost</w:t>
      </w:r>
      <w:r w:rsidR="004D5EC0">
        <w:rPr>
          <w:rFonts w:ascii="Times New Roman" w:hAnsi="Times New Roman"/>
          <w:szCs w:val="24"/>
        </w:rPr>
        <w:t xml:space="preserve"> of </w:t>
      </w:r>
      <w:r w:rsidRPr="00677BAB" w:rsidR="00212859">
        <w:rPr>
          <w:rFonts w:ascii="Times New Roman" w:hAnsi="Times New Roman"/>
          <w:szCs w:val="24"/>
        </w:rPr>
        <w:t>$</w:t>
      </w:r>
      <w:r w:rsidRPr="00677BAB" w:rsidR="006E6DA6">
        <w:rPr>
          <w:rFonts w:ascii="Times New Roman" w:hAnsi="Times New Roman"/>
          <w:szCs w:val="24"/>
        </w:rPr>
        <w:t>263,69</w:t>
      </w:r>
      <w:r w:rsidR="00063CF6">
        <w:rPr>
          <w:rFonts w:ascii="Times New Roman" w:hAnsi="Times New Roman"/>
          <w:szCs w:val="24"/>
        </w:rPr>
        <w:t>2</w:t>
      </w:r>
      <w:r w:rsidR="00E446D2">
        <w:rPr>
          <w:rFonts w:ascii="Times New Roman" w:hAnsi="Times New Roman"/>
          <w:szCs w:val="24"/>
        </w:rPr>
        <w:t xml:space="preserve"> by</w:t>
      </w:r>
      <w:r w:rsidR="00063CF6">
        <w:rPr>
          <w:rFonts w:ascii="Times New Roman" w:hAnsi="Times New Roman"/>
          <w:szCs w:val="24"/>
        </w:rPr>
        <w:t xml:space="preserve"> multiplying the estimated </w:t>
      </w:r>
      <w:r w:rsidRPr="00677BAB">
        <w:rPr>
          <w:rFonts w:ascii="Times New Roman" w:hAnsi="Times New Roman"/>
          <w:szCs w:val="24"/>
        </w:rPr>
        <w:t xml:space="preserve">total annual burden hours </w:t>
      </w:r>
      <w:r w:rsidR="008F39C1">
        <w:rPr>
          <w:rFonts w:ascii="Times New Roman" w:hAnsi="Times New Roman"/>
          <w:szCs w:val="24"/>
        </w:rPr>
        <w:t xml:space="preserve">(5,200) </w:t>
      </w:r>
      <w:r w:rsidR="00E446D2">
        <w:rPr>
          <w:rFonts w:ascii="Times New Roman" w:hAnsi="Times New Roman"/>
          <w:szCs w:val="24"/>
        </w:rPr>
        <w:t xml:space="preserve">by </w:t>
      </w:r>
      <w:r w:rsidR="00DD08CE">
        <w:rPr>
          <w:rFonts w:ascii="Times New Roman" w:hAnsi="Times New Roman"/>
          <w:szCs w:val="24"/>
        </w:rPr>
        <w:t xml:space="preserve">a </w:t>
      </w:r>
      <w:r w:rsidRPr="00677BAB" w:rsidR="00065184">
        <w:rPr>
          <w:rFonts w:ascii="Times New Roman" w:hAnsi="Times New Roman"/>
          <w:szCs w:val="24"/>
        </w:rPr>
        <w:t>median</w:t>
      </w:r>
      <w:r w:rsidRPr="00677BAB" w:rsidR="00641AB4">
        <w:rPr>
          <w:rFonts w:ascii="Times New Roman" w:hAnsi="Times New Roman"/>
          <w:szCs w:val="24"/>
        </w:rPr>
        <w:t xml:space="preserve"> hourly wage of $</w:t>
      </w:r>
      <w:r w:rsidRPr="00677BAB" w:rsidR="009362A9">
        <w:rPr>
          <w:rFonts w:ascii="Times New Roman" w:hAnsi="Times New Roman"/>
          <w:szCs w:val="24"/>
        </w:rPr>
        <w:t>5</w:t>
      </w:r>
      <w:r w:rsidRPr="00677BAB" w:rsidR="006E6DA6">
        <w:rPr>
          <w:rFonts w:ascii="Times New Roman" w:hAnsi="Times New Roman"/>
          <w:szCs w:val="24"/>
        </w:rPr>
        <w:t>0</w:t>
      </w:r>
      <w:r w:rsidRPr="00677BAB" w:rsidR="009362A9">
        <w:rPr>
          <w:rFonts w:ascii="Times New Roman" w:hAnsi="Times New Roman"/>
          <w:szCs w:val="24"/>
        </w:rPr>
        <w:t>.</w:t>
      </w:r>
      <w:r w:rsidRPr="00677BAB" w:rsidR="006E6DA6">
        <w:rPr>
          <w:rFonts w:ascii="Times New Roman" w:hAnsi="Times New Roman"/>
          <w:szCs w:val="24"/>
        </w:rPr>
        <w:t>71</w:t>
      </w:r>
      <w:r w:rsidRPr="00677BAB" w:rsidR="00641AB4">
        <w:rPr>
          <w:rFonts w:ascii="Times New Roman" w:hAnsi="Times New Roman"/>
          <w:szCs w:val="24"/>
        </w:rPr>
        <w:t xml:space="preserve"> </w:t>
      </w:r>
      <w:r w:rsidR="00DD08CE">
        <w:rPr>
          <w:rFonts w:ascii="Times New Roman" w:hAnsi="Times New Roman"/>
          <w:szCs w:val="24"/>
        </w:rPr>
        <w:t xml:space="preserve">(using Bureau of Labor Statistics Data) </w:t>
      </w:r>
      <w:r w:rsidRPr="00677BAB" w:rsidR="00065184">
        <w:rPr>
          <w:rFonts w:ascii="Times New Roman" w:hAnsi="Times New Roman"/>
          <w:szCs w:val="24"/>
        </w:rPr>
        <w:t xml:space="preserve">for the profession of </w:t>
      </w:r>
      <w:r w:rsidRPr="00677BAB" w:rsidR="00641AB4">
        <w:rPr>
          <w:rFonts w:ascii="Times New Roman" w:hAnsi="Times New Roman"/>
          <w:szCs w:val="24"/>
        </w:rPr>
        <w:t>‘</w:t>
      </w:r>
      <w:r w:rsidRPr="00DD08CE" w:rsidR="00641AB4">
        <w:rPr>
          <w:rFonts w:ascii="Times New Roman" w:hAnsi="Times New Roman"/>
          <w:i/>
          <w:iCs/>
          <w:szCs w:val="24"/>
        </w:rPr>
        <w:t>Industrial production managers</w:t>
      </w:r>
      <w:r w:rsidRPr="00677BAB" w:rsidR="00641AB4">
        <w:rPr>
          <w:rFonts w:ascii="Times New Roman" w:hAnsi="Times New Roman"/>
          <w:szCs w:val="24"/>
        </w:rPr>
        <w:t>’ (SOC Code Number 11-3051).</w:t>
      </w:r>
    </w:p>
    <w:p w:rsidRPr="00677BAB" w:rsidR="001E2ED8" w:rsidP="00677BAB" w:rsidRDefault="001E2ED8" w14:paraId="287C6011" w14:textId="77777777">
      <w:pPr>
        <w:rPr>
          <w:rFonts w:ascii="Times New Roman" w:hAnsi="Times New Roman"/>
          <w:szCs w:val="24"/>
        </w:rPr>
      </w:pPr>
    </w:p>
    <w:p w:rsidRPr="00677BAB" w:rsidR="00892703" w:rsidP="00677BAB" w:rsidRDefault="00892703" w14:paraId="467E23C6" w14:textId="6185972E">
      <w:pPr>
        <w:rPr>
          <w:rFonts w:ascii="Times New Roman" w:hAnsi="Times New Roman"/>
          <w:szCs w:val="24"/>
        </w:rPr>
      </w:pPr>
      <w:r w:rsidRPr="00677BAB">
        <w:rPr>
          <w:rFonts w:ascii="Times New Roman" w:hAnsi="Times New Roman"/>
          <w:szCs w:val="24"/>
        </w:rPr>
        <w:t>13.</w:t>
      </w:r>
      <w:r w:rsidR="008F39C1">
        <w:rPr>
          <w:rFonts w:ascii="Times New Roman" w:hAnsi="Times New Roman"/>
          <w:szCs w:val="24"/>
        </w:rPr>
        <w:t xml:space="preserve">  </w:t>
      </w:r>
      <w:r w:rsidRPr="008F39C1" w:rsidR="00776D14">
        <w:rPr>
          <w:rFonts w:ascii="Times New Roman" w:hAnsi="Times New Roman"/>
          <w:szCs w:val="24"/>
          <w:u w:val="single"/>
        </w:rPr>
        <w:t>Estimates of Other Total Annual Costs to Respondents/Recordkeepers or Capital Costs</w:t>
      </w:r>
    </w:p>
    <w:p w:rsidRPr="00677BAB" w:rsidR="00892703" w:rsidP="00677BAB" w:rsidRDefault="00892703" w14:paraId="702F3439" w14:textId="77777777">
      <w:pPr>
        <w:rPr>
          <w:rFonts w:ascii="Times New Roman" w:hAnsi="Times New Roman"/>
          <w:szCs w:val="24"/>
        </w:rPr>
      </w:pPr>
    </w:p>
    <w:p w:rsidRPr="00677BAB" w:rsidR="00892703" w:rsidP="00677BAB" w:rsidRDefault="00212859" w14:paraId="5DF371FB" w14:textId="77777777">
      <w:pPr>
        <w:rPr>
          <w:rFonts w:ascii="Times New Roman" w:hAnsi="Times New Roman"/>
          <w:szCs w:val="24"/>
        </w:rPr>
      </w:pPr>
      <w:r w:rsidRPr="00677BAB">
        <w:rPr>
          <w:rFonts w:ascii="Times New Roman" w:hAnsi="Times New Roman"/>
          <w:szCs w:val="24"/>
        </w:rPr>
        <w:t>There are no capital costs or operating and maintenance costs associated with this collection of information.</w:t>
      </w:r>
    </w:p>
    <w:p w:rsidRPr="00677BAB" w:rsidR="00074C1A" w:rsidP="00677BAB" w:rsidRDefault="00074C1A" w14:paraId="5F688D03" w14:textId="77777777">
      <w:pPr>
        <w:rPr>
          <w:rFonts w:ascii="Times New Roman" w:hAnsi="Times New Roman"/>
          <w:szCs w:val="24"/>
        </w:rPr>
      </w:pPr>
    </w:p>
    <w:p w:rsidRPr="00677BAB" w:rsidR="00892703" w:rsidP="00677BAB" w:rsidRDefault="00892703" w14:paraId="48F69C55" w14:textId="4A169F5D">
      <w:pPr>
        <w:rPr>
          <w:rFonts w:ascii="Times New Roman" w:hAnsi="Times New Roman"/>
          <w:szCs w:val="24"/>
        </w:rPr>
      </w:pPr>
      <w:r w:rsidRPr="00677BAB">
        <w:rPr>
          <w:rFonts w:ascii="Times New Roman" w:hAnsi="Times New Roman"/>
          <w:szCs w:val="24"/>
        </w:rPr>
        <w:t>14.</w:t>
      </w:r>
      <w:r w:rsidR="008F39C1">
        <w:rPr>
          <w:rFonts w:ascii="Times New Roman" w:hAnsi="Times New Roman"/>
          <w:szCs w:val="24"/>
        </w:rPr>
        <w:t xml:space="preserve">  </w:t>
      </w:r>
      <w:r w:rsidRPr="008F39C1">
        <w:rPr>
          <w:rFonts w:ascii="Times New Roman" w:hAnsi="Times New Roman"/>
          <w:szCs w:val="24"/>
          <w:u w:val="single"/>
        </w:rPr>
        <w:t>Annualized Cost to the Federal Government</w:t>
      </w:r>
    </w:p>
    <w:p w:rsidRPr="00677BAB" w:rsidR="00892703" w:rsidP="00677BAB" w:rsidRDefault="00892703" w14:paraId="37D84677" w14:textId="77777777">
      <w:pPr>
        <w:rPr>
          <w:rFonts w:ascii="Times New Roman" w:hAnsi="Times New Roman"/>
          <w:szCs w:val="24"/>
        </w:rPr>
      </w:pPr>
    </w:p>
    <w:p w:rsidRPr="00677BAB" w:rsidR="00E879F7" w:rsidP="00677BAB" w:rsidRDefault="00A61494" w14:paraId="7F14180C" w14:textId="350754AA">
      <w:pPr>
        <w:rPr>
          <w:rFonts w:ascii="Times New Roman" w:hAnsi="Times New Roman"/>
          <w:szCs w:val="24"/>
        </w:rPr>
      </w:pPr>
      <w:r w:rsidRPr="00677BAB">
        <w:rPr>
          <w:rFonts w:ascii="Times New Roman" w:hAnsi="Times New Roman"/>
          <w:szCs w:val="24"/>
        </w:rPr>
        <w:t xml:space="preserve">The </w:t>
      </w:r>
      <w:r w:rsidRPr="00677BAB" w:rsidR="00E879F7">
        <w:rPr>
          <w:rFonts w:ascii="Times New Roman" w:hAnsi="Times New Roman"/>
          <w:szCs w:val="24"/>
        </w:rPr>
        <w:t xml:space="preserve">activities and ongoing support for </w:t>
      </w:r>
      <w:r w:rsidRPr="00677BAB" w:rsidR="00C64F9D">
        <w:rPr>
          <w:rFonts w:ascii="Times New Roman" w:hAnsi="Times New Roman"/>
          <w:szCs w:val="24"/>
        </w:rPr>
        <w:t>shortage data collection</w:t>
      </w:r>
      <w:r w:rsidRPr="00677BAB" w:rsidR="00D10ECD">
        <w:rPr>
          <w:rFonts w:ascii="Times New Roman" w:hAnsi="Times New Roman"/>
          <w:szCs w:val="24"/>
        </w:rPr>
        <w:t>, including</w:t>
      </w:r>
      <w:r w:rsidRPr="00677BAB">
        <w:rPr>
          <w:rFonts w:ascii="Times New Roman" w:hAnsi="Times New Roman"/>
          <w:szCs w:val="24"/>
        </w:rPr>
        <w:t xml:space="preserve"> </w:t>
      </w:r>
      <w:r w:rsidRPr="00677BAB" w:rsidR="00E4071F">
        <w:rPr>
          <w:rFonts w:ascii="Times New Roman" w:hAnsi="Times New Roman"/>
          <w:szCs w:val="24"/>
        </w:rPr>
        <w:t xml:space="preserve">contact time, data </w:t>
      </w:r>
      <w:r w:rsidRPr="00677BAB" w:rsidR="00B67F32">
        <w:rPr>
          <w:rFonts w:ascii="Times New Roman" w:hAnsi="Times New Roman"/>
          <w:szCs w:val="24"/>
        </w:rPr>
        <w:t>verification/</w:t>
      </w:r>
      <w:r w:rsidRPr="00677BAB" w:rsidR="00E4071F">
        <w:rPr>
          <w:rFonts w:ascii="Times New Roman" w:hAnsi="Times New Roman"/>
          <w:szCs w:val="24"/>
        </w:rPr>
        <w:t>normalization, data input</w:t>
      </w:r>
      <w:r w:rsidRPr="00677BAB" w:rsidR="00FE7012">
        <w:rPr>
          <w:rFonts w:ascii="Times New Roman" w:hAnsi="Times New Roman"/>
          <w:szCs w:val="24"/>
        </w:rPr>
        <w:t>, data analysis</w:t>
      </w:r>
      <w:r w:rsidRPr="00677BAB" w:rsidR="00F719BB">
        <w:rPr>
          <w:rFonts w:ascii="Times New Roman" w:hAnsi="Times New Roman"/>
          <w:szCs w:val="24"/>
        </w:rPr>
        <w:t>,</w:t>
      </w:r>
      <w:r w:rsidRPr="00677BAB" w:rsidR="00E4071F">
        <w:rPr>
          <w:rFonts w:ascii="Times New Roman" w:hAnsi="Times New Roman"/>
          <w:szCs w:val="24"/>
        </w:rPr>
        <w:t xml:space="preserve"> and </w:t>
      </w:r>
      <w:r w:rsidRPr="00677BAB" w:rsidR="00D10ECD">
        <w:rPr>
          <w:rFonts w:ascii="Times New Roman" w:hAnsi="Times New Roman"/>
          <w:szCs w:val="24"/>
        </w:rPr>
        <w:t xml:space="preserve">database </w:t>
      </w:r>
      <w:r w:rsidRPr="00677BAB" w:rsidR="00E4071F">
        <w:rPr>
          <w:rFonts w:ascii="Times New Roman" w:hAnsi="Times New Roman"/>
          <w:szCs w:val="24"/>
        </w:rPr>
        <w:t>maintenance activities</w:t>
      </w:r>
      <w:r w:rsidRPr="00677BAB" w:rsidR="00D10ECD">
        <w:rPr>
          <w:rFonts w:ascii="Times New Roman" w:hAnsi="Times New Roman"/>
          <w:szCs w:val="24"/>
        </w:rPr>
        <w:t xml:space="preserve">, involve approximately </w:t>
      </w:r>
      <w:r w:rsidRPr="00677BAB" w:rsidR="004E4768">
        <w:rPr>
          <w:rFonts w:ascii="Times New Roman" w:hAnsi="Times New Roman"/>
          <w:szCs w:val="24"/>
        </w:rPr>
        <w:t>5</w:t>
      </w:r>
      <w:r w:rsidRPr="00677BAB" w:rsidR="00D10ECD">
        <w:rPr>
          <w:rFonts w:ascii="Times New Roman" w:hAnsi="Times New Roman"/>
          <w:szCs w:val="24"/>
        </w:rPr>
        <w:t xml:space="preserve"> full time equivalent employees (FTEs)</w:t>
      </w:r>
      <w:r w:rsidRPr="00677BAB" w:rsidR="004E4768">
        <w:rPr>
          <w:rFonts w:ascii="Times New Roman" w:hAnsi="Times New Roman"/>
          <w:szCs w:val="24"/>
        </w:rPr>
        <w:t>, though this number may increase during public health emergency events</w:t>
      </w:r>
      <w:r w:rsidRPr="00677BAB" w:rsidR="00E4071F">
        <w:rPr>
          <w:rFonts w:ascii="Times New Roman" w:hAnsi="Times New Roman"/>
          <w:szCs w:val="24"/>
        </w:rPr>
        <w:t>.</w:t>
      </w:r>
      <w:r w:rsidRPr="00677BAB" w:rsidR="00D10ECD">
        <w:rPr>
          <w:rFonts w:ascii="Times New Roman" w:hAnsi="Times New Roman"/>
          <w:szCs w:val="24"/>
        </w:rPr>
        <w:t xml:space="preserve"> The fully loaded cost of an FDA Center for Devices and Radiological Health FTE in 20</w:t>
      </w:r>
      <w:r w:rsidRPr="00677BAB" w:rsidR="00EC504A">
        <w:rPr>
          <w:rFonts w:ascii="Times New Roman" w:hAnsi="Times New Roman"/>
          <w:szCs w:val="24"/>
        </w:rPr>
        <w:t>20</w:t>
      </w:r>
      <w:r w:rsidRPr="00677BAB" w:rsidR="00D10ECD">
        <w:rPr>
          <w:rFonts w:ascii="Times New Roman" w:hAnsi="Times New Roman"/>
          <w:szCs w:val="24"/>
        </w:rPr>
        <w:t xml:space="preserve"> is $27</w:t>
      </w:r>
      <w:r w:rsidRPr="00677BAB" w:rsidR="00EC504A">
        <w:rPr>
          <w:rFonts w:ascii="Times New Roman" w:hAnsi="Times New Roman"/>
          <w:szCs w:val="24"/>
        </w:rPr>
        <w:t>8</w:t>
      </w:r>
      <w:r w:rsidRPr="00677BAB" w:rsidR="00D10ECD">
        <w:rPr>
          <w:rFonts w:ascii="Times New Roman" w:hAnsi="Times New Roman"/>
          <w:szCs w:val="24"/>
        </w:rPr>
        <w:t>,</w:t>
      </w:r>
      <w:r w:rsidRPr="00677BAB" w:rsidR="00EC504A">
        <w:rPr>
          <w:rFonts w:ascii="Times New Roman" w:hAnsi="Times New Roman"/>
          <w:szCs w:val="24"/>
        </w:rPr>
        <w:t>602</w:t>
      </w:r>
      <w:r w:rsidRPr="00677BAB" w:rsidR="00D10ECD">
        <w:rPr>
          <w:rFonts w:ascii="Times New Roman" w:hAnsi="Times New Roman"/>
          <w:szCs w:val="24"/>
        </w:rPr>
        <w:t>.</w:t>
      </w:r>
      <w:r w:rsidRPr="00677BAB" w:rsidR="00E4071F">
        <w:rPr>
          <w:rFonts w:ascii="Times New Roman" w:hAnsi="Times New Roman"/>
          <w:szCs w:val="24"/>
        </w:rPr>
        <w:t xml:space="preserve"> </w:t>
      </w:r>
      <w:r w:rsidRPr="00677BAB" w:rsidR="00DD0B45">
        <w:rPr>
          <w:rFonts w:ascii="Times New Roman" w:hAnsi="Times New Roman"/>
          <w:szCs w:val="24"/>
        </w:rPr>
        <w:t xml:space="preserve"> </w:t>
      </w:r>
      <w:r w:rsidR="001A0FDA">
        <w:rPr>
          <w:rFonts w:ascii="Times New Roman" w:hAnsi="Times New Roman"/>
          <w:szCs w:val="24"/>
        </w:rPr>
        <w:t>We t</w:t>
      </w:r>
      <w:r w:rsidRPr="00677BAB" w:rsidR="00DD0B45">
        <w:rPr>
          <w:rFonts w:ascii="Times New Roman" w:hAnsi="Times New Roman"/>
          <w:szCs w:val="24"/>
        </w:rPr>
        <w:t>he</w:t>
      </w:r>
      <w:r w:rsidRPr="00677BAB" w:rsidR="00D10ECD">
        <w:rPr>
          <w:rFonts w:ascii="Times New Roman" w:hAnsi="Times New Roman"/>
          <w:szCs w:val="24"/>
        </w:rPr>
        <w:t>refore</w:t>
      </w:r>
      <w:r w:rsidR="001A0FDA">
        <w:rPr>
          <w:rFonts w:ascii="Times New Roman" w:hAnsi="Times New Roman"/>
          <w:szCs w:val="24"/>
        </w:rPr>
        <w:t xml:space="preserve"> calculate an </w:t>
      </w:r>
      <w:r w:rsidRPr="00677BAB" w:rsidR="00BD786A">
        <w:rPr>
          <w:rFonts w:ascii="Times New Roman" w:hAnsi="Times New Roman"/>
          <w:szCs w:val="24"/>
        </w:rPr>
        <w:t xml:space="preserve">annualized </w:t>
      </w:r>
      <w:r w:rsidRPr="00677BAB" w:rsidR="00DD0B45">
        <w:rPr>
          <w:rFonts w:ascii="Times New Roman" w:hAnsi="Times New Roman"/>
          <w:szCs w:val="24"/>
        </w:rPr>
        <w:t xml:space="preserve">cost </w:t>
      </w:r>
      <w:r w:rsidR="001A0FDA">
        <w:rPr>
          <w:rFonts w:ascii="Times New Roman" w:hAnsi="Times New Roman"/>
          <w:szCs w:val="24"/>
        </w:rPr>
        <w:t>of</w:t>
      </w:r>
      <w:r w:rsidRPr="00677BAB" w:rsidR="00DD0B45">
        <w:rPr>
          <w:rFonts w:ascii="Times New Roman" w:hAnsi="Times New Roman"/>
          <w:szCs w:val="24"/>
        </w:rPr>
        <w:t xml:space="preserve"> $</w:t>
      </w:r>
      <w:r w:rsidRPr="00677BAB" w:rsidR="00EC504A">
        <w:rPr>
          <w:rFonts w:ascii="Times New Roman" w:hAnsi="Times New Roman"/>
          <w:szCs w:val="24"/>
        </w:rPr>
        <w:t>1,393,010</w:t>
      </w:r>
      <w:r w:rsidR="009D0301">
        <w:rPr>
          <w:rFonts w:ascii="Times New Roman" w:hAnsi="Times New Roman"/>
          <w:szCs w:val="24"/>
        </w:rPr>
        <w:t xml:space="preserve"> to FDA</w:t>
      </w:r>
      <w:r w:rsidRPr="00677BAB" w:rsidR="00DD0B45">
        <w:rPr>
          <w:rFonts w:ascii="Times New Roman" w:hAnsi="Times New Roman"/>
          <w:szCs w:val="24"/>
        </w:rPr>
        <w:t>.</w:t>
      </w:r>
    </w:p>
    <w:p w:rsidRPr="00677BAB" w:rsidR="00E879F7" w:rsidP="00677BAB" w:rsidRDefault="00E879F7" w14:paraId="40EB75E0" w14:textId="77777777">
      <w:pPr>
        <w:rPr>
          <w:rFonts w:ascii="Times New Roman" w:hAnsi="Times New Roman"/>
          <w:szCs w:val="24"/>
        </w:rPr>
      </w:pPr>
    </w:p>
    <w:p w:rsidRPr="00677BAB" w:rsidR="00892703" w:rsidP="00677BAB" w:rsidRDefault="009D0301" w14:paraId="2415F369" w14:textId="495C4E80">
      <w:pPr>
        <w:rPr>
          <w:rFonts w:ascii="Times New Roman" w:hAnsi="Times New Roman"/>
          <w:szCs w:val="24"/>
        </w:rPr>
      </w:pPr>
      <w:r>
        <w:rPr>
          <w:rFonts w:ascii="Times New Roman" w:hAnsi="Times New Roman"/>
          <w:szCs w:val="24"/>
        </w:rPr>
        <w:t xml:space="preserve">15.  </w:t>
      </w:r>
      <w:r w:rsidRPr="001E1823" w:rsidR="00892703">
        <w:rPr>
          <w:rFonts w:ascii="Times New Roman" w:hAnsi="Times New Roman"/>
          <w:szCs w:val="24"/>
          <w:u w:val="single"/>
        </w:rPr>
        <w:t>Explanation for Program Changes or Adjustments</w:t>
      </w:r>
    </w:p>
    <w:p w:rsidRPr="00677BAB" w:rsidR="00FB18FA" w:rsidP="00677BAB" w:rsidRDefault="00FB18FA" w14:paraId="7927BF3C" w14:textId="77777777">
      <w:pPr>
        <w:rPr>
          <w:rFonts w:ascii="Times New Roman" w:hAnsi="Times New Roman"/>
          <w:szCs w:val="24"/>
        </w:rPr>
      </w:pPr>
    </w:p>
    <w:p w:rsidRPr="00677BAB" w:rsidR="00FB18FA" w:rsidP="00677BAB" w:rsidRDefault="0078447E" w14:paraId="2D18E437" w14:textId="2FEDA41C">
      <w:pPr>
        <w:rPr>
          <w:rFonts w:ascii="Times New Roman" w:hAnsi="Times New Roman"/>
          <w:szCs w:val="24"/>
        </w:rPr>
      </w:pPr>
      <w:r>
        <w:rPr>
          <w:rFonts w:ascii="Times New Roman" w:hAnsi="Times New Roman"/>
          <w:szCs w:val="24"/>
        </w:rPr>
        <w:t xml:space="preserve">The information collection reflects changes and adjustments.  </w:t>
      </w:r>
      <w:r w:rsidRPr="00677BAB" w:rsidR="003E571B">
        <w:rPr>
          <w:rFonts w:ascii="Times New Roman" w:hAnsi="Times New Roman"/>
          <w:szCs w:val="24"/>
        </w:rPr>
        <w:t xml:space="preserve">We have </w:t>
      </w:r>
      <w:r w:rsidR="009D0301">
        <w:rPr>
          <w:rFonts w:ascii="Times New Roman" w:hAnsi="Times New Roman"/>
          <w:szCs w:val="24"/>
        </w:rPr>
        <w:t xml:space="preserve">revised the information collection to include voluntary collection elements and provisions related to the CARES Act.  This results in </w:t>
      </w:r>
      <w:r w:rsidR="00583D29">
        <w:rPr>
          <w:rFonts w:ascii="Times New Roman" w:hAnsi="Times New Roman"/>
          <w:szCs w:val="24"/>
        </w:rPr>
        <w:t>a</w:t>
      </w:r>
      <w:r w:rsidR="009845CA">
        <w:rPr>
          <w:rFonts w:ascii="Times New Roman" w:hAnsi="Times New Roman"/>
          <w:szCs w:val="24"/>
        </w:rPr>
        <w:t xml:space="preserve">n adjustment </w:t>
      </w:r>
      <w:r w:rsidRPr="00677BAB" w:rsidR="001036A4">
        <w:rPr>
          <w:rFonts w:ascii="Times New Roman" w:hAnsi="Times New Roman"/>
          <w:szCs w:val="24"/>
        </w:rPr>
        <w:t xml:space="preserve">of </w:t>
      </w:r>
      <w:r w:rsidR="001E1823">
        <w:rPr>
          <w:rFonts w:ascii="Times New Roman" w:hAnsi="Times New Roman"/>
          <w:szCs w:val="24"/>
        </w:rPr>
        <w:t xml:space="preserve">an additional </w:t>
      </w:r>
      <w:r w:rsidRPr="00677BAB" w:rsidR="001036A4">
        <w:rPr>
          <w:rFonts w:ascii="Times New Roman" w:hAnsi="Times New Roman"/>
          <w:szCs w:val="24"/>
        </w:rPr>
        <w:t>2,</w:t>
      </w:r>
      <w:r w:rsidR="004D476D">
        <w:rPr>
          <w:rFonts w:ascii="Times New Roman" w:hAnsi="Times New Roman"/>
          <w:szCs w:val="24"/>
        </w:rPr>
        <w:t>719</w:t>
      </w:r>
      <w:r w:rsidRPr="00677BAB" w:rsidR="001036A4">
        <w:rPr>
          <w:rFonts w:ascii="Times New Roman" w:hAnsi="Times New Roman"/>
          <w:szCs w:val="24"/>
        </w:rPr>
        <w:t xml:space="preserve"> hours </w:t>
      </w:r>
      <w:r w:rsidR="001E1823">
        <w:rPr>
          <w:rFonts w:ascii="Times New Roman" w:hAnsi="Times New Roman"/>
          <w:szCs w:val="24"/>
        </w:rPr>
        <w:t>and</w:t>
      </w:r>
      <w:r w:rsidR="00D10CD0">
        <w:rPr>
          <w:rFonts w:ascii="Times New Roman" w:hAnsi="Times New Roman"/>
          <w:szCs w:val="24"/>
        </w:rPr>
        <w:t xml:space="preserve"> </w:t>
      </w:r>
      <w:bookmarkStart w:name="_GoBack" w:id="1"/>
      <w:bookmarkEnd w:id="1"/>
      <w:r w:rsidR="000E51E4">
        <w:rPr>
          <w:rFonts w:ascii="Times New Roman" w:hAnsi="Times New Roman"/>
          <w:szCs w:val="24"/>
        </w:rPr>
        <w:t>9,655</w:t>
      </w:r>
      <w:r w:rsidR="001E1823">
        <w:rPr>
          <w:rFonts w:ascii="Times New Roman" w:hAnsi="Times New Roman"/>
          <w:szCs w:val="24"/>
        </w:rPr>
        <w:t xml:space="preserve"> responses annually.</w:t>
      </w:r>
    </w:p>
    <w:p w:rsidRPr="00677BAB" w:rsidR="001036A4" w:rsidP="00677BAB" w:rsidRDefault="001036A4" w14:paraId="0C9911AC" w14:textId="77777777">
      <w:pPr>
        <w:rPr>
          <w:rFonts w:ascii="Times New Roman" w:hAnsi="Times New Roman"/>
          <w:szCs w:val="24"/>
        </w:rPr>
      </w:pPr>
    </w:p>
    <w:p w:rsidRPr="00677BAB" w:rsidR="00892703" w:rsidP="00677BAB" w:rsidRDefault="00892703" w14:paraId="2EF7EBE5" w14:textId="2D524995">
      <w:pPr>
        <w:rPr>
          <w:rFonts w:ascii="Times New Roman" w:hAnsi="Times New Roman"/>
          <w:szCs w:val="24"/>
        </w:rPr>
      </w:pPr>
      <w:r w:rsidRPr="00677BAB">
        <w:rPr>
          <w:rFonts w:ascii="Times New Roman" w:hAnsi="Times New Roman"/>
          <w:szCs w:val="24"/>
        </w:rPr>
        <w:t>16.</w:t>
      </w:r>
      <w:r w:rsidR="001E1823">
        <w:rPr>
          <w:rFonts w:ascii="Times New Roman" w:hAnsi="Times New Roman"/>
          <w:szCs w:val="24"/>
        </w:rPr>
        <w:t xml:space="preserve">  </w:t>
      </w:r>
      <w:r w:rsidRPr="001E1823">
        <w:rPr>
          <w:rFonts w:ascii="Times New Roman" w:hAnsi="Times New Roman"/>
          <w:szCs w:val="24"/>
          <w:u w:val="single"/>
        </w:rPr>
        <w:t>Plans for Tabulation and Publication and Project Time Schedule</w:t>
      </w:r>
    </w:p>
    <w:p w:rsidRPr="00677BAB" w:rsidR="00892703" w:rsidP="00677BAB" w:rsidRDefault="00892703" w14:paraId="782188D4" w14:textId="77777777">
      <w:pPr>
        <w:rPr>
          <w:rFonts w:ascii="Times New Roman" w:hAnsi="Times New Roman"/>
          <w:szCs w:val="24"/>
        </w:rPr>
      </w:pPr>
    </w:p>
    <w:p w:rsidRPr="00677BAB" w:rsidR="00892703" w:rsidP="00677BAB" w:rsidRDefault="00892703" w14:paraId="398B28A6" w14:textId="77777777">
      <w:pPr>
        <w:rPr>
          <w:rFonts w:ascii="Times New Roman" w:hAnsi="Times New Roman"/>
          <w:szCs w:val="24"/>
        </w:rPr>
      </w:pPr>
      <w:r w:rsidRPr="00677BAB">
        <w:rPr>
          <w:rFonts w:ascii="Times New Roman" w:hAnsi="Times New Roman"/>
          <w:szCs w:val="24"/>
        </w:rPr>
        <w:t>No publication of information for statistical use is planned.</w:t>
      </w:r>
    </w:p>
    <w:p w:rsidRPr="00677BAB" w:rsidR="00892703" w:rsidP="00677BAB" w:rsidRDefault="00892703" w14:paraId="2AA3370E" w14:textId="77777777">
      <w:pPr>
        <w:rPr>
          <w:rFonts w:ascii="Times New Roman" w:hAnsi="Times New Roman"/>
          <w:szCs w:val="24"/>
        </w:rPr>
      </w:pPr>
    </w:p>
    <w:p w:rsidRPr="00677BAB" w:rsidR="00892703" w:rsidP="00677BAB" w:rsidRDefault="00892703" w14:paraId="5283EA41" w14:textId="7C75C7D7">
      <w:pPr>
        <w:rPr>
          <w:rFonts w:ascii="Times New Roman" w:hAnsi="Times New Roman"/>
          <w:szCs w:val="24"/>
        </w:rPr>
      </w:pPr>
      <w:r w:rsidRPr="00677BAB">
        <w:rPr>
          <w:rFonts w:ascii="Times New Roman" w:hAnsi="Times New Roman"/>
          <w:szCs w:val="24"/>
        </w:rPr>
        <w:t>17.</w:t>
      </w:r>
      <w:r w:rsidR="001E1823">
        <w:rPr>
          <w:rFonts w:ascii="Times New Roman" w:hAnsi="Times New Roman"/>
          <w:szCs w:val="24"/>
        </w:rPr>
        <w:t xml:space="preserve">  </w:t>
      </w:r>
      <w:r w:rsidRPr="001E1823">
        <w:rPr>
          <w:rFonts w:ascii="Times New Roman" w:hAnsi="Times New Roman"/>
          <w:szCs w:val="24"/>
          <w:u w:val="single"/>
        </w:rPr>
        <w:t>Reason(s) Display of OMB Expiration Date is Inappropriate</w:t>
      </w:r>
    </w:p>
    <w:p w:rsidRPr="00677BAB" w:rsidR="00892703" w:rsidP="00677BAB" w:rsidRDefault="00892703" w14:paraId="29BE951C" w14:textId="77777777">
      <w:pPr>
        <w:rPr>
          <w:rFonts w:ascii="Times New Roman" w:hAnsi="Times New Roman"/>
          <w:szCs w:val="24"/>
        </w:rPr>
      </w:pPr>
    </w:p>
    <w:p w:rsidRPr="00677BAB" w:rsidR="00892703" w:rsidP="00677BAB" w:rsidRDefault="001E1823" w14:paraId="0F6B1051" w14:textId="2B5177BD">
      <w:pPr>
        <w:rPr>
          <w:rFonts w:ascii="Times New Roman" w:hAnsi="Times New Roman"/>
          <w:szCs w:val="24"/>
        </w:rPr>
      </w:pPr>
      <w:r>
        <w:rPr>
          <w:rFonts w:ascii="Times New Roman" w:hAnsi="Times New Roman"/>
          <w:szCs w:val="24"/>
        </w:rPr>
        <w:t xml:space="preserve">Display of the </w:t>
      </w:r>
      <w:r w:rsidR="000D5A40">
        <w:rPr>
          <w:rFonts w:ascii="Times New Roman" w:hAnsi="Times New Roman"/>
          <w:szCs w:val="24"/>
        </w:rPr>
        <w:t>OMB expiration date is appropriate.</w:t>
      </w:r>
    </w:p>
    <w:p w:rsidRPr="00677BAB" w:rsidR="00892703" w:rsidP="00677BAB" w:rsidRDefault="00892703" w14:paraId="195DAF4C" w14:textId="77777777">
      <w:pPr>
        <w:rPr>
          <w:rFonts w:ascii="Times New Roman" w:hAnsi="Times New Roman"/>
          <w:szCs w:val="24"/>
        </w:rPr>
      </w:pPr>
    </w:p>
    <w:p w:rsidRPr="00677BAB" w:rsidR="00892703" w:rsidP="00677BAB" w:rsidRDefault="00892703" w14:paraId="3A1AAF1B" w14:textId="33463CDD">
      <w:pPr>
        <w:rPr>
          <w:rFonts w:ascii="Times New Roman" w:hAnsi="Times New Roman"/>
          <w:szCs w:val="24"/>
        </w:rPr>
      </w:pPr>
      <w:r w:rsidRPr="00677BAB">
        <w:rPr>
          <w:rFonts w:ascii="Times New Roman" w:hAnsi="Times New Roman"/>
          <w:szCs w:val="24"/>
        </w:rPr>
        <w:t>18.</w:t>
      </w:r>
      <w:r w:rsidR="001E1823">
        <w:rPr>
          <w:rFonts w:ascii="Times New Roman" w:hAnsi="Times New Roman"/>
          <w:szCs w:val="24"/>
        </w:rPr>
        <w:t xml:space="preserve">  </w:t>
      </w:r>
      <w:r w:rsidRPr="001E1823">
        <w:rPr>
          <w:rFonts w:ascii="Times New Roman" w:hAnsi="Times New Roman"/>
          <w:szCs w:val="24"/>
          <w:u w:val="single"/>
        </w:rPr>
        <w:t>Exceptions to Certification for Paperwork Reduction Act Submissions</w:t>
      </w:r>
    </w:p>
    <w:p w:rsidRPr="00677BAB" w:rsidR="00892703" w:rsidP="00677BAB" w:rsidRDefault="00892703" w14:paraId="2CBC7700" w14:textId="77777777">
      <w:pPr>
        <w:rPr>
          <w:rFonts w:ascii="Times New Roman" w:hAnsi="Times New Roman"/>
          <w:szCs w:val="24"/>
        </w:rPr>
      </w:pPr>
    </w:p>
    <w:p w:rsidRPr="00677BAB" w:rsidR="00892703" w:rsidP="00677BAB" w:rsidRDefault="00892703" w14:paraId="552E0CD2" w14:textId="77777777">
      <w:pPr>
        <w:rPr>
          <w:rFonts w:ascii="Times New Roman" w:hAnsi="Times New Roman"/>
          <w:szCs w:val="24"/>
        </w:rPr>
      </w:pPr>
      <w:r w:rsidRPr="00677BAB">
        <w:rPr>
          <w:rFonts w:ascii="Times New Roman" w:hAnsi="Times New Roman"/>
          <w:szCs w:val="24"/>
        </w:rPr>
        <w:t>There are no exceptions to the certification.</w:t>
      </w:r>
    </w:p>
    <w:p w:rsidRPr="00677BAB" w:rsidR="00600545" w:rsidP="00677BAB" w:rsidRDefault="00600545" w14:paraId="62AEBB9D" w14:textId="77777777">
      <w:pPr>
        <w:rPr>
          <w:rFonts w:ascii="Times New Roman" w:hAnsi="Times New Roman"/>
          <w:szCs w:val="24"/>
        </w:rPr>
      </w:pPr>
    </w:p>
    <w:p w:rsidRPr="00677BAB" w:rsidR="008C314A" w:rsidP="00677BAB" w:rsidRDefault="00AD7F0F" w14:paraId="64606261" w14:textId="77777777">
      <w:pPr>
        <w:rPr>
          <w:rFonts w:ascii="Times New Roman" w:hAnsi="Times New Roman"/>
          <w:szCs w:val="24"/>
        </w:rPr>
      </w:pPr>
      <w:r w:rsidRPr="00677BAB">
        <w:rPr>
          <w:rFonts w:ascii="Times New Roman" w:hAnsi="Times New Roman"/>
          <w:szCs w:val="24"/>
        </w:rPr>
        <w:t xml:space="preserve"> </w:t>
      </w:r>
    </w:p>
    <w:sectPr w:rsidRPr="00677BAB" w:rsidR="008C314A" w:rsidSect="00774866">
      <w:footerReference w:type="even" r:id="rId8"/>
      <w:footerReference w:type="default" r:id="rId9"/>
      <w:pgSz w:w="12240" w:h="15840" w:code="1"/>
      <w:pgMar w:top="1440" w:right="1584" w:bottom="1440" w:left="15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EA031" w14:textId="77777777" w:rsidR="00FF4831" w:rsidRDefault="00FF4831">
      <w:r>
        <w:separator/>
      </w:r>
    </w:p>
  </w:endnote>
  <w:endnote w:type="continuationSeparator" w:id="0">
    <w:p w14:paraId="1C61FAA9" w14:textId="77777777" w:rsidR="00FF4831" w:rsidRDefault="00F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2E863" w14:textId="77777777" w:rsidR="00F54D87" w:rsidRDefault="00F54D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99E812" w14:textId="77777777" w:rsidR="00F54D87" w:rsidRDefault="00F54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5694" w14:textId="0818050E" w:rsidR="00F54D87" w:rsidRPr="00550295" w:rsidRDefault="00F54D87">
    <w:pPr>
      <w:pStyle w:val="Footer"/>
      <w:framePr w:wrap="around" w:vAnchor="text" w:hAnchor="margin" w:xAlign="center" w:y="1"/>
      <w:rPr>
        <w:rStyle w:val="PageNumber"/>
        <w:rFonts w:ascii="Times New Roman" w:hAnsi="Times New Roman"/>
        <w:sz w:val="22"/>
        <w:szCs w:val="22"/>
      </w:rPr>
    </w:pPr>
    <w:r w:rsidRPr="00550295">
      <w:rPr>
        <w:rStyle w:val="PageNumber"/>
        <w:rFonts w:ascii="Times New Roman" w:hAnsi="Times New Roman"/>
        <w:sz w:val="22"/>
        <w:szCs w:val="22"/>
      </w:rPr>
      <w:fldChar w:fldCharType="begin"/>
    </w:r>
    <w:r w:rsidRPr="00550295">
      <w:rPr>
        <w:rStyle w:val="PageNumber"/>
        <w:rFonts w:ascii="Times New Roman" w:hAnsi="Times New Roman"/>
        <w:sz w:val="22"/>
        <w:szCs w:val="22"/>
      </w:rPr>
      <w:instrText xml:space="preserve">PAGE  </w:instrText>
    </w:r>
    <w:r w:rsidRPr="00550295">
      <w:rPr>
        <w:rStyle w:val="PageNumber"/>
        <w:rFonts w:ascii="Times New Roman" w:hAnsi="Times New Roman"/>
        <w:sz w:val="22"/>
        <w:szCs w:val="22"/>
      </w:rPr>
      <w:fldChar w:fldCharType="separate"/>
    </w:r>
    <w:r w:rsidR="00EC52FC" w:rsidRPr="00550295">
      <w:rPr>
        <w:rStyle w:val="PageNumber"/>
        <w:rFonts w:ascii="Times New Roman" w:hAnsi="Times New Roman"/>
        <w:noProof/>
        <w:sz w:val="22"/>
        <w:szCs w:val="22"/>
      </w:rPr>
      <w:t>4</w:t>
    </w:r>
    <w:r w:rsidRPr="00550295">
      <w:rPr>
        <w:rStyle w:val="PageNumber"/>
        <w:rFonts w:ascii="Times New Roman" w:hAnsi="Times New Roman"/>
        <w:sz w:val="22"/>
        <w:szCs w:val="22"/>
      </w:rPr>
      <w:fldChar w:fldCharType="end"/>
    </w:r>
  </w:p>
  <w:p w14:paraId="1EF8380C" w14:textId="77777777" w:rsidR="00F54D87" w:rsidRDefault="00F5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B1D43" w14:textId="77777777" w:rsidR="00FF4831" w:rsidRDefault="00FF4831">
      <w:r>
        <w:separator/>
      </w:r>
    </w:p>
  </w:footnote>
  <w:footnote w:type="continuationSeparator" w:id="0">
    <w:p w14:paraId="751197EA" w14:textId="77777777" w:rsidR="00FF4831" w:rsidRDefault="00FF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1A0A"/>
    <w:multiLevelType w:val="hybridMultilevel"/>
    <w:tmpl w:val="5C22F908"/>
    <w:lvl w:ilvl="0" w:tplc="50FC5B56">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B213BA"/>
    <w:multiLevelType w:val="singleLevel"/>
    <w:tmpl w:val="FE6640E2"/>
    <w:lvl w:ilvl="0">
      <w:start w:val="1"/>
      <w:numFmt w:val="decimal"/>
      <w:lvlText w:val="%1."/>
      <w:lvlJc w:val="left"/>
      <w:pPr>
        <w:tabs>
          <w:tab w:val="num" w:pos="540"/>
        </w:tabs>
        <w:ind w:left="540" w:hanging="540"/>
      </w:pPr>
      <w:rPr>
        <w:rFonts w:hint="default"/>
        <w:u w:val="none"/>
      </w:rPr>
    </w:lvl>
  </w:abstractNum>
  <w:abstractNum w:abstractNumId="2" w15:restartNumberingAfterBreak="0">
    <w:nsid w:val="13ED3148"/>
    <w:multiLevelType w:val="singleLevel"/>
    <w:tmpl w:val="332476D6"/>
    <w:lvl w:ilvl="0">
      <w:start w:val="1"/>
      <w:numFmt w:val="decimal"/>
      <w:lvlText w:val="%1."/>
      <w:lvlJc w:val="left"/>
      <w:pPr>
        <w:tabs>
          <w:tab w:val="num" w:pos="360"/>
        </w:tabs>
        <w:ind w:left="360" w:hanging="360"/>
      </w:pPr>
      <w:rPr>
        <w:rFonts w:hint="default"/>
      </w:rPr>
    </w:lvl>
  </w:abstractNum>
  <w:abstractNum w:abstractNumId="3" w15:restartNumberingAfterBreak="0">
    <w:nsid w:val="19BF640C"/>
    <w:multiLevelType w:val="hybridMultilevel"/>
    <w:tmpl w:val="E81A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E1048"/>
    <w:multiLevelType w:val="hybridMultilevel"/>
    <w:tmpl w:val="BBF8AD96"/>
    <w:lvl w:ilvl="0" w:tplc="651C6D8C">
      <w:start w:val="1"/>
      <w:numFmt w:val="decimal"/>
      <w:lvlText w:val="%1."/>
      <w:lvlJc w:val="left"/>
      <w:pPr>
        <w:tabs>
          <w:tab w:val="num" w:pos="1260"/>
        </w:tabs>
        <w:ind w:left="1260" w:hanging="360"/>
      </w:pPr>
      <w:rPr>
        <w:rFonts w:hint="default"/>
      </w:rPr>
    </w:lvl>
    <w:lvl w:ilvl="1" w:tplc="24BEFD5C" w:tentative="1">
      <w:start w:val="1"/>
      <w:numFmt w:val="bullet"/>
      <w:lvlText w:val="o"/>
      <w:lvlJc w:val="left"/>
      <w:pPr>
        <w:tabs>
          <w:tab w:val="num" w:pos="1980"/>
        </w:tabs>
        <w:ind w:left="1980" w:hanging="360"/>
      </w:pPr>
      <w:rPr>
        <w:rFonts w:ascii="Courier New" w:hAnsi="Courier New" w:cs="Courier New" w:hint="default"/>
      </w:rPr>
    </w:lvl>
    <w:lvl w:ilvl="2" w:tplc="5106D19E" w:tentative="1">
      <w:start w:val="1"/>
      <w:numFmt w:val="bullet"/>
      <w:lvlText w:val=""/>
      <w:lvlJc w:val="left"/>
      <w:pPr>
        <w:tabs>
          <w:tab w:val="num" w:pos="2700"/>
        </w:tabs>
        <w:ind w:left="2700" w:hanging="360"/>
      </w:pPr>
      <w:rPr>
        <w:rFonts w:ascii="Wingdings" w:hAnsi="Wingdings" w:hint="default"/>
      </w:rPr>
    </w:lvl>
    <w:lvl w:ilvl="3" w:tplc="192AE21E" w:tentative="1">
      <w:start w:val="1"/>
      <w:numFmt w:val="bullet"/>
      <w:lvlText w:val=""/>
      <w:lvlJc w:val="left"/>
      <w:pPr>
        <w:tabs>
          <w:tab w:val="num" w:pos="3420"/>
        </w:tabs>
        <w:ind w:left="3420" w:hanging="360"/>
      </w:pPr>
      <w:rPr>
        <w:rFonts w:ascii="Symbol" w:hAnsi="Symbol" w:hint="default"/>
      </w:rPr>
    </w:lvl>
    <w:lvl w:ilvl="4" w:tplc="1FA43894" w:tentative="1">
      <w:start w:val="1"/>
      <w:numFmt w:val="bullet"/>
      <w:lvlText w:val="o"/>
      <w:lvlJc w:val="left"/>
      <w:pPr>
        <w:tabs>
          <w:tab w:val="num" w:pos="4140"/>
        </w:tabs>
        <w:ind w:left="4140" w:hanging="360"/>
      </w:pPr>
      <w:rPr>
        <w:rFonts w:ascii="Courier New" w:hAnsi="Courier New" w:cs="Courier New" w:hint="default"/>
      </w:rPr>
    </w:lvl>
    <w:lvl w:ilvl="5" w:tplc="D116D058" w:tentative="1">
      <w:start w:val="1"/>
      <w:numFmt w:val="bullet"/>
      <w:lvlText w:val=""/>
      <w:lvlJc w:val="left"/>
      <w:pPr>
        <w:tabs>
          <w:tab w:val="num" w:pos="4860"/>
        </w:tabs>
        <w:ind w:left="4860" w:hanging="360"/>
      </w:pPr>
      <w:rPr>
        <w:rFonts w:ascii="Wingdings" w:hAnsi="Wingdings" w:hint="default"/>
      </w:rPr>
    </w:lvl>
    <w:lvl w:ilvl="6" w:tplc="7C1473E2" w:tentative="1">
      <w:start w:val="1"/>
      <w:numFmt w:val="bullet"/>
      <w:lvlText w:val=""/>
      <w:lvlJc w:val="left"/>
      <w:pPr>
        <w:tabs>
          <w:tab w:val="num" w:pos="5580"/>
        </w:tabs>
        <w:ind w:left="5580" w:hanging="360"/>
      </w:pPr>
      <w:rPr>
        <w:rFonts w:ascii="Symbol" w:hAnsi="Symbol" w:hint="default"/>
      </w:rPr>
    </w:lvl>
    <w:lvl w:ilvl="7" w:tplc="430EF232" w:tentative="1">
      <w:start w:val="1"/>
      <w:numFmt w:val="bullet"/>
      <w:lvlText w:val="o"/>
      <w:lvlJc w:val="left"/>
      <w:pPr>
        <w:tabs>
          <w:tab w:val="num" w:pos="6300"/>
        </w:tabs>
        <w:ind w:left="6300" w:hanging="360"/>
      </w:pPr>
      <w:rPr>
        <w:rFonts w:ascii="Courier New" w:hAnsi="Courier New" w:cs="Courier New" w:hint="default"/>
      </w:rPr>
    </w:lvl>
    <w:lvl w:ilvl="8" w:tplc="2DE400C6"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35A7F58"/>
    <w:multiLevelType w:val="hybridMultilevel"/>
    <w:tmpl w:val="1180A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D54A9"/>
    <w:multiLevelType w:val="hybridMultilevel"/>
    <w:tmpl w:val="C3BC8E7C"/>
    <w:lvl w:ilvl="0" w:tplc="C5C00296">
      <w:start w:val="15"/>
      <w:numFmt w:val="decimal"/>
      <w:lvlText w:val="%1."/>
      <w:lvlJc w:val="left"/>
      <w:pPr>
        <w:tabs>
          <w:tab w:val="num" w:pos="540"/>
        </w:tabs>
        <w:ind w:left="540" w:hanging="540"/>
      </w:pPr>
      <w:rPr>
        <w:rFonts w:hint="default"/>
        <w:b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CE210CC"/>
    <w:multiLevelType w:val="hybridMultilevel"/>
    <w:tmpl w:val="36CA66DE"/>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38F0236"/>
    <w:multiLevelType w:val="singleLevel"/>
    <w:tmpl w:val="F274D150"/>
    <w:lvl w:ilvl="0">
      <w:start w:val="1"/>
      <w:numFmt w:val="lowerLetter"/>
      <w:lvlText w:val="%1."/>
      <w:lvlJc w:val="left"/>
      <w:pPr>
        <w:tabs>
          <w:tab w:val="num" w:pos="900"/>
        </w:tabs>
        <w:ind w:left="900" w:hanging="360"/>
      </w:pPr>
      <w:rPr>
        <w:rFonts w:hint="default"/>
      </w:rPr>
    </w:lvl>
  </w:abstractNum>
  <w:abstractNum w:abstractNumId="9" w15:restartNumberingAfterBreak="0">
    <w:nsid w:val="4F466F80"/>
    <w:multiLevelType w:val="hybridMultilevel"/>
    <w:tmpl w:val="A100F60C"/>
    <w:lvl w:ilvl="0" w:tplc="FE0A8FAC">
      <w:start w:val="1"/>
      <w:numFmt w:val="bullet"/>
      <w:lvlText w:val="-"/>
      <w:lvlJc w:val="left"/>
      <w:pPr>
        <w:tabs>
          <w:tab w:val="num" w:pos="1080"/>
        </w:tabs>
        <w:ind w:left="1080" w:hanging="360"/>
      </w:pPr>
      <w:rPr>
        <w:rFonts w:ascii="Arial" w:hAnsi="Arial" w:hint="default"/>
        <w:color w:val="0000FF"/>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DA4823"/>
    <w:multiLevelType w:val="hybridMultilevel"/>
    <w:tmpl w:val="E1CE1704"/>
    <w:lvl w:ilvl="0" w:tplc="FE0A8FAC">
      <w:start w:val="1"/>
      <w:numFmt w:val="bullet"/>
      <w:lvlText w:val="-"/>
      <w:lvlJc w:val="left"/>
      <w:pPr>
        <w:ind w:left="1260" w:hanging="360"/>
      </w:pPr>
      <w:rPr>
        <w:rFonts w:ascii="Arial" w:hAnsi="Arial" w:hint="default"/>
        <w:color w:val="0000FF"/>
        <w:sz w:val="2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FF0B05"/>
    <w:multiLevelType w:val="hybridMultilevel"/>
    <w:tmpl w:val="D93C4D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DD978D9"/>
    <w:multiLevelType w:val="hybridMultilevel"/>
    <w:tmpl w:val="F96A07D8"/>
    <w:lvl w:ilvl="0" w:tplc="19588DAE">
      <w:start w:val="1"/>
      <w:numFmt w:val="bullet"/>
      <w:lvlText w:val=""/>
      <w:lvlJc w:val="left"/>
      <w:pPr>
        <w:tabs>
          <w:tab w:val="num" w:pos="1260"/>
        </w:tabs>
        <w:ind w:left="1260" w:hanging="360"/>
      </w:pPr>
      <w:rPr>
        <w:rFonts w:ascii="Symbol" w:hAnsi="Symbol" w:hint="default"/>
      </w:rPr>
    </w:lvl>
    <w:lvl w:ilvl="1" w:tplc="BC42B1E8" w:tentative="1">
      <w:start w:val="1"/>
      <w:numFmt w:val="bullet"/>
      <w:lvlText w:val="o"/>
      <w:lvlJc w:val="left"/>
      <w:pPr>
        <w:tabs>
          <w:tab w:val="num" w:pos="1980"/>
        </w:tabs>
        <w:ind w:left="1980" w:hanging="360"/>
      </w:pPr>
      <w:rPr>
        <w:rFonts w:ascii="Courier New" w:hAnsi="Courier New" w:cs="Courier New" w:hint="default"/>
      </w:rPr>
    </w:lvl>
    <w:lvl w:ilvl="2" w:tplc="86A6320A" w:tentative="1">
      <w:start w:val="1"/>
      <w:numFmt w:val="bullet"/>
      <w:lvlText w:val=""/>
      <w:lvlJc w:val="left"/>
      <w:pPr>
        <w:tabs>
          <w:tab w:val="num" w:pos="2700"/>
        </w:tabs>
        <w:ind w:left="2700" w:hanging="360"/>
      </w:pPr>
      <w:rPr>
        <w:rFonts w:ascii="Wingdings" w:hAnsi="Wingdings" w:hint="default"/>
      </w:rPr>
    </w:lvl>
    <w:lvl w:ilvl="3" w:tplc="FF4CB096" w:tentative="1">
      <w:start w:val="1"/>
      <w:numFmt w:val="bullet"/>
      <w:lvlText w:val=""/>
      <w:lvlJc w:val="left"/>
      <w:pPr>
        <w:tabs>
          <w:tab w:val="num" w:pos="3420"/>
        </w:tabs>
        <w:ind w:left="3420" w:hanging="360"/>
      </w:pPr>
      <w:rPr>
        <w:rFonts w:ascii="Symbol" w:hAnsi="Symbol" w:hint="default"/>
      </w:rPr>
    </w:lvl>
    <w:lvl w:ilvl="4" w:tplc="F5C0486A" w:tentative="1">
      <w:start w:val="1"/>
      <w:numFmt w:val="bullet"/>
      <w:lvlText w:val="o"/>
      <w:lvlJc w:val="left"/>
      <w:pPr>
        <w:tabs>
          <w:tab w:val="num" w:pos="4140"/>
        </w:tabs>
        <w:ind w:left="4140" w:hanging="360"/>
      </w:pPr>
      <w:rPr>
        <w:rFonts w:ascii="Courier New" w:hAnsi="Courier New" w:cs="Courier New" w:hint="default"/>
      </w:rPr>
    </w:lvl>
    <w:lvl w:ilvl="5" w:tplc="58B456FC" w:tentative="1">
      <w:start w:val="1"/>
      <w:numFmt w:val="bullet"/>
      <w:lvlText w:val=""/>
      <w:lvlJc w:val="left"/>
      <w:pPr>
        <w:tabs>
          <w:tab w:val="num" w:pos="4860"/>
        </w:tabs>
        <w:ind w:left="4860" w:hanging="360"/>
      </w:pPr>
      <w:rPr>
        <w:rFonts w:ascii="Wingdings" w:hAnsi="Wingdings" w:hint="default"/>
      </w:rPr>
    </w:lvl>
    <w:lvl w:ilvl="6" w:tplc="8A1CB506" w:tentative="1">
      <w:start w:val="1"/>
      <w:numFmt w:val="bullet"/>
      <w:lvlText w:val=""/>
      <w:lvlJc w:val="left"/>
      <w:pPr>
        <w:tabs>
          <w:tab w:val="num" w:pos="5580"/>
        </w:tabs>
        <w:ind w:left="5580" w:hanging="360"/>
      </w:pPr>
      <w:rPr>
        <w:rFonts w:ascii="Symbol" w:hAnsi="Symbol" w:hint="default"/>
      </w:rPr>
    </w:lvl>
    <w:lvl w:ilvl="7" w:tplc="2B920904" w:tentative="1">
      <w:start w:val="1"/>
      <w:numFmt w:val="bullet"/>
      <w:lvlText w:val="o"/>
      <w:lvlJc w:val="left"/>
      <w:pPr>
        <w:tabs>
          <w:tab w:val="num" w:pos="6300"/>
        </w:tabs>
        <w:ind w:left="6300" w:hanging="360"/>
      </w:pPr>
      <w:rPr>
        <w:rFonts w:ascii="Courier New" w:hAnsi="Courier New" w:cs="Courier New" w:hint="default"/>
      </w:rPr>
    </w:lvl>
    <w:lvl w:ilvl="8" w:tplc="3EB4FCF0"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73D808F3"/>
    <w:multiLevelType w:val="hybridMultilevel"/>
    <w:tmpl w:val="0E147F4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4" w15:restartNumberingAfterBreak="0">
    <w:nsid w:val="779842BE"/>
    <w:multiLevelType w:val="hybridMultilevel"/>
    <w:tmpl w:val="8278A264"/>
    <w:lvl w:ilvl="0" w:tplc="CD4C98A6">
      <w:start w:val="1"/>
      <w:numFmt w:val="bullet"/>
      <w:lvlText w:val=""/>
      <w:lvlJc w:val="left"/>
      <w:pPr>
        <w:tabs>
          <w:tab w:val="num" w:pos="1080"/>
        </w:tabs>
        <w:ind w:left="1080" w:hanging="360"/>
      </w:pPr>
      <w:rPr>
        <w:rFonts w:ascii="Symbol" w:hAnsi="Symbol" w:hint="default"/>
      </w:rPr>
    </w:lvl>
    <w:lvl w:ilvl="1" w:tplc="95205724" w:tentative="1">
      <w:start w:val="1"/>
      <w:numFmt w:val="bullet"/>
      <w:lvlText w:val="o"/>
      <w:lvlJc w:val="left"/>
      <w:pPr>
        <w:tabs>
          <w:tab w:val="num" w:pos="1800"/>
        </w:tabs>
        <w:ind w:left="1800" w:hanging="360"/>
      </w:pPr>
      <w:rPr>
        <w:rFonts w:ascii="Courier New" w:hAnsi="Courier New" w:cs="Courier New" w:hint="default"/>
      </w:rPr>
    </w:lvl>
    <w:lvl w:ilvl="2" w:tplc="80E8CF16" w:tentative="1">
      <w:start w:val="1"/>
      <w:numFmt w:val="bullet"/>
      <w:lvlText w:val=""/>
      <w:lvlJc w:val="left"/>
      <w:pPr>
        <w:tabs>
          <w:tab w:val="num" w:pos="2520"/>
        </w:tabs>
        <w:ind w:left="2520" w:hanging="360"/>
      </w:pPr>
      <w:rPr>
        <w:rFonts w:ascii="Wingdings" w:hAnsi="Wingdings" w:hint="default"/>
      </w:rPr>
    </w:lvl>
    <w:lvl w:ilvl="3" w:tplc="2CF0405A" w:tentative="1">
      <w:start w:val="1"/>
      <w:numFmt w:val="bullet"/>
      <w:lvlText w:val=""/>
      <w:lvlJc w:val="left"/>
      <w:pPr>
        <w:tabs>
          <w:tab w:val="num" w:pos="3240"/>
        </w:tabs>
        <w:ind w:left="3240" w:hanging="360"/>
      </w:pPr>
      <w:rPr>
        <w:rFonts w:ascii="Symbol" w:hAnsi="Symbol" w:hint="default"/>
      </w:rPr>
    </w:lvl>
    <w:lvl w:ilvl="4" w:tplc="455429CC" w:tentative="1">
      <w:start w:val="1"/>
      <w:numFmt w:val="bullet"/>
      <w:lvlText w:val="o"/>
      <w:lvlJc w:val="left"/>
      <w:pPr>
        <w:tabs>
          <w:tab w:val="num" w:pos="3960"/>
        </w:tabs>
        <w:ind w:left="3960" w:hanging="360"/>
      </w:pPr>
      <w:rPr>
        <w:rFonts w:ascii="Courier New" w:hAnsi="Courier New" w:cs="Courier New" w:hint="default"/>
      </w:rPr>
    </w:lvl>
    <w:lvl w:ilvl="5" w:tplc="F8BC08FA" w:tentative="1">
      <w:start w:val="1"/>
      <w:numFmt w:val="bullet"/>
      <w:lvlText w:val=""/>
      <w:lvlJc w:val="left"/>
      <w:pPr>
        <w:tabs>
          <w:tab w:val="num" w:pos="4680"/>
        </w:tabs>
        <w:ind w:left="4680" w:hanging="360"/>
      </w:pPr>
      <w:rPr>
        <w:rFonts w:ascii="Wingdings" w:hAnsi="Wingdings" w:hint="default"/>
      </w:rPr>
    </w:lvl>
    <w:lvl w:ilvl="6" w:tplc="B81CA298" w:tentative="1">
      <w:start w:val="1"/>
      <w:numFmt w:val="bullet"/>
      <w:lvlText w:val=""/>
      <w:lvlJc w:val="left"/>
      <w:pPr>
        <w:tabs>
          <w:tab w:val="num" w:pos="5400"/>
        </w:tabs>
        <w:ind w:left="5400" w:hanging="360"/>
      </w:pPr>
      <w:rPr>
        <w:rFonts w:ascii="Symbol" w:hAnsi="Symbol" w:hint="default"/>
      </w:rPr>
    </w:lvl>
    <w:lvl w:ilvl="7" w:tplc="4BC8B7EE" w:tentative="1">
      <w:start w:val="1"/>
      <w:numFmt w:val="bullet"/>
      <w:lvlText w:val="o"/>
      <w:lvlJc w:val="left"/>
      <w:pPr>
        <w:tabs>
          <w:tab w:val="num" w:pos="6120"/>
        </w:tabs>
        <w:ind w:left="6120" w:hanging="360"/>
      </w:pPr>
      <w:rPr>
        <w:rFonts w:ascii="Courier New" w:hAnsi="Courier New" w:cs="Courier New" w:hint="default"/>
      </w:rPr>
    </w:lvl>
    <w:lvl w:ilvl="8" w:tplc="BDEA4A5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CA354A8"/>
    <w:multiLevelType w:val="hybridMultilevel"/>
    <w:tmpl w:val="73144C4E"/>
    <w:lvl w:ilvl="0" w:tplc="C86C82A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12"/>
  </w:num>
  <w:num w:numId="5">
    <w:abstractNumId w:val="4"/>
  </w:num>
  <w:num w:numId="6">
    <w:abstractNumId w:val="14"/>
  </w:num>
  <w:num w:numId="7">
    <w:abstractNumId w:val="13"/>
  </w:num>
  <w:num w:numId="8">
    <w:abstractNumId w:val="6"/>
  </w:num>
  <w:num w:numId="9">
    <w:abstractNumId w:val="5"/>
  </w:num>
  <w:num w:numId="10">
    <w:abstractNumId w:val="7"/>
  </w:num>
  <w:num w:numId="11">
    <w:abstractNumId w:val="9"/>
  </w:num>
  <w:num w:numId="12">
    <w:abstractNumId w:val="10"/>
  </w:num>
  <w:num w:numId="13">
    <w:abstractNumId w:val="11"/>
  </w:num>
  <w:num w:numId="14">
    <w:abstractNumId w:val="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FC"/>
    <w:rsid w:val="00004C33"/>
    <w:rsid w:val="00005F73"/>
    <w:rsid w:val="00012A23"/>
    <w:rsid w:val="000150BC"/>
    <w:rsid w:val="00015F72"/>
    <w:rsid w:val="00025B8E"/>
    <w:rsid w:val="00030C39"/>
    <w:rsid w:val="00036F64"/>
    <w:rsid w:val="00037B2E"/>
    <w:rsid w:val="0005004C"/>
    <w:rsid w:val="00050171"/>
    <w:rsid w:val="000529D7"/>
    <w:rsid w:val="000535C0"/>
    <w:rsid w:val="000578D7"/>
    <w:rsid w:val="00063CF6"/>
    <w:rsid w:val="00065184"/>
    <w:rsid w:val="000653E4"/>
    <w:rsid w:val="00072FB2"/>
    <w:rsid w:val="00074C1A"/>
    <w:rsid w:val="00081DDF"/>
    <w:rsid w:val="0008637E"/>
    <w:rsid w:val="000874D0"/>
    <w:rsid w:val="000B71AB"/>
    <w:rsid w:val="000C36E0"/>
    <w:rsid w:val="000C5C32"/>
    <w:rsid w:val="000D3C3A"/>
    <w:rsid w:val="000D5671"/>
    <w:rsid w:val="000D5A40"/>
    <w:rsid w:val="000D7729"/>
    <w:rsid w:val="000E51E4"/>
    <w:rsid w:val="000F3F23"/>
    <w:rsid w:val="000F7044"/>
    <w:rsid w:val="00100C73"/>
    <w:rsid w:val="00103030"/>
    <w:rsid w:val="001036A4"/>
    <w:rsid w:val="00104A53"/>
    <w:rsid w:val="00106A3F"/>
    <w:rsid w:val="00111DB1"/>
    <w:rsid w:val="001139BF"/>
    <w:rsid w:val="00117A0A"/>
    <w:rsid w:val="0012710F"/>
    <w:rsid w:val="001278E4"/>
    <w:rsid w:val="00127EAF"/>
    <w:rsid w:val="0013135D"/>
    <w:rsid w:val="00136C1D"/>
    <w:rsid w:val="00140071"/>
    <w:rsid w:val="001412C2"/>
    <w:rsid w:val="00151EE5"/>
    <w:rsid w:val="0015772A"/>
    <w:rsid w:val="00161B75"/>
    <w:rsid w:val="00162744"/>
    <w:rsid w:val="00173EF8"/>
    <w:rsid w:val="00174BD7"/>
    <w:rsid w:val="0018017C"/>
    <w:rsid w:val="001801A9"/>
    <w:rsid w:val="001826B7"/>
    <w:rsid w:val="00182785"/>
    <w:rsid w:val="00183307"/>
    <w:rsid w:val="001909E5"/>
    <w:rsid w:val="001976BC"/>
    <w:rsid w:val="001A0FDA"/>
    <w:rsid w:val="001A319C"/>
    <w:rsid w:val="001A4740"/>
    <w:rsid w:val="001C1428"/>
    <w:rsid w:val="001C3F95"/>
    <w:rsid w:val="001D4A1A"/>
    <w:rsid w:val="001D617E"/>
    <w:rsid w:val="001E1823"/>
    <w:rsid w:val="001E2518"/>
    <w:rsid w:val="001E2ED8"/>
    <w:rsid w:val="001F2B37"/>
    <w:rsid w:val="001F4CBA"/>
    <w:rsid w:val="001F64EC"/>
    <w:rsid w:val="002049E9"/>
    <w:rsid w:val="00204A03"/>
    <w:rsid w:val="00205AC6"/>
    <w:rsid w:val="00205EF7"/>
    <w:rsid w:val="00212859"/>
    <w:rsid w:val="002129A8"/>
    <w:rsid w:val="00214DDE"/>
    <w:rsid w:val="002200F2"/>
    <w:rsid w:val="002214A0"/>
    <w:rsid w:val="0023279B"/>
    <w:rsid w:val="00246526"/>
    <w:rsid w:val="00254C61"/>
    <w:rsid w:val="002641A6"/>
    <w:rsid w:val="002763E0"/>
    <w:rsid w:val="002776AD"/>
    <w:rsid w:val="002776DE"/>
    <w:rsid w:val="00277FD6"/>
    <w:rsid w:val="00281DF6"/>
    <w:rsid w:val="002828A9"/>
    <w:rsid w:val="00285577"/>
    <w:rsid w:val="002865CF"/>
    <w:rsid w:val="00296DA6"/>
    <w:rsid w:val="002B67E2"/>
    <w:rsid w:val="002B6A81"/>
    <w:rsid w:val="002D53EA"/>
    <w:rsid w:val="002E0380"/>
    <w:rsid w:val="002F2A8C"/>
    <w:rsid w:val="003165A2"/>
    <w:rsid w:val="00317703"/>
    <w:rsid w:val="0032078B"/>
    <w:rsid w:val="0032199F"/>
    <w:rsid w:val="0032361C"/>
    <w:rsid w:val="00323939"/>
    <w:rsid w:val="00333BBA"/>
    <w:rsid w:val="00341C02"/>
    <w:rsid w:val="00342B66"/>
    <w:rsid w:val="0034633F"/>
    <w:rsid w:val="003469E7"/>
    <w:rsid w:val="00351397"/>
    <w:rsid w:val="00352133"/>
    <w:rsid w:val="0035468B"/>
    <w:rsid w:val="00355266"/>
    <w:rsid w:val="00367927"/>
    <w:rsid w:val="00370883"/>
    <w:rsid w:val="00371023"/>
    <w:rsid w:val="00381D73"/>
    <w:rsid w:val="003847D4"/>
    <w:rsid w:val="003852AD"/>
    <w:rsid w:val="0039199B"/>
    <w:rsid w:val="003A401E"/>
    <w:rsid w:val="003A67D8"/>
    <w:rsid w:val="003B0A72"/>
    <w:rsid w:val="003C0CF8"/>
    <w:rsid w:val="003C1839"/>
    <w:rsid w:val="003C6CF2"/>
    <w:rsid w:val="003D059F"/>
    <w:rsid w:val="003D1641"/>
    <w:rsid w:val="003E2D9C"/>
    <w:rsid w:val="003E3D7B"/>
    <w:rsid w:val="003E564B"/>
    <w:rsid w:val="003E571B"/>
    <w:rsid w:val="004310CB"/>
    <w:rsid w:val="0045038D"/>
    <w:rsid w:val="00463782"/>
    <w:rsid w:val="00465042"/>
    <w:rsid w:val="00465615"/>
    <w:rsid w:val="00470186"/>
    <w:rsid w:val="00473C6A"/>
    <w:rsid w:val="0047790D"/>
    <w:rsid w:val="0048006F"/>
    <w:rsid w:val="00490DA2"/>
    <w:rsid w:val="00494A27"/>
    <w:rsid w:val="00497DFA"/>
    <w:rsid w:val="004A3186"/>
    <w:rsid w:val="004A44D6"/>
    <w:rsid w:val="004B05BA"/>
    <w:rsid w:val="004B3C62"/>
    <w:rsid w:val="004D476D"/>
    <w:rsid w:val="004D5EC0"/>
    <w:rsid w:val="004D7C62"/>
    <w:rsid w:val="004E0774"/>
    <w:rsid w:val="004E0AE2"/>
    <w:rsid w:val="004E4768"/>
    <w:rsid w:val="004F1749"/>
    <w:rsid w:val="004F7696"/>
    <w:rsid w:val="004F7738"/>
    <w:rsid w:val="005022A7"/>
    <w:rsid w:val="00504407"/>
    <w:rsid w:val="005048F2"/>
    <w:rsid w:val="00507925"/>
    <w:rsid w:val="00510CF8"/>
    <w:rsid w:val="00511565"/>
    <w:rsid w:val="005127F2"/>
    <w:rsid w:val="0051541A"/>
    <w:rsid w:val="00522C9B"/>
    <w:rsid w:val="00525265"/>
    <w:rsid w:val="00535E38"/>
    <w:rsid w:val="00550295"/>
    <w:rsid w:val="00550D61"/>
    <w:rsid w:val="00560B38"/>
    <w:rsid w:val="005705E5"/>
    <w:rsid w:val="005814D1"/>
    <w:rsid w:val="00583D29"/>
    <w:rsid w:val="0058416A"/>
    <w:rsid w:val="00590819"/>
    <w:rsid w:val="00590866"/>
    <w:rsid w:val="00590B0A"/>
    <w:rsid w:val="00593A93"/>
    <w:rsid w:val="005A0F9D"/>
    <w:rsid w:val="005A24FD"/>
    <w:rsid w:val="005C4567"/>
    <w:rsid w:val="005C46CB"/>
    <w:rsid w:val="005C7061"/>
    <w:rsid w:val="005D70B0"/>
    <w:rsid w:val="005F1ECB"/>
    <w:rsid w:val="00600209"/>
    <w:rsid w:val="00600545"/>
    <w:rsid w:val="00600F72"/>
    <w:rsid w:val="006025F2"/>
    <w:rsid w:val="00604308"/>
    <w:rsid w:val="006071F2"/>
    <w:rsid w:val="00613E12"/>
    <w:rsid w:val="00614E83"/>
    <w:rsid w:val="00623641"/>
    <w:rsid w:val="006257CA"/>
    <w:rsid w:val="00640674"/>
    <w:rsid w:val="00641AB4"/>
    <w:rsid w:val="00651C28"/>
    <w:rsid w:val="00657222"/>
    <w:rsid w:val="0066486B"/>
    <w:rsid w:val="0066787E"/>
    <w:rsid w:val="006720D1"/>
    <w:rsid w:val="0067306E"/>
    <w:rsid w:val="00673A67"/>
    <w:rsid w:val="00676E28"/>
    <w:rsid w:val="00677BAB"/>
    <w:rsid w:val="00680542"/>
    <w:rsid w:val="00681957"/>
    <w:rsid w:val="006926D4"/>
    <w:rsid w:val="00696E25"/>
    <w:rsid w:val="006A1007"/>
    <w:rsid w:val="006A158B"/>
    <w:rsid w:val="006A23FC"/>
    <w:rsid w:val="006A7976"/>
    <w:rsid w:val="006B0469"/>
    <w:rsid w:val="006B069F"/>
    <w:rsid w:val="006B2AAA"/>
    <w:rsid w:val="006B2E28"/>
    <w:rsid w:val="006B3E96"/>
    <w:rsid w:val="006B70F0"/>
    <w:rsid w:val="006C0BB5"/>
    <w:rsid w:val="006C5BE2"/>
    <w:rsid w:val="006D339B"/>
    <w:rsid w:val="006D5994"/>
    <w:rsid w:val="006D725F"/>
    <w:rsid w:val="006E4F52"/>
    <w:rsid w:val="006E6DA6"/>
    <w:rsid w:val="006F2E82"/>
    <w:rsid w:val="006F3CF5"/>
    <w:rsid w:val="006F52A6"/>
    <w:rsid w:val="0070484E"/>
    <w:rsid w:val="0070494E"/>
    <w:rsid w:val="0070697D"/>
    <w:rsid w:val="00707CB5"/>
    <w:rsid w:val="00710B1C"/>
    <w:rsid w:val="007155C7"/>
    <w:rsid w:val="00717B78"/>
    <w:rsid w:val="00732439"/>
    <w:rsid w:val="007414E4"/>
    <w:rsid w:val="00742E55"/>
    <w:rsid w:val="007469B2"/>
    <w:rsid w:val="0074756E"/>
    <w:rsid w:val="007617CA"/>
    <w:rsid w:val="007620E1"/>
    <w:rsid w:val="00766E39"/>
    <w:rsid w:val="007737B5"/>
    <w:rsid w:val="00774866"/>
    <w:rsid w:val="0077620F"/>
    <w:rsid w:val="00776D14"/>
    <w:rsid w:val="007811D1"/>
    <w:rsid w:val="0078447E"/>
    <w:rsid w:val="00784D05"/>
    <w:rsid w:val="00786654"/>
    <w:rsid w:val="007874A3"/>
    <w:rsid w:val="00792F05"/>
    <w:rsid w:val="007A5E74"/>
    <w:rsid w:val="007B7A02"/>
    <w:rsid w:val="007C1DBD"/>
    <w:rsid w:val="007C216B"/>
    <w:rsid w:val="007C7110"/>
    <w:rsid w:val="007E0D1E"/>
    <w:rsid w:val="007E37A4"/>
    <w:rsid w:val="007E4D04"/>
    <w:rsid w:val="007F5D62"/>
    <w:rsid w:val="00805419"/>
    <w:rsid w:val="00813B84"/>
    <w:rsid w:val="00814B6A"/>
    <w:rsid w:val="00821529"/>
    <w:rsid w:val="00822651"/>
    <w:rsid w:val="0082363B"/>
    <w:rsid w:val="00824362"/>
    <w:rsid w:val="0082450D"/>
    <w:rsid w:val="0082632A"/>
    <w:rsid w:val="008277DB"/>
    <w:rsid w:val="00830D12"/>
    <w:rsid w:val="0083279C"/>
    <w:rsid w:val="00833A97"/>
    <w:rsid w:val="00834322"/>
    <w:rsid w:val="00855F80"/>
    <w:rsid w:val="0086299F"/>
    <w:rsid w:val="008658F9"/>
    <w:rsid w:val="008659F2"/>
    <w:rsid w:val="00867E17"/>
    <w:rsid w:val="00871262"/>
    <w:rsid w:val="00875F9A"/>
    <w:rsid w:val="008854B5"/>
    <w:rsid w:val="00887ECF"/>
    <w:rsid w:val="00890716"/>
    <w:rsid w:val="00892703"/>
    <w:rsid w:val="0089664F"/>
    <w:rsid w:val="00897994"/>
    <w:rsid w:val="008A5903"/>
    <w:rsid w:val="008B1034"/>
    <w:rsid w:val="008B1E5A"/>
    <w:rsid w:val="008B2B6A"/>
    <w:rsid w:val="008B4845"/>
    <w:rsid w:val="008C1F72"/>
    <w:rsid w:val="008C1F80"/>
    <w:rsid w:val="008C24CC"/>
    <w:rsid w:val="008C314A"/>
    <w:rsid w:val="008D09C3"/>
    <w:rsid w:val="008D25CD"/>
    <w:rsid w:val="008E61F5"/>
    <w:rsid w:val="008E655D"/>
    <w:rsid w:val="008E7ACD"/>
    <w:rsid w:val="008E7E7D"/>
    <w:rsid w:val="008F39C1"/>
    <w:rsid w:val="008F5B64"/>
    <w:rsid w:val="009028DE"/>
    <w:rsid w:val="00912854"/>
    <w:rsid w:val="009303BB"/>
    <w:rsid w:val="009305C4"/>
    <w:rsid w:val="0093484C"/>
    <w:rsid w:val="009362A9"/>
    <w:rsid w:val="00957B28"/>
    <w:rsid w:val="009641AB"/>
    <w:rsid w:val="00965CE4"/>
    <w:rsid w:val="00966C04"/>
    <w:rsid w:val="00981679"/>
    <w:rsid w:val="009845CA"/>
    <w:rsid w:val="00990C71"/>
    <w:rsid w:val="009923EC"/>
    <w:rsid w:val="00992965"/>
    <w:rsid w:val="009A191B"/>
    <w:rsid w:val="009B2F1C"/>
    <w:rsid w:val="009B3AA2"/>
    <w:rsid w:val="009B3BF5"/>
    <w:rsid w:val="009B4142"/>
    <w:rsid w:val="009C0367"/>
    <w:rsid w:val="009D0301"/>
    <w:rsid w:val="009E307B"/>
    <w:rsid w:val="009E5077"/>
    <w:rsid w:val="00A00E97"/>
    <w:rsid w:val="00A07439"/>
    <w:rsid w:val="00A12418"/>
    <w:rsid w:val="00A176C3"/>
    <w:rsid w:val="00A21FD7"/>
    <w:rsid w:val="00A42BBF"/>
    <w:rsid w:val="00A52BD7"/>
    <w:rsid w:val="00A61494"/>
    <w:rsid w:val="00A64903"/>
    <w:rsid w:val="00A71498"/>
    <w:rsid w:val="00A73627"/>
    <w:rsid w:val="00A76034"/>
    <w:rsid w:val="00A80191"/>
    <w:rsid w:val="00A860DC"/>
    <w:rsid w:val="00A86B41"/>
    <w:rsid w:val="00A91FBF"/>
    <w:rsid w:val="00A942F5"/>
    <w:rsid w:val="00A96BB0"/>
    <w:rsid w:val="00AB073A"/>
    <w:rsid w:val="00AC0BE8"/>
    <w:rsid w:val="00AC6FE7"/>
    <w:rsid w:val="00AD2E87"/>
    <w:rsid w:val="00AD3F7C"/>
    <w:rsid w:val="00AD4FBB"/>
    <w:rsid w:val="00AD5819"/>
    <w:rsid w:val="00AD7F02"/>
    <w:rsid w:val="00AD7F0F"/>
    <w:rsid w:val="00AE1053"/>
    <w:rsid w:val="00AF3C50"/>
    <w:rsid w:val="00AF6160"/>
    <w:rsid w:val="00AF6755"/>
    <w:rsid w:val="00B006AA"/>
    <w:rsid w:val="00B10E9E"/>
    <w:rsid w:val="00B141B2"/>
    <w:rsid w:val="00B14F54"/>
    <w:rsid w:val="00B20A95"/>
    <w:rsid w:val="00B20AA9"/>
    <w:rsid w:val="00B2270B"/>
    <w:rsid w:val="00B237E9"/>
    <w:rsid w:val="00B24120"/>
    <w:rsid w:val="00B24E62"/>
    <w:rsid w:val="00B24EDB"/>
    <w:rsid w:val="00B300B4"/>
    <w:rsid w:val="00B335B9"/>
    <w:rsid w:val="00B51AA5"/>
    <w:rsid w:val="00B5240E"/>
    <w:rsid w:val="00B54B27"/>
    <w:rsid w:val="00B56858"/>
    <w:rsid w:val="00B6012E"/>
    <w:rsid w:val="00B6217E"/>
    <w:rsid w:val="00B63595"/>
    <w:rsid w:val="00B63E9B"/>
    <w:rsid w:val="00B67F32"/>
    <w:rsid w:val="00B71780"/>
    <w:rsid w:val="00B92112"/>
    <w:rsid w:val="00B940CB"/>
    <w:rsid w:val="00B95DE2"/>
    <w:rsid w:val="00B96BDA"/>
    <w:rsid w:val="00BA294D"/>
    <w:rsid w:val="00BA63B9"/>
    <w:rsid w:val="00BB4ACC"/>
    <w:rsid w:val="00BC0C31"/>
    <w:rsid w:val="00BC368D"/>
    <w:rsid w:val="00BC488A"/>
    <w:rsid w:val="00BC6A81"/>
    <w:rsid w:val="00BD40F5"/>
    <w:rsid w:val="00BD52F1"/>
    <w:rsid w:val="00BD786A"/>
    <w:rsid w:val="00BD7A5A"/>
    <w:rsid w:val="00BD7CAE"/>
    <w:rsid w:val="00BF18BC"/>
    <w:rsid w:val="00BF3FB3"/>
    <w:rsid w:val="00BF63A9"/>
    <w:rsid w:val="00BF7170"/>
    <w:rsid w:val="00C04E1B"/>
    <w:rsid w:val="00C227AF"/>
    <w:rsid w:val="00C32BE5"/>
    <w:rsid w:val="00C35693"/>
    <w:rsid w:val="00C429A8"/>
    <w:rsid w:val="00C4585F"/>
    <w:rsid w:val="00C502A3"/>
    <w:rsid w:val="00C512DF"/>
    <w:rsid w:val="00C53DBC"/>
    <w:rsid w:val="00C5689A"/>
    <w:rsid w:val="00C64002"/>
    <w:rsid w:val="00C64F9D"/>
    <w:rsid w:val="00C65A48"/>
    <w:rsid w:val="00C70EE6"/>
    <w:rsid w:val="00C76B20"/>
    <w:rsid w:val="00C90D53"/>
    <w:rsid w:val="00C92C8E"/>
    <w:rsid w:val="00C9454F"/>
    <w:rsid w:val="00C950AE"/>
    <w:rsid w:val="00CA7DD3"/>
    <w:rsid w:val="00CB31F7"/>
    <w:rsid w:val="00CB431F"/>
    <w:rsid w:val="00CC2299"/>
    <w:rsid w:val="00CC7172"/>
    <w:rsid w:val="00CE06A4"/>
    <w:rsid w:val="00CE17F0"/>
    <w:rsid w:val="00CE76CD"/>
    <w:rsid w:val="00CE7A6A"/>
    <w:rsid w:val="00D0157E"/>
    <w:rsid w:val="00D02F7A"/>
    <w:rsid w:val="00D030D4"/>
    <w:rsid w:val="00D03D3A"/>
    <w:rsid w:val="00D10CD0"/>
    <w:rsid w:val="00D10ECD"/>
    <w:rsid w:val="00D11845"/>
    <w:rsid w:val="00D14711"/>
    <w:rsid w:val="00D15234"/>
    <w:rsid w:val="00D15BB4"/>
    <w:rsid w:val="00D17CD3"/>
    <w:rsid w:val="00D2098B"/>
    <w:rsid w:val="00D47235"/>
    <w:rsid w:val="00D52836"/>
    <w:rsid w:val="00D57446"/>
    <w:rsid w:val="00D61922"/>
    <w:rsid w:val="00D65360"/>
    <w:rsid w:val="00D767A4"/>
    <w:rsid w:val="00D8093F"/>
    <w:rsid w:val="00D824F1"/>
    <w:rsid w:val="00D842DF"/>
    <w:rsid w:val="00D845BB"/>
    <w:rsid w:val="00D93DBD"/>
    <w:rsid w:val="00DA5F9D"/>
    <w:rsid w:val="00DA6A76"/>
    <w:rsid w:val="00DB1E82"/>
    <w:rsid w:val="00DB540E"/>
    <w:rsid w:val="00DB5418"/>
    <w:rsid w:val="00DC1D31"/>
    <w:rsid w:val="00DC2FF0"/>
    <w:rsid w:val="00DC7542"/>
    <w:rsid w:val="00DD08CE"/>
    <w:rsid w:val="00DD0B45"/>
    <w:rsid w:val="00DD2C50"/>
    <w:rsid w:val="00DD2E96"/>
    <w:rsid w:val="00DD43FA"/>
    <w:rsid w:val="00DE030C"/>
    <w:rsid w:val="00DE31F1"/>
    <w:rsid w:val="00DF5584"/>
    <w:rsid w:val="00DF5FF5"/>
    <w:rsid w:val="00E005BB"/>
    <w:rsid w:val="00E03F94"/>
    <w:rsid w:val="00E12918"/>
    <w:rsid w:val="00E21309"/>
    <w:rsid w:val="00E21554"/>
    <w:rsid w:val="00E223AD"/>
    <w:rsid w:val="00E4071F"/>
    <w:rsid w:val="00E415C5"/>
    <w:rsid w:val="00E41651"/>
    <w:rsid w:val="00E43AD4"/>
    <w:rsid w:val="00E446D2"/>
    <w:rsid w:val="00E4550A"/>
    <w:rsid w:val="00E52CB6"/>
    <w:rsid w:val="00E5351F"/>
    <w:rsid w:val="00E6135D"/>
    <w:rsid w:val="00E63ED1"/>
    <w:rsid w:val="00E76970"/>
    <w:rsid w:val="00E83069"/>
    <w:rsid w:val="00E83E1B"/>
    <w:rsid w:val="00E859B4"/>
    <w:rsid w:val="00E879F7"/>
    <w:rsid w:val="00E94270"/>
    <w:rsid w:val="00E94796"/>
    <w:rsid w:val="00EA1249"/>
    <w:rsid w:val="00EA2747"/>
    <w:rsid w:val="00EA79E8"/>
    <w:rsid w:val="00EB4390"/>
    <w:rsid w:val="00EB5B63"/>
    <w:rsid w:val="00EB781D"/>
    <w:rsid w:val="00EC0EF2"/>
    <w:rsid w:val="00EC10CC"/>
    <w:rsid w:val="00EC439D"/>
    <w:rsid w:val="00EC4662"/>
    <w:rsid w:val="00EC504A"/>
    <w:rsid w:val="00EC52FC"/>
    <w:rsid w:val="00EC5BA0"/>
    <w:rsid w:val="00EC72E2"/>
    <w:rsid w:val="00ED4BBE"/>
    <w:rsid w:val="00EE2384"/>
    <w:rsid w:val="00EE4A77"/>
    <w:rsid w:val="00EE4B0D"/>
    <w:rsid w:val="00EF4C43"/>
    <w:rsid w:val="00F01924"/>
    <w:rsid w:val="00F020AC"/>
    <w:rsid w:val="00F035C7"/>
    <w:rsid w:val="00F05605"/>
    <w:rsid w:val="00F115A0"/>
    <w:rsid w:val="00F13A8E"/>
    <w:rsid w:val="00F2005D"/>
    <w:rsid w:val="00F32EB6"/>
    <w:rsid w:val="00F33DFD"/>
    <w:rsid w:val="00F34DBC"/>
    <w:rsid w:val="00F41EAC"/>
    <w:rsid w:val="00F42AFB"/>
    <w:rsid w:val="00F5412F"/>
    <w:rsid w:val="00F54D87"/>
    <w:rsid w:val="00F604FE"/>
    <w:rsid w:val="00F64A7D"/>
    <w:rsid w:val="00F65FD8"/>
    <w:rsid w:val="00F66269"/>
    <w:rsid w:val="00F719BB"/>
    <w:rsid w:val="00F7341C"/>
    <w:rsid w:val="00F74A2E"/>
    <w:rsid w:val="00F77757"/>
    <w:rsid w:val="00F87A01"/>
    <w:rsid w:val="00F90902"/>
    <w:rsid w:val="00F90A2A"/>
    <w:rsid w:val="00F93167"/>
    <w:rsid w:val="00F974D3"/>
    <w:rsid w:val="00FA10EE"/>
    <w:rsid w:val="00FA303A"/>
    <w:rsid w:val="00FA54B2"/>
    <w:rsid w:val="00FA58C0"/>
    <w:rsid w:val="00FB007E"/>
    <w:rsid w:val="00FB0F6A"/>
    <w:rsid w:val="00FB18FA"/>
    <w:rsid w:val="00FB2D03"/>
    <w:rsid w:val="00FC3973"/>
    <w:rsid w:val="00FC6D81"/>
    <w:rsid w:val="00FC7460"/>
    <w:rsid w:val="00FD52DF"/>
    <w:rsid w:val="00FD5C06"/>
    <w:rsid w:val="00FD64EF"/>
    <w:rsid w:val="00FD7E8B"/>
    <w:rsid w:val="00FD7F04"/>
    <w:rsid w:val="00FE45B3"/>
    <w:rsid w:val="00FE5655"/>
    <w:rsid w:val="00FE6619"/>
    <w:rsid w:val="00FE7012"/>
    <w:rsid w:val="00FF471E"/>
    <w:rsid w:val="00FF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62E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left="540"/>
      <w:outlineLvl w:val="0"/>
    </w:pPr>
    <w:rPr>
      <w:rFonts w:ascii="Times New Roman" w:hAnsi="Times New Roman"/>
      <w:b/>
      <w:snapToGrid w:val="0"/>
      <w:u w:val="single"/>
    </w:rPr>
  </w:style>
  <w:style w:type="paragraph" w:styleId="Heading2">
    <w:name w:val="heading 2"/>
    <w:basedOn w:val="Normal"/>
    <w:next w:val="Normal"/>
    <w:qFormat/>
    <w:pPr>
      <w:keepNext/>
      <w:outlineLvl w:val="1"/>
    </w:pPr>
    <w:rPr>
      <w:rFonts w:ascii="Times New Roman" w:hAnsi="Times New Roman"/>
      <w:i/>
      <w:snapToGrid w:val="0"/>
    </w:rPr>
  </w:style>
  <w:style w:type="paragraph" w:styleId="Heading4">
    <w:name w:val="heading 4"/>
    <w:basedOn w:val="Normal"/>
    <w:next w:val="Normal"/>
    <w:qFormat/>
    <w:pPr>
      <w:keepNext/>
      <w:spacing w:line="480" w:lineRule="auto"/>
      <w:ind w:firstLine="540"/>
      <w:jc w:val="center"/>
      <w:outlineLvl w:val="3"/>
    </w:pPr>
    <w:rPr>
      <w:rFonts w:ascii="Times New Roman" w:hAnsi="Times New Roman"/>
    </w:rPr>
  </w:style>
  <w:style w:type="paragraph" w:styleId="Heading7">
    <w:name w:val="heading 7"/>
    <w:basedOn w:val="Normal"/>
    <w:next w:val="Normal"/>
    <w:qFormat/>
    <w:pPr>
      <w:keepNext/>
      <w:widowControl w:val="0"/>
      <w:tabs>
        <w:tab w:val="center" w:pos="4680"/>
      </w:tabs>
      <w:jc w:val="center"/>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hAnsi="Times New Roman"/>
      <w:b/>
    </w:rPr>
  </w:style>
  <w:style w:type="paragraph" w:styleId="BodyTextIndent">
    <w:name w:val="Body Text Indent"/>
    <w:basedOn w:val="Normal"/>
    <w:pPr>
      <w:ind w:left="540"/>
    </w:pPr>
    <w:rPr>
      <w:rFonts w:ascii="Times New Roman" w:hAnsi="Times New Roman"/>
      <w:snapToGrid w:val="0"/>
    </w:rPr>
  </w:style>
  <w:style w:type="paragraph" w:styleId="BodyTextIndent2">
    <w:name w:val="Body Text Indent 2"/>
    <w:basedOn w:val="Normal"/>
    <w:pPr>
      <w:ind w:left="2160" w:hanging="2160"/>
    </w:pPr>
    <w:rPr>
      <w:rFonts w:ascii="Times New Roman" w:hAnsi="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
    <w:name w:val="Body Text"/>
    <w:basedOn w:val="Normal"/>
    <w:link w:val="BodyTextChar"/>
    <w:pPr>
      <w:widowControl w:val="0"/>
      <w:tabs>
        <w:tab w:val="left" w:pos="-1440"/>
        <w:tab w:val="left" w:pos="-720"/>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line="480" w:lineRule="auto"/>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BodyText2">
    <w:name w:val="Body Text 2"/>
    <w:basedOn w:val="Normal"/>
    <w:rsid w:val="00D15BB4"/>
    <w:pPr>
      <w:spacing w:after="120" w:line="480" w:lineRule="auto"/>
    </w:pPr>
  </w:style>
  <w:style w:type="paragraph" w:styleId="HTMLPreformatted">
    <w:name w:val="HTML Preformatted"/>
    <w:basedOn w:val="Normal"/>
    <w:rsid w:val="00072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CommentSubject">
    <w:name w:val="annotation subject"/>
    <w:basedOn w:val="CommentText"/>
    <w:next w:val="CommentText"/>
    <w:semiHidden/>
    <w:rsid w:val="00370883"/>
    <w:rPr>
      <w:b/>
      <w:bCs/>
    </w:rPr>
  </w:style>
  <w:style w:type="paragraph" w:styleId="FootnoteText">
    <w:name w:val="footnote text"/>
    <w:basedOn w:val="Normal"/>
    <w:link w:val="FootnoteTextChar"/>
    <w:uiPriority w:val="99"/>
    <w:rsid w:val="00C227AF"/>
    <w:rPr>
      <w:sz w:val="20"/>
    </w:rPr>
  </w:style>
  <w:style w:type="character" w:styleId="FootnoteReference">
    <w:name w:val="footnote reference"/>
    <w:rsid w:val="00C227AF"/>
    <w:rPr>
      <w:vertAlign w:val="superscript"/>
    </w:rPr>
  </w:style>
  <w:style w:type="character" w:styleId="Hyperlink">
    <w:name w:val="Hyperlink"/>
    <w:rsid w:val="00C227AF"/>
    <w:rPr>
      <w:b/>
      <w:bCs/>
      <w:color w:val="0000FF"/>
      <w:u w:val="single"/>
    </w:rPr>
  </w:style>
  <w:style w:type="paragraph" w:customStyle="1" w:styleId="indent1">
    <w:name w:val="indent1"/>
    <w:basedOn w:val="Normal"/>
    <w:rsid w:val="00C227AF"/>
    <w:rPr>
      <w:rFonts w:ascii="Times New Roman" w:hAnsi="Times New Roman"/>
      <w:sz w:val="20"/>
    </w:rPr>
  </w:style>
  <w:style w:type="paragraph" w:styleId="NormalWeb">
    <w:name w:val="Normal (Web)"/>
    <w:basedOn w:val="Normal"/>
    <w:rsid w:val="00C227AF"/>
    <w:pPr>
      <w:spacing w:before="100" w:beforeAutospacing="1" w:after="100" w:afterAutospacing="1"/>
    </w:pPr>
    <w:rPr>
      <w:rFonts w:ascii="Times New Roman" w:hAnsi="Times New Roman"/>
      <w:sz w:val="20"/>
    </w:rPr>
  </w:style>
  <w:style w:type="character" w:styleId="Strong">
    <w:name w:val="Strong"/>
    <w:qFormat/>
    <w:rsid w:val="00C227AF"/>
    <w:rPr>
      <w:b/>
      <w:bCs/>
    </w:rPr>
  </w:style>
  <w:style w:type="character" w:styleId="FollowedHyperlink">
    <w:name w:val="FollowedHyperlink"/>
    <w:rsid w:val="00F34DBC"/>
    <w:rPr>
      <w:color w:val="800080"/>
      <w:u w:val="single"/>
    </w:rPr>
  </w:style>
  <w:style w:type="table" w:styleId="TableGrid">
    <w:name w:val="Table Grid"/>
    <w:basedOn w:val="TableNormal"/>
    <w:rsid w:val="001E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BBF"/>
    <w:rPr>
      <w:rFonts w:ascii="Arial" w:hAnsi="Arial"/>
      <w:sz w:val="24"/>
    </w:rPr>
  </w:style>
  <w:style w:type="character" w:customStyle="1" w:styleId="UnresolvedMention1">
    <w:name w:val="Unresolved Mention1"/>
    <w:basedOn w:val="DefaultParagraphFont"/>
    <w:uiPriority w:val="99"/>
    <w:semiHidden/>
    <w:unhideWhenUsed/>
    <w:rsid w:val="00E43AD4"/>
    <w:rPr>
      <w:color w:val="808080"/>
      <w:shd w:val="clear" w:color="auto" w:fill="E6E6E6"/>
    </w:rPr>
  </w:style>
  <w:style w:type="paragraph" w:styleId="ListParagraph">
    <w:name w:val="List Paragraph"/>
    <w:basedOn w:val="Normal"/>
    <w:uiPriority w:val="34"/>
    <w:qFormat/>
    <w:rsid w:val="00C429A8"/>
    <w:pPr>
      <w:ind w:left="720"/>
      <w:contextualSpacing/>
    </w:pPr>
  </w:style>
  <w:style w:type="character" w:customStyle="1" w:styleId="BodyTextChar">
    <w:name w:val="Body Text Char"/>
    <w:basedOn w:val="DefaultParagraphFont"/>
    <w:link w:val="BodyText"/>
    <w:rsid w:val="00D17CD3"/>
    <w:rPr>
      <w:sz w:val="24"/>
    </w:rPr>
  </w:style>
  <w:style w:type="character" w:customStyle="1" w:styleId="FootnoteTextChar">
    <w:name w:val="Footnote Text Char"/>
    <w:basedOn w:val="DefaultParagraphFont"/>
    <w:link w:val="FootnoteText"/>
    <w:uiPriority w:val="99"/>
    <w:rsid w:val="00981679"/>
    <w:rPr>
      <w:rFonts w:ascii="Arial" w:hAnsi="Arial"/>
    </w:rPr>
  </w:style>
  <w:style w:type="paragraph" w:customStyle="1" w:styleId="Default">
    <w:name w:val="Default"/>
    <w:rsid w:val="00981679"/>
    <w:pPr>
      <w:autoSpaceDE w:val="0"/>
      <w:autoSpaceDN w:val="0"/>
      <w:adjustRightInd w:val="0"/>
    </w:pPr>
    <w:rPr>
      <w:rFonts w:eastAsiaTheme="minorHAnsi"/>
      <w:color w:val="000000"/>
      <w:sz w:val="24"/>
      <w:szCs w:val="24"/>
    </w:rPr>
  </w:style>
  <w:style w:type="character" w:customStyle="1" w:styleId="CommentTextChar">
    <w:name w:val="Comment Text Char"/>
    <w:basedOn w:val="DefaultParagraphFont"/>
    <w:link w:val="CommentText"/>
    <w:semiHidden/>
    <w:rsid w:val="00B9211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4543">
      <w:bodyDiv w:val="1"/>
      <w:marLeft w:val="10"/>
      <w:marRight w:val="10"/>
      <w:marTop w:val="0"/>
      <w:marBottom w:val="0"/>
      <w:divBdr>
        <w:top w:val="none" w:sz="0" w:space="0" w:color="auto"/>
        <w:left w:val="none" w:sz="0" w:space="0" w:color="auto"/>
        <w:bottom w:val="none" w:sz="0" w:space="0" w:color="auto"/>
        <w:right w:val="none" w:sz="0" w:space="0" w:color="auto"/>
      </w:divBdr>
    </w:div>
    <w:div w:id="115492972">
      <w:bodyDiv w:val="1"/>
      <w:marLeft w:val="0"/>
      <w:marRight w:val="0"/>
      <w:marTop w:val="0"/>
      <w:marBottom w:val="0"/>
      <w:divBdr>
        <w:top w:val="none" w:sz="0" w:space="0" w:color="auto"/>
        <w:left w:val="none" w:sz="0" w:space="0" w:color="auto"/>
        <w:bottom w:val="none" w:sz="0" w:space="0" w:color="auto"/>
        <w:right w:val="none" w:sz="0" w:space="0" w:color="auto"/>
      </w:divBdr>
    </w:div>
    <w:div w:id="196477832">
      <w:bodyDiv w:val="1"/>
      <w:marLeft w:val="10"/>
      <w:marRight w:val="1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3284-EAFC-4D66-92BD-7E58D8EE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Links>
    <vt:vector size="18" baseType="variant">
      <vt:variant>
        <vt:i4>5636175</vt:i4>
      </vt:variant>
      <vt:variant>
        <vt:i4>6</vt:i4>
      </vt:variant>
      <vt:variant>
        <vt:i4>0</vt:i4>
      </vt:variant>
      <vt:variant>
        <vt:i4>5</vt:i4>
      </vt:variant>
      <vt:variant>
        <vt:lpwstr>https://www.opm.gov/policy-data-oversight/pay-leave/salaries-wages/salary-tables/pdf/2018/GS.pdf</vt:lpwstr>
      </vt:variant>
      <vt:variant>
        <vt:lpwstr/>
      </vt:variant>
      <vt:variant>
        <vt:i4>196700</vt:i4>
      </vt:variant>
      <vt:variant>
        <vt:i4>3</vt:i4>
      </vt:variant>
      <vt:variant>
        <vt:i4>0</vt:i4>
      </vt:variant>
      <vt:variant>
        <vt:i4>5</vt:i4>
      </vt:variant>
      <vt:variant>
        <vt:lpwstr>http://www.fda.gov/opacom/laws/fdcact/fdcact3.htm</vt:lpwstr>
      </vt:variant>
      <vt:variant>
        <vt:lpwstr/>
      </vt:variant>
      <vt:variant>
        <vt:i4>196694</vt:i4>
      </vt:variant>
      <vt:variant>
        <vt:i4>0</vt:i4>
      </vt:variant>
      <vt:variant>
        <vt:i4>0</vt:i4>
      </vt:variant>
      <vt:variant>
        <vt:i4>5</vt:i4>
      </vt:variant>
      <vt:variant>
        <vt:lpwstr>http://www.fda.gov/opacom/laws/fdcact/fdcact9.htm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2021-05-26T02:21:00Z</dcterms:created>
  <dcterms:modified xsi:type="dcterms:W3CDTF">2021-05-26T02:21:00Z</dcterms:modified>
</cp:coreProperties>
</file>