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0263" w:rsidR="00FA4EAB" w:rsidRDefault="00BC0554" w14:paraId="33556B17" w14:textId="77777777">
      <w:pPr>
        <w:spacing w:after="0" w:line="259" w:lineRule="auto"/>
        <w:jc w:val="center"/>
        <w:rPr>
          <w:color w:val="000000" w:themeColor="text1"/>
        </w:rPr>
      </w:pPr>
      <w:r w:rsidRPr="00F60263">
        <w:rPr>
          <w:color w:val="000000" w:themeColor="text1"/>
        </w:rPr>
        <w:t xml:space="preserve">UNITED STATES FOOD &amp; DRUG ADMINISTRATION </w:t>
      </w:r>
    </w:p>
    <w:p w:rsidRPr="00F60263" w:rsidR="00FA4EAB" w:rsidRDefault="00BC0554" w14:paraId="6EFA0FB1" w14:textId="77777777">
      <w:pPr>
        <w:spacing w:after="0" w:line="259" w:lineRule="auto"/>
        <w:ind w:left="62" w:firstLine="0"/>
        <w:jc w:val="center"/>
        <w:rPr>
          <w:color w:val="000000" w:themeColor="text1"/>
        </w:rPr>
      </w:pPr>
      <w:r w:rsidRPr="00F60263">
        <w:rPr>
          <w:color w:val="000000" w:themeColor="text1"/>
        </w:rPr>
        <w:t xml:space="preserve"> </w:t>
      </w:r>
    </w:p>
    <w:p w:rsidRPr="00F60263" w:rsidR="00FA4EAB" w:rsidRDefault="00BC0554" w14:paraId="0A38FE4D" w14:textId="6711CABA">
      <w:pPr>
        <w:spacing w:after="0" w:line="259" w:lineRule="auto"/>
        <w:ind w:right="1"/>
        <w:jc w:val="center"/>
        <w:rPr>
          <w:color w:val="000000" w:themeColor="text1"/>
        </w:rPr>
      </w:pPr>
      <w:r w:rsidRPr="00F60263">
        <w:rPr>
          <w:color w:val="000000" w:themeColor="text1"/>
        </w:rPr>
        <w:t xml:space="preserve">Adverse Experience Reporting </w:t>
      </w:r>
      <w:r w:rsidR="00395A81">
        <w:rPr>
          <w:color w:val="000000" w:themeColor="text1"/>
        </w:rPr>
        <w:t>for Drug Products</w:t>
      </w:r>
    </w:p>
    <w:p w:rsidRPr="00F60263" w:rsidR="00FA4EAB" w:rsidRDefault="00BC0554" w14:paraId="47809355" w14:textId="77777777">
      <w:pPr>
        <w:spacing w:after="0" w:line="259" w:lineRule="auto"/>
        <w:ind w:left="62" w:firstLine="0"/>
        <w:jc w:val="center"/>
        <w:rPr>
          <w:color w:val="000000" w:themeColor="text1"/>
        </w:rPr>
      </w:pPr>
      <w:r w:rsidRPr="00F60263">
        <w:rPr>
          <w:color w:val="000000" w:themeColor="text1"/>
        </w:rPr>
        <w:t xml:space="preserve"> </w:t>
      </w:r>
    </w:p>
    <w:p w:rsidRPr="00F60263" w:rsidR="00FA4EAB" w:rsidP="00752F73" w:rsidRDefault="00BC0554" w14:paraId="195D0FD6" w14:textId="1D312C63">
      <w:pPr>
        <w:spacing w:after="0" w:line="259" w:lineRule="auto"/>
        <w:ind w:left="2" w:firstLine="0"/>
        <w:jc w:val="center"/>
        <w:rPr>
          <w:color w:val="000000" w:themeColor="text1"/>
        </w:rPr>
      </w:pPr>
      <w:r w:rsidRPr="00F60263">
        <w:rPr>
          <w:color w:val="000000" w:themeColor="text1"/>
          <w:u w:val="single" w:color="000000"/>
        </w:rPr>
        <w:t>OMB Control No. 0910-0230 - Revision</w:t>
      </w:r>
      <w:r w:rsidRPr="00F60263">
        <w:rPr>
          <w:color w:val="000000" w:themeColor="text1"/>
        </w:rPr>
        <w:t xml:space="preserve"> </w:t>
      </w:r>
    </w:p>
    <w:p w:rsidR="00846C42" w:rsidRDefault="00846C42" w14:paraId="4B60F28B" w14:textId="77777777">
      <w:pPr>
        <w:spacing w:after="0" w:line="259" w:lineRule="auto"/>
        <w:ind w:left="0" w:firstLine="0"/>
        <w:rPr>
          <w:color w:val="000000" w:themeColor="text1"/>
        </w:rPr>
      </w:pPr>
    </w:p>
    <w:p w:rsidR="00B55CC5" w:rsidRDefault="00B55CC5" w14:paraId="300FA6FF" w14:textId="77777777">
      <w:pPr>
        <w:spacing w:after="0" w:line="259" w:lineRule="auto"/>
        <w:ind w:left="0" w:firstLine="0"/>
        <w:rPr>
          <w:color w:val="000000" w:themeColor="text1"/>
        </w:rPr>
      </w:pPr>
    </w:p>
    <w:p w:rsidRPr="00F60263" w:rsidR="00FA4EAB" w:rsidRDefault="00BC0554" w14:paraId="22353ED0" w14:textId="05AC01FC">
      <w:pPr>
        <w:spacing w:after="0" w:line="259" w:lineRule="auto"/>
        <w:ind w:left="0" w:firstLine="0"/>
        <w:rPr>
          <w:color w:val="000000" w:themeColor="text1"/>
        </w:rPr>
      </w:pPr>
      <w:r w:rsidRPr="00F60263">
        <w:rPr>
          <w:color w:val="000000" w:themeColor="text1"/>
        </w:rPr>
        <w:t xml:space="preserve">SUPPORTING STATEMENT </w:t>
      </w:r>
      <w:r w:rsidR="00FC5036">
        <w:rPr>
          <w:color w:val="000000" w:themeColor="text1"/>
        </w:rPr>
        <w:t xml:space="preserve">– </w:t>
      </w:r>
      <w:r w:rsidRPr="00F60263">
        <w:rPr>
          <w:b/>
          <w:color w:val="000000" w:themeColor="text1"/>
        </w:rPr>
        <w:t>Part A:  Justification</w:t>
      </w:r>
      <w:r w:rsidRPr="00F60263">
        <w:rPr>
          <w:color w:val="000000" w:themeColor="text1"/>
        </w:rPr>
        <w:t xml:space="preserve"> </w:t>
      </w:r>
    </w:p>
    <w:p w:rsidRPr="00F60263" w:rsidR="00FA4EAB" w:rsidRDefault="00BC0554" w14:paraId="6FB782A2"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6E1B6F38" w14:textId="77777777">
      <w:pPr>
        <w:pStyle w:val="Heading1"/>
        <w:ind w:left="-5"/>
        <w:rPr>
          <w:color w:val="000000" w:themeColor="text1"/>
        </w:rPr>
      </w:pPr>
      <w:r w:rsidRPr="00F60263">
        <w:rPr>
          <w:color w:val="000000" w:themeColor="text1"/>
          <w:u w:val="none"/>
        </w:rPr>
        <w:t xml:space="preserve">1. </w:t>
      </w:r>
      <w:r w:rsidRPr="00F60263">
        <w:rPr>
          <w:color w:val="000000" w:themeColor="text1"/>
        </w:rPr>
        <w:t xml:space="preserve"> Circumstances Making the Collection of Information Necessary</w:t>
      </w:r>
      <w:r w:rsidRPr="00F60263">
        <w:rPr>
          <w:color w:val="000000" w:themeColor="text1"/>
          <w:u w:val="none"/>
        </w:rPr>
        <w:t xml:space="preserve"> </w:t>
      </w:r>
    </w:p>
    <w:p w:rsidRPr="00F60263" w:rsidR="00FA4EAB" w:rsidRDefault="00BC0554" w14:paraId="2D86A69D" w14:textId="77777777">
      <w:pPr>
        <w:spacing w:after="0" w:line="259" w:lineRule="auto"/>
        <w:ind w:left="0" w:firstLine="0"/>
        <w:rPr>
          <w:color w:val="000000" w:themeColor="text1"/>
        </w:rPr>
      </w:pPr>
      <w:r w:rsidRPr="00F60263">
        <w:rPr>
          <w:color w:val="000000" w:themeColor="text1"/>
        </w:rPr>
        <w:t xml:space="preserve"> </w:t>
      </w:r>
    </w:p>
    <w:p w:rsidR="00D53399" w:rsidP="00D53399" w:rsidRDefault="00BC0554" w14:paraId="3E1F7E4C" w14:textId="260F5BEF">
      <w:pPr>
        <w:ind w:left="0"/>
        <w:rPr>
          <w:color w:val="000000" w:themeColor="text1"/>
        </w:rPr>
      </w:pPr>
      <w:r w:rsidRPr="00F60263">
        <w:rPr>
          <w:color w:val="000000" w:themeColor="text1"/>
        </w:rPr>
        <w:t xml:space="preserve">This information collection supports </w:t>
      </w:r>
      <w:r w:rsidR="00F928EE">
        <w:rPr>
          <w:color w:val="000000" w:themeColor="text1"/>
        </w:rPr>
        <w:t>provisions found in s</w:t>
      </w:r>
      <w:r w:rsidRPr="00F60263">
        <w:rPr>
          <w:color w:val="000000" w:themeColor="text1"/>
        </w:rPr>
        <w:t>ections 201, 502, 505, 701</w:t>
      </w:r>
      <w:r w:rsidRPr="00F60263" w:rsidR="0031593B">
        <w:rPr>
          <w:color w:val="000000" w:themeColor="text1"/>
        </w:rPr>
        <w:t xml:space="preserve"> and 760</w:t>
      </w:r>
      <w:r w:rsidRPr="00F60263">
        <w:rPr>
          <w:color w:val="000000" w:themeColor="text1"/>
        </w:rPr>
        <w:t xml:space="preserve"> of the Federal Food, Drug, and Cosmetic Act (</w:t>
      </w:r>
      <w:r w:rsidR="0043542E">
        <w:rPr>
          <w:color w:val="000000" w:themeColor="text1"/>
        </w:rPr>
        <w:t>FD</w:t>
      </w:r>
      <w:r w:rsidR="006C5FFE">
        <w:rPr>
          <w:color w:val="000000" w:themeColor="text1"/>
        </w:rPr>
        <w:t>&amp;</w:t>
      </w:r>
      <w:r w:rsidR="0043542E">
        <w:rPr>
          <w:color w:val="000000" w:themeColor="text1"/>
        </w:rPr>
        <w:t>C</w:t>
      </w:r>
      <w:r w:rsidR="006C5FFE">
        <w:rPr>
          <w:color w:val="000000" w:themeColor="text1"/>
        </w:rPr>
        <w:t xml:space="preserve"> </w:t>
      </w:r>
      <w:r w:rsidR="0043542E">
        <w:rPr>
          <w:color w:val="000000" w:themeColor="text1"/>
        </w:rPr>
        <w:t>A</w:t>
      </w:r>
      <w:r w:rsidR="006C5FFE">
        <w:rPr>
          <w:color w:val="000000" w:themeColor="text1"/>
        </w:rPr>
        <w:t>ct</w:t>
      </w:r>
      <w:r w:rsidR="0043542E">
        <w:rPr>
          <w:color w:val="000000" w:themeColor="text1"/>
        </w:rPr>
        <w:t>) (</w:t>
      </w:r>
      <w:r w:rsidRPr="003428D7">
        <w:rPr>
          <w:color w:val="000000" w:themeColor="text1"/>
          <w:u w:color="0000FF"/>
        </w:rPr>
        <w:t>21 U.S.C. 321</w:t>
      </w:r>
      <w:r w:rsidRPr="00F60263">
        <w:rPr>
          <w:color w:val="000000" w:themeColor="text1"/>
        </w:rPr>
        <w:t>, 352, 355, 371</w:t>
      </w:r>
      <w:r w:rsidRPr="00F60263" w:rsidR="0031593B">
        <w:rPr>
          <w:color w:val="000000" w:themeColor="text1"/>
        </w:rPr>
        <w:t>, and 379aa</w:t>
      </w:r>
      <w:r w:rsidRPr="00F60263">
        <w:rPr>
          <w:color w:val="000000" w:themeColor="text1"/>
        </w:rPr>
        <w:t>)</w:t>
      </w:r>
      <w:r w:rsidR="00374107">
        <w:rPr>
          <w:color w:val="000000" w:themeColor="text1"/>
        </w:rPr>
        <w:t xml:space="preserve"> </w:t>
      </w:r>
      <w:r w:rsidR="00EA3F6C">
        <w:rPr>
          <w:color w:val="000000" w:themeColor="text1"/>
        </w:rPr>
        <w:t xml:space="preserve">governing </w:t>
      </w:r>
      <w:r w:rsidR="005B0C16">
        <w:rPr>
          <w:color w:val="000000" w:themeColor="text1"/>
        </w:rPr>
        <w:t>adverse</w:t>
      </w:r>
      <w:r w:rsidR="00CC4BFF">
        <w:rPr>
          <w:color w:val="000000" w:themeColor="text1"/>
        </w:rPr>
        <w:t xml:space="preserve"> experience reporting (AER) </w:t>
      </w:r>
      <w:r w:rsidR="00996A7A">
        <w:rPr>
          <w:color w:val="000000" w:themeColor="text1"/>
        </w:rPr>
        <w:t xml:space="preserve">and associated recordkeeping </w:t>
      </w:r>
      <w:r w:rsidR="00CA6DA7">
        <w:rPr>
          <w:color w:val="000000" w:themeColor="text1"/>
        </w:rPr>
        <w:t xml:space="preserve">for </w:t>
      </w:r>
      <w:r w:rsidR="00C10A9F">
        <w:rPr>
          <w:color w:val="000000" w:themeColor="text1"/>
        </w:rPr>
        <w:t>Food and Drug Administration (FDA)</w:t>
      </w:r>
      <w:r w:rsidR="00820B4E">
        <w:rPr>
          <w:color w:val="000000" w:themeColor="text1"/>
        </w:rPr>
        <w:t>-regulated</w:t>
      </w:r>
      <w:r w:rsidR="00C10A9F">
        <w:rPr>
          <w:color w:val="000000" w:themeColor="text1"/>
        </w:rPr>
        <w:t xml:space="preserve"> </w:t>
      </w:r>
      <w:r w:rsidR="00CA6DA7">
        <w:rPr>
          <w:color w:val="000000" w:themeColor="text1"/>
        </w:rPr>
        <w:t>dru</w:t>
      </w:r>
      <w:r w:rsidR="00AC78CF">
        <w:rPr>
          <w:color w:val="000000" w:themeColor="text1"/>
        </w:rPr>
        <w:t>g products</w:t>
      </w:r>
      <w:r w:rsidR="00CA6DA7">
        <w:rPr>
          <w:color w:val="000000" w:themeColor="text1"/>
        </w:rPr>
        <w:t>.</w:t>
      </w:r>
      <w:r w:rsidR="009F763A">
        <w:rPr>
          <w:color w:val="000000" w:themeColor="text1"/>
        </w:rPr>
        <w:t xml:space="preserve">  </w:t>
      </w:r>
      <w:r w:rsidR="00223BEA">
        <w:rPr>
          <w:color w:val="000000" w:themeColor="text1"/>
        </w:rPr>
        <w:t xml:space="preserve">The </w:t>
      </w:r>
      <w:r w:rsidR="00240872">
        <w:rPr>
          <w:color w:val="000000" w:themeColor="text1"/>
        </w:rPr>
        <w:t xml:space="preserve">FDA </w:t>
      </w:r>
      <w:r w:rsidR="00223BEA">
        <w:rPr>
          <w:color w:val="000000" w:themeColor="text1"/>
        </w:rPr>
        <w:t>ha</w:t>
      </w:r>
      <w:r w:rsidR="0093380B">
        <w:rPr>
          <w:color w:val="000000" w:themeColor="text1"/>
        </w:rPr>
        <w:t xml:space="preserve">s </w:t>
      </w:r>
      <w:r w:rsidR="000C6DA8">
        <w:rPr>
          <w:color w:val="000000" w:themeColor="text1"/>
        </w:rPr>
        <w:t xml:space="preserve">promulgated </w:t>
      </w:r>
      <w:r w:rsidR="00F51878">
        <w:rPr>
          <w:color w:val="000000" w:themeColor="text1"/>
        </w:rPr>
        <w:t xml:space="preserve">applicable </w:t>
      </w:r>
      <w:r w:rsidRPr="00F60263">
        <w:rPr>
          <w:color w:val="000000" w:themeColor="text1"/>
        </w:rPr>
        <w:t xml:space="preserve">regulations </w:t>
      </w:r>
      <w:r w:rsidR="004A3B74">
        <w:rPr>
          <w:color w:val="000000" w:themeColor="text1"/>
        </w:rPr>
        <w:t xml:space="preserve">in </w:t>
      </w:r>
      <w:r w:rsidR="00D6419C">
        <w:rPr>
          <w:color w:val="000000" w:themeColor="text1"/>
        </w:rPr>
        <w:t xml:space="preserve">21 CFR </w:t>
      </w:r>
      <w:r w:rsidRPr="00F60263">
        <w:rPr>
          <w:color w:val="000000" w:themeColor="text1"/>
        </w:rPr>
        <w:t>§§ 310.305</w:t>
      </w:r>
      <w:r w:rsidRPr="00F60263" w:rsidR="00DF6292">
        <w:rPr>
          <w:color w:val="000000" w:themeColor="text1"/>
        </w:rPr>
        <w:t xml:space="preserve">, </w:t>
      </w:r>
      <w:r w:rsidRPr="00F60263">
        <w:rPr>
          <w:color w:val="000000" w:themeColor="text1"/>
        </w:rPr>
        <w:t>314.80</w:t>
      </w:r>
      <w:r w:rsidR="00E03366">
        <w:rPr>
          <w:color w:val="000000" w:themeColor="text1"/>
        </w:rPr>
        <w:t>, 314.81, 314.</w:t>
      </w:r>
      <w:r w:rsidR="00B20CD8">
        <w:rPr>
          <w:color w:val="000000" w:themeColor="text1"/>
        </w:rPr>
        <w:t>98,</w:t>
      </w:r>
      <w:r w:rsidRPr="00F60263" w:rsidR="00DF6292">
        <w:rPr>
          <w:color w:val="000000" w:themeColor="text1"/>
        </w:rPr>
        <w:t xml:space="preserve"> </w:t>
      </w:r>
      <w:r w:rsidR="00AC78CF">
        <w:rPr>
          <w:color w:val="000000" w:themeColor="text1"/>
        </w:rPr>
        <w:t xml:space="preserve">and </w:t>
      </w:r>
      <w:r w:rsidRPr="00F60263" w:rsidR="00DF6292">
        <w:rPr>
          <w:color w:val="000000" w:themeColor="text1"/>
        </w:rPr>
        <w:t>329.100</w:t>
      </w:r>
      <w:r w:rsidRPr="00F60263">
        <w:rPr>
          <w:color w:val="000000" w:themeColor="text1"/>
        </w:rPr>
        <w:t xml:space="preserve"> </w:t>
      </w:r>
      <w:r w:rsidR="00240872">
        <w:rPr>
          <w:color w:val="000000" w:themeColor="text1"/>
        </w:rPr>
        <w:t>that</w:t>
      </w:r>
      <w:r w:rsidR="0093380B">
        <w:rPr>
          <w:color w:val="000000" w:themeColor="text1"/>
        </w:rPr>
        <w:t xml:space="preserve"> </w:t>
      </w:r>
      <w:r w:rsidR="00D6419C">
        <w:rPr>
          <w:color w:val="000000" w:themeColor="text1"/>
        </w:rPr>
        <w:t xml:space="preserve">implement </w:t>
      </w:r>
      <w:r w:rsidR="002B794B">
        <w:rPr>
          <w:color w:val="000000" w:themeColor="text1"/>
        </w:rPr>
        <w:t xml:space="preserve">the </w:t>
      </w:r>
      <w:r w:rsidR="0093380B">
        <w:rPr>
          <w:color w:val="000000" w:themeColor="text1"/>
        </w:rPr>
        <w:t>statutory requirements</w:t>
      </w:r>
      <w:r w:rsidR="00477DEF">
        <w:rPr>
          <w:color w:val="000000" w:themeColor="text1"/>
        </w:rPr>
        <w:t>,</w:t>
      </w:r>
      <w:r w:rsidR="00F510AA">
        <w:rPr>
          <w:color w:val="000000" w:themeColor="text1"/>
        </w:rPr>
        <w:t xml:space="preserve"> </w:t>
      </w:r>
      <w:r w:rsidR="005B571F">
        <w:rPr>
          <w:color w:val="000000" w:themeColor="text1"/>
        </w:rPr>
        <w:t xml:space="preserve">identify </w:t>
      </w:r>
      <w:r w:rsidR="00B87EF7">
        <w:rPr>
          <w:color w:val="000000" w:themeColor="text1"/>
        </w:rPr>
        <w:t>specific</w:t>
      </w:r>
      <w:r w:rsidR="008F6B07">
        <w:rPr>
          <w:color w:val="000000" w:themeColor="text1"/>
        </w:rPr>
        <w:t xml:space="preserve"> content</w:t>
      </w:r>
      <w:r w:rsidR="00176599">
        <w:rPr>
          <w:color w:val="000000" w:themeColor="text1"/>
        </w:rPr>
        <w:t xml:space="preserve"> and </w:t>
      </w:r>
      <w:r w:rsidR="008F6B07">
        <w:rPr>
          <w:color w:val="000000" w:themeColor="text1"/>
        </w:rPr>
        <w:t>format</w:t>
      </w:r>
      <w:r w:rsidR="00176599">
        <w:rPr>
          <w:color w:val="000000" w:themeColor="text1"/>
        </w:rPr>
        <w:t xml:space="preserve"> elements</w:t>
      </w:r>
      <w:r w:rsidR="008F6B07">
        <w:rPr>
          <w:color w:val="000000" w:themeColor="text1"/>
        </w:rPr>
        <w:t xml:space="preserve">, and </w:t>
      </w:r>
      <w:r w:rsidR="005B571F">
        <w:rPr>
          <w:color w:val="000000" w:themeColor="text1"/>
        </w:rPr>
        <w:t xml:space="preserve">establish </w:t>
      </w:r>
      <w:r w:rsidR="008F6B07">
        <w:rPr>
          <w:color w:val="000000" w:themeColor="text1"/>
        </w:rPr>
        <w:t xml:space="preserve">reporting </w:t>
      </w:r>
      <w:r w:rsidR="005B571F">
        <w:rPr>
          <w:color w:val="000000" w:themeColor="text1"/>
        </w:rPr>
        <w:t xml:space="preserve">and retention </w:t>
      </w:r>
      <w:r w:rsidR="008F6B07">
        <w:rPr>
          <w:color w:val="000000" w:themeColor="text1"/>
        </w:rPr>
        <w:t xml:space="preserve">schedules for the </w:t>
      </w:r>
      <w:r w:rsidR="00300414">
        <w:rPr>
          <w:color w:val="000000" w:themeColor="text1"/>
        </w:rPr>
        <w:t>required information</w:t>
      </w:r>
      <w:r w:rsidRPr="00F77595" w:rsidR="00F77595">
        <w:rPr>
          <w:color w:val="000000" w:themeColor="text1"/>
        </w:rPr>
        <w:t>.</w:t>
      </w:r>
      <w:r w:rsidR="00F51878">
        <w:rPr>
          <w:color w:val="000000" w:themeColor="text1"/>
        </w:rPr>
        <w:t xml:space="preserve">  </w:t>
      </w:r>
      <w:r w:rsidRPr="004A26F4" w:rsidR="004A26F4">
        <w:rPr>
          <w:color w:val="000000" w:themeColor="text1"/>
        </w:rPr>
        <w:t xml:space="preserve">Postmarketing safety data collection and adverse event reporting are critical elements of FDA’s </w:t>
      </w:r>
      <w:r w:rsidR="00C10A9F">
        <w:rPr>
          <w:color w:val="000000" w:themeColor="text1"/>
        </w:rPr>
        <w:t xml:space="preserve">monitoring </w:t>
      </w:r>
      <w:r w:rsidRPr="004A26F4" w:rsidR="004A26F4">
        <w:rPr>
          <w:color w:val="000000" w:themeColor="text1"/>
        </w:rPr>
        <w:t>of drugs.</w:t>
      </w:r>
      <w:r w:rsidR="001A5E5E">
        <w:rPr>
          <w:color w:val="000000" w:themeColor="text1"/>
        </w:rPr>
        <w:t xml:space="preserve">  </w:t>
      </w:r>
      <w:r w:rsidR="00562CA0">
        <w:rPr>
          <w:color w:val="000000" w:themeColor="text1"/>
        </w:rPr>
        <w:t>For more information</w:t>
      </w:r>
      <w:r w:rsidR="00AE503E">
        <w:rPr>
          <w:color w:val="000000" w:themeColor="text1"/>
        </w:rPr>
        <w:t xml:space="preserve">, </w:t>
      </w:r>
      <w:r w:rsidR="00834E3A">
        <w:rPr>
          <w:color w:val="000000" w:themeColor="text1"/>
        </w:rPr>
        <w:t>please</w:t>
      </w:r>
      <w:r w:rsidR="00760BEF">
        <w:rPr>
          <w:color w:val="000000" w:themeColor="text1"/>
        </w:rPr>
        <w:t xml:space="preserve"> visit </w:t>
      </w:r>
      <w:hyperlink w:history="1" r:id="rId7">
        <w:r w:rsidRPr="00EE345F" w:rsidR="00E464CD">
          <w:rPr>
            <w:rStyle w:val="Hyperlink"/>
          </w:rPr>
          <w:t>https://www.fda.gov/drugs/surveillance/postmarketing-adverse-event-reporting-compliance-program</w:t>
        </w:r>
        <w:r w:rsidRPr="00EE345F" w:rsidR="00562CA0">
          <w:rPr>
            <w:rStyle w:val="Hyperlink"/>
          </w:rPr>
          <w:t>.</w:t>
        </w:r>
      </w:hyperlink>
      <w:r w:rsidR="00D53399">
        <w:rPr>
          <w:color w:val="000000" w:themeColor="text1"/>
        </w:rPr>
        <w:t xml:space="preserve">  </w:t>
      </w:r>
      <w:r w:rsidRPr="00D53399" w:rsidR="00D53399">
        <w:rPr>
          <w:color w:val="000000" w:themeColor="text1"/>
        </w:rPr>
        <w:t xml:space="preserve">Respondents to </w:t>
      </w:r>
      <w:r w:rsidR="00D53399">
        <w:rPr>
          <w:color w:val="000000" w:themeColor="text1"/>
        </w:rPr>
        <w:t xml:space="preserve">the </w:t>
      </w:r>
      <w:r w:rsidRPr="00D53399" w:rsidR="00D53399">
        <w:rPr>
          <w:color w:val="000000" w:themeColor="text1"/>
        </w:rPr>
        <w:t xml:space="preserve">information </w:t>
      </w:r>
      <w:r w:rsidR="00D53399">
        <w:rPr>
          <w:color w:val="000000" w:themeColor="text1"/>
        </w:rPr>
        <w:t xml:space="preserve">collection </w:t>
      </w:r>
      <w:r w:rsidRPr="00D53399" w:rsidR="00D53399">
        <w:rPr>
          <w:color w:val="000000" w:themeColor="text1"/>
        </w:rPr>
        <w:t>are manufacturers, packers, distributors, and applicants of FDA-regulated drug and biologic products</w:t>
      </w:r>
      <w:r w:rsidR="00E351D1">
        <w:rPr>
          <w:color w:val="000000" w:themeColor="text1"/>
        </w:rPr>
        <w:t xml:space="preserve"> marketed</w:t>
      </w:r>
      <w:r w:rsidRPr="00D53399" w:rsidR="00D53399">
        <w:rPr>
          <w:color w:val="000000" w:themeColor="text1"/>
        </w:rPr>
        <w:t xml:space="preserve"> </w:t>
      </w:r>
      <w:r w:rsidR="00E351D1">
        <w:rPr>
          <w:color w:val="000000" w:themeColor="text1"/>
        </w:rPr>
        <w:t xml:space="preserve">with or </w:t>
      </w:r>
      <w:r w:rsidRPr="00D53399" w:rsidR="00D53399">
        <w:rPr>
          <w:color w:val="000000" w:themeColor="text1"/>
        </w:rPr>
        <w:t xml:space="preserve">without an FDA-approved application, including </w:t>
      </w:r>
      <w:r w:rsidR="00546F25">
        <w:rPr>
          <w:color w:val="000000" w:themeColor="text1"/>
        </w:rPr>
        <w:t>over-the-counter (</w:t>
      </w:r>
      <w:r w:rsidRPr="00D53399" w:rsidR="00D53399">
        <w:rPr>
          <w:color w:val="000000" w:themeColor="text1"/>
        </w:rPr>
        <w:t>OTC</w:t>
      </w:r>
      <w:r w:rsidR="00546F25">
        <w:rPr>
          <w:color w:val="000000" w:themeColor="text1"/>
        </w:rPr>
        <w:t>)</w:t>
      </w:r>
      <w:r w:rsidRPr="00D53399" w:rsidR="00D53399">
        <w:rPr>
          <w:color w:val="000000" w:themeColor="text1"/>
        </w:rPr>
        <w:t xml:space="preserve"> drug products marketed without an approved application, OTC drug products marketed under the OTC Drug Monograph Review process (whether subject to a final monograph or not), and drug products marketed outside the monograph system.</w:t>
      </w:r>
    </w:p>
    <w:p w:rsidR="00D53399" w:rsidP="00D53399" w:rsidRDefault="00D53399" w14:paraId="17E90FBD" w14:textId="77777777">
      <w:pPr>
        <w:rPr>
          <w:color w:val="000000" w:themeColor="text1"/>
        </w:rPr>
      </w:pPr>
    </w:p>
    <w:p w:rsidR="00C00B5B" w:rsidP="00950218" w:rsidRDefault="00AF5ED2" w14:paraId="3B99DF0E" w14:textId="40635778">
      <w:pPr>
        <w:ind w:left="0"/>
        <w:rPr>
          <w:color w:val="000000" w:themeColor="text1"/>
        </w:rPr>
      </w:pPr>
      <w:r>
        <w:rPr>
          <w:color w:val="000000" w:themeColor="text1"/>
        </w:rPr>
        <w:t>As</w:t>
      </w:r>
      <w:r w:rsidR="00DD69CC">
        <w:rPr>
          <w:color w:val="000000" w:themeColor="text1"/>
        </w:rPr>
        <w:t xml:space="preserve"> </w:t>
      </w:r>
      <w:r w:rsidR="00CA41B2">
        <w:rPr>
          <w:color w:val="000000" w:themeColor="text1"/>
        </w:rPr>
        <w:t>set forth in</w:t>
      </w:r>
      <w:r>
        <w:rPr>
          <w:color w:val="000000" w:themeColor="text1"/>
        </w:rPr>
        <w:t xml:space="preserve"> 21 CFR 310.305, </w:t>
      </w:r>
      <w:r w:rsidRPr="00C00B5B" w:rsidR="00C00B5B">
        <w:rPr>
          <w:color w:val="000000" w:themeColor="text1"/>
        </w:rPr>
        <w:t xml:space="preserve">manufacturers, packers, and distributors </w:t>
      </w:r>
      <w:r w:rsidR="00331E4A">
        <w:rPr>
          <w:color w:val="000000" w:themeColor="text1"/>
        </w:rPr>
        <w:t xml:space="preserve">of </w:t>
      </w:r>
      <w:r w:rsidRPr="00331E4A" w:rsidR="00331E4A">
        <w:rPr>
          <w:color w:val="000000" w:themeColor="text1"/>
        </w:rPr>
        <w:t xml:space="preserve">marketed prescription drug products </w:t>
      </w:r>
      <w:r w:rsidR="00732B94">
        <w:rPr>
          <w:color w:val="000000" w:themeColor="text1"/>
        </w:rPr>
        <w:t>not the subject of a</w:t>
      </w:r>
      <w:r w:rsidR="00584073">
        <w:rPr>
          <w:color w:val="000000" w:themeColor="text1"/>
        </w:rPr>
        <w:t xml:space="preserve"> </w:t>
      </w:r>
      <w:r w:rsidRPr="00331E4A" w:rsidR="00331E4A">
        <w:rPr>
          <w:color w:val="000000" w:themeColor="text1"/>
        </w:rPr>
        <w:t xml:space="preserve">new drug application or abbreviated new drug application </w:t>
      </w:r>
      <w:r w:rsidRPr="00C00B5B" w:rsidR="00C00B5B">
        <w:rPr>
          <w:color w:val="000000" w:themeColor="text1"/>
        </w:rPr>
        <w:t>are required to report serious, unexpected adverse drug experiences</w:t>
      </w:r>
      <w:r w:rsidR="006B4683">
        <w:rPr>
          <w:color w:val="000000" w:themeColor="text1"/>
        </w:rPr>
        <w:t>,</w:t>
      </w:r>
      <w:r w:rsidRPr="00C00B5B" w:rsidR="00C00B5B">
        <w:rPr>
          <w:color w:val="000000" w:themeColor="text1"/>
        </w:rPr>
        <w:t xml:space="preserve"> as well as follow-up reports</w:t>
      </w:r>
      <w:r w:rsidR="006B4683">
        <w:rPr>
          <w:color w:val="000000" w:themeColor="text1"/>
        </w:rPr>
        <w:t>,</w:t>
      </w:r>
      <w:r w:rsidRPr="00C00B5B" w:rsidR="00C00B5B">
        <w:rPr>
          <w:color w:val="000000" w:themeColor="text1"/>
        </w:rPr>
        <w:t xml:space="preserve"> </w:t>
      </w:r>
      <w:r w:rsidR="00425566">
        <w:rPr>
          <w:color w:val="000000" w:themeColor="text1"/>
        </w:rPr>
        <w:t>to FDA.</w:t>
      </w:r>
      <w:r w:rsidR="009076ED">
        <w:rPr>
          <w:color w:val="000000" w:themeColor="text1"/>
        </w:rPr>
        <w:t xml:space="preserve">  </w:t>
      </w:r>
      <w:r w:rsidR="00425566">
        <w:rPr>
          <w:color w:val="000000" w:themeColor="text1"/>
        </w:rPr>
        <w:t xml:space="preserve">The regulations also </w:t>
      </w:r>
      <w:r w:rsidR="00003227">
        <w:rPr>
          <w:color w:val="000000" w:themeColor="text1"/>
        </w:rPr>
        <w:t>establish</w:t>
      </w:r>
      <w:r w:rsidR="00285E06">
        <w:rPr>
          <w:color w:val="000000" w:themeColor="text1"/>
        </w:rPr>
        <w:t xml:space="preserve"> require</w:t>
      </w:r>
      <w:r w:rsidR="003A2DEC">
        <w:rPr>
          <w:color w:val="000000" w:themeColor="text1"/>
        </w:rPr>
        <w:t xml:space="preserve">d </w:t>
      </w:r>
      <w:r w:rsidR="00571397">
        <w:rPr>
          <w:color w:val="000000" w:themeColor="text1"/>
        </w:rPr>
        <w:t>recordkeeping</w:t>
      </w:r>
      <w:r w:rsidR="00A85343">
        <w:rPr>
          <w:color w:val="000000" w:themeColor="text1"/>
        </w:rPr>
        <w:t xml:space="preserve"> and </w:t>
      </w:r>
      <w:r w:rsidR="007A66A3">
        <w:rPr>
          <w:color w:val="000000" w:themeColor="text1"/>
        </w:rPr>
        <w:t xml:space="preserve">corresponding </w:t>
      </w:r>
      <w:r w:rsidR="00003227">
        <w:rPr>
          <w:color w:val="000000" w:themeColor="text1"/>
        </w:rPr>
        <w:t xml:space="preserve">retention </w:t>
      </w:r>
      <w:r w:rsidR="00A85343">
        <w:rPr>
          <w:color w:val="000000" w:themeColor="text1"/>
        </w:rPr>
        <w:t xml:space="preserve">periods </w:t>
      </w:r>
      <w:r w:rsidR="00AC6DBB">
        <w:rPr>
          <w:color w:val="000000" w:themeColor="text1"/>
        </w:rPr>
        <w:t xml:space="preserve">for </w:t>
      </w:r>
      <w:r w:rsidR="00BD0566">
        <w:rPr>
          <w:color w:val="000000" w:themeColor="text1"/>
        </w:rPr>
        <w:t xml:space="preserve">the </w:t>
      </w:r>
      <w:r w:rsidR="00AC6DBB">
        <w:rPr>
          <w:color w:val="000000" w:themeColor="text1"/>
        </w:rPr>
        <w:t>associated records.</w:t>
      </w:r>
      <w:r w:rsidR="00054321">
        <w:rPr>
          <w:color w:val="000000" w:themeColor="text1"/>
        </w:rPr>
        <w:t xml:space="preserve">  </w:t>
      </w:r>
      <w:r w:rsidRPr="00054321" w:rsidR="00054321">
        <w:rPr>
          <w:color w:val="000000" w:themeColor="text1"/>
        </w:rPr>
        <w:t xml:space="preserve">Regulations </w:t>
      </w:r>
      <w:r w:rsidR="002F61D0">
        <w:rPr>
          <w:color w:val="000000" w:themeColor="text1"/>
        </w:rPr>
        <w:t xml:space="preserve">in </w:t>
      </w:r>
      <w:r w:rsidRPr="00054321" w:rsidR="00054321">
        <w:rPr>
          <w:color w:val="000000" w:themeColor="text1"/>
        </w:rPr>
        <w:t xml:space="preserve">21 CFR 329.100 set forth </w:t>
      </w:r>
      <w:r w:rsidR="00DA55B4">
        <w:rPr>
          <w:color w:val="000000" w:themeColor="text1"/>
        </w:rPr>
        <w:t xml:space="preserve">like </w:t>
      </w:r>
      <w:r w:rsidRPr="00054321" w:rsidR="00054321">
        <w:rPr>
          <w:color w:val="000000" w:themeColor="text1"/>
        </w:rPr>
        <w:t xml:space="preserve">requirements applicable to </w:t>
      </w:r>
      <w:r w:rsidRPr="00722E1B" w:rsidR="00054321">
        <w:rPr>
          <w:i/>
          <w:iCs/>
          <w:color w:val="000000" w:themeColor="text1"/>
        </w:rPr>
        <w:t>non</w:t>
      </w:r>
      <w:r w:rsidR="00722E1B">
        <w:rPr>
          <w:i/>
          <w:iCs/>
          <w:color w:val="000000" w:themeColor="text1"/>
        </w:rPr>
        <w:t>-</w:t>
      </w:r>
      <w:r w:rsidRPr="00054321" w:rsidR="00054321">
        <w:rPr>
          <w:color w:val="000000" w:themeColor="text1"/>
        </w:rPr>
        <w:t>prescription human drug products</w:t>
      </w:r>
      <w:r w:rsidR="00451804">
        <w:rPr>
          <w:color w:val="000000" w:themeColor="text1"/>
        </w:rPr>
        <w:t xml:space="preserve"> and </w:t>
      </w:r>
      <w:r w:rsidR="00BD0566">
        <w:rPr>
          <w:color w:val="000000" w:themeColor="text1"/>
        </w:rPr>
        <w:t>similarly</w:t>
      </w:r>
      <w:r w:rsidR="00451804">
        <w:rPr>
          <w:color w:val="000000" w:themeColor="text1"/>
        </w:rPr>
        <w:t xml:space="preserve"> prescribe </w:t>
      </w:r>
      <w:r w:rsidR="00BD0566">
        <w:rPr>
          <w:color w:val="000000" w:themeColor="text1"/>
        </w:rPr>
        <w:t xml:space="preserve">reporting content </w:t>
      </w:r>
      <w:r w:rsidR="0010633C">
        <w:rPr>
          <w:color w:val="000000" w:themeColor="text1"/>
        </w:rPr>
        <w:t>and format elements</w:t>
      </w:r>
      <w:r w:rsidR="00961A2A">
        <w:rPr>
          <w:color w:val="000000" w:themeColor="text1"/>
        </w:rPr>
        <w:t>,</w:t>
      </w:r>
      <w:r w:rsidR="0010633C">
        <w:rPr>
          <w:color w:val="000000" w:themeColor="text1"/>
        </w:rPr>
        <w:t xml:space="preserve"> as well as</w:t>
      </w:r>
      <w:r w:rsidR="00961A2A">
        <w:rPr>
          <w:color w:val="000000" w:themeColor="text1"/>
        </w:rPr>
        <w:t xml:space="preserve"> establish </w:t>
      </w:r>
      <w:r w:rsidR="00936AB5">
        <w:rPr>
          <w:color w:val="000000" w:themeColor="text1"/>
        </w:rPr>
        <w:t xml:space="preserve">mandatory </w:t>
      </w:r>
      <w:r w:rsidR="009D22F9">
        <w:rPr>
          <w:color w:val="000000" w:themeColor="text1"/>
        </w:rPr>
        <w:t xml:space="preserve">timeframes </w:t>
      </w:r>
      <w:r w:rsidR="00936AB5">
        <w:rPr>
          <w:color w:val="000000" w:themeColor="text1"/>
        </w:rPr>
        <w:t>for</w:t>
      </w:r>
      <w:r w:rsidR="00BB0121">
        <w:rPr>
          <w:color w:val="000000" w:themeColor="text1"/>
        </w:rPr>
        <w:t xml:space="preserve"> the submission of </w:t>
      </w:r>
      <w:r w:rsidR="00D333F1">
        <w:rPr>
          <w:color w:val="000000" w:themeColor="text1"/>
        </w:rPr>
        <w:t xml:space="preserve">required </w:t>
      </w:r>
      <w:r w:rsidR="00BB0121">
        <w:rPr>
          <w:color w:val="000000" w:themeColor="text1"/>
        </w:rPr>
        <w:t>information</w:t>
      </w:r>
      <w:r w:rsidR="00721D8F">
        <w:rPr>
          <w:color w:val="000000" w:themeColor="text1"/>
        </w:rPr>
        <w:t xml:space="preserve"> and the retention of records</w:t>
      </w:r>
      <w:r w:rsidR="00936AB5">
        <w:rPr>
          <w:color w:val="000000" w:themeColor="text1"/>
        </w:rPr>
        <w:t>.</w:t>
      </w:r>
      <w:r w:rsidR="0010633C">
        <w:rPr>
          <w:color w:val="000000" w:themeColor="text1"/>
        </w:rPr>
        <w:t xml:space="preserve"> </w:t>
      </w:r>
    </w:p>
    <w:p w:rsidR="00C00B5B" w:rsidP="00950218" w:rsidRDefault="00C00B5B" w14:paraId="6BA771AB" w14:textId="77777777">
      <w:pPr>
        <w:ind w:left="0"/>
        <w:rPr>
          <w:color w:val="000000" w:themeColor="text1"/>
        </w:rPr>
      </w:pPr>
    </w:p>
    <w:p w:rsidR="006B3AA7" w:rsidP="006B3AA7" w:rsidRDefault="00DB145D" w14:paraId="03745227" w14:textId="688F82FA">
      <w:pPr>
        <w:ind w:left="0"/>
        <w:rPr>
          <w:color w:val="000000" w:themeColor="text1"/>
        </w:rPr>
      </w:pPr>
      <w:r>
        <w:rPr>
          <w:color w:val="000000" w:themeColor="text1"/>
        </w:rPr>
        <w:t xml:space="preserve">Adverse experience reporting </w:t>
      </w:r>
      <w:r w:rsidR="00CE18D0">
        <w:rPr>
          <w:color w:val="000000" w:themeColor="text1"/>
        </w:rPr>
        <w:t>for p</w:t>
      </w:r>
      <w:r w:rsidR="002A529A">
        <w:rPr>
          <w:color w:val="000000" w:themeColor="text1"/>
        </w:rPr>
        <w:t xml:space="preserve">roducts associated with </w:t>
      </w:r>
      <w:r w:rsidR="00B754B1">
        <w:rPr>
          <w:color w:val="000000" w:themeColor="text1"/>
        </w:rPr>
        <w:t>drug marketing applications</w:t>
      </w:r>
      <w:r w:rsidR="00DE2B64">
        <w:rPr>
          <w:color w:val="000000" w:themeColor="text1"/>
        </w:rPr>
        <w:t xml:space="preserve"> </w:t>
      </w:r>
      <w:r w:rsidR="00CE18D0">
        <w:rPr>
          <w:color w:val="000000" w:themeColor="text1"/>
        </w:rPr>
        <w:t xml:space="preserve">are governed by </w:t>
      </w:r>
      <w:r w:rsidR="00B754B1">
        <w:rPr>
          <w:color w:val="000000" w:themeColor="text1"/>
        </w:rPr>
        <w:t>r</w:t>
      </w:r>
      <w:r w:rsidR="00F90654">
        <w:rPr>
          <w:color w:val="000000" w:themeColor="text1"/>
        </w:rPr>
        <w:t xml:space="preserve">egulations in </w:t>
      </w:r>
      <w:r w:rsidR="00223E90">
        <w:rPr>
          <w:color w:val="000000" w:themeColor="text1"/>
        </w:rPr>
        <w:t>21 CFR 314.</w:t>
      </w:r>
      <w:r w:rsidR="00B4723E">
        <w:rPr>
          <w:color w:val="000000" w:themeColor="text1"/>
        </w:rPr>
        <w:t>80</w:t>
      </w:r>
      <w:r w:rsidR="00136CF3">
        <w:rPr>
          <w:color w:val="000000" w:themeColor="text1"/>
        </w:rPr>
        <w:t>, 314.81, and 314.98</w:t>
      </w:r>
      <w:r w:rsidR="00440178">
        <w:rPr>
          <w:color w:val="000000" w:themeColor="text1"/>
        </w:rPr>
        <w:t xml:space="preserve">.  </w:t>
      </w:r>
      <w:r w:rsidR="00565181">
        <w:rPr>
          <w:color w:val="000000" w:themeColor="text1"/>
        </w:rPr>
        <w:t xml:space="preserve">The regulations </w:t>
      </w:r>
      <w:r w:rsidR="007170AE">
        <w:rPr>
          <w:color w:val="000000" w:themeColor="text1"/>
        </w:rPr>
        <w:t xml:space="preserve">identify required </w:t>
      </w:r>
      <w:r w:rsidR="00344108">
        <w:rPr>
          <w:color w:val="000000" w:themeColor="text1"/>
        </w:rPr>
        <w:t>reporting</w:t>
      </w:r>
      <w:r w:rsidR="00511D62">
        <w:rPr>
          <w:color w:val="000000" w:themeColor="text1"/>
        </w:rPr>
        <w:t xml:space="preserve"> </w:t>
      </w:r>
      <w:r w:rsidR="005B2105">
        <w:rPr>
          <w:color w:val="000000" w:themeColor="text1"/>
        </w:rPr>
        <w:t xml:space="preserve">content and format elements, as well as </w:t>
      </w:r>
      <w:r w:rsidR="007170AE">
        <w:rPr>
          <w:color w:val="000000" w:themeColor="text1"/>
        </w:rPr>
        <w:t xml:space="preserve">establish </w:t>
      </w:r>
      <w:r w:rsidR="00AB184C">
        <w:rPr>
          <w:color w:val="000000" w:themeColor="text1"/>
        </w:rPr>
        <w:t xml:space="preserve">follow-up reporting </w:t>
      </w:r>
      <w:r w:rsidR="00507077">
        <w:rPr>
          <w:color w:val="000000" w:themeColor="text1"/>
        </w:rPr>
        <w:t xml:space="preserve">requirements </w:t>
      </w:r>
      <w:r w:rsidR="00AB184C">
        <w:rPr>
          <w:color w:val="000000" w:themeColor="text1"/>
        </w:rPr>
        <w:t xml:space="preserve">and </w:t>
      </w:r>
      <w:r w:rsidR="00991602">
        <w:rPr>
          <w:color w:val="000000" w:themeColor="text1"/>
        </w:rPr>
        <w:t>mandatory reporting schedules</w:t>
      </w:r>
      <w:r w:rsidR="00AB184C">
        <w:rPr>
          <w:color w:val="000000" w:themeColor="text1"/>
        </w:rPr>
        <w:t xml:space="preserve">.  </w:t>
      </w:r>
      <w:r w:rsidR="000B22E2">
        <w:rPr>
          <w:color w:val="000000" w:themeColor="text1"/>
        </w:rPr>
        <w:t xml:space="preserve">The regulations also </w:t>
      </w:r>
      <w:r w:rsidR="00C13FD5">
        <w:rPr>
          <w:color w:val="000000" w:themeColor="text1"/>
        </w:rPr>
        <w:t xml:space="preserve">establish associated recordkeeping and </w:t>
      </w:r>
      <w:r w:rsidR="000B22E2">
        <w:rPr>
          <w:color w:val="000000" w:themeColor="text1"/>
        </w:rPr>
        <w:t xml:space="preserve">require that </w:t>
      </w:r>
      <w:r w:rsidR="00C13FD5">
        <w:rPr>
          <w:color w:val="000000" w:themeColor="text1"/>
        </w:rPr>
        <w:t xml:space="preserve">written procedures be developed for the </w:t>
      </w:r>
      <w:r w:rsidRPr="00431724" w:rsidR="00431724">
        <w:rPr>
          <w:color w:val="000000" w:themeColor="text1"/>
        </w:rPr>
        <w:t>surveillance, receipt, evaluation, and reporting of postmarketing adverse experiences to FDA.</w:t>
      </w:r>
      <w:r w:rsidR="001B02F6">
        <w:rPr>
          <w:color w:val="000000" w:themeColor="text1"/>
        </w:rPr>
        <w:t xml:space="preserve">  </w:t>
      </w:r>
      <w:r w:rsidR="002254FF">
        <w:rPr>
          <w:color w:val="000000" w:themeColor="text1"/>
        </w:rPr>
        <w:t>The regulations require</w:t>
      </w:r>
      <w:r w:rsidR="00CC31A3">
        <w:rPr>
          <w:color w:val="000000" w:themeColor="text1"/>
        </w:rPr>
        <w:t xml:space="preserve"> reporting</w:t>
      </w:r>
      <w:r w:rsidRPr="00431724" w:rsidR="00431724">
        <w:rPr>
          <w:color w:val="000000" w:themeColor="text1"/>
        </w:rPr>
        <w:t xml:space="preserve"> in </w:t>
      </w:r>
      <w:r w:rsidR="00CC31A3">
        <w:rPr>
          <w:color w:val="000000" w:themeColor="text1"/>
        </w:rPr>
        <w:t xml:space="preserve">an </w:t>
      </w:r>
      <w:r w:rsidRPr="00431724" w:rsidR="00431724">
        <w:rPr>
          <w:color w:val="000000" w:themeColor="text1"/>
        </w:rPr>
        <w:t xml:space="preserve">electronic format </w:t>
      </w:r>
      <w:r w:rsidR="00D01EB6">
        <w:rPr>
          <w:color w:val="000000" w:themeColor="text1"/>
        </w:rPr>
        <w:t>that FDA can process</w:t>
      </w:r>
      <w:r w:rsidR="005C5795">
        <w:rPr>
          <w:color w:val="000000" w:themeColor="text1"/>
        </w:rPr>
        <w:t>, although</w:t>
      </w:r>
      <w:r w:rsidR="00D01EB6">
        <w:rPr>
          <w:color w:val="000000" w:themeColor="text1"/>
        </w:rPr>
        <w:t xml:space="preserve"> </w:t>
      </w:r>
      <w:r w:rsidR="002974E6">
        <w:rPr>
          <w:color w:val="000000" w:themeColor="text1"/>
        </w:rPr>
        <w:t xml:space="preserve">temporary waivers may be </w:t>
      </w:r>
      <w:r w:rsidR="00CC31A3">
        <w:rPr>
          <w:color w:val="000000" w:themeColor="text1"/>
        </w:rPr>
        <w:t>granted</w:t>
      </w:r>
      <w:r w:rsidR="009C7307">
        <w:rPr>
          <w:color w:val="000000" w:themeColor="text1"/>
        </w:rPr>
        <w:t xml:space="preserve"> on a limited basis for good cause.</w:t>
      </w:r>
    </w:p>
    <w:p w:rsidR="00961A2A" w:rsidP="006B3AA7" w:rsidRDefault="00961A2A" w14:paraId="5C5858A6" w14:textId="77777777">
      <w:pPr>
        <w:ind w:left="0"/>
        <w:rPr>
          <w:color w:val="000000" w:themeColor="text1"/>
        </w:rPr>
      </w:pPr>
    </w:p>
    <w:p w:rsidRPr="006B3AA7" w:rsidR="00FD17F2" w:rsidP="006B3AA7" w:rsidRDefault="00B1058D" w14:paraId="287E9D13" w14:textId="7B28A767">
      <w:pPr>
        <w:ind w:left="0"/>
        <w:rPr>
          <w:color w:val="000000" w:themeColor="text1"/>
        </w:rPr>
      </w:pPr>
      <w:r w:rsidRPr="006B3AA7">
        <w:rPr>
          <w:color w:val="auto"/>
        </w:rPr>
        <w:lastRenderedPageBreak/>
        <w:t>For efficiency of agency operations, w</w:t>
      </w:r>
      <w:r w:rsidRPr="006B3AA7" w:rsidR="00BC0554">
        <w:rPr>
          <w:color w:val="auto"/>
        </w:rPr>
        <w:t xml:space="preserve">e </w:t>
      </w:r>
      <w:r w:rsidRPr="006B3AA7" w:rsidR="00A404D1">
        <w:rPr>
          <w:color w:val="auto"/>
        </w:rPr>
        <w:t xml:space="preserve">have revised </w:t>
      </w:r>
      <w:r w:rsidRPr="006B3AA7" w:rsidR="00BC0554">
        <w:rPr>
          <w:color w:val="auto"/>
        </w:rPr>
        <w:t xml:space="preserve">the </w:t>
      </w:r>
      <w:r w:rsidRPr="006B3AA7" w:rsidR="00A404D1">
        <w:rPr>
          <w:color w:val="auto"/>
        </w:rPr>
        <w:t xml:space="preserve">information </w:t>
      </w:r>
      <w:r w:rsidRPr="006B3AA7" w:rsidR="00BC0554">
        <w:rPr>
          <w:color w:val="auto"/>
        </w:rPr>
        <w:t>collection to include</w:t>
      </w:r>
      <w:r w:rsidRPr="006B3AA7" w:rsidR="00D80CB0">
        <w:rPr>
          <w:color w:val="auto"/>
        </w:rPr>
        <w:t xml:space="preserve"> </w:t>
      </w:r>
      <w:r w:rsidRPr="006B3AA7" w:rsidR="0055076E">
        <w:rPr>
          <w:color w:val="auto"/>
        </w:rPr>
        <w:t xml:space="preserve">burden we attribute to </w:t>
      </w:r>
      <w:r w:rsidRPr="006B3AA7" w:rsidR="00BC0554">
        <w:rPr>
          <w:color w:val="auto"/>
        </w:rPr>
        <w:t xml:space="preserve">reporting and recordkeeping </w:t>
      </w:r>
      <w:r w:rsidR="00182DF0">
        <w:rPr>
          <w:color w:val="auto"/>
        </w:rPr>
        <w:t xml:space="preserve">discussed </w:t>
      </w:r>
      <w:r w:rsidRPr="006B3AA7" w:rsidR="0055076E">
        <w:rPr>
          <w:color w:val="auto"/>
        </w:rPr>
        <w:t xml:space="preserve">in </w:t>
      </w:r>
      <w:r w:rsidRPr="006B3AA7" w:rsidR="00BC0554">
        <w:rPr>
          <w:color w:val="auto"/>
        </w:rPr>
        <w:t xml:space="preserve">the </w:t>
      </w:r>
      <w:r w:rsidRPr="006B3AA7" w:rsidR="00C578FE">
        <w:rPr>
          <w:color w:val="auto"/>
        </w:rPr>
        <w:t xml:space="preserve">following </w:t>
      </w:r>
      <w:r w:rsidRPr="006B3AA7" w:rsidR="00BC0554">
        <w:rPr>
          <w:color w:val="auto"/>
        </w:rPr>
        <w:t>agency guidance document</w:t>
      </w:r>
      <w:r w:rsidRPr="006B3AA7" w:rsidR="006C145D">
        <w:rPr>
          <w:color w:val="auto"/>
        </w:rPr>
        <w:t>s</w:t>
      </w:r>
      <w:r w:rsidRPr="006B3AA7" w:rsidR="00C578FE">
        <w:rPr>
          <w:color w:val="auto"/>
        </w:rPr>
        <w:t>:</w:t>
      </w:r>
    </w:p>
    <w:p w:rsidRPr="00F60263" w:rsidR="00FD17F2" w:rsidP="00950218" w:rsidRDefault="00FD17F2" w14:paraId="27D14457" w14:textId="77777777">
      <w:pPr>
        <w:ind w:left="0"/>
        <w:rPr>
          <w:color w:val="000000" w:themeColor="text1"/>
        </w:rPr>
      </w:pPr>
    </w:p>
    <w:p w:rsidR="00D80CB0" w:rsidP="00556369" w:rsidRDefault="00BC0554" w14:paraId="2C6B2595" w14:textId="36BC2EEE">
      <w:pPr>
        <w:pStyle w:val="ListParagraph"/>
        <w:numPr>
          <w:ilvl w:val="0"/>
          <w:numId w:val="7"/>
        </w:numPr>
        <w:ind w:right="104"/>
        <w:rPr>
          <w:color w:val="000000" w:themeColor="text1"/>
        </w:rPr>
      </w:pPr>
      <w:r w:rsidRPr="00D80CB0">
        <w:rPr>
          <w:i/>
          <w:color w:val="000000" w:themeColor="text1"/>
        </w:rPr>
        <w:t>Postmarketing Adverse Event Reporting for</w:t>
      </w:r>
      <w:r w:rsidRPr="00D80CB0" w:rsidR="00A404D1">
        <w:rPr>
          <w:i/>
          <w:color w:val="000000" w:themeColor="text1"/>
        </w:rPr>
        <w:t xml:space="preserve"> Nonprescription Human Drug Products Marketed without an </w:t>
      </w:r>
      <w:r w:rsidRPr="00D80CB0" w:rsidR="00D54FCC">
        <w:rPr>
          <w:i/>
          <w:color w:val="000000" w:themeColor="text1"/>
        </w:rPr>
        <w:t xml:space="preserve">Approved </w:t>
      </w:r>
      <w:r w:rsidRPr="00D80CB0">
        <w:rPr>
          <w:i/>
          <w:color w:val="000000" w:themeColor="text1"/>
        </w:rPr>
        <w:t>Application</w:t>
      </w:r>
      <w:r w:rsidRPr="00D80CB0">
        <w:rPr>
          <w:color w:val="000000" w:themeColor="text1"/>
        </w:rPr>
        <w:t xml:space="preserve"> </w:t>
      </w:r>
      <w:r w:rsidR="00DF385B">
        <w:rPr>
          <w:color w:val="000000" w:themeColor="text1"/>
        </w:rPr>
        <w:t>(</w:t>
      </w:r>
      <w:r w:rsidR="005700B8">
        <w:rPr>
          <w:color w:val="000000" w:themeColor="text1"/>
        </w:rPr>
        <w:t>July 2009),</w:t>
      </w:r>
      <w:r w:rsidR="00DF385B">
        <w:rPr>
          <w:color w:val="000000" w:themeColor="text1"/>
        </w:rPr>
        <w:t xml:space="preserve"> </w:t>
      </w:r>
      <w:r w:rsidRPr="00D80CB0">
        <w:rPr>
          <w:color w:val="000000" w:themeColor="text1"/>
        </w:rPr>
        <w:t>implements section 760 (e) of the FD&amp;C Act (21 U.S.C. 379aa(e)).  Section 760 requires that responsible persons maintain records of nonprescription adverse event reports, whether or not the event is serious, for a period of 6 years.  The guidance explains that respondents maintain records of efforts to obtain the minimum data elements for a report of a serious adverse drug event and any follow-up reports.</w:t>
      </w:r>
      <w:r w:rsidRPr="00D80CB0" w:rsidR="00D54FCC">
        <w:rPr>
          <w:color w:val="000000" w:themeColor="text1"/>
        </w:rPr>
        <w:t xml:space="preserve">  </w:t>
      </w:r>
      <w:r w:rsidRPr="00D80CB0">
        <w:rPr>
          <w:color w:val="000000" w:themeColor="text1"/>
        </w:rPr>
        <w:t xml:space="preserve">The information collection </w:t>
      </w:r>
      <w:r w:rsidR="00C578FE">
        <w:rPr>
          <w:color w:val="000000" w:themeColor="text1"/>
        </w:rPr>
        <w:t>a</w:t>
      </w:r>
      <w:r w:rsidRPr="00D80CB0">
        <w:rPr>
          <w:color w:val="000000" w:themeColor="text1"/>
        </w:rPr>
        <w:t xml:space="preserve">ssociated with the guidance </w:t>
      </w:r>
      <w:r w:rsidR="006A72E7">
        <w:rPr>
          <w:color w:val="000000" w:themeColor="text1"/>
        </w:rPr>
        <w:t xml:space="preserve">document </w:t>
      </w:r>
      <w:r w:rsidRPr="00D80CB0" w:rsidR="00D54FCC">
        <w:rPr>
          <w:color w:val="000000" w:themeColor="text1"/>
        </w:rPr>
        <w:t xml:space="preserve">was previously </w:t>
      </w:r>
      <w:r w:rsidRPr="00D80CB0">
        <w:rPr>
          <w:color w:val="000000" w:themeColor="text1"/>
        </w:rPr>
        <w:t>approved under OMB Control No. 0910-0636</w:t>
      </w:r>
      <w:r w:rsidR="00B1058D">
        <w:rPr>
          <w:color w:val="000000" w:themeColor="text1"/>
        </w:rPr>
        <w:t>.</w:t>
      </w:r>
    </w:p>
    <w:p w:rsidRPr="00BA7E0A" w:rsidR="00BA7E0A" w:rsidP="00556369" w:rsidRDefault="00BA7E0A" w14:paraId="698361D2" w14:textId="77777777">
      <w:pPr>
        <w:pStyle w:val="ListParagraph"/>
        <w:ind w:right="104" w:firstLine="0"/>
        <w:rPr>
          <w:color w:val="000000" w:themeColor="text1"/>
        </w:rPr>
      </w:pPr>
    </w:p>
    <w:p w:rsidRPr="00D80CB0" w:rsidR="00FD17F2" w:rsidP="00556369" w:rsidRDefault="00FD17F2" w14:paraId="61A75FED" w14:textId="55F10708">
      <w:pPr>
        <w:pStyle w:val="ListParagraph"/>
        <w:numPr>
          <w:ilvl w:val="0"/>
          <w:numId w:val="7"/>
        </w:numPr>
        <w:ind w:right="104"/>
        <w:rPr>
          <w:color w:val="000000" w:themeColor="text1"/>
        </w:rPr>
      </w:pPr>
      <w:r w:rsidRPr="00D80CB0">
        <w:rPr>
          <w:i/>
          <w:iCs/>
          <w:color w:val="000000" w:themeColor="text1"/>
        </w:rPr>
        <w:t>Postmarketing Adverse Event Reporting for Medical Products and Dietary Supplements During a Pandemic</w:t>
      </w:r>
      <w:r w:rsidRPr="00D80CB0">
        <w:rPr>
          <w:color w:val="000000" w:themeColor="text1"/>
        </w:rPr>
        <w:t xml:space="preserve"> (May 2020), </w:t>
      </w:r>
      <w:r w:rsidR="00C5463A">
        <w:rPr>
          <w:color w:val="000000" w:themeColor="text1"/>
        </w:rPr>
        <w:t xml:space="preserve">also </w:t>
      </w:r>
      <w:r w:rsidRPr="00D80CB0">
        <w:rPr>
          <w:color w:val="000000" w:themeColor="text1"/>
        </w:rPr>
        <w:t>pertain</w:t>
      </w:r>
      <w:r w:rsidR="003D0C4A">
        <w:rPr>
          <w:color w:val="000000" w:themeColor="text1"/>
        </w:rPr>
        <w:t>s</w:t>
      </w:r>
      <w:r w:rsidRPr="00D80CB0">
        <w:rPr>
          <w:color w:val="000000" w:themeColor="text1"/>
        </w:rPr>
        <w:t xml:space="preserve"> to postmarket reporting under section 760 of the F</w:t>
      </w:r>
      <w:r w:rsidR="001B7E2E">
        <w:rPr>
          <w:color w:val="000000" w:themeColor="text1"/>
        </w:rPr>
        <w:t xml:space="preserve">D&amp;C </w:t>
      </w:r>
      <w:r w:rsidRPr="00D80CB0">
        <w:rPr>
          <w:color w:val="000000" w:themeColor="text1"/>
        </w:rPr>
        <w:t xml:space="preserve"> Act. </w:t>
      </w:r>
      <w:r w:rsidR="00D10353">
        <w:rPr>
          <w:color w:val="000000" w:themeColor="text1"/>
        </w:rPr>
        <w:t xml:space="preserve"> Information collection associated with </w:t>
      </w:r>
      <w:r w:rsidR="006A72E7">
        <w:rPr>
          <w:color w:val="000000" w:themeColor="text1"/>
        </w:rPr>
        <w:t xml:space="preserve">the </w:t>
      </w:r>
      <w:r w:rsidRPr="00D80CB0">
        <w:rPr>
          <w:color w:val="000000" w:themeColor="text1"/>
        </w:rPr>
        <w:t xml:space="preserve">guidance </w:t>
      </w:r>
      <w:r w:rsidR="00D10353">
        <w:rPr>
          <w:color w:val="000000" w:themeColor="text1"/>
        </w:rPr>
        <w:t xml:space="preserve">document </w:t>
      </w:r>
      <w:r w:rsidRPr="00D80CB0">
        <w:rPr>
          <w:color w:val="000000" w:themeColor="text1"/>
        </w:rPr>
        <w:t>was previously approved under OMB Control No. 0910-0701.</w:t>
      </w:r>
    </w:p>
    <w:p w:rsidRPr="00F60263" w:rsidR="009409B5" w:rsidP="00556369" w:rsidRDefault="009409B5" w14:paraId="761C5EA6" w14:textId="77777777">
      <w:pPr>
        <w:pStyle w:val="ListParagraph"/>
        <w:ind w:right="104" w:firstLine="0"/>
        <w:rPr>
          <w:color w:val="000000" w:themeColor="text1"/>
        </w:rPr>
      </w:pPr>
    </w:p>
    <w:p w:rsidRPr="00BA7E0A" w:rsidR="00F60263" w:rsidP="00556369" w:rsidRDefault="00FD17F2" w14:paraId="3D0A5D25" w14:textId="65C16452">
      <w:pPr>
        <w:pStyle w:val="ListParagraph"/>
        <w:numPr>
          <w:ilvl w:val="0"/>
          <w:numId w:val="7"/>
        </w:numPr>
        <w:ind w:right="104"/>
        <w:rPr>
          <w:color w:val="000000" w:themeColor="text1"/>
        </w:rPr>
      </w:pPr>
      <w:r w:rsidRPr="00D80CB0">
        <w:rPr>
          <w:i/>
          <w:iCs/>
          <w:color w:val="000000" w:themeColor="text1"/>
        </w:rPr>
        <w:t>P</w:t>
      </w:r>
      <w:r w:rsidRPr="00D80CB0" w:rsidR="00BC0554">
        <w:rPr>
          <w:i/>
          <w:color w:val="000000" w:themeColor="text1"/>
        </w:rPr>
        <w:t xml:space="preserve">roviding Postmarketing Periodic Safety Reports in the ICH E2C(R2) Format (Periodic Benefit-Risk Evaluation Report) </w:t>
      </w:r>
      <w:r w:rsidR="00D915AC">
        <w:rPr>
          <w:iCs/>
          <w:color w:val="000000" w:themeColor="text1"/>
        </w:rPr>
        <w:t xml:space="preserve"> (November 2016), </w:t>
      </w:r>
      <w:r w:rsidRPr="00D80CB0" w:rsidR="00BC0554">
        <w:rPr>
          <w:color w:val="000000" w:themeColor="text1"/>
        </w:rPr>
        <w:t xml:space="preserve">describes the conditions under which applicants may use the International Council for Harmonisation (ICH)3 E2C(R2) Periodic Benefit-Risk Evaluation Report (PBRER) format for certain types of reporting. </w:t>
      </w:r>
      <w:r w:rsidR="004C251D">
        <w:rPr>
          <w:color w:val="000000" w:themeColor="text1"/>
        </w:rPr>
        <w:t xml:space="preserve"> Information collection associated with t</w:t>
      </w:r>
      <w:r w:rsidRPr="00D80CB0" w:rsidR="00387263">
        <w:rPr>
          <w:color w:val="000000" w:themeColor="text1"/>
        </w:rPr>
        <w:t xml:space="preserve">he guidance </w:t>
      </w:r>
      <w:r w:rsidR="000C2C99">
        <w:rPr>
          <w:color w:val="000000" w:themeColor="text1"/>
        </w:rPr>
        <w:t xml:space="preserve">document </w:t>
      </w:r>
      <w:r w:rsidRPr="00D80CB0" w:rsidR="00387263">
        <w:rPr>
          <w:color w:val="000000" w:themeColor="text1"/>
        </w:rPr>
        <w:t>was previously approved under OMB Control No. 0910-0771.</w:t>
      </w:r>
    </w:p>
    <w:p w:rsidR="004011CF" w:rsidP="00950218" w:rsidRDefault="004011CF" w14:paraId="2A49B51E" w14:textId="77777777">
      <w:pPr>
        <w:pStyle w:val="BodyText"/>
        <w:ind w:left="0" w:right="104"/>
        <w:rPr>
          <w:color w:val="000000" w:themeColor="text1"/>
        </w:rPr>
      </w:pPr>
    </w:p>
    <w:p w:rsidR="005A5E64" w:rsidP="005A5E64" w:rsidRDefault="00BE43C2" w14:paraId="1F84E059" w14:textId="27EC8956">
      <w:pPr>
        <w:pStyle w:val="BodyText"/>
        <w:ind w:left="0" w:right="104"/>
        <w:rPr>
          <w:color w:val="000000" w:themeColor="text1"/>
        </w:rPr>
      </w:pPr>
      <w:r>
        <w:rPr>
          <w:color w:val="000000" w:themeColor="text1"/>
        </w:rPr>
        <w:t xml:space="preserve">We therefore request OMB approval of the information collection </w:t>
      </w:r>
      <w:r w:rsidR="001D7032">
        <w:rPr>
          <w:color w:val="000000" w:themeColor="text1"/>
        </w:rPr>
        <w:t>associated with adverse event reporting requirements found in the applicable regulations</w:t>
      </w:r>
      <w:r w:rsidR="00815D1F">
        <w:rPr>
          <w:color w:val="000000" w:themeColor="text1"/>
        </w:rPr>
        <w:t xml:space="preserve"> and</w:t>
      </w:r>
      <w:r w:rsidR="001D7032">
        <w:rPr>
          <w:color w:val="000000" w:themeColor="text1"/>
        </w:rPr>
        <w:t xml:space="preserve"> </w:t>
      </w:r>
      <w:r w:rsidR="003042DD">
        <w:rPr>
          <w:color w:val="000000" w:themeColor="text1"/>
        </w:rPr>
        <w:t xml:space="preserve">discussed </w:t>
      </w:r>
      <w:r w:rsidR="001D7032">
        <w:rPr>
          <w:color w:val="000000" w:themeColor="text1"/>
        </w:rPr>
        <w:t xml:space="preserve">in </w:t>
      </w:r>
      <w:r w:rsidR="00815D1F">
        <w:rPr>
          <w:color w:val="000000" w:themeColor="text1"/>
        </w:rPr>
        <w:t xml:space="preserve">the </w:t>
      </w:r>
      <w:r w:rsidR="001D7032">
        <w:rPr>
          <w:color w:val="000000" w:themeColor="text1"/>
        </w:rPr>
        <w:t xml:space="preserve">associated </w:t>
      </w:r>
      <w:r w:rsidR="00B50590">
        <w:rPr>
          <w:color w:val="000000" w:themeColor="text1"/>
        </w:rPr>
        <w:t>agency guidance</w:t>
      </w:r>
      <w:r w:rsidR="00815D1F">
        <w:rPr>
          <w:color w:val="000000" w:themeColor="text1"/>
        </w:rPr>
        <w:t xml:space="preserve"> documents</w:t>
      </w:r>
      <w:r w:rsidR="00B50590">
        <w:rPr>
          <w:color w:val="000000" w:themeColor="text1"/>
        </w:rPr>
        <w:t>.</w:t>
      </w:r>
    </w:p>
    <w:p w:rsidRPr="005A5E64" w:rsidR="005A5E64" w:rsidP="005A5E64" w:rsidRDefault="005A5E64" w14:paraId="4D84EF83" w14:textId="77777777">
      <w:pPr>
        <w:pStyle w:val="BodyText"/>
        <w:ind w:left="0" w:right="104"/>
        <w:rPr>
          <w:color w:val="000000" w:themeColor="text1"/>
        </w:rPr>
      </w:pPr>
    </w:p>
    <w:p w:rsidRPr="00F60263" w:rsidR="00FA4EAB" w:rsidRDefault="00BC0554" w14:paraId="5C69CD22" w14:textId="77777777">
      <w:pPr>
        <w:pStyle w:val="Heading1"/>
        <w:ind w:left="-5"/>
        <w:rPr>
          <w:color w:val="000000" w:themeColor="text1"/>
        </w:rPr>
      </w:pPr>
      <w:r w:rsidRPr="00F60263">
        <w:rPr>
          <w:color w:val="000000" w:themeColor="text1"/>
          <w:u w:val="none"/>
        </w:rPr>
        <w:t xml:space="preserve">2.  </w:t>
      </w:r>
      <w:r w:rsidRPr="00F60263">
        <w:rPr>
          <w:color w:val="000000" w:themeColor="text1"/>
        </w:rPr>
        <w:t>Purpose and Use of the Information Collection</w:t>
      </w:r>
      <w:r w:rsidRPr="00F60263">
        <w:rPr>
          <w:color w:val="000000" w:themeColor="text1"/>
          <w:u w:val="none"/>
        </w:rPr>
        <w:t xml:space="preserve"> </w:t>
      </w:r>
    </w:p>
    <w:p w:rsidRPr="00F60263" w:rsidR="00FA4EAB" w:rsidRDefault="00BC0554" w14:paraId="61EF8171" w14:textId="77777777">
      <w:pPr>
        <w:spacing w:after="0" w:line="259" w:lineRule="auto"/>
        <w:ind w:left="0" w:firstLine="0"/>
        <w:rPr>
          <w:color w:val="000000" w:themeColor="text1"/>
        </w:rPr>
      </w:pPr>
      <w:r w:rsidRPr="00F60263">
        <w:rPr>
          <w:color w:val="000000" w:themeColor="text1"/>
        </w:rPr>
        <w:t xml:space="preserve"> </w:t>
      </w:r>
    </w:p>
    <w:p w:rsidR="008E33E9" w:rsidP="00CD4681" w:rsidRDefault="002A7660" w14:paraId="3AAA5E86" w14:textId="26900177">
      <w:pPr>
        <w:ind w:left="-5"/>
        <w:rPr>
          <w:color w:val="000000" w:themeColor="text1"/>
        </w:rPr>
      </w:pPr>
      <w:r>
        <w:rPr>
          <w:color w:val="000000" w:themeColor="text1"/>
        </w:rPr>
        <w:t xml:space="preserve">The information collection </w:t>
      </w:r>
      <w:r w:rsidR="00AE503E">
        <w:rPr>
          <w:color w:val="000000" w:themeColor="text1"/>
        </w:rPr>
        <w:t xml:space="preserve">is intended to </w:t>
      </w:r>
      <w:r>
        <w:rPr>
          <w:color w:val="000000" w:themeColor="text1"/>
        </w:rPr>
        <w:t xml:space="preserve">implement </w:t>
      </w:r>
      <w:r w:rsidRPr="00890876" w:rsidR="00890876">
        <w:rPr>
          <w:color w:val="000000" w:themeColor="text1"/>
        </w:rPr>
        <w:t xml:space="preserve">statutory requirements </w:t>
      </w:r>
      <w:r>
        <w:rPr>
          <w:color w:val="000000" w:themeColor="text1"/>
        </w:rPr>
        <w:t xml:space="preserve">governing the </w:t>
      </w:r>
      <w:r w:rsidRPr="00890876" w:rsidR="00890876">
        <w:rPr>
          <w:color w:val="000000" w:themeColor="text1"/>
        </w:rPr>
        <w:t xml:space="preserve">protection of public health by facilitating the identification of FDA-regulated products that may pose a </w:t>
      </w:r>
      <w:r w:rsidR="00DC4B42">
        <w:rPr>
          <w:color w:val="000000" w:themeColor="text1"/>
        </w:rPr>
        <w:t xml:space="preserve">particular </w:t>
      </w:r>
      <w:r w:rsidRPr="00890876" w:rsidR="00890876">
        <w:rPr>
          <w:color w:val="000000" w:themeColor="text1"/>
        </w:rPr>
        <w:t xml:space="preserve">health risk to consumers.  </w:t>
      </w:r>
      <w:r w:rsidRPr="00F60263" w:rsidR="00BC0554">
        <w:rPr>
          <w:color w:val="000000" w:themeColor="text1"/>
        </w:rPr>
        <w:t>The requirements are intended to signal potentially serious safety problems, focusing especially on newly marketed drugs</w:t>
      </w:r>
      <w:r w:rsidR="002D1E18">
        <w:rPr>
          <w:color w:val="000000" w:themeColor="text1"/>
        </w:rPr>
        <w:t xml:space="preserve"> and biologic</w:t>
      </w:r>
      <w:r w:rsidR="00566778">
        <w:rPr>
          <w:color w:val="000000" w:themeColor="text1"/>
        </w:rPr>
        <w:t>al products</w:t>
      </w:r>
      <w:r w:rsidRPr="00F60263" w:rsidR="00BC0554">
        <w:rPr>
          <w:color w:val="000000" w:themeColor="text1"/>
        </w:rPr>
        <w:t xml:space="preserve">.  Although premarket testing discloses a general safety profile of a </w:t>
      </w:r>
      <w:r w:rsidR="000E01B3">
        <w:rPr>
          <w:color w:val="000000" w:themeColor="text1"/>
        </w:rPr>
        <w:t xml:space="preserve">product’s </w:t>
      </w:r>
      <w:r w:rsidRPr="00F60263" w:rsidR="00BC0554">
        <w:rPr>
          <w:color w:val="000000" w:themeColor="text1"/>
        </w:rPr>
        <w:t xml:space="preserve">comparatively common adverse effects, the larger and more diverse patient population exposed to the marketed </w:t>
      </w:r>
      <w:r w:rsidR="000E01B3">
        <w:rPr>
          <w:color w:val="000000" w:themeColor="text1"/>
        </w:rPr>
        <w:t xml:space="preserve">product </w:t>
      </w:r>
      <w:r w:rsidRPr="00F60263" w:rsidR="00BC0554">
        <w:rPr>
          <w:color w:val="000000" w:themeColor="text1"/>
        </w:rPr>
        <w:t>provides, for the first time, the opportunity to collect information on rare, latent, and long-term effects.  Signals are obtained from a variety of sources, including reports from patients, treating physicians, foreign regulatory agencies, and clinical investigators. Information derived from the adverse drug experience reporting system contributes directly to increased public health protection because such information enables FDA to make important changes to the product's labeling (such as adding a new warning) and, when necessary, to initiate removal of a new drug from the market.</w:t>
      </w:r>
    </w:p>
    <w:p w:rsidRPr="00F60263" w:rsidR="00FA4EAB" w:rsidP="00CD4681" w:rsidRDefault="00BC0554" w14:paraId="5B32BCDF" w14:textId="2E9C3BAE">
      <w:pPr>
        <w:ind w:left="-5"/>
        <w:rPr>
          <w:color w:val="000000" w:themeColor="text1"/>
        </w:rPr>
      </w:pPr>
      <w:r w:rsidRPr="00F60263">
        <w:rPr>
          <w:color w:val="000000" w:themeColor="text1"/>
        </w:rPr>
        <w:lastRenderedPageBreak/>
        <w:t xml:space="preserve">  </w:t>
      </w:r>
    </w:p>
    <w:p w:rsidRPr="00F60263" w:rsidR="00FA4EAB" w:rsidRDefault="00BC0554" w14:paraId="4484A7C7" w14:textId="77777777">
      <w:pPr>
        <w:pStyle w:val="Heading1"/>
        <w:ind w:left="-5"/>
        <w:rPr>
          <w:color w:val="000000" w:themeColor="text1"/>
        </w:rPr>
      </w:pPr>
      <w:r w:rsidRPr="00F60263">
        <w:rPr>
          <w:color w:val="000000" w:themeColor="text1"/>
          <w:u w:val="none"/>
        </w:rPr>
        <w:t xml:space="preserve">3.  </w:t>
      </w:r>
      <w:r w:rsidRPr="00F60263">
        <w:rPr>
          <w:color w:val="000000" w:themeColor="text1"/>
        </w:rPr>
        <w:t>Use of Improved Information Technology and Burden Reduction</w:t>
      </w:r>
      <w:r w:rsidRPr="00F60263">
        <w:rPr>
          <w:color w:val="000000" w:themeColor="text1"/>
          <w:u w:val="none"/>
        </w:rPr>
        <w:t xml:space="preserve"> </w:t>
      </w:r>
    </w:p>
    <w:p w:rsidRPr="00F60263" w:rsidR="00FA4EAB" w:rsidRDefault="00BC0554" w14:paraId="3025654B" w14:textId="77777777">
      <w:pPr>
        <w:spacing w:after="0" w:line="259" w:lineRule="auto"/>
        <w:ind w:left="0" w:firstLine="0"/>
        <w:rPr>
          <w:color w:val="000000" w:themeColor="text1"/>
        </w:rPr>
      </w:pPr>
      <w:r w:rsidRPr="00F60263">
        <w:rPr>
          <w:color w:val="000000" w:themeColor="text1"/>
        </w:rPr>
        <w:t xml:space="preserve"> </w:t>
      </w:r>
    </w:p>
    <w:p w:rsidR="00785EED" w:rsidRDefault="00CB1A82" w14:paraId="54125A9F" w14:textId="36EF3B93">
      <w:pPr>
        <w:ind w:left="-5"/>
        <w:rPr>
          <w:color w:val="000000" w:themeColor="text1"/>
        </w:rPr>
      </w:pPr>
      <w:r>
        <w:rPr>
          <w:color w:val="000000" w:themeColor="text1"/>
        </w:rPr>
        <w:t>The information collection is required electronically in a format FDA can process.</w:t>
      </w:r>
      <w:r w:rsidR="00531FD6">
        <w:rPr>
          <w:color w:val="000000" w:themeColor="text1"/>
        </w:rPr>
        <w:t xml:space="preserve">  </w:t>
      </w:r>
      <w:r w:rsidR="00D364DE">
        <w:rPr>
          <w:color w:val="000000" w:themeColor="text1"/>
        </w:rPr>
        <w:t xml:space="preserve">On a limited basis and for good cause, </w:t>
      </w:r>
      <w:r w:rsidR="005D50E4">
        <w:rPr>
          <w:color w:val="000000" w:themeColor="text1"/>
        </w:rPr>
        <w:t xml:space="preserve">a </w:t>
      </w:r>
      <w:r w:rsidR="00D364DE">
        <w:rPr>
          <w:color w:val="000000" w:themeColor="text1"/>
        </w:rPr>
        <w:t xml:space="preserve">temporary </w:t>
      </w:r>
      <w:r w:rsidR="00FD1959">
        <w:rPr>
          <w:color w:val="000000" w:themeColor="text1"/>
        </w:rPr>
        <w:t xml:space="preserve">waiver </w:t>
      </w:r>
      <w:r w:rsidR="00D364DE">
        <w:rPr>
          <w:color w:val="000000" w:themeColor="text1"/>
        </w:rPr>
        <w:t xml:space="preserve">may be granted </w:t>
      </w:r>
      <w:r w:rsidR="00FD1959">
        <w:rPr>
          <w:color w:val="000000" w:themeColor="text1"/>
        </w:rPr>
        <w:t xml:space="preserve">from the </w:t>
      </w:r>
      <w:r w:rsidR="00E32F0C">
        <w:rPr>
          <w:color w:val="000000" w:themeColor="text1"/>
        </w:rPr>
        <w:t xml:space="preserve">electronic </w:t>
      </w:r>
      <w:r w:rsidR="00ED2549">
        <w:rPr>
          <w:color w:val="000000" w:themeColor="text1"/>
        </w:rPr>
        <w:t xml:space="preserve">reporting </w:t>
      </w:r>
      <w:r w:rsidR="00D364DE">
        <w:rPr>
          <w:color w:val="000000" w:themeColor="text1"/>
        </w:rPr>
        <w:t>requirements.</w:t>
      </w:r>
      <w:r w:rsidR="00A97E2C">
        <w:rPr>
          <w:color w:val="000000" w:themeColor="text1"/>
        </w:rPr>
        <w:t xml:space="preserve">  We have </w:t>
      </w:r>
      <w:r w:rsidR="00BF7E74">
        <w:rPr>
          <w:color w:val="000000" w:themeColor="text1"/>
        </w:rPr>
        <w:t>established and maintain the FDA Adverse Event Reporting System (FAERS)</w:t>
      </w:r>
      <w:r w:rsidR="001D32CA">
        <w:rPr>
          <w:color w:val="000000" w:themeColor="text1"/>
        </w:rPr>
        <w:t xml:space="preserve"> at </w:t>
      </w:r>
      <w:hyperlink w:history="1" r:id="rId8">
        <w:r w:rsidRPr="00D52F19" w:rsidR="001D32CA">
          <w:rPr>
            <w:rStyle w:val="Hyperlink"/>
          </w:rPr>
          <w:t>https://www.fda.gov/drugs/questions-and-answers-fdas-adverse-event-reporting-system-faers/fda-adverse-event-reporting-system-faers-electronic-submissions</w:t>
        </w:r>
      </w:hyperlink>
      <w:r w:rsidR="000563B9">
        <w:rPr>
          <w:color w:val="000000" w:themeColor="text1"/>
        </w:rPr>
        <w:t xml:space="preserve">.  </w:t>
      </w:r>
      <w:r w:rsidR="00613D2B">
        <w:rPr>
          <w:color w:val="000000" w:themeColor="text1"/>
        </w:rPr>
        <w:t xml:space="preserve">Information may be submitted </w:t>
      </w:r>
      <w:r w:rsidRPr="006E14FF" w:rsidR="006E14FF">
        <w:rPr>
          <w:color w:val="000000" w:themeColor="text1"/>
        </w:rPr>
        <w:t xml:space="preserve">via </w:t>
      </w:r>
      <w:r w:rsidR="00C81397">
        <w:rPr>
          <w:color w:val="000000" w:themeColor="text1"/>
        </w:rPr>
        <w:t xml:space="preserve">FDA’s </w:t>
      </w:r>
      <w:r w:rsidRPr="006E14FF" w:rsidR="006E14FF">
        <w:rPr>
          <w:color w:val="000000" w:themeColor="text1"/>
        </w:rPr>
        <w:t>Electronic Submissions Gateway (ESG)</w:t>
      </w:r>
      <w:r w:rsidR="00744C27">
        <w:rPr>
          <w:color w:val="000000" w:themeColor="text1"/>
        </w:rPr>
        <w:t xml:space="preserve"> or utilizing </w:t>
      </w:r>
      <w:r w:rsidR="00EC59D7">
        <w:rPr>
          <w:color w:val="000000" w:themeColor="text1"/>
        </w:rPr>
        <w:t>the “</w:t>
      </w:r>
      <w:r w:rsidRPr="00566778" w:rsidR="00EC59D7">
        <w:rPr>
          <w:i/>
          <w:iCs/>
          <w:color w:val="000000" w:themeColor="text1"/>
        </w:rPr>
        <w:t>Safety Reporting Portal</w:t>
      </w:r>
      <w:r w:rsidR="00EC59D7">
        <w:rPr>
          <w:color w:val="000000" w:themeColor="text1"/>
        </w:rPr>
        <w:t xml:space="preserve"> (SRP</w:t>
      </w:r>
      <w:r w:rsidR="008C534B">
        <w:rPr>
          <w:color w:val="000000" w:themeColor="text1"/>
        </w:rPr>
        <w:t xml:space="preserve">),” </w:t>
      </w:r>
      <w:r w:rsidR="004F4547">
        <w:rPr>
          <w:color w:val="000000" w:themeColor="text1"/>
        </w:rPr>
        <w:t xml:space="preserve">developed by FDA and NIH to streamline </w:t>
      </w:r>
      <w:r w:rsidRPr="00BE2101" w:rsidR="00BE2101">
        <w:rPr>
          <w:color w:val="000000" w:themeColor="text1"/>
        </w:rPr>
        <w:t>reporting and review of adverse events.</w:t>
      </w:r>
      <w:r w:rsidRPr="006E14FF" w:rsidR="006E14FF">
        <w:rPr>
          <w:color w:val="000000" w:themeColor="text1"/>
        </w:rPr>
        <w:t>.</w:t>
      </w:r>
      <w:r w:rsidRPr="0022481F" w:rsidR="0022481F">
        <w:t xml:space="preserve"> </w:t>
      </w:r>
      <w:r w:rsidR="00067C11">
        <w:t>The SRP was</w:t>
      </w:r>
      <w:r w:rsidR="00546E6A">
        <w:t xml:space="preserve"> also</w:t>
      </w:r>
      <w:r w:rsidR="00067C11">
        <w:t xml:space="preserve"> </w:t>
      </w:r>
      <w:r w:rsidRPr="0022481F" w:rsidR="0022481F">
        <w:rPr>
          <w:color w:val="000000" w:themeColor="text1"/>
        </w:rPr>
        <w:t xml:space="preserve">developed as part of </w:t>
      </w:r>
      <w:r w:rsidR="00916CA5">
        <w:rPr>
          <w:color w:val="000000" w:themeColor="text1"/>
        </w:rPr>
        <w:t xml:space="preserve">our MedWatch program </w:t>
      </w:r>
      <w:r w:rsidR="00E5071E">
        <w:rPr>
          <w:color w:val="000000" w:themeColor="text1"/>
        </w:rPr>
        <w:t>strategic efforts</w:t>
      </w:r>
      <w:r w:rsidR="00916CA5">
        <w:rPr>
          <w:color w:val="000000" w:themeColor="text1"/>
        </w:rPr>
        <w:t>.</w:t>
      </w:r>
    </w:p>
    <w:p w:rsidRPr="00F60263" w:rsidR="00FA4EAB" w:rsidP="00FD17F2" w:rsidRDefault="00BC0554" w14:paraId="4B57B596" w14:textId="31A72C59">
      <w:pPr>
        <w:spacing w:after="5" w:line="259" w:lineRule="auto"/>
        <w:ind w:left="0" w:firstLine="0"/>
        <w:rPr>
          <w:color w:val="000000" w:themeColor="text1"/>
        </w:rPr>
      </w:pPr>
      <w:r w:rsidRPr="00F60263">
        <w:rPr>
          <w:color w:val="000000" w:themeColor="text1"/>
        </w:rPr>
        <w:t xml:space="preserve">  </w:t>
      </w:r>
      <w:r w:rsidRPr="00F60263">
        <w:rPr>
          <w:color w:val="000000" w:themeColor="text1"/>
        </w:rPr>
        <w:tab/>
        <w:t xml:space="preserve"> </w:t>
      </w:r>
    </w:p>
    <w:p w:rsidRPr="00F60263" w:rsidR="00FA4EAB" w:rsidRDefault="00BC0554" w14:paraId="7EDE2031" w14:textId="77777777">
      <w:pPr>
        <w:pStyle w:val="Heading1"/>
        <w:ind w:left="-5"/>
        <w:rPr>
          <w:color w:val="000000" w:themeColor="text1"/>
        </w:rPr>
      </w:pPr>
      <w:r w:rsidRPr="00F60263">
        <w:rPr>
          <w:color w:val="000000" w:themeColor="text1"/>
          <w:u w:val="none"/>
        </w:rPr>
        <w:t xml:space="preserve">4.  </w:t>
      </w:r>
      <w:r w:rsidRPr="00F60263">
        <w:rPr>
          <w:color w:val="000000" w:themeColor="text1"/>
        </w:rPr>
        <w:t>Efforts to Identify Duplication and Use of Similar Information</w:t>
      </w:r>
      <w:r w:rsidRPr="00F60263">
        <w:rPr>
          <w:color w:val="000000" w:themeColor="text1"/>
          <w:u w:val="none"/>
        </w:rPr>
        <w:t xml:space="preserve"> </w:t>
      </w:r>
    </w:p>
    <w:p w:rsidRPr="00F60263" w:rsidR="00FA4EAB" w:rsidRDefault="00BC0554" w14:paraId="2A85FCCD"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714007D5" w14:textId="07C359D2">
      <w:pPr>
        <w:ind w:left="-5"/>
        <w:rPr>
          <w:color w:val="000000" w:themeColor="text1"/>
        </w:rPr>
      </w:pPr>
      <w:r w:rsidRPr="00F60263">
        <w:rPr>
          <w:color w:val="000000" w:themeColor="text1"/>
        </w:rPr>
        <w:t xml:space="preserve">We are unaware of duplicative information collection.  </w:t>
      </w:r>
      <w:r w:rsidR="008E33E9">
        <w:rPr>
          <w:color w:val="000000" w:themeColor="text1"/>
        </w:rPr>
        <w:t>Adverse experience reporting applicable to biol</w:t>
      </w:r>
      <w:r w:rsidR="005915ED">
        <w:rPr>
          <w:color w:val="000000" w:themeColor="text1"/>
        </w:rPr>
        <w:t>ogical products is approved under OMB Control No. 0910-0308.</w:t>
      </w:r>
      <w:r w:rsidR="007B206D">
        <w:rPr>
          <w:color w:val="000000" w:themeColor="text1"/>
        </w:rPr>
        <w:t xml:space="preserve">  We also maintain OMB Control Nos. 0910-0291 and 0910-0</w:t>
      </w:r>
      <w:r w:rsidR="00B63663">
        <w:rPr>
          <w:color w:val="000000" w:themeColor="text1"/>
        </w:rPr>
        <w:t xml:space="preserve">645 </w:t>
      </w:r>
      <w:r w:rsidR="000161CB">
        <w:rPr>
          <w:color w:val="000000" w:themeColor="text1"/>
        </w:rPr>
        <w:t>for paper-based and electronic reporting</w:t>
      </w:r>
      <w:r w:rsidR="00AA3A47">
        <w:rPr>
          <w:color w:val="000000" w:themeColor="text1"/>
        </w:rPr>
        <w:t xml:space="preserve">, respectively, through our </w:t>
      </w:r>
      <w:r w:rsidR="00B63663">
        <w:rPr>
          <w:color w:val="000000" w:themeColor="text1"/>
        </w:rPr>
        <w:t>MedWatch program</w:t>
      </w:r>
    </w:p>
    <w:p w:rsidRPr="00F60263" w:rsidR="00FA4EAB" w:rsidRDefault="00BC0554" w14:paraId="40795B88"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0AB952A4" w14:textId="77777777">
      <w:pPr>
        <w:pStyle w:val="Heading1"/>
        <w:ind w:left="-5"/>
        <w:rPr>
          <w:color w:val="000000" w:themeColor="text1"/>
        </w:rPr>
      </w:pPr>
      <w:r w:rsidRPr="00F60263">
        <w:rPr>
          <w:color w:val="000000" w:themeColor="text1"/>
          <w:u w:val="none"/>
        </w:rPr>
        <w:t xml:space="preserve">5.  </w:t>
      </w:r>
      <w:r w:rsidRPr="00F60263">
        <w:rPr>
          <w:color w:val="000000" w:themeColor="text1"/>
        </w:rPr>
        <w:t>Impact on Small Businesses or Other Small Entities</w:t>
      </w:r>
      <w:r w:rsidRPr="00F60263">
        <w:rPr>
          <w:color w:val="000000" w:themeColor="text1"/>
          <w:u w:val="none"/>
        </w:rPr>
        <w:t xml:space="preserve"> </w:t>
      </w:r>
    </w:p>
    <w:p w:rsidRPr="00F60263" w:rsidR="00FA4EAB" w:rsidRDefault="00BC0554" w14:paraId="02A41614"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4658CC" w14:paraId="6BEFAF17" w14:textId="0F265DA3">
      <w:pPr>
        <w:ind w:left="-5"/>
        <w:rPr>
          <w:color w:val="000000" w:themeColor="text1"/>
        </w:rPr>
      </w:pPr>
      <w:r>
        <w:rPr>
          <w:color w:val="000000" w:themeColor="text1"/>
        </w:rPr>
        <w:t>The information collection poses no undue burden on small entities</w:t>
      </w:r>
      <w:r w:rsidR="001B5686">
        <w:rPr>
          <w:color w:val="000000" w:themeColor="text1"/>
        </w:rPr>
        <w:t xml:space="preserve">.  </w:t>
      </w:r>
      <w:r w:rsidR="003D151F">
        <w:rPr>
          <w:color w:val="000000" w:themeColor="text1"/>
        </w:rPr>
        <w:t>Temporary w</w:t>
      </w:r>
      <w:r w:rsidR="001B5686">
        <w:rPr>
          <w:color w:val="000000" w:themeColor="text1"/>
        </w:rPr>
        <w:t>aivers from electronic reporting requirements m</w:t>
      </w:r>
      <w:r w:rsidR="004C10A3">
        <w:rPr>
          <w:color w:val="000000" w:themeColor="text1"/>
        </w:rPr>
        <w:t xml:space="preserve">ay </w:t>
      </w:r>
      <w:r w:rsidR="001B5686">
        <w:rPr>
          <w:color w:val="000000" w:themeColor="text1"/>
        </w:rPr>
        <w:t xml:space="preserve">be granted </w:t>
      </w:r>
      <w:r w:rsidR="004C10A3">
        <w:rPr>
          <w:color w:val="000000" w:themeColor="text1"/>
        </w:rPr>
        <w:t>on a limited basis and for good cause.</w:t>
      </w:r>
      <w:r w:rsidR="00AA3A47">
        <w:rPr>
          <w:color w:val="000000" w:themeColor="text1"/>
        </w:rPr>
        <w:t xml:space="preserve">  We assist small business through resources available on our website</w:t>
      </w:r>
      <w:r w:rsidR="00625106">
        <w:rPr>
          <w:color w:val="000000" w:themeColor="text1"/>
        </w:rPr>
        <w:t xml:space="preserve"> at </w:t>
      </w:r>
      <w:r w:rsidRPr="00625106" w:rsidR="00625106">
        <w:rPr>
          <w:color w:val="000000" w:themeColor="text1"/>
        </w:rPr>
        <w:t>https://www.fda.gov/industry/small-business-assistance</w:t>
      </w:r>
      <w:r w:rsidR="00625106">
        <w:rPr>
          <w:color w:val="000000" w:themeColor="text1"/>
        </w:rPr>
        <w:t xml:space="preserve">. </w:t>
      </w:r>
    </w:p>
    <w:p w:rsidRPr="00F60263" w:rsidR="00FA4EAB" w:rsidRDefault="00BC0554" w14:paraId="651CFD8A"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2437958A" w14:textId="77777777">
      <w:pPr>
        <w:pStyle w:val="Heading1"/>
        <w:ind w:left="-5"/>
        <w:rPr>
          <w:color w:val="000000" w:themeColor="text1"/>
        </w:rPr>
      </w:pPr>
      <w:r w:rsidRPr="00F60263">
        <w:rPr>
          <w:color w:val="000000" w:themeColor="text1"/>
          <w:u w:val="none"/>
        </w:rPr>
        <w:t xml:space="preserve">6.  </w:t>
      </w:r>
      <w:r w:rsidRPr="00F60263">
        <w:rPr>
          <w:color w:val="000000" w:themeColor="text1"/>
        </w:rPr>
        <w:t>Consequences of Collecting the Information Less Frequently</w:t>
      </w:r>
      <w:r w:rsidRPr="00F60263">
        <w:rPr>
          <w:color w:val="000000" w:themeColor="text1"/>
          <w:u w:val="none"/>
        </w:rPr>
        <w:t xml:space="preserve"> </w:t>
      </w:r>
    </w:p>
    <w:p w:rsidRPr="00F60263" w:rsidR="00FA4EAB" w:rsidRDefault="00BC0554" w14:paraId="03709306" w14:textId="77777777">
      <w:pPr>
        <w:spacing w:after="0" w:line="259" w:lineRule="auto"/>
        <w:ind w:left="0" w:firstLine="0"/>
        <w:rPr>
          <w:color w:val="000000" w:themeColor="text1"/>
        </w:rPr>
      </w:pPr>
      <w:r w:rsidRPr="00F60263">
        <w:rPr>
          <w:color w:val="000000" w:themeColor="text1"/>
        </w:rPr>
        <w:t xml:space="preserve"> </w:t>
      </w:r>
      <w:r w:rsidRPr="00F60263">
        <w:rPr>
          <w:color w:val="000000" w:themeColor="text1"/>
        </w:rPr>
        <w:tab/>
        <w:t xml:space="preserve"> </w:t>
      </w:r>
    </w:p>
    <w:p w:rsidRPr="00F60263" w:rsidR="00FA4EAB" w:rsidRDefault="00BC0554" w14:paraId="10C4F006" w14:textId="657AA71C">
      <w:pPr>
        <w:ind w:left="-5"/>
        <w:rPr>
          <w:color w:val="000000" w:themeColor="text1"/>
        </w:rPr>
      </w:pPr>
      <w:r w:rsidRPr="00F60263">
        <w:rPr>
          <w:color w:val="000000" w:themeColor="text1"/>
        </w:rPr>
        <w:t xml:space="preserve">The information collection schedule is consistent with statutory and regulatory requirements.  </w:t>
      </w:r>
    </w:p>
    <w:p w:rsidRPr="00F60263" w:rsidR="00FA4EAB" w:rsidRDefault="00BC0554" w14:paraId="6E38DB69"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1646450E" w14:textId="77777777">
      <w:pPr>
        <w:pStyle w:val="Heading1"/>
        <w:ind w:left="-5"/>
        <w:rPr>
          <w:color w:val="000000" w:themeColor="text1"/>
        </w:rPr>
      </w:pPr>
      <w:r w:rsidRPr="00F60263">
        <w:rPr>
          <w:color w:val="000000" w:themeColor="text1"/>
          <w:u w:val="none"/>
        </w:rPr>
        <w:t xml:space="preserve">7.  </w:t>
      </w:r>
      <w:r w:rsidRPr="00F60263">
        <w:rPr>
          <w:color w:val="000000" w:themeColor="text1"/>
        </w:rPr>
        <w:t>Special Circumstances Relating to the Guidelines of 5 C.F.R. § 1320.5</w:t>
      </w:r>
      <w:r w:rsidRPr="00F60263">
        <w:rPr>
          <w:color w:val="000000" w:themeColor="text1"/>
          <w:u w:val="none"/>
        </w:rPr>
        <w:t xml:space="preserve"> </w:t>
      </w:r>
    </w:p>
    <w:p w:rsidRPr="00F60263" w:rsidR="00FA4EAB" w:rsidRDefault="00BC0554" w14:paraId="20D3F1F2" w14:textId="77777777">
      <w:pPr>
        <w:spacing w:after="0" w:line="259" w:lineRule="auto"/>
        <w:ind w:left="0" w:firstLine="0"/>
        <w:rPr>
          <w:color w:val="000000" w:themeColor="text1"/>
        </w:rPr>
      </w:pPr>
      <w:r w:rsidRPr="00F60263">
        <w:rPr>
          <w:color w:val="000000" w:themeColor="text1"/>
        </w:rPr>
        <w:t xml:space="preserve"> </w:t>
      </w:r>
    </w:p>
    <w:p w:rsidRPr="00F60263" w:rsidR="0017248A" w:rsidRDefault="00BC0554" w14:paraId="323593D4" w14:textId="3AC65FE2">
      <w:pPr>
        <w:ind w:left="-5"/>
        <w:rPr>
          <w:color w:val="000000" w:themeColor="text1"/>
        </w:rPr>
      </w:pPr>
      <w:r w:rsidRPr="00F60263">
        <w:rPr>
          <w:color w:val="000000" w:themeColor="text1"/>
        </w:rPr>
        <w:t>Under 21 CFR § 310.305, the reporting of serious unexpected adverse drug experiences and follow up reports are required within less than 30 days (reports to FDA are required within 15 working days of receipt of information).  Reports to a manufacturer by a packer and distributor are required within 3 days of receipt of information.  This shorter time period is necessary because  the adverse experience</w:t>
      </w:r>
      <w:r w:rsidRPr="00F60263" w:rsidR="0017248A">
        <w:rPr>
          <w:color w:val="000000" w:themeColor="text1"/>
        </w:rPr>
        <w:t xml:space="preserve"> reports are</w:t>
      </w:r>
      <w:r w:rsidRPr="00F60263">
        <w:rPr>
          <w:color w:val="000000" w:themeColor="text1"/>
        </w:rPr>
        <w:t xml:space="preserve"> likely to reveal serious public health safety problems with the </w:t>
      </w:r>
      <w:r w:rsidRPr="00F60263" w:rsidR="0017248A">
        <w:rPr>
          <w:color w:val="000000" w:themeColor="text1"/>
        </w:rPr>
        <w:t>product</w:t>
      </w:r>
      <w:r w:rsidRPr="00F60263">
        <w:rPr>
          <w:color w:val="000000" w:themeColor="text1"/>
        </w:rPr>
        <w:t xml:space="preserve"> and, thus, potentially can result in the need for </w:t>
      </w:r>
      <w:r w:rsidRPr="00F60263" w:rsidR="0017248A">
        <w:rPr>
          <w:color w:val="000000" w:themeColor="text1"/>
        </w:rPr>
        <w:t xml:space="preserve">expedited </w:t>
      </w:r>
      <w:r w:rsidRPr="00F60263">
        <w:rPr>
          <w:color w:val="000000" w:themeColor="text1"/>
        </w:rPr>
        <w:t xml:space="preserve">agency action.  </w:t>
      </w:r>
    </w:p>
    <w:p w:rsidR="001E49A1" w:rsidP="00625106" w:rsidRDefault="001E49A1" w14:paraId="657D4A6F" w14:textId="77777777">
      <w:pPr>
        <w:keepNext/>
        <w:ind w:left="-5"/>
        <w:rPr>
          <w:color w:val="000000" w:themeColor="text1"/>
        </w:rPr>
      </w:pPr>
    </w:p>
    <w:p w:rsidR="001E49A1" w:rsidRDefault="001E49A1" w14:paraId="3A85AAA5" w14:textId="77777777">
      <w:pPr>
        <w:spacing w:after="160" w:line="259" w:lineRule="auto"/>
        <w:ind w:left="0" w:firstLine="0"/>
        <w:rPr>
          <w:color w:val="000000" w:themeColor="text1"/>
        </w:rPr>
      </w:pPr>
      <w:r>
        <w:rPr>
          <w:color w:val="000000" w:themeColor="text1"/>
        </w:rPr>
        <w:br w:type="page"/>
      </w:r>
    </w:p>
    <w:p w:rsidRPr="00F60263" w:rsidR="00FA4EAB" w:rsidP="00625106" w:rsidRDefault="00BC0554" w14:paraId="7DF58BCE" w14:textId="2CFA7823">
      <w:pPr>
        <w:keepNext/>
        <w:ind w:left="-5"/>
        <w:rPr>
          <w:color w:val="000000" w:themeColor="text1"/>
        </w:rPr>
      </w:pPr>
      <w:r w:rsidRPr="00F60263">
        <w:rPr>
          <w:color w:val="000000" w:themeColor="text1"/>
        </w:rPr>
        <w:lastRenderedPageBreak/>
        <w:t xml:space="preserve">The regulation requires retention of records for a period of 10 </w:t>
      </w:r>
      <w:r w:rsidRPr="00F60263" w:rsidR="00834E3A">
        <w:rPr>
          <w:color w:val="000000" w:themeColor="text1"/>
        </w:rPr>
        <w:t>years</w:t>
      </w:r>
      <w:r w:rsidR="000F752C">
        <w:rPr>
          <w:color w:val="000000" w:themeColor="text1"/>
        </w:rPr>
        <w:t xml:space="preserve">.  </w:t>
      </w:r>
      <w:r w:rsidRPr="00F60263" w:rsidR="00834E3A">
        <w:rPr>
          <w:color w:val="000000" w:themeColor="text1"/>
        </w:rPr>
        <w:t>Th</w:t>
      </w:r>
      <w:r w:rsidR="00834E3A">
        <w:rPr>
          <w:color w:val="000000" w:themeColor="text1"/>
        </w:rPr>
        <w:t xml:space="preserve">is </w:t>
      </w:r>
      <w:r w:rsidRPr="00F60263">
        <w:rPr>
          <w:color w:val="000000" w:themeColor="text1"/>
        </w:rPr>
        <w:t xml:space="preserve"> retention period </w:t>
      </w:r>
      <w:r w:rsidR="004E4427">
        <w:rPr>
          <w:color w:val="000000" w:themeColor="text1"/>
        </w:rPr>
        <w:t xml:space="preserve">helps ensure </w:t>
      </w:r>
      <w:r w:rsidRPr="00F60263">
        <w:rPr>
          <w:color w:val="000000" w:themeColor="text1"/>
        </w:rPr>
        <w:t xml:space="preserve">that records, which include raw data and any correspondence relating to an adverse drug experience, are available in evaluating long-term or other rare or latent effects like carcinogenicity that might be detected only after multiple years of marketing experience.  </w:t>
      </w:r>
    </w:p>
    <w:p w:rsidRPr="00F60263" w:rsidR="00FA4EAB" w:rsidP="00625106" w:rsidRDefault="00BC0554" w14:paraId="50015532" w14:textId="77777777">
      <w:pPr>
        <w:keepNext/>
        <w:spacing w:after="0" w:line="259" w:lineRule="auto"/>
        <w:ind w:left="0" w:firstLine="0"/>
        <w:rPr>
          <w:color w:val="000000" w:themeColor="text1"/>
        </w:rPr>
      </w:pPr>
      <w:r w:rsidRPr="00F60263">
        <w:rPr>
          <w:color w:val="000000" w:themeColor="text1"/>
        </w:rPr>
        <w:t xml:space="preserve">    </w:t>
      </w:r>
    </w:p>
    <w:p w:rsidR="00FA4EAB" w:rsidP="00625106" w:rsidRDefault="00BC0554" w14:paraId="5B0353C2" w14:textId="44EE54E5">
      <w:pPr>
        <w:keepNext/>
        <w:spacing w:after="5" w:line="259" w:lineRule="auto"/>
        <w:ind w:left="0" w:firstLine="0"/>
        <w:rPr>
          <w:color w:val="000000" w:themeColor="text1"/>
        </w:rPr>
      </w:pPr>
      <w:r w:rsidRPr="00F60263">
        <w:rPr>
          <w:color w:val="000000" w:themeColor="text1"/>
        </w:rPr>
        <w:t>Under 21 CFR §</w:t>
      </w:r>
      <w:r w:rsidRPr="00F60263" w:rsidR="0017248A">
        <w:rPr>
          <w:color w:val="000000" w:themeColor="text1"/>
        </w:rPr>
        <w:t>§</w:t>
      </w:r>
      <w:r w:rsidRPr="00F60263">
        <w:rPr>
          <w:color w:val="000000" w:themeColor="text1"/>
        </w:rPr>
        <w:t xml:space="preserve"> 314.80</w:t>
      </w:r>
      <w:r w:rsidRPr="00F60263" w:rsidR="0017248A">
        <w:rPr>
          <w:color w:val="000000" w:themeColor="text1"/>
        </w:rPr>
        <w:t xml:space="preserve"> a</w:t>
      </w:r>
      <w:r w:rsidR="000F6CCA">
        <w:rPr>
          <w:color w:val="000000" w:themeColor="text1"/>
        </w:rPr>
        <w:t>n</w:t>
      </w:r>
      <w:r w:rsidRPr="00F60263">
        <w:rPr>
          <w:color w:val="000000" w:themeColor="text1"/>
        </w:rPr>
        <w:t xml:space="preserve"> NDA</w:t>
      </w:r>
      <w:r w:rsidR="000F6CCA">
        <w:rPr>
          <w:color w:val="000000" w:themeColor="text1"/>
        </w:rPr>
        <w:t xml:space="preserve"> </w:t>
      </w:r>
      <w:r w:rsidRPr="00F60263" w:rsidR="00643401">
        <w:rPr>
          <w:color w:val="000000" w:themeColor="text1"/>
        </w:rPr>
        <w:t xml:space="preserve">applicant </w:t>
      </w:r>
      <w:r w:rsidRPr="00F60263">
        <w:rPr>
          <w:color w:val="000000" w:themeColor="text1"/>
        </w:rPr>
        <w:t xml:space="preserve">is required to notify FDA of any unexpected adverse </w:t>
      </w:r>
      <w:r w:rsidRPr="00F60263" w:rsidR="0017248A">
        <w:rPr>
          <w:color w:val="000000" w:themeColor="text1"/>
        </w:rPr>
        <w:t>experiences</w:t>
      </w:r>
      <w:r w:rsidRPr="00F60263">
        <w:rPr>
          <w:color w:val="000000" w:themeColor="text1"/>
        </w:rPr>
        <w:t xml:space="preserve"> within 15 working days of receipt of information on such a reaction by the sponsor.  </w:t>
      </w:r>
      <w:r w:rsidRPr="00F60263" w:rsidR="0017248A">
        <w:rPr>
          <w:color w:val="000000" w:themeColor="text1"/>
        </w:rPr>
        <w:t>As noted above, t</w:t>
      </w:r>
      <w:r w:rsidRPr="00F60263">
        <w:rPr>
          <w:color w:val="000000" w:themeColor="text1"/>
        </w:rPr>
        <w:t xml:space="preserve">his shorter time for reporting is necessary so that FDA is informed as soon as possible of any serious problems with a product, so that the agency can take appropriate action.  The maintenance period for </w:t>
      </w:r>
      <w:r w:rsidRPr="00F60263" w:rsidR="00D33F07">
        <w:rPr>
          <w:color w:val="000000" w:themeColor="text1"/>
        </w:rPr>
        <w:t>retaining</w:t>
      </w:r>
      <w:r w:rsidRPr="00F60263">
        <w:rPr>
          <w:color w:val="000000" w:themeColor="text1"/>
        </w:rPr>
        <w:t xml:space="preserve"> these records is 10 years.  This extended period is due to the potential litigation, matters of public safety due to </w:t>
      </w:r>
      <w:r w:rsidRPr="00F60263" w:rsidR="00D33F07">
        <w:rPr>
          <w:color w:val="000000" w:themeColor="text1"/>
        </w:rPr>
        <w:t xml:space="preserve">possible </w:t>
      </w:r>
      <w:r w:rsidRPr="00F60263">
        <w:rPr>
          <w:color w:val="000000" w:themeColor="text1"/>
        </w:rPr>
        <w:t>drug interactions in addition to the adverse experiences and need for studies of delayed effects such as carcinogenicity.</w:t>
      </w:r>
    </w:p>
    <w:p w:rsidRPr="00F60263" w:rsidR="005D24A0" w:rsidP="00420B22" w:rsidRDefault="005D24A0" w14:paraId="02DEB1CE" w14:textId="77777777">
      <w:pPr>
        <w:spacing w:after="5" w:line="259" w:lineRule="auto"/>
        <w:ind w:left="0" w:firstLine="0"/>
        <w:rPr>
          <w:color w:val="000000" w:themeColor="text1"/>
        </w:rPr>
      </w:pPr>
    </w:p>
    <w:p w:rsidRPr="00F60263" w:rsidR="00FA4EAB" w:rsidRDefault="00BC0554" w14:paraId="29B12586" w14:textId="77777777">
      <w:pPr>
        <w:pStyle w:val="Heading1"/>
        <w:ind w:left="-5"/>
        <w:rPr>
          <w:color w:val="000000" w:themeColor="text1"/>
        </w:rPr>
      </w:pPr>
      <w:r w:rsidRPr="00F60263">
        <w:rPr>
          <w:color w:val="000000" w:themeColor="text1"/>
          <w:u w:val="none"/>
        </w:rPr>
        <w:t xml:space="preserve">8.  </w:t>
      </w:r>
      <w:r w:rsidRPr="00F60263">
        <w:rPr>
          <w:color w:val="000000" w:themeColor="text1"/>
        </w:rPr>
        <w:t>Comments in Response to the Federal Register Notice and Efforts to Consult Outside the</w:t>
      </w:r>
      <w:r w:rsidRPr="00F60263">
        <w:rPr>
          <w:color w:val="000000" w:themeColor="text1"/>
          <w:u w:val="none"/>
        </w:rPr>
        <w:t xml:space="preserve"> </w:t>
      </w:r>
      <w:r w:rsidRPr="00F60263">
        <w:rPr>
          <w:color w:val="000000" w:themeColor="text1"/>
        </w:rPr>
        <w:t>Agency</w:t>
      </w:r>
      <w:r w:rsidRPr="00F60263">
        <w:rPr>
          <w:color w:val="000000" w:themeColor="text1"/>
          <w:u w:val="none"/>
        </w:rPr>
        <w:t xml:space="preserve"> </w:t>
      </w:r>
    </w:p>
    <w:p w:rsidRPr="00F60263" w:rsidR="00FA4EAB" w:rsidRDefault="00BC0554" w14:paraId="0BF95CAD"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6B9CB520" w14:textId="12EE6509">
      <w:pPr>
        <w:spacing w:after="0" w:line="259" w:lineRule="auto"/>
        <w:ind w:left="0" w:firstLine="0"/>
        <w:rPr>
          <w:color w:val="000000" w:themeColor="text1"/>
        </w:rPr>
      </w:pPr>
      <w:r w:rsidRPr="00F60263">
        <w:rPr>
          <w:color w:val="000000" w:themeColor="text1"/>
        </w:rPr>
        <w:t xml:space="preserve">In accordance with 5 CFR 1320.8(d), we published a </w:t>
      </w:r>
      <w:r w:rsidRPr="00F60263" w:rsidR="00C42E58">
        <w:rPr>
          <w:color w:val="000000" w:themeColor="text1"/>
        </w:rPr>
        <w:t>60-day</w:t>
      </w:r>
      <w:r w:rsidRPr="00F60263">
        <w:rPr>
          <w:color w:val="000000" w:themeColor="text1"/>
        </w:rPr>
        <w:t xml:space="preserve"> notice inviting public comment on the</w:t>
      </w:r>
      <w:r w:rsidRPr="00F60263" w:rsidR="00D33F07">
        <w:rPr>
          <w:color w:val="000000" w:themeColor="text1"/>
        </w:rPr>
        <w:t xml:space="preserve"> described</w:t>
      </w:r>
      <w:r w:rsidRPr="00F60263">
        <w:rPr>
          <w:color w:val="000000" w:themeColor="text1"/>
        </w:rPr>
        <w:t xml:space="preserve"> information collection in the </w:t>
      </w:r>
      <w:r w:rsidRPr="00F60263">
        <w:rPr>
          <w:color w:val="000000" w:themeColor="text1"/>
          <w:u w:val="single" w:color="000000"/>
        </w:rPr>
        <w:t>Federal Register</w:t>
      </w:r>
      <w:r w:rsidRPr="00F60263">
        <w:rPr>
          <w:color w:val="000000" w:themeColor="text1"/>
        </w:rPr>
        <w:t xml:space="preserve"> of </w:t>
      </w:r>
      <w:r w:rsidRPr="00F60263" w:rsidR="00355A77">
        <w:rPr>
          <w:color w:val="000000" w:themeColor="text1"/>
        </w:rPr>
        <w:t>June 30, 2021 (86 FR 34759)</w:t>
      </w:r>
      <w:r w:rsidRPr="00F60263">
        <w:rPr>
          <w:color w:val="000000" w:themeColor="text1"/>
        </w:rPr>
        <w:t xml:space="preserve">.  </w:t>
      </w:r>
      <w:r w:rsidRPr="00F60263" w:rsidR="00355A77">
        <w:rPr>
          <w:color w:val="000000" w:themeColor="text1"/>
        </w:rPr>
        <w:t>No comments were received.</w:t>
      </w:r>
    </w:p>
    <w:p w:rsidRPr="00F60263" w:rsidR="00132485" w:rsidRDefault="00132485" w14:paraId="5A90CD78" w14:textId="77777777">
      <w:pPr>
        <w:spacing w:after="0" w:line="259" w:lineRule="auto"/>
        <w:ind w:left="0" w:firstLine="0"/>
        <w:rPr>
          <w:color w:val="000000" w:themeColor="text1"/>
        </w:rPr>
      </w:pPr>
    </w:p>
    <w:p w:rsidRPr="00F60263" w:rsidR="00FA4EAB" w:rsidRDefault="00BC0554" w14:paraId="75DD8A94" w14:textId="77777777">
      <w:pPr>
        <w:spacing w:after="13"/>
        <w:ind w:left="-5"/>
        <w:rPr>
          <w:color w:val="000000" w:themeColor="text1"/>
        </w:rPr>
      </w:pPr>
      <w:r w:rsidRPr="00F60263">
        <w:rPr>
          <w:color w:val="000000" w:themeColor="text1"/>
        </w:rPr>
        <w:t xml:space="preserve">9.  </w:t>
      </w:r>
      <w:r w:rsidRPr="00F60263">
        <w:rPr>
          <w:color w:val="000000" w:themeColor="text1"/>
          <w:u w:val="single" w:color="000000"/>
        </w:rPr>
        <w:t>Explanation of Any Payment or Gift to  Respondents</w:t>
      </w:r>
      <w:r w:rsidRPr="00F60263">
        <w:rPr>
          <w:color w:val="000000" w:themeColor="text1"/>
        </w:rPr>
        <w:t xml:space="preserve"> </w:t>
      </w:r>
    </w:p>
    <w:p w:rsidRPr="00F60263" w:rsidR="00FA4EAB" w:rsidRDefault="00BC0554" w14:paraId="4F1A36A4"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3BAF1A8E" w14:textId="77777777">
      <w:pPr>
        <w:ind w:left="-5"/>
        <w:rPr>
          <w:color w:val="000000" w:themeColor="text1"/>
        </w:rPr>
      </w:pPr>
      <w:r w:rsidRPr="00F60263">
        <w:rPr>
          <w:color w:val="000000" w:themeColor="text1"/>
        </w:rPr>
        <w:t xml:space="preserve">No payment or gift is provided to respondents. </w:t>
      </w:r>
    </w:p>
    <w:p w:rsidRPr="00F60263" w:rsidR="00FA4EAB" w:rsidRDefault="00BC0554" w14:paraId="479A7F6B"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0D1710CE" w14:textId="77777777">
      <w:pPr>
        <w:pStyle w:val="Heading1"/>
        <w:ind w:left="-5"/>
        <w:rPr>
          <w:color w:val="000000" w:themeColor="text1"/>
        </w:rPr>
      </w:pPr>
      <w:r w:rsidRPr="00F60263">
        <w:rPr>
          <w:color w:val="000000" w:themeColor="text1"/>
          <w:u w:val="none"/>
        </w:rPr>
        <w:t xml:space="preserve">10.  </w:t>
      </w:r>
      <w:r w:rsidRPr="00F60263">
        <w:rPr>
          <w:color w:val="000000" w:themeColor="text1"/>
        </w:rPr>
        <w:t>Assurance of Confidentiality Provided to Respondents</w:t>
      </w:r>
      <w:r w:rsidRPr="00F60263">
        <w:rPr>
          <w:color w:val="000000" w:themeColor="text1"/>
          <w:u w:val="none"/>
        </w:rPr>
        <w:t xml:space="preserve"> </w:t>
      </w:r>
    </w:p>
    <w:p w:rsidRPr="00F60263" w:rsidR="00FA4EAB" w:rsidRDefault="00BC0554" w14:paraId="48EC55A6"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2D9E9E98" w14:textId="77777777">
      <w:pPr>
        <w:ind w:left="-5"/>
        <w:rPr>
          <w:color w:val="000000" w:themeColor="text1"/>
        </w:rPr>
      </w:pPr>
      <w:r w:rsidRPr="00F60263">
        <w:rPr>
          <w:color w:val="000000" w:themeColor="text1"/>
        </w:rPr>
        <w:t xml:space="preserve">Release of information submitted to FDA in adverse drug experience reports is governed by 21 CFR Part 20.  The regulation also urges manufacturers, packers, and distributors not to include names and addresses of individual patients in adverse drug experience reports; instead, some other identifier, such as initials or code numbers, should be included. </w:t>
      </w:r>
    </w:p>
    <w:p w:rsidRPr="00F60263" w:rsidR="00FA4EAB" w:rsidRDefault="00BC0554" w14:paraId="3936E62A"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0A28B4E6" w14:textId="77777777">
      <w:pPr>
        <w:numPr>
          <w:ilvl w:val="0"/>
          <w:numId w:val="1"/>
        </w:numPr>
        <w:spacing w:after="13"/>
        <w:ind w:hanging="420"/>
        <w:rPr>
          <w:color w:val="000000" w:themeColor="text1"/>
        </w:rPr>
      </w:pPr>
      <w:r w:rsidRPr="00F60263">
        <w:rPr>
          <w:color w:val="000000" w:themeColor="text1"/>
          <w:u w:val="single" w:color="000000"/>
        </w:rPr>
        <w:t>Justification for Questions of Sensitive Nature</w:t>
      </w:r>
      <w:r w:rsidRPr="00F60263">
        <w:rPr>
          <w:color w:val="000000" w:themeColor="text1"/>
        </w:rPr>
        <w:t xml:space="preserve"> </w:t>
      </w:r>
    </w:p>
    <w:p w:rsidRPr="00F60263" w:rsidR="00FA4EAB" w:rsidRDefault="00BC0554" w14:paraId="56B094A6"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4F438DE1" w14:textId="77777777">
      <w:pPr>
        <w:ind w:left="-5"/>
        <w:rPr>
          <w:color w:val="000000" w:themeColor="text1"/>
        </w:rPr>
      </w:pPr>
      <w:r w:rsidRPr="00F60263">
        <w:rPr>
          <w:color w:val="000000" w:themeColor="text1"/>
        </w:rPr>
        <w:t xml:space="preserve">There are no questions of a sensitive nature. </w:t>
      </w:r>
    </w:p>
    <w:p w:rsidRPr="00F60263" w:rsidR="00FA4EAB" w:rsidRDefault="00BC0554" w14:paraId="6DA6C7F4" w14:textId="77777777">
      <w:pPr>
        <w:spacing w:after="0" w:line="259" w:lineRule="auto"/>
        <w:ind w:left="0" w:firstLine="0"/>
        <w:rPr>
          <w:color w:val="000000" w:themeColor="text1"/>
        </w:rPr>
      </w:pPr>
      <w:r w:rsidRPr="00F60263">
        <w:rPr>
          <w:color w:val="000000" w:themeColor="text1"/>
        </w:rPr>
        <w:t xml:space="preserve"> </w:t>
      </w:r>
    </w:p>
    <w:p w:rsidR="00E46E5A" w:rsidRDefault="00E46E5A" w14:paraId="7BC0C588" w14:textId="77777777">
      <w:pPr>
        <w:spacing w:after="160" w:line="259" w:lineRule="auto"/>
        <w:ind w:left="0" w:firstLine="0"/>
        <w:rPr>
          <w:color w:val="000000" w:themeColor="text1"/>
          <w:u w:val="single" w:color="000000"/>
        </w:rPr>
      </w:pPr>
      <w:r>
        <w:rPr>
          <w:color w:val="000000" w:themeColor="text1"/>
          <w:u w:val="single" w:color="000000"/>
        </w:rPr>
        <w:br w:type="page"/>
      </w:r>
    </w:p>
    <w:p w:rsidRPr="00F60263" w:rsidR="00FA4EAB" w:rsidRDefault="00BC0554" w14:paraId="3251C5F7" w14:textId="2CBD7867">
      <w:pPr>
        <w:numPr>
          <w:ilvl w:val="0"/>
          <w:numId w:val="1"/>
        </w:numPr>
        <w:spacing w:after="13"/>
        <w:ind w:hanging="420"/>
        <w:rPr>
          <w:color w:val="000000" w:themeColor="text1"/>
        </w:rPr>
      </w:pPr>
      <w:r w:rsidRPr="00F60263">
        <w:rPr>
          <w:color w:val="000000" w:themeColor="text1"/>
          <w:u w:val="single" w:color="000000"/>
        </w:rPr>
        <w:lastRenderedPageBreak/>
        <w:t>Estimates of Annualized Burden Hours and Costs</w:t>
      </w:r>
      <w:r w:rsidRPr="00F60263">
        <w:rPr>
          <w:color w:val="000000" w:themeColor="text1"/>
        </w:rPr>
        <w:t xml:space="preserve">  </w:t>
      </w:r>
    </w:p>
    <w:p w:rsidRPr="00F60263" w:rsidR="00FA4EAB" w:rsidRDefault="00BC0554" w14:paraId="062464FC" w14:textId="77777777">
      <w:pPr>
        <w:spacing w:after="0" w:line="259" w:lineRule="auto"/>
        <w:ind w:left="0" w:firstLine="0"/>
        <w:rPr>
          <w:color w:val="000000" w:themeColor="text1"/>
        </w:rPr>
      </w:pPr>
      <w:r w:rsidRPr="00F60263">
        <w:rPr>
          <w:color w:val="000000" w:themeColor="text1"/>
        </w:rPr>
        <w:t xml:space="preserve"> </w:t>
      </w:r>
    </w:p>
    <w:p w:rsidR="00B61B46" w:rsidP="00B61B46" w:rsidRDefault="00BC0554" w14:paraId="604D0A40" w14:textId="77777777">
      <w:pPr>
        <w:pStyle w:val="Heading1"/>
        <w:tabs>
          <w:tab w:val="center" w:pos="2616"/>
        </w:tabs>
        <w:spacing w:after="0" w:line="259" w:lineRule="auto"/>
        <w:ind w:left="-15" w:firstLine="0"/>
        <w:rPr>
          <w:i/>
          <w:color w:val="000000" w:themeColor="text1"/>
          <w:u w:val="none"/>
        </w:rPr>
      </w:pPr>
      <w:r w:rsidRPr="00F60263">
        <w:rPr>
          <w:color w:val="000000" w:themeColor="text1"/>
          <w:u w:val="none"/>
        </w:rPr>
        <w:t xml:space="preserve"> </w:t>
      </w:r>
      <w:r w:rsidRPr="00F60263">
        <w:rPr>
          <w:color w:val="000000" w:themeColor="text1"/>
          <w:u w:val="none"/>
        </w:rPr>
        <w:tab/>
      </w:r>
      <w:r w:rsidRPr="00F60263">
        <w:rPr>
          <w:i/>
          <w:color w:val="000000" w:themeColor="text1"/>
          <w:u w:val="none"/>
        </w:rPr>
        <w:t xml:space="preserve">12a. Annualized Hour Burden Estimate </w:t>
      </w:r>
    </w:p>
    <w:p w:rsidRPr="0004572C" w:rsidR="00E97354" w:rsidP="0004572C" w:rsidRDefault="00E97354" w14:paraId="4132A222" w14:textId="530EAD40">
      <w:pPr>
        <w:pStyle w:val="Heading1"/>
        <w:tabs>
          <w:tab w:val="center" w:pos="2616"/>
        </w:tabs>
        <w:spacing w:after="0" w:line="259" w:lineRule="auto"/>
        <w:ind w:left="-15" w:firstLine="0"/>
        <w:rPr>
          <w:color w:val="000000" w:themeColor="text1"/>
        </w:rPr>
      </w:pPr>
    </w:p>
    <w:p w:rsidR="00E97354" w:rsidP="00E97354" w:rsidRDefault="00E97354" w14:paraId="4E82D016" w14:textId="36769E42">
      <w:pPr>
        <w:tabs>
          <w:tab w:val="left" w:pos="720"/>
        </w:tabs>
        <w:contextualSpacing/>
        <w:jc w:val="center"/>
      </w:pPr>
      <w:r>
        <w:t>Table 1.--Estimated Annual Reporting Burden</w:t>
      </w:r>
    </w:p>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90"/>
        <w:gridCol w:w="1170"/>
        <w:gridCol w:w="1350"/>
        <w:gridCol w:w="1170"/>
        <w:gridCol w:w="1080"/>
        <w:gridCol w:w="1080"/>
      </w:tblGrid>
      <w:tr w:rsidR="001042A1" w:rsidTr="00655B51" w14:paraId="585D2C6D" w14:textId="77777777">
        <w:trPr>
          <w:cantSplit/>
          <w:trHeight w:val="20"/>
        </w:trPr>
        <w:tc>
          <w:tcPr>
            <w:tcW w:w="3690" w:type="dxa"/>
            <w:shd w:val="clear" w:color="auto" w:fill="auto"/>
          </w:tcPr>
          <w:p w:rsidRPr="001F5CD4" w:rsidR="00A55421" w:rsidP="00AF5E94" w:rsidRDefault="00A55421" w14:paraId="2FBF82CB" w14:textId="33C6615E">
            <w:pPr>
              <w:contextualSpacing/>
              <w:jc w:val="center"/>
              <w:rPr>
                <w:sz w:val="18"/>
                <w:szCs w:val="18"/>
              </w:rPr>
            </w:pPr>
            <w:r w:rsidRPr="001F5CD4">
              <w:rPr>
                <w:sz w:val="18"/>
                <w:szCs w:val="18"/>
              </w:rPr>
              <w:t>A</w:t>
            </w:r>
            <w:r w:rsidR="0069078F">
              <w:rPr>
                <w:sz w:val="18"/>
                <w:szCs w:val="18"/>
              </w:rPr>
              <w:t>uthority Citation/</w:t>
            </w:r>
            <w:r w:rsidR="008D4F29">
              <w:rPr>
                <w:sz w:val="18"/>
                <w:szCs w:val="18"/>
              </w:rPr>
              <w:t>Reference</w:t>
            </w:r>
            <w:r w:rsidRPr="001F5CD4">
              <w:rPr>
                <w:sz w:val="18"/>
                <w:szCs w:val="18"/>
              </w:rPr>
              <w:t xml:space="preserve">; </w:t>
            </w:r>
          </w:p>
          <w:p w:rsidRPr="001F5CD4" w:rsidR="00E97354" w:rsidP="00AF5E94" w:rsidRDefault="00A55421" w14:paraId="0B75BEC0" w14:textId="268DFA13">
            <w:pPr>
              <w:contextualSpacing/>
              <w:jc w:val="center"/>
              <w:rPr>
                <w:sz w:val="18"/>
                <w:szCs w:val="18"/>
              </w:rPr>
            </w:pPr>
            <w:r w:rsidRPr="001F5CD4">
              <w:rPr>
                <w:sz w:val="18"/>
                <w:szCs w:val="18"/>
              </w:rPr>
              <w:t>IC Activity</w:t>
            </w:r>
          </w:p>
        </w:tc>
        <w:tc>
          <w:tcPr>
            <w:tcW w:w="1170" w:type="dxa"/>
            <w:shd w:val="clear" w:color="auto" w:fill="auto"/>
          </w:tcPr>
          <w:p w:rsidRPr="001F5CD4" w:rsidR="00E97354" w:rsidP="00AF5E94" w:rsidRDefault="00E97354" w14:paraId="3F238EA9" w14:textId="77777777">
            <w:pPr>
              <w:contextualSpacing/>
              <w:jc w:val="center"/>
              <w:rPr>
                <w:sz w:val="18"/>
                <w:szCs w:val="18"/>
              </w:rPr>
            </w:pPr>
            <w:r w:rsidRPr="001F5CD4">
              <w:rPr>
                <w:sz w:val="18"/>
                <w:szCs w:val="18"/>
              </w:rPr>
              <w:t>No. of Respondents</w:t>
            </w:r>
          </w:p>
        </w:tc>
        <w:tc>
          <w:tcPr>
            <w:tcW w:w="1350" w:type="dxa"/>
            <w:shd w:val="clear" w:color="auto" w:fill="auto"/>
          </w:tcPr>
          <w:p w:rsidRPr="001F5CD4" w:rsidR="00E97354" w:rsidP="00AF5E94" w:rsidRDefault="00E97354" w14:paraId="5224CB1A" w14:textId="77777777">
            <w:pPr>
              <w:contextualSpacing/>
              <w:jc w:val="center"/>
              <w:rPr>
                <w:sz w:val="18"/>
                <w:szCs w:val="18"/>
              </w:rPr>
            </w:pPr>
            <w:r w:rsidRPr="001F5CD4">
              <w:rPr>
                <w:bCs/>
                <w:sz w:val="18"/>
                <w:szCs w:val="18"/>
              </w:rPr>
              <w:t>No. of Responses per Respondent</w:t>
            </w:r>
          </w:p>
        </w:tc>
        <w:tc>
          <w:tcPr>
            <w:tcW w:w="1170" w:type="dxa"/>
            <w:shd w:val="clear" w:color="auto" w:fill="auto"/>
          </w:tcPr>
          <w:p w:rsidRPr="001F5CD4" w:rsidR="00E97354" w:rsidP="00AF5E94" w:rsidRDefault="00E97354" w14:paraId="689078E3" w14:textId="77777777">
            <w:pPr>
              <w:contextualSpacing/>
              <w:jc w:val="center"/>
              <w:rPr>
                <w:sz w:val="18"/>
                <w:szCs w:val="18"/>
              </w:rPr>
            </w:pPr>
            <w:r w:rsidRPr="001F5CD4">
              <w:rPr>
                <w:sz w:val="18"/>
                <w:szCs w:val="18"/>
              </w:rPr>
              <w:t>Total Annual Responses</w:t>
            </w:r>
          </w:p>
        </w:tc>
        <w:tc>
          <w:tcPr>
            <w:tcW w:w="1080" w:type="dxa"/>
            <w:shd w:val="clear" w:color="auto" w:fill="auto"/>
          </w:tcPr>
          <w:p w:rsidRPr="001F5CD4" w:rsidR="00E97354" w:rsidP="00AF5E94" w:rsidRDefault="00E97354" w14:paraId="097A9182" w14:textId="21CA3117">
            <w:pPr>
              <w:contextualSpacing/>
              <w:jc w:val="center"/>
              <w:rPr>
                <w:sz w:val="18"/>
                <w:szCs w:val="18"/>
              </w:rPr>
            </w:pPr>
            <w:r w:rsidRPr="001F5CD4">
              <w:rPr>
                <w:bCs/>
                <w:sz w:val="18"/>
                <w:szCs w:val="18"/>
              </w:rPr>
              <w:t>Av</w:t>
            </w:r>
            <w:r w:rsidRPr="001F5CD4" w:rsidR="00A55421">
              <w:rPr>
                <w:bCs/>
                <w:sz w:val="18"/>
                <w:szCs w:val="18"/>
              </w:rPr>
              <w:t>g.</w:t>
            </w:r>
            <w:r w:rsidRPr="001F5CD4">
              <w:rPr>
                <w:bCs/>
                <w:sz w:val="18"/>
                <w:szCs w:val="18"/>
              </w:rPr>
              <w:t xml:space="preserve"> Burden per Response</w:t>
            </w:r>
          </w:p>
        </w:tc>
        <w:tc>
          <w:tcPr>
            <w:tcW w:w="1080" w:type="dxa"/>
            <w:shd w:val="clear" w:color="auto" w:fill="auto"/>
          </w:tcPr>
          <w:p w:rsidRPr="001F5CD4" w:rsidR="00E97354" w:rsidP="00AF5E94" w:rsidRDefault="00E97354" w14:paraId="3E2CD110" w14:textId="77777777">
            <w:pPr>
              <w:contextualSpacing/>
              <w:jc w:val="center"/>
              <w:rPr>
                <w:sz w:val="18"/>
                <w:szCs w:val="18"/>
              </w:rPr>
            </w:pPr>
            <w:r w:rsidRPr="001F5CD4">
              <w:rPr>
                <w:sz w:val="18"/>
                <w:szCs w:val="18"/>
              </w:rPr>
              <w:t>Total Hours</w:t>
            </w:r>
          </w:p>
        </w:tc>
      </w:tr>
      <w:tr w:rsidR="001042A1" w:rsidTr="00655B51" w14:paraId="0BAD597D" w14:textId="77777777">
        <w:trPr>
          <w:cantSplit/>
          <w:trHeight w:val="20"/>
        </w:trPr>
        <w:tc>
          <w:tcPr>
            <w:tcW w:w="3690" w:type="dxa"/>
            <w:shd w:val="clear" w:color="auto" w:fill="auto"/>
          </w:tcPr>
          <w:p w:rsidRPr="00355763" w:rsidR="00E97354" w:rsidP="00AF5E94" w:rsidRDefault="00E97354" w14:paraId="097E34BB" w14:textId="0E7E453A">
            <w:pPr>
              <w:contextualSpacing/>
              <w:rPr>
                <w:sz w:val="21"/>
                <w:szCs w:val="21"/>
              </w:rPr>
            </w:pPr>
            <w:r w:rsidRPr="00355763">
              <w:rPr>
                <w:sz w:val="21"/>
                <w:szCs w:val="21"/>
              </w:rPr>
              <w:t>310.305</w:t>
            </w:r>
            <w:r w:rsidRPr="00355763" w:rsidR="00815984">
              <w:rPr>
                <w:sz w:val="21"/>
                <w:szCs w:val="21"/>
              </w:rPr>
              <w:t xml:space="preserve">; </w:t>
            </w:r>
            <w:r w:rsidRPr="00355763" w:rsidR="00C20588">
              <w:rPr>
                <w:sz w:val="21"/>
                <w:szCs w:val="21"/>
              </w:rPr>
              <w:t>AER for prescription products not the subject of a marketing application</w:t>
            </w:r>
          </w:p>
        </w:tc>
        <w:tc>
          <w:tcPr>
            <w:tcW w:w="1170" w:type="dxa"/>
            <w:shd w:val="clear" w:color="auto" w:fill="auto"/>
          </w:tcPr>
          <w:p w:rsidRPr="00355763" w:rsidR="00E97354" w:rsidP="00AF5E94" w:rsidRDefault="00E97354" w14:paraId="49B9A953" w14:textId="77777777">
            <w:pPr>
              <w:contextualSpacing/>
              <w:jc w:val="right"/>
              <w:rPr>
                <w:sz w:val="21"/>
                <w:szCs w:val="21"/>
              </w:rPr>
            </w:pPr>
            <w:r w:rsidRPr="00355763">
              <w:rPr>
                <w:sz w:val="21"/>
                <w:szCs w:val="21"/>
              </w:rPr>
              <w:t>3</w:t>
            </w:r>
          </w:p>
        </w:tc>
        <w:tc>
          <w:tcPr>
            <w:tcW w:w="1350" w:type="dxa"/>
            <w:shd w:val="clear" w:color="auto" w:fill="auto"/>
          </w:tcPr>
          <w:p w:rsidRPr="00355763" w:rsidR="00E97354" w:rsidP="00AF5E94" w:rsidRDefault="00E97354" w14:paraId="72A1A240" w14:textId="77777777">
            <w:pPr>
              <w:contextualSpacing/>
              <w:jc w:val="right"/>
              <w:rPr>
                <w:sz w:val="21"/>
                <w:szCs w:val="21"/>
              </w:rPr>
            </w:pPr>
            <w:r w:rsidRPr="00355763">
              <w:rPr>
                <w:sz w:val="21"/>
                <w:szCs w:val="21"/>
              </w:rPr>
              <w:t>1</w:t>
            </w:r>
          </w:p>
        </w:tc>
        <w:tc>
          <w:tcPr>
            <w:tcW w:w="1170" w:type="dxa"/>
            <w:shd w:val="clear" w:color="auto" w:fill="auto"/>
          </w:tcPr>
          <w:p w:rsidRPr="00355763" w:rsidR="00E97354" w:rsidP="00AF5E94" w:rsidRDefault="00E97354" w14:paraId="3DDA6DEE" w14:textId="77777777">
            <w:pPr>
              <w:contextualSpacing/>
              <w:jc w:val="right"/>
              <w:rPr>
                <w:sz w:val="21"/>
                <w:szCs w:val="21"/>
              </w:rPr>
            </w:pPr>
            <w:r w:rsidRPr="00355763">
              <w:rPr>
                <w:sz w:val="21"/>
                <w:szCs w:val="21"/>
              </w:rPr>
              <w:t>3</w:t>
            </w:r>
          </w:p>
        </w:tc>
        <w:tc>
          <w:tcPr>
            <w:tcW w:w="1080" w:type="dxa"/>
            <w:shd w:val="clear" w:color="auto" w:fill="auto"/>
          </w:tcPr>
          <w:p w:rsidRPr="00355763" w:rsidR="00E97354" w:rsidP="00AF5E94" w:rsidRDefault="00E97354" w14:paraId="7FB826E3" w14:textId="77777777">
            <w:pPr>
              <w:contextualSpacing/>
              <w:jc w:val="right"/>
              <w:rPr>
                <w:sz w:val="21"/>
                <w:szCs w:val="21"/>
              </w:rPr>
            </w:pPr>
            <w:r w:rsidRPr="00355763">
              <w:rPr>
                <w:sz w:val="21"/>
                <w:szCs w:val="21"/>
              </w:rPr>
              <w:t>1</w:t>
            </w:r>
          </w:p>
        </w:tc>
        <w:tc>
          <w:tcPr>
            <w:tcW w:w="1080" w:type="dxa"/>
            <w:shd w:val="clear" w:color="auto" w:fill="auto"/>
          </w:tcPr>
          <w:p w:rsidRPr="00355763" w:rsidR="00E97354" w:rsidP="00AF5E94" w:rsidRDefault="00E97354" w14:paraId="56B8D417" w14:textId="77777777">
            <w:pPr>
              <w:contextualSpacing/>
              <w:jc w:val="right"/>
              <w:rPr>
                <w:sz w:val="21"/>
                <w:szCs w:val="21"/>
              </w:rPr>
            </w:pPr>
            <w:r w:rsidRPr="00355763">
              <w:rPr>
                <w:sz w:val="21"/>
                <w:szCs w:val="21"/>
              </w:rPr>
              <w:t>3</w:t>
            </w:r>
          </w:p>
        </w:tc>
      </w:tr>
      <w:tr w:rsidR="001042A1" w:rsidTr="00655B51" w14:paraId="4336BE2F" w14:textId="77777777">
        <w:trPr>
          <w:cantSplit/>
          <w:trHeight w:val="20"/>
        </w:trPr>
        <w:tc>
          <w:tcPr>
            <w:tcW w:w="3690" w:type="dxa"/>
            <w:shd w:val="clear" w:color="auto" w:fill="auto"/>
          </w:tcPr>
          <w:p w:rsidRPr="00355763" w:rsidR="00E97354" w:rsidP="00AF5E94" w:rsidRDefault="00E97354" w14:paraId="144ECFCD" w14:textId="48BCB086">
            <w:pPr>
              <w:contextualSpacing/>
              <w:rPr>
                <w:sz w:val="21"/>
                <w:szCs w:val="21"/>
              </w:rPr>
            </w:pPr>
            <w:r w:rsidRPr="00355763">
              <w:rPr>
                <w:sz w:val="21"/>
                <w:szCs w:val="21"/>
              </w:rPr>
              <w:t>314.8</w:t>
            </w:r>
            <w:r w:rsidRPr="00355763" w:rsidR="00611B16">
              <w:rPr>
                <w:sz w:val="21"/>
                <w:szCs w:val="21"/>
              </w:rPr>
              <w:t>0(c)(1); 15 day alerts</w:t>
            </w:r>
          </w:p>
        </w:tc>
        <w:tc>
          <w:tcPr>
            <w:tcW w:w="1170" w:type="dxa"/>
            <w:shd w:val="clear" w:color="auto" w:fill="auto"/>
          </w:tcPr>
          <w:p w:rsidRPr="00355763" w:rsidR="00E97354" w:rsidP="00AF5E94" w:rsidRDefault="00E97354" w14:paraId="2E86B893" w14:textId="77777777">
            <w:pPr>
              <w:contextualSpacing/>
              <w:jc w:val="right"/>
              <w:rPr>
                <w:sz w:val="21"/>
                <w:szCs w:val="21"/>
              </w:rPr>
            </w:pPr>
            <w:r w:rsidRPr="00355763">
              <w:rPr>
                <w:sz w:val="21"/>
                <w:szCs w:val="21"/>
              </w:rPr>
              <w:t>5</w:t>
            </w:r>
          </w:p>
        </w:tc>
        <w:tc>
          <w:tcPr>
            <w:tcW w:w="1350" w:type="dxa"/>
            <w:shd w:val="clear" w:color="auto" w:fill="auto"/>
          </w:tcPr>
          <w:p w:rsidRPr="00355763" w:rsidR="00E97354" w:rsidP="00AF5E94" w:rsidRDefault="00E97354" w14:paraId="0163B5B9" w14:textId="77777777">
            <w:pPr>
              <w:contextualSpacing/>
              <w:jc w:val="right"/>
              <w:rPr>
                <w:sz w:val="21"/>
                <w:szCs w:val="21"/>
              </w:rPr>
            </w:pPr>
            <w:r w:rsidRPr="00355763">
              <w:rPr>
                <w:sz w:val="21"/>
                <w:szCs w:val="21"/>
              </w:rPr>
              <w:t>1</w:t>
            </w:r>
          </w:p>
        </w:tc>
        <w:tc>
          <w:tcPr>
            <w:tcW w:w="1170" w:type="dxa"/>
            <w:shd w:val="clear" w:color="auto" w:fill="auto"/>
          </w:tcPr>
          <w:p w:rsidRPr="00355763" w:rsidR="00E97354" w:rsidP="00AF5E94" w:rsidRDefault="00E97354" w14:paraId="693F3745" w14:textId="77777777">
            <w:pPr>
              <w:contextualSpacing/>
              <w:jc w:val="right"/>
              <w:rPr>
                <w:sz w:val="21"/>
                <w:szCs w:val="21"/>
              </w:rPr>
            </w:pPr>
            <w:r w:rsidRPr="00355763">
              <w:rPr>
                <w:sz w:val="21"/>
                <w:szCs w:val="21"/>
              </w:rPr>
              <w:t>5</w:t>
            </w:r>
          </w:p>
        </w:tc>
        <w:tc>
          <w:tcPr>
            <w:tcW w:w="1080" w:type="dxa"/>
            <w:shd w:val="clear" w:color="auto" w:fill="auto"/>
          </w:tcPr>
          <w:p w:rsidRPr="00355763" w:rsidR="00E97354" w:rsidP="00AF5E94" w:rsidRDefault="00E97354" w14:paraId="393853B2" w14:textId="77777777">
            <w:pPr>
              <w:contextualSpacing/>
              <w:jc w:val="right"/>
              <w:rPr>
                <w:sz w:val="21"/>
                <w:szCs w:val="21"/>
              </w:rPr>
            </w:pPr>
            <w:r w:rsidRPr="00355763">
              <w:rPr>
                <w:sz w:val="21"/>
                <w:szCs w:val="21"/>
              </w:rPr>
              <w:t>1</w:t>
            </w:r>
          </w:p>
        </w:tc>
        <w:tc>
          <w:tcPr>
            <w:tcW w:w="1080" w:type="dxa"/>
            <w:shd w:val="clear" w:color="auto" w:fill="auto"/>
          </w:tcPr>
          <w:p w:rsidRPr="00355763" w:rsidR="00E97354" w:rsidP="00AF5E94" w:rsidRDefault="00E97354" w14:paraId="40EF9BBF" w14:textId="77777777">
            <w:pPr>
              <w:contextualSpacing/>
              <w:jc w:val="right"/>
              <w:rPr>
                <w:sz w:val="21"/>
                <w:szCs w:val="21"/>
              </w:rPr>
            </w:pPr>
            <w:r w:rsidRPr="00355763">
              <w:rPr>
                <w:sz w:val="21"/>
                <w:szCs w:val="21"/>
              </w:rPr>
              <w:t>5</w:t>
            </w:r>
          </w:p>
        </w:tc>
      </w:tr>
      <w:tr w:rsidR="001042A1" w:rsidTr="00655B51" w14:paraId="504A665C" w14:textId="77777777">
        <w:trPr>
          <w:cantSplit/>
          <w:trHeight w:val="20"/>
        </w:trPr>
        <w:tc>
          <w:tcPr>
            <w:tcW w:w="3690" w:type="dxa"/>
            <w:shd w:val="clear" w:color="auto" w:fill="auto"/>
          </w:tcPr>
          <w:p w:rsidRPr="00355763" w:rsidR="00E97354" w:rsidP="00AF5E94" w:rsidRDefault="00E97354" w14:paraId="262AFC13" w14:textId="594DF389">
            <w:pPr>
              <w:contextualSpacing/>
              <w:rPr>
                <w:sz w:val="21"/>
                <w:szCs w:val="21"/>
              </w:rPr>
            </w:pPr>
            <w:r w:rsidRPr="00355763">
              <w:rPr>
                <w:sz w:val="21"/>
                <w:szCs w:val="21"/>
              </w:rPr>
              <w:t>314.80(c)(2)</w:t>
            </w:r>
            <w:r w:rsidRPr="00355763" w:rsidR="00611B16">
              <w:rPr>
                <w:sz w:val="21"/>
                <w:szCs w:val="21"/>
              </w:rPr>
              <w:t>;</w:t>
            </w:r>
            <w:r w:rsidRPr="00355763" w:rsidR="00552CE5">
              <w:rPr>
                <w:sz w:val="21"/>
                <w:szCs w:val="21"/>
              </w:rPr>
              <w:t xml:space="preserve"> quarterly reports</w:t>
            </w:r>
          </w:p>
        </w:tc>
        <w:tc>
          <w:tcPr>
            <w:tcW w:w="1170" w:type="dxa"/>
            <w:shd w:val="clear" w:color="auto" w:fill="auto"/>
          </w:tcPr>
          <w:p w:rsidRPr="00355763" w:rsidR="00E97354" w:rsidP="00AF5E94" w:rsidRDefault="00E97354" w14:paraId="5A152710" w14:textId="77777777">
            <w:pPr>
              <w:contextualSpacing/>
              <w:jc w:val="right"/>
              <w:rPr>
                <w:sz w:val="21"/>
                <w:szCs w:val="21"/>
              </w:rPr>
            </w:pPr>
            <w:r w:rsidRPr="00355763">
              <w:rPr>
                <w:sz w:val="21"/>
                <w:szCs w:val="21"/>
              </w:rPr>
              <w:t>820</w:t>
            </w:r>
          </w:p>
        </w:tc>
        <w:tc>
          <w:tcPr>
            <w:tcW w:w="1350" w:type="dxa"/>
            <w:shd w:val="clear" w:color="auto" w:fill="auto"/>
          </w:tcPr>
          <w:p w:rsidRPr="00355763" w:rsidR="00E97354" w:rsidP="00AF5E94" w:rsidRDefault="00E97354" w14:paraId="7888798F" w14:textId="77777777">
            <w:pPr>
              <w:contextualSpacing/>
              <w:jc w:val="right"/>
              <w:rPr>
                <w:sz w:val="21"/>
                <w:szCs w:val="21"/>
              </w:rPr>
            </w:pPr>
            <w:r w:rsidRPr="00355763">
              <w:rPr>
                <w:sz w:val="21"/>
                <w:szCs w:val="21"/>
              </w:rPr>
              <w:t>17.32</w:t>
            </w:r>
          </w:p>
        </w:tc>
        <w:tc>
          <w:tcPr>
            <w:tcW w:w="1170" w:type="dxa"/>
            <w:shd w:val="clear" w:color="auto" w:fill="auto"/>
          </w:tcPr>
          <w:p w:rsidRPr="00355763" w:rsidR="00E97354" w:rsidP="00AF5E94" w:rsidRDefault="00E97354" w14:paraId="26AC609B" w14:textId="77777777">
            <w:pPr>
              <w:contextualSpacing/>
              <w:jc w:val="right"/>
              <w:rPr>
                <w:sz w:val="21"/>
                <w:szCs w:val="21"/>
              </w:rPr>
            </w:pPr>
            <w:r w:rsidRPr="00355763">
              <w:rPr>
                <w:sz w:val="21"/>
                <w:szCs w:val="21"/>
              </w:rPr>
              <w:t>14,202</w:t>
            </w:r>
          </w:p>
        </w:tc>
        <w:tc>
          <w:tcPr>
            <w:tcW w:w="1080" w:type="dxa"/>
            <w:shd w:val="clear" w:color="auto" w:fill="auto"/>
          </w:tcPr>
          <w:p w:rsidRPr="00355763" w:rsidR="00E97354" w:rsidP="00AF5E94" w:rsidRDefault="00E97354" w14:paraId="3E02E550" w14:textId="77777777">
            <w:pPr>
              <w:contextualSpacing/>
              <w:jc w:val="right"/>
              <w:rPr>
                <w:sz w:val="21"/>
                <w:szCs w:val="21"/>
              </w:rPr>
            </w:pPr>
            <w:r w:rsidRPr="00355763">
              <w:rPr>
                <w:sz w:val="21"/>
                <w:szCs w:val="21"/>
              </w:rPr>
              <w:t>60</w:t>
            </w:r>
          </w:p>
        </w:tc>
        <w:tc>
          <w:tcPr>
            <w:tcW w:w="1080" w:type="dxa"/>
            <w:shd w:val="clear" w:color="auto" w:fill="auto"/>
          </w:tcPr>
          <w:p w:rsidRPr="00355763" w:rsidR="00E97354" w:rsidP="00AF5E94" w:rsidRDefault="00E97354" w14:paraId="10240116" w14:textId="77777777">
            <w:pPr>
              <w:contextualSpacing/>
              <w:jc w:val="right"/>
              <w:rPr>
                <w:sz w:val="21"/>
                <w:szCs w:val="21"/>
              </w:rPr>
            </w:pPr>
            <w:r w:rsidRPr="00355763">
              <w:rPr>
                <w:sz w:val="21"/>
                <w:szCs w:val="21"/>
              </w:rPr>
              <w:t>852,120</w:t>
            </w:r>
          </w:p>
        </w:tc>
      </w:tr>
      <w:tr w:rsidR="001042A1" w:rsidTr="00655B51" w14:paraId="68758913" w14:textId="77777777">
        <w:trPr>
          <w:cantSplit/>
          <w:trHeight w:val="230"/>
        </w:trPr>
        <w:tc>
          <w:tcPr>
            <w:tcW w:w="3690" w:type="dxa"/>
            <w:shd w:val="clear" w:color="auto" w:fill="auto"/>
          </w:tcPr>
          <w:p w:rsidRPr="00355763" w:rsidR="00E97354" w:rsidP="00AF5E94" w:rsidRDefault="007A4960" w14:paraId="785258A8" w14:textId="670C8ACF">
            <w:pPr>
              <w:contextualSpacing/>
              <w:rPr>
                <w:sz w:val="21"/>
                <w:szCs w:val="21"/>
              </w:rPr>
            </w:pPr>
            <w:r w:rsidRPr="00355763">
              <w:rPr>
                <w:sz w:val="21"/>
                <w:szCs w:val="21"/>
              </w:rPr>
              <w:t>329.100</w:t>
            </w:r>
            <w:r w:rsidRPr="00355763" w:rsidR="00552CE5">
              <w:rPr>
                <w:sz w:val="21"/>
                <w:szCs w:val="21"/>
              </w:rPr>
              <w:t>; AER for non-prescription drug products</w:t>
            </w:r>
            <w:r w:rsidRPr="00355763" w:rsidR="00D922FD">
              <w:rPr>
                <w:sz w:val="21"/>
                <w:szCs w:val="21"/>
              </w:rPr>
              <w:t xml:space="preserve"> </w:t>
            </w:r>
          </w:p>
        </w:tc>
        <w:tc>
          <w:tcPr>
            <w:tcW w:w="1170" w:type="dxa"/>
            <w:shd w:val="clear" w:color="auto" w:fill="auto"/>
          </w:tcPr>
          <w:p w:rsidRPr="00355763" w:rsidR="00E97354" w:rsidP="00AF5E94" w:rsidRDefault="00E97354" w14:paraId="0A2024B6" w14:textId="77777777">
            <w:pPr>
              <w:contextualSpacing/>
              <w:jc w:val="right"/>
              <w:rPr>
                <w:sz w:val="21"/>
                <w:szCs w:val="21"/>
              </w:rPr>
            </w:pPr>
            <w:r w:rsidRPr="00355763">
              <w:rPr>
                <w:sz w:val="21"/>
                <w:szCs w:val="21"/>
              </w:rPr>
              <w:t>285</w:t>
            </w:r>
          </w:p>
        </w:tc>
        <w:tc>
          <w:tcPr>
            <w:tcW w:w="1350" w:type="dxa"/>
            <w:shd w:val="clear" w:color="auto" w:fill="auto"/>
          </w:tcPr>
          <w:p w:rsidRPr="00355763" w:rsidR="00E97354" w:rsidP="00AF5E94" w:rsidRDefault="00E97354" w14:paraId="0E2D2161" w14:textId="77777777">
            <w:pPr>
              <w:contextualSpacing/>
              <w:jc w:val="right"/>
              <w:rPr>
                <w:sz w:val="21"/>
                <w:szCs w:val="21"/>
              </w:rPr>
            </w:pPr>
            <w:r w:rsidRPr="00355763">
              <w:rPr>
                <w:sz w:val="21"/>
                <w:szCs w:val="21"/>
              </w:rPr>
              <w:t>690</w:t>
            </w:r>
          </w:p>
        </w:tc>
        <w:tc>
          <w:tcPr>
            <w:tcW w:w="1170" w:type="dxa"/>
            <w:shd w:val="clear" w:color="auto" w:fill="auto"/>
          </w:tcPr>
          <w:p w:rsidRPr="00355763" w:rsidR="00E97354" w:rsidP="00AF5E94" w:rsidRDefault="00E97354" w14:paraId="74662FBF" w14:textId="77777777">
            <w:pPr>
              <w:contextualSpacing/>
              <w:jc w:val="right"/>
              <w:rPr>
                <w:sz w:val="21"/>
                <w:szCs w:val="21"/>
              </w:rPr>
            </w:pPr>
            <w:r w:rsidRPr="00355763">
              <w:rPr>
                <w:sz w:val="21"/>
                <w:szCs w:val="21"/>
              </w:rPr>
              <w:t>196,650</w:t>
            </w:r>
          </w:p>
        </w:tc>
        <w:tc>
          <w:tcPr>
            <w:tcW w:w="1080" w:type="dxa"/>
            <w:shd w:val="clear" w:color="auto" w:fill="auto"/>
          </w:tcPr>
          <w:p w:rsidRPr="00355763" w:rsidR="00E97354" w:rsidP="00AF5E94" w:rsidRDefault="00E97354" w14:paraId="0F42A45B" w14:textId="77777777">
            <w:pPr>
              <w:contextualSpacing/>
              <w:jc w:val="right"/>
              <w:rPr>
                <w:sz w:val="21"/>
                <w:szCs w:val="21"/>
              </w:rPr>
            </w:pPr>
            <w:r w:rsidRPr="00355763">
              <w:rPr>
                <w:sz w:val="21"/>
                <w:szCs w:val="21"/>
              </w:rPr>
              <w:t>6</w:t>
            </w:r>
          </w:p>
        </w:tc>
        <w:tc>
          <w:tcPr>
            <w:tcW w:w="1080" w:type="dxa"/>
            <w:shd w:val="clear" w:color="auto" w:fill="auto"/>
          </w:tcPr>
          <w:p w:rsidRPr="00355763" w:rsidR="00E97354" w:rsidP="00AF5E94" w:rsidRDefault="00E97354" w14:paraId="0AA7F52D" w14:textId="77777777">
            <w:pPr>
              <w:contextualSpacing/>
              <w:jc w:val="right"/>
              <w:rPr>
                <w:sz w:val="21"/>
                <w:szCs w:val="21"/>
              </w:rPr>
            </w:pPr>
            <w:r w:rsidRPr="00355763">
              <w:rPr>
                <w:sz w:val="21"/>
                <w:szCs w:val="21"/>
              </w:rPr>
              <w:t>1,179,900</w:t>
            </w:r>
          </w:p>
        </w:tc>
      </w:tr>
      <w:tr w:rsidR="001042A1" w:rsidTr="00655B51" w14:paraId="287F2CB6" w14:textId="77777777">
        <w:trPr>
          <w:cantSplit/>
          <w:trHeight w:val="20"/>
        </w:trPr>
        <w:tc>
          <w:tcPr>
            <w:tcW w:w="3690" w:type="dxa"/>
            <w:shd w:val="clear" w:color="auto" w:fill="auto"/>
          </w:tcPr>
          <w:p w:rsidRPr="00355763" w:rsidR="00E97354" w:rsidP="00AF5E94" w:rsidRDefault="00603482" w14:paraId="001893EB" w14:textId="34403131">
            <w:pPr>
              <w:contextualSpacing/>
              <w:rPr>
                <w:sz w:val="21"/>
                <w:szCs w:val="21"/>
              </w:rPr>
            </w:pPr>
            <w:r w:rsidRPr="00355763">
              <w:rPr>
                <w:rFonts w:eastAsia="Arial"/>
                <w:i/>
                <w:iCs/>
                <w:sz w:val="21"/>
                <w:szCs w:val="21"/>
              </w:rPr>
              <w:t xml:space="preserve">Periodic </w:t>
            </w:r>
            <w:r w:rsidRPr="00355763" w:rsidR="006A57F9">
              <w:rPr>
                <w:rFonts w:eastAsia="Arial"/>
                <w:i/>
                <w:iCs/>
                <w:sz w:val="21"/>
                <w:szCs w:val="21"/>
              </w:rPr>
              <w:t>Safety Updates</w:t>
            </w:r>
            <w:r w:rsidRPr="00355763" w:rsidR="006A57F9">
              <w:rPr>
                <w:rFonts w:eastAsia="Arial"/>
                <w:sz w:val="21"/>
                <w:szCs w:val="21"/>
              </w:rPr>
              <w:t xml:space="preserve">; applicants </w:t>
            </w:r>
            <w:r w:rsidRPr="00355763" w:rsidR="00F0534D">
              <w:rPr>
                <w:rFonts w:eastAsia="Arial"/>
                <w:sz w:val="21"/>
                <w:szCs w:val="21"/>
              </w:rPr>
              <w:t>w/</w:t>
            </w:r>
            <w:r w:rsidRPr="00355763" w:rsidR="00E97354">
              <w:rPr>
                <w:rFonts w:eastAsia="Arial"/>
                <w:sz w:val="21"/>
                <w:szCs w:val="21"/>
              </w:rPr>
              <w:t>waiver for an approved application</w:t>
            </w:r>
          </w:p>
        </w:tc>
        <w:tc>
          <w:tcPr>
            <w:tcW w:w="1170" w:type="dxa"/>
            <w:shd w:val="clear" w:color="auto" w:fill="auto"/>
          </w:tcPr>
          <w:p w:rsidRPr="00355763" w:rsidR="00E97354" w:rsidP="00AF5E94" w:rsidRDefault="00E97354" w14:paraId="49EF5512" w14:textId="77777777">
            <w:pPr>
              <w:contextualSpacing/>
              <w:jc w:val="right"/>
              <w:rPr>
                <w:sz w:val="21"/>
                <w:szCs w:val="21"/>
              </w:rPr>
            </w:pPr>
            <w:r w:rsidRPr="00355763">
              <w:rPr>
                <w:sz w:val="21"/>
                <w:szCs w:val="21"/>
              </w:rPr>
              <w:t>55</w:t>
            </w:r>
          </w:p>
        </w:tc>
        <w:tc>
          <w:tcPr>
            <w:tcW w:w="1350" w:type="dxa"/>
            <w:shd w:val="clear" w:color="auto" w:fill="auto"/>
          </w:tcPr>
          <w:p w:rsidRPr="00355763" w:rsidR="00E97354" w:rsidP="00AF5E94" w:rsidRDefault="00E97354" w14:paraId="7D9F5DF1" w14:textId="77777777">
            <w:pPr>
              <w:contextualSpacing/>
              <w:jc w:val="right"/>
              <w:rPr>
                <w:sz w:val="21"/>
                <w:szCs w:val="21"/>
              </w:rPr>
            </w:pPr>
            <w:r w:rsidRPr="00355763">
              <w:rPr>
                <w:sz w:val="21"/>
                <w:szCs w:val="21"/>
              </w:rPr>
              <w:t>3.4</w:t>
            </w:r>
          </w:p>
        </w:tc>
        <w:tc>
          <w:tcPr>
            <w:tcW w:w="1170" w:type="dxa"/>
            <w:shd w:val="clear" w:color="auto" w:fill="auto"/>
          </w:tcPr>
          <w:p w:rsidRPr="00355763" w:rsidR="00E97354" w:rsidP="00AF5E94" w:rsidRDefault="00E97354" w14:paraId="65E3DC30" w14:textId="77777777">
            <w:pPr>
              <w:contextualSpacing/>
              <w:jc w:val="right"/>
              <w:rPr>
                <w:sz w:val="21"/>
                <w:szCs w:val="21"/>
              </w:rPr>
            </w:pPr>
            <w:r w:rsidRPr="00355763">
              <w:rPr>
                <w:sz w:val="21"/>
                <w:szCs w:val="21"/>
              </w:rPr>
              <w:t>187</w:t>
            </w:r>
          </w:p>
        </w:tc>
        <w:tc>
          <w:tcPr>
            <w:tcW w:w="1080" w:type="dxa"/>
            <w:shd w:val="clear" w:color="auto" w:fill="auto"/>
          </w:tcPr>
          <w:p w:rsidRPr="00355763" w:rsidR="00E97354" w:rsidP="00AF5E94" w:rsidRDefault="00E97354" w14:paraId="7182FE2B" w14:textId="77777777">
            <w:pPr>
              <w:contextualSpacing/>
              <w:jc w:val="right"/>
              <w:rPr>
                <w:sz w:val="21"/>
                <w:szCs w:val="21"/>
              </w:rPr>
            </w:pPr>
            <w:r w:rsidRPr="00355763">
              <w:rPr>
                <w:sz w:val="21"/>
                <w:szCs w:val="21"/>
              </w:rPr>
              <w:t>1</w:t>
            </w:r>
          </w:p>
        </w:tc>
        <w:tc>
          <w:tcPr>
            <w:tcW w:w="1080" w:type="dxa"/>
            <w:shd w:val="clear" w:color="auto" w:fill="auto"/>
          </w:tcPr>
          <w:p w:rsidRPr="00355763" w:rsidR="00E97354" w:rsidP="00AF5E94" w:rsidRDefault="00E97354" w14:paraId="495DA491" w14:textId="77777777">
            <w:pPr>
              <w:contextualSpacing/>
              <w:jc w:val="right"/>
              <w:rPr>
                <w:sz w:val="21"/>
                <w:szCs w:val="21"/>
              </w:rPr>
            </w:pPr>
            <w:r w:rsidRPr="00355763">
              <w:rPr>
                <w:sz w:val="21"/>
                <w:szCs w:val="21"/>
              </w:rPr>
              <w:t>187</w:t>
            </w:r>
          </w:p>
        </w:tc>
      </w:tr>
      <w:tr w:rsidR="001042A1" w:rsidTr="00655B51" w14:paraId="3B52CFAB" w14:textId="77777777">
        <w:trPr>
          <w:cantSplit/>
          <w:trHeight w:val="20"/>
        </w:trPr>
        <w:tc>
          <w:tcPr>
            <w:tcW w:w="3690" w:type="dxa"/>
            <w:shd w:val="clear" w:color="auto" w:fill="auto"/>
          </w:tcPr>
          <w:p w:rsidRPr="00355763" w:rsidR="00E97354" w:rsidP="00AF5E94" w:rsidRDefault="00F0534D" w14:paraId="31E31A62" w14:textId="1DABED55">
            <w:pPr>
              <w:contextualSpacing/>
              <w:rPr>
                <w:sz w:val="21"/>
                <w:szCs w:val="21"/>
              </w:rPr>
            </w:pPr>
            <w:r w:rsidRPr="00355763">
              <w:rPr>
                <w:rFonts w:eastAsia="Arial"/>
                <w:i/>
                <w:iCs/>
                <w:sz w:val="21"/>
                <w:szCs w:val="21"/>
              </w:rPr>
              <w:t xml:space="preserve">Periodic </w:t>
            </w:r>
            <w:r w:rsidRPr="00355763" w:rsidR="008257D7">
              <w:rPr>
                <w:rFonts w:eastAsia="Arial"/>
                <w:i/>
                <w:iCs/>
                <w:sz w:val="21"/>
                <w:szCs w:val="21"/>
              </w:rPr>
              <w:t>Safety Updates</w:t>
            </w:r>
            <w:r w:rsidRPr="00355763" w:rsidR="008257D7">
              <w:rPr>
                <w:rFonts w:eastAsia="Arial"/>
                <w:sz w:val="21"/>
                <w:szCs w:val="21"/>
              </w:rPr>
              <w:t xml:space="preserve">; applicants w/no </w:t>
            </w:r>
            <w:r w:rsidRPr="00355763" w:rsidR="00E97354">
              <w:rPr>
                <w:rFonts w:eastAsia="Arial"/>
                <w:sz w:val="21"/>
                <w:szCs w:val="21"/>
              </w:rPr>
              <w:t>waiver for an approved application</w:t>
            </w:r>
          </w:p>
        </w:tc>
        <w:tc>
          <w:tcPr>
            <w:tcW w:w="1170" w:type="dxa"/>
            <w:shd w:val="clear" w:color="auto" w:fill="auto"/>
          </w:tcPr>
          <w:p w:rsidRPr="00355763" w:rsidR="00E97354" w:rsidP="00AF5E94" w:rsidRDefault="00E97354" w14:paraId="7077FA64" w14:textId="77777777">
            <w:pPr>
              <w:contextualSpacing/>
              <w:jc w:val="right"/>
              <w:rPr>
                <w:sz w:val="21"/>
                <w:szCs w:val="21"/>
              </w:rPr>
            </w:pPr>
            <w:r w:rsidRPr="00355763">
              <w:rPr>
                <w:sz w:val="21"/>
                <w:szCs w:val="21"/>
              </w:rPr>
              <w:t>29</w:t>
            </w:r>
          </w:p>
        </w:tc>
        <w:tc>
          <w:tcPr>
            <w:tcW w:w="1350" w:type="dxa"/>
            <w:shd w:val="clear" w:color="auto" w:fill="auto"/>
          </w:tcPr>
          <w:p w:rsidRPr="00355763" w:rsidR="00E97354" w:rsidP="00AF5E94" w:rsidRDefault="00E97354" w14:paraId="45CDB188" w14:textId="77777777">
            <w:pPr>
              <w:contextualSpacing/>
              <w:jc w:val="right"/>
              <w:rPr>
                <w:sz w:val="21"/>
                <w:szCs w:val="21"/>
              </w:rPr>
            </w:pPr>
            <w:r w:rsidRPr="00355763">
              <w:rPr>
                <w:sz w:val="21"/>
                <w:szCs w:val="21"/>
              </w:rPr>
              <w:t>2.3</w:t>
            </w:r>
          </w:p>
        </w:tc>
        <w:tc>
          <w:tcPr>
            <w:tcW w:w="1170" w:type="dxa"/>
            <w:shd w:val="clear" w:color="auto" w:fill="auto"/>
          </w:tcPr>
          <w:p w:rsidRPr="00355763" w:rsidR="00E97354" w:rsidP="00AF5E94" w:rsidRDefault="00E97354" w14:paraId="7F209B20" w14:textId="77777777">
            <w:pPr>
              <w:contextualSpacing/>
              <w:jc w:val="right"/>
              <w:rPr>
                <w:sz w:val="21"/>
                <w:szCs w:val="21"/>
              </w:rPr>
            </w:pPr>
            <w:r w:rsidRPr="00355763">
              <w:rPr>
                <w:sz w:val="21"/>
                <w:szCs w:val="21"/>
              </w:rPr>
              <w:t>67</w:t>
            </w:r>
          </w:p>
        </w:tc>
        <w:tc>
          <w:tcPr>
            <w:tcW w:w="1080" w:type="dxa"/>
            <w:shd w:val="clear" w:color="auto" w:fill="auto"/>
          </w:tcPr>
          <w:p w:rsidRPr="00355763" w:rsidR="00E97354" w:rsidP="00AF5E94" w:rsidRDefault="00E97354" w14:paraId="20EC09F8" w14:textId="77777777">
            <w:pPr>
              <w:contextualSpacing/>
              <w:jc w:val="right"/>
              <w:rPr>
                <w:sz w:val="21"/>
                <w:szCs w:val="21"/>
              </w:rPr>
            </w:pPr>
            <w:r w:rsidRPr="00355763">
              <w:rPr>
                <w:sz w:val="21"/>
                <w:szCs w:val="21"/>
              </w:rPr>
              <w:t>2</w:t>
            </w:r>
          </w:p>
        </w:tc>
        <w:tc>
          <w:tcPr>
            <w:tcW w:w="1080" w:type="dxa"/>
            <w:shd w:val="clear" w:color="auto" w:fill="auto"/>
          </w:tcPr>
          <w:p w:rsidRPr="00355763" w:rsidR="00E97354" w:rsidP="00AF5E94" w:rsidRDefault="00E97354" w14:paraId="1A4745F0" w14:textId="77777777">
            <w:pPr>
              <w:contextualSpacing/>
              <w:jc w:val="right"/>
              <w:rPr>
                <w:sz w:val="21"/>
                <w:szCs w:val="21"/>
              </w:rPr>
            </w:pPr>
            <w:r w:rsidRPr="00355763">
              <w:rPr>
                <w:sz w:val="21"/>
                <w:szCs w:val="21"/>
              </w:rPr>
              <w:t>134</w:t>
            </w:r>
          </w:p>
        </w:tc>
      </w:tr>
      <w:tr w:rsidR="001042A1" w:rsidTr="00655B51" w14:paraId="17FF42B1" w14:textId="77777777">
        <w:trPr>
          <w:cantSplit/>
          <w:trHeight w:val="20"/>
        </w:trPr>
        <w:tc>
          <w:tcPr>
            <w:tcW w:w="3690" w:type="dxa"/>
            <w:shd w:val="clear" w:color="auto" w:fill="auto"/>
          </w:tcPr>
          <w:p w:rsidRPr="00355763" w:rsidR="00E97354" w:rsidP="00AF5E94" w:rsidRDefault="008879A0" w14:paraId="72F5B7E6" w14:textId="1746C569">
            <w:pPr>
              <w:contextualSpacing/>
              <w:rPr>
                <w:rFonts w:eastAsia="Arial"/>
                <w:sz w:val="21"/>
                <w:szCs w:val="21"/>
              </w:rPr>
            </w:pPr>
            <w:r w:rsidRPr="00355763">
              <w:rPr>
                <w:rFonts w:eastAsia="Arial"/>
                <w:i/>
                <w:iCs/>
                <w:sz w:val="21"/>
                <w:szCs w:val="21"/>
              </w:rPr>
              <w:t>AER During Pandemic</w:t>
            </w:r>
            <w:r w:rsidRPr="00355763">
              <w:rPr>
                <w:rFonts w:eastAsia="Arial"/>
                <w:sz w:val="21"/>
                <w:szCs w:val="21"/>
              </w:rPr>
              <w:t>; n</w:t>
            </w:r>
            <w:r w:rsidRPr="00355763" w:rsidR="00E97354">
              <w:rPr>
                <w:rFonts w:eastAsia="Arial"/>
                <w:sz w:val="21"/>
                <w:szCs w:val="21"/>
              </w:rPr>
              <w:t>otifying FDA when normal reporting is not feasible</w:t>
            </w:r>
          </w:p>
        </w:tc>
        <w:tc>
          <w:tcPr>
            <w:tcW w:w="1170" w:type="dxa"/>
            <w:shd w:val="clear" w:color="auto" w:fill="auto"/>
          </w:tcPr>
          <w:p w:rsidRPr="00355763" w:rsidR="00E97354" w:rsidP="00AF5E94" w:rsidRDefault="00E97354" w14:paraId="579CD828" w14:textId="77777777">
            <w:pPr>
              <w:contextualSpacing/>
              <w:jc w:val="right"/>
              <w:rPr>
                <w:sz w:val="21"/>
                <w:szCs w:val="21"/>
              </w:rPr>
            </w:pPr>
            <w:r w:rsidRPr="00355763">
              <w:rPr>
                <w:sz w:val="21"/>
                <w:szCs w:val="21"/>
              </w:rPr>
              <w:t>350</w:t>
            </w:r>
          </w:p>
        </w:tc>
        <w:tc>
          <w:tcPr>
            <w:tcW w:w="1350" w:type="dxa"/>
            <w:shd w:val="clear" w:color="auto" w:fill="auto"/>
          </w:tcPr>
          <w:p w:rsidRPr="00355763" w:rsidR="00E97354" w:rsidP="00AF5E94" w:rsidRDefault="00E97354" w14:paraId="371D5C0F" w14:textId="77777777">
            <w:pPr>
              <w:contextualSpacing/>
              <w:jc w:val="right"/>
              <w:rPr>
                <w:sz w:val="21"/>
                <w:szCs w:val="21"/>
              </w:rPr>
            </w:pPr>
            <w:r w:rsidRPr="00355763">
              <w:rPr>
                <w:sz w:val="21"/>
                <w:szCs w:val="21"/>
              </w:rPr>
              <w:t>1</w:t>
            </w:r>
          </w:p>
        </w:tc>
        <w:tc>
          <w:tcPr>
            <w:tcW w:w="1170" w:type="dxa"/>
            <w:shd w:val="clear" w:color="auto" w:fill="auto"/>
          </w:tcPr>
          <w:p w:rsidRPr="00355763" w:rsidR="00E97354" w:rsidP="00AF5E94" w:rsidRDefault="00E97354" w14:paraId="7C618A01" w14:textId="77777777">
            <w:pPr>
              <w:contextualSpacing/>
              <w:jc w:val="right"/>
              <w:rPr>
                <w:sz w:val="21"/>
                <w:szCs w:val="21"/>
              </w:rPr>
            </w:pPr>
            <w:r w:rsidRPr="00355763">
              <w:rPr>
                <w:sz w:val="21"/>
                <w:szCs w:val="21"/>
              </w:rPr>
              <w:t>350</w:t>
            </w:r>
          </w:p>
        </w:tc>
        <w:tc>
          <w:tcPr>
            <w:tcW w:w="1080" w:type="dxa"/>
            <w:shd w:val="clear" w:color="auto" w:fill="auto"/>
          </w:tcPr>
          <w:p w:rsidRPr="00355763" w:rsidR="00E97354" w:rsidP="00AF5E94" w:rsidRDefault="00E97354" w14:paraId="44F85168" w14:textId="77777777">
            <w:pPr>
              <w:contextualSpacing/>
              <w:jc w:val="right"/>
              <w:rPr>
                <w:sz w:val="21"/>
                <w:szCs w:val="21"/>
              </w:rPr>
            </w:pPr>
            <w:r w:rsidRPr="00355763">
              <w:rPr>
                <w:sz w:val="21"/>
                <w:szCs w:val="21"/>
              </w:rPr>
              <w:t>8</w:t>
            </w:r>
          </w:p>
        </w:tc>
        <w:tc>
          <w:tcPr>
            <w:tcW w:w="1080" w:type="dxa"/>
            <w:shd w:val="clear" w:color="auto" w:fill="auto"/>
          </w:tcPr>
          <w:p w:rsidRPr="00355763" w:rsidR="00E97354" w:rsidP="00AF5E94" w:rsidRDefault="00E97354" w14:paraId="0557E52A" w14:textId="77777777">
            <w:pPr>
              <w:contextualSpacing/>
              <w:jc w:val="right"/>
              <w:rPr>
                <w:sz w:val="21"/>
                <w:szCs w:val="21"/>
              </w:rPr>
            </w:pPr>
            <w:r w:rsidRPr="00355763">
              <w:rPr>
                <w:sz w:val="21"/>
                <w:szCs w:val="21"/>
              </w:rPr>
              <w:t>2,800</w:t>
            </w:r>
          </w:p>
        </w:tc>
      </w:tr>
      <w:tr w:rsidR="001042A1" w:rsidTr="00655B51" w14:paraId="3A180160" w14:textId="77777777">
        <w:trPr>
          <w:cantSplit/>
          <w:trHeight w:val="20"/>
        </w:trPr>
        <w:tc>
          <w:tcPr>
            <w:tcW w:w="3690" w:type="dxa"/>
            <w:shd w:val="clear" w:color="auto" w:fill="auto"/>
          </w:tcPr>
          <w:p w:rsidRPr="00355763" w:rsidR="00E97354" w:rsidP="00AF5E94" w:rsidRDefault="00E97354" w14:paraId="36AE5040" w14:textId="7FA20F6E">
            <w:pPr>
              <w:contextualSpacing/>
              <w:rPr>
                <w:sz w:val="21"/>
                <w:szCs w:val="21"/>
              </w:rPr>
            </w:pPr>
            <w:r w:rsidRPr="00355763">
              <w:rPr>
                <w:sz w:val="21"/>
                <w:szCs w:val="21"/>
              </w:rPr>
              <w:t>Total</w:t>
            </w:r>
          </w:p>
        </w:tc>
        <w:tc>
          <w:tcPr>
            <w:tcW w:w="1170" w:type="dxa"/>
            <w:shd w:val="clear" w:color="auto" w:fill="auto"/>
          </w:tcPr>
          <w:p w:rsidRPr="00355763" w:rsidR="00E97354" w:rsidP="00AF5E94" w:rsidRDefault="00E97354" w14:paraId="584979D2" w14:textId="77777777">
            <w:pPr>
              <w:contextualSpacing/>
              <w:jc w:val="right"/>
              <w:rPr>
                <w:sz w:val="21"/>
                <w:szCs w:val="21"/>
              </w:rPr>
            </w:pPr>
          </w:p>
        </w:tc>
        <w:tc>
          <w:tcPr>
            <w:tcW w:w="1350" w:type="dxa"/>
            <w:shd w:val="clear" w:color="auto" w:fill="auto"/>
          </w:tcPr>
          <w:p w:rsidRPr="00355763" w:rsidR="00E97354" w:rsidP="00AF5E94" w:rsidRDefault="00E97354" w14:paraId="15D34D93" w14:textId="77777777">
            <w:pPr>
              <w:contextualSpacing/>
              <w:jc w:val="right"/>
              <w:rPr>
                <w:sz w:val="21"/>
                <w:szCs w:val="21"/>
              </w:rPr>
            </w:pPr>
          </w:p>
        </w:tc>
        <w:tc>
          <w:tcPr>
            <w:tcW w:w="1170" w:type="dxa"/>
            <w:shd w:val="clear" w:color="auto" w:fill="auto"/>
          </w:tcPr>
          <w:p w:rsidRPr="00355763" w:rsidR="00E97354" w:rsidP="00AF5E94" w:rsidRDefault="00E97354" w14:paraId="6653C389" w14:textId="77777777">
            <w:pPr>
              <w:contextualSpacing/>
              <w:jc w:val="right"/>
              <w:rPr>
                <w:sz w:val="21"/>
                <w:szCs w:val="21"/>
              </w:rPr>
            </w:pPr>
            <w:r w:rsidRPr="00355763">
              <w:rPr>
                <w:noProof/>
                <w:sz w:val="21"/>
                <w:szCs w:val="21"/>
              </w:rPr>
              <w:t>211,464</w:t>
            </w:r>
          </w:p>
        </w:tc>
        <w:tc>
          <w:tcPr>
            <w:tcW w:w="1080" w:type="dxa"/>
            <w:shd w:val="clear" w:color="auto" w:fill="auto"/>
          </w:tcPr>
          <w:p w:rsidRPr="00355763" w:rsidR="00E97354" w:rsidP="00AF5E94" w:rsidRDefault="00E97354" w14:paraId="36815562" w14:textId="77777777">
            <w:pPr>
              <w:contextualSpacing/>
              <w:jc w:val="right"/>
              <w:rPr>
                <w:sz w:val="21"/>
                <w:szCs w:val="21"/>
              </w:rPr>
            </w:pPr>
          </w:p>
        </w:tc>
        <w:tc>
          <w:tcPr>
            <w:tcW w:w="1080" w:type="dxa"/>
            <w:shd w:val="clear" w:color="auto" w:fill="auto"/>
          </w:tcPr>
          <w:p w:rsidRPr="00355763" w:rsidR="00E97354" w:rsidP="00AF5E94" w:rsidRDefault="00E97354" w14:paraId="1AB558AF" w14:textId="77777777">
            <w:pPr>
              <w:contextualSpacing/>
              <w:jc w:val="right"/>
              <w:rPr>
                <w:sz w:val="21"/>
                <w:szCs w:val="21"/>
              </w:rPr>
            </w:pPr>
            <w:r w:rsidRPr="00355763">
              <w:rPr>
                <w:noProof/>
                <w:sz w:val="21"/>
                <w:szCs w:val="21"/>
              </w:rPr>
              <w:t>2,035,149</w:t>
            </w:r>
          </w:p>
        </w:tc>
      </w:tr>
    </w:tbl>
    <w:p w:rsidR="00355763" w:rsidP="00355763" w:rsidRDefault="00355763" w14:paraId="5FE89ECD" w14:textId="62AE2432">
      <w:pPr>
        <w:keepNext/>
        <w:ind w:left="302"/>
        <w:contextualSpacing/>
        <w:jc w:val="center"/>
      </w:pPr>
    </w:p>
    <w:p w:rsidR="001042A1" w:rsidP="00355763" w:rsidRDefault="001042A1" w14:paraId="4DAF7777" w14:textId="77777777">
      <w:pPr>
        <w:keepNext/>
        <w:ind w:left="302"/>
        <w:contextualSpacing/>
        <w:jc w:val="center"/>
      </w:pPr>
    </w:p>
    <w:p w:rsidR="00355763" w:rsidP="00355763" w:rsidRDefault="00355763" w14:paraId="7A21002D" w14:textId="706A0EA4">
      <w:pPr>
        <w:keepNext/>
        <w:ind w:left="302"/>
        <w:contextualSpacing/>
        <w:jc w:val="center"/>
        <w:rPr>
          <w:rFonts w:ascii="Arial" w:hAnsi="Arial" w:eastAsia="Arial" w:cs="Arial"/>
          <w:sz w:val="15"/>
          <w:szCs w:val="15"/>
        </w:rPr>
      </w:pPr>
      <w:r>
        <w:t>Table 2.--Estimated Annual Recordkeeping Burden</w:t>
      </w:r>
    </w:p>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40"/>
        <w:gridCol w:w="1350"/>
        <w:gridCol w:w="1260"/>
        <w:gridCol w:w="1170"/>
        <w:gridCol w:w="1350"/>
        <w:gridCol w:w="1170"/>
      </w:tblGrid>
      <w:tr w:rsidR="001F5CD4" w:rsidTr="00655B51" w14:paraId="0B4C4F8A" w14:textId="77777777">
        <w:trPr>
          <w:trHeight w:val="674"/>
          <w:tblHeader/>
        </w:trPr>
        <w:tc>
          <w:tcPr>
            <w:tcW w:w="3240" w:type="dxa"/>
            <w:shd w:val="clear" w:color="auto" w:fill="auto"/>
          </w:tcPr>
          <w:p w:rsidRPr="001F5CD4" w:rsidR="00355763" w:rsidP="00AF5E94" w:rsidRDefault="00355763" w14:paraId="5F10B927" w14:textId="22923F66">
            <w:pPr>
              <w:keepNext/>
              <w:contextualSpacing/>
              <w:jc w:val="center"/>
              <w:rPr>
                <w:sz w:val="18"/>
                <w:szCs w:val="18"/>
              </w:rPr>
            </w:pPr>
            <w:r w:rsidRPr="001F5CD4">
              <w:rPr>
                <w:sz w:val="18"/>
                <w:szCs w:val="18"/>
              </w:rPr>
              <w:t>Authority</w:t>
            </w:r>
            <w:r w:rsidR="008D4F29">
              <w:rPr>
                <w:sz w:val="18"/>
                <w:szCs w:val="18"/>
              </w:rPr>
              <w:t xml:space="preserve"> Citation/Reference</w:t>
            </w:r>
            <w:r w:rsidRPr="001F5CD4">
              <w:rPr>
                <w:sz w:val="18"/>
                <w:szCs w:val="18"/>
              </w:rPr>
              <w:t>;</w:t>
            </w:r>
          </w:p>
          <w:p w:rsidRPr="001F5CD4" w:rsidR="00355763" w:rsidP="00AF5E94" w:rsidRDefault="00355763" w14:paraId="1F9C0248" w14:textId="77777777">
            <w:pPr>
              <w:keepNext/>
              <w:contextualSpacing/>
              <w:jc w:val="center"/>
              <w:rPr>
                <w:sz w:val="18"/>
                <w:szCs w:val="18"/>
              </w:rPr>
            </w:pPr>
            <w:r w:rsidRPr="001F5CD4">
              <w:rPr>
                <w:sz w:val="18"/>
                <w:szCs w:val="18"/>
              </w:rPr>
              <w:t xml:space="preserve"> IC Activity</w:t>
            </w:r>
          </w:p>
        </w:tc>
        <w:tc>
          <w:tcPr>
            <w:tcW w:w="1350" w:type="dxa"/>
            <w:shd w:val="clear" w:color="auto" w:fill="auto"/>
          </w:tcPr>
          <w:p w:rsidRPr="001F5CD4" w:rsidR="00355763" w:rsidP="00AF5E94" w:rsidRDefault="00355763" w14:paraId="3F105A53" w14:textId="77777777">
            <w:pPr>
              <w:keepNext/>
              <w:contextualSpacing/>
              <w:jc w:val="center"/>
              <w:rPr>
                <w:sz w:val="18"/>
                <w:szCs w:val="18"/>
              </w:rPr>
            </w:pPr>
            <w:r w:rsidRPr="001F5CD4">
              <w:rPr>
                <w:sz w:val="18"/>
                <w:szCs w:val="18"/>
              </w:rPr>
              <w:t>No. of Recordkeepers</w:t>
            </w:r>
          </w:p>
        </w:tc>
        <w:tc>
          <w:tcPr>
            <w:tcW w:w="1260" w:type="dxa"/>
            <w:shd w:val="clear" w:color="auto" w:fill="auto"/>
          </w:tcPr>
          <w:p w:rsidRPr="001F5CD4" w:rsidR="00355763" w:rsidP="00AF5E94" w:rsidRDefault="00355763" w14:paraId="7165F7A5" w14:textId="7CF4E12F">
            <w:pPr>
              <w:keepNext/>
              <w:contextualSpacing/>
              <w:jc w:val="center"/>
              <w:rPr>
                <w:bCs/>
                <w:sz w:val="18"/>
                <w:szCs w:val="18"/>
              </w:rPr>
            </w:pPr>
            <w:r w:rsidRPr="001F5CD4">
              <w:rPr>
                <w:bCs/>
                <w:sz w:val="18"/>
                <w:szCs w:val="18"/>
              </w:rPr>
              <w:t xml:space="preserve">Records per </w:t>
            </w:r>
            <w:r w:rsidRPr="001F5CD4" w:rsidR="003E00A1">
              <w:rPr>
                <w:bCs/>
                <w:sz w:val="18"/>
                <w:szCs w:val="18"/>
              </w:rPr>
              <w:t>Re</w:t>
            </w:r>
            <w:r w:rsidRPr="001F5CD4" w:rsidR="0032531E">
              <w:rPr>
                <w:bCs/>
                <w:sz w:val="18"/>
                <w:szCs w:val="18"/>
              </w:rPr>
              <w:t>cordkeeper</w:t>
            </w:r>
          </w:p>
        </w:tc>
        <w:tc>
          <w:tcPr>
            <w:tcW w:w="1170" w:type="dxa"/>
            <w:shd w:val="clear" w:color="auto" w:fill="auto"/>
          </w:tcPr>
          <w:p w:rsidRPr="001F5CD4" w:rsidR="00355763" w:rsidP="00AF5E94" w:rsidRDefault="00355763" w14:paraId="6FDA5872" w14:textId="77777777">
            <w:pPr>
              <w:keepNext/>
              <w:contextualSpacing/>
              <w:jc w:val="center"/>
              <w:rPr>
                <w:sz w:val="18"/>
                <w:szCs w:val="18"/>
              </w:rPr>
            </w:pPr>
            <w:r w:rsidRPr="001F5CD4">
              <w:rPr>
                <w:sz w:val="18"/>
                <w:szCs w:val="18"/>
              </w:rPr>
              <w:t>Total Annual Records</w:t>
            </w:r>
          </w:p>
        </w:tc>
        <w:tc>
          <w:tcPr>
            <w:tcW w:w="1350" w:type="dxa"/>
            <w:shd w:val="clear" w:color="auto" w:fill="auto"/>
          </w:tcPr>
          <w:p w:rsidRPr="001F5CD4" w:rsidR="00355763" w:rsidP="00AF5E94" w:rsidRDefault="00355763" w14:paraId="267FEFA6" w14:textId="77777777">
            <w:pPr>
              <w:keepNext/>
              <w:contextualSpacing/>
              <w:jc w:val="center"/>
              <w:rPr>
                <w:sz w:val="18"/>
                <w:szCs w:val="18"/>
              </w:rPr>
            </w:pPr>
            <w:r w:rsidRPr="001F5CD4">
              <w:rPr>
                <w:bCs/>
                <w:sz w:val="18"/>
                <w:szCs w:val="18"/>
              </w:rPr>
              <w:t xml:space="preserve">Avg. Burden per Recordkeeping </w:t>
            </w:r>
          </w:p>
        </w:tc>
        <w:tc>
          <w:tcPr>
            <w:tcW w:w="1170" w:type="dxa"/>
            <w:shd w:val="clear" w:color="auto" w:fill="auto"/>
          </w:tcPr>
          <w:p w:rsidRPr="001F5CD4" w:rsidR="00355763" w:rsidP="00AF5E94" w:rsidRDefault="00355763" w14:paraId="15196BE1" w14:textId="77777777">
            <w:pPr>
              <w:keepNext/>
              <w:contextualSpacing/>
              <w:jc w:val="center"/>
              <w:rPr>
                <w:sz w:val="18"/>
                <w:szCs w:val="18"/>
              </w:rPr>
            </w:pPr>
            <w:r w:rsidRPr="001F5CD4">
              <w:rPr>
                <w:sz w:val="18"/>
                <w:szCs w:val="18"/>
              </w:rPr>
              <w:t>Total Hours</w:t>
            </w:r>
          </w:p>
        </w:tc>
      </w:tr>
      <w:tr w:rsidR="001F5CD4" w:rsidTr="00655B51" w14:paraId="0DF51255" w14:textId="77777777">
        <w:trPr>
          <w:trHeight w:val="314"/>
        </w:trPr>
        <w:tc>
          <w:tcPr>
            <w:tcW w:w="3240" w:type="dxa"/>
            <w:shd w:val="clear" w:color="auto" w:fill="auto"/>
          </w:tcPr>
          <w:p w:rsidRPr="003E00A1" w:rsidR="00355763" w:rsidP="00AF5E94" w:rsidRDefault="00355763" w14:paraId="09940879" w14:textId="77777777">
            <w:pPr>
              <w:keepNext/>
              <w:contextualSpacing/>
              <w:rPr>
                <w:sz w:val="21"/>
                <w:szCs w:val="21"/>
              </w:rPr>
            </w:pPr>
            <w:r w:rsidRPr="003E00A1">
              <w:rPr>
                <w:sz w:val="21"/>
                <w:szCs w:val="21"/>
              </w:rPr>
              <w:t>310.305; AER records – prescription products not the subject of a marketing application</w:t>
            </w:r>
          </w:p>
        </w:tc>
        <w:tc>
          <w:tcPr>
            <w:tcW w:w="1350" w:type="dxa"/>
            <w:shd w:val="clear" w:color="auto" w:fill="auto"/>
          </w:tcPr>
          <w:p w:rsidRPr="003E00A1" w:rsidR="00355763" w:rsidP="00AF5E94" w:rsidRDefault="00355763" w14:paraId="0F15CB4C" w14:textId="77777777">
            <w:pPr>
              <w:keepNext/>
              <w:contextualSpacing/>
              <w:jc w:val="right"/>
              <w:rPr>
                <w:sz w:val="21"/>
                <w:szCs w:val="21"/>
              </w:rPr>
            </w:pPr>
            <w:r w:rsidRPr="003E00A1">
              <w:rPr>
                <w:sz w:val="21"/>
                <w:szCs w:val="21"/>
              </w:rPr>
              <w:t>25</w:t>
            </w:r>
          </w:p>
        </w:tc>
        <w:tc>
          <w:tcPr>
            <w:tcW w:w="1260" w:type="dxa"/>
            <w:shd w:val="clear" w:color="auto" w:fill="auto"/>
          </w:tcPr>
          <w:p w:rsidRPr="003E00A1" w:rsidR="00355763" w:rsidP="00AF5E94" w:rsidRDefault="00355763" w14:paraId="5224E512" w14:textId="77777777">
            <w:pPr>
              <w:keepNext/>
              <w:contextualSpacing/>
              <w:jc w:val="right"/>
              <w:rPr>
                <w:sz w:val="21"/>
                <w:szCs w:val="21"/>
              </w:rPr>
            </w:pPr>
            <w:r w:rsidRPr="003E00A1">
              <w:rPr>
                <w:sz w:val="21"/>
                <w:szCs w:val="21"/>
              </w:rPr>
              <w:t>1</w:t>
            </w:r>
          </w:p>
        </w:tc>
        <w:tc>
          <w:tcPr>
            <w:tcW w:w="1170" w:type="dxa"/>
            <w:shd w:val="clear" w:color="auto" w:fill="auto"/>
          </w:tcPr>
          <w:p w:rsidRPr="003E00A1" w:rsidR="00355763" w:rsidP="00AF5E94" w:rsidRDefault="00355763" w14:paraId="6C74C1CC" w14:textId="77777777">
            <w:pPr>
              <w:keepNext/>
              <w:contextualSpacing/>
              <w:jc w:val="right"/>
              <w:rPr>
                <w:sz w:val="21"/>
                <w:szCs w:val="21"/>
              </w:rPr>
            </w:pPr>
            <w:r w:rsidRPr="003E00A1">
              <w:rPr>
                <w:sz w:val="21"/>
                <w:szCs w:val="21"/>
              </w:rPr>
              <w:t>25</w:t>
            </w:r>
          </w:p>
        </w:tc>
        <w:tc>
          <w:tcPr>
            <w:tcW w:w="1350" w:type="dxa"/>
            <w:shd w:val="clear" w:color="auto" w:fill="auto"/>
          </w:tcPr>
          <w:p w:rsidRPr="003E00A1" w:rsidR="00355763" w:rsidP="00AF5E94" w:rsidRDefault="00355763" w14:paraId="563B9C47" w14:textId="77777777">
            <w:pPr>
              <w:keepNext/>
              <w:contextualSpacing/>
              <w:jc w:val="right"/>
              <w:rPr>
                <w:sz w:val="21"/>
                <w:szCs w:val="21"/>
              </w:rPr>
            </w:pPr>
            <w:r w:rsidRPr="003E00A1">
              <w:rPr>
                <w:sz w:val="21"/>
                <w:szCs w:val="21"/>
              </w:rPr>
              <w:t>16</w:t>
            </w:r>
          </w:p>
        </w:tc>
        <w:tc>
          <w:tcPr>
            <w:tcW w:w="1170" w:type="dxa"/>
            <w:shd w:val="clear" w:color="auto" w:fill="auto"/>
          </w:tcPr>
          <w:p w:rsidRPr="003E00A1" w:rsidR="00355763" w:rsidP="00AF5E94" w:rsidRDefault="00355763" w14:paraId="47E742A8" w14:textId="77777777">
            <w:pPr>
              <w:keepNext/>
              <w:contextualSpacing/>
              <w:jc w:val="right"/>
              <w:rPr>
                <w:sz w:val="21"/>
                <w:szCs w:val="21"/>
              </w:rPr>
            </w:pPr>
            <w:r w:rsidRPr="003E00A1">
              <w:rPr>
                <w:sz w:val="21"/>
                <w:szCs w:val="21"/>
              </w:rPr>
              <w:t>400</w:t>
            </w:r>
          </w:p>
        </w:tc>
      </w:tr>
      <w:tr w:rsidR="001F5CD4" w:rsidTr="00655B51" w14:paraId="121273C9" w14:textId="77777777">
        <w:trPr>
          <w:trHeight w:val="368"/>
        </w:trPr>
        <w:tc>
          <w:tcPr>
            <w:tcW w:w="3240" w:type="dxa"/>
            <w:shd w:val="clear" w:color="auto" w:fill="auto"/>
          </w:tcPr>
          <w:p w:rsidRPr="003E00A1" w:rsidR="00355763" w:rsidP="00AF5E94" w:rsidRDefault="00355763" w14:paraId="0DCCFE8E" w14:textId="77777777">
            <w:pPr>
              <w:keepNext/>
              <w:contextualSpacing/>
              <w:rPr>
                <w:sz w:val="21"/>
                <w:szCs w:val="21"/>
              </w:rPr>
            </w:pPr>
            <w:r w:rsidRPr="003E00A1">
              <w:rPr>
                <w:sz w:val="21"/>
                <w:szCs w:val="21"/>
              </w:rPr>
              <w:t>314.80(j); AER records – products associated w/marketing application</w:t>
            </w:r>
          </w:p>
        </w:tc>
        <w:tc>
          <w:tcPr>
            <w:tcW w:w="1350" w:type="dxa"/>
            <w:shd w:val="clear" w:color="auto" w:fill="auto"/>
          </w:tcPr>
          <w:p w:rsidRPr="003E00A1" w:rsidR="00355763" w:rsidP="00AF5E94" w:rsidRDefault="00355763" w14:paraId="0C4E3F7E" w14:textId="77777777">
            <w:pPr>
              <w:keepNext/>
              <w:contextualSpacing/>
              <w:jc w:val="right"/>
              <w:rPr>
                <w:sz w:val="21"/>
                <w:szCs w:val="21"/>
              </w:rPr>
            </w:pPr>
            <w:r w:rsidRPr="003E00A1">
              <w:rPr>
                <w:sz w:val="21"/>
                <w:szCs w:val="21"/>
              </w:rPr>
              <w:t>352</w:t>
            </w:r>
          </w:p>
        </w:tc>
        <w:tc>
          <w:tcPr>
            <w:tcW w:w="1260" w:type="dxa"/>
            <w:shd w:val="clear" w:color="auto" w:fill="auto"/>
          </w:tcPr>
          <w:p w:rsidRPr="003E00A1" w:rsidR="00355763" w:rsidP="00AF5E94" w:rsidRDefault="00355763" w14:paraId="30E67734" w14:textId="77777777">
            <w:pPr>
              <w:keepNext/>
              <w:contextualSpacing/>
              <w:jc w:val="right"/>
              <w:rPr>
                <w:sz w:val="21"/>
                <w:szCs w:val="21"/>
              </w:rPr>
            </w:pPr>
            <w:r w:rsidRPr="003E00A1">
              <w:rPr>
                <w:sz w:val="21"/>
                <w:szCs w:val="21"/>
              </w:rPr>
              <w:t>1870</w:t>
            </w:r>
          </w:p>
        </w:tc>
        <w:tc>
          <w:tcPr>
            <w:tcW w:w="1170" w:type="dxa"/>
            <w:shd w:val="clear" w:color="auto" w:fill="auto"/>
          </w:tcPr>
          <w:p w:rsidRPr="003E00A1" w:rsidR="00355763" w:rsidP="00AF5E94" w:rsidRDefault="00355763" w14:paraId="1477C2BC" w14:textId="77777777">
            <w:pPr>
              <w:keepNext/>
              <w:contextualSpacing/>
              <w:jc w:val="right"/>
              <w:rPr>
                <w:sz w:val="21"/>
                <w:szCs w:val="21"/>
              </w:rPr>
            </w:pPr>
            <w:r w:rsidRPr="003E00A1">
              <w:rPr>
                <w:sz w:val="21"/>
                <w:szCs w:val="21"/>
              </w:rPr>
              <w:t>658,240</w:t>
            </w:r>
          </w:p>
        </w:tc>
        <w:tc>
          <w:tcPr>
            <w:tcW w:w="1350" w:type="dxa"/>
            <w:shd w:val="clear" w:color="auto" w:fill="auto"/>
          </w:tcPr>
          <w:p w:rsidRPr="003E00A1" w:rsidR="00355763" w:rsidP="00AF5E94" w:rsidRDefault="00355763" w14:paraId="51766CA7" w14:textId="77777777">
            <w:pPr>
              <w:keepNext/>
              <w:contextualSpacing/>
              <w:jc w:val="right"/>
              <w:rPr>
                <w:sz w:val="21"/>
                <w:szCs w:val="21"/>
              </w:rPr>
            </w:pPr>
            <w:r w:rsidRPr="003E00A1">
              <w:rPr>
                <w:sz w:val="21"/>
                <w:szCs w:val="21"/>
              </w:rPr>
              <w:t>16</w:t>
            </w:r>
          </w:p>
        </w:tc>
        <w:tc>
          <w:tcPr>
            <w:tcW w:w="1170" w:type="dxa"/>
            <w:shd w:val="clear" w:color="auto" w:fill="auto"/>
          </w:tcPr>
          <w:p w:rsidRPr="003E00A1" w:rsidR="00355763" w:rsidP="00AF5E94" w:rsidRDefault="00355763" w14:paraId="47333203" w14:textId="77777777">
            <w:pPr>
              <w:keepNext/>
              <w:contextualSpacing/>
              <w:jc w:val="right"/>
              <w:rPr>
                <w:sz w:val="21"/>
                <w:szCs w:val="21"/>
              </w:rPr>
            </w:pPr>
            <w:r w:rsidRPr="003E00A1">
              <w:rPr>
                <w:sz w:val="21"/>
                <w:szCs w:val="21"/>
              </w:rPr>
              <w:t>10,531,840</w:t>
            </w:r>
          </w:p>
        </w:tc>
      </w:tr>
      <w:tr w:rsidR="001F5CD4" w:rsidTr="00655B51" w14:paraId="532DA290" w14:textId="77777777">
        <w:trPr>
          <w:trHeight w:val="467"/>
        </w:trPr>
        <w:tc>
          <w:tcPr>
            <w:tcW w:w="3240" w:type="dxa"/>
            <w:shd w:val="clear" w:color="auto" w:fill="auto"/>
          </w:tcPr>
          <w:p w:rsidRPr="003E00A1" w:rsidR="00355763" w:rsidP="00AF5E94" w:rsidRDefault="00355763" w14:paraId="68F09F90" w14:textId="77777777">
            <w:pPr>
              <w:keepNext/>
              <w:contextualSpacing/>
              <w:rPr>
                <w:sz w:val="21"/>
                <w:szCs w:val="21"/>
              </w:rPr>
            </w:pPr>
            <w:r w:rsidRPr="003E00A1">
              <w:rPr>
                <w:sz w:val="21"/>
                <w:szCs w:val="21"/>
              </w:rPr>
              <w:t xml:space="preserve">FD&amp;C Act sec.760(e)(1); GFI:  </w:t>
            </w:r>
            <w:r w:rsidRPr="003E00A1">
              <w:rPr>
                <w:i/>
                <w:iCs/>
                <w:sz w:val="21"/>
                <w:szCs w:val="21"/>
              </w:rPr>
              <w:t>Postmarket AER for Nonprescription Drug Products</w:t>
            </w:r>
            <w:r w:rsidRPr="003E00A1">
              <w:rPr>
                <w:sz w:val="21"/>
                <w:szCs w:val="21"/>
              </w:rPr>
              <w:t xml:space="preserve"> (329.100)</w:t>
            </w:r>
          </w:p>
        </w:tc>
        <w:tc>
          <w:tcPr>
            <w:tcW w:w="1350" w:type="dxa"/>
            <w:shd w:val="clear" w:color="auto" w:fill="auto"/>
          </w:tcPr>
          <w:p w:rsidRPr="003E00A1" w:rsidR="00355763" w:rsidP="00AF5E94" w:rsidRDefault="00355763" w14:paraId="72264455" w14:textId="77777777">
            <w:pPr>
              <w:keepNext/>
              <w:contextualSpacing/>
              <w:jc w:val="right"/>
              <w:rPr>
                <w:sz w:val="21"/>
                <w:szCs w:val="21"/>
              </w:rPr>
            </w:pPr>
            <w:r w:rsidRPr="003E00A1">
              <w:rPr>
                <w:sz w:val="21"/>
                <w:szCs w:val="21"/>
              </w:rPr>
              <w:t>300</w:t>
            </w:r>
          </w:p>
        </w:tc>
        <w:tc>
          <w:tcPr>
            <w:tcW w:w="1260" w:type="dxa"/>
            <w:shd w:val="clear" w:color="auto" w:fill="auto"/>
          </w:tcPr>
          <w:p w:rsidRPr="003E00A1" w:rsidR="00355763" w:rsidP="00AF5E94" w:rsidRDefault="00355763" w14:paraId="411855BC" w14:textId="77777777">
            <w:pPr>
              <w:keepNext/>
              <w:contextualSpacing/>
              <w:jc w:val="right"/>
              <w:rPr>
                <w:sz w:val="21"/>
                <w:szCs w:val="21"/>
              </w:rPr>
            </w:pPr>
            <w:r w:rsidRPr="003E00A1">
              <w:rPr>
                <w:sz w:val="21"/>
                <w:szCs w:val="21"/>
              </w:rPr>
              <w:t>885.6667</w:t>
            </w:r>
          </w:p>
        </w:tc>
        <w:tc>
          <w:tcPr>
            <w:tcW w:w="1170" w:type="dxa"/>
            <w:shd w:val="clear" w:color="auto" w:fill="auto"/>
          </w:tcPr>
          <w:p w:rsidRPr="003E00A1" w:rsidR="00355763" w:rsidP="00AF5E94" w:rsidRDefault="00355763" w14:paraId="5D9DD3A7" w14:textId="77777777">
            <w:pPr>
              <w:keepNext/>
              <w:contextualSpacing/>
              <w:jc w:val="right"/>
              <w:rPr>
                <w:sz w:val="21"/>
                <w:szCs w:val="21"/>
              </w:rPr>
            </w:pPr>
            <w:r w:rsidRPr="003E00A1">
              <w:rPr>
                <w:sz w:val="21"/>
                <w:szCs w:val="21"/>
              </w:rPr>
              <w:t>265,700</w:t>
            </w:r>
          </w:p>
        </w:tc>
        <w:tc>
          <w:tcPr>
            <w:tcW w:w="1350" w:type="dxa"/>
            <w:shd w:val="clear" w:color="auto" w:fill="auto"/>
          </w:tcPr>
          <w:p w:rsidRPr="003E00A1" w:rsidR="00355763" w:rsidP="00AF5E94" w:rsidRDefault="00355763" w14:paraId="0ACD9D04" w14:textId="77777777">
            <w:pPr>
              <w:keepNext/>
              <w:contextualSpacing/>
              <w:jc w:val="right"/>
              <w:rPr>
                <w:sz w:val="21"/>
                <w:szCs w:val="21"/>
              </w:rPr>
            </w:pPr>
            <w:r w:rsidRPr="003E00A1">
              <w:rPr>
                <w:sz w:val="21"/>
                <w:szCs w:val="21"/>
              </w:rPr>
              <w:t>8</w:t>
            </w:r>
          </w:p>
        </w:tc>
        <w:tc>
          <w:tcPr>
            <w:tcW w:w="1170" w:type="dxa"/>
            <w:shd w:val="clear" w:color="auto" w:fill="auto"/>
          </w:tcPr>
          <w:p w:rsidRPr="003E00A1" w:rsidR="00355763" w:rsidP="00AF5E94" w:rsidRDefault="00355763" w14:paraId="0D0D52C9" w14:textId="77777777">
            <w:pPr>
              <w:keepNext/>
              <w:contextualSpacing/>
              <w:jc w:val="right"/>
              <w:rPr>
                <w:sz w:val="21"/>
                <w:szCs w:val="21"/>
              </w:rPr>
            </w:pPr>
            <w:r w:rsidRPr="003E00A1">
              <w:rPr>
                <w:sz w:val="21"/>
                <w:szCs w:val="21"/>
              </w:rPr>
              <w:t>2,125,600</w:t>
            </w:r>
          </w:p>
        </w:tc>
      </w:tr>
      <w:tr w:rsidR="001F5CD4" w:rsidTr="00655B51" w14:paraId="19BB3BCD" w14:textId="77777777">
        <w:trPr>
          <w:trHeight w:val="467"/>
        </w:trPr>
        <w:tc>
          <w:tcPr>
            <w:tcW w:w="3240" w:type="dxa"/>
            <w:shd w:val="clear" w:color="auto" w:fill="auto"/>
          </w:tcPr>
          <w:p w:rsidRPr="003E00A1" w:rsidR="00355763" w:rsidP="00AF5E94" w:rsidRDefault="00355763" w14:paraId="18C25B56" w14:textId="67BCA91F">
            <w:pPr>
              <w:keepNext/>
              <w:contextualSpacing/>
              <w:rPr>
                <w:sz w:val="21"/>
                <w:szCs w:val="21"/>
              </w:rPr>
            </w:pPr>
            <w:r w:rsidRPr="003E00A1">
              <w:rPr>
                <w:i/>
                <w:iCs/>
                <w:sz w:val="21"/>
                <w:szCs w:val="21"/>
              </w:rPr>
              <w:t>AER During Pandemic</w:t>
            </w:r>
            <w:r w:rsidRPr="003E00A1">
              <w:rPr>
                <w:sz w:val="21"/>
                <w:szCs w:val="21"/>
              </w:rPr>
              <w:t>; Continuity of Operations Planning</w:t>
            </w:r>
          </w:p>
        </w:tc>
        <w:tc>
          <w:tcPr>
            <w:tcW w:w="1350" w:type="dxa"/>
            <w:shd w:val="clear" w:color="auto" w:fill="auto"/>
          </w:tcPr>
          <w:p w:rsidRPr="003E00A1" w:rsidR="00355763" w:rsidP="00AF5E94" w:rsidRDefault="00355763" w14:paraId="7336B0BB" w14:textId="77777777">
            <w:pPr>
              <w:keepNext/>
              <w:contextualSpacing/>
              <w:jc w:val="right"/>
              <w:rPr>
                <w:sz w:val="21"/>
                <w:szCs w:val="21"/>
              </w:rPr>
            </w:pPr>
            <w:r w:rsidRPr="003E00A1">
              <w:rPr>
                <w:sz w:val="21"/>
                <w:szCs w:val="21"/>
              </w:rPr>
              <w:t>100</w:t>
            </w:r>
          </w:p>
        </w:tc>
        <w:tc>
          <w:tcPr>
            <w:tcW w:w="1260" w:type="dxa"/>
            <w:shd w:val="clear" w:color="auto" w:fill="auto"/>
          </w:tcPr>
          <w:p w:rsidRPr="003E00A1" w:rsidR="00355763" w:rsidP="00AF5E94" w:rsidRDefault="00355763" w14:paraId="1426E282" w14:textId="77777777">
            <w:pPr>
              <w:keepNext/>
              <w:contextualSpacing/>
              <w:jc w:val="right"/>
              <w:rPr>
                <w:sz w:val="21"/>
                <w:szCs w:val="21"/>
              </w:rPr>
            </w:pPr>
            <w:r w:rsidRPr="003E00A1">
              <w:rPr>
                <w:sz w:val="21"/>
                <w:szCs w:val="21"/>
              </w:rPr>
              <w:t>1</w:t>
            </w:r>
          </w:p>
        </w:tc>
        <w:tc>
          <w:tcPr>
            <w:tcW w:w="1170" w:type="dxa"/>
            <w:shd w:val="clear" w:color="auto" w:fill="auto"/>
          </w:tcPr>
          <w:p w:rsidRPr="003E00A1" w:rsidR="00355763" w:rsidP="00AF5E94" w:rsidRDefault="00355763" w14:paraId="32CC5059" w14:textId="77777777">
            <w:pPr>
              <w:keepNext/>
              <w:contextualSpacing/>
              <w:jc w:val="right"/>
              <w:rPr>
                <w:sz w:val="21"/>
                <w:szCs w:val="21"/>
              </w:rPr>
            </w:pPr>
            <w:r w:rsidRPr="003E00A1">
              <w:rPr>
                <w:sz w:val="21"/>
                <w:szCs w:val="21"/>
              </w:rPr>
              <w:t>100</w:t>
            </w:r>
          </w:p>
        </w:tc>
        <w:tc>
          <w:tcPr>
            <w:tcW w:w="1350" w:type="dxa"/>
            <w:shd w:val="clear" w:color="auto" w:fill="auto"/>
          </w:tcPr>
          <w:p w:rsidRPr="003E00A1" w:rsidR="00355763" w:rsidP="00AF5E94" w:rsidRDefault="00355763" w14:paraId="633325DF" w14:textId="77777777">
            <w:pPr>
              <w:keepNext/>
              <w:contextualSpacing/>
              <w:jc w:val="right"/>
              <w:rPr>
                <w:sz w:val="21"/>
                <w:szCs w:val="21"/>
              </w:rPr>
            </w:pPr>
            <w:r w:rsidRPr="003E00A1">
              <w:rPr>
                <w:sz w:val="21"/>
                <w:szCs w:val="21"/>
              </w:rPr>
              <w:t>50</w:t>
            </w:r>
          </w:p>
        </w:tc>
        <w:tc>
          <w:tcPr>
            <w:tcW w:w="1170" w:type="dxa"/>
            <w:shd w:val="clear" w:color="auto" w:fill="auto"/>
          </w:tcPr>
          <w:p w:rsidRPr="003E00A1" w:rsidR="00355763" w:rsidP="00AF5E94" w:rsidRDefault="00355763" w14:paraId="3C40B70D" w14:textId="77777777">
            <w:pPr>
              <w:keepNext/>
              <w:contextualSpacing/>
              <w:jc w:val="right"/>
              <w:rPr>
                <w:sz w:val="21"/>
                <w:szCs w:val="21"/>
              </w:rPr>
            </w:pPr>
            <w:r w:rsidRPr="003E00A1">
              <w:rPr>
                <w:sz w:val="21"/>
                <w:szCs w:val="21"/>
              </w:rPr>
              <w:t>5,000</w:t>
            </w:r>
          </w:p>
        </w:tc>
      </w:tr>
      <w:tr w:rsidR="001F5CD4" w:rsidTr="00655B51" w14:paraId="10C56F4B" w14:textId="77777777">
        <w:trPr>
          <w:trHeight w:val="467"/>
        </w:trPr>
        <w:tc>
          <w:tcPr>
            <w:tcW w:w="3240" w:type="dxa"/>
            <w:shd w:val="clear" w:color="auto" w:fill="auto"/>
          </w:tcPr>
          <w:p w:rsidRPr="003E00A1" w:rsidR="00355763" w:rsidP="00AF5E94" w:rsidRDefault="00355763" w14:paraId="3EF1E54A" w14:textId="4BB102E5">
            <w:pPr>
              <w:keepNext/>
              <w:contextualSpacing/>
              <w:rPr>
                <w:sz w:val="21"/>
                <w:szCs w:val="21"/>
              </w:rPr>
            </w:pPr>
            <w:r w:rsidRPr="003E00A1">
              <w:rPr>
                <w:i/>
                <w:iCs/>
                <w:sz w:val="21"/>
                <w:szCs w:val="21"/>
              </w:rPr>
              <w:t>AER During Pandemic</w:t>
            </w:r>
            <w:r w:rsidRPr="003E00A1">
              <w:rPr>
                <w:sz w:val="21"/>
                <w:szCs w:val="21"/>
              </w:rPr>
              <w:t>; documenting conditions and resultant high absenteeism</w:t>
            </w:r>
          </w:p>
        </w:tc>
        <w:tc>
          <w:tcPr>
            <w:tcW w:w="1350" w:type="dxa"/>
            <w:shd w:val="clear" w:color="auto" w:fill="auto"/>
          </w:tcPr>
          <w:p w:rsidRPr="003E00A1" w:rsidR="00355763" w:rsidP="00AF5E94" w:rsidRDefault="00355763" w14:paraId="60F61C1A" w14:textId="77777777">
            <w:pPr>
              <w:keepNext/>
              <w:contextualSpacing/>
              <w:jc w:val="right"/>
              <w:rPr>
                <w:sz w:val="21"/>
                <w:szCs w:val="21"/>
              </w:rPr>
            </w:pPr>
            <w:r w:rsidRPr="003E00A1">
              <w:rPr>
                <w:sz w:val="21"/>
                <w:szCs w:val="21"/>
              </w:rPr>
              <w:t>350</w:t>
            </w:r>
          </w:p>
        </w:tc>
        <w:tc>
          <w:tcPr>
            <w:tcW w:w="1260" w:type="dxa"/>
            <w:shd w:val="clear" w:color="auto" w:fill="auto"/>
          </w:tcPr>
          <w:p w:rsidRPr="003E00A1" w:rsidR="00355763" w:rsidP="00AF5E94" w:rsidRDefault="00355763" w14:paraId="5CA0F194" w14:textId="77777777">
            <w:pPr>
              <w:keepNext/>
              <w:contextualSpacing/>
              <w:jc w:val="right"/>
              <w:rPr>
                <w:sz w:val="21"/>
                <w:szCs w:val="21"/>
              </w:rPr>
            </w:pPr>
            <w:r w:rsidRPr="003E00A1">
              <w:rPr>
                <w:sz w:val="21"/>
                <w:szCs w:val="21"/>
              </w:rPr>
              <w:t>1</w:t>
            </w:r>
          </w:p>
        </w:tc>
        <w:tc>
          <w:tcPr>
            <w:tcW w:w="1170" w:type="dxa"/>
            <w:shd w:val="clear" w:color="auto" w:fill="auto"/>
          </w:tcPr>
          <w:p w:rsidRPr="003E00A1" w:rsidR="00355763" w:rsidP="00AF5E94" w:rsidRDefault="00355763" w14:paraId="25609654" w14:textId="77777777">
            <w:pPr>
              <w:keepNext/>
              <w:contextualSpacing/>
              <w:jc w:val="right"/>
              <w:rPr>
                <w:sz w:val="21"/>
                <w:szCs w:val="21"/>
              </w:rPr>
            </w:pPr>
            <w:r w:rsidRPr="003E00A1">
              <w:rPr>
                <w:sz w:val="21"/>
                <w:szCs w:val="21"/>
              </w:rPr>
              <w:t>350</w:t>
            </w:r>
          </w:p>
        </w:tc>
        <w:tc>
          <w:tcPr>
            <w:tcW w:w="1350" w:type="dxa"/>
            <w:shd w:val="clear" w:color="auto" w:fill="auto"/>
          </w:tcPr>
          <w:p w:rsidRPr="003E00A1" w:rsidR="00355763" w:rsidP="00AF5E94" w:rsidRDefault="00355763" w14:paraId="0573ED03" w14:textId="77777777">
            <w:pPr>
              <w:keepNext/>
              <w:contextualSpacing/>
              <w:jc w:val="right"/>
              <w:rPr>
                <w:sz w:val="21"/>
                <w:szCs w:val="21"/>
              </w:rPr>
            </w:pPr>
            <w:r w:rsidRPr="003E00A1">
              <w:rPr>
                <w:sz w:val="21"/>
                <w:szCs w:val="21"/>
              </w:rPr>
              <w:t>8</w:t>
            </w:r>
          </w:p>
        </w:tc>
        <w:tc>
          <w:tcPr>
            <w:tcW w:w="1170" w:type="dxa"/>
            <w:shd w:val="clear" w:color="auto" w:fill="auto"/>
          </w:tcPr>
          <w:p w:rsidRPr="003E00A1" w:rsidR="00355763" w:rsidP="00AF5E94" w:rsidRDefault="00355763" w14:paraId="4B582D0F" w14:textId="77777777">
            <w:pPr>
              <w:keepNext/>
              <w:contextualSpacing/>
              <w:jc w:val="right"/>
              <w:rPr>
                <w:sz w:val="21"/>
                <w:szCs w:val="21"/>
              </w:rPr>
            </w:pPr>
            <w:r w:rsidRPr="003E00A1">
              <w:rPr>
                <w:sz w:val="21"/>
                <w:szCs w:val="21"/>
              </w:rPr>
              <w:t>2,800</w:t>
            </w:r>
          </w:p>
        </w:tc>
      </w:tr>
      <w:tr w:rsidR="001F5CD4" w:rsidTr="00655B51" w14:paraId="65904D93" w14:textId="77777777">
        <w:trPr>
          <w:trHeight w:val="467"/>
        </w:trPr>
        <w:tc>
          <w:tcPr>
            <w:tcW w:w="3240" w:type="dxa"/>
            <w:shd w:val="clear" w:color="auto" w:fill="auto"/>
          </w:tcPr>
          <w:p w:rsidRPr="003E00A1" w:rsidR="00355763" w:rsidP="00AF5E94" w:rsidRDefault="00355763" w14:paraId="014B57BB" w14:textId="60C8F5F6">
            <w:pPr>
              <w:keepNext/>
              <w:contextualSpacing/>
              <w:rPr>
                <w:sz w:val="21"/>
                <w:szCs w:val="21"/>
              </w:rPr>
            </w:pPr>
            <w:r w:rsidRPr="003E00A1">
              <w:rPr>
                <w:i/>
                <w:iCs/>
                <w:sz w:val="21"/>
                <w:szCs w:val="21"/>
              </w:rPr>
              <w:t>AER During Pandemic</w:t>
            </w:r>
            <w:r w:rsidRPr="003E00A1">
              <w:rPr>
                <w:sz w:val="21"/>
                <w:szCs w:val="21"/>
              </w:rPr>
              <w:t>; documenting AER process</w:t>
            </w:r>
          </w:p>
        </w:tc>
        <w:tc>
          <w:tcPr>
            <w:tcW w:w="1350" w:type="dxa"/>
            <w:shd w:val="clear" w:color="auto" w:fill="auto"/>
          </w:tcPr>
          <w:p w:rsidRPr="003E00A1" w:rsidR="00355763" w:rsidP="00AF5E94" w:rsidRDefault="00355763" w14:paraId="42715F59" w14:textId="77777777">
            <w:pPr>
              <w:keepNext/>
              <w:contextualSpacing/>
              <w:jc w:val="right"/>
              <w:rPr>
                <w:sz w:val="21"/>
                <w:szCs w:val="21"/>
              </w:rPr>
            </w:pPr>
            <w:r w:rsidRPr="003E00A1">
              <w:rPr>
                <w:sz w:val="21"/>
                <w:szCs w:val="21"/>
              </w:rPr>
              <w:t>350</w:t>
            </w:r>
          </w:p>
        </w:tc>
        <w:tc>
          <w:tcPr>
            <w:tcW w:w="1260" w:type="dxa"/>
            <w:shd w:val="clear" w:color="auto" w:fill="auto"/>
          </w:tcPr>
          <w:p w:rsidRPr="003E00A1" w:rsidR="00355763" w:rsidP="00AF5E94" w:rsidRDefault="00355763" w14:paraId="1263BEF0" w14:textId="77777777">
            <w:pPr>
              <w:keepNext/>
              <w:contextualSpacing/>
              <w:jc w:val="right"/>
              <w:rPr>
                <w:sz w:val="21"/>
                <w:szCs w:val="21"/>
              </w:rPr>
            </w:pPr>
            <w:r w:rsidRPr="003E00A1">
              <w:rPr>
                <w:sz w:val="21"/>
                <w:szCs w:val="21"/>
              </w:rPr>
              <w:t>1</w:t>
            </w:r>
          </w:p>
        </w:tc>
        <w:tc>
          <w:tcPr>
            <w:tcW w:w="1170" w:type="dxa"/>
            <w:shd w:val="clear" w:color="auto" w:fill="auto"/>
          </w:tcPr>
          <w:p w:rsidRPr="003E00A1" w:rsidR="00355763" w:rsidP="00AF5E94" w:rsidRDefault="00355763" w14:paraId="17A0C7D2" w14:textId="77777777">
            <w:pPr>
              <w:keepNext/>
              <w:contextualSpacing/>
              <w:jc w:val="right"/>
              <w:rPr>
                <w:sz w:val="21"/>
                <w:szCs w:val="21"/>
              </w:rPr>
            </w:pPr>
            <w:r w:rsidRPr="003E00A1">
              <w:rPr>
                <w:sz w:val="21"/>
                <w:szCs w:val="21"/>
              </w:rPr>
              <w:t>350</w:t>
            </w:r>
          </w:p>
        </w:tc>
        <w:tc>
          <w:tcPr>
            <w:tcW w:w="1350" w:type="dxa"/>
            <w:shd w:val="clear" w:color="auto" w:fill="auto"/>
          </w:tcPr>
          <w:p w:rsidRPr="003E00A1" w:rsidR="00355763" w:rsidP="00AF5E94" w:rsidRDefault="00355763" w14:paraId="0E1E7379" w14:textId="77777777">
            <w:pPr>
              <w:keepNext/>
              <w:contextualSpacing/>
              <w:jc w:val="right"/>
              <w:rPr>
                <w:sz w:val="21"/>
                <w:szCs w:val="21"/>
              </w:rPr>
            </w:pPr>
            <w:r w:rsidRPr="003E00A1">
              <w:rPr>
                <w:sz w:val="21"/>
                <w:szCs w:val="21"/>
              </w:rPr>
              <w:t>8</w:t>
            </w:r>
          </w:p>
        </w:tc>
        <w:tc>
          <w:tcPr>
            <w:tcW w:w="1170" w:type="dxa"/>
            <w:shd w:val="clear" w:color="auto" w:fill="auto"/>
          </w:tcPr>
          <w:p w:rsidRPr="003E00A1" w:rsidR="00355763" w:rsidP="00AF5E94" w:rsidRDefault="00355763" w14:paraId="41409491" w14:textId="77777777">
            <w:pPr>
              <w:keepNext/>
              <w:contextualSpacing/>
              <w:jc w:val="right"/>
              <w:rPr>
                <w:sz w:val="21"/>
                <w:szCs w:val="21"/>
              </w:rPr>
            </w:pPr>
            <w:r w:rsidRPr="003E00A1">
              <w:rPr>
                <w:sz w:val="21"/>
                <w:szCs w:val="21"/>
              </w:rPr>
              <w:t>2,800</w:t>
            </w:r>
          </w:p>
        </w:tc>
      </w:tr>
      <w:tr w:rsidR="001F5CD4" w:rsidTr="00655B51" w14:paraId="57C864D4" w14:textId="77777777">
        <w:trPr>
          <w:trHeight w:val="269"/>
        </w:trPr>
        <w:tc>
          <w:tcPr>
            <w:tcW w:w="3240" w:type="dxa"/>
            <w:shd w:val="clear" w:color="auto" w:fill="auto"/>
          </w:tcPr>
          <w:p w:rsidRPr="003E00A1" w:rsidR="00355763" w:rsidP="00AF5E94" w:rsidRDefault="00355763" w14:paraId="6BFCE481" w14:textId="77777777">
            <w:pPr>
              <w:keepNext/>
              <w:contextualSpacing/>
              <w:rPr>
                <w:sz w:val="21"/>
                <w:szCs w:val="21"/>
              </w:rPr>
            </w:pPr>
            <w:r w:rsidRPr="003E00A1">
              <w:rPr>
                <w:sz w:val="21"/>
                <w:szCs w:val="21"/>
              </w:rPr>
              <w:t>Total</w:t>
            </w:r>
          </w:p>
        </w:tc>
        <w:tc>
          <w:tcPr>
            <w:tcW w:w="1350" w:type="dxa"/>
            <w:shd w:val="clear" w:color="auto" w:fill="auto"/>
          </w:tcPr>
          <w:p w:rsidRPr="003E00A1" w:rsidR="00355763" w:rsidP="00AF5E94" w:rsidRDefault="00355763" w14:paraId="5FD71C7A" w14:textId="77777777">
            <w:pPr>
              <w:keepNext/>
              <w:contextualSpacing/>
              <w:jc w:val="right"/>
              <w:rPr>
                <w:sz w:val="21"/>
                <w:szCs w:val="21"/>
              </w:rPr>
            </w:pPr>
          </w:p>
        </w:tc>
        <w:tc>
          <w:tcPr>
            <w:tcW w:w="1260" w:type="dxa"/>
            <w:shd w:val="clear" w:color="auto" w:fill="auto"/>
          </w:tcPr>
          <w:p w:rsidRPr="003E00A1" w:rsidR="00355763" w:rsidP="00AF5E94" w:rsidRDefault="00355763" w14:paraId="5A6C58A6" w14:textId="77777777">
            <w:pPr>
              <w:keepNext/>
              <w:contextualSpacing/>
              <w:jc w:val="right"/>
              <w:rPr>
                <w:sz w:val="21"/>
                <w:szCs w:val="21"/>
              </w:rPr>
            </w:pPr>
          </w:p>
        </w:tc>
        <w:tc>
          <w:tcPr>
            <w:tcW w:w="1170" w:type="dxa"/>
            <w:shd w:val="clear" w:color="auto" w:fill="auto"/>
          </w:tcPr>
          <w:p w:rsidRPr="003E00A1" w:rsidR="00355763" w:rsidP="00AF5E94" w:rsidRDefault="00355763" w14:paraId="0991BA77" w14:textId="77777777">
            <w:pPr>
              <w:keepNext/>
              <w:contextualSpacing/>
              <w:jc w:val="right"/>
              <w:rPr>
                <w:sz w:val="21"/>
                <w:szCs w:val="21"/>
              </w:rPr>
            </w:pPr>
            <w:r w:rsidRPr="003E00A1">
              <w:rPr>
                <w:noProof/>
                <w:sz w:val="21"/>
                <w:szCs w:val="21"/>
              </w:rPr>
              <w:t>924,765</w:t>
            </w:r>
          </w:p>
        </w:tc>
        <w:tc>
          <w:tcPr>
            <w:tcW w:w="1350" w:type="dxa"/>
            <w:shd w:val="clear" w:color="auto" w:fill="auto"/>
          </w:tcPr>
          <w:p w:rsidRPr="003E00A1" w:rsidR="00355763" w:rsidP="00AF5E94" w:rsidRDefault="00355763" w14:paraId="36AB18C2" w14:textId="77777777">
            <w:pPr>
              <w:keepNext/>
              <w:contextualSpacing/>
              <w:jc w:val="right"/>
              <w:rPr>
                <w:sz w:val="21"/>
                <w:szCs w:val="21"/>
              </w:rPr>
            </w:pPr>
          </w:p>
        </w:tc>
        <w:tc>
          <w:tcPr>
            <w:tcW w:w="1170" w:type="dxa"/>
            <w:shd w:val="clear" w:color="auto" w:fill="auto"/>
          </w:tcPr>
          <w:p w:rsidRPr="003E00A1" w:rsidR="00355763" w:rsidP="00AF5E94" w:rsidRDefault="00355763" w14:paraId="5CE1A6C9" w14:textId="77777777">
            <w:pPr>
              <w:keepNext/>
              <w:contextualSpacing/>
              <w:jc w:val="right"/>
              <w:rPr>
                <w:sz w:val="21"/>
                <w:szCs w:val="21"/>
              </w:rPr>
            </w:pPr>
            <w:r w:rsidRPr="003E00A1">
              <w:rPr>
                <w:sz w:val="21"/>
                <w:szCs w:val="21"/>
              </w:rPr>
              <w:fldChar w:fldCharType="begin"/>
            </w:r>
            <w:r w:rsidRPr="003E00A1">
              <w:rPr>
                <w:sz w:val="21"/>
                <w:szCs w:val="21"/>
              </w:rPr>
              <w:instrText xml:space="preserve"> =SUM(ABOVE) </w:instrText>
            </w:r>
            <w:r w:rsidRPr="003E00A1">
              <w:rPr>
                <w:sz w:val="21"/>
                <w:szCs w:val="21"/>
              </w:rPr>
              <w:fldChar w:fldCharType="separate"/>
            </w:r>
            <w:r w:rsidRPr="003E00A1">
              <w:rPr>
                <w:noProof/>
                <w:sz w:val="21"/>
                <w:szCs w:val="21"/>
              </w:rPr>
              <w:t>12,668,440</w:t>
            </w:r>
            <w:r w:rsidRPr="003E00A1">
              <w:rPr>
                <w:sz w:val="21"/>
                <w:szCs w:val="21"/>
              </w:rPr>
              <w:fldChar w:fldCharType="end"/>
            </w:r>
          </w:p>
        </w:tc>
      </w:tr>
    </w:tbl>
    <w:p w:rsidR="00355763" w:rsidP="002C3981" w:rsidRDefault="00355763" w14:paraId="68562EBD" w14:textId="77777777">
      <w:pPr>
        <w:ind w:left="0"/>
        <w:contextualSpacing/>
        <w:rPr>
          <w:rFonts w:eastAsia="Arial"/>
          <w:spacing w:val="-1"/>
          <w:sz w:val="20"/>
          <w:szCs w:val="20"/>
        </w:rPr>
      </w:pPr>
    </w:p>
    <w:p w:rsidR="006F0069" w:rsidP="002C3981" w:rsidRDefault="006F0069" w14:paraId="6FD20D25" w14:textId="77777777">
      <w:pPr>
        <w:ind w:left="0"/>
        <w:contextualSpacing/>
        <w:rPr>
          <w:rFonts w:eastAsia="Arial"/>
          <w:spacing w:val="-1"/>
          <w:szCs w:val="24"/>
        </w:rPr>
        <w:sectPr w:rsidR="006F0069" w:rsidSect="003A62D9">
          <w:headerReference w:type="default" r:id="rId9"/>
          <w:footerReference w:type="first" r:id="rId10"/>
          <w:pgSz w:w="12240" w:h="15840"/>
          <w:pgMar w:top="1152" w:right="1440" w:bottom="1152" w:left="1728" w:header="720" w:footer="720" w:gutter="0"/>
          <w:cols w:space="720"/>
          <w:titlePg/>
        </w:sectPr>
      </w:pPr>
    </w:p>
    <w:p w:rsidRPr="002C3981" w:rsidR="002C3981" w:rsidP="002C3981" w:rsidRDefault="002C3981" w14:paraId="2ECF5C99" w14:textId="6677DCE8">
      <w:pPr>
        <w:ind w:left="0"/>
        <w:contextualSpacing/>
        <w:rPr>
          <w:rFonts w:eastAsia="Arial"/>
          <w:spacing w:val="-1"/>
          <w:szCs w:val="24"/>
        </w:rPr>
      </w:pPr>
      <w:r w:rsidRPr="002C3981">
        <w:rPr>
          <w:rFonts w:eastAsia="Arial"/>
          <w:spacing w:val="-1"/>
          <w:szCs w:val="24"/>
        </w:rPr>
        <w:lastRenderedPageBreak/>
        <w:t xml:space="preserve">Section 310.305(c)(5) pertains to the submission of </w:t>
      </w:r>
      <w:r w:rsidRPr="002C3981" w:rsidR="002E7B3E">
        <w:rPr>
          <w:rFonts w:eastAsia="Arial"/>
          <w:spacing w:val="-1"/>
          <w:szCs w:val="24"/>
        </w:rPr>
        <w:t>follow-up</w:t>
      </w:r>
      <w:r w:rsidRPr="002C3981">
        <w:rPr>
          <w:rFonts w:eastAsia="Arial"/>
          <w:spacing w:val="-1"/>
          <w:szCs w:val="24"/>
        </w:rPr>
        <w:t xml:space="preserve"> reports to reports forwarded to the manufacturers, packers, and distributors by FDA.  Under § 310.305(g), each manufacturer, packer, and distributor shall maintain for 10 years records of all adverse drug experiences required to be reported.</w:t>
      </w:r>
    </w:p>
    <w:p w:rsidR="0056482D" w:rsidP="002C3981" w:rsidRDefault="0056482D" w14:paraId="0F4A8435" w14:textId="7DCBBAD1">
      <w:pPr>
        <w:ind w:left="0"/>
        <w:contextualSpacing/>
        <w:rPr>
          <w:rFonts w:eastAsia="Arial"/>
          <w:spacing w:val="-1"/>
          <w:sz w:val="20"/>
          <w:szCs w:val="20"/>
        </w:rPr>
      </w:pPr>
    </w:p>
    <w:p w:rsidR="008853A7" w:rsidP="0056482D" w:rsidRDefault="0056482D" w14:paraId="6958075B" w14:textId="732CAC92">
      <w:pPr>
        <w:ind w:left="0"/>
        <w:contextualSpacing/>
        <w:rPr>
          <w:rFonts w:eastAsia="Arial"/>
          <w:spacing w:val="-1"/>
          <w:szCs w:val="24"/>
        </w:rPr>
      </w:pPr>
      <w:r w:rsidRPr="002F6B0B">
        <w:rPr>
          <w:rFonts w:eastAsia="Arial"/>
          <w:spacing w:val="-1"/>
          <w:szCs w:val="24"/>
        </w:rPr>
        <w:t xml:space="preserve">Applicants who have received marketing approval for drug products are required to report serious, unexpected adverse drug experiences (15-day “Alert reports”), as well as </w:t>
      </w:r>
      <w:r w:rsidRPr="002F6B0B" w:rsidR="002E7B3E">
        <w:rPr>
          <w:rFonts w:eastAsia="Arial"/>
          <w:spacing w:val="-1"/>
          <w:szCs w:val="24"/>
        </w:rPr>
        <w:t>follow-up</w:t>
      </w:r>
      <w:r w:rsidRPr="002F6B0B">
        <w:rPr>
          <w:rFonts w:eastAsia="Arial"/>
          <w:spacing w:val="-1"/>
          <w:szCs w:val="24"/>
        </w:rPr>
        <w:t xml:space="preserve"> reports (§ 314.80(c)(1)) to FDA.  This includes reports of all foreign or domestic adverse experiences as well as those based on information from applicable scientific literature and certain reports from postmarketing studies.  Section 314.80(c)(1)(iii) pertains to such reports submitted by nonapplicants.  </w:t>
      </w:r>
    </w:p>
    <w:p w:rsidR="008853A7" w:rsidP="0056482D" w:rsidRDefault="008853A7" w14:paraId="50AF5B02" w14:textId="77777777">
      <w:pPr>
        <w:ind w:left="0"/>
        <w:contextualSpacing/>
        <w:rPr>
          <w:rFonts w:eastAsia="Arial"/>
          <w:spacing w:val="-1"/>
          <w:szCs w:val="24"/>
        </w:rPr>
      </w:pPr>
    </w:p>
    <w:p w:rsidR="003A1D9C" w:rsidP="0056482D" w:rsidRDefault="0056482D" w14:paraId="76005AD5" w14:textId="711F1682">
      <w:pPr>
        <w:ind w:left="0"/>
        <w:contextualSpacing/>
        <w:rPr>
          <w:rFonts w:eastAsia="Arial"/>
          <w:spacing w:val="-1"/>
          <w:szCs w:val="24"/>
        </w:rPr>
      </w:pPr>
      <w:r w:rsidRPr="002F6B0B">
        <w:rPr>
          <w:rFonts w:eastAsia="Arial"/>
          <w:spacing w:val="-1"/>
          <w:szCs w:val="24"/>
        </w:rPr>
        <w:t xml:space="preserve">Under § 314.80(c)(2), applicants must provide periodic reports of adverse drug experiences.  For the reporting interval, a periodic report includes reports of serious, expected adverse drug experiences, all nonserious adverse drug experiences, and an index of these reports; a narrative summary and analysis of adverse drug experiences; an analysis of the 15-day Alert reports submitted during the reporting interval; and a history of actions taken because of adverse drug experiences.  </w:t>
      </w:r>
    </w:p>
    <w:p w:rsidR="003A1D9C" w:rsidP="0056482D" w:rsidRDefault="003A1D9C" w14:paraId="33123A42" w14:textId="77777777">
      <w:pPr>
        <w:ind w:left="0"/>
        <w:contextualSpacing/>
        <w:rPr>
          <w:rFonts w:eastAsia="Arial"/>
          <w:spacing w:val="-1"/>
          <w:szCs w:val="24"/>
        </w:rPr>
      </w:pPr>
    </w:p>
    <w:p w:rsidRPr="002F6B0B" w:rsidR="0056482D" w:rsidP="0056482D" w:rsidRDefault="0056482D" w14:paraId="27AFBAC4" w14:textId="06A996FE">
      <w:pPr>
        <w:ind w:left="0"/>
        <w:contextualSpacing/>
        <w:rPr>
          <w:rFonts w:eastAsia="Arial"/>
          <w:spacing w:val="-1"/>
          <w:szCs w:val="24"/>
        </w:rPr>
      </w:pPr>
      <w:r w:rsidRPr="002F6B0B">
        <w:rPr>
          <w:rFonts w:eastAsia="Arial"/>
          <w:spacing w:val="-1"/>
          <w:szCs w:val="24"/>
        </w:rPr>
        <w:t>Under § 314.80(j), applicants must keep for 10 years records of all adverse drug experience reports known to the applicant.</w:t>
      </w:r>
    </w:p>
    <w:p w:rsidRPr="002F6B0B" w:rsidR="0056482D" w:rsidP="0056482D" w:rsidRDefault="0056482D" w14:paraId="0BCAD0BA" w14:textId="6E76FEF7">
      <w:pPr>
        <w:ind w:left="0"/>
        <w:contextualSpacing/>
        <w:rPr>
          <w:rFonts w:eastAsia="Arial"/>
          <w:spacing w:val="-1"/>
          <w:szCs w:val="24"/>
        </w:rPr>
      </w:pPr>
      <w:r w:rsidRPr="002F6B0B">
        <w:rPr>
          <w:rFonts w:eastAsia="Arial"/>
          <w:spacing w:val="-1"/>
          <w:szCs w:val="24"/>
        </w:rPr>
        <w:t xml:space="preserve">For marketed prescription drug products without approved new drug applications (NDAs) or abbreviated new drug applications (ANDAs), manufacturers, packers, and distributors are required to report to FDA serious, unexpected adverse drug experiences as well as </w:t>
      </w:r>
      <w:r w:rsidRPr="002F6B0B" w:rsidR="002E7B3E">
        <w:rPr>
          <w:rFonts w:eastAsia="Arial"/>
          <w:spacing w:val="-1"/>
          <w:szCs w:val="24"/>
        </w:rPr>
        <w:t>follow-up</w:t>
      </w:r>
      <w:r w:rsidRPr="002F6B0B">
        <w:rPr>
          <w:rFonts w:eastAsia="Arial"/>
          <w:spacing w:val="-1"/>
          <w:szCs w:val="24"/>
        </w:rPr>
        <w:t xml:space="preserve"> reports (§ 310.305(c)).  </w:t>
      </w:r>
    </w:p>
    <w:p w:rsidRPr="002F6B0B" w:rsidR="0056482D" w:rsidP="002C3981" w:rsidRDefault="0056482D" w14:paraId="2AEFE61B" w14:textId="77777777">
      <w:pPr>
        <w:ind w:left="0"/>
        <w:contextualSpacing/>
        <w:rPr>
          <w:rFonts w:eastAsia="Arial"/>
          <w:spacing w:val="-1"/>
          <w:szCs w:val="24"/>
        </w:rPr>
      </w:pPr>
    </w:p>
    <w:p w:rsidRPr="002C3981" w:rsidR="002C3981" w:rsidP="002C3981" w:rsidRDefault="002C3981" w14:paraId="642035F7" w14:textId="3A920805">
      <w:pPr>
        <w:ind w:left="0"/>
        <w:contextualSpacing/>
        <w:rPr>
          <w:rFonts w:eastAsia="Arial"/>
          <w:spacing w:val="-1"/>
          <w:szCs w:val="24"/>
        </w:rPr>
      </w:pPr>
      <w:r w:rsidRPr="002C3981">
        <w:rPr>
          <w:rFonts w:eastAsia="Arial"/>
          <w:spacing w:val="-1"/>
          <w:szCs w:val="24"/>
        </w:rPr>
        <w:t xml:space="preserve">Section 760 of the FD&amp;C Act (21 U.S.C. 379aa) also provides for mandatory safety reporting for over-the-counter (OTC) human drug products not subject to applications approved under section 505 of the FD&amp;C Act (21 U.S.C. 355) (NDAs or ANDAs).  These requirements apply to all </w:t>
      </w:r>
      <w:bookmarkStart w:name="_Hlk67562513" w:id="0"/>
      <w:r w:rsidRPr="002C3981">
        <w:rPr>
          <w:rFonts w:eastAsia="Arial"/>
          <w:spacing w:val="-1"/>
          <w:szCs w:val="24"/>
        </w:rPr>
        <w:t xml:space="preserve">OTC drug products marketed without an approved application, including those marketed under the OTC Drug Monograph Review process (whether or not subject to a final monograph), those marketed outside the monograph system, </w:t>
      </w:r>
      <w:bookmarkEnd w:id="0"/>
      <w:r w:rsidRPr="002C3981">
        <w:rPr>
          <w:rFonts w:eastAsia="Arial"/>
          <w:spacing w:val="-1"/>
          <w:szCs w:val="24"/>
        </w:rPr>
        <w:t>and including those that have been discontinued from marketing but for which a report of an adverse event was received.  Under 21 CFR 329.100, respondents must submit reports according to section 760 of the FD&amp;C Act in an electronic format.</w:t>
      </w:r>
    </w:p>
    <w:p w:rsidRPr="002F6B0B" w:rsidR="00D50C75" w:rsidP="002C3981" w:rsidRDefault="00D50C75" w14:paraId="1E2E669B" w14:textId="77777777">
      <w:pPr>
        <w:ind w:left="0"/>
        <w:contextualSpacing/>
        <w:rPr>
          <w:rFonts w:eastAsia="Arial"/>
          <w:spacing w:val="-1"/>
          <w:szCs w:val="24"/>
        </w:rPr>
      </w:pPr>
    </w:p>
    <w:p w:rsidRPr="002C3981" w:rsidR="002C3981" w:rsidP="002C3981" w:rsidRDefault="002C3981" w14:paraId="5801B8F4" w14:textId="5758E0BE">
      <w:pPr>
        <w:ind w:left="0"/>
        <w:contextualSpacing/>
        <w:rPr>
          <w:rFonts w:eastAsia="Arial"/>
          <w:spacing w:val="-1"/>
          <w:szCs w:val="24"/>
        </w:rPr>
      </w:pPr>
      <w:r w:rsidRPr="002C3981">
        <w:rPr>
          <w:rFonts w:eastAsia="Arial"/>
          <w:spacing w:val="-1"/>
          <w:szCs w:val="24"/>
        </w:rPr>
        <w:t xml:space="preserve">Section 760(e) of the FD&amp;C Act also requires that responsible persons maintain records of nonprescription drug adverse event reports, whether the event is serious or not, for a period of 6 years.  FDA’s guidance recommends that respondents maintain records of efforts to obtain the minimum data elements for a report of a serious adverse drug event and any </w:t>
      </w:r>
      <w:r w:rsidRPr="002C3981" w:rsidR="002E7B3E">
        <w:rPr>
          <w:rFonts w:eastAsia="Arial"/>
          <w:spacing w:val="-1"/>
          <w:szCs w:val="24"/>
        </w:rPr>
        <w:t>follow-up</w:t>
      </w:r>
      <w:r w:rsidRPr="002C3981">
        <w:rPr>
          <w:rFonts w:eastAsia="Arial"/>
          <w:spacing w:val="-1"/>
          <w:szCs w:val="24"/>
        </w:rPr>
        <w:t xml:space="preserve"> reports. </w:t>
      </w:r>
    </w:p>
    <w:p w:rsidRPr="002F6B0B" w:rsidR="003A7E7E" w:rsidP="002C3981" w:rsidRDefault="003A7E7E" w14:paraId="69AA4E44" w14:textId="77777777">
      <w:pPr>
        <w:ind w:left="0"/>
        <w:contextualSpacing/>
        <w:rPr>
          <w:rFonts w:eastAsia="Arial"/>
          <w:spacing w:val="-1"/>
          <w:szCs w:val="24"/>
        </w:rPr>
      </w:pPr>
    </w:p>
    <w:p w:rsidR="006F0069" w:rsidRDefault="006F0069" w14:paraId="44AA3872" w14:textId="77777777">
      <w:pPr>
        <w:spacing w:after="160" w:line="259" w:lineRule="auto"/>
        <w:ind w:left="0" w:firstLine="0"/>
        <w:rPr>
          <w:rFonts w:eastAsia="Arial"/>
          <w:spacing w:val="-1"/>
          <w:szCs w:val="24"/>
        </w:rPr>
      </w:pPr>
      <w:r>
        <w:rPr>
          <w:rFonts w:eastAsia="Arial"/>
          <w:spacing w:val="-1"/>
          <w:szCs w:val="24"/>
        </w:rPr>
        <w:br w:type="page"/>
      </w:r>
    </w:p>
    <w:p w:rsidRPr="002C3981" w:rsidR="002C3981" w:rsidP="002C3981" w:rsidRDefault="003A7E7E" w14:paraId="782B586A" w14:textId="40015F27">
      <w:pPr>
        <w:ind w:left="0"/>
        <w:contextualSpacing/>
        <w:rPr>
          <w:rFonts w:eastAsia="Arial"/>
          <w:spacing w:val="-1"/>
          <w:szCs w:val="24"/>
        </w:rPr>
      </w:pPr>
      <w:r w:rsidRPr="002F6B0B">
        <w:rPr>
          <w:rFonts w:eastAsia="Arial"/>
          <w:spacing w:val="-1"/>
          <w:szCs w:val="24"/>
        </w:rPr>
        <w:lastRenderedPageBreak/>
        <w:t>We include burden we attribute to reporting and recordkeeping discussed in the guidance document, “</w:t>
      </w:r>
      <w:r w:rsidRPr="002C3981" w:rsidR="002C3981">
        <w:rPr>
          <w:rFonts w:eastAsia="Arial"/>
          <w:i/>
          <w:iCs/>
          <w:spacing w:val="-1"/>
          <w:szCs w:val="24"/>
        </w:rPr>
        <w:t>Providing Postmarketing Periodic Safety Reports in the ICH E2C(R2) Format (Periodic Benefit-Risk Evaluation Report</w:t>
      </w:r>
      <w:r w:rsidRPr="002C3981" w:rsidR="002C3981">
        <w:rPr>
          <w:rFonts w:eastAsia="Arial"/>
          <w:spacing w:val="-1"/>
          <w:szCs w:val="24"/>
        </w:rPr>
        <w:t xml:space="preserve">),” available at </w:t>
      </w:r>
      <w:hyperlink w:history="1" r:id="rId11">
        <w:r w:rsidRPr="002C3981" w:rsidR="002C3981">
          <w:rPr>
            <w:rStyle w:val="Hyperlink"/>
            <w:rFonts w:eastAsia="Arial"/>
            <w:spacing w:val="-1"/>
            <w:szCs w:val="24"/>
          </w:rPr>
          <w:t>https://www</w:t>
        </w:r>
        <w:r w:rsidRPr="002C3981" w:rsidR="002C3981">
          <w:rPr>
            <w:rStyle w:val="Hyperlink"/>
            <w:rFonts w:eastAsia="Arial"/>
            <w:spacing w:val="-1"/>
            <w:szCs w:val="24"/>
          </w:rPr>
          <w:t>.</w:t>
        </w:r>
        <w:r w:rsidRPr="002C3981" w:rsidR="002C3981">
          <w:rPr>
            <w:rStyle w:val="Hyperlink"/>
            <w:rFonts w:eastAsia="Arial"/>
            <w:spacing w:val="-1"/>
            <w:szCs w:val="24"/>
          </w:rPr>
          <w:t>fda.gov/media/85520/download</w:t>
        </w:r>
      </w:hyperlink>
      <w:r w:rsidRPr="002C3981" w:rsidR="002C3981">
        <w:rPr>
          <w:rFonts w:eastAsia="Arial"/>
          <w:spacing w:val="-1"/>
          <w:szCs w:val="24"/>
        </w:rPr>
        <w:t>.</w:t>
      </w:r>
      <w:r w:rsidRPr="002F6B0B" w:rsidR="00F547C2">
        <w:rPr>
          <w:rFonts w:eastAsia="Arial"/>
          <w:spacing w:val="-1"/>
          <w:szCs w:val="24"/>
        </w:rPr>
        <w:t xml:space="preserve">  </w:t>
      </w:r>
      <w:r w:rsidRPr="002C3981" w:rsidR="002C3981">
        <w:rPr>
          <w:rFonts w:eastAsia="Arial"/>
          <w:spacing w:val="-1"/>
          <w:szCs w:val="24"/>
        </w:rPr>
        <w:t>The guidance describes the conditions under which applicants may use the ICH3 E2C(R2) Periodic Benefit-Risk Evaluation Report format for certain types of adverse event reporting.</w:t>
      </w:r>
      <w:r w:rsidRPr="002F6B0B" w:rsidR="00F547C2">
        <w:rPr>
          <w:rFonts w:eastAsia="Arial"/>
          <w:spacing w:val="-1"/>
          <w:szCs w:val="24"/>
        </w:rPr>
        <w:t xml:space="preserve">  </w:t>
      </w:r>
      <w:r w:rsidRPr="002C3981" w:rsidR="002C3981">
        <w:rPr>
          <w:rFonts w:eastAsia="Arial"/>
          <w:spacing w:val="-1"/>
          <w:szCs w:val="24"/>
        </w:rPr>
        <w:t>FDA regulations in §§ 314.80(c)(2) and 600.80(c)(2) (21 CFR 600.80(c)(2)) require applicants to submit postmarketing periodic safety reports for each approved application.  The reports must be submitted quarterly for the first 3 years following the U.S. approval date and annually thereafter and must contain the information described in §§ 314.80(c)(2)(ii) and 600.80(c)(2)(ii) (the information collection associated with 21 CFR part 600--</w:t>
      </w:r>
      <w:r w:rsidRPr="002C3981" w:rsidR="002C3981">
        <w:rPr>
          <w:rFonts w:eastAsia="Arial"/>
          <w:i/>
          <w:iCs/>
          <w:spacing w:val="-1"/>
          <w:szCs w:val="24"/>
        </w:rPr>
        <w:t>Biological Products</w:t>
      </w:r>
      <w:r w:rsidRPr="002C3981" w:rsidR="002C3981">
        <w:rPr>
          <w:rFonts w:eastAsia="Arial"/>
          <w:spacing w:val="-1"/>
          <w:szCs w:val="24"/>
        </w:rPr>
        <w:t>, is approved under OMB control number 0910-0308).</w:t>
      </w:r>
      <w:r w:rsidRPr="002F6B0B" w:rsidR="00F547C2">
        <w:rPr>
          <w:rFonts w:eastAsia="Arial"/>
          <w:spacing w:val="-1"/>
          <w:szCs w:val="24"/>
        </w:rPr>
        <w:t xml:space="preserve">  </w:t>
      </w:r>
    </w:p>
    <w:p w:rsidR="00355763" w:rsidP="002C3981" w:rsidRDefault="00355763" w14:paraId="6B066939" w14:textId="77777777">
      <w:pPr>
        <w:ind w:left="0"/>
        <w:contextualSpacing/>
        <w:rPr>
          <w:rFonts w:eastAsia="Arial"/>
          <w:spacing w:val="-1"/>
          <w:szCs w:val="24"/>
        </w:rPr>
      </w:pPr>
    </w:p>
    <w:p w:rsidRPr="002C3981" w:rsidR="002C3981" w:rsidP="002C3981" w:rsidRDefault="00B11ED4" w14:paraId="31EBC2CF" w14:textId="3407D62D">
      <w:pPr>
        <w:ind w:left="0"/>
        <w:contextualSpacing/>
        <w:rPr>
          <w:rFonts w:eastAsia="Arial"/>
          <w:spacing w:val="-1"/>
          <w:szCs w:val="24"/>
        </w:rPr>
      </w:pPr>
      <w:r w:rsidRPr="002F6B0B">
        <w:rPr>
          <w:rFonts w:eastAsia="Arial"/>
          <w:spacing w:val="-1"/>
          <w:szCs w:val="24"/>
        </w:rPr>
        <w:t>To address</w:t>
      </w:r>
      <w:r w:rsidRPr="002F6B0B" w:rsidR="00D3320A">
        <w:rPr>
          <w:rFonts w:eastAsia="Arial"/>
          <w:spacing w:val="-1"/>
          <w:szCs w:val="24"/>
        </w:rPr>
        <w:t xml:space="preserve"> concerns raised by the COVID-19 Public Health Emergency, we revised the guidance </w:t>
      </w:r>
      <w:r w:rsidRPr="002C3981" w:rsidR="002C3981">
        <w:rPr>
          <w:rFonts w:eastAsia="Arial"/>
          <w:spacing w:val="-1"/>
          <w:szCs w:val="24"/>
        </w:rPr>
        <w:t>document, “</w:t>
      </w:r>
      <w:r w:rsidRPr="002F6B0B">
        <w:rPr>
          <w:rFonts w:eastAsia="Arial"/>
          <w:i/>
          <w:iCs/>
          <w:spacing w:val="-1"/>
          <w:szCs w:val="24"/>
        </w:rPr>
        <w:t>Postmarketing Adverse Event Reporting for Medical Products and Dietary Supplements During a Pandemic</w:t>
      </w:r>
      <w:r w:rsidRPr="002F6B0B">
        <w:rPr>
          <w:rFonts w:eastAsia="Arial"/>
          <w:spacing w:val="-1"/>
          <w:szCs w:val="24"/>
        </w:rPr>
        <w:t xml:space="preserve">,” available at </w:t>
      </w:r>
      <w:hyperlink w:history="1" r:id="rId12">
        <w:r w:rsidRPr="00525003">
          <w:rPr>
            <w:rStyle w:val="Hyperlink"/>
            <w:rFonts w:eastAsia="Arial"/>
            <w:spacing w:val="-1"/>
            <w:szCs w:val="24"/>
          </w:rPr>
          <w:t>https://www.fda.gov/media/72498</w:t>
        </w:r>
        <w:r w:rsidRPr="00525003">
          <w:rPr>
            <w:rStyle w:val="Hyperlink"/>
            <w:rFonts w:eastAsia="Arial"/>
            <w:spacing w:val="-1"/>
            <w:szCs w:val="24"/>
          </w:rPr>
          <w:t>/</w:t>
        </w:r>
        <w:r w:rsidRPr="00525003">
          <w:rPr>
            <w:rStyle w:val="Hyperlink"/>
            <w:rFonts w:eastAsia="Arial"/>
            <w:spacing w:val="-1"/>
            <w:szCs w:val="24"/>
          </w:rPr>
          <w:t>download</w:t>
        </w:r>
      </w:hyperlink>
      <w:r w:rsidRPr="002F6B0B">
        <w:rPr>
          <w:rFonts w:eastAsia="Arial"/>
          <w:spacing w:val="-1"/>
          <w:szCs w:val="24"/>
        </w:rPr>
        <w:t>.</w:t>
      </w:r>
      <w:r w:rsidRPr="002F6B0B" w:rsidR="00814B7E">
        <w:rPr>
          <w:rFonts w:eastAsia="Arial"/>
          <w:spacing w:val="-1"/>
          <w:szCs w:val="24"/>
        </w:rPr>
        <w:t xml:space="preserve">  The guidance now </w:t>
      </w:r>
      <w:r w:rsidRPr="002C3981" w:rsidR="002C3981">
        <w:rPr>
          <w:rFonts w:eastAsia="Arial"/>
          <w:spacing w:val="-1"/>
          <w:szCs w:val="24"/>
        </w:rPr>
        <w:t>provide</w:t>
      </w:r>
      <w:r w:rsidRPr="002F6B0B" w:rsidR="00814B7E">
        <w:rPr>
          <w:rFonts w:eastAsia="Arial"/>
          <w:spacing w:val="-1"/>
          <w:szCs w:val="24"/>
        </w:rPr>
        <w:t>s</w:t>
      </w:r>
      <w:r w:rsidRPr="002C3981" w:rsidR="002C3981">
        <w:rPr>
          <w:rFonts w:eastAsia="Arial"/>
          <w:spacing w:val="-1"/>
          <w:szCs w:val="24"/>
        </w:rPr>
        <w:t xml:space="preserve"> recommendations </w:t>
      </w:r>
      <w:r w:rsidRPr="002F6B0B" w:rsidR="00814B7E">
        <w:rPr>
          <w:rFonts w:eastAsia="Arial"/>
          <w:spacing w:val="-1"/>
          <w:szCs w:val="24"/>
        </w:rPr>
        <w:t>pertaining to reporting and recordkeeping applicable to any pandem</w:t>
      </w:r>
      <w:r w:rsidRPr="002F6B0B" w:rsidR="00D53399">
        <w:rPr>
          <w:rFonts w:eastAsia="Arial"/>
          <w:spacing w:val="-1"/>
          <w:szCs w:val="24"/>
        </w:rPr>
        <w:t>ic,</w:t>
      </w:r>
      <w:r w:rsidRPr="002F6B0B" w:rsidR="00814B7E">
        <w:rPr>
          <w:rFonts w:eastAsia="Arial"/>
          <w:spacing w:val="-1"/>
          <w:szCs w:val="24"/>
        </w:rPr>
        <w:t xml:space="preserve"> not just influenza.</w:t>
      </w:r>
      <w:r w:rsidR="00355763">
        <w:rPr>
          <w:rFonts w:eastAsia="Arial"/>
          <w:spacing w:val="-1"/>
          <w:szCs w:val="24"/>
        </w:rPr>
        <w:t xml:space="preserve">  </w:t>
      </w:r>
      <w:r w:rsidRPr="002F6B0B" w:rsidR="00814B7E">
        <w:rPr>
          <w:rFonts w:eastAsia="Arial"/>
          <w:spacing w:val="-1"/>
          <w:szCs w:val="24"/>
        </w:rPr>
        <w:t xml:space="preserve">The guidance document includes </w:t>
      </w:r>
      <w:r w:rsidRPr="002C3981" w:rsidR="002C3981">
        <w:rPr>
          <w:rFonts w:eastAsia="Arial"/>
          <w:spacing w:val="-1"/>
          <w:szCs w:val="24"/>
        </w:rPr>
        <w:t xml:space="preserve">recommendations for planning, </w:t>
      </w:r>
      <w:r w:rsidRPr="002F6B0B" w:rsidR="00D53399">
        <w:rPr>
          <w:rFonts w:eastAsia="Arial"/>
          <w:spacing w:val="-1"/>
          <w:szCs w:val="24"/>
        </w:rPr>
        <w:t xml:space="preserve">submitting notices, and documenting </w:t>
      </w:r>
      <w:r w:rsidRPr="002C3981" w:rsidR="002C3981">
        <w:rPr>
          <w:rFonts w:eastAsia="Arial"/>
          <w:spacing w:val="-1"/>
          <w:szCs w:val="24"/>
        </w:rPr>
        <w:t>continuity of operations</w:t>
      </w:r>
      <w:r w:rsidR="007E212D">
        <w:rPr>
          <w:rFonts w:eastAsia="Arial"/>
          <w:spacing w:val="-1"/>
          <w:szCs w:val="24"/>
        </w:rPr>
        <w:t>.</w:t>
      </w:r>
    </w:p>
    <w:p w:rsidR="00745C5D" w:rsidP="007A4960" w:rsidRDefault="00745C5D" w14:paraId="1FB28E4F" w14:textId="77777777">
      <w:pPr>
        <w:spacing w:after="0" w:line="259" w:lineRule="auto"/>
        <w:ind w:left="0" w:firstLine="0"/>
        <w:rPr>
          <w:i/>
          <w:color w:val="000000" w:themeColor="text1"/>
        </w:rPr>
      </w:pPr>
    </w:p>
    <w:p w:rsidRPr="00F60263" w:rsidR="00FA4EAB" w:rsidP="007A4960" w:rsidRDefault="00745C5D" w14:paraId="4B07992D" w14:textId="200A207A">
      <w:pPr>
        <w:spacing w:after="0" w:line="259" w:lineRule="auto"/>
        <w:ind w:left="0" w:firstLine="0"/>
        <w:rPr>
          <w:color w:val="000000" w:themeColor="text1"/>
        </w:rPr>
      </w:pPr>
      <w:r>
        <w:rPr>
          <w:i/>
          <w:color w:val="000000" w:themeColor="text1"/>
        </w:rPr>
        <w:tab/>
      </w:r>
      <w:r w:rsidRPr="00F60263" w:rsidR="00BC0554">
        <w:rPr>
          <w:i/>
          <w:color w:val="000000" w:themeColor="text1"/>
        </w:rPr>
        <w:t xml:space="preserve">12b.  Annualized Cost Estimate </w:t>
      </w:r>
    </w:p>
    <w:p w:rsidR="000267C1" w:rsidP="000267C1" w:rsidRDefault="00BC0554" w14:paraId="06AACFE4" w14:textId="77777777">
      <w:pPr>
        <w:spacing w:after="5" w:line="259" w:lineRule="auto"/>
        <w:ind w:left="0" w:firstLine="0"/>
        <w:rPr>
          <w:color w:val="000000" w:themeColor="text1"/>
        </w:rPr>
      </w:pPr>
      <w:r w:rsidRPr="00F60263">
        <w:rPr>
          <w:color w:val="000000" w:themeColor="text1"/>
        </w:rPr>
        <w:t xml:space="preserve"> </w:t>
      </w:r>
    </w:p>
    <w:p w:rsidRPr="00F60263" w:rsidR="00FA4EAB" w:rsidP="000267C1" w:rsidRDefault="000267C1" w14:paraId="03BA3E15" w14:textId="56FCE325">
      <w:pPr>
        <w:spacing w:after="5" w:line="259" w:lineRule="auto"/>
        <w:ind w:left="0" w:firstLine="0"/>
        <w:rPr>
          <w:color w:val="000000" w:themeColor="text1"/>
        </w:rPr>
      </w:pPr>
      <w:r>
        <w:rPr>
          <w:color w:val="000000" w:themeColor="text1"/>
        </w:rPr>
        <w:tab/>
      </w:r>
      <w:r w:rsidRPr="00F60263" w:rsidR="00BC0554">
        <w:rPr>
          <w:color w:val="000000" w:themeColor="text1"/>
        </w:rPr>
        <w:t>We assume annual</w:t>
      </w:r>
      <w:r w:rsidR="008825EA">
        <w:rPr>
          <w:color w:val="000000" w:themeColor="text1"/>
        </w:rPr>
        <w:t xml:space="preserve"> administrative</w:t>
      </w:r>
      <w:r w:rsidRPr="00F60263" w:rsidR="00BC0554">
        <w:rPr>
          <w:color w:val="000000" w:themeColor="text1"/>
        </w:rPr>
        <w:t xml:space="preserve"> costs of $</w:t>
      </w:r>
      <w:r w:rsidRPr="00F60263" w:rsidR="00BC0554">
        <w:t>25,000</w:t>
      </w:r>
      <w:r w:rsidR="002E7B3E">
        <w:t xml:space="preserve"> for</w:t>
      </w:r>
      <w:r w:rsidR="00B8633B">
        <w:t xml:space="preserve"> </w:t>
      </w:r>
      <w:r w:rsidR="00C161D7">
        <w:t xml:space="preserve">maintaining </w:t>
      </w:r>
      <w:r w:rsidR="00321266">
        <w:t xml:space="preserve">toll-free </w:t>
      </w:r>
      <w:r w:rsidR="00660606">
        <w:t xml:space="preserve">telephone numbers </w:t>
      </w:r>
      <w:r w:rsidR="00B26182">
        <w:t xml:space="preserve">and other portals that </w:t>
      </w:r>
      <w:r w:rsidR="005F7396">
        <w:t xml:space="preserve">enable direct </w:t>
      </w:r>
      <w:r w:rsidR="00285534">
        <w:t>communications</w:t>
      </w:r>
      <w:r w:rsidR="005F7396">
        <w:t xml:space="preserve"> from consumers</w:t>
      </w:r>
      <w:r w:rsidR="00285534">
        <w:t>.</w:t>
      </w:r>
    </w:p>
    <w:p w:rsidRPr="00F60263" w:rsidR="00FA4EAB" w:rsidRDefault="00BC0554" w14:paraId="1AEC4AE0"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76014365" w14:textId="77777777">
      <w:pPr>
        <w:spacing w:after="13"/>
        <w:ind w:left="-5"/>
        <w:rPr>
          <w:color w:val="000000" w:themeColor="text1"/>
        </w:rPr>
      </w:pPr>
      <w:r w:rsidRPr="00F60263">
        <w:rPr>
          <w:color w:val="000000" w:themeColor="text1"/>
        </w:rPr>
        <w:t xml:space="preserve">13.  </w:t>
      </w:r>
      <w:r w:rsidRPr="00F60263">
        <w:rPr>
          <w:color w:val="000000" w:themeColor="text1"/>
          <w:u w:val="single" w:color="000000"/>
        </w:rPr>
        <w:t>Estimates of Other Total Annual Costs to Respondents and/or Recordkeepers/Capital</w:t>
      </w:r>
      <w:r w:rsidRPr="00F60263">
        <w:rPr>
          <w:color w:val="000000" w:themeColor="text1"/>
        </w:rPr>
        <w:t xml:space="preserve"> </w:t>
      </w:r>
      <w:r w:rsidRPr="00F60263">
        <w:rPr>
          <w:color w:val="000000" w:themeColor="text1"/>
          <w:u w:val="single" w:color="000000"/>
        </w:rPr>
        <w:t>Costs</w:t>
      </w:r>
      <w:r w:rsidRPr="00F60263">
        <w:rPr>
          <w:color w:val="000000" w:themeColor="text1"/>
        </w:rPr>
        <w:t xml:space="preserve"> </w:t>
      </w:r>
    </w:p>
    <w:p w:rsidRPr="00F60263" w:rsidR="00FA4EAB" w:rsidRDefault="00BC0554" w14:paraId="29837998"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33DC9875" w14:textId="77777777">
      <w:pPr>
        <w:ind w:left="-5"/>
        <w:rPr>
          <w:color w:val="000000" w:themeColor="text1"/>
        </w:rPr>
      </w:pPr>
      <w:r w:rsidRPr="00F60263">
        <w:rPr>
          <w:color w:val="000000" w:themeColor="text1"/>
        </w:rPr>
        <w:t xml:space="preserve">There are no other annual or capital costs to respondents. </w:t>
      </w:r>
    </w:p>
    <w:p w:rsidRPr="00F60263" w:rsidR="00FA4EAB" w:rsidRDefault="00BC0554" w14:paraId="30D18AFC"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71CDAE26" w14:textId="77777777">
      <w:pPr>
        <w:pStyle w:val="Heading2"/>
        <w:ind w:left="-5"/>
        <w:rPr>
          <w:color w:val="000000" w:themeColor="text1"/>
        </w:rPr>
      </w:pPr>
      <w:r w:rsidRPr="00F60263">
        <w:rPr>
          <w:color w:val="000000" w:themeColor="text1"/>
          <w:u w:val="none"/>
        </w:rPr>
        <w:t xml:space="preserve">14.  </w:t>
      </w:r>
      <w:r w:rsidRPr="00F60263">
        <w:rPr>
          <w:color w:val="000000" w:themeColor="text1"/>
        </w:rPr>
        <w:t>Annualized Cost to the Federal Government</w:t>
      </w:r>
      <w:r w:rsidRPr="00F60263">
        <w:rPr>
          <w:color w:val="000000" w:themeColor="text1"/>
          <w:u w:val="none"/>
        </w:rPr>
        <w:t xml:space="preserve"> </w:t>
      </w:r>
    </w:p>
    <w:p w:rsidRPr="00F60263" w:rsidR="00FA4EAB" w:rsidRDefault="00BC0554" w14:paraId="7A9EE861" w14:textId="77777777">
      <w:pPr>
        <w:spacing w:after="0" w:line="259" w:lineRule="auto"/>
        <w:ind w:left="0" w:firstLine="0"/>
        <w:rPr>
          <w:color w:val="000000" w:themeColor="text1"/>
        </w:rPr>
      </w:pPr>
      <w:r w:rsidRPr="00F60263">
        <w:rPr>
          <w:color w:val="000000" w:themeColor="text1"/>
        </w:rPr>
        <w:t xml:space="preserve"> </w:t>
      </w:r>
    </w:p>
    <w:p w:rsidRPr="00F60263" w:rsidR="00FA4EAB" w:rsidP="00733821" w:rsidRDefault="00BC0554" w14:paraId="38C041F9" w14:textId="12F43493">
      <w:pPr>
        <w:ind w:left="-5"/>
        <w:rPr>
          <w:color w:val="000000" w:themeColor="text1"/>
        </w:rPr>
      </w:pPr>
      <w:r w:rsidRPr="00F60263">
        <w:rPr>
          <w:color w:val="000000" w:themeColor="text1"/>
        </w:rPr>
        <w:t xml:space="preserve">The information collection is supported by existing resource allocations for review of new drug </w:t>
      </w:r>
      <w:r w:rsidR="00756258">
        <w:rPr>
          <w:color w:val="000000" w:themeColor="text1"/>
        </w:rPr>
        <w:t xml:space="preserve">marketing </w:t>
      </w:r>
      <w:r w:rsidRPr="00F60263">
        <w:rPr>
          <w:color w:val="000000" w:themeColor="text1"/>
        </w:rPr>
        <w:t xml:space="preserve">applications. </w:t>
      </w:r>
    </w:p>
    <w:p w:rsidRPr="00F60263" w:rsidR="00FA4EAB" w:rsidRDefault="00BC0554" w14:paraId="42AFC486" w14:textId="77777777">
      <w:pPr>
        <w:spacing w:after="0" w:line="259" w:lineRule="auto"/>
        <w:ind w:left="0" w:firstLine="0"/>
        <w:rPr>
          <w:color w:val="000000" w:themeColor="text1"/>
        </w:rPr>
      </w:pPr>
      <w:r w:rsidRPr="00F60263">
        <w:rPr>
          <w:color w:val="000000" w:themeColor="text1"/>
        </w:rPr>
        <w:t xml:space="preserve"> </w:t>
      </w:r>
      <w:r w:rsidRPr="00F60263">
        <w:rPr>
          <w:color w:val="000000" w:themeColor="text1"/>
        </w:rPr>
        <w:tab/>
        <w:t xml:space="preserve"> </w:t>
      </w:r>
    </w:p>
    <w:p w:rsidRPr="00F60263" w:rsidR="00FA4EAB" w:rsidRDefault="00BC0554" w14:paraId="6C132510" w14:textId="77777777">
      <w:pPr>
        <w:pStyle w:val="Heading2"/>
        <w:ind w:left="-5"/>
        <w:rPr>
          <w:color w:val="000000" w:themeColor="text1"/>
        </w:rPr>
      </w:pPr>
      <w:r w:rsidRPr="00F60263">
        <w:rPr>
          <w:color w:val="000000" w:themeColor="text1"/>
          <w:u w:val="none"/>
        </w:rPr>
        <w:t xml:space="preserve">15.  </w:t>
      </w:r>
      <w:r w:rsidRPr="00F60263">
        <w:rPr>
          <w:color w:val="000000" w:themeColor="text1"/>
        </w:rPr>
        <w:t>Explanation for Program Changes or Adjustments</w:t>
      </w:r>
      <w:r w:rsidRPr="00F60263">
        <w:rPr>
          <w:color w:val="000000" w:themeColor="text1"/>
          <w:u w:val="none"/>
        </w:rPr>
        <w:t xml:space="preserve"> </w:t>
      </w:r>
    </w:p>
    <w:p w:rsidRPr="00F60263" w:rsidR="00FA4EAB" w:rsidRDefault="00BC0554" w14:paraId="3581D598"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50EBE895" w14:textId="468344E8">
      <w:pPr>
        <w:ind w:left="-5"/>
        <w:rPr>
          <w:color w:val="000000" w:themeColor="text1"/>
        </w:rPr>
      </w:pPr>
      <w:r w:rsidRPr="00F60263">
        <w:rPr>
          <w:color w:val="000000" w:themeColor="text1"/>
        </w:rPr>
        <w:t xml:space="preserve">The information collection </w:t>
      </w:r>
      <w:r w:rsidR="00952FA2">
        <w:rPr>
          <w:color w:val="000000" w:themeColor="text1"/>
        </w:rPr>
        <w:t>reflects both program changes and adjustments.</w:t>
      </w:r>
      <w:r w:rsidR="000C27F1">
        <w:rPr>
          <w:color w:val="000000" w:themeColor="text1"/>
        </w:rPr>
        <w:t xml:space="preserve">  </w:t>
      </w:r>
      <w:r w:rsidR="009D069A">
        <w:rPr>
          <w:color w:val="000000" w:themeColor="text1"/>
        </w:rPr>
        <w:t xml:space="preserve">For efficiency of agency operations </w:t>
      </w:r>
      <w:r w:rsidR="00387449">
        <w:rPr>
          <w:color w:val="000000" w:themeColor="text1"/>
        </w:rPr>
        <w:t xml:space="preserve">we </w:t>
      </w:r>
      <w:r w:rsidR="000C27F1">
        <w:rPr>
          <w:color w:val="000000" w:themeColor="text1"/>
        </w:rPr>
        <w:t xml:space="preserve">have revised the </w:t>
      </w:r>
      <w:r w:rsidR="00271C2D">
        <w:rPr>
          <w:color w:val="000000" w:themeColor="text1"/>
        </w:rPr>
        <w:t>ICR to</w:t>
      </w:r>
      <w:r w:rsidR="005D3BEC">
        <w:rPr>
          <w:color w:val="000000" w:themeColor="text1"/>
        </w:rPr>
        <w:t xml:space="preserve"> include and</w:t>
      </w:r>
      <w:r w:rsidR="00271C2D">
        <w:rPr>
          <w:color w:val="000000" w:themeColor="text1"/>
        </w:rPr>
        <w:t xml:space="preserve"> </w:t>
      </w:r>
      <w:r w:rsidR="009E2AC2">
        <w:rPr>
          <w:color w:val="000000" w:themeColor="text1"/>
        </w:rPr>
        <w:t xml:space="preserve">account for </w:t>
      </w:r>
      <w:r w:rsidR="000C27F1">
        <w:rPr>
          <w:color w:val="000000" w:themeColor="text1"/>
        </w:rPr>
        <w:t>burden we attribute to</w:t>
      </w:r>
      <w:r w:rsidR="00F263E1">
        <w:rPr>
          <w:color w:val="000000" w:themeColor="text1"/>
        </w:rPr>
        <w:t xml:space="preserve"> reporting and recordkeeping discussed</w:t>
      </w:r>
      <w:r w:rsidR="000C27F1">
        <w:rPr>
          <w:color w:val="000000" w:themeColor="text1"/>
        </w:rPr>
        <w:t xml:space="preserve"> in agency guidance</w:t>
      </w:r>
      <w:r w:rsidR="00E24002">
        <w:rPr>
          <w:color w:val="000000" w:themeColor="text1"/>
        </w:rPr>
        <w:t xml:space="preserve"> documents and previously approved</w:t>
      </w:r>
      <w:r w:rsidR="00AD1D3D">
        <w:rPr>
          <w:color w:val="000000" w:themeColor="text1"/>
        </w:rPr>
        <w:t xml:space="preserve"> </w:t>
      </w:r>
      <w:r w:rsidR="001B432D">
        <w:rPr>
          <w:color w:val="000000" w:themeColor="text1"/>
        </w:rPr>
        <w:t xml:space="preserve">under </w:t>
      </w:r>
      <w:r w:rsidR="00F263E1">
        <w:rPr>
          <w:color w:val="000000" w:themeColor="text1"/>
        </w:rPr>
        <w:t xml:space="preserve">OMB </w:t>
      </w:r>
      <w:r w:rsidRPr="00F60263">
        <w:rPr>
          <w:color w:val="000000" w:themeColor="text1"/>
        </w:rPr>
        <w:t>Control No</w:t>
      </w:r>
      <w:r w:rsidRPr="00F60263" w:rsidR="004C10B4">
        <w:rPr>
          <w:color w:val="000000" w:themeColor="text1"/>
        </w:rPr>
        <w:t>s</w:t>
      </w:r>
      <w:r w:rsidRPr="00F60263">
        <w:rPr>
          <w:color w:val="000000" w:themeColor="text1"/>
        </w:rPr>
        <w:t>. 0910</w:t>
      </w:r>
      <w:r w:rsidRPr="00F60263" w:rsidR="003354D5">
        <w:rPr>
          <w:color w:val="000000" w:themeColor="text1"/>
        </w:rPr>
        <w:t>-</w:t>
      </w:r>
      <w:r w:rsidRPr="00F60263">
        <w:rPr>
          <w:color w:val="000000" w:themeColor="text1"/>
        </w:rPr>
        <w:t>0636</w:t>
      </w:r>
      <w:r w:rsidR="005D3BEC">
        <w:rPr>
          <w:color w:val="000000" w:themeColor="text1"/>
        </w:rPr>
        <w:t>,</w:t>
      </w:r>
      <w:r w:rsidR="00C14CD1">
        <w:rPr>
          <w:color w:val="000000" w:themeColor="text1"/>
        </w:rPr>
        <w:t xml:space="preserve"> </w:t>
      </w:r>
      <w:r w:rsidRPr="00F60263" w:rsidR="004C10B4">
        <w:rPr>
          <w:color w:val="000000" w:themeColor="text1"/>
        </w:rPr>
        <w:t>0910-0701</w:t>
      </w:r>
      <w:r w:rsidR="005D3BEC">
        <w:rPr>
          <w:color w:val="000000" w:themeColor="text1"/>
        </w:rPr>
        <w:t>,</w:t>
      </w:r>
      <w:r w:rsidR="00C14CD1">
        <w:rPr>
          <w:color w:val="000000" w:themeColor="text1"/>
        </w:rPr>
        <w:t xml:space="preserve"> </w:t>
      </w:r>
      <w:r w:rsidRPr="00F60263" w:rsidR="004C10B4">
        <w:rPr>
          <w:color w:val="000000" w:themeColor="text1"/>
        </w:rPr>
        <w:t>and 0910-0771</w:t>
      </w:r>
      <w:r w:rsidR="00C14CD1">
        <w:rPr>
          <w:color w:val="000000" w:themeColor="text1"/>
        </w:rPr>
        <w:t xml:space="preserve">.  </w:t>
      </w:r>
      <w:r w:rsidR="001E2EFC">
        <w:rPr>
          <w:color w:val="000000" w:themeColor="text1"/>
        </w:rPr>
        <w:t xml:space="preserve">At the same </w:t>
      </w:r>
      <w:r w:rsidR="00113874">
        <w:rPr>
          <w:color w:val="000000" w:themeColor="text1"/>
        </w:rPr>
        <w:t xml:space="preserve"> </w:t>
      </w:r>
      <w:r w:rsidR="001E2EFC">
        <w:rPr>
          <w:color w:val="000000" w:themeColor="text1"/>
        </w:rPr>
        <w:t xml:space="preserve">time, </w:t>
      </w:r>
      <w:r w:rsidR="00A0778F">
        <w:rPr>
          <w:color w:val="000000" w:themeColor="text1"/>
        </w:rPr>
        <w:t xml:space="preserve">we </w:t>
      </w:r>
      <w:r w:rsidR="00935D22">
        <w:rPr>
          <w:color w:val="000000" w:themeColor="text1"/>
        </w:rPr>
        <w:t xml:space="preserve">adjusted our estimates to reflect </w:t>
      </w:r>
      <w:r w:rsidR="0096136F">
        <w:rPr>
          <w:color w:val="000000" w:themeColor="text1"/>
        </w:rPr>
        <w:t xml:space="preserve">fewer reports </w:t>
      </w:r>
      <w:r w:rsidR="00A0778F">
        <w:rPr>
          <w:color w:val="000000" w:themeColor="text1"/>
        </w:rPr>
        <w:t>for nonprescription drug pro</w:t>
      </w:r>
      <w:r w:rsidR="00B9521D">
        <w:rPr>
          <w:color w:val="000000" w:themeColor="text1"/>
        </w:rPr>
        <w:t>ducts</w:t>
      </w:r>
      <w:r w:rsidR="009C4F3E">
        <w:rPr>
          <w:color w:val="000000" w:themeColor="text1"/>
        </w:rPr>
        <w:t xml:space="preserve">, </w:t>
      </w:r>
      <w:r w:rsidR="006A2AD0">
        <w:rPr>
          <w:color w:val="000000" w:themeColor="text1"/>
        </w:rPr>
        <w:lastRenderedPageBreak/>
        <w:t xml:space="preserve">which </w:t>
      </w:r>
      <w:r w:rsidR="00935D22">
        <w:rPr>
          <w:color w:val="000000" w:themeColor="text1"/>
        </w:rPr>
        <w:t>result</w:t>
      </w:r>
      <w:r w:rsidR="006A2AD0">
        <w:rPr>
          <w:color w:val="000000" w:themeColor="text1"/>
        </w:rPr>
        <w:t>s</w:t>
      </w:r>
      <w:r w:rsidR="00935D22">
        <w:rPr>
          <w:color w:val="000000" w:themeColor="text1"/>
        </w:rPr>
        <w:t xml:space="preserve"> in an overall </w:t>
      </w:r>
      <w:r w:rsidR="009C4F3E">
        <w:rPr>
          <w:color w:val="000000" w:themeColor="text1"/>
        </w:rPr>
        <w:t xml:space="preserve">decrease </w:t>
      </w:r>
      <w:r w:rsidR="006A2AD0">
        <w:rPr>
          <w:color w:val="000000" w:themeColor="text1"/>
        </w:rPr>
        <w:t xml:space="preserve">to the information collection by </w:t>
      </w:r>
      <w:r w:rsidR="00AB399F">
        <w:rPr>
          <w:color w:val="000000" w:themeColor="text1"/>
        </w:rPr>
        <w:t xml:space="preserve">2,871 </w:t>
      </w:r>
      <w:r w:rsidR="00935D22">
        <w:rPr>
          <w:color w:val="000000" w:themeColor="text1"/>
        </w:rPr>
        <w:t xml:space="preserve">hours and </w:t>
      </w:r>
      <w:r w:rsidR="00AB399F">
        <w:rPr>
          <w:color w:val="000000" w:themeColor="text1"/>
        </w:rPr>
        <w:t>218,708</w:t>
      </w:r>
      <w:r w:rsidR="00E401BA">
        <w:rPr>
          <w:color w:val="000000" w:themeColor="text1"/>
        </w:rPr>
        <w:t xml:space="preserve"> r</w:t>
      </w:r>
      <w:r w:rsidR="00935D22">
        <w:rPr>
          <w:color w:val="000000" w:themeColor="text1"/>
        </w:rPr>
        <w:t>esponses annually.</w:t>
      </w:r>
    </w:p>
    <w:p w:rsidRPr="00F60263" w:rsidR="00FA4EAB" w:rsidRDefault="00BC0554" w14:paraId="05467719"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7B539AD3" w14:textId="77777777">
      <w:pPr>
        <w:numPr>
          <w:ilvl w:val="0"/>
          <w:numId w:val="2"/>
        </w:numPr>
        <w:spacing w:after="13"/>
        <w:ind w:hanging="420"/>
        <w:rPr>
          <w:color w:val="000000" w:themeColor="text1"/>
        </w:rPr>
      </w:pPr>
      <w:r w:rsidRPr="00F60263">
        <w:rPr>
          <w:color w:val="000000" w:themeColor="text1"/>
          <w:u w:val="single" w:color="000000"/>
        </w:rPr>
        <w:t>Plans for Tabulation and Publication and Project Time Schedule</w:t>
      </w:r>
      <w:r w:rsidRPr="00F60263">
        <w:rPr>
          <w:color w:val="000000" w:themeColor="text1"/>
        </w:rPr>
        <w:t xml:space="preserve"> </w:t>
      </w:r>
    </w:p>
    <w:p w:rsidRPr="00F60263" w:rsidR="00FA4EAB" w:rsidRDefault="00BC0554" w14:paraId="516778F4"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5E746D" w14:paraId="0997FC7D" w14:textId="42D7DDF7">
      <w:pPr>
        <w:ind w:left="-5"/>
        <w:rPr>
          <w:color w:val="000000" w:themeColor="text1"/>
        </w:rPr>
      </w:pPr>
      <w:r>
        <w:rPr>
          <w:color w:val="000000" w:themeColor="text1"/>
        </w:rPr>
        <w:t xml:space="preserve">FDA has no such plans for </w:t>
      </w:r>
      <w:r w:rsidR="00733821">
        <w:rPr>
          <w:color w:val="000000" w:themeColor="text1"/>
        </w:rPr>
        <w:t>the information collection</w:t>
      </w:r>
      <w:r w:rsidRPr="00F60263" w:rsidR="00BC0554">
        <w:rPr>
          <w:color w:val="000000" w:themeColor="text1"/>
        </w:rPr>
        <w:t xml:space="preserve">. </w:t>
      </w:r>
    </w:p>
    <w:p w:rsidRPr="00F60263" w:rsidR="00FA4EAB" w:rsidRDefault="00BC0554" w14:paraId="26BE04B4"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62C73731" w14:textId="77777777">
      <w:pPr>
        <w:numPr>
          <w:ilvl w:val="0"/>
          <w:numId w:val="2"/>
        </w:numPr>
        <w:spacing w:after="13"/>
        <w:ind w:hanging="420"/>
        <w:rPr>
          <w:color w:val="000000" w:themeColor="text1"/>
        </w:rPr>
      </w:pPr>
      <w:r w:rsidRPr="00F60263">
        <w:rPr>
          <w:color w:val="000000" w:themeColor="text1"/>
          <w:u w:val="single" w:color="000000"/>
        </w:rPr>
        <w:t>Reason(s) Display of OMB Expiration Date is Inappropriate</w:t>
      </w:r>
      <w:r w:rsidRPr="00F60263">
        <w:rPr>
          <w:color w:val="000000" w:themeColor="text1"/>
        </w:rPr>
        <w:t xml:space="preserve"> </w:t>
      </w:r>
    </w:p>
    <w:p w:rsidRPr="00F60263" w:rsidR="00FA4EAB" w:rsidRDefault="00BC0554" w14:paraId="0F9D4FC9" w14:textId="77777777">
      <w:pPr>
        <w:spacing w:after="0" w:line="259" w:lineRule="auto"/>
        <w:ind w:left="0" w:firstLine="0"/>
        <w:rPr>
          <w:color w:val="000000" w:themeColor="text1"/>
        </w:rPr>
      </w:pPr>
      <w:r w:rsidRPr="00F60263">
        <w:rPr>
          <w:color w:val="000000" w:themeColor="text1"/>
        </w:rPr>
        <w:t xml:space="preserve"> </w:t>
      </w:r>
    </w:p>
    <w:p w:rsidR="00BD0E0B" w:rsidP="00D4000C" w:rsidRDefault="00E56A63" w14:paraId="05F07411" w14:textId="510150EF">
      <w:pPr>
        <w:kinsoku w:val="0"/>
        <w:overflowPunct w:val="0"/>
        <w:spacing w:after="0" w:line="240" w:lineRule="auto"/>
        <w:ind w:left="0" w:firstLine="0"/>
        <w:textAlignment w:val="baseline"/>
        <w:rPr>
          <w:rFonts w:cs="Calibri" w:eastAsiaTheme="minorEastAsia"/>
          <w:color w:val="000000" w:themeColor="text1"/>
          <w:kern w:val="24"/>
          <w:szCs w:val="24"/>
        </w:rPr>
      </w:pPr>
      <w:r>
        <w:rPr>
          <w:rFonts w:cs="Calibri" w:eastAsiaTheme="minorEastAsia"/>
          <w:color w:val="000000" w:themeColor="text1"/>
          <w:kern w:val="24"/>
          <w:szCs w:val="24"/>
        </w:rPr>
        <w:t>As required by the PRA and c</w:t>
      </w:r>
      <w:r w:rsidRPr="00F60263" w:rsidR="00C6765F">
        <w:rPr>
          <w:rFonts w:cs="Calibri" w:eastAsiaTheme="minorEastAsia"/>
          <w:color w:val="000000" w:themeColor="text1"/>
          <w:kern w:val="24"/>
          <w:szCs w:val="24"/>
        </w:rPr>
        <w:t xml:space="preserve">onsistent with established </w:t>
      </w:r>
      <w:r w:rsidR="00CC3AA4">
        <w:rPr>
          <w:rFonts w:cs="Calibri" w:eastAsiaTheme="minorEastAsia"/>
          <w:color w:val="000000" w:themeColor="text1"/>
          <w:kern w:val="24"/>
          <w:szCs w:val="24"/>
        </w:rPr>
        <w:t xml:space="preserve">agency </w:t>
      </w:r>
      <w:r w:rsidRPr="00F60263" w:rsidR="00C6765F">
        <w:rPr>
          <w:rFonts w:cs="Calibri" w:eastAsiaTheme="minorEastAsia"/>
          <w:color w:val="000000" w:themeColor="text1"/>
          <w:kern w:val="24"/>
          <w:szCs w:val="24"/>
        </w:rPr>
        <w:t>practice</w:t>
      </w:r>
      <w:r w:rsidR="007D554A">
        <w:rPr>
          <w:rFonts w:cs="Calibri" w:eastAsiaTheme="minorEastAsia"/>
          <w:color w:val="000000" w:themeColor="text1"/>
          <w:kern w:val="24"/>
          <w:szCs w:val="24"/>
        </w:rPr>
        <w:t>,</w:t>
      </w:r>
      <w:r w:rsidRPr="00F60263" w:rsidR="00C6765F">
        <w:rPr>
          <w:rFonts w:cs="Calibri" w:eastAsiaTheme="minorEastAsia"/>
          <w:color w:val="000000" w:themeColor="text1"/>
          <w:kern w:val="24"/>
          <w:szCs w:val="24"/>
        </w:rPr>
        <w:t xml:space="preserve"> FDA will publish a</w:t>
      </w:r>
      <w:r w:rsidR="00ED2BCD">
        <w:rPr>
          <w:rFonts w:cs="Calibri" w:eastAsiaTheme="minorEastAsia"/>
          <w:color w:val="000000" w:themeColor="text1"/>
          <w:kern w:val="24"/>
          <w:szCs w:val="24"/>
        </w:rPr>
        <w:t xml:space="preserve"> notice in the</w:t>
      </w:r>
      <w:r w:rsidRPr="00F60263" w:rsidR="00C6765F">
        <w:rPr>
          <w:rFonts w:cs="Calibri" w:eastAsiaTheme="minorEastAsia"/>
          <w:color w:val="000000" w:themeColor="text1"/>
          <w:kern w:val="24"/>
          <w:szCs w:val="24"/>
        </w:rPr>
        <w:t xml:space="preserve"> </w:t>
      </w:r>
      <w:r w:rsidRPr="00ED2BCD" w:rsidR="00C6765F">
        <w:rPr>
          <w:rFonts w:cs="Calibri" w:eastAsiaTheme="minorEastAsia"/>
          <w:color w:val="000000" w:themeColor="text1"/>
          <w:kern w:val="24"/>
          <w:szCs w:val="24"/>
          <w:u w:val="single"/>
        </w:rPr>
        <w:t>Federal Register</w:t>
      </w:r>
      <w:r w:rsidRPr="00F60263" w:rsidR="00C6765F">
        <w:rPr>
          <w:rFonts w:cs="Calibri" w:eastAsiaTheme="minorEastAsia"/>
          <w:color w:val="000000" w:themeColor="text1"/>
          <w:kern w:val="24"/>
          <w:szCs w:val="24"/>
        </w:rPr>
        <w:t xml:space="preserve"> announcing OMB approval of information collection associated with guidance document</w:t>
      </w:r>
      <w:r w:rsidR="00E16D4F">
        <w:rPr>
          <w:rFonts w:cs="Calibri" w:eastAsiaTheme="minorEastAsia"/>
          <w:color w:val="000000" w:themeColor="text1"/>
          <w:kern w:val="24"/>
          <w:szCs w:val="24"/>
        </w:rPr>
        <w:t xml:space="preserve">s </w:t>
      </w:r>
      <w:r w:rsidR="007D492D">
        <w:rPr>
          <w:rFonts w:cs="Calibri" w:eastAsiaTheme="minorEastAsia"/>
          <w:color w:val="000000" w:themeColor="text1"/>
          <w:kern w:val="24"/>
          <w:szCs w:val="24"/>
        </w:rPr>
        <w:t xml:space="preserve">included in </w:t>
      </w:r>
      <w:r w:rsidR="00E16D4F">
        <w:rPr>
          <w:rFonts w:cs="Calibri" w:eastAsiaTheme="minorEastAsia"/>
          <w:color w:val="000000" w:themeColor="text1"/>
          <w:kern w:val="24"/>
          <w:szCs w:val="24"/>
        </w:rPr>
        <w:t>this information collection</w:t>
      </w:r>
      <w:r w:rsidR="000474CC">
        <w:rPr>
          <w:rFonts w:cs="Calibri" w:eastAsiaTheme="minorEastAsia"/>
          <w:color w:val="000000" w:themeColor="text1"/>
          <w:kern w:val="24"/>
          <w:szCs w:val="24"/>
        </w:rPr>
        <w:t xml:space="preserve">.  The notice will inform respondents of the </w:t>
      </w:r>
      <w:r w:rsidRPr="00F60263" w:rsidR="00C6765F">
        <w:rPr>
          <w:rFonts w:cs="Calibri" w:eastAsiaTheme="minorEastAsia"/>
          <w:color w:val="000000" w:themeColor="text1"/>
          <w:kern w:val="24"/>
          <w:szCs w:val="24"/>
        </w:rPr>
        <w:t>OMB control number and current expiration date.</w:t>
      </w:r>
      <w:r w:rsidR="007D492D">
        <w:rPr>
          <w:rFonts w:cs="Calibri" w:eastAsiaTheme="minorEastAsia"/>
          <w:color w:val="000000" w:themeColor="text1"/>
          <w:kern w:val="24"/>
          <w:szCs w:val="24"/>
        </w:rPr>
        <w:t xml:space="preserve">  </w:t>
      </w:r>
      <w:r w:rsidR="00A71C4C">
        <w:rPr>
          <w:rFonts w:cs="Calibri" w:eastAsiaTheme="minorEastAsia"/>
          <w:color w:val="000000" w:themeColor="text1"/>
          <w:kern w:val="24"/>
          <w:szCs w:val="24"/>
        </w:rPr>
        <w:t>However,</w:t>
      </w:r>
      <w:r w:rsidR="00637818">
        <w:rPr>
          <w:rFonts w:cs="Calibri" w:eastAsiaTheme="minorEastAsia"/>
          <w:color w:val="000000" w:themeColor="text1"/>
          <w:kern w:val="24"/>
          <w:szCs w:val="24"/>
        </w:rPr>
        <w:t xml:space="preserve"> </w:t>
      </w:r>
      <w:r w:rsidRPr="007F3A46" w:rsidR="007F3A46">
        <w:rPr>
          <w:rFonts w:cs="Calibri" w:eastAsiaTheme="minorEastAsia"/>
          <w:color w:val="000000" w:themeColor="text1"/>
          <w:kern w:val="24"/>
          <w:szCs w:val="24"/>
        </w:rPr>
        <w:t xml:space="preserve">because </w:t>
      </w:r>
      <w:r w:rsidR="00637818">
        <w:rPr>
          <w:rFonts w:cs="Calibri" w:eastAsiaTheme="minorEastAsia"/>
          <w:color w:val="000000" w:themeColor="text1"/>
          <w:kern w:val="24"/>
          <w:szCs w:val="24"/>
        </w:rPr>
        <w:t xml:space="preserve">agency </w:t>
      </w:r>
      <w:r w:rsidR="004046E5">
        <w:rPr>
          <w:rFonts w:cs="Calibri" w:eastAsiaTheme="minorEastAsia"/>
          <w:color w:val="000000" w:themeColor="text1"/>
          <w:kern w:val="24"/>
          <w:szCs w:val="24"/>
        </w:rPr>
        <w:t xml:space="preserve">guidance </w:t>
      </w:r>
      <w:r w:rsidRPr="007F3A46" w:rsidR="007F3A46">
        <w:rPr>
          <w:rFonts w:cs="Calibri" w:eastAsiaTheme="minorEastAsia"/>
          <w:color w:val="000000" w:themeColor="text1"/>
          <w:kern w:val="24"/>
          <w:szCs w:val="24"/>
        </w:rPr>
        <w:t>documents are more frequently being accessed electronically</w:t>
      </w:r>
      <w:r w:rsidR="00D4626F">
        <w:rPr>
          <w:rFonts w:cs="Calibri" w:eastAsiaTheme="minorEastAsia"/>
          <w:color w:val="000000" w:themeColor="text1"/>
          <w:kern w:val="24"/>
          <w:szCs w:val="24"/>
        </w:rPr>
        <w:t>,</w:t>
      </w:r>
      <w:r w:rsidRPr="007F3A46" w:rsidR="007F3A46">
        <w:rPr>
          <w:rFonts w:cs="Calibri" w:eastAsiaTheme="minorEastAsia"/>
          <w:color w:val="000000" w:themeColor="text1"/>
          <w:kern w:val="24"/>
          <w:szCs w:val="24"/>
        </w:rPr>
        <w:t xml:space="preserve"> we are </w:t>
      </w:r>
      <w:r w:rsidR="005526A8">
        <w:rPr>
          <w:rFonts w:cs="Calibri" w:eastAsiaTheme="minorEastAsia"/>
          <w:color w:val="000000" w:themeColor="text1"/>
          <w:kern w:val="24"/>
          <w:szCs w:val="24"/>
        </w:rPr>
        <w:t xml:space="preserve">making </w:t>
      </w:r>
      <w:r w:rsidRPr="007F3A46" w:rsidR="007F3A46">
        <w:rPr>
          <w:rFonts w:cs="Calibri" w:eastAsiaTheme="minorEastAsia"/>
          <w:color w:val="000000" w:themeColor="text1"/>
          <w:kern w:val="24"/>
          <w:szCs w:val="24"/>
        </w:rPr>
        <w:t>technological</w:t>
      </w:r>
      <w:r w:rsidR="00854C58">
        <w:rPr>
          <w:rFonts w:cs="Calibri" w:eastAsiaTheme="minorEastAsia"/>
          <w:color w:val="000000" w:themeColor="text1"/>
          <w:kern w:val="24"/>
          <w:szCs w:val="24"/>
        </w:rPr>
        <w:t xml:space="preserve"> updates</w:t>
      </w:r>
      <w:r w:rsidRPr="007F3A46" w:rsidR="007F3A46">
        <w:rPr>
          <w:rFonts w:cs="Calibri" w:eastAsiaTheme="minorEastAsia"/>
          <w:color w:val="000000" w:themeColor="text1"/>
          <w:kern w:val="24"/>
          <w:szCs w:val="24"/>
        </w:rPr>
        <w:t xml:space="preserve"> </w:t>
      </w:r>
      <w:r w:rsidR="005526A8">
        <w:rPr>
          <w:rFonts w:cs="Calibri" w:eastAsiaTheme="minorEastAsia"/>
          <w:color w:val="000000" w:themeColor="text1"/>
          <w:kern w:val="24"/>
          <w:szCs w:val="24"/>
        </w:rPr>
        <w:t>t</w:t>
      </w:r>
      <w:r w:rsidRPr="007F3A46" w:rsidR="007F3A46">
        <w:rPr>
          <w:rFonts w:cs="Calibri" w:eastAsiaTheme="minorEastAsia"/>
          <w:color w:val="000000" w:themeColor="text1"/>
          <w:kern w:val="24"/>
          <w:szCs w:val="24"/>
        </w:rPr>
        <w:t>o display the expiration date by linking to approval information found</w:t>
      </w:r>
      <w:r w:rsidR="005E24D9">
        <w:rPr>
          <w:rFonts w:cs="Calibri" w:eastAsiaTheme="minorEastAsia"/>
          <w:color w:val="000000" w:themeColor="text1"/>
          <w:kern w:val="24"/>
          <w:szCs w:val="24"/>
        </w:rPr>
        <w:t xml:space="preserve"> at</w:t>
      </w:r>
      <w:r w:rsidRPr="007F3A46" w:rsidR="007F3A46">
        <w:rPr>
          <w:rFonts w:cs="Calibri" w:eastAsiaTheme="minorEastAsia"/>
          <w:color w:val="000000" w:themeColor="text1"/>
          <w:kern w:val="24"/>
          <w:szCs w:val="24"/>
        </w:rPr>
        <w:t xml:space="preserve"> </w:t>
      </w:r>
      <w:hyperlink w:history="1" r:id="rId13">
        <w:r w:rsidRPr="005E24D9" w:rsidR="009A5A37">
          <w:rPr>
            <w:rStyle w:val="Hyperlink"/>
            <w:rFonts w:cs="Calibri" w:eastAsiaTheme="minorEastAsia"/>
            <w:kern w:val="24"/>
            <w:szCs w:val="24"/>
          </w:rPr>
          <w:t>https://www.reginfo.gov</w:t>
        </w:r>
        <w:r w:rsidRPr="005E24D9" w:rsidR="005E24D9">
          <w:rPr>
            <w:rStyle w:val="Hyperlink"/>
            <w:rFonts w:cs="Calibri" w:eastAsiaTheme="minorEastAsia"/>
            <w:kern w:val="24"/>
            <w:szCs w:val="24"/>
          </w:rPr>
          <w:t>/public/</w:t>
        </w:r>
      </w:hyperlink>
      <w:r w:rsidR="005E24D9">
        <w:rPr>
          <w:rFonts w:cs="Calibri" w:eastAsiaTheme="minorEastAsia"/>
          <w:color w:val="000000" w:themeColor="text1"/>
          <w:kern w:val="24"/>
          <w:szCs w:val="24"/>
        </w:rPr>
        <w:t xml:space="preserve">.  </w:t>
      </w:r>
      <w:r w:rsidRPr="007F3A46" w:rsidR="007F3A46">
        <w:rPr>
          <w:rFonts w:cs="Calibri" w:eastAsiaTheme="minorEastAsia"/>
          <w:color w:val="000000" w:themeColor="text1"/>
          <w:kern w:val="24"/>
          <w:szCs w:val="24"/>
        </w:rPr>
        <w:t xml:space="preserve">We intend to include the OMB control number and expiration date on the guidance </w:t>
      </w:r>
      <w:r w:rsidR="00027DC9">
        <w:rPr>
          <w:rFonts w:cs="Calibri" w:eastAsiaTheme="minorEastAsia"/>
          <w:color w:val="000000" w:themeColor="text1"/>
          <w:kern w:val="24"/>
          <w:szCs w:val="24"/>
        </w:rPr>
        <w:t xml:space="preserve">document </w:t>
      </w:r>
      <w:r w:rsidRPr="007F3A46" w:rsidR="007F3A46">
        <w:rPr>
          <w:rFonts w:cs="Calibri" w:eastAsiaTheme="minorEastAsia"/>
          <w:color w:val="000000" w:themeColor="text1"/>
          <w:kern w:val="24"/>
          <w:szCs w:val="24"/>
        </w:rPr>
        <w:t>landing page, allowing those who download the document an easily identifiable option to view this information.  This also allows the agency to more easily update the expiration date upon renewal and/or revision of OMB approval</w:t>
      </w:r>
      <w:r w:rsidR="00027DC9">
        <w:rPr>
          <w:rFonts w:cs="Calibri" w:eastAsiaTheme="minorEastAsia"/>
          <w:color w:val="000000" w:themeColor="text1"/>
          <w:kern w:val="24"/>
          <w:szCs w:val="24"/>
        </w:rPr>
        <w:t xml:space="preserve"> of associated information collection</w:t>
      </w:r>
      <w:r w:rsidRPr="007F3A46" w:rsidR="007F3A46">
        <w:rPr>
          <w:rFonts w:cs="Calibri" w:eastAsiaTheme="minorEastAsia"/>
          <w:color w:val="000000" w:themeColor="text1"/>
          <w:kern w:val="24"/>
          <w:szCs w:val="24"/>
        </w:rPr>
        <w:t>.  We are taking this approach to improve compatibility with current website platform</w:t>
      </w:r>
      <w:r w:rsidR="004A75C7">
        <w:rPr>
          <w:rFonts w:cs="Calibri" w:eastAsiaTheme="minorEastAsia"/>
          <w:color w:val="000000" w:themeColor="text1"/>
          <w:kern w:val="24"/>
          <w:szCs w:val="24"/>
        </w:rPr>
        <w:t>s utilized by FDA</w:t>
      </w:r>
      <w:r w:rsidR="007F6230">
        <w:rPr>
          <w:rFonts w:cs="Calibri" w:eastAsiaTheme="minorEastAsia"/>
          <w:color w:val="000000" w:themeColor="text1"/>
          <w:kern w:val="24"/>
          <w:szCs w:val="24"/>
        </w:rPr>
        <w:t>.</w:t>
      </w:r>
    </w:p>
    <w:p w:rsidRPr="00F60263" w:rsidR="00FA4EAB" w:rsidP="00D4000C" w:rsidRDefault="004A75C7" w14:paraId="2B8DAC5D" w14:textId="45346416">
      <w:pPr>
        <w:kinsoku w:val="0"/>
        <w:overflowPunct w:val="0"/>
        <w:spacing w:after="0" w:line="240" w:lineRule="auto"/>
        <w:ind w:left="0" w:firstLine="0"/>
        <w:textAlignment w:val="baseline"/>
        <w:rPr>
          <w:color w:val="000000" w:themeColor="text1"/>
        </w:rPr>
      </w:pPr>
      <w:r>
        <w:rPr>
          <w:rFonts w:cs="Calibri" w:eastAsiaTheme="minorEastAsia"/>
          <w:color w:val="000000" w:themeColor="text1"/>
          <w:kern w:val="24"/>
          <w:szCs w:val="24"/>
        </w:rPr>
        <w:t>.</w:t>
      </w:r>
      <w:r w:rsidR="005739D2">
        <w:rPr>
          <w:rFonts w:cs="Calibri" w:eastAsiaTheme="minorEastAsia"/>
          <w:color w:val="000000" w:themeColor="text1"/>
          <w:kern w:val="24"/>
          <w:szCs w:val="24"/>
        </w:rPr>
        <w:t xml:space="preserve">  </w:t>
      </w:r>
    </w:p>
    <w:p w:rsidRPr="00F60263" w:rsidR="00FA4EAB" w:rsidRDefault="00BC0554" w14:paraId="751A29E6" w14:textId="77777777">
      <w:pPr>
        <w:pStyle w:val="Heading2"/>
        <w:ind w:left="-5"/>
        <w:rPr>
          <w:color w:val="000000" w:themeColor="text1"/>
        </w:rPr>
      </w:pPr>
      <w:r w:rsidRPr="00F60263">
        <w:rPr>
          <w:color w:val="000000" w:themeColor="text1"/>
          <w:u w:val="none"/>
        </w:rPr>
        <w:t xml:space="preserve">18.  </w:t>
      </w:r>
      <w:r w:rsidRPr="00F60263">
        <w:rPr>
          <w:color w:val="000000" w:themeColor="text1"/>
        </w:rPr>
        <w:t>Exception to Certification for Paperwork Reduction Act Submissions</w:t>
      </w:r>
      <w:r w:rsidRPr="00F60263">
        <w:rPr>
          <w:color w:val="000000" w:themeColor="text1"/>
          <w:u w:val="none"/>
        </w:rPr>
        <w:t xml:space="preserve"> </w:t>
      </w:r>
    </w:p>
    <w:p w:rsidRPr="00F60263" w:rsidR="00FA4EAB" w:rsidRDefault="00BC0554" w14:paraId="07C64CA7" w14:textId="77777777">
      <w:pPr>
        <w:spacing w:after="0" w:line="259" w:lineRule="auto"/>
        <w:ind w:left="0" w:firstLine="0"/>
        <w:rPr>
          <w:color w:val="000000" w:themeColor="text1"/>
        </w:rPr>
      </w:pPr>
      <w:r w:rsidRPr="00F60263">
        <w:rPr>
          <w:color w:val="000000" w:themeColor="text1"/>
        </w:rPr>
        <w:t xml:space="preserve"> </w:t>
      </w:r>
    </w:p>
    <w:p w:rsidRPr="00F60263" w:rsidR="00FA4EAB" w:rsidRDefault="00BC0554" w14:paraId="5D774BF4" w14:textId="77777777">
      <w:pPr>
        <w:ind w:left="-5"/>
        <w:rPr>
          <w:color w:val="000000" w:themeColor="text1"/>
        </w:rPr>
      </w:pPr>
      <w:r w:rsidRPr="00F60263">
        <w:rPr>
          <w:color w:val="000000" w:themeColor="text1"/>
        </w:rPr>
        <w:t xml:space="preserve">There are no exceptions to the certification. </w:t>
      </w:r>
    </w:p>
    <w:p w:rsidRPr="00F60263" w:rsidR="00FA4EAB" w:rsidRDefault="00BC0554" w14:paraId="44A9ACB4" w14:textId="77777777">
      <w:pPr>
        <w:spacing w:after="0" w:line="259" w:lineRule="auto"/>
        <w:ind w:left="0" w:firstLine="0"/>
        <w:rPr>
          <w:color w:val="000000" w:themeColor="text1"/>
        </w:rPr>
      </w:pPr>
      <w:r w:rsidRPr="00F60263">
        <w:rPr>
          <w:color w:val="000000" w:themeColor="text1"/>
        </w:rPr>
        <w:t xml:space="preserve"> </w:t>
      </w:r>
    </w:p>
    <w:sectPr w:rsidRPr="00F60263" w:rsidR="00FA4EAB" w:rsidSect="006F0069">
      <w:pgSz w:w="12240" w:h="15840"/>
      <w:pgMar w:top="1440" w:right="1440" w:bottom="1440" w:left="172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4778B" w14:textId="77777777" w:rsidR="002B562C" w:rsidRDefault="002B562C">
      <w:pPr>
        <w:spacing w:after="0" w:line="240" w:lineRule="auto"/>
      </w:pPr>
      <w:r>
        <w:separator/>
      </w:r>
    </w:p>
  </w:endnote>
  <w:endnote w:type="continuationSeparator" w:id="0">
    <w:p w14:paraId="717876F0" w14:textId="77777777" w:rsidR="002B562C" w:rsidRDefault="002B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FFEE7" w14:textId="77777777" w:rsidR="00FA4EAB" w:rsidRDefault="00FA4EA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58254" w14:textId="77777777" w:rsidR="002B562C" w:rsidRDefault="002B562C">
      <w:pPr>
        <w:spacing w:after="0" w:line="240" w:lineRule="auto"/>
      </w:pPr>
      <w:r>
        <w:separator/>
      </w:r>
    </w:p>
  </w:footnote>
  <w:footnote w:type="continuationSeparator" w:id="0">
    <w:p w14:paraId="6841EB08" w14:textId="77777777" w:rsidR="002B562C" w:rsidRDefault="002B5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0368891"/>
      <w:docPartObj>
        <w:docPartGallery w:val="Page Numbers (Top of Page)"/>
        <w:docPartUnique/>
      </w:docPartObj>
    </w:sdtPr>
    <w:sdtEndPr>
      <w:rPr>
        <w:noProof/>
      </w:rPr>
    </w:sdtEndPr>
    <w:sdtContent>
      <w:p w14:paraId="4DBE8899" w14:textId="77777777" w:rsidR="00FC5036" w:rsidRDefault="00D14FD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4FDEAA17" w14:textId="5C4B3F0C" w:rsidR="00D14FDA" w:rsidRDefault="00D14FDA">
        <w:pPr>
          <w:pStyle w:val="Header"/>
          <w:jc w:val="right"/>
        </w:pPr>
      </w:p>
    </w:sdtContent>
  </w:sdt>
  <w:p w14:paraId="4048E221" w14:textId="77777777" w:rsidR="00D14FDA" w:rsidRDefault="00D14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54C6D"/>
    <w:multiLevelType w:val="hybridMultilevel"/>
    <w:tmpl w:val="69B47D0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0E53407C"/>
    <w:multiLevelType w:val="hybridMultilevel"/>
    <w:tmpl w:val="2CAE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C2787"/>
    <w:multiLevelType w:val="hybridMultilevel"/>
    <w:tmpl w:val="5240CFE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 w15:restartNumberingAfterBreak="0">
    <w:nsid w:val="28976BEA"/>
    <w:multiLevelType w:val="multilevel"/>
    <w:tmpl w:val="96E097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17309F"/>
    <w:multiLevelType w:val="hybridMultilevel"/>
    <w:tmpl w:val="2094102A"/>
    <w:lvl w:ilvl="0" w:tplc="64E2B19E">
      <w:start w:val="1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B630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CD0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5278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E0E3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24B4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DC10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F247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0E85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A006D0"/>
    <w:multiLevelType w:val="hybridMultilevel"/>
    <w:tmpl w:val="09D0EDD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6" w15:restartNumberingAfterBreak="0">
    <w:nsid w:val="4D7C47DC"/>
    <w:multiLevelType w:val="multilevel"/>
    <w:tmpl w:val="FA1EE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857103"/>
    <w:multiLevelType w:val="hybridMultilevel"/>
    <w:tmpl w:val="A09026E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 w15:restartNumberingAfterBreak="0">
    <w:nsid w:val="77054F33"/>
    <w:multiLevelType w:val="hybridMultilevel"/>
    <w:tmpl w:val="555AE2DC"/>
    <w:lvl w:ilvl="0" w:tplc="ACF01450">
      <w:start w:val="16"/>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A0A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F2C4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C0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6C0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48D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47F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C7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201C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8"/>
  </w:num>
  <w:num w:numId="3">
    <w:abstractNumId w:val="7"/>
  </w:num>
  <w:num w:numId="4">
    <w:abstractNumId w:val="5"/>
  </w:num>
  <w:num w:numId="5">
    <w:abstractNumId w:val="0"/>
  </w:num>
  <w:num w:numId="6">
    <w:abstractNumId w:val="2"/>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EAB"/>
    <w:rsid w:val="00003227"/>
    <w:rsid w:val="000043EE"/>
    <w:rsid w:val="00006369"/>
    <w:rsid w:val="0000793C"/>
    <w:rsid w:val="000161CB"/>
    <w:rsid w:val="000222FE"/>
    <w:rsid w:val="000233D1"/>
    <w:rsid w:val="00025D07"/>
    <w:rsid w:val="000267C1"/>
    <w:rsid w:val="00027DC9"/>
    <w:rsid w:val="00033782"/>
    <w:rsid w:val="00033CCF"/>
    <w:rsid w:val="0004572C"/>
    <w:rsid w:val="000474CC"/>
    <w:rsid w:val="00054321"/>
    <w:rsid w:val="000563B9"/>
    <w:rsid w:val="000622A8"/>
    <w:rsid w:val="00067AC9"/>
    <w:rsid w:val="00067C11"/>
    <w:rsid w:val="00072E18"/>
    <w:rsid w:val="00080157"/>
    <w:rsid w:val="00080860"/>
    <w:rsid w:val="00080FE4"/>
    <w:rsid w:val="0009617D"/>
    <w:rsid w:val="00097889"/>
    <w:rsid w:val="00097DBB"/>
    <w:rsid w:val="000A058F"/>
    <w:rsid w:val="000B0800"/>
    <w:rsid w:val="000B1EF7"/>
    <w:rsid w:val="000B22E2"/>
    <w:rsid w:val="000C03FE"/>
    <w:rsid w:val="000C27F1"/>
    <w:rsid w:val="000C2C99"/>
    <w:rsid w:val="000C6DA8"/>
    <w:rsid w:val="000E01B3"/>
    <w:rsid w:val="000E5BF5"/>
    <w:rsid w:val="000F6CCA"/>
    <w:rsid w:val="000F752C"/>
    <w:rsid w:val="001042A1"/>
    <w:rsid w:val="0010633C"/>
    <w:rsid w:val="00112601"/>
    <w:rsid w:val="00113874"/>
    <w:rsid w:val="00123F44"/>
    <w:rsid w:val="00132485"/>
    <w:rsid w:val="00136CF3"/>
    <w:rsid w:val="0014564F"/>
    <w:rsid w:val="0016342C"/>
    <w:rsid w:val="001638D3"/>
    <w:rsid w:val="00166669"/>
    <w:rsid w:val="0017248A"/>
    <w:rsid w:val="00175D58"/>
    <w:rsid w:val="00176599"/>
    <w:rsid w:val="00181158"/>
    <w:rsid w:val="00182C40"/>
    <w:rsid w:val="00182DF0"/>
    <w:rsid w:val="001874DB"/>
    <w:rsid w:val="001933C0"/>
    <w:rsid w:val="00196E5B"/>
    <w:rsid w:val="00197B3F"/>
    <w:rsid w:val="001A1831"/>
    <w:rsid w:val="001A411C"/>
    <w:rsid w:val="001A5E5E"/>
    <w:rsid w:val="001B02F6"/>
    <w:rsid w:val="001B432D"/>
    <w:rsid w:val="001B5686"/>
    <w:rsid w:val="001B7E2E"/>
    <w:rsid w:val="001C25F8"/>
    <w:rsid w:val="001D32CA"/>
    <w:rsid w:val="001D5E90"/>
    <w:rsid w:val="001D5F5B"/>
    <w:rsid w:val="001D7032"/>
    <w:rsid w:val="001E2BB7"/>
    <w:rsid w:val="001E2EFC"/>
    <w:rsid w:val="001E49A1"/>
    <w:rsid w:val="001E5A0A"/>
    <w:rsid w:val="001F0C32"/>
    <w:rsid w:val="001F5CD4"/>
    <w:rsid w:val="0020218B"/>
    <w:rsid w:val="0020365A"/>
    <w:rsid w:val="00204BF2"/>
    <w:rsid w:val="00210127"/>
    <w:rsid w:val="0021406A"/>
    <w:rsid w:val="00223BEA"/>
    <w:rsid w:val="00223E90"/>
    <w:rsid w:val="0022481F"/>
    <w:rsid w:val="002254FF"/>
    <w:rsid w:val="00240496"/>
    <w:rsid w:val="00240872"/>
    <w:rsid w:val="00250489"/>
    <w:rsid w:val="00252B15"/>
    <w:rsid w:val="00254585"/>
    <w:rsid w:val="00257123"/>
    <w:rsid w:val="00270BE7"/>
    <w:rsid w:val="00271C2D"/>
    <w:rsid w:val="00276212"/>
    <w:rsid w:val="00285534"/>
    <w:rsid w:val="00285E06"/>
    <w:rsid w:val="00292502"/>
    <w:rsid w:val="002940F6"/>
    <w:rsid w:val="002974E6"/>
    <w:rsid w:val="002A529A"/>
    <w:rsid w:val="002A7660"/>
    <w:rsid w:val="002B391C"/>
    <w:rsid w:val="002B5507"/>
    <w:rsid w:val="002B562C"/>
    <w:rsid w:val="002B5F8F"/>
    <w:rsid w:val="002B75A9"/>
    <w:rsid w:val="002B794B"/>
    <w:rsid w:val="002C3981"/>
    <w:rsid w:val="002C75DF"/>
    <w:rsid w:val="002D1E18"/>
    <w:rsid w:val="002D420C"/>
    <w:rsid w:val="002D6259"/>
    <w:rsid w:val="002E3BFA"/>
    <w:rsid w:val="002E7B3E"/>
    <w:rsid w:val="002F61D0"/>
    <w:rsid w:val="002F6B0B"/>
    <w:rsid w:val="00300414"/>
    <w:rsid w:val="003042DD"/>
    <w:rsid w:val="00310E62"/>
    <w:rsid w:val="0031593B"/>
    <w:rsid w:val="00315A34"/>
    <w:rsid w:val="00321266"/>
    <w:rsid w:val="0032531E"/>
    <w:rsid w:val="00331E4A"/>
    <w:rsid w:val="003348D5"/>
    <w:rsid w:val="003354D5"/>
    <w:rsid w:val="00336461"/>
    <w:rsid w:val="003428D7"/>
    <w:rsid w:val="00344108"/>
    <w:rsid w:val="00355763"/>
    <w:rsid w:val="00355A77"/>
    <w:rsid w:val="00365BE5"/>
    <w:rsid w:val="00374107"/>
    <w:rsid w:val="003748E0"/>
    <w:rsid w:val="00387263"/>
    <w:rsid w:val="00387449"/>
    <w:rsid w:val="00392950"/>
    <w:rsid w:val="00393346"/>
    <w:rsid w:val="00395048"/>
    <w:rsid w:val="00395A81"/>
    <w:rsid w:val="003A1D9C"/>
    <w:rsid w:val="003A2DEC"/>
    <w:rsid w:val="003A62D9"/>
    <w:rsid w:val="003A7E7E"/>
    <w:rsid w:val="003D0C4A"/>
    <w:rsid w:val="003D151F"/>
    <w:rsid w:val="003E00A1"/>
    <w:rsid w:val="003E0563"/>
    <w:rsid w:val="003E6665"/>
    <w:rsid w:val="004011CF"/>
    <w:rsid w:val="004046E5"/>
    <w:rsid w:val="00405136"/>
    <w:rsid w:val="0040651B"/>
    <w:rsid w:val="00410A60"/>
    <w:rsid w:val="004114AE"/>
    <w:rsid w:val="00415C52"/>
    <w:rsid w:val="00420B22"/>
    <w:rsid w:val="00423F0F"/>
    <w:rsid w:val="00425566"/>
    <w:rsid w:val="00431724"/>
    <w:rsid w:val="0043542E"/>
    <w:rsid w:val="00440178"/>
    <w:rsid w:val="00451804"/>
    <w:rsid w:val="004658CC"/>
    <w:rsid w:val="004667E8"/>
    <w:rsid w:val="004754D3"/>
    <w:rsid w:val="00477DEF"/>
    <w:rsid w:val="0049173E"/>
    <w:rsid w:val="00497284"/>
    <w:rsid w:val="004A26F4"/>
    <w:rsid w:val="004A3B74"/>
    <w:rsid w:val="004A75C7"/>
    <w:rsid w:val="004A786B"/>
    <w:rsid w:val="004C10A3"/>
    <w:rsid w:val="004C10B4"/>
    <w:rsid w:val="004C139B"/>
    <w:rsid w:val="004C251D"/>
    <w:rsid w:val="004C7465"/>
    <w:rsid w:val="004D4B07"/>
    <w:rsid w:val="004E4427"/>
    <w:rsid w:val="004E7275"/>
    <w:rsid w:val="004F4547"/>
    <w:rsid w:val="004F7335"/>
    <w:rsid w:val="004F773A"/>
    <w:rsid w:val="00507077"/>
    <w:rsid w:val="00511D62"/>
    <w:rsid w:val="00515459"/>
    <w:rsid w:val="00525003"/>
    <w:rsid w:val="00531FD6"/>
    <w:rsid w:val="005376C8"/>
    <w:rsid w:val="00546E6A"/>
    <w:rsid w:val="00546F25"/>
    <w:rsid w:val="0055076E"/>
    <w:rsid w:val="005526A8"/>
    <w:rsid w:val="00552CE5"/>
    <w:rsid w:val="00556369"/>
    <w:rsid w:val="00557DE3"/>
    <w:rsid w:val="00562CA0"/>
    <w:rsid w:val="0056482D"/>
    <w:rsid w:val="00565181"/>
    <w:rsid w:val="00565480"/>
    <w:rsid w:val="00566778"/>
    <w:rsid w:val="005700B8"/>
    <w:rsid w:val="00571397"/>
    <w:rsid w:val="005739D2"/>
    <w:rsid w:val="0057676B"/>
    <w:rsid w:val="00582E4D"/>
    <w:rsid w:val="00584073"/>
    <w:rsid w:val="005915ED"/>
    <w:rsid w:val="0059343E"/>
    <w:rsid w:val="005A5E64"/>
    <w:rsid w:val="005B0C16"/>
    <w:rsid w:val="005B1411"/>
    <w:rsid w:val="005B2105"/>
    <w:rsid w:val="005B2E48"/>
    <w:rsid w:val="005B571F"/>
    <w:rsid w:val="005C5795"/>
    <w:rsid w:val="005C5C6E"/>
    <w:rsid w:val="005D24A0"/>
    <w:rsid w:val="005D3BEC"/>
    <w:rsid w:val="005D50E4"/>
    <w:rsid w:val="005D538E"/>
    <w:rsid w:val="005D707C"/>
    <w:rsid w:val="005E24D9"/>
    <w:rsid w:val="005E746D"/>
    <w:rsid w:val="005F010D"/>
    <w:rsid w:val="005F15EF"/>
    <w:rsid w:val="005F6153"/>
    <w:rsid w:val="005F7396"/>
    <w:rsid w:val="00603482"/>
    <w:rsid w:val="00611B16"/>
    <w:rsid w:val="006131FB"/>
    <w:rsid w:val="00613D2B"/>
    <w:rsid w:val="00621484"/>
    <w:rsid w:val="00625106"/>
    <w:rsid w:val="00625A5C"/>
    <w:rsid w:val="006334EC"/>
    <w:rsid w:val="00637818"/>
    <w:rsid w:val="00640877"/>
    <w:rsid w:val="00643401"/>
    <w:rsid w:val="00655B51"/>
    <w:rsid w:val="00657519"/>
    <w:rsid w:val="00657DF4"/>
    <w:rsid w:val="00660606"/>
    <w:rsid w:val="006607BC"/>
    <w:rsid w:val="00661EE7"/>
    <w:rsid w:val="00676FA7"/>
    <w:rsid w:val="00677D54"/>
    <w:rsid w:val="00680849"/>
    <w:rsid w:val="006808B9"/>
    <w:rsid w:val="0069078F"/>
    <w:rsid w:val="00690D1B"/>
    <w:rsid w:val="006920AA"/>
    <w:rsid w:val="00693F90"/>
    <w:rsid w:val="006A2AD0"/>
    <w:rsid w:val="006A57F9"/>
    <w:rsid w:val="006A72E7"/>
    <w:rsid w:val="006B3AA7"/>
    <w:rsid w:val="006B4683"/>
    <w:rsid w:val="006C145D"/>
    <w:rsid w:val="006C5FFE"/>
    <w:rsid w:val="006E14FF"/>
    <w:rsid w:val="006F0069"/>
    <w:rsid w:val="00703FC2"/>
    <w:rsid w:val="007170AE"/>
    <w:rsid w:val="00721D8F"/>
    <w:rsid w:val="00722E1B"/>
    <w:rsid w:val="00724B18"/>
    <w:rsid w:val="007253CA"/>
    <w:rsid w:val="00732B94"/>
    <w:rsid w:val="00733821"/>
    <w:rsid w:val="0073454A"/>
    <w:rsid w:val="007418C2"/>
    <w:rsid w:val="00743236"/>
    <w:rsid w:val="00743DD3"/>
    <w:rsid w:val="00744C27"/>
    <w:rsid w:val="00745C5D"/>
    <w:rsid w:val="00750A9B"/>
    <w:rsid w:val="00752419"/>
    <w:rsid w:val="00752F73"/>
    <w:rsid w:val="007532DA"/>
    <w:rsid w:val="00756258"/>
    <w:rsid w:val="00760BEF"/>
    <w:rsid w:val="00771455"/>
    <w:rsid w:val="00773B5C"/>
    <w:rsid w:val="0077764A"/>
    <w:rsid w:val="00785EED"/>
    <w:rsid w:val="007A4960"/>
    <w:rsid w:val="007A66A3"/>
    <w:rsid w:val="007B206D"/>
    <w:rsid w:val="007B62C8"/>
    <w:rsid w:val="007C254B"/>
    <w:rsid w:val="007D2DE0"/>
    <w:rsid w:val="007D492D"/>
    <w:rsid w:val="007D554A"/>
    <w:rsid w:val="007E212D"/>
    <w:rsid w:val="007E3C78"/>
    <w:rsid w:val="007F3A46"/>
    <w:rsid w:val="007F6230"/>
    <w:rsid w:val="00807C48"/>
    <w:rsid w:val="00811749"/>
    <w:rsid w:val="00814B7E"/>
    <w:rsid w:val="00815984"/>
    <w:rsid w:val="00815D1F"/>
    <w:rsid w:val="00820B4E"/>
    <w:rsid w:val="008257D7"/>
    <w:rsid w:val="008308F8"/>
    <w:rsid w:val="00834679"/>
    <w:rsid w:val="00834E3A"/>
    <w:rsid w:val="00846C42"/>
    <w:rsid w:val="0085403C"/>
    <w:rsid w:val="00854C58"/>
    <w:rsid w:val="00854D39"/>
    <w:rsid w:val="0085528A"/>
    <w:rsid w:val="00873C2A"/>
    <w:rsid w:val="00875B13"/>
    <w:rsid w:val="008825EA"/>
    <w:rsid w:val="008836BD"/>
    <w:rsid w:val="00883950"/>
    <w:rsid w:val="008853A7"/>
    <w:rsid w:val="008879A0"/>
    <w:rsid w:val="00890876"/>
    <w:rsid w:val="008964EF"/>
    <w:rsid w:val="008A15DD"/>
    <w:rsid w:val="008C534B"/>
    <w:rsid w:val="008C656E"/>
    <w:rsid w:val="008D45F3"/>
    <w:rsid w:val="008D4F29"/>
    <w:rsid w:val="008D7524"/>
    <w:rsid w:val="008E015E"/>
    <w:rsid w:val="008E2D6E"/>
    <w:rsid w:val="008E33E9"/>
    <w:rsid w:val="008F4A5F"/>
    <w:rsid w:val="008F6B07"/>
    <w:rsid w:val="009076ED"/>
    <w:rsid w:val="00911006"/>
    <w:rsid w:val="00913BD5"/>
    <w:rsid w:val="00916298"/>
    <w:rsid w:val="00916CA5"/>
    <w:rsid w:val="00925D47"/>
    <w:rsid w:val="00927C70"/>
    <w:rsid w:val="0093380B"/>
    <w:rsid w:val="00935D22"/>
    <w:rsid w:val="00936AB5"/>
    <w:rsid w:val="009409B5"/>
    <w:rsid w:val="00950218"/>
    <w:rsid w:val="00952FA2"/>
    <w:rsid w:val="009550F4"/>
    <w:rsid w:val="0096136F"/>
    <w:rsid w:val="00961A2A"/>
    <w:rsid w:val="00972F8D"/>
    <w:rsid w:val="009801B4"/>
    <w:rsid w:val="00981694"/>
    <w:rsid w:val="0098556A"/>
    <w:rsid w:val="00991602"/>
    <w:rsid w:val="00996A7A"/>
    <w:rsid w:val="009A5A37"/>
    <w:rsid w:val="009B41E4"/>
    <w:rsid w:val="009B48BC"/>
    <w:rsid w:val="009C0127"/>
    <w:rsid w:val="009C300E"/>
    <w:rsid w:val="009C4F3E"/>
    <w:rsid w:val="009C7307"/>
    <w:rsid w:val="009D069A"/>
    <w:rsid w:val="009D22F9"/>
    <w:rsid w:val="009D32C9"/>
    <w:rsid w:val="009D7EAE"/>
    <w:rsid w:val="009E2AC2"/>
    <w:rsid w:val="009F6DC1"/>
    <w:rsid w:val="009F763A"/>
    <w:rsid w:val="00A00F35"/>
    <w:rsid w:val="00A0778F"/>
    <w:rsid w:val="00A13352"/>
    <w:rsid w:val="00A16FA6"/>
    <w:rsid w:val="00A35393"/>
    <w:rsid w:val="00A356E5"/>
    <w:rsid w:val="00A404D1"/>
    <w:rsid w:val="00A4300E"/>
    <w:rsid w:val="00A44AF3"/>
    <w:rsid w:val="00A55421"/>
    <w:rsid w:val="00A65A13"/>
    <w:rsid w:val="00A70427"/>
    <w:rsid w:val="00A71C4C"/>
    <w:rsid w:val="00A80556"/>
    <w:rsid w:val="00A84E4F"/>
    <w:rsid w:val="00A85343"/>
    <w:rsid w:val="00A97E2C"/>
    <w:rsid w:val="00AA3A47"/>
    <w:rsid w:val="00AB184C"/>
    <w:rsid w:val="00AB290C"/>
    <w:rsid w:val="00AB399F"/>
    <w:rsid w:val="00AB786D"/>
    <w:rsid w:val="00AC6DBB"/>
    <w:rsid w:val="00AC78CF"/>
    <w:rsid w:val="00AD16E7"/>
    <w:rsid w:val="00AD1D3D"/>
    <w:rsid w:val="00AD4DAB"/>
    <w:rsid w:val="00AD52A9"/>
    <w:rsid w:val="00AD561A"/>
    <w:rsid w:val="00AD57AA"/>
    <w:rsid w:val="00AD632F"/>
    <w:rsid w:val="00AE503E"/>
    <w:rsid w:val="00AF5BDC"/>
    <w:rsid w:val="00AF5ED2"/>
    <w:rsid w:val="00AF74D2"/>
    <w:rsid w:val="00B029CA"/>
    <w:rsid w:val="00B1058D"/>
    <w:rsid w:val="00B10ABE"/>
    <w:rsid w:val="00B11ED4"/>
    <w:rsid w:val="00B20CD8"/>
    <w:rsid w:val="00B26182"/>
    <w:rsid w:val="00B415DD"/>
    <w:rsid w:val="00B4723E"/>
    <w:rsid w:val="00B50590"/>
    <w:rsid w:val="00B51BD9"/>
    <w:rsid w:val="00B55CC5"/>
    <w:rsid w:val="00B61B46"/>
    <w:rsid w:val="00B63663"/>
    <w:rsid w:val="00B64235"/>
    <w:rsid w:val="00B64324"/>
    <w:rsid w:val="00B65D85"/>
    <w:rsid w:val="00B7016D"/>
    <w:rsid w:val="00B74EF8"/>
    <w:rsid w:val="00B754B1"/>
    <w:rsid w:val="00B8633B"/>
    <w:rsid w:val="00B87EF7"/>
    <w:rsid w:val="00B9521D"/>
    <w:rsid w:val="00BA7E0A"/>
    <w:rsid w:val="00BB0121"/>
    <w:rsid w:val="00BC0554"/>
    <w:rsid w:val="00BC1D60"/>
    <w:rsid w:val="00BC3520"/>
    <w:rsid w:val="00BD0566"/>
    <w:rsid w:val="00BD0E0B"/>
    <w:rsid w:val="00BD64D1"/>
    <w:rsid w:val="00BE0771"/>
    <w:rsid w:val="00BE2101"/>
    <w:rsid w:val="00BE43C2"/>
    <w:rsid w:val="00BF7E74"/>
    <w:rsid w:val="00C00453"/>
    <w:rsid w:val="00C00B5B"/>
    <w:rsid w:val="00C05F79"/>
    <w:rsid w:val="00C10A9F"/>
    <w:rsid w:val="00C10E7A"/>
    <w:rsid w:val="00C13FD5"/>
    <w:rsid w:val="00C14CD1"/>
    <w:rsid w:val="00C15CC5"/>
    <w:rsid w:val="00C161D7"/>
    <w:rsid w:val="00C20588"/>
    <w:rsid w:val="00C23B77"/>
    <w:rsid w:val="00C26F42"/>
    <w:rsid w:val="00C32F29"/>
    <w:rsid w:val="00C41EE8"/>
    <w:rsid w:val="00C42E58"/>
    <w:rsid w:val="00C5009C"/>
    <w:rsid w:val="00C5463A"/>
    <w:rsid w:val="00C578FE"/>
    <w:rsid w:val="00C61CCC"/>
    <w:rsid w:val="00C64265"/>
    <w:rsid w:val="00C6765F"/>
    <w:rsid w:val="00C76249"/>
    <w:rsid w:val="00C8079C"/>
    <w:rsid w:val="00C81397"/>
    <w:rsid w:val="00C836C4"/>
    <w:rsid w:val="00CA41B2"/>
    <w:rsid w:val="00CA6AAD"/>
    <w:rsid w:val="00CA6DA7"/>
    <w:rsid w:val="00CB1A82"/>
    <w:rsid w:val="00CC31A3"/>
    <w:rsid w:val="00CC3AA4"/>
    <w:rsid w:val="00CC4BFF"/>
    <w:rsid w:val="00CC75F8"/>
    <w:rsid w:val="00CC78C0"/>
    <w:rsid w:val="00CD1D2C"/>
    <w:rsid w:val="00CD3B0D"/>
    <w:rsid w:val="00CD4681"/>
    <w:rsid w:val="00CD73CD"/>
    <w:rsid w:val="00CD7755"/>
    <w:rsid w:val="00CE18D0"/>
    <w:rsid w:val="00CE435F"/>
    <w:rsid w:val="00CE68A5"/>
    <w:rsid w:val="00CE7399"/>
    <w:rsid w:val="00CF04F3"/>
    <w:rsid w:val="00CF4583"/>
    <w:rsid w:val="00D01EB6"/>
    <w:rsid w:val="00D06BEB"/>
    <w:rsid w:val="00D10353"/>
    <w:rsid w:val="00D14FDA"/>
    <w:rsid w:val="00D159F1"/>
    <w:rsid w:val="00D200CB"/>
    <w:rsid w:val="00D3320A"/>
    <w:rsid w:val="00D333F1"/>
    <w:rsid w:val="00D33F07"/>
    <w:rsid w:val="00D364DE"/>
    <w:rsid w:val="00D4000C"/>
    <w:rsid w:val="00D4626F"/>
    <w:rsid w:val="00D50C75"/>
    <w:rsid w:val="00D52F19"/>
    <w:rsid w:val="00D53399"/>
    <w:rsid w:val="00D54FCC"/>
    <w:rsid w:val="00D57CE8"/>
    <w:rsid w:val="00D6146B"/>
    <w:rsid w:val="00D63E80"/>
    <w:rsid w:val="00D6419C"/>
    <w:rsid w:val="00D76183"/>
    <w:rsid w:val="00D80CB0"/>
    <w:rsid w:val="00D86879"/>
    <w:rsid w:val="00D915AC"/>
    <w:rsid w:val="00D922FD"/>
    <w:rsid w:val="00D92DA1"/>
    <w:rsid w:val="00DA55B4"/>
    <w:rsid w:val="00DB0F8B"/>
    <w:rsid w:val="00DB145D"/>
    <w:rsid w:val="00DC14E1"/>
    <w:rsid w:val="00DC4B42"/>
    <w:rsid w:val="00DD14BF"/>
    <w:rsid w:val="00DD1DD2"/>
    <w:rsid w:val="00DD69CC"/>
    <w:rsid w:val="00DE2B64"/>
    <w:rsid w:val="00DE572D"/>
    <w:rsid w:val="00DE62B5"/>
    <w:rsid w:val="00DF214A"/>
    <w:rsid w:val="00DF385B"/>
    <w:rsid w:val="00DF6208"/>
    <w:rsid w:val="00DF6292"/>
    <w:rsid w:val="00E03366"/>
    <w:rsid w:val="00E16D4F"/>
    <w:rsid w:val="00E24002"/>
    <w:rsid w:val="00E30BB6"/>
    <w:rsid w:val="00E32F0C"/>
    <w:rsid w:val="00E32F4A"/>
    <w:rsid w:val="00E34DD0"/>
    <w:rsid w:val="00E351D1"/>
    <w:rsid w:val="00E401BA"/>
    <w:rsid w:val="00E408C5"/>
    <w:rsid w:val="00E464CD"/>
    <w:rsid w:val="00E46E5A"/>
    <w:rsid w:val="00E5071E"/>
    <w:rsid w:val="00E56A63"/>
    <w:rsid w:val="00E63C0E"/>
    <w:rsid w:val="00E778C8"/>
    <w:rsid w:val="00E93D7C"/>
    <w:rsid w:val="00E97354"/>
    <w:rsid w:val="00EA0142"/>
    <w:rsid w:val="00EA3F6C"/>
    <w:rsid w:val="00EC5626"/>
    <w:rsid w:val="00EC59D7"/>
    <w:rsid w:val="00EC67C7"/>
    <w:rsid w:val="00ED2549"/>
    <w:rsid w:val="00ED2BCD"/>
    <w:rsid w:val="00ED423C"/>
    <w:rsid w:val="00EE345F"/>
    <w:rsid w:val="00EF1794"/>
    <w:rsid w:val="00EF1863"/>
    <w:rsid w:val="00EF2571"/>
    <w:rsid w:val="00EF3E4C"/>
    <w:rsid w:val="00F0534D"/>
    <w:rsid w:val="00F13A54"/>
    <w:rsid w:val="00F161D5"/>
    <w:rsid w:val="00F263E1"/>
    <w:rsid w:val="00F30A96"/>
    <w:rsid w:val="00F402A7"/>
    <w:rsid w:val="00F44DD2"/>
    <w:rsid w:val="00F47F83"/>
    <w:rsid w:val="00F510AA"/>
    <w:rsid w:val="00F51878"/>
    <w:rsid w:val="00F547C2"/>
    <w:rsid w:val="00F60263"/>
    <w:rsid w:val="00F6042B"/>
    <w:rsid w:val="00F63C4E"/>
    <w:rsid w:val="00F647A8"/>
    <w:rsid w:val="00F65312"/>
    <w:rsid w:val="00F77595"/>
    <w:rsid w:val="00F814D8"/>
    <w:rsid w:val="00F90654"/>
    <w:rsid w:val="00F92624"/>
    <w:rsid w:val="00F928EE"/>
    <w:rsid w:val="00FA370C"/>
    <w:rsid w:val="00FA4EAB"/>
    <w:rsid w:val="00FB0357"/>
    <w:rsid w:val="00FC5036"/>
    <w:rsid w:val="00FD0118"/>
    <w:rsid w:val="00FD17F2"/>
    <w:rsid w:val="00FD1959"/>
    <w:rsid w:val="00FE5A91"/>
    <w:rsid w:val="00FF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D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2"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 w:line="249" w:lineRule="auto"/>
      <w:ind w:left="12"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13" w:line="249" w:lineRule="auto"/>
      <w:ind w:left="12"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33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CCF"/>
    <w:rPr>
      <w:rFonts w:ascii="Times New Roman" w:eastAsia="Times New Roman" w:hAnsi="Times New Roman" w:cs="Times New Roman"/>
      <w:color w:val="000000"/>
      <w:sz w:val="24"/>
    </w:rPr>
  </w:style>
  <w:style w:type="paragraph" w:styleId="BodyText">
    <w:name w:val="Body Text"/>
    <w:basedOn w:val="Normal"/>
    <w:link w:val="BodyTextChar"/>
    <w:uiPriority w:val="1"/>
    <w:qFormat/>
    <w:rsid w:val="00BC0554"/>
    <w:pPr>
      <w:widowControl w:val="0"/>
      <w:spacing w:after="0" w:line="240" w:lineRule="auto"/>
      <w:ind w:left="40" w:firstLine="0"/>
    </w:pPr>
    <w:rPr>
      <w:rFonts w:cstheme="minorBidi"/>
      <w:color w:val="auto"/>
      <w:szCs w:val="24"/>
    </w:rPr>
  </w:style>
  <w:style w:type="character" w:customStyle="1" w:styleId="BodyTextChar">
    <w:name w:val="Body Text Char"/>
    <w:basedOn w:val="DefaultParagraphFont"/>
    <w:link w:val="BodyText"/>
    <w:uiPriority w:val="1"/>
    <w:rsid w:val="00BC0554"/>
    <w:rPr>
      <w:rFonts w:ascii="Times New Roman" w:eastAsia="Times New Roman" w:hAnsi="Times New Roman"/>
      <w:sz w:val="24"/>
      <w:szCs w:val="24"/>
    </w:rPr>
  </w:style>
  <w:style w:type="paragraph" w:styleId="ListParagraph">
    <w:name w:val="List Paragraph"/>
    <w:basedOn w:val="Normal"/>
    <w:uiPriority w:val="34"/>
    <w:qFormat/>
    <w:rsid w:val="006C145D"/>
    <w:pPr>
      <w:ind w:left="720"/>
      <w:contextualSpacing/>
    </w:pPr>
  </w:style>
  <w:style w:type="character" w:styleId="CommentReference">
    <w:name w:val="annotation reference"/>
    <w:basedOn w:val="DefaultParagraphFont"/>
    <w:uiPriority w:val="99"/>
    <w:semiHidden/>
    <w:unhideWhenUsed/>
    <w:rsid w:val="004C10B4"/>
    <w:rPr>
      <w:sz w:val="16"/>
      <w:szCs w:val="16"/>
    </w:rPr>
  </w:style>
  <w:style w:type="paragraph" w:styleId="CommentText">
    <w:name w:val="annotation text"/>
    <w:basedOn w:val="Normal"/>
    <w:link w:val="CommentTextChar"/>
    <w:uiPriority w:val="99"/>
    <w:semiHidden/>
    <w:unhideWhenUsed/>
    <w:rsid w:val="004C10B4"/>
    <w:pPr>
      <w:spacing w:line="240" w:lineRule="auto"/>
    </w:pPr>
    <w:rPr>
      <w:sz w:val="20"/>
      <w:szCs w:val="20"/>
    </w:rPr>
  </w:style>
  <w:style w:type="character" w:customStyle="1" w:styleId="CommentTextChar">
    <w:name w:val="Comment Text Char"/>
    <w:basedOn w:val="DefaultParagraphFont"/>
    <w:link w:val="CommentText"/>
    <w:uiPriority w:val="99"/>
    <w:semiHidden/>
    <w:rsid w:val="004C10B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C10B4"/>
    <w:rPr>
      <w:b/>
      <w:bCs/>
    </w:rPr>
  </w:style>
  <w:style w:type="character" w:customStyle="1" w:styleId="CommentSubjectChar">
    <w:name w:val="Comment Subject Char"/>
    <w:basedOn w:val="CommentTextChar"/>
    <w:link w:val="CommentSubject"/>
    <w:uiPriority w:val="99"/>
    <w:semiHidden/>
    <w:rsid w:val="004C10B4"/>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4C10B4"/>
    <w:rPr>
      <w:color w:val="0563C1" w:themeColor="hyperlink"/>
      <w:u w:val="single"/>
    </w:rPr>
  </w:style>
  <w:style w:type="character" w:styleId="UnresolvedMention">
    <w:name w:val="Unresolved Mention"/>
    <w:basedOn w:val="DefaultParagraphFont"/>
    <w:uiPriority w:val="99"/>
    <w:semiHidden/>
    <w:unhideWhenUsed/>
    <w:rsid w:val="004C10B4"/>
    <w:rPr>
      <w:color w:val="605E5C"/>
      <w:shd w:val="clear" w:color="auto" w:fill="E1DFDD"/>
    </w:rPr>
  </w:style>
  <w:style w:type="paragraph" w:styleId="NormalWeb">
    <w:name w:val="Normal (Web)"/>
    <w:basedOn w:val="Normal"/>
    <w:uiPriority w:val="99"/>
    <w:semiHidden/>
    <w:unhideWhenUsed/>
    <w:rsid w:val="00C6765F"/>
    <w:pPr>
      <w:spacing w:before="100" w:beforeAutospacing="1" w:after="100" w:afterAutospacing="1" w:line="240" w:lineRule="auto"/>
      <w:ind w:left="0" w:firstLine="0"/>
    </w:pPr>
    <w:rPr>
      <w:color w:val="auto"/>
      <w:szCs w:val="24"/>
    </w:rPr>
  </w:style>
  <w:style w:type="character" w:styleId="FollowedHyperlink">
    <w:name w:val="FollowedHyperlink"/>
    <w:basedOn w:val="DefaultParagraphFont"/>
    <w:uiPriority w:val="99"/>
    <w:semiHidden/>
    <w:unhideWhenUsed/>
    <w:rsid w:val="00097889"/>
    <w:rPr>
      <w:color w:val="954F72" w:themeColor="followedHyperlink"/>
      <w:u w:val="single"/>
    </w:rPr>
  </w:style>
  <w:style w:type="paragraph" w:styleId="Footer">
    <w:name w:val="footer"/>
    <w:basedOn w:val="Normal"/>
    <w:link w:val="FooterChar"/>
    <w:uiPriority w:val="99"/>
    <w:unhideWhenUsed/>
    <w:rsid w:val="004D4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B0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340801">
      <w:bodyDiv w:val="1"/>
      <w:marLeft w:val="0"/>
      <w:marRight w:val="0"/>
      <w:marTop w:val="0"/>
      <w:marBottom w:val="0"/>
      <w:divBdr>
        <w:top w:val="none" w:sz="0" w:space="0" w:color="auto"/>
        <w:left w:val="none" w:sz="0" w:space="0" w:color="auto"/>
        <w:bottom w:val="none" w:sz="0" w:space="0" w:color="auto"/>
        <w:right w:val="none" w:sz="0" w:space="0" w:color="auto"/>
      </w:divBdr>
    </w:div>
    <w:div w:id="524558655">
      <w:bodyDiv w:val="1"/>
      <w:marLeft w:val="0"/>
      <w:marRight w:val="0"/>
      <w:marTop w:val="0"/>
      <w:marBottom w:val="0"/>
      <w:divBdr>
        <w:top w:val="none" w:sz="0" w:space="0" w:color="auto"/>
        <w:left w:val="none" w:sz="0" w:space="0" w:color="auto"/>
        <w:bottom w:val="none" w:sz="0" w:space="0" w:color="auto"/>
        <w:right w:val="none" w:sz="0" w:space="0" w:color="auto"/>
      </w:divBdr>
    </w:div>
    <w:div w:id="577403516">
      <w:bodyDiv w:val="1"/>
      <w:marLeft w:val="0"/>
      <w:marRight w:val="0"/>
      <w:marTop w:val="0"/>
      <w:marBottom w:val="0"/>
      <w:divBdr>
        <w:top w:val="none" w:sz="0" w:space="0" w:color="auto"/>
        <w:left w:val="none" w:sz="0" w:space="0" w:color="auto"/>
        <w:bottom w:val="none" w:sz="0" w:space="0" w:color="auto"/>
        <w:right w:val="none" w:sz="0" w:space="0" w:color="auto"/>
      </w:divBdr>
    </w:div>
    <w:div w:id="1046417066">
      <w:bodyDiv w:val="1"/>
      <w:marLeft w:val="0"/>
      <w:marRight w:val="0"/>
      <w:marTop w:val="0"/>
      <w:marBottom w:val="0"/>
      <w:divBdr>
        <w:top w:val="none" w:sz="0" w:space="0" w:color="auto"/>
        <w:left w:val="none" w:sz="0" w:space="0" w:color="auto"/>
        <w:bottom w:val="none" w:sz="0" w:space="0" w:color="auto"/>
        <w:right w:val="none" w:sz="0" w:space="0" w:color="auto"/>
      </w:divBdr>
    </w:div>
    <w:div w:id="1261596763">
      <w:bodyDiv w:val="1"/>
      <w:marLeft w:val="0"/>
      <w:marRight w:val="0"/>
      <w:marTop w:val="0"/>
      <w:marBottom w:val="0"/>
      <w:divBdr>
        <w:top w:val="none" w:sz="0" w:space="0" w:color="auto"/>
        <w:left w:val="none" w:sz="0" w:space="0" w:color="auto"/>
        <w:bottom w:val="none" w:sz="0" w:space="0" w:color="auto"/>
        <w:right w:val="none" w:sz="0" w:space="0" w:color="auto"/>
      </w:divBdr>
    </w:div>
    <w:div w:id="1325353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da.gov/drugs/questions-and-answers-fdas-adverse-event-reporting-system-faers/fda-adverse-event-reporting-system-faers-electronic-submissions" TargetMode="External"/><Relationship Id="rId13" Type="http://schemas.openxmlformats.org/officeDocument/2006/relationships/hyperlink" Target="https://www.reginfo.gov/public/" TargetMode="External"/><Relationship Id="rId3" Type="http://schemas.openxmlformats.org/officeDocument/2006/relationships/settings" Target="settings.xml"/><Relationship Id="rId7" Type="http://schemas.openxmlformats.org/officeDocument/2006/relationships/hyperlink" Target="https://www.fda.gov/drugs/surveillance/postmarketing-adverse-event-reporting-compliance-program" TargetMode="External"/><Relationship Id="rId12" Type="http://schemas.openxmlformats.org/officeDocument/2006/relationships/hyperlink" Target="https://www.fda.gov/media/72498/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a/85520/downloa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2878</Words>
  <Characters>16406</Characters>
  <Application>Microsoft Office Word</Application>
  <DocSecurity>0</DocSecurity>
  <Lines>136</Lines>
  <Paragraphs>38</Paragraphs>
  <ScaleCrop>false</ScaleCrop>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2021-11-21T18:59:00Z</dcterms:created>
  <dcterms:modified xsi:type="dcterms:W3CDTF">2021-11-21T19:17:00Z</dcterms:modified>
</cp:coreProperties>
</file>