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7B0C" w:rsidRPr="00703D8B" w:rsidP="00703D8B" w14:paraId="25B21017" w14:textId="77777777">
      <w:pPr>
        <w:jc w:val="center"/>
        <w:rPr>
          <w:b/>
          <w:sz w:val="32"/>
          <w:szCs w:val="32"/>
        </w:rPr>
      </w:pPr>
      <w:r w:rsidRPr="00703D8B">
        <w:rPr>
          <w:b/>
          <w:sz w:val="32"/>
          <w:szCs w:val="32"/>
        </w:rPr>
        <w:t xml:space="preserve">Tobacco </w:t>
      </w:r>
      <w:r w:rsidRPr="00703D8B" w:rsidR="005558BC">
        <w:rPr>
          <w:b/>
          <w:sz w:val="32"/>
          <w:szCs w:val="32"/>
        </w:rPr>
        <w:t xml:space="preserve">Product Ingredient Listing </w:t>
      </w:r>
      <w:r w:rsidR="00B27E89">
        <w:rPr>
          <w:b/>
          <w:sz w:val="32"/>
          <w:szCs w:val="32"/>
        </w:rPr>
        <w:t>Collection</w:t>
      </w:r>
      <w:r w:rsidR="007D04D8">
        <w:rPr>
          <w:b/>
          <w:sz w:val="32"/>
          <w:szCs w:val="32"/>
        </w:rPr>
        <w:t>s</w:t>
      </w:r>
      <w:r w:rsidR="00B27E89">
        <w:rPr>
          <w:b/>
          <w:sz w:val="32"/>
          <w:szCs w:val="32"/>
        </w:rPr>
        <w:t xml:space="preserve"> by</w:t>
      </w:r>
      <w:r w:rsidRPr="00703D8B" w:rsidR="00040709">
        <w:rPr>
          <w:b/>
          <w:sz w:val="32"/>
          <w:szCs w:val="32"/>
        </w:rPr>
        <w:t xml:space="preserve"> CDC and FDA</w:t>
      </w:r>
    </w:p>
    <w:p w:rsidR="00BB3F45" w:rsidP="00EB66E6" w14:paraId="3B2001E5" w14:textId="77777777">
      <w:pPr>
        <w:rPr>
          <w:b/>
          <w:sz w:val="24"/>
          <w:szCs w:val="24"/>
        </w:rPr>
      </w:pPr>
    </w:p>
    <w:p w:rsidR="000B45C3" w:rsidP="00EB66E6" w14:paraId="55F594BB" w14:textId="38A6DD28">
      <w:pPr>
        <w:rPr>
          <w:sz w:val="24"/>
          <w:szCs w:val="24"/>
        </w:rPr>
      </w:pPr>
      <w:r>
        <w:rPr>
          <w:b/>
          <w:sz w:val="24"/>
          <w:szCs w:val="24"/>
        </w:rPr>
        <w:t xml:space="preserve">Issue:  </w:t>
      </w:r>
      <w:r w:rsidRPr="0029789C">
        <w:rPr>
          <w:sz w:val="24"/>
          <w:szCs w:val="24"/>
        </w:rPr>
        <w:t xml:space="preserve">Whether </w:t>
      </w:r>
      <w:r>
        <w:rPr>
          <w:sz w:val="24"/>
          <w:szCs w:val="24"/>
        </w:rPr>
        <w:t xml:space="preserve">tobacco product ingredient listing information collected by the Food and Drug Administration (FDA) </w:t>
      </w:r>
      <w:r w:rsidR="009F07B3">
        <w:rPr>
          <w:sz w:val="24"/>
          <w:szCs w:val="24"/>
        </w:rPr>
        <w:t xml:space="preserve">(OMB Control Number 0910-0650) </w:t>
      </w:r>
      <w:r>
        <w:rPr>
          <w:sz w:val="24"/>
          <w:szCs w:val="24"/>
        </w:rPr>
        <w:t xml:space="preserve">and the Center for Disease Control (CDC) </w:t>
      </w:r>
      <w:r w:rsidR="009F07B3">
        <w:rPr>
          <w:sz w:val="24"/>
          <w:szCs w:val="24"/>
        </w:rPr>
        <w:t>(OMB Control Numbers 0920-0210 and 0920-0338</w:t>
      </w:r>
      <w:r w:rsidR="00AC2C62">
        <w:rPr>
          <w:sz w:val="24"/>
          <w:szCs w:val="24"/>
        </w:rPr>
        <w:t>) are</w:t>
      </w:r>
      <w:r>
        <w:rPr>
          <w:sz w:val="24"/>
          <w:szCs w:val="24"/>
        </w:rPr>
        <w:t xml:space="preserve"> duplicative. </w:t>
      </w:r>
    </w:p>
    <w:p w:rsidR="0029789C" w:rsidP="00EB66E6" w14:paraId="4957A6B2" w14:textId="747F1095">
      <w:pPr>
        <w:rPr>
          <w:sz w:val="24"/>
          <w:szCs w:val="24"/>
        </w:rPr>
      </w:pPr>
      <w:r>
        <w:rPr>
          <w:b/>
          <w:sz w:val="24"/>
          <w:szCs w:val="24"/>
        </w:rPr>
        <w:t xml:space="preserve">Resolution:  </w:t>
      </w:r>
      <w:r>
        <w:rPr>
          <w:sz w:val="24"/>
          <w:szCs w:val="24"/>
        </w:rPr>
        <w:t xml:space="preserve">As discussed and agreed upon by OMB, FDA, and CDC at a June 6, 2013, meeting, </w:t>
      </w:r>
      <w:r w:rsidR="00B27E89">
        <w:rPr>
          <w:sz w:val="24"/>
          <w:szCs w:val="24"/>
        </w:rPr>
        <w:t xml:space="preserve">the </w:t>
      </w:r>
      <w:r w:rsidR="00B27E89">
        <w:rPr>
          <w:sz w:val="24"/>
          <w:szCs w:val="24"/>
        </w:rPr>
        <w:t>FDA</w:t>
      </w:r>
      <w:r w:rsidR="00B27E89">
        <w:rPr>
          <w:sz w:val="24"/>
          <w:szCs w:val="24"/>
        </w:rPr>
        <w:t xml:space="preserve"> and CDC </w:t>
      </w:r>
      <w:r>
        <w:rPr>
          <w:sz w:val="24"/>
          <w:szCs w:val="24"/>
        </w:rPr>
        <w:t xml:space="preserve">data collections for tobacco product ingredient listing are similar but are not duplicative </w:t>
      </w:r>
      <w:r w:rsidR="002D6D14">
        <w:rPr>
          <w:sz w:val="24"/>
          <w:szCs w:val="24"/>
        </w:rPr>
        <w:t>(</w:t>
      </w:r>
      <w:r>
        <w:rPr>
          <w:sz w:val="24"/>
          <w:szCs w:val="24"/>
        </w:rPr>
        <w:t xml:space="preserve">as </w:t>
      </w:r>
      <w:r w:rsidR="002D6D14">
        <w:rPr>
          <w:sz w:val="24"/>
          <w:szCs w:val="24"/>
        </w:rPr>
        <w:t xml:space="preserve">described </w:t>
      </w:r>
      <w:r w:rsidR="00AC2C62">
        <w:rPr>
          <w:sz w:val="24"/>
          <w:szCs w:val="24"/>
        </w:rPr>
        <w:t xml:space="preserve">in greater detail </w:t>
      </w:r>
      <w:r>
        <w:rPr>
          <w:sz w:val="24"/>
          <w:szCs w:val="24"/>
        </w:rPr>
        <w:t>below</w:t>
      </w:r>
      <w:r w:rsidR="002D6D14">
        <w:rPr>
          <w:sz w:val="24"/>
          <w:szCs w:val="24"/>
        </w:rPr>
        <w:t>)</w:t>
      </w:r>
      <w:r>
        <w:rPr>
          <w:sz w:val="24"/>
          <w:szCs w:val="24"/>
        </w:rPr>
        <w:t xml:space="preserve">. </w:t>
      </w:r>
      <w:r w:rsidR="00A80D37">
        <w:rPr>
          <w:sz w:val="24"/>
          <w:szCs w:val="24"/>
        </w:rPr>
        <w:t xml:space="preserve">However, both agencies </w:t>
      </w:r>
      <w:r w:rsidR="00F617B2">
        <w:rPr>
          <w:sz w:val="24"/>
          <w:szCs w:val="24"/>
        </w:rPr>
        <w:t xml:space="preserve">have </w:t>
      </w:r>
      <w:r w:rsidR="00A80D37">
        <w:rPr>
          <w:sz w:val="24"/>
          <w:szCs w:val="24"/>
        </w:rPr>
        <w:t>continue</w:t>
      </w:r>
      <w:r w:rsidR="00F617B2">
        <w:rPr>
          <w:sz w:val="24"/>
          <w:szCs w:val="24"/>
        </w:rPr>
        <w:t>d</w:t>
      </w:r>
      <w:r w:rsidR="00A80D37">
        <w:rPr>
          <w:sz w:val="24"/>
          <w:szCs w:val="24"/>
        </w:rPr>
        <w:t xml:space="preserve"> to discuss opportunities for collaboration to enhance the overall usefulness of both agencies’ tobacco product data collections</w:t>
      </w:r>
      <w:r w:rsidR="005F693B">
        <w:rPr>
          <w:sz w:val="24"/>
          <w:szCs w:val="24"/>
        </w:rPr>
        <w:t xml:space="preserve"> </w:t>
      </w:r>
      <w:r w:rsidRPr="00C76CD1" w:rsidR="005F693B">
        <w:rPr>
          <w:sz w:val="24"/>
          <w:szCs w:val="24"/>
        </w:rPr>
        <w:t xml:space="preserve">and elimination </w:t>
      </w:r>
      <w:r w:rsidRPr="00C76CD1" w:rsidR="00351D7A">
        <w:rPr>
          <w:sz w:val="24"/>
          <w:szCs w:val="24"/>
        </w:rPr>
        <w:t>of future</w:t>
      </w:r>
      <w:r w:rsidRPr="00C76CD1" w:rsidR="005F693B">
        <w:rPr>
          <w:sz w:val="24"/>
          <w:szCs w:val="24"/>
        </w:rPr>
        <w:t xml:space="preserve"> duplicative collections of information</w:t>
      </w:r>
      <w:r w:rsidRPr="00EE055B" w:rsidR="00A80D37">
        <w:rPr>
          <w:sz w:val="24"/>
          <w:szCs w:val="24"/>
        </w:rPr>
        <w:t>.</w:t>
      </w:r>
      <w:r w:rsidR="00A80D37">
        <w:rPr>
          <w:sz w:val="24"/>
          <w:szCs w:val="24"/>
        </w:rPr>
        <w:t xml:space="preserve"> </w:t>
      </w:r>
      <w:r>
        <w:rPr>
          <w:sz w:val="24"/>
          <w:szCs w:val="24"/>
        </w:rPr>
        <w:t xml:space="preserve"> </w:t>
      </w:r>
      <w:r w:rsidRPr="00EB66E6">
        <w:rPr>
          <w:sz w:val="24"/>
          <w:szCs w:val="24"/>
        </w:rPr>
        <w:t xml:space="preserve"> </w:t>
      </w:r>
    </w:p>
    <w:p w:rsidR="00C02C6A" w:rsidP="00EB66E6" w14:paraId="42A2CF8F" w14:textId="49AC2827">
      <w:pPr>
        <w:rPr>
          <w:sz w:val="24"/>
          <w:szCs w:val="24"/>
        </w:rPr>
      </w:pPr>
      <w:r>
        <w:rPr>
          <w:sz w:val="24"/>
          <w:szCs w:val="24"/>
        </w:rPr>
        <w:t xml:space="preserve">FDA and CDC have agreed upon a Memorandum of Understanding (MOU) which primarily addresses sharing of data and test methods between </w:t>
      </w:r>
      <w:r w:rsidR="00AC2C62">
        <w:rPr>
          <w:sz w:val="24"/>
          <w:szCs w:val="24"/>
        </w:rPr>
        <w:t>both</w:t>
      </w:r>
      <w:r>
        <w:rPr>
          <w:sz w:val="24"/>
          <w:szCs w:val="24"/>
        </w:rPr>
        <w:t xml:space="preserve"> agencies.  There are also two interagency agreements in place in which CTP funds either cycles of existing surveys such as the National Youth Tobacco Survey (NYTS</w:t>
      </w:r>
      <w:r w:rsidR="00F617B2">
        <w:rPr>
          <w:sz w:val="24"/>
          <w:szCs w:val="24"/>
        </w:rPr>
        <w:t>) or</w:t>
      </w:r>
      <w:r>
        <w:rPr>
          <w:sz w:val="24"/>
          <w:szCs w:val="24"/>
        </w:rPr>
        <w:t xml:space="preserve"> leverages existing CDC surveys such as the Pregnancy Risk Assessment Monitoring System (PRAMS) survey and the National Health Interview Survey (NHIS) by funding additional FDA drafted survey questions.  </w:t>
      </w:r>
    </w:p>
    <w:p w:rsidR="003673D4" w:rsidP="00D92F7A" w14:paraId="01A85661" w14:textId="77777777">
      <w:pPr>
        <w:rPr>
          <w:sz w:val="24"/>
          <w:szCs w:val="24"/>
        </w:rPr>
      </w:pPr>
      <w:r>
        <w:rPr>
          <w:b/>
          <w:sz w:val="24"/>
          <w:szCs w:val="24"/>
        </w:rPr>
        <w:t>Background</w:t>
      </w:r>
      <w:r w:rsidR="000B45C3">
        <w:rPr>
          <w:b/>
          <w:sz w:val="24"/>
          <w:szCs w:val="24"/>
        </w:rPr>
        <w:t xml:space="preserve">:  </w:t>
      </w:r>
      <w:bookmarkStart w:id="0" w:name="_Hlk115700258"/>
      <w:r w:rsidR="00CF2670">
        <w:rPr>
          <w:sz w:val="24"/>
          <w:szCs w:val="24"/>
        </w:rPr>
        <w:t>The CDC and FDA each rely</w:t>
      </w:r>
      <w:r w:rsidR="007D04D8">
        <w:rPr>
          <w:sz w:val="24"/>
          <w:szCs w:val="24"/>
        </w:rPr>
        <w:t xml:space="preserve"> on different statutory authorities to collect their respective data. </w:t>
      </w:r>
      <w:r w:rsidR="00040709">
        <w:rPr>
          <w:sz w:val="24"/>
          <w:szCs w:val="24"/>
        </w:rPr>
        <w:t>CDC</w:t>
      </w:r>
      <w:r w:rsidR="00BB3F45">
        <w:rPr>
          <w:sz w:val="24"/>
          <w:szCs w:val="24"/>
        </w:rPr>
        <w:t xml:space="preserve"> collects </w:t>
      </w:r>
      <w:r w:rsidR="00514271">
        <w:rPr>
          <w:sz w:val="24"/>
          <w:szCs w:val="24"/>
        </w:rPr>
        <w:t xml:space="preserve">certain </w:t>
      </w:r>
      <w:r w:rsidRPr="00F2387D" w:rsidR="00BB3F45">
        <w:rPr>
          <w:sz w:val="24"/>
          <w:szCs w:val="24"/>
        </w:rPr>
        <w:t>product ingredie</w:t>
      </w:r>
      <w:r w:rsidR="00BB3F45">
        <w:rPr>
          <w:sz w:val="24"/>
          <w:szCs w:val="24"/>
        </w:rPr>
        <w:t>nt information</w:t>
      </w:r>
      <w:r w:rsidR="00040709">
        <w:rPr>
          <w:sz w:val="24"/>
          <w:szCs w:val="24"/>
        </w:rPr>
        <w:t xml:space="preserve"> authorized </w:t>
      </w:r>
      <w:r w:rsidRPr="00F2387D" w:rsidR="005558BC">
        <w:rPr>
          <w:sz w:val="24"/>
          <w:szCs w:val="24"/>
        </w:rPr>
        <w:t xml:space="preserve">under the Federal Cigarette Labeling and Advertising Act (FCLAA) </w:t>
      </w:r>
      <w:r w:rsidR="00040709">
        <w:rPr>
          <w:sz w:val="24"/>
          <w:szCs w:val="24"/>
        </w:rPr>
        <w:t xml:space="preserve">(OMB Control Number 0920-0210) </w:t>
      </w:r>
      <w:r w:rsidRPr="00F2387D" w:rsidR="005558BC">
        <w:rPr>
          <w:sz w:val="24"/>
          <w:szCs w:val="24"/>
        </w:rPr>
        <w:t>and the Comprehensive Smokeless Tobacco Health Education Act (CSTHEA</w:t>
      </w:r>
      <w:r w:rsidRPr="00F2387D" w:rsidR="00032C4E">
        <w:rPr>
          <w:sz w:val="24"/>
          <w:szCs w:val="24"/>
        </w:rPr>
        <w:t xml:space="preserve">) </w:t>
      </w:r>
      <w:r w:rsidR="00032C4E">
        <w:rPr>
          <w:sz w:val="24"/>
          <w:szCs w:val="24"/>
        </w:rPr>
        <w:t>(</w:t>
      </w:r>
      <w:r w:rsidR="00040709">
        <w:rPr>
          <w:sz w:val="24"/>
          <w:szCs w:val="24"/>
        </w:rPr>
        <w:t>OMB Control Number 09</w:t>
      </w:r>
      <w:r w:rsidR="00183657">
        <w:rPr>
          <w:sz w:val="24"/>
          <w:szCs w:val="24"/>
        </w:rPr>
        <w:t>2</w:t>
      </w:r>
      <w:r w:rsidR="00040709">
        <w:rPr>
          <w:sz w:val="24"/>
          <w:szCs w:val="24"/>
        </w:rPr>
        <w:t>0-0338)</w:t>
      </w:r>
      <w:r w:rsidR="00963DBC">
        <w:rPr>
          <w:sz w:val="24"/>
          <w:szCs w:val="24"/>
        </w:rPr>
        <w:t>.</w:t>
      </w:r>
      <w:r w:rsidR="00040709">
        <w:rPr>
          <w:sz w:val="24"/>
          <w:szCs w:val="24"/>
        </w:rPr>
        <w:t xml:space="preserve"> </w:t>
      </w:r>
      <w:r w:rsidR="007D04D8">
        <w:rPr>
          <w:sz w:val="24"/>
          <w:szCs w:val="24"/>
        </w:rPr>
        <w:t>FDA</w:t>
      </w:r>
      <w:r w:rsidRPr="00F2387D" w:rsidR="007D04D8">
        <w:rPr>
          <w:sz w:val="24"/>
          <w:szCs w:val="24"/>
        </w:rPr>
        <w:t xml:space="preserve"> </w:t>
      </w:r>
      <w:r w:rsidR="00963DBC">
        <w:rPr>
          <w:sz w:val="24"/>
          <w:szCs w:val="24"/>
        </w:rPr>
        <w:t xml:space="preserve">collects </w:t>
      </w:r>
      <w:r w:rsidRPr="00F2387D" w:rsidR="00963DBC">
        <w:rPr>
          <w:sz w:val="24"/>
          <w:szCs w:val="24"/>
        </w:rPr>
        <w:t xml:space="preserve">product ingredient information </w:t>
      </w:r>
      <w:r w:rsidRPr="00F2387D" w:rsidR="005558BC">
        <w:rPr>
          <w:sz w:val="24"/>
          <w:szCs w:val="24"/>
        </w:rPr>
        <w:t>under the Family Smoking Prevention and Tobacco Control Act (Tobacco Control Act)</w:t>
      </w:r>
      <w:r w:rsidR="00040709">
        <w:rPr>
          <w:sz w:val="24"/>
          <w:szCs w:val="24"/>
        </w:rPr>
        <w:t xml:space="preserve"> (OMB Control Number 0910-0650).</w:t>
      </w:r>
      <w:r w:rsidRPr="00F2387D" w:rsidR="005558BC">
        <w:rPr>
          <w:sz w:val="24"/>
          <w:szCs w:val="24"/>
        </w:rPr>
        <w:t xml:space="preserve">  </w:t>
      </w:r>
      <w:bookmarkEnd w:id="0"/>
      <w:r w:rsidRPr="00C76CD1" w:rsidR="00660D63">
        <w:rPr>
          <w:sz w:val="24"/>
          <w:szCs w:val="24"/>
        </w:rPr>
        <w:t xml:space="preserve">FDA </w:t>
      </w:r>
      <w:r w:rsidR="00183657">
        <w:rPr>
          <w:sz w:val="24"/>
          <w:szCs w:val="24"/>
        </w:rPr>
        <w:t xml:space="preserve">also </w:t>
      </w:r>
      <w:r w:rsidRPr="00C76CD1" w:rsidR="00660D63">
        <w:rPr>
          <w:sz w:val="24"/>
          <w:szCs w:val="24"/>
        </w:rPr>
        <w:t xml:space="preserve">collects user fees from each manufacturer and importer of </w:t>
      </w:r>
      <w:r w:rsidR="00011BBC">
        <w:rPr>
          <w:sz w:val="24"/>
          <w:szCs w:val="24"/>
        </w:rPr>
        <w:t xml:space="preserve">regulated </w:t>
      </w:r>
      <w:r w:rsidRPr="00C76CD1" w:rsidR="00660D63">
        <w:rPr>
          <w:sz w:val="24"/>
          <w:szCs w:val="24"/>
        </w:rPr>
        <w:t xml:space="preserve">tobacco products </w:t>
      </w:r>
      <w:r w:rsidRPr="00C76CD1" w:rsidR="005F693B">
        <w:rPr>
          <w:sz w:val="24"/>
          <w:szCs w:val="24"/>
        </w:rPr>
        <w:t xml:space="preserve">which may </w:t>
      </w:r>
      <w:r w:rsidRPr="00C76CD1" w:rsidR="00660D63">
        <w:rPr>
          <w:sz w:val="24"/>
          <w:szCs w:val="24"/>
        </w:rPr>
        <w:t xml:space="preserve">only </w:t>
      </w:r>
      <w:r w:rsidRPr="00C76CD1" w:rsidR="005F693B">
        <w:rPr>
          <w:sz w:val="24"/>
          <w:szCs w:val="24"/>
        </w:rPr>
        <w:t xml:space="preserve">be used </w:t>
      </w:r>
      <w:r w:rsidRPr="00C76CD1" w:rsidR="00660D63">
        <w:rPr>
          <w:sz w:val="24"/>
          <w:szCs w:val="24"/>
        </w:rPr>
        <w:t xml:space="preserve">for the purpose of </w:t>
      </w:r>
      <w:r w:rsidR="00CF2670">
        <w:rPr>
          <w:sz w:val="24"/>
          <w:szCs w:val="24"/>
        </w:rPr>
        <w:t>funding</w:t>
      </w:r>
      <w:r w:rsidRPr="00C76CD1" w:rsidR="00CF2670">
        <w:rPr>
          <w:sz w:val="24"/>
          <w:szCs w:val="24"/>
        </w:rPr>
        <w:t xml:space="preserve"> </w:t>
      </w:r>
      <w:r w:rsidRPr="00C76CD1" w:rsidR="00660D63">
        <w:rPr>
          <w:sz w:val="24"/>
          <w:szCs w:val="24"/>
        </w:rPr>
        <w:t>the costs for FDA to regulate tobacco products under the Tobacco Control Act</w:t>
      </w:r>
      <w:r w:rsidR="00183657">
        <w:rPr>
          <w:sz w:val="24"/>
          <w:szCs w:val="24"/>
        </w:rPr>
        <w:t xml:space="preserve"> (OMB Control Number 0910-0749)</w:t>
      </w:r>
      <w:r w:rsidRPr="00C76CD1" w:rsidR="005F693B">
        <w:rPr>
          <w:sz w:val="24"/>
          <w:szCs w:val="24"/>
        </w:rPr>
        <w:t>.  FDA</w:t>
      </w:r>
      <w:r w:rsidRPr="00C76CD1" w:rsidR="00660D63">
        <w:rPr>
          <w:sz w:val="24"/>
          <w:szCs w:val="24"/>
        </w:rPr>
        <w:t xml:space="preserve"> cannot use other funds for performing these duties, nor use tobacco product user fees to perform duties falling outside the regulation of tobacco products under the Tobacco Control Act.</w:t>
      </w:r>
    </w:p>
    <w:p w:rsidR="003673D4" w:rsidRPr="00F2387D" w:rsidP="003673D4" w14:paraId="32067CD0" w14:textId="77777777">
      <w:pPr>
        <w:numPr>
          <w:ilvl w:val="0"/>
          <w:numId w:val="1"/>
        </w:numPr>
        <w:rPr>
          <w:sz w:val="24"/>
          <w:szCs w:val="24"/>
        </w:rPr>
      </w:pPr>
      <w:r w:rsidRPr="00F2387D">
        <w:rPr>
          <w:sz w:val="24"/>
          <w:szCs w:val="24"/>
        </w:rPr>
        <w:t xml:space="preserve">FCLAA, 15 U.S.C. 1335, requires individuals who manufacture, package, or import cigarettes to submit </w:t>
      </w:r>
      <w:r w:rsidR="006A55D6">
        <w:rPr>
          <w:sz w:val="24"/>
          <w:szCs w:val="24"/>
        </w:rPr>
        <w:t xml:space="preserve">annually </w:t>
      </w:r>
      <w:r w:rsidRPr="00F2387D">
        <w:rPr>
          <w:sz w:val="24"/>
          <w:szCs w:val="24"/>
        </w:rPr>
        <w:t xml:space="preserve">to HHS a list of ingredients added to tobacco in the manufacture of cigarettes.  </w:t>
      </w:r>
      <w:r>
        <w:rPr>
          <w:sz w:val="24"/>
          <w:szCs w:val="24"/>
        </w:rPr>
        <w:t>CDC</w:t>
      </w:r>
      <w:r w:rsidRPr="00F2387D">
        <w:rPr>
          <w:sz w:val="24"/>
          <w:szCs w:val="24"/>
        </w:rPr>
        <w:t>’s Office of Smoking and Health (OSH) has the primary responsibility for this aspect of HHS’</w:t>
      </w:r>
      <w:r>
        <w:rPr>
          <w:sz w:val="24"/>
          <w:szCs w:val="24"/>
        </w:rPr>
        <w:t>s</w:t>
      </w:r>
      <w:r w:rsidRPr="00F2387D">
        <w:rPr>
          <w:sz w:val="24"/>
          <w:szCs w:val="24"/>
        </w:rPr>
        <w:t xml:space="preserve"> tobacco and health program.</w:t>
      </w:r>
      <w:r>
        <w:rPr>
          <w:sz w:val="24"/>
          <w:szCs w:val="24"/>
        </w:rPr>
        <w:t xml:space="preserve">  The information collected includes company name(s), brand(s), and an aggregated list of ingredients (name and Chemical Abstract Services (CAS) Registry Number) for any ingredient found in any of the listed brands. No quantities or brand/sub-brand-specific information is </w:t>
      </w:r>
      <w:r>
        <w:rPr>
          <w:sz w:val="24"/>
          <w:szCs w:val="24"/>
        </w:rPr>
        <w:t>provided.</w:t>
      </w:r>
      <w:r w:rsidR="008F328E">
        <w:rPr>
          <w:sz w:val="24"/>
          <w:szCs w:val="24"/>
        </w:rPr>
        <w:t xml:space="preserve">  Under FCLAA, reporting on tobacco type/blends used or ingredients used in the paper or filters of tobacco products is not required.</w:t>
      </w:r>
    </w:p>
    <w:p w:rsidR="00F4073F" w:rsidP="00D85280" w14:paraId="3DEF0C88" w14:textId="77777777">
      <w:pPr>
        <w:pStyle w:val="ListParagraph"/>
        <w:rPr>
          <w:sz w:val="24"/>
          <w:szCs w:val="24"/>
        </w:rPr>
      </w:pPr>
      <w:r w:rsidRPr="008F328E">
        <w:rPr>
          <w:sz w:val="24"/>
          <w:szCs w:val="24"/>
        </w:rPr>
        <w:t xml:space="preserve">CSTHEA, 15 U.S.C. 4403, requires individuals who manufacture, package, or import smokeless tobacco products in the United States to report </w:t>
      </w:r>
      <w:r w:rsidRPr="008F328E" w:rsidR="006437FF">
        <w:rPr>
          <w:sz w:val="24"/>
          <w:szCs w:val="24"/>
        </w:rPr>
        <w:t xml:space="preserve">annually </w:t>
      </w:r>
      <w:r w:rsidRPr="008F328E">
        <w:rPr>
          <w:sz w:val="24"/>
          <w:szCs w:val="24"/>
        </w:rPr>
        <w:t xml:space="preserve">to HHS </w:t>
      </w:r>
      <w:r w:rsidRPr="008F328E" w:rsidR="00EE055B">
        <w:rPr>
          <w:sz w:val="24"/>
          <w:szCs w:val="24"/>
        </w:rPr>
        <w:t xml:space="preserve">an </w:t>
      </w:r>
      <w:r w:rsidRPr="008F328E">
        <w:rPr>
          <w:sz w:val="24"/>
          <w:szCs w:val="24"/>
        </w:rPr>
        <w:t>aggregated list of ingredients across all brands, but also brand-specific quantities of nicotine for each smokeless tobacco product.  CDC/OSH is also responsible for administering this aspect of HHS’s program.  The information collected includes the data elements collected under FCLAA (above), plus identification of a list of product categories that the product may fit under.</w:t>
      </w:r>
      <w:r w:rsidRPr="008F328E" w:rsidR="008F328E">
        <w:rPr>
          <w:sz w:val="24"/>
          <w:szCs w:val="24"/>
        </w:rPr>
        <w:t xml:space="preserve">  </w:t>
      </w:r>
      <w:r w:rsidR="008F328E">
        <w:rPr>
          <w:sz w:val="24"/>
          <w:szCs w:val="24"/>
        </w:rPr>
        <w:t xml:space="preserve">Under CSTHEA, reporting </w:t>
      </w:r>
      <w:r w:rsidRPr="008F328E" w:rsidR="008F328E">
        <w:rPr>
          <w:sz w:val="24"/>
          <w:szCs w:val="24"/>
        </w:rPr>
        <w:t xml:space="preserve">on tobacco type/blends used or ingredients used in the </w:t>
      </w:r>
      <w:r>
        <w:rPr>
          <w:sz w:val="24"/>
          <w:szCs w:val="24"/>
        </w:rPr>
        <w:t>composition of tobacco product wrappings</w:t>
      </w:r>
      <w:r w:rsidR="008F328E">
        <w:rPr>
          <w:sz w:val="24"/>
          <w:szCs w:val="24"/>
        </w:rPr>
        <w:t xml:space="preserve"> is not required</w:t>
      </w:r>
      <w:r w:rsidRPr="008F328E" w:rsidR="008F328E">
        <w:rPr>
          <w:sz w:val="24"/>
          <w:szCs w:val="24"/>
        </w:rPr>
        <w:t>.</w:t>
      </w:r>
    </w:p>
    <w:p w:rsidR="00D85280" w:rsidRPr="00D85280" w:rsidP="00D85280" w14:paraId="16C0A200" w14:textId="77777777">
      <w:pPr>
        <w:pStyle w:val="ListParagraph"/>
        <w:rPr>
          <w:sz w:val="24"/>
          <w:szCs w:val="24"/>
        </w:rPr>
      </w:pPr>
    </w:p>
    <w:p w:rsidR="00465AC2" w:rsidRPr="00D85280" w:rsidP="00D85280" w14:paraId="77139B09" w14:textId="77777777">
      <w:pPr>
        <w:pStyle w:val="ListParagraph"/>
        <w:numPr>
          <w:ilvl w:val="0"/>
          <w:numId w:val="1"/>
        </w:numPr>
        <w:rPr>
          <w:sz w:val="24"/>
          <w:szCs w:val="24"/>
        </w:rPr>
      </w:pPr>
      <w:r w:rsidRPr="008F328E">
        <w:rPr>
          <w:sz w:val="24"/>
          <w:szCs w:val="24"/>
        </w:rPr>
        <w:t xml:space="preserve">The Tobacco Control Act, </w:t>
      </w:r>
      <w:r w:rsidRPr="008F328E" w:rsidR="00EA6A0B">
        <w:rPr>
          <w:sz w:val="24"/>
          <w:szCs w:val="24"/>
        </w:rPr>
        <w:t>21 U.S.C. 387</w:t>
      </w:r>
      <w:r w:rsidRPr="008F328E">
        <w:rPr>
          <w:sz w:val="24"/>
          <w:szCs w:val="24"/>
        </w:rPr>
        <w:t xml:space="preserve">, </w:t>
      </w:r>
      <w:r w:rsidRPr="008F328E" w:rsidR="00EE055B">
        <w:rPr>
          <w:sz w:val="24"/>
          <w:szCs w:val="24"/>
        </w:rPr>
        <w:t xml:space="preserve">amends the Federal Food, Drug, and Cosmetic Act (FD&amp;C Act) and establishes </w:t>
      </w:r>
      <w:r w:rsidRPr="008F328E" w:rsidR="00EA6A0B">
        <w:rPr>
          <w:sz w:val="24"/>
          <w:szCs w:val="24"/>
        </w:rPr>
        <w:t xml:space="preserve">FDA’s </w:t>
      </w:r>
      <w:r w:rsidRPr="008F328E">
        <w:rPr>
          <w:sz w:val="24"/>
          <w:szCs w:val="24"/>
        </w:rPr>
        <w:t xml:space="preserve">authority to regulate tobacco products.  </w:t>
      </w:r>
      <w:r w:rsidRPr="008F328E" w:rsidR="00EA6A0B">
        <w:rPr>
          <w:sz w:val="24"/>
          <w:szCs w:val="24"/>
        </w:rPr>
        <w:t>Section 904(a)</w:t>
      </w:r>
      <w:r w:rsidRPr="008F328E" w:rsidR="00EE055B">
        <w:rPr>
          <w:sz w:val="24"/>
          <w:szCs w:val="24"/>
        </w:rPr>
        <w:t xml:space="preserve"> and (c)</w:t>
      </w:r>
      <w:r w:rsidRPr="008F328E" w:rsidR="00EA6A0B">
        <w:rPr>
          <w:sz w:val="24"/>
          <w:szCs w:val="24"/>
        </w:rPr>
        <w:t xml:space="preserve"> of the </w:t>
      </w:r>
      <w:r w:rsidRPr="008F328E" w:rsidR="005925F5">
        <w:rPr>
          <w:sz w:val="24"/>
          <w:szCs w:val="24"/>
        </w:rPr>
        <w:t>FD&amp;C Act</w:t>
      </w:r>
      <w:r w:rsidRPr="008F328E" w:rsidR="00EA6A0B">
        <w:rPr>
          <w:sz w:val="24"/>
          <w:szCs w:val="24"/>
        </w:rPr>
        <w:t xml:space="preserve"> requires each tobacco product manufacturer or importer </w:t>
      </w:r>
      <w:r w:rsidRPr="008F328E">
        <w:rPr>
          <w:sz w:val="24"/>
          <w:szCs w:val="24"/>
        </w:rPr>
        <w:t xml:space="preserve">to submit ingredient lists initially </w:t>
      </w:r>
      <w:r w:rsidRPr="008F328E" w:rsidR="00A80D37">
        <w:rPr>
          <w:sz w:val="24"/>
          <w:szCs w:val="24"/>
        </w:rPr>
        <w:t xml:space="preserve">when the product is first introduced to the market (new submission) </w:t>
      </w:r>
      <w:r w:rsidRPr="008F328E">
        <w:rPr>
          <w:sz w:val="24"/>
          <w:szCs w:val="24"/>
        </w:rPr>
        <w:t>and then at the time of any product changes</w:t>
      </w:r>
      <w:r w:rsidRPr="008F328E" w:rsidR="007D04D8">
        <w:rPr>
          <w:sz w:val="24"/>
          <w:szCs w:val="24"/>
        </w:rPr>
        <w:t xml:space="preserve"> (updating</w:t>
      </w:r>
      <w:r w:rsidRPr="008F328E" w:rsidR="00A80D37">
        <w:rPr>
          <w:sz w:val="24"/>
          <w:szCs w:val="24"/>
        </w:rPr>
        <w:t xml:space="preserve"> a previous submission)</w:t>
      </w:r>
      <w:r w:rsidRPr="008F328E">
        <w:rPr>
          <w:sz w:val="24"/>
          <w:szCs w:val="24"/>
        </w:rPr>
        <w:t xml:space="preserve">. For new </w:t>
      </w:r>
      <w:r w:rsidRPr="008F328E" w:rsidR="00A80D37">
        <w:rPr>
          <w:sz w:val="24"/>
          <w:szCs w:val="24"/>
        </w:rPr>
        <w:t>submissions</w:t>
      </w:r>
      <w:r w:rsidRPr="008F328E">
        <w:rPr>
          <w:sz w:val="24"/>
          <w:szCs w:val="24"/>
        </w:rPr>
        <w:t>, the manufacturer provide</w:t>
      </w:r>
      <w:r w:rsidR="00E1427E">
        <w:rPr>
          <w:sz w:val="24"/>
          <w:szCs w:val="24"/>
        </w:rPr>
        <w:t>s</w:t>
      </w:r>
      <w:r w:rsidRPr="008F328E">
        <w:rPr>
          <w:sz w:val="24"/>
          <w:szCs w:val="24"/>
        </w:rPr>
        <w:t xml:space="preserve"> submitter and point-of-contact information; submit</w:t>
      </w:r>
      <w:r w:rsidR="00E1427E">
        <w:rPr>
          <w:sz w:val="24"/>
          <w:szCs w:val="24"/>
        </w:rPr>
        <w:t>s</w:t>
      </w:r>
      <w:r w:rsidRPr="008F328E">
        <w:rPr>
          <w:sz w:val="24"/>
          <w:szCs w:val="24"/>
        </w:rPr>
        <w:t xml:space="preserve"> a detailed listing of all ingredients and additives to tobacco, inclusive of tobacco, paper, and filter; and provide</w:t>
      </w:r>
      <w:r w:rsidR="00E1427E">
        <w:rPr>
          <w:sz w:val="24"/>
          <w:szCs w:val="24"/>
        </w:rPr>
        <w:t>s</w:t>
      </w:r>
      <w:r w:rsidRPr="008F328E">
        <w:rPr>
          <w:sz w:val="24"/>
          <w:szCs w:val="24"/>
        </w:rPr>
        <w:t xml:space="preserve"> the quantity of the additive by brand and sub-brand.  For updates, the manufacturer also indicate</w:t>
      </w:r>
      <w:r w:rsidR="00E1427E">
        <w:rPr>
          <w:sz w:val="24"/>
          <w:szCs w:val="24"/>
        </w:rPr>
        <w:t>s</w:t>
      </w:r>
      <w:r w:rsidRPr="008F328E">
        <w:rPr>
          <w:sz w:val="24"/>
          <w:szCs w:val="24"/>
        </w:rPr>
        <w:t xml:space="preserve"> whether the quantity of the ingredient was added, increased, decreased, or eliminated. Additional information on the content, form, and delivery of nicotine is also </w:t>
      </w:r>
      <w:r w:rsidR="00E1427E">
        <w:rPr>
          <w:sz w:val="24"/>
          <w:szCs w:val="24"/>
        </w:rPr>
        <w:t>requested</w:t>
      </w:r>
      <w:r w:rsidRPr="008F328E">
        <w:rPr>
          <w:sz w:val="24"/>
          <w:szCs w:val="24"/>
        </w:rPr>
        <w:t>.  The submitter also certif</w:t>
      </w:r>
      <w:r w:rsidR="002B4B75">
        <w:rPr>
          <w:sz w:val="24"/>
          <w:szCs w:val="24"/>
        </w:rPr>
        <w:t>ies</w:t>
      </w:r>
      <w:r w:rsidRPr="008F328E">
        <w:rPr>
          <w:sz w:val="24"/>
          <w:szCs w:val="24"/>
        </w:rPr>
        <w:t xml:space="preserve"> that the information submitted is true and accurate, and that any changes to this information will be reported under section 904(c) of the FD&amp;C Act (21 U.S.C. 387d(c)).</w:t>
      </w:r>
      <w:r w:rsidRPr="008F328E" w:rsidR="008F328E">
        <w:rPr>
          <w:sz w:val="24"/>
          <w:szCs w:val="24"/>
        </w:rPr>
        <w:t xml:space="preserve">  </w:t>
      </w:r>
      <w:r w:rsidR="008F328E">
        <w:rPr>
          <w:sz w:val="24"/>
          <w:szCs w:val="24"/>
        </w:rPr>
        <w:t xml:space="preserve">Reporting of ingredients under the Tobacco Control Act has a larger scope because it includes collecting data </w:t>
      </w:r>
      <w:r w:rsidRPr="008F328E" w:rsidR="008F328E">
        <w:rPr>
          <w:sz w:val="24"/>
          <w:szCs w:val="24"/>
        </w:rPr>
        <w:t xml:space="preserve">on tobacco type/blends used </w:t>
      </w:r>
      <w:r w:rsidR="008F328E">
        <w:rPr>
          <w:sz w:val="24"/>
          <w:szCs w:val="24"/>
        </w:rPr>
        <w:t>and</w:t>
      </w:r>
      <w:r w:rsidRPr="008F328E" w:rsidR="008F328E">
        <w:rPr>
          <w:sz w:val="24"/>
          <w:szCs w:val="24"/>
        </w:rPr>
        <w:t xml:space="preserve"> ingredients used in the </w:t>
      </w:r>
      <w:r w:rsidR="00F4073F">
        <w:rPr>
          <w:sz w:val="24"/>
          <w:szCs w:val="24"/>
        </w:rPr>
        <w:t xml:space="preserve">composition of </w:t>
      </w:r>
      <w:r w:rsidRPr="008F328E" w:rsidR="008F328E">
        <w:rPr>
          <w:sz w:val="24"/>
          <w:szCs w:val="24"/>
        </w:rPr>
        <w:t>paper or filters of tobacco products.</w:t>
      </w:r>
    </w:p>
    <w:p w:rsidR="00351D7A" w:rsidRPr="00EE055B" w:rsidP="00351D7A" w14:paraId="462F9B96" w14:textId="77777777">
      <w:pPr>
        <w:numPr>
          <w:ilvl w:val="0"/>
          <w:numId w:val="1"/>
        </w:numPr>
        <w:rPr>
          <w:sz w:val="24"/>
          <w:szCs w:val="24"/>
        </w:rPr>
      </w:pPr>
      <w:r w:rsidRPr="00C76CD1">
        <w:rPr>
          <w:sz w:val="24"/>
          <w:szCs w:val="24"/>
        </w:rPr>
        <w:t xml:space="preserve">Section 919(a) of the FD&amp;C Act (21 U.S.C. 387s(a)) requires FDA to “assess user fees on, and collect such fees from, each manufacturer and importer of tobacco products” subject to the tobacco provisions of the FD&amp;C Act (chapter IX of the FD&amp;C Act).  </w:t>
      </w:r>
      <w:r w:rsidRPr="00C76CD1" w:rsidR="004B3E4C">
        <w:rPr>
          <w:sz w:val="24"/>
          <w:szCs w:val="24"/>
        </w:rPr>
        <w:t xml:space="preserve">Section 919(c)(2)(A) states that “Fees appropriated under paragraph (3) are available </w:t>
      </w:r>
      <w:r w:rsidRPr="00C76CD1" w:rsidR="004B3E4C">
        <w:rPr>
          <w:b/>
          <w:i/>
          <w:sz w:val="24"/>
          <w:szCs w:val="24"/>
        </w:rPr>
        <w:t>only for the purpose of paying the costs of the activities of the Food and Drug Administration related to the regulation of tobacco products under this chapter and the Family Smoking Prevention and Tobacco Control Act (referred to in this subsection as “tobacco regulation activities</w:t>
      </w:r>
      <w:r w:rsidR="00EE055B">
        <w:rPr>
          <w:b/>
          <w:i/>
          <w:sz w:val="24"/>
          <w:szCs w:val="24"/>
        </w:rPr>
        <w:t>….</w:t>
      </w:r>
      <w:r w:rsidRPr="00C76CD1" w:rsidR="004B3E4C">
        <w:rPr>
          <w:b/>
          <w:i/>
          <w:sz w:val="24"/>
          <w:szCs w:val="24"/>
        </w:rPr>
        <w:t>”</w:t>
      </w:r>
      <w:r w:rsidRPr="00C76CD1" w:rsidR="005F693B">
        <w:rPr>
          <w:b/>
          <w:i/>
          <w:sz w:val="24"/>
          <w:szCs w:val="24"/>
        </w:rPr>
        <w:t>)</w:t>
      </w:r>
      <w:r w:rsidRPr="00C76CD1" w:rsidR="00E87D6B">
        <w:rPr>
          <w:sz w:val="24"/>
          <w:szCs w:val="24"/>
        </w:rPr>
        <w:t xml:space="preserve">  Section 919(c)(2)(B)(i) states “fees collected under subsection (a) are the only funds authorized to be made available for tobacco regulation activities.”  </w:t>
      </w:r>
      <w:r w:rsidRPr="00C76CD1" w:rsidR="00660D63">
        <w:rPr>
          <w:sz w:val="24"/>
          <w:szCs w:val="24"/>
        </w:rPr>
        <w:t xml:space="preserve">  </w:t>
      </w:r>
    </w:p>
    <w:p w:rsidR="00F76BAA" w:rsidRPr="00F66001" w:rsidP="00351D7A" w14:paraId="2B7091F3" w14:textId="77777777">
      <w:pPr>
        <w:rPr>
          <w:sz w:val="24"/>
          <w:szCs w:val="24"/>
        </w:rPr>
      </w:pPr>
      <w:r w:rsidRPr="00660D63">
        <w:rPr>
          <w:b/>
          <w:sz w:val="24"/>
          <w:szCs w:val="24"/>
        </w:rPr>
        <w:t xml:space="preserve">Analysis:  </w:t>
      </w:r>
      <w:r w:rsidRPr="00660D63" w:rsidR="00932A3F">
        <w:rPr>
          <w:sz w:val="24"/>
          <w:szCs w:val="24"/>
        </w:rPr>
        <w:t xml:space="preserve">In consultation with </w:t>
      </w:r>
      <w:r w:rsidR="0068003A">
        <w:rPr>
          <w:sz w:val="24"/>
          <w:szCs w:val="24"/>
        </w:rPr>
        <w:t xml:space="preserve">each of their </w:t>
      </w:r>
      <w:r w:rsidRPr="00660D63" w:rsidR="00932A3F">
        <w:rPr>
          <w:sz w:val="24"/>
          <w:szCs w:val="24"/>
        </w:rPr>
        <w:t>agency</w:t>
      </w:r>
      <w:r w:rsidR="0068003A">
        <w:rPr>
          <w:sz w:val="24"/>
          <w:szCs w:val="24"/>
        </w:rPr>
        <w:t>’s</w:t>
      </w:r>
      <w:r w:rsidRPr="00660D63" w:rsidR="00932A3F">
        <w:rPr>
          <w:sz w:val="24"/>
          <w:szCs w:val="24"/>
        </w:rPr>
        <w:t xml:space="preserve"> attorneys, </w:t>
      </w:r>
      <w:r w:rsidRPr="00660D63">
        <w:rPr>
          <w:sz w:val="24"/>
          <w:szCs w:val="24"/>
        </w:rPr>
        <w:t xml:space="preserve">CDC and </w:t>
      </w:r>
      <w:r w:rsidRPr="00F66001" w:rsidR="00040709">
        <w:rPr>
          <w:sz w:val="24"/>
          <w:szCs w:val="24"/>
        </w:rPr>
        <w:t>FDA</w:t>
      </w:r>
      <w:r w:rsidRPr="00F66001">
        <w:rPr>
          <w:sz w:val="24"/>
          <w:szCs w:val="24"/>
        </w:rPr>
        <w:t xml:space="preserve"> </w:t>
      </w:r>
      <w:r w:rsidRPr="00F66001" w:rsidR="00040709">
        <w:rPr>
          <w:sz w:val="24"/>
          <w:szCs w:val="24"/>
        </w:rPr>
        <w:t xml:space="preserve">have </w:t>
      </w:r>
      <w:r w:rsidRPr="00F66001" w:rsidR="00932A3F">
        <w:rPr>
          <w:sz w:val="24"/>
          <w:szCs w:val="24"/>
        </w:rPr>
        <w:t xml:space="preserve">determined </w:t>
      </w:r>
      <w:r w:rsidRPr="00F66001">
        <w:rPr>
          <w:sz w:val="24"/>
          <w:szCs w:val="24"/>
        </w:rPr>
        <w:t xml:space="preserve">that </w:t>
      </w:r>
      <w:r w:rsidRPr="00F66001" w:rsidR="00963DBC">
        <w:rPr>
          <w:sz w:val="24"/>
          <w:szCs w:val="24"/>
        </w:rPr>
        <w:t>although</w:t>
      </w:r>
      <w:r w:rsidRPr="00F66001" w:rsidR="00040709">
        <w:rPr>
          <w:sz w:val="24"/>
          <w:szCs w:val="24"/>
        </w:rPr>
        <w:t xml:space="preserve"> the product </w:t>
      </w:r>
      <w:r w:rsidRPr="00F66001">
        <w:rPr>
          <w:sz w:val="24"/>
          <w:szCs w:val="24"/>
        </w:rPr>
        <w:t xml:space="preserve">information </w:t>
      </w:r>
      <w:r w:rsidRPr="00F66001" w:rsidR="00426D18">
        <w:rPr>
          <w:sz w:val="24"/>
          <w:szCs w:val="24"/>
        </w:rPr>
        <w:t xml:space="preserve">being submitted to </w:t>
      </w:r>
      <w:r w:rsidRPr="00F66001">
        <w:rPr>
          <w:sz w:val="24"/>
          <w:szCs w:val="24"/>
        </w:rPr>
        <w:t xml:space="preserve">CDC and </w:t>
      </w:r>
      <w:r w:rsidRPr="00F66001" w:rsidR="00040709">
        <w:rPr>
          <w:sz w:val="24"/>
          <w:szCs w:val="24"/>
        </w:rPr>
        <w:t>FDA</w:t>
      </w:r>
      <w:r w:rsidRPr="00F66001">
        <w:rPr>
          <w:sz w:val="24"/>
          <w:szCs w:val="24"/>
        </w:rPr>
        <w:t xml:space="preserve"> is similar, </w:t>
      </w:r>
      <w:r w:rsidRPr="00F66001">
        <w:rPr>
          <w:sz w:val="24"/>
          <w:szCs w:val="24"/>
        </w:rPr>
        <w:t>the data collections are</w:t>
      </w:r>
      <w:r w:rsidRPr="00F66001" w:rsidR="00040709">
        <w:rPr>
          <w:sz w:val="24"/>
          <w:szCs w:val="24"/>
        </w:rPr>
        <w:t xml:space="preserve"> </w:t>
      </w:r>
      <w:r w:rsidRPr="00F66001">
        <w:rPr>
          <w:sz w:val="24"/>
          <w:szCs w:val="24"/>
        </w:rPr>
        <w:t xml:space="preserve">not duplicative due to </w:t>
      </w:r>
      <w:r w:rsidRPr="00F66001" w:rsidR="00576D24">
        <w:rPr>
          <w:sz w:val="24"/>
          <w:szCs w:val="24"/>
        </w:rPr>
        <w:t xml:space="preserve">factors such as </w:t>
      </w:r>
      <w:r w:rsidRPr="00F66001" w:rsidR="00295B50">
        <w:rPr>
          <w:sz w:val="24"/>
          <w:szCs w:val="24"/>
        </w:rPr>
        <w:t xml:space="preserve">the timing of </w:t>
      </w:r>
      <w:r w:rsidRPr="00F66001" w:rsidR="00040709">
        <w:rPr>
          <w:sz w:val="24"/>
          <w:szCs w:val="24"/>
        </w:rPr>
        <w:t xml:space="preserve">the </w:t>
      </w:r>
      <w:r w:rsidRPr="00F66001" w:rsidR="00032C4E">
        <w:rPr>
          <w:sz w:val="24"/>
          <w:szCs w:val="24"/>
        </w:rPr>
        <w:t xml:space="preserve">information </w:t>
      </w:r>
      <w:r w:rsidRPr="00F66001" w:rsidR="00426D18">
        <w:rPr>
          <w:sz w:val="24"/>
          <w:szCs w:val="24"/>
        </w:rPr>
        <w:t>collect</w:t>
      </w:r>
      <w:r w:rsidRPr="00F66001" w:rsidR="00427CAD">
        <w:rPr>
          <w:sz w:val="24"/>
          <w:szCs w:val="24"/>
        </w:rPr>
        <w:t>ion</w:t>
      </w:r>
      <w:r w:rsidRPr="00F66001" w:rsidR="00032C4E">
        <w:rPr>
          <w:sz w:val="24"/>
          <w:szCs w:val="24"/>
        </w:rPr>
        <w:t>,</w:t>
      </w:r>
      <w:r w:rsidRPr="00F66001">
        <w:rPr>
          <w:sz w:val="24"/>
          <w:szCs w:val="24"/>
        </w:rPr>
        <w:t xml:space="preserve"> </w:t>
      </w:r>
      <w:r w:rsidRPr="00F66001" w:rsidR="00032C4E">
        <w:rPr>
          <w:sz w:val="24"/>
          <w:szCs w:val="24"/>
        </w:rPr>
        <w:t xml:space="preserve">its </w:t>
      </w:r>
      <w:r w:rsidRPr="00F66001">
        <w:rPr>
          <w:sz w:val="24"/>
          <w:szCs w:val="24"/>
        </w:rPr>
        <w:t xml:space="preserve">content, and </w:t>
      </w:r>
      <w:r w:rsidRPr="00F66001" w:rsidR="00032C4E">
        <w:rPr>
          <w:sz w:val="24"/>
          <w:szCs w:val="24"/>
        </w:rPr>
        <w:t>it</w:t>
      </w:r>
      <w:r w:rsidRPr="00F66001" w:rsidR="00295B50">
        <w:rPr>
          <w:sz w:val="24"/>
          <w:szCs w:val="24"/>
        </w:rPr>
        <w:t>s</w:t>
      </w:r>
      <w:r w:rsidRPr="00F66001" w:rsidR="00032C4E">
        <w:rPr>
          <w:sz w:val="24"/>
          <w:szCs w:val="24"/>
        </w:rPr>
        <w:t xml:space="preserve"> </w:t>
      </w:r>
      <w:r w:rsidRPr="00F66001">
        <w:rPr>
          <w:sz w:val="24"/>
          <w:szCs w:val="24"/>
        </w:rPr>
        <w:t xml:space="preserve">use.  </w:t>
      </w:r>
      <w:r w:rsidRPr="00F66001" w:rsidR="00ED7D98">
        <w:rPr>
          <w:sz w:val="24"/>
          <w:szCs w:val="24"/>
        </w:rPr>
        <w:t>For example, m</w:t>
      </w:r>
      <w:r w:rsidRPr="00F66001" w:rsidR="00032C4E">
        <w:rPr>
          <w:sz w:val="24"/>
          <w:szCs w:val="24"/>
        </w:rPr>
        <w:t xml:space="preserve">anufacturers of tobacco products </w:t>
      </w:r>
      <w:r w:rsidR="00CF2670">
        <w:rPr>
          <w:sz w:val="24"/>
          <w:szCs w:val="24"/>
        </w:rPr>
        <w:t>submit</w:t>
      </w:r>
      <w:r w:rsidRPr="00F66001" w:rsidR="00CF2670">
        <w:rPr>
          <w:sz w:val="24"/>
          <w:szCs w:val="24"/>
        </w:rPr>
        <w:t xml:space="preserve"> </w:t>
      </w:r>
      <w:r w:rsidRPr="00F66001" w:rsidR="00032C4E">
        <w:rPr>
          <w:sz w:val="24"/>
          <w:szCs w:val="24"/>
        </w:rPr>
        <w:t>p</w:t>
      </w:r>
      <w:r w:rsidRPr="00F66001">
        <w:rPr>
          <w:sz w:val="24"/>
          <w:szCs w:val="24"/>
        </w:rPr>
        <w:t xml:space="preserve">roduct ingredient information to CDC annually to fulfill </w:t>
      </w:r>
      <w:r w:rsidRPr="00F66001" w:rsidR="00295B50">
        <w:rPr>
          <w:sz w:val="24"/>
          <w:szCs w:val="24"/>
        </w:rPr>
        <w:t>CDC’s</w:t>
      </w:r>
      <w:r w:rsidRPr="00F66001" w:rsidR="00032C4E">
        <w:rPr>
          <w:sz w:val="24"/>
          <w:szCs w:val="24"/>
        </w:rPr>
        <w:t xml:space="preserve"> </w:t>
      </w:r>
      <w:r w:rsidRPr="00F66001">
        <w:rPr>
          <w:sz w:val="24"/>
          <w:szCs w:val="24"/>
        </w:rPr>
        <w:t xml:space="preserve">requirements </w:t>
      </w:r>
      <w:r w:rsidRPr="00F66001" w:rsidR="00032C4E">
        <w:rPr>
          <w:sz w:val="24"/>
          <w:szCs w:val="24"/>
        </w:rPr>
        <w:t xml:space="preserve">to produce </w:t>
      </w:r>
      <w:r w:rsidRPr="00F66001">
        <w:rPr>
          <w:sz w:val="24"/>
          <w:szCs w:val="24"/>
        </w:rPr>
        <w:t>a report to Congress</w:t>
      </w:r>
      <w:r w:rsidRPr="00F66001" w:rsidR="00E941B1">
        <w:rPr>
          <w:sz w:val="24"/>
          <w:szCs w:val="24"/>
        </w:rPr>
        <w:t>, when requested,</w:t>
      </w:r>
      <w:r w:rsidRPr="00F66001">
        <w:rPr>
          <w:sz w:val="24"/>
          <w:szCs w:val="24"/>
        </w:rPr>
        <w:t xml:space="preserve"> </w:t>
      </w:r>
      <w:r w:rsidRPr="00F66001" w:rsidR="00032C4E">
        <w:rPr>
          <w:sz w:val="24"/>
          <w:szCs w:val="24"/>
        </w:rPr>
        <w:t xml:space="preserve">on ingredient content.  </w:t>
      </w:r>
      <w:r w:rsidRPr="00F66001" w:rsidR="00963DBC">
        <w:rPr>
          <w:sz w:val="24"/>
          <w:szCs w:val="24"/>
        </w:rPr>
        <w:t>CDC also uses t</w:t>
      </w:r>
      <w:r w:rsidRPr="00F66001" w:rsidR="00032C4E">
        <w:rPr>
          <w:sz w:val="24"/>
          <w:szCs w:val="24"/>
        </w:rPr>
        <w:t xml:space="preserve">he information to </w:t>
      </w:r>
      <w:r w:rsidRPr="00F66001">
        <w:rPr>
          <w:sz w:val="24"/>
          <w:szCs w:val="24"/>
        </w:rPr>
        <w:t xml:space="preserve">provide certification to </w:t>
      </w:r>
      <w:r w:rsidRPr="00F66001" w:rsidR="00963DBC">
        <w:rPr>
          <w:sz w:val="24"/>
          <w:szCs w:val="24"/>
        </w:rPr>
        <w:t>S</w:t>
      </w:r>
      <w:r w:rsidRPr="00F66001">
        <w:rPr>
          <w:sz w:val="24"/>
          <w:szCs w:val="24"/>
        </w:rPr>
        <w:t>tates</w:t>
      </w:r>
      <w:r w:rsidRPr="00F66001" w:rsidR="001925F8">
        <w:rPr>
          <w:sz w:val="24"/>
          <w:szCs w:val="24"/>
        </w:rPr>
        <w:t>’</w:t>
      </w:r>
      <w:r w:rsidRPr="00F66001">
        <w:rPr>
          <w:sz w:val="24"/>
          <w:szCs w:val="24"/>
        </w:rPr>
        <w:t xml:space="preserve"> </w:t>
      </w:r>
      <w:r w:rsidRPr="00F66001" w:rsidR="00295B50">
        <w:rPr>
          <w:sz w:val="24"/>
          <w:szCs w:val="24"/>
        </w:rPr>
        <w:t>Attorney</w:t>
      </w:r>
      <w:r w:rsidRPr="00F66001" w:rsidR="00A94B74">
        <w:rPr>
          <w:sz w:val="24"/>
          <w:szCs w:val="24"/>
        </w:rPr>
        <w:t>s</w:t>
      </w:r>
      <w:r w:rsidRPr="00F66001" w:rsidR="00295B50">
        <w:rPr>
          <w:sz w:val="24"/>
          <w:szCs w:val="24"/>
        </w:rPr>
        <w:t xml:space="preserve"> General </w:t>
      </w:r>
      <w:r w:rsidRPr="00F66001">
        <w:rPr>
          <w:sz w:val="24"/>
          <w:szCs w:val="24"/>
        </w:rPr>
        <w:t>that tobacco manufacturers ha</w:t>
      </w:r>
      <w:r w:rsidRPr="00F66001" w:rsidR="00295B50">
        <w:rPr>
          <w:sz w:val="24"/>
          <w:szCs w:val="24"/>
        </w:rPr>
        <w:t>ve</w:t>
      </w:r>
      <w:r w:rsidRPr="00F66001">
        <w:rPr>
          <w:sz w:val="24"/>
          <w:szCs w:val="24"/>
        </w:rPr>
        <w:t xml:space="preserve"> met the requirements of FCLAA and CSTHEA and c</w:t>
      </w:r>
      <w:r w:rsidRPr="00F66001" w:rsidR="00295B50">
        <w:rPr>
          <w:sz w:val="24"/>
          <w:szCs w:val="24"/>
        </w:rPr>
        <w:t>an</w:t>
      </w:r>
      <w:r w:rsidRPr="00F66001">
        <w:rPr>
          <w:sz w:val="24"/>
          <w:szCs w:val="24"/>
        </w:rPr>
        <w:t xml:space="preserve"> therefore </w:t>
      </w:r>
      <w:r w:rsidRPr="00F66001" w:rsidR="00ED7D98">
        <w:rPr>
          <w:sz w:val="24"/>
          <w:szCs w:val="24"/>
        </w:rPr>
        <w:t xml:space="preserve">legally </w:t>
      </w:r>
      <w:r w:rsidRPr="00F66001">
        <w:rPr>
          <w:sz w:val="24"/>
          <w:szCs w:val="24"/>
        </w:rPr>
        <w:t xml:space="preserve">sell tobacco products in their states. </w:t>
      </w:r>
      <w:r w:rsidRPr="00F66001">
        <w:rPr>
          <w:sz w:val="24"/>
          <w:szCs w:val="24"/>
        </w:rPr>
        <w:t xml:space="preserve"> In contrast to </w:t>
      </w:r>
      <w:r w:rsidR="00351D7A">
        <w:rPr>
          <w:sz w:val="24"/>
          <w:szCs w:val="24"/>
        </w:rPr>
        <w:t xml:space="preserve">the </w:t>
      </w:r>
      <w:r w:rsidRPr="00F66001">
        <w:rPr>
          <w:sz w:val="24"/>
          <w:szCs w:val="24"/>
        </w:rPr>
        <w:t>annual submission</w:t>
      </w:r>
      <w:r w:rsidR="00351D7A">
        <w:rPr>
          <w:sz w:val="24"/>
          <w:szCs w:val="24"/>
        </w:rPr>
        <w:t xml:space="preserve"> of information provided to CDC</w:t>
      </w:r>
      <w:r w:rsidRPr="00F66001">
        <w:rPr>
          <w:sz w:val="24"/>
          <w:szCs w:val="24"/>
        </w:rPr>
        <w:t>, p</w:t>
      </w:r>
      <w:r w:rsidRPr="00F66001" w:rsidR="00032C4E">
        <w:rPr>
          <w:sz w:val="24"/>
          <w:szCs w:val="24"/>
        </w:rPr>
        <w:t>roduct ingredient i</w:t>
      </w:r>
      <w:r w:rsidRPr="00F66001" w:rsidR="001E216D">
        <w:rPr>
          <w:sz w:val="24"/>
          <w:szCs w:val="24"/>
        </w:rPr>
        <w:t xml:space="preserve">nformation </w:t>
      </w:r>
      <w:r w:rsidRPr="00F66001" w:rsidR="00032C4E">
        <w:rPr>
          <w:sz w:val="24"/>
          <w:szCs w:val="24"/>
        </w:rPr>
        <w:t xml:space="preserve">is </w:t>
      </w:r>
      <w:r w:rsidRPr="00F66001" w:rsidR="00295B50">
        <w:rPr>
          <w:sz w:val="24"/>
          <w:szCs w:val="24"/>
        </w:rPr>
        <w:t xml:space="preserve">initially </w:t>
      </w:r>
      <w:r w:rsidRPr="00F66001" w:rsidR="001E216D">
        <w:rPr>
          <w:sz w:val="24"/>
          <w:szCs w:val="24"/>
        </w:rPr>
        <w:t xml:space="preserve">submitted to </w:t>
      </w:r>
      <w:r w:rsidRPr="00F66001" w:rsidR="00032C4E">
        <w:rPr>
          <w:sz w:val="24"/>
          <w:szCs w:val="24"/>
        </w:rPr>
        <w:t>FDA</w:t>
      </w:r>
      <w:r w:rsidRPr="00F66001" w:rsidR="001E216D">
        <w:rPr>
          <w:sz w:val="24"/>
          <w:szCs w:val="24"/>
        </w:rPr>
        <w:t xml:space="preserve"> </w:t>
      </w:r>
      <w:r w:rsidRPr="00F66001" w:rsidR="00032C4E">
        <w:rPr>
          <w:sz w:val="24"/>
          <w:szCs w:val="24"/>
        </w:rPr>
        <w:t xml:space="preserve">when </w:t>
      </w:r>
      <w:r w:rsidRPr="00F66001" w:rsidR="001E216D">
        <w:rPr>
          <w:sz w:val="24"/>
          <w:szCs w:val="24"/>
        </w:rPr>
        <w:t xml:space="preserve">a tobacco product </w:t>
      </w:r>
      <w:r w:rsidRPr="00F66001" w:rsidR="00032C4E">
        <w:rPr>
          <w:sz w:val="24"/>
          <w:szCs w:val="24"/>
        </w:rPr>
        <w:t xml:space="preserve">is </w:t>
      </w:r>
      <w:r w:rsidRPr="00F66001">
        <w:rPr>
          <w:sz w:val="24"/>
          <w:szCs w:val="24"/>
        </w:rPr>
        <w:t xml:space="preserve">first </w:t>
      </w:r>
      <w:r w:rsidRPr="00F66001" w:rsidR="00032C4E">
        <w:rPr>
          <w:sz w:val="24"/>
          <w:szCs w:val="24"/>
        </w:rPr>
        <w:t xml:space="preserve">introduced </w:t>
      </w:r>
      <w:r w:rsidRPr="00F66001" w:rsidR="001E216D">
        <w:rPr>
          <w:sz w:val="24"/>
          <w:szCs w:val="24"/>
        </w:rPr>
        <w:t xml:space="preserve">to </w:t>
      </w:r>
      <w:r w:rsidRPr="00F66001" w:rsidR="00032C4E">
        <w:rPr>
          <w:sz w:val="24"/>
          <w:szCs w:val="24"/>
        </w:rPr>
        <w:t xml:space="preserve">the </w:t>
      </w:r>
      <w:r w:rsidRPr="00F66001" w:rsidR="001E216D">
        <w:rPr>
          <w:sz w:val="24"/>
          <w:szCs w:val="24"/>
        </w:rPr>
        <w:t xml:space="preserve">market, and then </w:t>
      </w:r>
      <w:r w:rsidR="00CF2670">
        <w:rPr>
          <w:sz w:val="24"/>
          <w:szCs w:val="24"/>
        </w:rPr>
        <w:t xml:space="preserve">only </w:t>
      </w:r>
      <w:r w:rsidRPr="00F66001" w:rsidR="00295B50">
        <w:rPr>
          <w:sz w:val="24"/>
          <w:szCs w:val="24"/>
        </w:rPr>
        <w:t xml:space="preserve">upon </w:t>
      </w:r>
      <w:r w:rsidRPr="00F66001" w:rsidR="001E216D">
        <w:rPr>
          <w:sz w:val="24"/>
          <w:szCs w:val="24"/>
        </w:rPr>
        <w:t>a change in product ingredients.</w:t>
      </w:r>
      <w:r w:rsidRPr="00F66001" w:rsidR="00032C4E">
        <w:rPr>
          <w:sz w:val="24"/>
          <w:szCs w:val="24"/>
        </w:rPr>
        <w:t xml:space="preserve">  There is no specific periodic reporting required under the Tobacco Control Act.</w:t>
      </w:r>
      <w:r w:rsidRPr="00F66001" w:rsidR="00E941B1">
        <w:rPr>
          <w:sz w:val="24"/>
          <w:szCs w:val="24"/>
        </w:rPr>
        <w:t xml:space="preserve"> FDA uses this information internally under its premarket product review authorities</w:t>
      </w:r>
      <w:r w:rsidRPr="00C76CD1" w:rsidR="00E941B1">
        <w:rPr>
          <w:sz w:val="24"/>
          <w:szCs w:val="24"/>
        </w:rPr>
        <w:t xml:space="preserve">. </w:t>
      </w:r>
      <w:r w:rsidRPr="00C76CD1" w:rsidR="00351D7A">
        <w:rPr>
          <w:sz w:val="24"/>
          <w:szCs w:val="24"/>
        </w:rPr>
        <w:t>Also</w:t>
      </w:r>
      <w:r w:rsidRPr="00C76CD1" w:rsidR="008F328E">
        <w:rPr>
          <w:sz w:val="24"/>
          <w:szCs w:val="24"/>
        </w:rPr>
        <w:t>, user</w:t>
      </w:r>
      <w:r w:rsidRPr="00C76CD1" w:rsidR="00F66001">
        <w:rPr>
          <w:sz w:val="24"/>
          <w:szCs w:val="24"/>
        </w:rPr>
        <w:t xml:space="preserve"> fees collected from tobacco manufacturers and importers </w:t>
      </w:r>
      <w:r w:rsidRPr="00C76CD1" w:rsidR="00351D7A">
        <w:rPr>
          <w:sz w:val="24"/>
          <w:szCs w:val="24"/>
        </w:rPr>
        <w:t xml:space="preserve">for FDA </w:t>
      </w:r>
      <w:r w:rsidRPr="00C76CD1" w:rsidR="00F66001">
        <w:rPr>
          <w:sz w:val="24"/>
          <w:szCs w:val="24"/>
        </w:rPr>
        <w:t xml:space="preserve">may only be used to fund the costs of the activities for </w:t>
      </w:r>
      <w:r w:rsidRPr="00C76CD1" w:rsidR="00351D7A">
        <w:rPr>
          <w:sz w:val="24"/>
          <w:szCs w:val="24"/>
        </w:rPr>
        <w:t xml:space="preserve">FDA’s </w:t>
      </w:r>
      <w:r w:rsidRPr="00C76CD1" w:rsidR="00F66001">
        <w:rPr>
          <w:sz w:val="24"/>
          <w:szCs w:val="24"/>
        </w:rPr>
        <w:t>Center for Tobacco Products</w:t>
      </w:r>
      <w:r w:rsidRPr="00C76CD1" w:rsidR="00351D7A">
        <w:rPr>
          <w:sz w:val="24"/>
          <w:szCs w:val="24"/>
        </w:rPr>
        <w:t xml:space="preserve"> (CTP)</w:t>
      </w:r>
      <w:r w:rsidRPr="00C76CD1" w:rsidR="00F66001">
        <w:rPr>
          <w:sz w:val="24"/>
          <w:szCs w:val="24"/>
        </w:rPr>
        <w:t>, and these funds are the only ones authorized to be made available for tobacco regulation activities at CTP.</w:t>
      </w:r>
      <w:r w:rsidR="001C5BEB">
        <w:rPr>
          <w:sz w:val="24"/>
          <w:szCs w:val="24"/>
        </w:rPr>
        <w:t xml:space="preserve">  Therefore, FDA could not implement CDC’s data collection activities using its tobacco user fees and those are the only funds authorized to be made available to FDA for tobacco regulation activities.</w:t>
      </w:r>
    </w:p>
    <w:p w:rsidR="00ED65AE" w:rsidRPr="008F1AAA" w:rsidP="00ED65AE" w14:paraId="189BE38F" w14:textId="77777777">
      <w:pPr>
        <w:jc w:val="center"/>
        <w:rPr>
          <w:b/>
          <w:sz w:val="24"/>
          <w:szCs w:val="24"/>
        </w:rPr>
      </w:pPr>
      <w:r w:rsidRPr="008F1AAA">
        <w:rPr>
          <w:b/>
          <w:sz w:val="24"/>
          <w:szCs w:val="24"/>
        </w:rPr>
        <w:t xml:space="preserve">Key Distinctions </w:t>
      </w:r>
      <w:r>
        <w:rPr>
          <w:b/>
          <w:sz w:val="24"/>
          <w:szCs w:val="24"/>
        </w:rPr>
        <w:t xml:space="preserve">Between </w:t>
      </w:r>
      <w:r w:rsidRPr="00D92F7A">
        <w:rPr>
          <w:b/>
          <w:sz w:val="24"/>
          <w:szCs w:val="24"/>
        </w:rPr>
        <w:t>CDC</w:t>
      </w:r>
      <w:r>
        <w:rPr>
          <w:b/>
          <w:sz w:val="24"/>
          <w:szCs w:val="24"/>
        </w:rPr>
        <w:t xml:space="preserve"> and FDA’s</w:t>
      </w:r>
      <w:r w:rsidRPr="00D92F7A">
        <w:rPr>
          <w:b/>
          <w:sz w:val="24"/>
          <w:szCs w:val="24"/>
        </w:rPr>
        <w:t xml:space="preserve"> </w:t>
      </w:r>
      <w:r>
        <w:rPr>
          <w:b/>
          <w:sz w:val="24"/>
          <w:szCs w:val="24"/>
        </w:rPr>
        <w:t>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37"/>
        <w:gridCol w:w="3107"/>
      </w:tblGrid>
      <w:tr w14:paraId="7AE2E7DC" w14:textId="77777777" w:rsidTr="00DA53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tcBorders>
              <w:top w:val="nil"/>
              <w:left w:val="nil"/>
              <w:bottom w:val="single" w:sz="18" w:space="0" w:color="auto"/>
              <w:right w:val="nil"/>
            </w:tcBorders>
            <w:shd w:val="clear" w:color="auto" w:fill="auto"/>
          </w:tcPr>
          <w:p w:rsidR="00ED65AE" w:rsidRPr="00A54A9A" w:rsidP="00DA53CF" w14:paraId="2F7594FB" w14:textId="77777777">
            <w:pPr>
              <w:rPr>
                <w:sz w:val="24"/>
                <w:szCs w:val="24"/>
              </w:rPr>
            </w:pPr>
          </w:p>
        </w:tc>
        <w:tc>
          <w:tcPr>
            <w:tcW w:w="3192" w:type="dxa"/>
            <w:tcBorders>
              <w:top w:val="nil"/>
              <w:left w:val="nil"/>
              <w:bottom w:val="single" w:sz="18" w:space="0" w:color="auto"/>
              <w:right w:val="nil"/>
            </w:tcBorders>
            <w:shd w:val="clear" w:color="auto" w:fill="auto"/>
          </w:tcPr>
          <w:p w:rsidR="00ED65AE" w:rsidRPr="00A54A9A" w:rsidP="00DA53CF" w14:paraId="4CE12538" w14:textId="77777777">
            <w:pPr>
              <w:jc w:val="center"/>
              <w:rPr>
                <w:b/>
                <w:sz w:val="24"/>
                <w:szCs w:val="24"/>
              </w:rPr>
            </w:pPr>
            <w:r w:rsidRPr="00A54A9A">
              <w:rPr>
                <w:b/>
                <w:sz w:val="24"/>
                <w:szCs w:val="24"/>
              </w:rPr>
              <w:t>FCLAA/CSTHEA (1969/1986</w:t>
            </w:r>
            <w:r>
              <w:rPr>
                <w:b/>
                <w:sz w:val="24"/>
                <w:szCs w:val="24"/>
              </w:rPr>
              <w:t>)</w:t>
            </w:r>
          </w:p>
        </w:tc>
        <w:tc>
          <w:tcPr>
            <w:tcW w:w="3192" w:type="dxa"/>
            <w:tcBorders>
              <w:top w:val="nil"/>
              <w:left w:val="nil"/>
              <w:bottom w:val="single" w:sz="18" w:space="0" w:color="auto"/>
              <w:right w:val="nil"/>
            </w:tcBorders>
            <w:shd w:val="clear" w:color="auto" w:fill="auto"/>
          </w:tcPr>
          <w:p w:rsidR="00ED65AE" w:rsidP="00DA53CF" w14:paraId="745DAC7C" w14:textId="77777777">
            <w:pPr>
              <w:spacing w:after="0"/>
              <w:jc w:val="center"/>
              <w:rPr>
                <w:b/>
                <w:sz w:val="24"/>
                <w:szCs w:val="24"/>
              </w:rPr>
            </w:pPr>
            <w:r>
              <w:rPr>
                <w:b/>
                <w:sz w:val="24"/>
                <w:szCs w:val="24"/>
              </w:rPr>
              <w:t>Tobacco Control Act</w:t>
            </w:r>
          </w:p>
          <w:p w:rsidR="00ED65AE" w:rsidRPr="00A54A9A" w:rsidP="00DA53CF" w14:paraId="48AEF467" w14:textId="77777777">
            <w:pPr>
              <w:spacing w:after="0"/>
              <w:jc w:val="center"/>
              <w:rPr>
                <w:b/>
                <w:sz w:val="24"/>
                <w:szCs w:val="24"/>
              </w:rPr>
            </w:pPr>
            <w:r w:rsidRPr="00A54A9A">
              <w:rPr>
                <w:b/>
                <w:sz w:val="24"/>
                <w:szCs w:val="24"/>
              </w:rPr>
              <w:t>(2009)</w:t>
            </w:r>
          </w:p>
        </w:tc>
      </w:tr>
      <w:tr w14:paraId="39A0B0AA" w14:textId="77777777" w:rsidTr="00DA53CF">
        <w:tblPrEx>
          <w:tblW w:w="0" w:type="auto"/>
          <w:tblLook w:val="04A0"/>
        </w:tblPrEx>
        <w:tc>
          <w:tcPr>
            <w:tcW w:w="3192" w:type="dxa"/>
            <w:tcBorders>
              <w:top w:val="single" w:sz="18" w:space="0" w:color="auto"/>
              <w:bottom w:val="nil"/>
            </w:tcBorders>
            <w:shd w:val="clear" w:color="auto" w:fill="D9D9D9"/>
          </w:tcPr>
          <w:p w:rsidR="00ED65AE" w:rsidRPr="00A54A9A" w:rsidP="00DA53CF" w14:paraId="6DE5D7F5" w14:textId="77777777">
            <w:pPr>
              <w:rPr>
                <w:sz w:val="24"/>
                <w:szCs w:val="24"/>
              </w:rPr>
            </w:pPr>
            <w:r w:rsidRPr="00A54A9A">
              <w:rPr>
                <w:sz w:val="24"/>
                <w:szCs w:val="24"/>
              </w:rPr>
              <w:t>HHS Program Administration</w:t>
            </w:r>
          </w:p>
        </w:tc>
        <w:tc>
          <w:tcPr>
            <w:tcW w:w="3192" w:type="dxa"/>
            <w:tcBorders>
              <w:top w:val="single" w:sz="18" w:space="0" w:color="auto"/>
              <w:bottom w:val="nil"/>
            </w:tcBorders>
            <w:shd w:val="clear" w:color="auto" w:fill="D9D9D9"/>
          </w:tcPr>
          <w:p w:rsidR="00ED65AE" w:rsidRPr="00A54A9A" w:rsidP="00DA53CF" w14:paraId="259AC7B8" w14:textId="77777777">
            <w:pPr>
              <w:jc w:val="center"/>
              <w:rPr>
                <w:sz w:val="24"/>
                <w:szCs w:val="24"/>
              </w:rPr>
            </w:pPr>
            <w:r w:rsidRPr="00A54A9A">
              <w:rPr>
                <w:sz w:val="24"/>
                <w:szCs w:val="24"/>
              </w:rPr>
              <w:t>CDC</w:t>
            </w:r>
          </w:p>
        </w:tc>
        <w:tc>
          <w:tcPr>
            <w:tcW w:w="3192" w:type="dxa"/>
            <w:tcBorders>
              <w:top w:val="single" w:sz="18" w:space="0" w:color="auto"/>
              <w:bottom w:val="nil"/>
            </w:tcBorders>
            <w:shd w:val="clear" w:color="auto" w:fill="D9D9D9"/>
          </w:tcPr>
          <w:p w:rsidR="00ED65AE" w:rsidRPr="00A54A9A" w:rsidP="00DA53CF" w14:paraId="3DEC9F1B" w14:textId="77777777">
            <w:pPr>
              <w:jc w:val="center"/>
              <w:rPr>
                <w:sz w:val="24"/>
                <w:szCs w:val="24"/>
              </w:rPr>
            </w:pPr>
            <w:r w:rsidRPr="00A54A9A">
              <w:rPr>
                <w:sz w:val="24"/>
                <w:szCs w:val="24"/>
              </w:rPr>
              <w:t>FDA</w:t>
            </w:r>
          </w:p>
        </w:tc>
      </w:tr>
      <w:tr w14:paraId="0D52CCB5" w14:textId="77777777" w:rsidTr="00DA53CF">
        <w:tblPrEx>
          <w:tblW w:w="0" w:type="auto"/>
          <w:tblLook w:val="04A0"/>
        </w:tblPrEx>
        <w:tc>
          <w:tcPr>
            <w:tcW w:w="3192" w:type="dxa"/>
            <w:tcBorders>
              <w:top w:val="nil"/>
              <w:bottom w:val="nil"/>
            </w:tcBorders>
            <w:shd w:val="clear" w:color="auto" w:fill="auto"/>
          </w:tcPr>
          <w:p w:rsidR="00ED65AE" w:rsidRPr="00A54A9A" w:rsidP="00DA53CF" w14:paraId="64A64C23" w14:textId="77777777">
            <w:pPr>
              <w:rPr>
                <w:sz w:val="24"/>
                <w:szCs w:val="24"/>
              </w:rPr>
            </w:pPr>
            <w:r w:rsidRPr="00A54A9A">
              <w:rPr>
                <w:sz w:val="24"/>
                <w:szCs w:val="24"/>
              </w:rPr>
              <w:t>Reference Section of U</w:t>
            </w:r>
            <w:r>
              <w:rPr>
                <w:sz w:val="24"/>
                <w:szCs w:val="24"/>
              </w:rPr>
              <w:t>.</w:t>
            </w:r>
            <w:r w:rsidRPr="00A54A9A">
              <w:rPr>
                <w:sz w:val="24"/>
                <w:szCs w:val="24"/>
              </w:rPr>
              <w:t>S</w:t>
            </w:r>
            <w:r>
              <w:rPr>
                <w:sz w:val="24"/>
                <w:szCs w:val="24"/>
              </w:rPr>
              <w:t>.</w:t>
            </w:r>
            <w:r w:rsidRPr="00A54A9A">
              <w:rPr>
                <w:sz w:val="24"/>
                <w:szCs w:val="24"/>
              </w:rPr>
              <w:t xml:space="preserve"> Code</w:t>
            </w:r>
          </w:p>
        </w:tc>
        <w:tc>
          <w:tcPr>
            <w:tcW w:w="3192" w:type="dxa"/>
            <w:tcBorders>
              <w:top w:val="nil"/>
              <w:bottom w:val="nil"/>
            </w:tcBorders>
            <w:shd w:val="clear" w:color="auto" w:fill="auto"/>
          </w:tcPr>
          <w:p w:rsidR="00ED65AE" w:rsidRPr="00A54A9A" w:rsidP="00DA53CF" w14:paraId="5AC3C782" w14:textId="77777777">
            <w:pPr>
              <w:jc w:val="center"/>
              <w:rPr>
                <w:sz w:val="24"/>
                <w:szCs w:val="24"/>
              </w:rPr>
            </w:pPr>
            <w:r w:rsidRPr="00A54A9A">
              <w:rPr>
                <w:sz w:val="24"/>
                <w:szCs w:val="24"/>
              </w:rPr>
              <w:t>15 U.S.C. 1335 / 15 U.S.C. 4403</w:t>
            </w:r>
          </w:p>
        </w:tc>
        <w:tc>
          <w:tcPr>
            <w:tcW w:w="3192" w:type="dxa"/>
            <w:tcBorders>
              <w:top w:val="nil"/>
              <w:bottom w:val="nil"/>
            </w:tcBorders>
            <w:shd w:val="clear" w:color="auto" w:fill="auto"/>
          </w:tcPr>
          <w:p w:rsidR="00ED65AE" w:rsidRPr="00A54A9A" w:rsidP="00DA53CF" w14:paraId="23C9BC8A" w14:textId="77777777">
            <w:pPr>
              <w:jc w:val="center"/>
              <w:rPr>
                <w:sz w:val="24"/>
                <w:szCs w:val="24"/>
              </w:rPr>
            </w:pPr>
            <w:r w:rsidRPr="00A54A9A">
              <w:rPr>
                <w:sz w:val="24"/>
                <w:szCs w:val="24"/>
              </w:rPr>
              <w:t>21.U.S.C. 387</w:t>
            </w:r>
          </w:p>
        </w:tc>
      </w:tr>
      <w:tr w14:paraId="24EAF131" w14:textId="77777777" w:rsidTr="00DA53CF">
        <w:tblPrEx>
          <w:tblW w:w="0" w:type="auto"/>
          <w:tblLook w:val="04A0"/>
        </w:tblPrEx>
        <w:tc>
          <w:tcPr>
            <w:tcW w:w="3192" w:type="dxa"/>
            <w:tcBorders>
              <w:top w:val="nil"/>
              <w:bottom w:val="nil"/>
            </w:tcBorders>
            <w:shd w:val="clear" w:color="auto" w:fill="D9D9D9"/>
          </w:tcPr>
          <w:p w:rsidR="00ED65AE" w:rsidRPr="00A54A9A" w:rsidP="00DA53CF" w14:paraId="3C83F5AD" w14:textId="77777777">
            <w:pPr>
              <w:rPr>
                <w:sz w:val="24"/>
                <w:szCs w:val="24"/>
              </w:rPr>
            </w:pPr>
            <w:r w:rsidRPr="00A54A9A">
              <w:rPr>
                <w:sz w:val="24"/>
                <w:szCs w:val="24"/>
              </w:rPr>
              <w:t>Cigarette Data Collected: Ingredients</w:t>
            </w:r>
          </w:p>
        </w:tc>
        <w:tc>
          <w:tcPr>
            <w:tcW w:w="3192" w:type="dxa"/>
            <w:tcBorders>
              <w:top w:val="nil"/>
              <w:bottom w:val="nil"/>
            </w:tcBorders>
            <w:shd w:val="clear" w:color="auto" w:fill="D9D9D9"/>
          </w:tcPr>
          <w:p w:rsidR="00ED65AE" w:rsidRPr="00A54A9A" w:rsidP="00DA53CF" w14:paraId="2D74B0FC" w14:textId="77777777">
            <w:pPr>
              <w:jc w:val="center"/>
              <w:rPr>
                <w:sz w:val="24"/>
                <w:szCs w:val="24"/>
              </w:rPr>
            </w:pPr>
            <w:r w:rsidRPr="00A54A9A">
              <w:rPr>
                <w:sz w:val="24"/>
                <w:szCs w:val="24"/>
              </w:rPr>
              <w:t>Yes;</w:t>
            </w:r>
            <w:r w:rsidRPr="00A54A9A">
              <w:rPr>
                <w:sz w:val="24"/>
                <w:szCs w:val="24"/>
              </w:rPr>
              <w:t xml:space="preserve"> </w:t>
            </w:r>
            <w:r>
              <w:rPr>
                <w:sz w:val="24"/>
                <w:szCs w:val="24"/>
              </w:rPr>
              <w:t xml:space="preserve">however, </w:t>
            </w:r>
            <w:r w:rsidRPr="00A54A9A">
              <w:rPr>
                <w:sz w:val="24"/>
                <w:szCs w:val="24"/>
              </w:rPr>
              <w:t>no quantities</w:t>
            </w:r>
            <w:r>
              <w:rPr>
                <w:sz w:val="24"/>
                <w:szCs w:val="24"/>
              </w:rPr>
              <w:t xml:space="preserve"> collected</w:t>
            </w:r>
            <w:r w:rsidRPr="00A54A9A">
              <w:rPr>
                <w:sz w:val="24"/>
                <w:szCs w:val="24"/>
              </w:rPr>
              <w:t xml:space="preserve">; brands </w:t>
            </w:r>
            <w:r>
              <w:rPr>
                <w:sz w:val="24"/>
                <w:szCs w:val="24"/>
              </w:rPr>
              <w:t>and</w:t>
            </w:r>
            <w:r w:rsidRPr="00A54A9A">
              <w:rPr>
                <w:sz w:val="24"/>
                <w:szCs w:val="24"/>
              </w:rPr>
              <w:t xml:space="preserve"> </w:t>
            </w:r>
            <w:r w:rsidRPr="00A54A9A">
              <w:rPr>
                <w:sz w:val="24"/>
                <w:szCs w:val="24"/>
              </w:rPr>
              <w:t>subbrands</w:t>
            </w:r>
            <w:r w:rsidRPr="00A54A9A">
              <w:rPr>
                <w:sz w:val="24"/>
                <w:szCs w:val="24"/>
              </w:rPr>
              <w:t xml:space="preserve"> </w:t>
            </w:r>
            <w:r>
              <w:rPr>
                <w:sz w:val="24"/>
                <w:szCs w:val="24"/>
              </w:rPr>
              <w:t xml:space="preserve">are </w:t>
            </w:r>
            <w:r w:rsidRPr="00A54A9A">
              <w:rPr>
                <w:sz w:val="24"/>
                <w:szCs w:val="24"/>
              </w:rPr>
              <w:t>not specified</w:t>
            </w:r>
            <w:r w:rsidR="008F328E">
              <w:rPr>
                <w:sz w:val="24"/>
                <w:szCs w:val="24"/>
              </w:rPr>
              <w:t>.  Also, reporting not required for tobacco types/brands or reporting of ingredients used in paper and filters.</w:t>
            </w:r>
          </w:p>
        </w:tc>
        <w:tc>
          <w:tcPr>
            <w:tcW w:w="3192" w:type="dxa"/>
            <w:tcBorders>
              <w:top w:val="nil"/>
              <w:bottom w:val="nil"/>
            </w:tcBorders>
            <w:shd w:val="clear" w:color="auto" w:fill="D9D9D9"/>
          </w:tcPr>
          <w:p w:rsidR="00ED65AE" w:rsidRPr="00A54A9A" w:rsidP="00362E13" w14:paraId="70B683CB" w14:textId="77777777">
            <w:pPr>
              <w:jc w:val="center"/>
              <w:rPr>
                <w:sz w:val="24"/>
                <w:szCs w:val="24"/>
              </w:rPr>
            </w:pPr>
            <w:r w:rsidRPr="00A54A9A">
              <w:rPr>
                <w:sz w:val="24"/>
                <w:szCs w:val="24"/>
              </w:rPr>
              <w:t>Yes;</w:t>
            </w:r>
            <w:r w:rsidRPr="00A54A9A">
              <w:rPr>
                <w:sz w:val="24"/>
                <w:szCs w:val="24"/>
              </w:rPr>
              <w:t xml:space="preserve"> quantities</w:t>
            </w:r>
            <w:r>
              <w:rPr>
                <w:sz w:val="24"/>
                <w:szCs w:val="24"/>
              </w:rPr>
              <w:t xml:space="preserve"> collected</w:t>
            </w:r>
            <w:r w:rsidRPr="00A54A9A">
              <w:rPr>
                <w:sz w:val="24"/>
                <w:szCs w:val="24"/>
              </w:rPr>
              <w:t xml:space="preserve">; brand and </w:t>
            </w:r>
            <w:r w:rsidRPr="00A54A9A">
              <w:rPr>
                <w:sz w:val="24"/>
                <w:szCs w:val="24"/>
              </w:rPr>
              <w:t>subbrands</w:t>
            </w:r>
            <w:r w:rsidRPr="00A54A9A">
              <w:rPr>
                <w:sz w:val="24"/>
                <w:szCs w:val="24"/>
              </w:rPr>
              <w:t xml:space="preserve"> </w:t>
            </w:r>
            <w:r>
              <w:rPr>
                <w:sz w:val="24"/>
                <w:szCs w:val="24"/>
              </w:rPr>
              <w:t xml:space="preserve">are </w:t>
            </w:r>
            <w:r w:rsidRPr="00A54A9A">
              <w:rPr>
                <w:sz w:val="24"/>
                <w:szCs w:val="24"/>
              </w:rPr>
              <w:t>specified</w:t>
            </w:r>
            <w:r w:rsidR="00362E13">
              <w:rPr>
                <w:sz w:val="24"/>
                <w:szCs w:val="24"/>
              </w:rPr>
              <w:t>.  R</w:t>
            </w:r>
            <w:r w:rsidRPr="00362E13" w:rsidR="00362E13">
              <w:rPr>
                <w:sz w:val="24"/>
                <w:szCs w:val="24"/>
              </w:rPr>
              <w:t xml:space="preserve">eporting </w:t>
            </w:r>
            <w:r w:rsidR="00362E13">
              <w:rPr>
                <w:sz w:val="24"/>
                <w:szCs w:val="24"/>
              </w:rPr>
              <w:t>is</w:t>
            </w:r>
            <w:r w:rsidRPr="00362E13" w:rsidR="00362E13">
              <w:rPr>
                <w:sz w:val="24"/>
                <w:szCs w:val="24"/>
              </w:rPr>
              <w:t xml:space="preserve"> required for tobacco types/brands </w:t>
            </w:r>
            <w:r w:rsidR="00362E13">
              <w:rPr>
                <w:sz w:val="24"/>
                <w:szCs w:val="24"/>
              </w:rPr>
              <w:t>and</w:t>
            </w:r>
            <w:r w:rsidRPr="00362E13" w:rsidR="00362E13">
              <w:rPr>
                <w:sz w:val="24"/>
                <w:szCs w:val="24"/>
              </w:rPr>
              <w:t xml:space="preserve"> reporting of ingredients used in paper and filters.</w:t>
            </w:r>
          </w:p>
        </w:tc>
      </w:tr>
      <w:tr w14:paraId="55F2BA09" w14:textId="77777777" w:rsidTr="00DA53CF">
        <w:tblPrEx>
          <w:tblW w:w="0" w:type="auto"/>
          <w:tblLook w:val="04A0"/>
        </w:tblPrEx>
        <w:tc>
          <w:tcPr>
            <w:tcW w:w="3192" w:type="dxa"/>
            <w:tcBorders>
              <w:top w:val="nil"/>
              <w:bottom w:val="nil"/>
            </w:tcBorders>
            <w:shd w:val="clear" w:color="auto" w:fill="auto"/>
          </w:tcPr>
          <w:p w:rsidR="00ED65AE" w:rsidRPr="00A54A9A" w:rsidP="00DA53CF" w14:paraId="6433B4BF" w14:textId="77777777">
            <w:pPr>
              <w:rPr>
                <w:sz w:val="24"/>
                <w:szCs w:val="24"/>
              </w:rPr>
            </w:pPr>
            <w:r w:rsidRPr="00A54A9A">
              <w:rPr>
                <w:sz w:val="24"/>
                <w:szCs w:val="24"/>
              </w:rPr>
              <w:t>Cigarette Data Collected: Nicotine</w:t>
            </w:r>
            <w:r>
              <w:rPr>
                <w:rStyle w:val="FootnoteReference"/>
                <w:sz w:val="24"/>
                <w:szCs w:val="24"/>
              </w:rPr>
              <w:footnoteReference w:id="2"/>
            </w:r>
          </w:p>
        </w:tc>
        <w:tc>
          <w:tcPr>
            <w:tcW w:w="3192" w:type="dxa"/>
            <w:tcBorders>
              <w:top w:val="nil"/>
              <w:bottom w:val="nil"/>
            </w:tcBorders>
            <w:shd w:val="clear" w:color="auto" w:fill="auto"/>
          </w:tcPr>
          <w:p w:rsidR="00ED65AE" w:rsidRPr="00A54A9A" w:rsidP="00DA53CF" w14:paraId="2EA9FC53" w14:textId="77777777">
            <w:pPr>
              <w:jc w:val="center"/>
              <w:rPr>
                <w:sz w:val="24"/>
                <w:szCs w:val="24"/>
              </w:rPr>
            </w:pPr>
            <w:r w:rsidRPr="00A54A9A">
              <w:rPr>
                <w:sz w:val="24"/>
                <w:szCs w:val="24"/>
              </w:rPr>
              <w:t>Not collected</w:t>
            </w:r>
          </w:p>
        </w:tc>
        <w:tc>
          <w:tcPr>
            <w:tcW w:w="3192" w:type="dxa"/>
            <w:tcBorders>
              <w:top w:val="nil"/>
              <w:bottom w:val="nil"/>
            </w:tcBorders>
            <w:shd w:val="clear" w:color="auto" w:fill="auto"/>
          </w:tcPr>
          <w:p w:rsidR="00ED65AE" w:rsidRPr="00A54A9A" w:rsidP="00011BBC" w14:paraId="4A41B612" w14:textId="77777777">
            <w:pPr>
              <w:jc w:val="center"/>
              <w:rPr>
                <w:sz w:val="24"/>
                <w:szCs w:val="24"/>
              </w:rPr>
            </w:pPr>
            <w:r w:rsidRPr="00A54A9A">
              <w:rPr>
                <w:sz w:val="24"/>
                <w:szCs w:val="24"/>
              </w:rPr>
              <w:t>Yes;</w:t>
            </w:r>
            <w:r w:rsidRPr="00A54A9A">
              <w:rPr>
                <w:sz w:val="24"/>
                <w:szCs w:val="24"/>
              </w:rPr>
              <w:t xml:space="preserve"> quantities</w:t>
            </w:r>
            <w:r>
              <w:rPr>
                <w:sz w:val="24"/>
                <w:szCs w:val="24"/>
              </w:rPr>
              <w:t xml:space="preserve"> are collected</w:t>
            </w:r>
            <w:r w:rsidRPr="00A54A9A">
              <w:rPr>
                <w:sz w:val="24"/>
                <w:szCs w:val="24"/>
              </w:rPr>
              <w:t xml:space="preserve">, brands </w:t>
            </w:r>
            <w:r>
              <w:rPr>
                <w:sz w:val="24"/>
                <w:szCs w:val="24"/>
              </w:rPr>
              <w:t>and</w:t>
            </w:r>
            <w:r w:rsidRPr="00A54A9A">
              <w:rPr>
                <w:sz w:val="24"/>
                <w:szCs w:val="24"/>
              </w:rPr>
              <w:t xml:space="preserve"> </w:t>
            </w:r>
            <w:r w:rsidRPr="00A54A9A">
              <w:rPr>
                <w:sz w:val="24"/>
                <w:szCs w:val="24"/>
              </w:rPr>
              <w:t>subbrands</w:t>
            </w:r>
            <w:r w:rsidRPr="00A54A9A">
              <w:rPr>
                <w:sz w:val="24"/>
                <w:szCs w:val="24"/>
              </w:rPr>
              <w:t xml:space="preserve"> </w:t>
            </w:r>
            <w:r>
              <w:rPr>
                <w:sz w:val="24"/>
                <w:szCs w:val="24"/>
              </w:rPr>
              <w:t xml:space="preserve">are </w:t>
            </w:r>
            <w:r w:rsidRPr="00A54A9A">
              <w:rPr>
                <w:sz w:val="24"/>
                <w:szCs w:val="24"/>
              </w:rPr>
              <w:t>specified</w:t>
            </w:r>
          </w:p>
        </w:tc>
      </w:tr>
      <w:tr w14:paraId="6BEE4302" w14:textId="77777777" w:rsidTr="00DA53CF">
        <w:tblPrEx>
          <w:tblW w:w="0" w:type="auto"/>
          <w:tblLook w:val="04A0"/>
        </w:tblPrEx>
        <w:tc>
          <w:tcPr>
            <w:tcW w:w="3192" w:type="dxa"/>
            <w:tcBorders>
              <w:top w:val="nil"/>
              <w:bottom w:val="nil"/>
            </w:tcBorders>
            <w:shd w:val="clear" w:color="auto" w:fill="D9D9D9"/>
          </w:tcPr>
          <w:p w:rsidR="00ED65AE" w:rsidRPr="00A54A9A" w:rsidP="00DA53CF" w14:paraId="5BD7E1E1" w14:textId="77777777">
            <w:pPr>
              <w:rPr>
                <w:sz w:val="24"/>
                <w:szCs w:val="24"/>
              </w:rPr>
            </w:pPr>
            <w:r w:rsidRPr="00A54A9A">
              <w:rPr>
                <w:sz w:val="24"/>
                <w:szCs w:val="24"/>
              </w:rPr>
              <w:t>Smokeless Tobacco Data Collected: Ingredients</w:t>
            </w:r>
          </w:p>
        </w:tc>
        <w:tc>
          <w:tcPr>
            <w:tcW w:w="3192" w:type="dxa"/>
            <w:tcBorders>
              <w:top w:val="nil"/>
              <w:bottom w:val="nil"/>
            </w:tcBorders>
            <w:shd w:val="clear" w:color="auto" w:fill="D9D9D9"/>
          </w:tcPr>
          <w:p w:rsidR="00ED65AE" w:rsidRPr="00A54A9A" w:rsidP="00DA53CF" w14:paraId="04016330" w14:textId="77777777">
            <w:pPr>
              <w:jc w:val="center"/>
              <w:rPr>
                <w:sz w:val="24"/>
                <w:szCs w:val="24"/>
              </w:rPr>
            </w:pPr>
            <w:r w:rsidRPr="00A54A9A">
              <w:rPr>
                <w:sz w:val="24"/>
                <w:szCs w:val="24"/>
              </w:rPr>
              <w:t>Yes;</w:t>
            </w:r>
            <w:r w:rsidRPr="00A54A9A">
              <w:rPr>
                <w:sz w:val="24"/>
                <w:szCs w:val="24"/>
              </w:rPr>
              <w:t xml:space="preserve"> </w:t>
            </w:r>
            <w:r>
              <w:rPr>
                <w:sz w:val="24"/>
                <w:szCs w:val="24"/>
              </w:rPr>
              <w:t xml:space="preserve">however, </w:t>
            </w:r>
            <w:r w:rsidRPr="00A54A9A">
              <w:rPr>
                <w:sz w:val="24"/>
                <w:szCs w:val="24"/>
              </w:rPr>
              <w:t>no quantities</w:t>
            </w:r>
            <w:r>
              <w:rPr>
                <w:sz w:val="24"/>
                <w:szCs w:val="24"/>
              </w:rPr>
              <w:t xml:space="preserve"> collected</w:t>
            </w:r>
            <w:r w:rsidRPr="00A54A9A">
              <w:rPr>
                <w:sz w:val="24"/>
                <w:szCs w:val="24"/>
              </w:rPr>
              <w:t xml:space="preserve">; brands </w:t>
            </w:r>
            <w:r>
              <w:rPr>
                <w:sz w:val="24"/>
                <w:szCs w:val="24"/>
              </w:rPr>
              <w:t>and</w:t>
            </w:r>
            <w:r w:rsidRPr="00A54A9A">
              <w:rPr>
                <w:sz w:val="24"/>
                <w:szCs w:val="24"/>
              </w:rPr>
              <w:t xml:space="preserve"> </w:t>
            </w:r>
            <w:r w:rsidRPr="00A54A9A">
              <w:rPr>
                <w:sz w:val="24"/>
                <w:szCs w:val="24"/>
              </w:rPr>
              <w:t>subbrands</w:t>
            </w:r>
            <w:r w:rsidRPr="00A54A9A">
              <w:rPr>
                <w:sz w:val="24"/>
                <w:szCs w:val="24"/>
              </w:rPr>
              <w:t xml:space="preserve"> </w:t>
            </w:r>
            <w:r>
              <w:rPr>
                <w:sz w:val="24"/>
                <w:szCs w:val="24"/>
              </w:rPr>
              <w:t xml:space="preserve">are </w:t>
            </w:r>
            <w:r w:rsidRPr="00A54A9A">
              <w:rPr>
                <w:sz w:val="24"/>
                <w:szCs w:val="24"/>
              </w:rPr>
              <w:t>not specified</w:t>
            </w:r>
            <w:r w:rsidR="00362E13">
              <w:rPr>
                <w:sz w:val="24"/>
                <w:szCs w:val="24"/>
              </w:rPr>
              <w:t xml:space="preserve">.  </w:t>
            </w:r>
            <w:r w:rsidRPr="00362E13" w:rsidR="00362E13">
              <w:rPr>
                <w:sz w:val="24"/>
                <w:szCs w:val="24"/>
              </w:rPr>
              <w:t>Also, reporting not required for tobacco types/brands</w:t>
            </w:r>
            <w:r w:rsidR="00362E13">
              <w:rPr>
                <w:sz w:val="24"/>
                <w:szCs w:val="24"/>
              </w:rPr>
              <w:t>.</w:t>
            </w:r>
          </w:p>
        </w:tc>
        <w:tc>
          <w:tcPr>
            <w:tcW w:w="3192" w:type="dxa"/>
            <w:tcBorders>
              <w:top w:val="nil"/>
              <w:bottom w:val="nil"/>
            </w:tcBorders>
            <w:shd w:val="clear" w:color="auto" w:fill="D9D9D9"/>
          </w:tcPr>
          <w:p w:rsidR="00ED65AE" w:rsidRPr="00A54A9A" w:rsidP="00362E13" w14:paraId="4446D1DF" w14:textId="77777777">
            <w:pPr>
              <w:jc w:val="center"/>
              <w:rPr>
                <w:sz w:val="24"/>
                <w:szCs w:val="24"/>
              </w:rPr>
            </w:pPr>
            <w:r w:rsidRPr="00A54A9A">
              <w:rPr>
                <w:sz w:val="24"/>
                <w:szCs w:val="24"/>
              </w:rPr>
              <w:t>Yes;</w:t>
            </w:r>
            <w:r w:rsidRPr="00A54A9A">
              <w:rPr>
                <w:sz w:val="24"/>
                <w:szCs w:val="24"/>
              </w:rPr>
              <w:t xml:space="preserve"> quantities</w:t>
            </w:r>
            <w:r>
              <w:rPr>
                <w:sz w:val="24"/>
                <w:szCs w:val="24"/>
              </w:rPr>
              <w:t xml:space="preserve"> are collected</w:t>
            </w:r>
            <w:r w:rsidRPr="00A54A9A">
              <w:rPr>
                <w:sz w:val="24"/>
                <w:szCs w:val="24"/>
              </w:rPr>
              <w:t xml:space="preserve">; brands </w:t>
            </w:r>
            <w:r>
              <w:rPr>
                <w:sz w:val="24"/>
                <w:szCs w:val="24"/>
              </w:rPr>
              <w:t>and</w:t>
            </w:r>
            <w:r w:rsidRPr="00A54A9A">
              <w:rPr>
                <w:sz w:val="24"/>
                <w:szCs w:val="24"/>
              </w:rPr>
              <w:t xml:space="preserve"> </w:t>
            </w:r>
            <w:r w:rsidRPr="00A54A9A">
              <w:rPr>
                <w:sz w:val="24"/>
                <w:szCs w:val="24"/>
              </w:rPr>
              <w:t>subbrands</w:t>
            </w:r>
            <w:r w:rsidRPr="00A54A9A">
              <w:rPr>
                <w:sz w:val="24"/>
                <w:szCs w:val="24"/>
              </w:rPr>
              <w:t xml:space="preserve"> </w:t>
            </w:r>
            <w:r>
              <w:rPr>
                <w:sz w:val="24"/>
                <w:szCs w:val="24"/>
              </w:rPr>
              <w:t xml:space="preserve">are </w:t>
            </w:r>
            <w:r w:rsidRPr="00A54A9A">
              <w:rPr>
                <w:sz w:val="24"/>
                <w:szCs w:val="24"/>
              </w:rPr>
              <w:t>specified</w:t>
            </w:r>
            <w:r w:rsidR="00362E13">
              <w:rPr>
                <w:sz w:val="24"/>
                <w:szCs w:val="24"/>
              </w:rPr>
              <w:t>.  R</w:t>
            </w:r>
            <w:r w:rsidRPr="00362E13" w:rsidR="00362E13">
              <w:rPr>
                <w:sz w:val="24"/>
                <w:szCs w:val="24"/>
              </w:rPr>
              <w:t xml:space="preserve">eporting </w:t>
            </w:r>
            <w:r w:rsidR="00362E13">
              <w:rPr>
                <w:sz w:val="24"/>
                <w:szCs w:val="24"/>
              </w:rPr>
              <w:t>is</w:t>
            </w:r>
            <w:r w:rsidRPr="00362E13" w:rsidR="00362E13">
              <w:rPr>
                <w:sz w:val="24"/>
                <w:szCs w:val="24"/>
              </w:rPr>
              <w:t>t</w:t>
            </w:r>
            <w:r w:rsidRPr="00362E13" w:rsidR="00362E13">
              <w:rPr>
                <w:sz w:val="24"/>
                <w:szCs w:val="24"/>
              </w:rPr>
              <w:t xml:space="preserve"> required for tobacco types/brands</w:t>
            </w:r>
            <w:r w:rsidR="00362E13">
              <w:rPr>
                <w:sz w:val="24"/>
                <w:szCs w:val="24"/>
              </w:rPr>
              <w:t>.</w:t>
            </w:r>
          </w:p>
        </w:tc>
      </w:tr>
      <w:tr w14:paraId="0840C912" w14:textId="77777777" w:rsidTr="00DA53CF">
        <w:tblPrEx>
          <w:tblW w:w="0" w:type="auto"/>
          <w:tblLook w:val="04A0"/>
        </w:tblPrEx>
        <w:tc>
          <w:tcPr>
            <w:tcW w:w="3192" w:type="dxa"/>
            <w:tcBorders>
              <w:top w:val="nil"/>
              <w:bottom w:val="nil"/>
            </w:tcBorders>
            <w:shd w:val="clear" w:color="auto" w:fill="auto"/>
          </w:tcPr>
          <w:p w:rsidR="00ED65AE" w:rsidRPr="00A54A9A" w:rsidP="00DA53CF" w14:paraId="2E8D8C41" w14:textId="77777777">
            <w:pPr>
              <w:rPr>
                <w:sz w:val="24"/>
                <w:szCs w:val="24"/>
              </w:rPr>
            </w:pPr>
            <w:r w:rsidRPr="00A54A9A">
              <w:rPr>
                <w:sz w:val="24"/>
                <w:szCs w:val="24"/>
              </w:rPr>
              <w:t>Smokeless Tobacco Data Collected: Nicotine</w:t>
            </w:r>
          </w:p>
        </w:tc>
        <w:tc>
          <w:tcPr>
            <w:tcW w:w="3192" w:type="dxa"/>
            <w:tcBorders>
              <w:top w:val="nil"/>
              <w:bottom w:val="nil"/>
            </w:tcBorders>
            <w:shd w:val="clear" w:color="auto" w:fill="auto"/>
          </w:tcPr>
          <w:p w:rsidR="00ED65AE" w:rsidRPr="00A54A9A" w:rsidP="00DA53CF" w14:paraId="074A5C14" w14:textId="77777777">
            <w:pPr>
              <w:jc w:val="center"/>
              <w:rPr>
                <w:sz w:val="24"/>
                <w:szCs w:val="24"/>
              </w:rPr>
            </w:pPr>
            <w:r w:rsidRPr="00A54A9A">
              <w:rPr>
                <w:sz w:val="24"/>
                <w:szCs w:val="24"/>
              </w:rPr>
              <w:t>Yes;</w:t>
            </w:r>
            <w:r w:rsidRPr="00A54A9A">
              <w:rPr>
                <w:sz w:val="24"/>
                <w:szCs w:val="24"/>
              </w:rPr>
              <w:t xml:space="preserve"> quantities</w:t>
            </w:r>
            <w:r>
              <w:rPr>
                <w:sz w:val="24"/>
                <w:szCs w:val="24"/>
              </w:rPr>
              <w:t xml:space="preserve"> are collected</w:t>
            </w:r>
            <w:r w:rsidRPr="00A54A9A">
              <w:rPr>
                <w:sz w:val="24"/>
                <w:szCs w:val="24"/>
              </w:rPr>
              <w:t xml:space="preserve">; brands </w:t>
            </w:r>
            <w:r>
              <w:rPr>
                <w:sz w:val="24"/>
                <w:szCs w:val="24"/>
              </w:rPr>
              <w:t>and</w:t>
            </w:r>
            <w:r w:rsidRPr="00A54A9A">
              <w:rPr>
                <w:sz w:val="24"/>
                <w:szCs w:val="24"/>
              </w:rPr>
              <w:t xml:space="preserve"> </w:t>
            </w:r>
            <w:r w:rsidRPr="00A54A9A">
              <w:rPr>
                <w:sz w:val="24"/>
                <w:szCs w:val="24"/>
              </w:rPr>
              <w:t>subbrands</w:t>
            </w:r>
            <w:r w:rsidRPr="00A54A9A">
              <w:rPr>
                <w:sz w:val="24"/>
                <w:szCs w:val="24"/>
              </w:rPr>
              <w:t xml:space="preserve"> </w:t>
            </w:r>
            <w:r>
              <w:rPr>
                <w:sz w:val="24"/>
                <w:szCs w:val="24"/>
              </w:rPr>
              <w:t xml:space="preserve">are </w:t>
            </w:r>
            <w:r w:rsidRPr="00A54A9A">
              <w:rPr>
                <w:sz w:val="24"/>
                <w:szCs w:val="24"/>
              </w:rPr>
              <w:t>specified</w:t>
            </w:r>
          </w:p>
        </w:tc>
        <w:tc>
          <w:tcPr>
            <w:tcW w:w="3192" w:type="dxa"/>
            <w:tcBorders>
              <w:top w:val="nil"/>
              <w:bottom w:val="nil"/>
            </w:tcBorders>
            <w:shd w:val="clear" w:color="auto" w:fill="auto"/>
          </w:tcPr>
          <w:p w:rsidR="00ED65AE" w:rsidRPr="00A54A9A" w:rsidP="00DA53CF" w14:paraId="4ABB2329" w14:textId="77777777">
            <w:pPr>
              <w:jc w:val="center"/>
              <w:rPr>
                <w:sz w:val="24"/>
                <w:szCs w:val="24"/>
              </w:rPr>
            </w:pPr>
            <w:r w:rsidRPr="00A54A9A">
              <w:rPr>
                <w:sz w:val="24"/>
                <w:szCs w:val="24"/>
              </w:rPr>
              <w:t>Yes;</w:t>
            </w:r>
            <w:r w:rsidRPr="00A54A9A">
              <w:rPr>
                <w:sz w:val="24"/>
                <w:szCs w:val="24"/>
              </w:rPr>
              <w:t xml:space="preserve"> quantities</w:t>
            </w:r>
            <w:r>
              <w:rPr>
                <w:sz w:val="24"/>
                <w:szCs w:val="24"/>
              </w:rPr>
              <w:t xml:space="preserve"> are collected</w:t>
            </w:r>
            <w:r w:rsidRPr="00A54A9A">
              <w:rPr>
                <w:sz w:val="24"/>
                <w:szCs w:val="24"/>
              </w:rPr>
              <w:t xml:space="preserve">; brands </w:t>
            </w:r>
            <w:r>
              <w:rPr>
                <w:sz w:val="24"/>
                <w:szCs w:val="24"/>
              </w:rPr>
              <w:t>and</w:t>
            </w:r>
            <w:r w:rsidRPr="00A54A9A">
              <w:rPr>
                <w:sz w:val="24"/>
                <w:szCs w:val="24"/>
              </w:rPr>
              <w:t xml:space="preserve"> </w:t>
            </w:r>
            <w:r w:rsidRPr="00A54A9A">
              <w:rPr>
                <w:sz w:val="24"/>
                <w:szCs w:val="24"/>
              </w:rPr>
              <w:t>subbrands</w:t>
            </w:r>
            <w:r w:rsidRPr="00A54A9A">
              <w:rPr>
                <w:sz w:val="24"/>
                <w:szCs w:val="24"/>
              </w:rPr>
              <w:t xml:space="preserve"> </w:t>
            </w:r>
            <w:r>
              <w:rPr>
                <w:sz w:val="24"/>
                <w:szCs w:val="24"/>
              </w:rPr>
              <w:t xml:space="preserve">are </w:t>
            </w:r>
            <w:r w:rsidRPr="00A54A9A">
              <w:rPr>
                <w:sz w:val="24"/>
                <w:szCs w:val="24"/>
              </w:rPr>
              <w:t>specified</w:t>
            </w:r>
          </w:p>
        </w:tc>
      </w:tr>
      <w:tr w14:paraId="49E05E88" w14:textId="77777777" w:rsidTr="00DA53CF">
        <w:tblPrEx>
          <w:tblW w:w="0" w:type="auto"/>
          <w:tblLook w:val="04A0"/>
        </w:tblPrEx>
        <w:tc>
          <w:tcPr>
            <w:tcW w:w="3192" w:type="dxa"/>
            <w:tcBorders>
              <w:top w:val="nil"/>
              <w:bottom w:val="nil"/>
            </w:tcBorders>
            <w:shd w:val="clear" w:color="auto" w:fill="D9D9D9"/>
          </w:tcPr>
          <w:p w:rsidR="00ED65AE" w:rsidRPr="00A54A9A" w:rsidP="00DA53CF" w14:paraId="386E5D9A" w14:textId="77777777">
            <w:pPr>
              <w:rPr>
                <w:sz w:val="24"/>
                <w:szCs w:val="24"/>
              </w:rPr>
            </w:pPr>
            <w:r w:rsidRPr="00A54A9A">
              <w:rPr>
                <w:sz w:val="24"/>
                <w:szCs w:val="24"/>
              </w:rPr>
              <w:t>Timeline of Collection</w:t>
            </w:r>
          </w:p>
        </w:tc>
        <w:tc>
          <w:tcPr>
            <w:tcW w:w="3192" w:type="dxa"/>
            <w:tcBorders>
              <w:top w:val="nil"/>
              <w:bottom w:val="nil"/>
            </w:tcBorders>
            <w:shd w:val="clear" w:color="auto" w:fill="D9D9D9"/>
          </w:tcPr>
          <w:p w:rsidR="00ED65AE" w:rsidRPr="00A54A9A" w:rsidP="00DA53CF" w14:paraId="7D09C145" w14:textId="77777777">
            <w:pPr>
              <w:jc w:val="center"/>
              <w:rPr>
                <w:sz w:val="24"/>
                <w:szCs w:val="24"/>
              </w:rPr>
            </w:pPr>
            <w:r w:rsidRPr="00A54A9A">
              <w:rPr>
                <w:sz w:val="24"/>
                <w:szCs w:val="24"/>
              </w:rPr>
              <w:t>Annual</w:t>
            </w:r>
            <w:r>
              <w:rPr>
                <w:sz w:val="24"/>
                <w:szCs w:val="24"/>
              </w:rPr>
              <w:t>, regardless of changes to product</w:t>
            </w:r>
          </w:p>
        </w:tc>
        <w:tc>
          <w:tcPr>
            <w:tcW w:w="3192" w:type="dxa"/>
            <w:tcBorders>
              <w:top w:val="nil"/>
              <w:bottom w:val="nil"/>
            </w:tcBorders>
            <w:shd w:val="clear" w:color="auto" w:fill="D9D9D9"/>
          </w:tcPr>
          <w:p w:rsidR="00ED65AE" w:rsidRPr="00A54A9A" w:rsidP="00DA53CF" w14:paraId="7A487C95" w14:textId="77777777">
            <w:pPr>
              <w:jc w:val="center"/>
              <w:rPr>
                <w:sz w:val="24"/>
                <w:szCs w:val="24"/>
              </w:rPr>
            </w:pPr>
            <w:r w:rsidRPr="00A54A9A">
              <w:rPr>
                <w:sz w:val="24"/>
                <w:szCs w:val="24"/>
              </w:rPr>
              <w:t>Baseline collection</w:t>
            </w:r>
            <w:r>
              <w:rPr>
                <w:sz w:val="24"/>
                <w:szCs w:val="24"/>
              </w:rPr>
              <w:t xml:space="preserve"> when tobacco product is first introduced to market</w:t>
            </w:r>
            <w:r w:rsidRPr="00A54A9A">
              <w:rPr>
                <w:sz w:val="24"/>
                <w:szCs w:val="24"/>
              </w:rPr>
              <w:t xml:space="preserve">, with additional </w:t>
            </w:r>
            <w:r>
              <w:rPr>
                <w:sz w:val="24"/>
                <w:szCs w:val="24"/>
              </w:rPr>
              <w:t>disclosure to FDA</w:t>
            </w:r>
            <w:r w:rsidRPr="00A54A9A">
              <w:rPr>
                <w:sz w:val="24"/>
                <w:szCs w:val="24"/>
              </w:rPr>
              <w:t xml:space="preserve"> upon any changes to product</w:t>
            </w:r>
          </w:p>
        </w:tc>
      </w:tr>
      <w:tr w14:paraId="489D4670" w14:textId="77777777" w:rsidTr="00DA53CF">
        <w:tblPrEx>
          <w:tblW w:w="0" w:type="auto"/>
          <w:tblLook w:val="04A0"/>
        </w:tblPrEx>
        <w:tc>
          <w:tcPr>
            <w:tcW w:w="3192" w:type="dxa"/>
            <w:tcBorders>
              <w:top w:val="nil"/>
            </w:tcBorders>
            <w:shd w:val="clear" w:color="auto" w:fill="auto"/>
          </w:tcPr>
          <w:p w:rsidR="00ED65AE" w:rsidRPr="00A54A9A" w:rsidP="00DA53CF" w14:paraId="3F9771BB" w14:textId="77777777">
            <w:pPr>
              <w:rPr>
                <w:sz w:val="24"/>
                <w:szCs w:val="24"/>
              </w:rPr>
            </w:pPr>
            <w:r w:rsidRPr="00A54A9A">
              <w:rPr>
                <w:sz w:val="24"/>
                <w:szCs w:val="24"/>
              </w:rPr>
              <w:t xml:space="preserve">Confidentiality Provisions </w:t>
            </w:r>
            <w:r>
              <w:rPr>
                <w:sz w:val="24"/>
                <w:szCs w:val="24"/>
              </w:rPr>
              <w:t>and</w:t>
            </w:r>
            <w:r w:rsidRPr="00A54A9A">
              <w:rPr>
                <w:sz w:val="24"/>
                <w:szCs w:val="24"/>
              </w:rPr>
              <w:t xml:space="preserve"> Information Sharing</w:t>
            </w:r>
          </w:p>
        </w:tc>
        <w:tc>
          <w:tcPr>
            <w:tcW w:w="3192" w:type="dxa"/>
            <w:tcBorders>
              <w:top w:val="nil"/>
            </w:tcBorders>
            <w:shd w:val="clear" w:color="auto" w:fill="auto"/>
          </w:tcPr>
          <w:p w:rsidR="00ED65AE" w:rsidRPr="00A54A9A" w:rsidP="00DA53CF" w14:paraId="2FF2E31C" w14:textId="77777777">
            <w:pPr>
              <w:jc w:val="center"/>
              <w:rPr>
                <w:sz w:val="24"/>
                <w:szCs w:val="24"/>
              </w:rPr>
            </w:pPr>
            <w:r w:rsidRPr="00A54A9A">
              <w:rPr>
                <w:sz w:val="24"/>
                <w:szCs w:val="24"/>
              </w:rPr>
              <w:t>Information submitted is considered trade secret and confidential.  Disclosures permitted only as authorized by legislation.</w:t>
            </w:r>
          </w:p>
        </w:tc>
        <w:tc>
          <w:tcPr>
            <w:tcW w:w="3192" w:type="dxa"/>
            <w:tcBorders>
              <w:top w:val="nil"/>
            </w:tcBorders>
            <w:shd w:val="clear" w:color="auto" w:fill="auto"/>
          </w:tcPr>
          <w:p w:rsidR="00ED65AE" w:rsidRPr="00A54A9A" w:rsidP="002D6D14" w14:paraId="13FF6A4A" w14:textId="77777777">
            <w:pPr>
              <w:jc w:val="center"/>
              <w:rPr>
                <w:sz w:val="24"/>
                <w:szCs w:val="24"/>
              </w:rPr>
            </w:pPr>
            <w:r w:rsidRPr="00514271">
              <w:rPr>
                <w:sz w:val="24"/>
                <w:szCs w:val="24"/>
              </w:rPr>
              <w:t>Information submitted is considered confidential</w:t>
            </w:r>
            <w:r w:rsidR="006437FF">
              <w:rPr>
                <w:sz w:val="24"/>
                <w:szCs w:val="24"/>
              </w:rPr>
              <w:t xml:space="preserve"> and may contain trade secrets</w:t>
            </w:r>
            <w:r w:rsidRPr="00514271">
              <w:rPr>
                <w:sz w:val="24"/>
                <w:szCs w:val="24"/>
              </w:rPr>
              <w:t>.</w:t>
            </w:r>
            <w:r>
              <w:rPr>
                <w:sz w:val="24"/>
                <w:szCs w:val="24"/>
              </w:rPr>
              <w:t xml:space="preserve">  </w:t>
            </w:r>
            <w:r w:rsidRPr="00A54A9A">
              <w:rPr>
                <w:sz w:val="24"/>
                <w:szCs w:val="24"/>
              </w:rPr>
              <w:t xml:space="preserve">Other disclosures as permitted </w:t>
            </w:r>
            <w:r w:rsidR="001C5BEB">
              <w:rPr>
                <w:sz w:val="24"/>
                <w:szCs w:val="24"/>
              </w:rPr>
              <w:t>to other officers or employees concerned with carrying out the tobacco control provisions of the FD&amp;C Act or when relevant in a proceeding under the tobacco control provisions of the FD&amp;C Act</w:t>
            </w:r>
          </w:p>
        </w:tc>
      </w:tr>
    </w:tbl>
    <w:p w:rsidR="00ED65AE" w:rsidRPr="00F2387D" w14:paraId="54A4214F" w14:textId="77777777">
      <w:pPr>
        <w:rPr>
          <w:sz w:val="24"/>
          <w:szCs w:val="24"/>
        </w:rPr>
      </w:pPr>
    </w:p>
    <w:p w:rsidR="00ED65AE" w:rsidRPr="00F2387D" w14:paraId="379EBFBF" w14:textId="7483C726">
      <w:pPr>
        <w:rPr>
          <w:sz w:val="24"/>
          <w:szCs w:val="24"/>
        </w:rPr>
      </w:pPr>
      <w:r>
        <w:rPr>
          <w:sz w:val="24"/>
          <w:szCs w:val="24"/>
        </w:rPr>
        <w:t xml:space="preserve">As the chart above implies, </w:t>
      </w:r>
      <w:r w:rsidR="00A87B76">
        <w:rPr>
          <w:sz w:val="24"/>
          <w:szCs w:val="24"/>
        </w:rPr>
        <w:t xml:space="preserve">a legislative fix </w:t>
      </w:r>
      <w:r w:rsidR="002721EF">
        <w:rPr>
          <w:sz w:val="24"/>
          <w:szCs w:val="24"/>
        </w:rPr>
        <w:t xml:space="preserve">would be needed </w:t>
      </w:r>
      <w:r w:rsidR="00A87B76">
        <w:rPr>
          <w:sz w:val="24"/>
          <w:szCs w:val="24"/>
        </w:rPr>
        <w:t>to allow the collection of product ingredient information by only one of the two agencies.</w:t>
      </w:r>
      <w:r w:rsidR="00932A3F">
        <w:rPr>
          <w:sz w:val="24"/>
          <w:szCs w:val="24"/>
        </w:rPr>
        <w:t xml:space="preserve"> </w:t>
      </w:r>
      <w:r w:rsidR="00A87B76">
        <w:rPr>
          <w:sz w:val="24"/>
          <w:szCs w:val="24"/>
        </w:rPr>
        <w:t xml:space="preserve">Currently, </w:t>
      </w:r>
      <w:r w:rsidR="00932A3F">
        <w:rPr>
          <w:sz w:val="24"/>
          <w:szCs w:val="24"/>
        </w:rPr>
        <w:t xml:space="preserve">FDA </w:t>
      </w:r>
      <w:r w:rsidR="00A87B76">
        <w:rPr>
          <w:sz w:val="24"/>
          <w:szCs w:val="24"/>
        </w:rPr>
        <w:t>cannot</w:t>
      </w:r>
      <w:r w:rsidR="00932A3F">
        <w:rPr>
          <w:sz w:val="24"/>
          <w:szCs w:val="24"/>
        </w:rPr>
        <w:t xml:space="preserve"> not rely on CDC’s information collection because quantities of </w:t>
      </w:r>
      <w:r w:rsidR="002D6D14">
        <w:rPr>
          <w:sz w:val="24"/>
          <w:szCs w:val="24"/>
        </w:rPr>
        <w:t xml:space="preserve">ingredients </w:t>
      </w:r>
      <w:r>
        <w:rPr>
          <w:sz w:val="24"/>
          <w:szCs w:val="24"/>
        </w:rPr>
        <w:t xml:space="preserve">for cigarettes </w:t>
      </w:r>
      <w:r w:rsidR="00932A3F">
        <w:rPr>
          <w:sz w:val="24"/>
          <w:szCs w:val="24"/>
        </w:rPr>
        <w:t xml:space="preserve">are not </w:t>
      </w:r>
      <w:r w:rsidR="00F617B2">
        <w:rPr>
          <w:sz w:val="24"/>
          <w:szCs w:val="24"/>
        </w:rPr>
        <w:t>required,</w:t>
      </w:r>
      <w:r w:rsidR="00362E13">
        <w:rPr>
          <w:sz w:val="24"/>
          <w:szCs w:val="24"/>
        </w:rPr>
        <w:t xml:space="preserve"> and CDC is not required to report on tobacco types/blends or ingredients in paper and filters</w:t>
      </w:r>
      <w:r w:rsidR="00932A3F">
        <w:rPr>
          <w:sz w:val="24"/>
          <w:szCs w:val="24"/>
        </w:rPr>
        <w:t xml:space="preserve">. </w:t>
      </w:r>
      <w:r w:rsidR="00362E13">
        <w:rPr>
          <w:sz w:val="24"/>
          <w:szCs w:val="24"/>
        </w:rPr>
        <w:t xml:space="preserve">FDA does require reporting on tobacco types/blends and ingredients in paper and filters.  </w:t>
      </w:r>
      <w:r w:rsidR="002D6D14">
        <w:rPr>
          <w:sz w:val="24"/>
          <w:szCs w:val="24"/>
        </w:rPr>
        <w:t xml:space="preserve">In addition, FDA might be seen as using funds other than those generated by user fees (i.e., CDC appropriated funds) for FDA’s activities relating to tobacco regulation. </w:t>
      </w:r>
      <w:r w:rsidR="00932A3F">
        <w:rPr>
          <w:sz w:val="24"/>
          <w:szCs w:val="24"/>
        </w:rPr>
        <w:t xml:space="preserve">CDC could not rely on FDA’s information because the data are not collected annually. </w:t>
      </w:r>
      <w:r w:rsidR="00A071AA">
        <w:rPr>
          <w:sz w:val="24"/>
          <w:szCs w:val="24"/>
        </w:rPr>
        <w:t xml:space="preserve">To ensure that data collected by </w:t>
      </w:r>
      <w:r w:rsidR="00C4514C">
        <w:rPr>
          <w:sz w:val="24"/>
          <w:szCs w:val="24"/>
        </w:rPr>
        <w:t xml:space="preserve">FDA </w:t>
      </w:r>
      <w:r w:rsidR="00A071AA">
        <w:rPr>
          <w:sz w:val="24"/>
          <w:szCs w:val="24"/>
        </w:rPr>
        <w:t xml:space="preserve">and CDC </w:t>
      </w:r>
      <w:r w:rsidR="009B277B">
        <w:rPr>
          <w:sz w:val="24"/>
          <w:szCs w:val="24"/>
        </w:rPr>
        <w:t>are</w:t>
      </w:r>
      <w:r w:rsidR="00A071AA">
        <w:rPr>
          <w:sz w:val="24"/>
          <w:szCs w:val="24"/>
        </w:rPr>
        <w:t xml:space="preserve"> not duplicative and burdening the public needlessly, </w:t>
      </w:r>
      <w:r w:rsidR="004205C0">
        <w:rPr>
          <w:sz w:val="24"/>
          <w:szCs w:val="24"/>
        </w:rPr>
        <w:t xml:space="preserve">both </w:t>
      </w:r>
      <w:r w:rsidR="002721EF">
        <w:rPr>
          <w:sz w:val="24"/>
          <w:szCs w:val="24"/>
        </w:rPr>
        <w:t>agencies meet</w:t>
      </w:r>
      <w:r w:rsidR="009B277B">
        <w:rPr>
          <w:sz w:val="24"/>
          <w:szCs w:val="24"/>
        </w:rPr>
        <w:t xml:space="preserve"> </w:t>
      </w:r>
      <w:r w:rsidR="00A071AA">
        <w:rPr>
          <w:sz w:val="24"/>
          <w:szCs w:val="24"/>
        </w:rPr>
        <w:t xml:space="preserve">regularly </w:t>
      </w:r>
      <w:r w:rsidR="004205C0">
        <w:rPr>
          <w:sz w:val="24"/>
          <w:szCs w:val="24"/>
        </w:rPr>
        <w:t xml:space="preserve">and collaborate </w:t>
      </w:r>
      <w:r w:rsidR="00E941B1">
        <w:rPr>
          <w:sz w:val="24"/>
          <w:szCs w:val="24"/>
        </w:rPr>
        <w:t>on tobacco surveys</w:t>
      </w:r>
      <w:r w:rsidR="00703D8B">
        <w:rPr>
          <w:sz w:val="24"/>
          <w:szCs w:val="24"/>
        </w:rPr>
        <w:t xml:space="preserve">, </w:t>
      </w:r>
      <w:r w:rsidR="00E941B1">
        <w:rPr>
          <w:sz w:val="24"/>
          <w:szCs w:val="24"/>
        </w:rPr>
        <w:t>ingredient reporting</w:t>
      </w:r>
      <w:r w:rsidR="00703D8B">
        <w:rPr>
          <w:sz w:val="24"/>
          <w:szCs w:val="24"/>
        </w:rPr>
        <w:t>, data analysis, and publications</w:t>
      </w:r>
      <w:r w:rsidR="00A071AA">
        <w:rPr>
          <w:sz w:val="24"/>
          <w:szCs w:val="24"/>
        </w:rPr>
        <w:t xml:space="preserve">.  </w:t>
      </w:r>
      <w:r w:rsidRPr="00703D8B" w:rsidR="00A071AA">
        <w:rPr>
          <w:sz w:val="24"/>
          <w:szCs w:val="24"/>
        </w:rPr>
        <w:t xml:space="preserve">For example, </w:t>
      </w:r>
      <w:r>
        <w:rPr>
          <w:sz w:val="24"/>
          <w:szCs w:val="24"/>
        </w:rPr>
        <w:t>FDA</w:t>
      </w:r>
      <w:r w:rsidRPr="00703D8B">
        <w:rPr>
          <w:sz w:val="24"/>
          <w:szCs w:val="24"/>
        </w:rPr>
        <w:t xml:space="preserve"> </w:t>
      </w:r>
      <w:r w:rsidR="004205C0">
        <w:rPr>
          <w:sz w:val="24"/>
          <w:szCs w:val="24"/>
        </w:rPr>
        <w:t>works</w:t>
      </w:r>
      <w:r w:rsidRPr="00703D8B" w:rsidR="00A071AA">
        <w:rPr>
          <w:sz w:val="24"/>
          <w:szCs w:val="24"/>
        </w:rPr>
        <w:t xml:space="preserve"> with CDC on the </w:t>
      </w:r>
      <w:r w:rsidRPr="00703D8B" w:rsidR="00703D8B">
        <w:rPr>
          <w:sz w:val="24"/>
          <w:szCs w:val="24"/>
        </w:rPr>
        <w:t xml:space="preserve">National Youth Tobacco Survey </w:t>
      </w:r>
      <w:r w:rsidRPr="00703D8B" w:rsidR="006366B1">
        <w:rPr>
          <w:sz w:val="24"/>
          <w:szCs w:val="24"/>
        </w:rPr>
        <w:t>(</w:t>
      </w:r>
      <w:r w:rsidRPr="00703D8B" w:rsidR="00A071AA">
        <w:rPr>
          <w:sz w:val="24"/>
          <w:szCs w:val="24"/>
        </w:rPr>
        <w:t>NYTS</w:t>
      </w:r>
      <w:r w:rsidRPr="00703D8B" w:rsidR="006366B1">
        <w:rPr>
          <w:sz w:val="24"/>
          <w:szCs w:val="24"/>
        </w:rPr>
        <w:t>)</w:t>
      </w:r>
      <w:r w:rsidRPr="00703D8B" w:rsidR="00A071AA">
        <w:rPr>
          <w:sz w:val="24"/>
          <w:szCs w:val="24"/>
        </w:rPr>
        <w:t xml:space="preserve"> and </w:t>
      </w:r>
      <w:r w:rsidRPr="004F0651" w:rsidR="00703D8B">
        <w:rPr>
          <w:sz w:val="24"/>
          <w:szCs w:val="24"/>
        </w:rPr>
        <w:t xml:space="preserve">the National Adult Tobacco Survey </w:t>
      </w:r>
      <w:r w:rsidRPr="00703D8B" w:rsidR="006366B1">
        <w:rPr>
          <w:sz w:val="24"/>
          <w:szCs w:val="24"/>
        </w:rPr>
        <w:t>(</w:t>
      </w:r>
      <w:r w:rsidRPr="00703D8B" w:rsidR="00A071AA">
        <w:rPr>
          <w:sz w:val="24"/>
          <w:szCs w:val="24"/>
        </w:rPr>
        <w:t>NATS</w:t>
      </w:r>
      <w:r w:rsidRPr="00703D8B" w:rsidR="006366B1">
        <w:rPr>
          <w:sz w:val="24"/>
          <w:szCs w:val="24"/>
        </w:rPr>
        <w:t>)</w:t>
      </w:r>
      <w:r w:rsidRPr="00703D8B" w:rsidR="00A071AA">
        <w:rPr>
          <w:sz w:val="24"/>
          <w:szCs w:val="24"/>
        </w:rPr>
        <w:t xml:space="preserve"> data collection efforts (within the restrictions </w:t>
      </w:r>
      <w:r w:rsidRPr="00703D8B" w:rsidR="001925F8">
        <w:rPr>
          <w:sz w:val="24"/>
          <w:szCs w:val="24"/>
        </w:rPr>
        <w:t xml:space="preserve">on </w:t>
      </w:r>
      <w:r w:rsidRPr="00703D8B" w:rsidR="00A071AA">
        <w:rPr>
          <w:sz w:val="24"/>
          <w:szCs w:val="24"/>
        </w:rPr>
        <w:t xml:space="preserve">the use of </w:t>
      </w:r>
      <w:r>
        <w:rPr>
          <w:sz w:val="24"/>
          <w:szCs w:val="24"/>
        </w:rPr>
        <w:t>FDA</w:t>
      </w:r>
      <w:r w:rsidRPr="00703D8B">
        <w:rPr>
          <w:sz w:val="24"/>
          <w:szCs w:val="24"/>
        </w:rPr>
        <w:t xml:space="preserve">’s </w:t>
      </w:r>
      <w:r w:rsidRPr="00703D8B" w:rsidR="00A071AA">
        <w:rPr>
          <w:sz w:val="24"/>
          <w:szCs w:val="24"/>
        </w:rPr>
        <w:t>user fees). For NYTS</w:t>
      </w:r>
      <w:r w:rsidRPr="00703D8B" w:rsidR="001925F8">
        <w:rPr>
          <w:sz w:val="24"/>
          <w:szCs w:val="24"/>
        </w:rPr>
        <w:t>,</w:t>
      </w:r>
      <w:r w:rsidR="004205C0">
        <w:rPr>
          <w:sz w:val="24"/>
          <w:szCs w:val="24"/>
        </w:rPr>
        <w:t xml:space="preserve"> both agencies </w:t>
      </w:r>
      <w:r>
        <w:rPr>
          <w:sz w:val="24"/>
          <w:szCs w:val="24"/>
        </w:rPr>
        <w:t>have</w:t>
      </w:r>
      <w:r w:rsidRPr="00703D8B" w:rsidR="00A071AA">
        <w:rPr>
          <w:sz w:val="24"/>
          <w:szCs w:val="24"/>
        </w:rPr>
        <w:t xml:space="preserve"> agreed on a unified core set of questions of interest to both agencies but alternate years of data collection/funding to accommodate each agency’s data needs. For NATS, </w:t>
      </w:r>
      <w:r>
        <w:rPr>
          <w:sz w:val="24"/>
          <w:szCs w:val="24"/>
        </w:rPr>
        <w:t>FDA</w:t>
      </w:r>
      <w:r w:rsidRPr="00703D8B">
        <w:rPr>
          <w:sz w:val="24"/>
          <w:szCs w:val="24"/>
        </w:rPr>
        <w:t xml:space="preserve"> </w:t>
      </w:r>
      <w:r w:rsidRPr="00703D8B" w:rsidR="00A071AA">
        <w:rPr>
          <w:sz w:val="24"/>
          <w:szCs w:val="24"/>
        </w:rPr>
        <w:t xml:space="preserve">is working on a mechanism for CDC to add funding and questions to the survey. </w:t>
      </w:r>
      <w:r>
        <w:rPr>
          <w:sz w:val="24"/>
          <w:szCs w:val="24"/>
        </w:rPr>
        <w:t>FDA</w:t>
      </w:r>
      <w:r w:rsidRPr="00703D8B">
        <w:rPr>
          <w:sz w:val="24"/>
          <w:szCs w:val="24"/>
        </w:rPr>
        <w:t xml:space="preserve"> </w:t>
      </w:r>
      <w:r w:rsidRPr="00703D8B" w:rsidR="00A071AA">
        <w:rPr>
          <w:sz w:val="24"/>
          <w:szCs w:val="24"/>
        </w:rPr>
        <w:t>also work</w:t>
      </w:r>
      <w:r w:rsidR="004205C0">
        <w:rPr>
          <w:sz w:val="24"/>
          <w:szCs w:val="24"/>
        </w:rPr>
        <w:t>s</w:t>
      </w:r>
      <w:r w:rsidRPr="00703D8B" w:rsidR="00A071AA">
        <w:rPr>
          <w:sz w:val="24"/>
          <w:szCs w:val="24"/>
        </w:rPr>
        <w:t xml:space="preserve"> with </w:t>
      </w:r>
      <w:r>
        <w:rPr>
          <w:sz w:val="24"/>
          <w:szCs w:val="24"/>
        </w:rPr>
        <w:t xml:space="preserve">CDC on </w:t>
      </w:r>
      <w:r w:rsidRPr="00703D8B" w:rsidR="006366B1">
        <w:rPr>
          <w:sz w:val="24"/>
          <w:szCs w:val="24"/>
        </w:rPr>
        <w:t>the National Health Interview Survey (</w:t>
      </w:r>
      <w:r w:rsidRPr="00703D8B" w:rsidR="00A071AA">
        <w:rPr>
          <w:sz w:val="24"/>
          <w:szCs w:val="24"/>
        </w:rPr>
        <w:t>NHIS</w:t>
      </w:r>
      <w:r w:rsidRPr="00703D8B" w:rsidR="006366B1">
        <w:rPr>
          <w:sz w:val="24"/>
          <w:szCs w:val="24"/>
        </w:rPr>
        <w:t>)</w:t>
      </w:r>
      <w:r w:rsidRPr="00703D8B" w:rsidR="00A071AA">
        <w:rPr>
          <w:sz w:val="24"/>
          <w:szCs w:val="24"/>
        </w:rPr>
        <w:t xml:space="preserve"> to use existing survey systems rather than to develop new ones</w:t>
      </w:r>
      <w:r w:rsidRPr="004F0651" w:rsidR="00A071AA">
        <w:rPr>
          <w:sz w:val="24"/>
          <w:szCs w:val="24"/>
        </w:rPr>
        <w:t>.</w:t>
      </w:r>
    </w:p>
    <w:p w:rsidR="00C74067" w:rsidRPr="004F0651" w:rsidP="00C74067" w14:paraId="602ED960" w14:textId="77777777">
      <w:pPr>
        <w:rPr>
          <w:b/>
          <w:sz w:val="24"/>
          <w:szCs w:val="24"/>
        </w:rPr>
      </w:pPr>
      <w:r>
        <w:rPr>
          <w:b/>
          <w:sz w:val="24"/>
          <w:szCs w:val="24"/>
        </w:rPr>
        <w:t>Summary</w:t>
      </w:r>
      <w:r w:rsidR="00581B8B">
        <w:rPr>
          <w:b/>
          <w:sz w:val="24"/>
          <w:szCs w:val="24"/>
        </w:rPr>
        <w:t>:</w:t>
      </w:r>
    </w:p>
    <w:p w:rsidR="00C4514C" w:rsidP="00C74067" w14:paraId="005633A9" w14:textId="77777777">
      <w:pPr>
        <w:numPr>
          <w:ilvl w:val="0"/>
          <w:numId w:val="6"/>
        </w:numPr>
        <w:rPr>
          <w:sz w:val="24"/>
          <w:szCs w:val="24"/>
        </w:rPr>
      </w:pPr>
      <w:bookmarkStart w:id="1" w:name="_Hlk115699811"/>
      <w:r>
        <w:rPr>
          <w:sz w:val="24"/>
          <w:szCs w:val="24"/>
        </w:rPr>
        <w:t>Although FDA and CDC’s tobacco ingredient data collection</w:t>
      </w:r>
      <w:r w:rsidR="007D04D8">
        <w:rPr>
          <w:sz w:val="24"/>
          <w:szCs w:val="24"/>
        </w:rPr>
        <w:t>s</w:t>
      </w:r>
      <w:r>
        <w:rPr>
          <w:sz w:val="24"/>
          <w:szCs w:val="24"/>
        </w:rPr>
        <w:t xml:space="preserve"> are similar, the underlying authorities found in the Tobacco Control Act, FCLAA, and CSTHEA to collect such information would not allow either agency’s data collection</w:t>
      </w:r>
      <w:r w:rsidR="007D04D8">
        <w:rPr>
          <w:sz w:val="24"/>
          <w:szCs w:val="24"/>
        </w:rPr>
        <w:t xml:space="preserve"> (in solo) to fulfill both agencies’ needs. A legislative fix would be needed to allow one agency to collect the ingredient information that both FDA and CDC require.</w:t>
      </w:r>
      <w:r>
        <w:rPr>
          <w:sz w:val="24"/>
          <w:szCs w:val="24"/>
        </w:rPr>
        <w:t xml:space="preserve"> </w:t>
      </w:r>
    </w:p>
    <w:p w:rsidR="00C74067" w:rsidP="00C74067" w14:paraId="06089092" w14:textId="6646B981">
      <w:pPr>
        <w:numPr>
          <w:ilvl w:val="0"/>
          <w:numId w:val="6"/>
        </w:numPr>
        <w:rPr>
          <w:sz w:val="24"/>
          <w:szCs w:val="24"/>
        </w:rPr>
      </w:pPr>
      <w:r w:rsidRPr="00F2387D">
        <w:rPr>
          <w:sz w:val="24"/>
          <w:szCs w:val="24"/>
        </w:rPr>
        <w:t>In light of</w:t>
      </w:r>
      <w:r w:rsidRPr="00F2387D">
        <w:rPr>
          <w:sz w:val="24"/>
          <w:szCs w:val="24"/>
        </w:rPr>
        <w:t xml:space="preserve"> the potential benefits </w:t>
      </w:r>
      <w:r w:rsidR="00E739E5">
        <w:rPr>
          <w:sz w:val="24"/>
          <w:szCs w:val="24"/>
        </w:rPr>
        <w:t>of</w:t>
      </w:r>
      <w:r w:rsidRPr="00F2387D">
        <w:rPr>
          <w:sz w:val="24"/>
          <w:szCs w:val="24"/>
        </w:rPr>
        <w:t xml:space="preserve"> sharing information, CDC and FDA </w:t>
      </w:r>
      <w:r w:rsidR="00A10A4B">
        <w:rPr>
          <w:sz w:val="24"/>
          <w:szCs w:val="24"/>
        </w:rPr>
        <w:t xml:space="preserve">will continue to </w:t>
      </w:r>
      <w:r w:rsidRPr="00F2387D">
        <w:rPr>
          <w:sz w:val="24"/>
          <w:szCs w:val="24"/>
        </w:rPr>
        <w:t xml:space="preserve">discuss opportunities for collaboration to enhance the overall </w:t>
      </w:r>
      <w:r w:rsidR="00E739E5">
        <w:rPr>
          <w:sz w:val="24"/>
          <w:szCs w:val="24"/>
        </w:rPr>
        <w:t xml:space="preserve">usefulness </w:t>
      </w:r>
      <w:r w:rsidRPr="00F2387D">
        <w:rPr>
          <w:sz w:val="24"/>
          <w:szCs w:val="24"/>
        </w:rPr>
        <w:t xml:space="preserve">of </w:t>
      </w:r>
      <w:r w:rsidR="00A10A4B">
        <w:rPr>
          <w:sz w:val="24"/>
          <w:szCs w:val="24"/>
        </w:rPr>
        <w:t xml:space="preserve">both </w:t>
      </w:r>
      <w:r w:rsidR="007D04D8">
        <w:rPr>
          <w:sz w:val="24"/>
          <w:szCs w:val="24"/>
        </w:rPr>
        <w:t>CDC</w:t>
      </w:r>
      <w:r w:rsidRPr="00F2387D" w:rsidR="007D04D8">
        <w:rPr>
          <w:sz w:val="24"/>
          <w:szCs w:val="24"/>
        </w:rPr>
        <w:t>’</w:t>
      </w:r>
      <w:r w:rsidR="007D04D8">
        <w:rPr>
          <w:sz w:val="24"/>
          <w:szCs w:val="24"/>
        </w:rPr>
        <w:t>s</w:t>
      </w:r>
      <w:r w:rsidRPr="00F2387D" w:rsidR="007D04D8">
        <w:rPr>
          <w:sz w:val="24"/>
          <w:szCs w:val="24"/>
        </w:rPr>
        <w:t xml:space="preserve"> </w:t>
      </w:r>
      <w:r w:rsidR="00A10A4B">
        <w:rPr>
          <w:sz w:val="24"/>
          <w:szCs w:val="24"/>
        </w:rPr>
        <w:t xml:space="preserve">and FDA’s </w:t>
      </w:r>
      <w:r w:rsidRPr="00F2387D">
        <w:rPr>
          <w:sz w:val="24"/>
          <w:szCs w:val="24"/>
        </w:rPr>
        <w:t>tobacco industry reporting programs.</w:t>
      </w:r>
      <w:r w:rsidR="00A071AA">
        <w:rPr>
          <w:sz w:val="24"/>
          <w:szCs w:val="24"/>
        </w:rPr>
        <w:t xml:space="preserve"> </w:t>
      </w:r>
      <w:bookmarkEnd w:id="1"/>
    </w:p>
    <w:p w:rsidR="00F66001" w:rsidRPr="00C76CD1" w:rsidP="00F66001" w14:paraId="119EF108" w14:textId="77777777">
      <w:pPr>
        <w:numPr>
          <w:ilvl w:val="0"/>
          <w:numId w:val="6"/>
        </w:numPr>
        <w:rPr>
          <w:sz w:val="24"/>
          <w:szCs w:val="24"/>
        </w:rPr>
      </w:pPr>
      <w:r w:rsidRPr="00C76CD1">
        <w:rPr>
          <w:sz w:val="24"/>
          <w:szCs w:val="24"/>
        </w:rPr>
        <w:t>Section 919(a) of the FD&amp;C Act requires FDA to collect user fees from each manufacturer and importer of</w:t>
      </w:r>
      <w:r w:rsidR="00011BBC">
        <w:rPr>
          <w:sz w:val="24"/>
          <w:szCs w:val="24"/>
        </w:rPr>
        <w:t xml:space="preserve"> regulated</w:t>
      </w:r>
      <w:r w:rsidRPr="00C76CD1">
        <w:rPr>
          <w:sz w:val="24"/>
          <w:szCs w:val="24"/>
        </w:rPr>
        <w:t xml:space="preserve"> tobacco products, and these fees are available only for the purpose of paying the costs of the activities of the FDA related to the regulation of tobacco products.  Section 919(c) indicates that these user fees are the only funds authorized to be made available for tobacco regulation activities.</w:t>
      </w:r>
    </w:p>
    <w:p w:rsidR="00C74067" w:rsidRPr="00F2387D" w:rsidP="00C74067" w14:paraId="19918667" w14:textId="77777777">
      <w:pPr>
        <w:rPr>
          <w:b/>
          <w:sz w:val="24"/>
          <w:szCs w:val="24"/>
          <w:u w:val="single"/>
        </w:rPr>
      </w:pPr>
    </w:p>
    <w:p w:rsidR="00C44CED" w:rsidRPr="00F2387D" w:rsidP="00ED65AE" w14:paraId="7EDDDD71" w14:textId="77777777">
      <w:pPr>
        <w:rPr>
          <w:sz w:val="24"/>
          <w:szCs w:val="24"/>
        </w:rPr>
      </w:pPr>
      <w:r>
        <w:rPr>
          <w:b/>
          <w:sz w:val="24"/>
          <w:szCs w:val="24"/>
        </w:rPr>
        <w:br/>
      </w:r>
    </w:p>
    <w:sectPr w:rsidSect="00B0602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4003" w14:paraId="61ACA672" w14:textId="77777777">
    <w:pPr>
      <w:pStyle w:val="Footer"/>
      <w:jc w:val="center"/>
    </w:pPr>
    <w:r>
      <w:fldChar w:fldCharType="begin"/>
    </w:r>
    <w:r>
      <w:instrText xml:space="preserve"> PAGE   \* MERGEFORMAT </w:instrText>
    </w:r>
    <w:r>
      <w:fldChar w:fldCharType="separate"/>
    </w:r>
    <w:r w:rsidR="004B6382">
      <w:rPr>
        <w:noProof/>
      </w:rPr>
      <w:t>2</w:t>
    </w:r>
    <w:r>
      <w:rPr>
        <w:noProof/>
      </w:rPr>
      <w:fldChar w:fldCharType="end"/>
    </w:r>
  </w:p>
  <w:p w:rsidR="001E4003" w14:paraId="377A5C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0F53" w:rsidP="00BB3F45" w14:paraId="20852D34" w14:textId="77777777">
      <w:pPr>
        <w:spacing w:after="0" w:line="240" w:lineRule="auto"/>
      </w:pPr>
      <w:r>
        <w:separator/>
      </w:r>
    </w:p>
  </w:footnote>
  <w:footnote w:type="continuationSeparator" w:id="1">
    <w:p w:rsidR="005A0F53" w:rsidP="00BB3F45" w14:paraId="6CE421F8" w14:textId="77777777">
      <w:pPr>
        <w:spacing w:after="0" w:line="240" w:lineRule="auto"/>
      </w:pPr>
      <w:r>
        <w:continuationSeparator/>
      </w:r>
    </w:p>
  </w:footnote>
  <w:footnote w:id="2">
    <w:p w:rsidR="002D6D14" w:rsidP="002D6D14" w14:paraId="5D31CB1B" w14:textId="77777777">
      <w:pPr>
        <w:pStyle w:val="FootnoteText"/>
      </w:pPr>
      <w:r>
        <w:rPr>
          <w:rStyle w:val="FootnoteReference"/>
        </w:rPr>
        <w:footnoteRef/>
      </w:r>
      <w:r>
        <w:t xml:space="preserve"> </w:t>
      </w:r>
      <w:r w:rsidRPr="001C5BEB">
        <w:t xml:space="preserve">FDA is also required to collect information on harmful and potentially harmful constituents </w:t>
      </w:r>
      <w:r>
        <w:t xml:space="preserve">(such as nicotine) </w:t>
      </w:r>
      <w:r w:rsidRPr="001C5BEB">
        <w:t>by brand and sub-brand and notes that not every constituent is harmful/potentially harmful and therefore on the list</w:t>
      </w:r>
      <w:r>
        <w:t>.  S</w:t>
      </w:r>
      <w:r w:rsidRPr="001C5BEB">
        <w:t>ince constituents are what are inhaled/absorbed/ingested by the person, some ingredients may also be constituents, other ingredients are not constituents (cigarette paper), and some constituents are not ingredients (e.g</w:t>
      </w:r>
      <w:r>
        <w:t>.</w:t>
      </w:r>
      <w:r w:rsidRPr="001C5BEB">
        <w:t>, lead since it comes from the tobacco itself or CO since it is produced by burning the tobacco). Thus</w:t>
      </w:r>
      <w:r>
        <w:t>,</w:t>
      </w:r>
      <w:r w:rsidRPr="001C5BEB">
        <w:t xml:space="preserve"> the reporting of harmful and potentially harmful constituents is also not duplicative of CDC ingredient reporting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3F45" w:rsidP="004F0651" w14:paraId="2F256A94" w14:textId="7F7A9D86">
    <w:pPr>
      <w:pStyle w:val="Header"/>
      <w:jc w:val="right"/>
    </w:pPr>
    <w:r>
      <w:rPr>
        <w:sz w:val="24"/>
        <w:szCs w:val="24"/>
      </w:rPr>
      <w:t>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1850D6"/>
    <w:multiLevelType w:val="hybridMultilevel"/>
    <w:tmpl w:val="B1B26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BF70410"/>
    <w:multiLevelType w:val="hybridMultilevel"/>
    <w:tmpl w:val="352EA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45742D"/>
    <w:multiLevelType w:val="hybridMultilevel"/>
    <w:tmpl w:val="47247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F25747"/>
    <w:multiLevelType w:val="hybridMultilevel"/>
    <w:tmpl w:val="9A8C9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152E12"/>
    <w:multiLevelType w:val="hybridMultilevel"/>
    <w:tmpl w:val="58702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6C787E"/>
    <w:multiLevelType w:val="hybridMultilevel"/>
    <w:tmpl w:val="A6242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0C"/>
    <w:rsid w:val="00011BBC"/>
    <w:rsid w:val="00032C4E"/>
    <w:rsid w:val="00040709"/>
    <w:rsid w:val="000801D4"/>
    <w:rsid w:val="000A01E8"/>
    <w:rsid w:val="000A53CC"/>
    <w:rsid w:val="000B38C1"/>
    <w:rsid w:val="000B45C3"/>
    <w:rsid w:val="001111D9"/>
    <w:rsid w:val="00112BE5"/>
    <w:rsid w:val="00123417"/>
    <w:rsid w:val="00183657"/>
    <w:rsid w:val="001925F8"/>
    <w:rsid w:val="0019468B"/>
    <w:rsid w:val="001B7B96"/>
    <w:rsid w:val="001C5BEB"/>
    <w:rsid w:val="001E216D"/>
    <w:rsid w:val="001E4003"/>
    <w:rsid w:val="002005FD"/>
    <w:rsid w:val="00225947"/>
    <w:rsid w:val="00232A12"/>
    <w:rsid w:val="00232F7E"/>
    <w:rsid w:val="0023551F"/>
    <w:rsid w:val="00251BA6"/>
    <w:rsid w:val="00263AB2"/>
    <w:rsid w:val="002721EF"/>
    <w:rsid w:val="00295B50"/>
    <w:rsid w:val="0029789C"/>
    <w:rsid w:val="002A1256"/>
    <w:rsid w:val="002B4B75"/>
    <w:rsid w:val="002C536C"/>
    <w:rsid w:val="002C5E0F"/>
    <w:rsid w:val="002D6D14"/>
    <w:rsid w:val="002D78C3"/>
    <w:rsid w:val="00351D7A"/>
    <w:rsid w:val="00362E13"/>
    <w:rsid w:val="003637D9"/>
    <w:rsid w:val="003673D4"/>
    <w:rsid w:val="003703AB"/>
    <w:rsid w:val="003878F4"/>
    <w:rsid w:val="003B2811"/>
    <w:rsid w:val="004205C0"/>
    <w:rsid w:val="00424CA1"/>
    <w:rsid w:val="00425BF9"/>
    <w:rsid w:val="00426D18"/>
    <w:rsid w:val="00427CAD"/>
    <w:rsid w:val="00465AC2"/>
    <w:rsid w:val="00477E2D"/>
    <w:rsid w:val="00493EB2"/>
    <w:rsid w:val="00495CC4"/>
    <w:rsid w:val="004B3E4C"/>
    <w:rsid w:val="004B6382"/>
    <w:rsid w:val="004C23D4"/>
    <w:rsid w:val="004D0690"/>
    <w:rsid w:val="004F0651"/>
    <w:rsid w:val="004F5284"/>
    <w:rsid w:val="005103E6"/>
    <w:rsid w:val="00514271"/>
    <w:rsid w:val="00517A5F"/>
    <w:rsid w:val="00553460"/>
    <w:rsid w:val="005558BC"/>
    <w:rsid w:val="00576D24"/>
    <w:rsid w:val="00581B8B"/>
    <w:rsid w:val="005919F5"/>
    <w:rsid w:val="005925F5"/>
    <w:rsid w:val="005A0F53"/>
    <w:rsid w:val="005E69F2"/>
    <w:rsid w:val="005F693B"/>
    <w:rsid w:val="00606F06"/>
    <w:rsid w:val="00613B1C"/>
    <w:rsid w:val="00634B5E"/>
    <w:rsid w:val="006366B1"/>
    <w:rsid w:val="006437FF"/>
    <w:rsid w:val="00660D63"/>
    <w:rsid w:val="0068003A"/>
    <w:rsid w:val="00681887"/>
    <w:rsid w:val="006935E6"/>
    <w:rsid w:val="006A50B7"/>
    <w:rsid w:val="006A55D6"/>
    <w:rsid w:val="006D5B32"/>
    <w:rsid w:val="006F0C97"/>
    <w:rsid w:val="00703D8B"/>
    <w:rsid w:val="0071409E"/>
    <w:rsid w:val="00734C08"/>
    <w:rsid w:val="00750FED"/>
    <w:rsid w:val="00763B41"/>
    <w:rsid w:val="007D04D8"/>
    <w:rsid w:val="007D367D"/>
    <w:rsid w:val="007D7DB8"/>
    <w:rsid w:val="007E57B0"/>
    <w:rsid w:val="007F63FB"/>
    <w:rsid w:val="007F7B0C"/>
    <w:rsid w:val="00815870"/>
    <w:rsid w:val="00816677"/>
    <w:rsid w:val="00832C7C"/>
    <w:rsid w:val="00837117"/>
    <w:rsid w:val="008808CF"/>
    <w:rsid w:val="008A040D"/>
    <w:rsid w:val="008F1AAA"/>
    <w:rsid w:val="008F328E"/>
    <w:rsid w:val="008F4B49"/>
    <w:rsid w:val="00932A3F"/>
    <w:rsid w:val="00933F42"/>
    <w:rsid w:val="009401A2"/>
    <w:rsid w:val="00963DBC"/>
    <w:rsid w:val="009812DB"/>
    <w:rsid w:val="00982D3D"/>
    <w:rsid w:val="009869A5"/>
    <w:rsid w:val="009A30FB"/>
    <w:rsid w:val="009B277B"/>
    <w:rsid w:val="009F07B3"/>
    <w:rsid w:val="00A04DD7"/>
    <w:rsid w:val="00A071AA"/>
    <w:rsid w:val="00A10A4B"/>
    <w:rsid w:val="00A40F53"/>
    <w:rsid w:val="00A521F9"/>
    <w:rsid w:val="00A54A9A"/>
    <w:rsid w:val="00A80D37"/>
    <w:rsid w:val="00A87B76"/>
    <w:rsid w:val="00A94B74"/>
    <w:rsid w:val="00AB3C84"/>
    <w:rsid w:val="00AC2C62"/>
    <w:rsid w:val="00B0602A"/>
    <w:rsid w:val="00B27E89"/>
    <w:rsid w:val="00B416DC"/>
    <w:rsid w:val="00BB3F45"/>
    <w:rsid w:val="00BC03AD"/>
    <w:rsid w:val="00BF1E50"/>
    <w:rsid w:val="00BF5DAF"/>
    <w:rsid w:val="00C02C6A"/>
    <w:rsid w:val="00C24304"/>
    <w:rsid w:val="00C35E9B"/>
    <w:rsid w:val="00C432F1"/>
    <w:rsid w:val="00C44CED"/>
    <w:rsid w:val="00C4514C"/>
    <w:rsid w:val="00C74067"/>
    <w:rsid w:val="00C76CD1"/>
    <w:rsid w:val="00C81BC5"/>
    <w:rsid w:val="00CA064E"/>
    <w:rsid w:val="00CE45BA"/>
    <w:rsid w:val="00CF04F8"/>
    <w:rsid w:val="00CF2670"/>
    <w:rsid w:val="00CF5943"/>
    <w:rsid w:val="00CF5ECA"/>
    <w:rsid w:val="00D212B7"/>
    <w:rsid w:val="00D85280"/>
    <w:rsid w:val="00D92F7A"/>
    <w:rsid w:val="00D934E3"/>
    <w:rsid w:val="00DA53CF"/>
    <w:rsid w:val="00DB650F"/>
    <w:rsid w:val="00DE14B4"/>
    <w:rsid w:val="00DF65DA"/>
    <w:rsid w:val="00E02A8F"/>
    <w:rsid w:val="00E1427E"/>
    <w:rsid w:val="00E5656A"/>
    <w:rsid w:val="00E739E5"/>
    <w:rsid w:val="00E82D1D"/>
    <w:rsid w:val="00E87D6B"/>
    <w:rsid w:val="00E91175"/>
    <w:rsid w:val="00E941B1"/>
    <w:rsid w:val="00EA6A0B"/>
    <w:rsid w:val="00EB66E6"/>
    <w:rsid w:val="00ED65AE"/>
    <w:rsid w:val="00ED6E5F"/>
    <w:rsid w:val="00ED7D98"/>
    <w:rsid w:val="00EE055B"/>
    <w:rsid w:val="00EF592A"/>
    <w:rsid w:val="00F00FAF"/>
    <w:rsid w:val="00F1410B"/>
    <w:rsid w:val="00F149A6"/>
    <w:rsid w:val="00F218EA"/>
    <w:rsid w:val="00F220FB"/>
    <w:rsid w:val="00F2387D"/>
    <w:rsid w:val="00F27C99"/>
    <w:rsid w:val="00F4073F"/>
    <w:rsid w:val="00F617B2"/>
    <w:rsid w:val="00F66001"/>
    <w:rsid w:val="00F76BAA"/>
    <w:rsid w:val="00FD4EA0"/>
    <w:rsid w:val="00FF62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A464AA"/>
  <w15:docId w15:val="{2E77F217-E85C-4811-8347-6585C9F8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57B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57B0"/>
    <w:rPr>
      <w:rFonts w:ascii="Tahoma" w:hAnsi="Tahoma" w:cs="Tahoma"/>
      <w:sz w:val="16"/>
      <w:szCs w:val="16"/>
    </w:rPr>
  </w:style>
  <w:style w:type="character" w:styleId="CommentReference">
    <w:name w:val="annotation reference"/>
    <w:uiPriority w:val="99"/>
    <w:semiHidden/>
    <w:unhideWhenUsed/>
    <w:rsid w:val="003B2811"/>
    <w:rPr>
      <w:sz w:val="16"/>
      <w:szCs w:val="16"/>
    </w:rPr>
  </w:style>
  <w:style w:type="paragraph" w:styleId="CommentText">
    <w:name w:val="annotation text"/>
    <w:basedOn w:val="Normal"/>
    <w:link w:val="CommentTextChar"/>
    <w:uiPriority w:val="99"/>
    <w:semiHidden/>
    <w:unhideWhenUsed/>
    <w:rsid w:val="003B2811"/>
    <w:rPr>
      <w:sz w:val="20"/>
      <w:szCs w:val="20"/>
    </w:rPr>
  </w:style>
  <w:style w:type="character" w:customStyle="1" w:styleId="CommentTextChar">
    <w:name w:val="Comment Text Char"/>
    <w:basedOn w:val="DefaultParagraphFont"/>
    <w:link w:val="CommentText"/>
    <w:uiPriority w:val="99"/>
    <w:semiHidden/>
    <w:rsid w:val="003B2811"/>
  </w:style>
  <w:style w:type="paragraph" w:styleId="CommentSubject">
    <w:name w:val="annotation subject"/>
    <w:basedOn w:val="CommentText"/>
    <w:next w:val="CommentText"/>
    <w:link w:val="CommentSubjectChar"/>
    <w:uiPriority w:val="99"/>
    <w:semiHidden/>
    <w:unhideWhenUsed/>
    <w:rsid w:val="003B2811"/>
    <w:rPr>
      <w:b/>
      <w:bCs/>
    </w:rPr>
  </w:style>
  <w:style w:type="character" w:customStyle="1" w:styleId="CommentSubjectChar">
    <w:name w:val="Comment Subject Char"/>
    <w:link w:val="CommentSubject"/>
    <w:uiPriority w:val="99"/>
    <w:semiHidden/>
    <w:rsid w:val="003B2811"/>
    <w:rPr>
      <w:b/>
      <w:bCs/>
    </w:rPr>
  </w:style>
  <w:style w:type="paragraph" w:styleId="Header">
    <w:name w:val="header"/>
    <w:basedOn w:val="Normal"/>
    <w:link w:val="HeaderChar"/>
    <w:uiPriority w:val="99"/>
    <w:unhideWhenUsed/>
    <w:rsid w:val="00BB3F45"/>
    <w:pPr>
      <w:tabs>
        <w:tab w:val="center" w:pos="4680"/>
        <w:tab w:val="right" w:pos="9360"/>
      </w:tabs>
    </w:pPr>
  </w:style>
  <w:style w:type="character" w:customStyle="1" w:styleId="HeaderChar">
    <w:name w:val="Header Char"/>
    <w:link w:val="Header"/>
    <w:uiPriority w:val="99"/>
    <w:rsid w:val="00BB3F45"/>
    <w:rPr>
      <w:sz w:val="22"/>
      <w:szCs w:val="22"/>
    </w:rPr>
  </w:style>
  <w:style w:type="paragraph" w:styleId="Footer">
    <w:name w:val="footer"/>
    <w:basedOn w:val="Normal"/>
    <w:link w:val="FooterChar"/>
    <w:uiPriority w:val="99"/>
    <w:unhideWhenUsed/>
    <w:rsid w:val="00BB3F45"/>
    <w:pPr>
      <w:tabs>
        <w:tab w:val="center" w:pos="4680"/>
        <w:tab w:val="right" w:pos="9360"/>
      </w:tabs>
    </w:pPr>
  </w:style>
  <w:style w:type="character" w:customStyle="1" w:styleId="FooterChar">
    <w:name w:val="Footer Char"/>
    <w:link w:val="Footer"/>
    <w:uiPriority w:val="99"/>
    <w:rsid w:val="00BB3F45"/>
    <w:rPr>
      <w:sz w:val="22"/>
      <w:szCs w:val="22"/>
    </w:rPr>
  </w:style>
  <w:style w:type="paragraph" w:styleId="Revision">
    <w:name w:val="Revision"/>
    <w:hidden/>
    <w:uiPriority w:val="99"/>
    <w:semiHidden/>
    <w:rsid w:val="00D92F7A"/>
    <w:rPr>
      <w:sz w:val="22"/>
      <w:szCs w:val="22"/>
    </w:rPr>
  </w:style>
  <w:style w:type="paragraph" w:styleId="FootnoteText">
    <w:name w:val="footnote text"/>
    <w:basedOn w:val="Normal"/>
    <w:link w:val="FootnoteTextChar"/>
    <w:uiPriority w:val="99"/>
    <w:semiHidden/>
    <w:unhideWhenUsed/>
    <w:rsid w:val="001C5BEB"/>
    <w:rPr>
      <w:sz w:val="20"/>
      <w:szCs w:val="20"/>
    </w:rPr>
  </w:style>
  <w:style w:type="character" w:customStyle="1" w:styleId="FootnoteTextChar">
    <w:name w:val="Footnote Text Char"/>
    <w:basedOn w:val="DefaultParagraphFont"/>
    <w:link w:val="FootnoteText"/>
    <w:uiPriority w:val="99"/>
    <w:semiHidden/>
    <w:rsid w:val="001C5BEB"/>
  </w:style>
  <w:style w:type="character" w:styleId="FootnoteReference">
    <w:name w:val="footnote reference"/>
    <w:uiPriority w:val="99"/>
    <w:semiHidden/>
    <w:unhideWhenUsed/>
    <w:rsid w:val="001C5BEB"/>
    <w:rPr>
      <w:vertAlign w:val="superscript"/>
    </w:rPr>
  </w:style>
  <w:style w:type="paragraph" w:styleId="ListParagraph">
    <w:name w:val="List Paragraph"/>
    <w:basedOn w:val="Normal"/>
    <w:uiPriority w:val="34"/>
    <w:qFormat/>
    <w:rsid w:val="008F3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E02E1-41F3-4855-88C5-D30A023D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1774</Words>
  <Characters>10151</Characters>
  <Application>Microsoft Office Word</Application>
  <DocSecurity>0</DocSecurity>
  <Lines>203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Sanford, Amber</cp:lastModifiedBy>
  <cp:revision>2</cp:revision>
  <dcterms:created xsi:type="dcterms:W3CDTF">2022-10-18T15:21:00Z</dcterms:created>
  <dcterms:modified xsi:type="dcterms:W3CDTF">2022-10-18T15:21:00Z</dcterms:modified>
</cp:coreProperties>
</file>