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0293" w:rsidP="00E60293" w14:paraId="6812D0BE" w14:textId="77777777">
      <w:pPr>
        <w:jc w:val="center"/>
        <w:rPr>
          <w:rFonts w:ascii="Times New Roman" w:hAnsi="Times New Roman"/>
          <w:b/>
          <w:bCs/>
        </w:rPr>
      </w:pPr>
      <w:r>
        <w:rPr>
          <w:rFonts w:ascii="Times New Roman" w:hAnsi="Times New Roman"/>
          <w:b/>
          <w:bCs/>
        </w:rPr>
        <w:t xml:space="preserve">SUPPORTING STATEMENT FOR </w:t>
      </w:r>
    </w:p>
    <w:p w:rsidR="00E60293" w:rsidP="00E60293" w14:paraId="34DEE4F6" w14:textId="77777777">
      <w:pPr>
        <w:jc w:val="center"/>
        <w:rPr>
          <w:rFonts w:ascii="Times New Roman" w:hAnsi="Times New Roman"/>
          <w:b/>
          <w:bCs/>
        </w:rPr>
      </w:pPr>
      <w:r>
        <w:rPr>
          <w:rFonts w:ascii="Times New Roman" w:hAnsi="Times New Roman"/>
          <w:b/>
        </w:rPr>
        <w:t>Application to Register Permanent Residence or Adjust Status</w:t>
      </w:r>
    </w:p>
    <w:p w:rsidR="00E60293" w:rsidP="00E60293" w14:paraId="66028655" w14:textId="77777777">
      <w:pPr>
        <w:jc w:val="center"/>
        <w:rPr>
          <w:rFonts w:ascii="Times New Roman" w:hAnsi="Times New Roman"/>
          <w:b/>
          <w:bCs/>
        </w:rPr>
      </w:pPr>
      <w:r>
        <w:rPr>
          <w:rFonts w:ascii="Times New Roman" w:hAnsi="Times New Roman"/>
          <w:b/>
          <w:bCs/>
        </w:rPr>
        <w:t>OMB Control No.: 1615-0023</w:t>
      </w:r>
    </w:p>
    <w:p w:rsidR="00E60293" w:rsidP="00E60293" w14:paraId="09E86A56" w14:textId="77777777">
      <w:pPr>
        <w:jc w:val="center"/>
        <w:rPr>
          <w:rFonts w:ascii="Times New Roman" w:hAnsi="Times New Roman"/>
          <w:b/>
          <w:bCs/>
        </w:rPr>
      </w:pPr>
      <w:r>
        <w:rPr>
          <w:rFonts w:ascii="Times New Roman" w:hAnsi="Times New Roman"/>
          <w:b/>
          <w:bCs/>
        </w:rPr>
        <w:t xml:space="preserve">COLLECTION INSTRUMENT(S): Form I-485. Supplement A, and Supplement J  </w:t>
      </w:r>
    </w:p>
    <w:p w:rsidR="00E60293" w:rsidP="00E60293" w14:paraId="34441798" w14:textId="77777777">
      <w:pPr>
        <w:jc w:val="center"/>
        <w:rPr>
          <w:rFonts w:ascii="Times New Roman" w:hAnsi="Times New Roman"/>
          <w:b/>
          <w:bCs/>
        </w:rPr>
      </w:pPr>
      <w:r>
        <w:rPr>
          <w:rFonts w:ascii="Times New Roman" w:hAnsi="Times New Roman"/>
          <w:b/>
          <w:bCs/>
        </w:rPr>
        <w:t xml:space="preserve"> </w:t>
      </w:r>
    </w:p>
    <w:p w:rsidR="00E60293" w:rsidP="00E60293" w14:paraId="3349FE75" w14:textId="77777777">
      <w:pPr>
        <w:jc w:val="both"/>
        <w:rPr>
          <w:rFonts w:ascii="Times New Roman" w:hAnsi="Times New Roman"/>
        </w:rPr>
      </w:pPr>
    </w:p>
    <w:p w:rsidR="00E60293" w:rsidP="00E60293" w14:paraId="38B398FC" w14:textId="77777777">
      <w:pPr>
        <w:rPr>
          <w:rFonts w:ascii="Times New Roman" w:hAnsi="Times New Roman"/>
        </w:rPr>
      </w:pPr>
      <w:r>
        <w:rPr>
          <w:rFonts w:ascii="Times New Roman" w:hAnsi="Times New Roman"/>
          <w:b/>
          <w:bCs/>
        </w:rPr>
        <w:t>A. Justification</w:t>
      </w:r>
    </w:p>
    <w:p w:rsidR="00E60293" w:rsidP="00E60293" w14:paraId="5D00C427" w14:textId="77777777">
      <w:pPr>
        <w:rPr>
          <w:rFonts w:ascii="Times New Roman" w:hAnsi="Times New Roman"/>
        </w:rPr>
      </w:pPr>
    </w:p>
    <w:p w:rsidR="00E60293" w:rsidP="00E60293" w14:paraId="0171E663"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60293" w:rsidP="00E60293" w14:paraId="09A00BC1" w14:textId="77777777">
      <w:pPr>
        <w:tabs>
          <w:tab w:val="left" w:pos="-1440"/>
        </w:tabs>
        <w:ind w:left="720"/>
        <w:rPr>
          <w:rFonts w:ascii="Times New Roman" w:hAnsi="Times New Roman"/>
        </w:rPr>
      </w:pPr>
    </w:p>
    <w:p w:rsidR="00E60293" w:rsidP="00E60293" w14:paraId="5BEFAFE6" w14:textId="77777777">
      <w:pPr>
        <w:ind w:left="720"/>
        <w:outlineLvl w:val="1"/>
        <w:rPr>
          <w:rFonts w:ascii="Times New Roman" w:hAnsi="Times New Roman"/>
        </w:rPr>
      </w:pPr>
      <w:r>
        <w:rPr>
          <w:rFonts w:ascii="Times New Roman" w:hAnsi="Times New Roman"/>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00E60293" w:rsidP="00E60293" w14:paraId="153BE628" w14:textId="77777777">
      <w:pPr>
        <w:ind w:left="720"/>
        <w:outlineLvl w:val="1"/>
        <w:rPr>
          <w:rFonts w:ascii="Times New Roman" w:hAnsi="Times New Roman"/>
        </w:rPr>
      </w:pPr>
    </w:p>
    <w:p w:rsidR="00E60293" w:rsidP="00E60293" w14:paraId="35F9555D" w14:textId="77777777">
      <w:pPr>
        <w:ind w:left="720"/>
        <w:outlineLvl w:val="1"/>
        <w:rPr>
          <w:rFonts w:ascii="Times New Roman" w:hAnsi="Times New Roman"/>
          <w:color w:val="000000"/>
          <w:shd w:val="clear" w:color="auto" w:fill="FFFFFF"/>
        </w:rPr>
      </w:pPr>
      <w:r>
        <w:rPr>
          <w:rFonts w:ascii="Times New Roman" w:hAnsi="Times New Roman"/>
          <w:color w:val="000000"/>
          <w:shd w:val="clear" w:color="auto" w:fill="FFFFFF"/>
        </w:rPr>
        <w:t>Section 7611 of the National Defense Authorization Act for Fiscal Year 2020 (NDAA 2020), Liberian Refugee Immigration Fairness (LRIF), allows Liberian nationals and certain family members living in the United States who meet the statute’s eligibility requirements to apply to adjust status to become lawful permanent residents. </w:t>
      </w:r>
    </w:p>
    <w:p w:rsidR="00E60293" w:rsidP="00E60293" w14:paraId="394C998B" w14:textId="77777777">
      <w:pPr>
        <w:outlineLvl w:val="1"/>
        <w:rPr>
          <w:rFonts w:ascii="Times New Roman" w:hAnsi="Times New Roman"/>
        </w:rPr>
      </w:pPr>
    </w:p>
    <w:p w:rsidR="00E60293" w:rsidP="00E60293" w14:paraId="4AAB2B48" w14:textId="77777777">
      <w:pPr>
        <w:ind w:left="720"/>
        <w:outlineLvl w:val="1"/>
        <w:rPr>
          <w:rFonts w:ascii="Times New Roman" w:hAnsi="Times New Roman"/>
        </w:rPr>
      </w:pPr>
      <w:r>
        <w:rPr>
          <w:rFonts w:ascii="Times New Roman" w:hAnsi="Times New Roman"/>
        </w:rPr>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rsidR="00E60293" w:rsidP="00E60293" w14:paraId="23A8556E" w14:textId="77777777">
      <w:pPr>
        <w:ind w:left="720"/>
        <w:outlineLvl w:val="1"/>
        <w:rPr>
          <w:rFonts w:ascii="Times New Roman" w:hAnsi="Times New Roman"/>
        </w:rPr>
      </w:pPr>
    </w:p>
    <w:p w:rsidR="00E60293" w:rsidP="00E60293" w14:paraId="0BE2227F" w14:textId="77777777">
      <w:pPr>
        <w:ind w:left="720"/>
        <w:outlineLvl w:val="1"/>
        <w:rPr>
          <w:rFonts w:ascii="Times New Roman" w:hAnsi="Times New Roman"/>
        </w:rPr>
      </w:pPr>
      <w:r>
        <w:rPr>
          <w:rFonts w:ascii="Times New Roman" w:hAnsi="Times New Roman"/>
        </w:rPr>
        <w:t>INA Section 204(b) states:</w:t>
      </w:r>
    </w:p>
    <w:p w:rsidR="00E60293" w:rsidP="00E60293" w14:paraId="7D522B30" w14:textId="77777777">
      <w:pPr>
        <w:ind w:left="720"/>
        <w:outlineLvl w:val="1"/>
        <w:rPr>
          <w:rFonts w:ascii="Times New Roman" w:hAnsi="Times New Roman"/>
        </w:rPr>
      </w:pPr>
    </w:p>
    <w:p w:rsidR="00E60293" w:rsidP="00E60293" w14:paraId="544FD476" w14:textId="77777777">
      <w:pPr>
        <w:ind w:left="720"/>
        <w:outlineLvl w:val="1"/>
        <w:rPr>
          <w:rFonts w:ascii="Times New Roman" w:hAnsi="Times New Roman"/>
        </w:rPr>
      </w:pPr>
      <w:r>
        <w:rPr>
          <w:rFonts w:ascii="Times New Roman" w:hAnsi="Times New Roman"/>
        </w:rPr>
        <w:t>Investigation; consultation; approval; authorized to grant preference status.  After an 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in behalf of whom the petition is made is eligible for preference under subsection (a) or (b) of 203(b), approve the petition.</w:t>
      </w:r>
    </w:p>
    <w:p w:rsidR="00E60293" w:rsidP="00E60293" w14:paraId="15968ECF" w14:textId="77777777">
      <w:pPr>
        <w:ind w:left="720"/>
        <w:outlineLvl w:val="1"/>
        <w:rPr>
          <w:rFonts w:ascii="Times New Roman" w:hAnsi="Times New Roman"/>
        </w:rPr>
      </w:pPr>
    </w:p>
    <w:p w:rsidR="00E60293" w:rsidP="00E60293" w14:paraId="4BF149CE" w14:textId="77777777">
      <w:pPr>
        <w:ind w:left="720"/>
        <w:outlineLvl w:val="1"/>
        <w:rPr>
          <w:rFonts w:ascii="Times New Roman" w:hAnsi="Times New Roman"/>
        </w:rPr>
      </w:pPr>
      <w:r>
        <w:rPr>
          <w:rFonts w:ascii="Times New Roman" w:hAnsi="Times New Roman"/>
        </w:rPr>
        <w:t>INA Section 204(e) states:</w:t>
      </w:r>
    </w:p>
    <w:p w:rsidR="00E60293" w:rsidP="00E60293" w14:paraId="02A93CEE" w14:textId="77777777">
      <w:pPr>
        <w:ind w:left="720"/>
        <w:outlineLvl w:val="1"/>
        <w:rPr>
          <w:rFonts w:ascii="Times New Roman" w:hAnsi="Times New Roman"/>
        </w:rPr>
      </w:pPr>
    </w:p>
    <w:p w:rsidR="00E60293" w:rsidP="00E60293" w14:paraId="319328D0" w14:textId="77777777">
      <w:pPr>
        <w:ind w:left="720"/>
        <w:outlineLvl w:val="1"/>
        <w:rPr>
          <w:rFonts w:ascii="Times New Roman" w:hAnsi="Times New Roman"/>
        </w:rPr>
      </w:pPr>
      <w:r>
        <w:rPr>
          <w:rFonts w:ascii="Times New Roman" w:hAnsi="Times New Roman"/>
        </w:rPr>
        <w:t xml:space="preserve">Subsequent finding of non-entitlement to preference classification.  Nothing in this </w:t>
      </w:r>
      <w:r>
        <w:rPr>
          <w:rFonts w:ascii="Times New Roman" w:hAnsi="Times New Roman"/>
        </w:rPr>
        <w:t>section shall be construed to entitle an immigrant, on behalf of whom a petition under this section is approved, to be admitted to the United States as an immigrant under subsection (a), (b), or (c) of section 203 . . . if upon his arrival at a port of entry in the United States he is found not to be entitled to such classification.</w:t>
      </w:r>
    </w:p>
    <w:p w:rsidR="00E60293" w:rsidP="00E60293" w14:paraId="75918FCC" w14:textId="77777777">
      <w:pPr>
        <w:ind w:left="720"/>
        <w:outlineLvl w:val="1"/>
        <w:rPr>
          <w:rFonts w:ascii="Times New Roman" w:hAnsi="Times New Roman"/>
        </w:rPr>
      </w:pPr>
    </w:p>
    <w:p w:rsidR="00E60293" w:rsidP="00E60293" w14:paraId="6C468CF4" w14:textId="77777777">
      <w:pPr>
        <w:ind w:left="720"/>
        <w:outlineLvl w:val="1"/>
        <w:rPr>
          <w:rFonts w:ascii="Times New Roman" w:hAnsi="Times New Roman"/>
        </w:rPr>
      </w:pPr>
      <w:r>
        <w:rPr>
          <w:rFonts w:ascii="Times New Roman" w:hAnsi="Times New Roman"/>
        </w:rPr>
        <w:t>The employment-based immigrant visa process generally involves a multi-step process that may involve various U.S. governmental departments, including USCIS, DOL, and the U.S. Department of State (DOS).</w:t>
      </w:r>
    </w:p>
    <w:p w:rsidR="00E60293" w:rsidP="00E60293" w14:paraId="699A529E" w14:textId="77777777">
      <w:pPr>
        <w:ind w:left="720"/>
        <w:outlineLvl w:val="1"/>
        <w:rPr>
          <w:rFonts w:ascii="Times New Roman" w:hAnsi="Times New Roman"/>
          <w:b/>
        </w:rPr>
      </w:pPr>
    </w:p>
    <w:p w:rsidR="00E60293" w:rsidP="00E60293" w14:paraId="6060597A" w14:textId="77777777">
      <w:pPr>
        <w:ind w:left="720"/>
        <w:outlineLvl w:val="1"/>
        <w:rPr>
          <w:rFonts w:ascii="Times New Roman" w:hAnsi="Times New Roman"/>
        </w:rPr>
      </w:pPr>
      <w:r>
        <w:rPr>
          <w:rFonts w:ascii="Times New Roman" w:hAnsi="Times New Roman"/>
        </w:rPr>
        <w:t>Because of the passage of time between the approval of the labor certification process, the approval of the employment-based immigrant petition [Form I-140] 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rsidR="00E60293" w:rsidP="00E60293" w14:paraId="6B55949B" w14:textId="77777777">
      <w:pPr>
        <w:ind w:left="720"/>
        <w:outlineLvl w:val="1"/>
        <w:rPr>
          <w:rFonts w:ascii="Times New Roman" w:hAnsi="Times New Roman"/>
        </w:rPr>
      </w:pPr>
    </w:p>
    <w:p w:rsidR="00E60293" w:rsidP="00E60293" w14:paraId="4D32DEBE" w14:textId="77777777">
      <w:pPr>
        <w:ind w:left="720"/>
        <w:outlineLvl w:val="1"/>
        <w:rPr>
          <w:rFonts w:ascii="Times New Roman" w:hAnsi="Times New Roman"/>
        </w:rPr>
      </w:pPr>
      <w:r>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00E60293" w:rsidP="00E60293" w14:paraId="3397F02C" w14:textId="77777777">
      <w:pPr>
        <w:ind w:left="720"/>
        <w:outlineLvl w:val="1"/>
        <w:rPr>
          <w:rFonts w:ascii="Times New Roman" w:hAnsi="Times New Roman"/>
        </w:rPr>
      </w:pPr>
    </w:p>
    <w:p w:rsidR="00E60293" w:rsidP="00E60293" w14:paraId="66E596F5" w14:textId="77777777">
      <w:pPr>
        <w:ind w:left="720"/>
        <w:outlineLvl w:val="1"/>
        <w:rPr>
          <w:rFonts w:ascii="Times New Roman" w:hAnsi="Times New Roman"/>
        </w:rPr>
      </w:pPr>
      <w:r>
        <w:rPr>
          <w:rFonts w:ascii="Times New Roman" w:hAnsi="Times New Roman"/>
        </w:rPr>
        <w:t>A petition under subsection (a)(1)(D) [redesignated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00E60293" w:rsidP="00E60293" w14:paraId="10DD2014" w14:textId="77777777">
      <w:pPr>
        <w:ind w:left="720"/>
        <w:outlineLvl w:val="1"/>
        <w:rPr>
          <w:rFonts w:ascii="Times New Roman" w:hAnsi="Times New Roman"/>
        </w:rPr>
      </w:pPr>
    </w:p>
    <w:p w:rsidR="00E60293" w:rsidP="00E60293" w14:paraId="0E246866" w14:textId="77777777">
      <w:pPr>
        <w:ind w:left="720"/>
        <w:outlineLvl w:val="1"/>
        <w:rPr>
          <w:rFonts w:ascii="Times New Roman" w:hAnsi="Times New Roman"/>
        </w:rPr>
      </w:pPr>
      <w:r>
        <w:rPr>
          <w:rFonts w:ascii="Times New Roman" w:hAnsi="Times New Roman"/>
        </w:rPr>
        <w:t>Importantly, AC21 created a parallel provision at INA Section 212(a)(5)(A)(iv) that extended the validity of any underlying labor certification if the conditions of INA Section 204(j) are satisfied.</w:t>
      </w:r>
    </w:p>
    <w:p w:rsidR="00E60293" w:rsidP="00E60293" w14:paraId="25C5CF52" w14:textId="77777777">
      <w:pPr>
        <w:outlineLvl w:val="1"/>
        <w:rPr>
          <w:rFonts w:ascii="Times New Roman" w:hAnsi="Times New Roman"/>
        </w:rPr>
      </w:pPr>
    </w:p>
    <w:p w:rsidR="00E60293" w:rsidP="00E60293" w14:paraId="30AF5475" w14:textId="77777777">
      <w:pPr>
        <w:ind w:left="720"/>
        <w:outlineLvl w:val="1"/>
        <w:rPr>
          <w:rFonts w:ascii="Times New Roman" w:hAnsi="Times New Roman"/>
        </w:rPr>
      </w:pPr>
      <w:r>
        <w:rPr>
          <w:rFonts w:ascii="Times New Roman" w:hAnsi="Times New Roman"/>
          <w:b/>
        </w:rPr>
        <w:t>Authority:</w:t>
      </w:r>
      <w:r>
        <w:rPr>
          <w:rFonts w:ascii="Times New Roman" w:hAnsi="Times New Roman"/>
        </w:rPr>
        <w:t xml:space="preserve">  INA Section 245 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p>
    <w:p w:rsidR="00E60293" w:rsidP="00E60293" w14:paraId="5147D3E9" w14:textId="77777777">
      <w:pPr>
        <w:ind w:left="720"/>
        <w:outlineLvl w:val="1"/>
        <w:rPr>
          <w:rFonts w:ascii="Times New Roman" w:hAnsi="Times New Roman"/>
        </w:rPr>
      </w:pPr>
    </w:p>
    <w:p w:rsidR="00E60293" w:rsidP="00E60293" w14:paraId="4B996F74" w14:textId="77777777">
      <w:pPr>
        <w:ind w:left="720"/>
        <w:outlineLvl w:val="1"/>
        <w:rPr>
          <w:rFonts w:ascii="Times New Roman" w:hAnsi="Times New Roman"/>
        </w:rPr>
      </w:pPr>
    </w:p>
    <w:p w:rsidR="00E60293" w:rsidP="00E60293" w14:paraId="58559EDD" w14:textId="77777777">
      <w:pPr>
        <w:tabs>
          <w:tab w:val="left" w:pos="-1440"/>
        </w:tabs>
        <w:ind w:left="720"/>
        <w:rPr>
          <w:rFonts w:ascii="Times New Roman" w:hAnsi="Times New Roman"/>
        </w:rPr>
      </w:pPr>
      <w:r>
        <w:rPr>
          <w:rFonts w:ascii="Times New Roman" w:hAnsi="Times New Roman"/>
          <w:b/>
        </w:rPr>
        <w:t>Authority:</w:t>
      </w:r>
      <w:r>
        <w:rPr>
          <w:rFonts w:ascii="Times New Roman" w:hAnsi="Times New Roman"/>
        </w:rPr>
        <w:t xml:space="preserve">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w:t>
      </w:r>
      <w:r>
        <w:rPr>
          <w:rFonts w:ascii="Times New Roman" w:hAnsi="Times New Roman"/>
        </w:rPr>
        <w:t>INA Section 249 and 8 CFR 249.1 et seq; INA Section 291; INA Section 204(b); INA Section 204(e); INA Section 212(a)(5)(A); INA Section 212(a)(4); INA Section 204(j); Section 902 of Public Law 105-277 (HRIFA); Section 7611 of Public Law 116-92 (LRIF).</w:t>
      </w:r>
    </w:p>
    <w:p w:rsidR="00E60293" w:rsidP="00E60293" w14:paraId="67BC6970" w14:textId="77777777">
      <w:pPr>
        <w:tabs>
          <w:tab w:val="left" w:pos="-1440"/>
        </w:tabs>
        <w:ind w:left="720"/>
        <w:rPr>
          <w:rFonts w:ascii="Times New Roman" w:hAnsi="Times New Roman"/>
        </w:rPr>
      </w:pPr>
    </w:p>
    <w:p w:rsidR="00E60293" w:rsidP="00E60293" w14:paraId="4225CFC5" w14:textId="77777777">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E60293" w:rsidP="00E60293" w14:paraId="3FA0897D" w14:textId="77777777">
      <w:pPr>
        <w:ind w:left="720"/>
        <w:rPr>
          <w:rFonts w:ascii="Times New Roman" w:hAnsi="Times New Roman"/>
        </w:rPr>
      </w:pPr>
    </w:p>
    <w:p w:rsidR="00E60293" w:rsidP="00E60293" w14:paraId="0CC760D9" w14:textId="77777777">
      <w:pPr>
        <w:ind w:left="720"/>
        <w:outlineLvl w:val="1"/>
        <w:rPr>
          <w:rFonts w:ascii="Times New Roman" w:hAnsi="Times New Roman"/>
        </w:rPr>
      </w:pPr>
      <w:r>
        <w:rPr>
          <w:rFonts w:ascii="Times New Roman" w:hAnsi="Times New Roman"/>
        </w:rPr>
        <w:t xml:space="preserve">The data collected on these forms are used by U.S. Citizenship and Immigration Services (USCIS)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rsidR="00E60293" w:rsidP="00E60293" w14:paraId="57DB0F8A" w14:textId="77777777">
      <w:pPr>
        <w:ind w:left="720"/>
        <w:outlineLvl w:val="1"/>
        <w:rPr>
          <w:rFonts w:ascii="Times New Roman" w:hAnsi="Times New Roman"/>
        </w:rPr>
      </w:pPr>
    </w:p>
    <w:p w:rsidR="00E60293" w:rsidP="00E60293" w14:paraId="09F00F81" w14:textId="77777777">
      <w:pPr>
        <w:ind w:left="720"/>
        <w:outlineLvl w:val="1"/>
        <w:rPr>
          <w:rFonts w:ascii="Times New Roman" w:hAnsi="Times New Roman"/>
        </w:rPr>
      </w:pPr>
      <w:r>
        <w:rPr>
          <w:rFonts w:ascii="Times New Roman" w:hAnsi="Times New Roman"/>
        </w:rPr>
        <w:t>Supplement A to Form I-485 is used by a subset of applicants seeking to adjust status under INA section 245(i). </w:t>
      </w:r>
    </w:p>
    <w:p w:rsidR="00E60293" w:rsidP="00E60293" w14:paraId="598F90B1" w14:textId="77777777">
      <w:pPr>
        <w:ind w:left="720"/>
        <w:outlineLvl w:val="1"/>
        <w:rPr>
          <w:rFonts w:ascii="Times New Roman" w:hAnsi="Times New Roman"/>
        </w:rPr>
      </w:pPr>
    </w:p>
    <w:p w:rsidR="00E60293" w:rsidP="00E60293" w14:paraId="73AEC56B" w14:textId="77777777">
      <w:pPr>
        <w:ind w:left="720"/>
        <w:outlineLvl w:val="1"/>
        <w:rPr>
          <w:rFonts w:ascii="Times New Roman" w:hAnsi="Times New Roman"/>
        </w:rPr>
      </w:pPr>
      <w:r>
        <w:rPr>
          <w:rFonts w:ascii="Times New Roman" w:hAnsi="Times New Roman"/>
        </w:rPr>
        <w:t>Supplement J will be used by applicants whose adjustment of status is based on an approved employment-based immigrant visa petition that requires a job offer.</w:t>
      </w:r>
    </w:p>
    <w:p w:rsidR="00E60293" w:rsidP="00E60293" w14:paraId="12D88206" w14:textId="77777777">
      <w:pPr>
        <w:rPr>
          <w:rFonts w:ascii="Times New Roman" w:hAnsi="Times New Roman"/>
        </w:rPr>
      </w:pPr>
    </w:p>
    <w:p w:rsidR="00E60293" w:rsidP="00E60293" w14:paraId="1700E63E"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60293" w:rsidP="00E60293" w14:paraId="188D85A2" w14:textId="77777777">
      <w:pPr>
        <w:tabs>
          <w:tab w:val="left" w:pos="-1440"/>
        </w:tabs>
        <w:ind w:left="720"/>
        <w:rPr>
          <w:rFonts w:ascii="Times New Roman" w:hAnsi="Times New Roman"/>
        </w:rPr>
      </w:pPr>
    </w:p>
    <w:p w:rsidR="00E60293" w:rsidP="00E60293" w14:paraId="084C58AB" w14:textId="77777777">
      <w:pPr>
        <w:ind w:left="720"/>
        <w:jc w:val="both"/>
        <w:rPr>
          <w:rFonts w:ascii="Times New Roman" w:hAnsi="Times New Roman"/>
          <w:bCs/>
          <w:iCs/>
        </w:rPr>
      </w:pPr>
      <w:r>
        <w:rPr>
          <w:rFonts w:ascii="Times New Roman" w:hAnsi="Times New Roman"/>
          <w:bCs/>
          <w:iCs/>
        </w:rPr>
        <w:t>The use of the Form I-485, Form I-485 Supplement A, Supplement J, and the Instructions for filing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rsidR="00E60293" w:rsidP="00E60293" w14:paraId="73F2502A" w14:textId="77777777">
      <w:pPr>
        <w:ind w:left="720"/>
        <w:jc w:val="both"/>
        <w:rPr>
          <w:rFonts w:ascii="Times New Roman" w:hAnsi="Times New Roman"/>
        </w:rPr>
      </w:pPr>
    </w:p>
    <w:p w:rsidR="00E60293" w:rsidP="00E60293" w14:paraId="31FA565E" w14:textId="77777777">
      <w:pPr>
        <w:ind w:left="720"/>
        <w:jc w:val="both"/>
        <w:rPr>
          <w:rFonts w:ascii="Times New Roman" w:hAnsi="Times New Roman"/>
        </w:rPr>
      </w:pPr>
      <w:r>
        <w:rPr>
          <w:rFonts w:ascii="Times New Roman" w:hAnsi="Times New Roman"/>
        </w:rPr>
        <w:t xml:space="preserve">Forms I-485 and I485A will be available electronically at </w:t>
      </w:r>
      <w:r>
        <w:rPr>
          <w:rFonts w:ascii="Times New Roman" w:hAnsi="Times New Roman"/>
          <w:bCs/>
          <w:iCs/>
        </w:rPr>
        <w:t>www.uscis.gov/ keyword search “Form I-485.”</w:t>
      </w:r>
    </w:p>
    <w:p w:rsidR="00E60293" w:rsidP="00E60293" w14:paraId="6BD01868" w14:textId="77777777">
      <w:pPr>
        <w:ind w:left="1440"/>
        <w:jc w:val="both"/>
        <w:rPr>
          <w:rFonts w:ascii="Times New Roman" w:hAnsi="Times New Roman"/>
        </w:rPr>
      </w:pPr>
    </w:p>
    <w:p w:rsidR="00E60293" w:rsidP="00E60293" w14:paraId="294539D4" w14:textId="66DA7CEC">
      <w:pPr>
        <w:tabs>
          <w:tab w:val="left" w:pos="-1440"/>
        </w:tabs>
        <w:ind w:left="720"/>
        <w:rPr>
          <w:rFonts w:ascii="Times New Roman" w:hAnsi="Times New Roman"/>
        </w:rPr>
      </w:pPr>
      <w:r>
        <w:rPr>
          <w:rFonts w:ascii="Times New Roman" w:hAnsi="Times New Roman"/>
        </w:rPr>
        <w:t xml:space="preserve">USCIS is in the process of investigating the requirements for electronic submission of Forms I-485 and I-485A.  Currently, respondents can access and complete the forms </w:t>
      </w:r>
      <w:r w:rsidR="004233E5">
        <w:rPr>
          <w:rFonts w:ascii="Times New Roman" w:hAnsi="Times New Roman"/>
        </w:rPr>
        <w:t>online,</w:t>
      </w:r>
      <w:r>
        <w:rPr>
          <w:rFonts w:ascii="Times New Roman" w:hAnsi="Times New Roman"/>
        </w:rPr>
        <w:t xml:space="preserve"> but they must submit the completed application by mail.</w:t>
      </w:r>
    </w:p>
    <w:p w:rsidR="00E60293" w:rsidP="00E60293" w14:paraId="5FC85128" w14:textId="77777777">
      <w:pPr>
        <w:tabs>
          <w:tab w:val="left" w:pos="-1440"/>
        </w:tabs>
        <w:ind w:left="720"/>
        <w:rPr>
          <w:rFonts w:ascii="Times New Roman" w:hAnsi="Times New Roman"/>
        </w:rPr>
      </w:pPr>
    </w:p>
    <w:p w:rsidR="00E60293" w:rsidP="00E60293" w14:paraId="22DE4EE3"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E60293" w:rsidP="00E60293" w14:paraId="45852EC2" w14:textId="77777777">
      <w:pPr>
        <w:tabs>
          <w:tab w:val="left" w:pos="-1440"/>
        </w:tabs>
        <w:ind w:left="720"/>
        <w:rPr>
          <w:rFonts w:ascii="Times New Roman" w:hAnsi="Times New Roman"/>
        </w:rPr>
      </w:pPr>
    </w:p>
    <w:p w:rsidR="00E60293" w:rsidP="00E60293" w14:paraId="215FAF95" w14:textId="77777777">
      <w:pPr>
        <w:ind w:left="720"/>
        <w:outlineLvl w:val="1"/>
        <w:rPr>
          <w:rFonts w:ascii="Times New Roman" w:hAnsi="Times New Roman"/>
        </w:rPr>
      </w:pPr>
      <w:r>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rsidR="00E60293" w:rsidP="00E60293" w14:paraId="6EDF9834" w14:textId="77777777">
      <w:pPr>
        <w:ind w:left="720"/>
        <w:outlineLvl w:val="1"/>
        <w:rPr>
          <w:rFonts w:ascii="Times New Roman" w:hAnsi="Times New Roman"/>
        </w:rPr>
      </w:pPr>
    </w:p>
    <w:p w:rsidR="00E60293" w:rsidP="00E60293" w14:paraId="12DF021F" w14:textId="3C1DF411">
      <w:pPr>
        <w:ind w:left="720"/>
        <w:outlineLvl w:val="1"/>
        <w:rPr>
          <w:rFonts w:ascii="Times New Roman" w:hAnsi="Times New Roman"/>
        </w:rPr>
      </w:pPr>
      <w:r>
        <w:rPr>
          <w:rFonts w:ascii="Times New Roman" w:hAnsi="Times New Roman"/>
        </w:rPr>
        <w:t xml:space="preserve">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w:t>
      </w:r>
      <w:r w:rsidR="004233E5">
        <w:rPr>
          <w:rFonts w:ascii="Times New Roman" w:hAnsi="Times New Roman"/>
        </w:rPr>
        <w:t>up to date</w:t>
      </w:r>
      <w:r>
        <w:rPr>
          <w:rFonts w:ascii="Times New Roman" w:hAnsi="Times New Roman"/>
        </w:rPr>
        <w:t xml:space="preserv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00E60293" w:rsidP="00E60293" w14:paraId="1061233A" w14:textId="77777777">
      <w:pPr>
        <w:tabs>
          <w:tab w:val="left" w:pos="-1440"/>
        </w:tabs>
        <w:ind w:left="720"/>
        <w:rPr>
          <w:rFonts w:ascii="Times New Roman" w:hAnsi="Times New Roman"/>
        </w:rPr>
      </w:pPr>
      <w:r>
        <w:rPr>
          <w:rFonts w:ascii="Times New Roman" w:hAnsi="Times New Roman"/>
        </w:rPr>
        <w:tab/>
      </w:r>
    </w:p>
    <w:p w:rsidR="00E60293" w:rsidP="00E60293" w14:paraId="799111E1"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E60293" w:rsidP="00E60293" w14:paraId="4D67CC37" w14:textId="77777777">
      <w:pPr>
        <w:tabs>
          <w:tab w:val="left" w:pos="-1440"/>
        </w:tabs>
        <w:ind w:left="720"/>
        <w:rPr>
          <w:rFonts w:ascii="Times New Roman" w:hAnsi="Times New Roman"/>
        </w:rPr>
      </w:pPr>
    </w:p>
    <w:p w:rsidR="00E60293" w:rsidP="00E60293" w14:paraId="22122DFA" w14:textId="77777777">
      <w:pPr>
        <w:ind w:left="720"/>
        <w:outlineLvl w:val="1"/>
        <w:rPr>
          <w:rFonts w:ascii="Times New Roman" w:hAnsi="Times New Roman"/>
        </w:rPr>
      </w:pPr>
      <w:r>
        <w:rPr>
          <w:rFonts w:ascii="Times New Roman" w:hAnsi="Times New Roman"/>
        </w:rPr>
        <w:t>The collection of information does not have an impact on small businesses or other small entities.</w:t>
      </w:r>
    </w:p>
    <w:p w:rsidR="00E60293" w:rsidP="00E60293" w14:paraId="2E7A9B0D" w14:textId="77777777">
      <w:pPr>
        <w:tabs>
          <w:tab w:val="left" w:pos="-1440"/>
        </w:tabs>
        <w:ind w:left="720"/>
        <w:rPr>
          <w:rFonts w:ascii="Times New Roman" w:hAnsi="Times New Roman"/>
        </w:rPr>
      </w:pPr>
      <w:r>
        <w:rPr>
          <w:rFonts w:ascii="Times New Roman" w:hAnsi="Times New Roman"/>
        </w:rPr>
        <w:tab/>
      </w:r>
    </w:p>
    <w:p w:rsidR="00E60293" w:rsidP="00E60293" w14:paraId="309B0349"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E60293" w:rsidP="00E60293" w14:paraId="45D9DEE3" w14:textId="77777777">
      <w:pPr>
        <w:tabs>
          <w:tab w:val="left" w:pos="-1440"/>
        </w:tabs>
        <w:ind w:left="720"/>
        <w:rPr>
          <w:rFonts w:ascii="Times New Roman" w:hAnsi="Times New Roman"/>
        </w:rPr>
      </w:pPr>
    </w:p>
    <w:p w:rsidR="00E60293" w:rsidP="00E60293" w14:paraId="52487C5C" w14:textId="77777777">
      <w:pPr>
        <w:tabs>
          <w:tab w:val="left" w:pos="-1440"/>
        </w:tabs>
        <w:ind w:left="720"/>
        <w:rPr>
          <w:rFonts w:ascii="Times New Roman" w:hAnsi="Times New Roman"/>
        </w:rPr>
      </w:pPr>
      <w:r>
        <w:rPr>
          <w:rFonts w:ascii="Times New Roman" w:hAnsi="Times New Roman"/>
        </w:rPr>
        <w:t>If this information is not collected, it would hinder USCIS’s ability to accept and analyze information submitted by applicants for permanent residence status. </w:t>
      </w:r>
    </w:p>
    <w:p w:rsidR="00E60293" w:rsidP="00E60293" w14:paraId="41D7C3B7" w14:textId="77777777">
      <w:pPr>
        <w:tabs>
          <w:tab w:val="left" w:pos="-1440"/>
        </w:tabs>
        <w:ind w:left="720"/>
        <w:rPr>
          <w:rFonts w:ascii="Times New Roman" w:hAnsi="Times New Roman"/>
        </w:rPr>
      </w:pPr>
    </w:p>
    <w:p w:rsidR="00E60293" w:rsidP="00E60293" w14:paraId="0D7C2BB6"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E60293" w:rsidP="00E60293" w14:paraId="6FA58BA1" w14:textId="77777777">
      <w:pPr>
        <w:tabs>
          <w:tab w:val="left" w:pos="-1440"/>
        </w:tabs>
        <w:ind w:left="720"/>
        <w:rPr>
          <w:rFonts w:ascii="Times New Roman" w:hAnsi="Times New Roman"/>
          <w:b/>
        </w:rPr>
      </w:pPr>
    </w:p>
    <w:p w:rsidR="00E60293" w:rsidP="00E60293" w14:paraId="3CEA8744"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report information to the agency more often than quarterly;</w:t>
      </w:r>
    </w:p>
    <w:p w:rsidR="00E60293" w:rsidP="00E60293" w14:paraId="0C540536" w14:textId="77777777">
      <w:pPr>
        <w:tabs>
          <w:tab w:val="left" w:pos="-1440"/>
          <w:tab w:val="left" w:pos="1080"/>
        </w:tabs>
        <w:ind w:left="1080" w:hanging="360"/>
        <w:rPr>
          <w:rFonts w:ascii="Times New Roman" w:hAnsi="Times New Roman"/>
          <w:b/>
        </w:rPr>
      </w:pPr>
    </w:p>
    <w:p w:rsidR="00E60293" w:rsidP="00E60293" w14:paraId="0E58A35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prepare a written response to a collection of information in fewer than 30 days after receipt of it;</w:t>
      </w:r>
    </w:p>
    <w:p w:rsidR="00E60293" w:rsidP="00E60293" w14:paraId="797FE9D8" w14:textId="77777777">
      <w:pPr>
        <w:tabs>
          <w:tab w:val="left" w:pos="-1440"/>
          <w:tab w:val="left" w:pos="1080"/>
        </w:tabs>
        <w:ind w:left="1080" w:hanging="360"/>
        <w:rPr>
          <w:rFonts w:ascii="Times New Roman" w:hAnsi="Times New Roman"/>
          <w:b/>
        </w:rPr>
      </w:pPr>
    </w:p>
    <w:p w:rsidR="00E60293" w:rsidP="00E60293" w14:paraId="3B3AF31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submit more than an original and two copies of any </w:t>
      </w:r>
      <w:r>
        <w:rPr>
          <w:rFonts w:ascii="Times New Roman" w:hAnsi="Times New Roman"/>
          <w:b/>
        </w:rPr>
        <w:t>document;</w:t>
      </w:r>
    </w:p>
    <w:p w:rsidR="00E60293" w:rsidP="00E60293" w14:paraId="5F8D6BE3" w14:textId="77777777">
      <w:pPr>
        <w:tabs>
          <w:tab w:val="left" w:pos="-1440"/>
          <w:tab w:val="left" w:pos="1080"/>
        </w:tabs>
        <w:ind w:left="1080" w:hanging="360"/>
        <w:rPr>
          <w:rFonts w:ascii="Times New Roman" w:hAnsi="Times New Roman"/>
          <w:b/>
        </w:rPr>
      </w:pPr>
    </w:p>
    <w:p w:rsidR="00E60293" w:rsidP="00E60293" w14:paraId="4F70C0D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retain records, other than health, medical, government contract, grant-in-aid, or tax records for more than three years;</w:t>
      </w:r>
    </w:p>
    <w:p w:rsidR="00E60293" w:rsidP="00E60293" w14:paraId="33A244EE" w14:textId="77777777">
      <w:pPr>
        <w:tabs>
          <w:tab w:val="left" w:pos="-1440"/>
          <w:tab w:val="left" w:pos="1080"/>
        </w:tabs>
        <w:ind w:left="1080" w:hanging="360"/>
        <w:rPr>
          <w:rFonts w:ascii="Times New Roman" w:hAnsi="Times New Roman"/>
          <w:b/>
        </w:rPr>
      </w:pPr>
    </w:p>
    <w:p w:rsidR="00E60293" w:rsidP="00E60293" w14:paraId="733B35F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 connection with a statistical survey, that is not designed to produce valid and reliable results that can be generalized to the universe of study;</w:t>
      </w:r>
    </w:p>
    <w:p w:rsidR="00E60293" w:rsidP="00E60293" w14:paraId="419297A7" w14:textId="77777777">
      <w:pPr>
        <w:tabs>
          <w:tab w:val="left" w:pos="-1440"/>
          <w:tab w:val="left" w:pos="1080"/>
        </w:tabs>
        <w:ind w:left="1080" w:hanging="360"/>
        <w:rPr>
          <w:rFonts w:ascii="Times New Roman" w:hAnsi="Times New Roman"/>
          <w:b/>
        </w:rPr>
      </w:pPr>
    </w:p>
    <w:p w:rsidR="00E60293" w:rsidP="00E60293" w14:paraId="2FD0C7CC"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the use of a statistical data classification that has not been reviewed and approved by OMB;</w:t>
      </w:r>
    </w:p>
    <w:p w:rsidR="00E60293" w:rsidP="00E60293" w14:paraId="778DA6B0" w14:textId="77777777">
      <w:pPr>
        <w:tabs>
          <w:tab w:val="left" w:pos="-1440"/>
          <w:tab w:val="left" w:pos="1080"/>
        </w:tabs>
        <w:ind w:left="1080" w:hanging="360"/>
        <w:rPr>
          <w:rFonts w:ascii="Times New Roman" w:hAnsi="Times New Roman"/>
          <w:b/>
        </w:rPr>
      </w:pPr>
    </w:p>
    <w:p w:rsidR="00E60293" w:rsidP="00E60293" w14:paraId="10409604"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60293" w:rsidP="00E60293" w14:paraId="18C7D678" w14:textId="77777777">
      <w:pPr>
        <w:tabs>
          <w:tab w:val="left" w:pos="-1440"/>
          <w:tab w:val="left" w:pos="1080"/>
        </w:tabs>
        <w:ind w:left="1080" w:hanging="360"/>
        <w:rPr>
          <w:rFonts w:ascii="Times New Roman" w:hAnsi="Times New Roman"/>
          <w:b/>
        </w:rPr>
      </w:pPr>
    </w:p>
    <w:p w:rsidR="00E60293" w:rsidP="00E60293" w14:paraId="457B8A3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E60293" w:rsidP="00E60293" w14:paraId="2F724AE8" w14:textId="77777777">
      <w:pPr>
        <w:tabs>
          <w:tab w:val="left" w:pos="-1440"/>
        </w:tabs>
        <w:ind w:left="1440" w:hanging="720"/>
        <w:rPr>
          <w:rFonts w:ascii="Times New Roman" w:hAnsi="Times New Roman"/>
        </w:rPr>
      </w:pPr>
    </w:p>
    <w:p w:rsidR="00E60293" w:rsidP="00E60293" w14:paraId="4EB06179"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E60293" w:rsidP="00E60293" w14:paraId="5F984BD4" w14:textId="77777777">
      <w:pPr>
        <w:ind w:left="720"/>
        <w:rPr>
          <w:rFonts w:ascii="Times New Roman" w:hAnsi="Times New Roman"/>
          <w:bCs/>
        </w:rPr>
      </w:pPr>
    </w:p>
    <w:p w:rsidR="00E60293" w:rsidP="00E60293" w14:paraId="70A1DAEE"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60293" w:rsidP="00E60293" w14:paraId="0C58D147" w14:textId="77777777">
      <w:pPr>
        <w:tabs>
          <w:tab w:val="left" w:pos="-1440"/>
        </w:tabs>
        <w:ind w:left="720"/>
        <w:rPr>
          <w:rFonts w:ascii="Times New Roman" w:hAnsi="Times New Roman"/>
          <w:b/>
        </w:rPr>
      </w:pPr>
    </w:p>
    <w:p w:rsidR="00E60293" w:rsidP="00E60293" w14:paraId="46614B29" w14:textId="77777777">
      <w:pPr>
        <w:widowControl/>
        <w:ind w:left="720"/>
        <w:rPr>
          <w:rFonts w:ascii="Times New Roman" w:eastAsia="Calibri" w:hAnsi="Times New Roman"/>
          <w:b/>
        </w:rPr>
      </w:pPr>
      <w:r>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60293" w:rsidP="00E60293" w14:paraId="1D8D50D8" w14:textId="77777777">
      <w:pPr>
        <w:widowControl/>
        <w:ind w:left="720"/>
        <w:rPr>
          <w:rFonts w:ascii="Times New Roman" w:eastAsia="Calibri" w:hAnsi="Times New Roman"/>
          <w:b/>
        </w:rPr>
      </w:pPr>
    </w:p>
    <w:p w:rsidR="00E60293" w:rsidP="00E60293" w14:paraId="516325FD" w14:textId="77777777">
      <w:pPr>
        <w:widowControl/>
        <w:ind w:left="720"/>
        <w:rPr>
          <w:rFonts w:ascii="Times New Roman" w:eastAsia="Calibri" w:hAnsi="Times New Roman"/>
          <w:b/>
        </w:rPr>
      </w:pPr>
      <w:r>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0293" w:rsidP="00E60293" w14:paraId="63B54B9A" w14:textId="77777777">
      <w:pPr>
        <w:tabs>
          <w:tab w:val="left" w:pos="-1440"/>
        </w:tabs>
        <w:ind w:left="720"/>
        <w:rPr>
          <w:rFonts w:ascii="Times New Roman" w:hAnsi="Times New Roman"/>
          <w:b/>
        </w:rPr>
      </w:pPr>
    </w:p>
    <w:p w:rsidR="00E60293" w:rsidP="00E60293" w14:paraId="3D2233FA" w14:textId="4028BCAF">
      <w:pPr>
        <w:ind w:left="720"/>
        <w:rPr>
          <w:rFonts w:ascii="Times New Roman" w:hAnsi="Times New Roman"/>
        </w:rPr>
      </w:pPr>
      <w:r>
        <w:rPr>
          <w:rFonts w:ascii="Times New Roman" w:hAnsi="Times New Roman"/>
        </w:rPr>
        <w:t xml:space="preserve">On February 24, 2022, USCIS published a 60-day notice in the Federal Register at 87 FR 10572 as part of a Notice of Proposed Rulemaking, </w:t>
      </w:r>
      <w:r>
        <w:rPr>
          <w:rFonts w:ascii="Times New Roman" w:hAnsi="Times New Roman"/>
          <w:i/>
          <w:iCs/>
        </w:rPr>
        <w:t xml:space="preserve">Public Charge Ground of Inadmissibility </w:t>
      </w:r>
      <w:r>
        <w:rPr>
          <w:rFonts w:ascii="Times New Roman" w:hAnsi="Times New Roman"/>
        </w:rPr>
        <w:t xml:space="preserve">(RIN 1615-AC74).  </w:t>
      </w:r>
    </w:p>
    <w:p w:rsidR="004233E5" w:rsidP="00E60293" w14:paraId="75DB5944" w14:textId="7AFC81C8">
      <w:pPr>
        <w:ind w:left="720"/>
        <w:rPr>
          <w:rFonts w:ascii="Times New Roman" w:hAnsi="Times New Roman"/>
        </w:rPr>
      </w:pPr>
    </w:p>
    <w:p w:rsidR="004233E5" w:rsidRPr="00D26A5E" w:rsidP="00E60293" w14:paraId="440BCE11" w14:textId="7A0F6324">
      <w:pPr>
        <w:ind w:left="720"/>
        <w:rPr>
          <w:rFonts w:ascii="Times New Roman" w:hAnsi="Times New Roman"/>
        </w:rPr>
      </w:pPr>
      <w:r w:rsidRPr="00D26A5E">
        <w:rPr>
          <w:rFonts w:ascii="Times New Roman" w:hAnsi="Times New Roman"/>
        </w:rPr>
        <w:t xml:space="preserve">On </w:t>
      </w:r>
      <w:r w:rsidRPr="00D26A5E" w:rsidR="00D26A5E">
        <w:rPr>
          <w:rFonts w:ascii="Times New Roman" w:hAnsi="Times New Roman"/>
        </w:rPr>
        <w:t>September 9</w:t>
      </w:r>
      <w:r w:rsidRPr="00D26A5E">
        <w:rPr>
          <w:rFonts w:ascii="Times New Roman" w:hAnsi="Times New Roman"/>
        </w:rPr>
        <w:t xml:space="preserve">, 2022, USCIS published a 30-day notice in the Federal Register </w:t>
      </w:r>
      <w:r w:rsidRPr="00D26A5E" w:rsidR="00D26A5E">
        <w:rPr>
          <w:rFonts w:ascii="Times New Roman" w:hAnsi="Times New Roman"/>
        </w:rPr>
        <w:t xml:space="preserve">at 87 </w:t>
      </w:r>
      <w:r w:rsidRPr="00D26A5E">
        <w:rPr>
          <w:rFonts w:ascii="Times New Roman" w:hAnsi="Times New Roman"/>
        </w:rPr>
        <w:t>FR</w:t>
      </w:r>
      <w:r w:rsidRPr="00D26A5E" w:rsidR="00D26A5E">
        <w:rPr>
          <w:rFonts w:ascii="Times New Roman" w:hAnsi="Times New Roman"/>
        </w:rPr>
        <w:t xml:space="preserve"> 55472 </w:t>
      </w:r>
      <w:r w:rsidRPr="00D26A5E">
        <w:rPr>
          <w:rFonts w:ascii="Times New Roman" w:hAnsi="Times New Roman"/>
        </w:rPr>
        <w:t xml:space="preserve">as part of a Final Rulemaking, </w:t>
      </w:r>
      <w:r w:rsidRPr="00D26A5E">
        <w:rPr>
          <w:rFonts w:ascii="Times New Roman" w:hAnsi="Times New Roman"/>
          <w:i/>
          <w:iCs/>
        </w:rPr>
        <w:t xml:space="preserve">Public Charge Ground of Inadmissibility </w:t>
      </w:r>
      <w:r w:rsidRPr="00D26A5E">
        <w:rPr>
          <w:rFonts w:ascii="Times New Roman" w:hAnsi="Times New Roman"/>
        </w:rPr>
        <w:t>(RIN 1615-AC74).</w:t>
      </w:r>
    </w:p>
    <w:p w:rsidR="00E60293" w:rsidP="00E60293" w14:paraId="6430E046" w14:textId="77777777">
      <w:pPr>
        <w:ind w:left="720"/>
        <w:rPr>
          <w:rFonts w:ascii="Times New Roman" w:hAnsi="Times New Roman"/>
        </w:rPr>
      </w:pPr>
    </w:p>
    <w:p w:rsidR="00E60293" w:rsidP="00E60293" w14:paraId="4218D132"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E60293" w:rsidP="00E60293" w14:paraId="4D1E36FE" w14:textId="77777777">
      <w:pPr>
        <w:ind w:left="720"/>
        <w:rPr>
          <w:rFonts w:ascii="Times New Roman" w:hAnsi="Times New Roman"/>
        </w:rPr>
      </w:pPr>
    </w:p>
    <w:p w:rsidR="00E60293" w:rsidP="00E60293" w14:paraId="1B308139" w14:textId="77777777">
      <w:pPr>
        <w:ind w:left="720"/>
        <w:rPr>
          <w:rFonts w:ascii="Times New Roman" w:hAnsi="Times New Roman"/>
        </w:rPr>
      </w:pPr>
      <w:r>
        <w:rPr>
          <w:rFonts w:ascii="Times New Roman" w:hAnsi="Times New Roman"/>
        </w:rPr>
        <w:t>USCIS does not provide any payment for benefit sought.</w:t>
      </w:r>
    </w:p>
    <w:p w:rsidR="00E60293" w:rsidP="00E60293" w14:paraId="2EDA1E1B" w14:textId="77777777">
      <w:pPr>
        <w:ind w:left="720"/>
        <w:rPr>
          <w:rFonts w:ascii="Times New Roman" w:hAnsi="Times New Roman"/>
        </w:rPr>
      </w:pPr>
    </w:p>
    <w:p w:rsidR="00E60293" w:rsidP="00E60293" w14:paraId="00C1C6B5"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rsidR="00E60293" w:rsidP="00E60293" w14:paraId="24F0B984" w14:textId="77777777">
      <w:pPr>
        <w:tabs>
          <w:tab w:val="left" w:pos="-1440"/>
        </w:tabs>
        <w:ind w:left="720"/>
        <w:rPr>
          <w:rFonts w:ascii="Times New Roman" w:hAnsi="Times New Roman"/>
        </w:rPr>
      </w:pPr>
    </w:p>
    <w:p w:rsidR="00E60293" w:rsidP="00E60293" w14:paraId="4209B36D" w14:textId="77777777">
      <w:pPr>
        <w:ind w:left="720"/>
        <w:rPr>
          <w:rFonts w:ascii="Times New Roman" w:hAnsi="Times New Roman"/>
        </w:rPr>
      </w:pPr>
      <w:r>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to other agencies.  </w:t>
      </w:r>
    </w:p>
    <w:p w:rsidR="00E60293" w:rsidP="00E60293" w14:paraId="093543F7" w14:textId="77777777">
      <w:pPr>
        <w:ind w:left="720"/>
        <w:rPr>
          <w:rFonts w:ascii="Times New Roman" w:hAnsi="Times New Roman"/>
        </w:rPr>
      </w:pPr>
    </w:p>
    <w:p w:rsidR="00E60293" w:rsidP="00E60293" w14:paraId="5B7D10FA" w14:textId="77777777">
      <w:pPr>
        <w:ind w:left="720"/>
        <w:rPr>
          <w:rFonts w:ascii="Times New Roman" w:hAnsi="Times New Roman"/>
        </w:rPr>
      </w:pPr>
      <w:r>
        <w:rPr>
          <w:rFonts w:ascii="Times New Roman" w:hAnsi="Times New Roman"/>
        </w:rPr>
        <w:t>The PIA associated with this information collection is:</w:t>
      </w:r>
    </w:p>
    <w:p w:rsidR="00E60293" w:rsidP="00E60293" w14:paraId="68013423" w14:textId="77777777">
      <w:pPr>
        <w:pStyle w:val="Default"/>
        <w:numPr>
          <w:ilvl w:val="0"/>
          <w:numId w:val="10"/>
        </w:numPr>
      </w:pPr>
      <w:r>
        <w:t xml:space="preserve">DHS/USCIS/016(a) CLAIMS 3 </w:t>
      </w:r>
    </w:p>
    <w:p w:rsidR="00E60293" w:rsidP="00E60293" w14:paraId="113A2372" w14:textId="77777777">
      <w:pPr>
        <w:ind w:left="720"/>
        <w:rPr>
          <w:rFonts w:ascii="Times New Roman" w:hAnsi="Times New Roman"/>
        </w:rPr>
      </w:pPr>
    </w:p>
    <w:p w:rsidR="00E60293" w:rsidP="00E60293" w14:paraId="7E6E8222" w14:textId="77777777">
      <w:pPr>
        <w:ind w:left="720"/>
        <w:rPr>
          <w:rFonts w:ascii="Times New Roman" w:hAnsi="Times New Roman"/>
        </w:rPr>
      </w:pPr>
      <w:r>
        <w:rPr>
          <w:rFonts w:ascii="Times New Roman" w:hAnsi="Times New Roman"/>
        </w:rPr>
        <w:t>The system of records notices associated with this information collection are:</w:t>
      </w:r>
    </w:p>
    <w:p w:rsidR="00E60293" w:rsidP="00E60293" w14:paraId="70835B9E" w14:textId="77777777">
      <w:pPr>
        <w:ind w:left="720"/>
        <w:rPr>
          <w:rFonts w:ascii="Times New Roman" w:hAnsi="Times New Roman"/>
        </w:rPr>
      </w:pPr>
    </w:p>
    <w:p w:rsidR="00E60293" w:rsidP="00E60293" w14:paraId="7A5EB39B" w14:textId="77777777">
      <w:pPr>
        <w:pStyle w:val="ListParagraph"/>
        <w:widowControl/>
        <w:numPr>
          <w:ilvl w:val="0"/>
          <w:numId w:val="10"/>
        </w:numPr>
        <w:rPr>
          <w:rFonts w:ascii="Cambria" w:hAnsi="Cambria" w:cs="Cambria"/>
          <w:color w:val="000000"/>
          <w:sz w:val="23"/>
          <w:szCs w:val="23"/>
        </w:rPr>
      </w:pPr>
      <w:r>
        <w:rPr>
          <w:rFonts w:ascii="Cambria" w:hAnsi="Cambria" w:cs="Cambria"/>
          <w:color w:val="000000"/>
          <w:sz w:val="23"/>
          <w:szCs w:val="23"/>
        </w:rPr>
        <w:t xml:space="preserve">DHS/USCIS/ICE/CBP-001 A-File SORN </w:t>
      </w:r>
    </w:p>
    <w:p w:rsidR="00E60293" w:rsidP="00E60293" w14:paraId="1E1D4137" w14:textId="77777777">
      <w:pPr>
        <w:pStyle w:val="ListParagraph"/>
        <w:widowControl/>
        <w:numPr>
          <w:ilvl w:val="0"/>
          <w:numId w:val="10"/>
        </w:numPr>
        <w:rPr>
          <w:rFonts w:ascii="Cambria" w:hAnsi="Cambria" w:cs="Cambria"/>
          <w:color w:val="000000"/>
          <w:sz w:val="23"/>
          <w:szCs w:val="23"/>
        </w:rPr>
      </w:pPr>
      <w:r>
        <w:rPr>
          <w:rFonts w:ascii="Cambria" w:hAnsi="Cambria" w:cs="Cambria"/>
          <w:color w:val="000000"/>
          <w:sz w:val="23"/>
          <w:szCs w:val="23"/>
        </w:rPr>
        <w:t xml:space="preserve">DHS/USCIS-007 Benefits Information System (BIS) SORN </w:t>
      </w:r>
    </w:p>
    <w:p w:rsidR="00E60293" w:rsidP="00E60293" w14:paraId="635B90DA" w14:textId="77777777">
      <w:pPr>
        <w:pStyle w:val="ListParagraph"/>
        <w:widowControl/>
        <w:numPr>
          <w:ilvl w:val="0"/>
          <w:numId w:val="10"/>
        </w:numPr>
        <w:rPr>
          <w:rFonts w:ascii="Cambria" w:hAnsi="Cambria" w:cs="Cambria"/>
          <w:color w:val="000000"/>
          <w:sz w:val="23"/>
          <w:szCs w:val="23"/>
        </w:rPr>
      </w:pPr>
      <w:r>
        <w:rPr>
          <w:rFonts w:ascii="Cambria" w:hAnsi="Cambria" w:cs="Cambria"/>
          <w:color w:val="000000"/>
          <w:sz w:val="23"/>
          <w:szCs w:val="23"/>
        </w:rPr>
        <w:t xml:space="preserve">DHS/USCIS-018 Immigration Biometric and Background Check </w:t>
      </w:r>
    </w:p>
    <w:p w:rsidR="00E60293" w:rsidP="00E60293" w14:paraId="4AD0EC09" w14:textId="77777777">
      <w:pPr>
        <w:tabs>
          <w:tab w:val="left" w:pos="-1440"/>
        </w:tabs>
        <w:ind w:left="720"/>
        <w:rPr>
          <w:rFonts w:ascii="Times New Roman" w:hAnsi="Times New Roman"/>
        </w:rPr>
      </w:pPr>
    </w:p>
    <w:p w:rsidR="00E60293" w:rsidP="00E60293" w14:paraId="4BFC043D"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60293" w:rsidP="00E60293" w14:paraId="1E3B7260" w14:textId="77777777">
      <w:pPr>
        <w:tabs>
          <w:tab w:val="left" w:pos="-1440"/>
        </w:tabs>
        <w:ind w:left="720"/>
        <w:rPr>
          <w:rFonts w:ascii="Times New Roman" w:hAnsi="Times New Roman"/>
        </w:rPr>
      </w:pPr>
      <w:r>
        <w:rPr>
          <w:rFonts w:ascii="Times New Roman" w:hAnsi="Times New Roman"/>
        </w:rPr>
        <w:tab/>
      </w:r>
    </w:p>
    <w:p w:rsidR="00E60293" w:rsidP="00E60293" w14:paraId="699F9B06" w14:textId="77777777">
      <w:pPr>
        <w:ind w:left="720"/>
        <w:rPr>
          <w:rFonts w:ascii="Times New Roman" w:hAnsi="Times New Roman"/>
        </w:rPr>
      </w:pPr>
      <w:r>
        <w:rPr>
          <w:rFonts w:ascii="Times New Roman" w:hAnsi="Times New Roman"/>
        </w:rPr>
        <w:t xml:space="preserve">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w:t>
      </w:r>
      <w:r>
        <w:rPr>
          <w:rFonts w:ascii="Times New Roman" w:hAnsi="Times New Roman"/>
        </w:rPr>
        <w:t>principally, or incidentally to engage in prostitution or an unlawful commercialized vice.</w:t>
      </w:r>
    </w:p>
    <w:p w:rsidR="00E60293" w:rsidP="00E60293" w14:paraId="2B0B2054" w14:textId="77777777">
      <w:pPr>
        <w:tabs>
          <w:tab w:val="left" w:pos="-1440"/>
        </w:tabs>
        <w:ind w:left="720"/>
        <w:rPr>
          <w:rFonts w:ascii="Times New Roman" w:hAnsi="Times New Roman"/>
        </w:rPr>
      </w:pPr>
    </w:p>
    <w:p w:rsidR="00E60293" w:rsidP="00E60293" w14:paraId="64E4069D"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E60293" w:rsidP="00E60293" w14:paraId="1ADE958C" w14:textId="77777777">
      <w:pPr>
        <w:tabs>
          <w:tab w:val="left" w:pos="-1440"/>
        </w:tabs>
        <w:ind w:left="1440" w:hanging="720"/>
        <w:rPr>
          <w:rFonts w:ascii="Times New Roman" w:hAnsi="Times New Roman"/>
          <w:b/>
        </w:rPr>
      </w:pPr>
    </w:p>
    <w:p w:rsidR="00E60293" w:rsidP="00E60293" w14:paraId="681BCD8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60293" w:rsidP="00E60293" w14:paraId="0DA8EB05" w14:textId="77777777">
      <w:pPr>
        <w:tabs>
          <w:tab w:val="left" w:pos="1080"/>
        </w:tabs>
        <w:ind w:left="1080" w:hanging="360"/>
        <w:rPr>
          <w:rFonts w:ascii="Times New Roman" w:hAnsi="Times New Roman"/>
          <w:b/>
        </w:rPr>
      </w:pPr>
    </w:p>
    <w:p w:rsidR="00E60293" w:rsidP="00E60293" w14:paraId="244CE806"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E60293" w:rsidP="00E60293" w14:paraId="356DF36A" w14:textId="77777777">
      <w:pPr>
        <w:tabs>
          <w:tab w:val="left" w:pos="1080"/>
        </w:tabs>
        <w:ind w:left="1080" w:hanging="360"/>
        <w:rPr>
          <w:rFonts w:ascii="Times New Roman" w:hAnsi="Times New Roman"/>
          <w:b/>
        </w:rPr>
      </w:pPr>
    </w:p>
    <w:p w:rsidR="00E60293" w:rsidP="00E60293" w14:paraId="561FFD0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60293" w:rsidP="00E60293" w14:paraId="243BC9DF" w14:textId="77777777">
      <w:pPr>
        <w:tabs>
          <w:tab w:val="left" w:pos="-1440"/>
          <w:tab w:val="left" w:pos="1080"/>
        </w:tabs>
        <w:ind w:left="1080" w:hanging="360"/>
        <w:rPr>
          <w:rFonts w:ascii="Times New Roman" w:hAnsi="Times New Roman"/>
          <w:b/>
        </w:rPr>
      </w:pPr>
    </w:p>
    <w:tbl>
      <w:tblPr>
        <w:tblW w:w="10428" w:type="dxa"/>
        <w:tblLook w:val="04A0"/>
      </w:tblPr>
      <w:tblGrid>
        <w:gridCol w:w="1161"/>
        <w:gridCol w:w="1294"/>
        <w:gridCol w:w="1239"/>
        <w:gridCol w:w="1161"/>
        <w:gridCol w:w="1061"/>
        <w:gridCol w:w="983"/>
        <w:gridCol w:w="1266"/>
        <w:gridCol w:w="783"/>
        <w:gridCol w:w="1566"/>
      </w:tblGrid>
      <w:tr w14:paraId="2353ABA4" w14:textId="77777777" w:rsidTr="008F0719">
        <w:tblPrEx>
          <w:tblW w:w="10428" w:type="dxa"/>
          <w:tblLook w:val="04A0"/>
        </w:tblPrEx>
        <w:trPr>
          <w:trHeight w:val="1590"/>
        </w:trPr>
        <w:tc>
          <w:tcPr>
            <w:tcW w:w="1161" w:type="dxa"/>
            <w:tcBorders>
              <w:top w:val="single" w:sz="8" w:space="0" w:color="auto"/>
              <w:left w:val="single" w:sz="8" w:space="0" w:color="auto"/>
              <w:bottom w:val="single" w:sz="8" w:space="0" w:color="auto"/>
              <w:right w:val="single" w:sz="8" w:space="0" w:color="auto"/>
            </w:tcBorders>
            <w:vAlign w:val="center"/>
            <w:hideMark/>
          </w:tcPr>
          <w:p w:rsidR="00E60293" w:rsidP="004233E5" w14:paraId="24BC23F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355" w:type="dxa"/>
            <w:tcBorders>
              <w:top w:val="single" w:sz="8" w:space="0" w:color="auto"/>
              <w:left w:val="nil"/>
              <w:bottom w:val="single" w:sz="8" w:space="0" w:color="auto"/>
              <w:right w:val="single" w:sz="8" w:space="0" w:color="auto"/>
            </w:tcBorders>
            <w:vAlign w:val="center"/>
            <w:hideMark/>
          </w:tcPr>
          <w:p w:rsidR="00E60293" w:rsidP="004233E5" w14:paraId="60BB834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39" w:type="dxa"/>
            <w:tcBorders>
              <w:top w:val="single" w:sz="8" w:space="0" w:color="auto"/>
              <w:left w:val="nil"/>
              <w:bottom w:val="single" w:sz="8" w:space="0" w:color="auto"/>
              <w:right w:val="single" w:sz="8" w:space="0" w:color="auto"/>
            </w:tcBorders>
            <w:vAlign w:val="center"/>
            <w:hideMark/>
          </w:tcPr>
          <w:p w:rsidR="00E60293" w:rsidP="004233E5" w14:paraId="14A92E5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No. of Respondents</w:t>
            </w:r>
          </w:p>
        </w:tc>
        <w:tc>
          <w:tcPr>
            <w:tcW w:w="1161" w:type="dxa"/>
            <w:tcBorders>
              <w:top w:val="single" w:sz="8" w:space="0" w:color="auto"/>
              <w:left w:val="nil"/>
              <w:bottom w:val="single" w:sz="8" w:space="0" w:color="auto"/>
              <w:right w:val="single" w:sz="8" w:space="0" w:color="auto"/>
            </w:tcBorders>
            <w:vAlign w:val="center"/>
            <w:hideMark/>
          </w:tcPr>
          <w:p w:rsidR="00E60293" w:rsidP="004233E5" w14:paraId="3964764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No. of Responses per Respondent</w:t>
            </w:r>
          </w:p>
        </w:tc>
        <w:tc>
          <w:tcPr>
            <w:tcW w:w="1127" w:type="dxa"/>
            <w:tcBorders>
              <w:top w:val="single" w:sz="8" w:space="0" w:color="auto"/>
              <w:left w:val="nil"/>
              <w:bottom w:val="single" w:sz="8" w:space="0" w:color="auto"/>
              <w:right w:val="single" w:sz="8" w:space="0" w:color="auto"/>
            </w:tcBorders>
            <w:vAlign w:val="center"/>
            <w:hideMark/>
          </w:tcPr>
          <w:p w:rsidR="00E60293" w:rsidP="004233E5" w14:paraId="5E199EF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Number of Responses</w:t>
            </w:r>
          </w:p>
        </w:tc>
        <w:tc>
          <w:tcPr>
            <w:tcW w:w="983" w:type="dxa"/>
            <w:tcBorders>
              <w:top w:val="single" w:sz="8" w:space="0" w:color="auto"/>
              <w:left w:val="nil"/>
              <w:bottom w:val="single" w:sz="8" w:space="0" w:color="auto"/>
              <w:right w:val="single" w:sz="8" w:space="0" w:color="auto"/>
            </w:tcBorders>
            <w:vAlign w:val="center"/>
            <w:hideMark/>
          </w:tcPr>
          <w:p w:rsidR="00E60293" w:rsidP="004233E5" w14:paraId="17F42D2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176" w:type="dxa"/>
            <w:tcBorders>
              <w:top w:val="single" w:sz="8" w:space="0" w:color="auto"/>
              <w:left w:val="nil"/>
              <w:bottom w:val="single" w:sz="8" w:space="0" w:color="auto"/>
              <w:right w:val="single" w:sz="8" w:space="0" w:color="auto"/>
            </w:tcBorders>
            <w:vAlign w:val="center"/>
            <w:hideMark/>
          </w:tcPr>
          <w:p w:rsidR="00E60293" w:rsidP="004233E5" w14:paraId="0D75906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848" w:type="dxa"/>
            <w:tcBorders>
              <w:top w:val="single" w:sz="8" w:space="0" w:color="auto"/>
              <w:left w:val="nil"/>
              <w:bottom w:val="single" w:sz="8" w:space="0" w:color="auto"/>
              <w:right w:val="single" w:sz="8" w:space="0" w:color="auto"/>
            </w:tcBorders>
            <w:vAlign w:val="center"/>
            <w:hideMark/>
          </w:tcPr>
          <w:p w:rsidR="00E60293" w:rsidP="004233E5" w14:paraId="7230B732" w14:textId="07F5F833">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r w:rsidR="003A4F57">
              <w:rPr>
                <w:rFonts w:ascii="Times New Roman" w:hAnsi="Times New Roman"/>
                <w:color w:val="000000"/>
                <w:sz w:val="20"/>
                <w:szCs w:val="20"/>
              </w:rPr>
              <w:t>*</w:t>
            </w:r>
          </w:p>
        </w:tc>
        <w:tc>
          <w:tcPr>
            <w:tcW w:w="1378" w:type="dxa"/>
            <w:tcBorders>
              <w:top w:val="single" w:sz="8" w:space="0" w:color="auto"/>
              <w:left w:val="nil"/>
              <w:bottom w:val="single" w:sz="8" w:space="0" w:color="auto"/>
              <w:right w:val="single" w:sz="8" w:space="0" w:color="auto"/>
            </w:tcBorders>
            <w:vAlign w:val="center"/>
            <w:hideMark/>
          </w:tcPr>
          <w:p w:rsidR="00E60293" w:rsidP="004233E5" w14:paraId="51F0F0D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14:paraId="4E1F9AC6" w14:textId="77777777" w:rsidTr="008F0719">
        <w:tblPrEx>
          <w:tblW w:w="10428" w:type="dxa"/>
          <w:tblLook w:val="04A0"/>
        </w:tblPrEx>
        <w:trPr>
          <w:trHeight w:val="1545"/>
        </w:trPr>
        <w:tc>
          <w:tcPr>
            <w:tcW w:w="1161" w:type="dxa"/>
            <w:tcBorders>
              <w:top w:val="nil"/>
              <w:left w:val="single" w:sz="8" w:space="0" w:color="auto"/>
              <w:bottom w:val="single" w:sz="8" w:space="0" w:color="auto"/>
              <w:right w:val="single" w:sz="8" w:space="0" w:color="auto"/>
            </w:tcBorders>
            <w:vAlign w:val="center"/>
            <w:hideMark/>
          </w:tcPr>
          <w:p w:rsidR="008F0719" w:rsidP="008F0719" w14:paraId="5BEC760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and households</w:t>
            </w:r>
          </w:p>
        </w:tc>
        <w:tc>
          <w:tcPr>
            <w:tcW w:w="1355" w:type="dxa"/>
            <w:tcBorders>
              <w:top w:val="nil"/>
              <w:left w:val="nil"/>
              <w:bottom w:val="single" w:sz="8" w:space="0" w:color="auto"/>
              <w:right w:val="single" w:sz="8" w:space="0" w:color="auto"/>
            </w:tcBorders>
            <w:vAlign w:val="center"/>
            <w:hideMark/>
          </w:tcPr>
          <w:p w:rsidR="008F0719" w:rsidP="008F0719" w14:paraId="19783D3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Application to Register Permanent Residence or Adjust Status, Form I-485</w:t>
            </w:r>
          </w:p>
        </w:tc>
        <w:tc>
          <w:tcPr>
            <w:tcW w:w="1239" w:type="dxa"/>
            <w:tcBorders>
              <w:top w:val="nil"/>
              <w:left w:val="nil"/>
              <w:bottom w:val="single" w:sz="8" w:space="0" w:color="auto"/>
              <w:right w:val="single" w:sz="8" w:space="0" w:color="auto"/>
            </w:tcBorders>
            <w:vAlign w:val="center"/>
            <w:hideMark/>
          </w:tcPr>
          <w:p w:rsidR="008F0719" w:rsidP="008F0719" w14:paraId="34D11E9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690,837</w:t>
            </w:r>
          </w:p>
        </w:tc>
        <w:tc>
          <w:tcPr>
            <w:tcW w:w="1161" w:type="dxa"/>
            <w:tcBorders>
              <w:top w:val="nil"/>
              <w:left w:val="nil"/>
              <w:bottom w:val="single" w:sz="8" w:space="0" w:color="auto"/>
              <w:right w:val="single" w:sz="8" w:space="0" w:color="auto"/>
            </w:tcBorders>
            <w:vAlign w:val="center"/>
            <w:hideMark/>
          </w:tcPr>
          <w:p w:rsidR="008F0719" w:rsidP="008F0719" w14:paraId="558EE51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27" w:type="dxa"/>
            <w:tcBorders>
              <w:top w:val="nil"/>
              <w:left w:val="nil"/>
              <w:bottom w:val="single" w:sz="8" w:space="0" w:color="auto"/>
              <w:right w:val="single" w:sz="8" w:space="0" w:color="auto"/>
            </w:tcBorders>
            <w:vAlign w:val="center"/>
            <w:hideMark/>
          </w:tcPr>
          <w:p w:rsidR="008F0719" w:rsidP="008F0719" w14:paraId="65F673B9" w14:textId="3F0DF03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690,837</w:t>
            </w:r>
          </w:p>
        </w:tc>
        <w:tc>
          <w:tcPr>
            <w:tcW w:w="983" w:type="dxa"/>
            <w:tcBorders>
              <w:top w:val="nil"/>
              <w:left w:val="nil"/>
              <w:bottom w:val="single" w:sz="8" w:space="0" w:color="auto"/>
              <w:right w:val="single" w:sz="8" w:space="0" w:color="auto"/>
            </w:tcBorders>
            <w:vAlign w:val="center"/>
            <w:hideMark/>
          </w:tcPr>
          <w:p w:rsidR="008F0719" w:rsidRPr="008E27DF" w:rsidP="008F0719" w14:paraId="3AC2630A" w14:textId="02B9BF21">
            <w:pPr>
              <w:widowControl/>
              <w:autoSpaceDE/>
              <w:adjustRightInd/>
              <w:jc w:val="center"/>
              <w:rPr>
                <w:rFonts w:ascii="Times New Roman" w:hAnsi="Times New Roman"/>
                <w:color w:val="000000"/>
                <w:sz w:val="20"/>
                <w:szCs w:val="20"/>
              </w:rPr>
            </w:pPr>
            <w:r w:rsidRPr="008E27DF">
              <w:rPr>
                <w:rFonts w:ascii="Times New Roman" w:hAnsi="Times New Roman"/>
                <w:color w:val="000000" w:themeColor="text1"/>
                <w:sz w:val="20"/>
                <w:szCs w:val="20"/>
              </w:rPr>
              <w:t>7.17</w:t>
            </w:r>
          </w:p>
        </w:tc>
        <w:tc>
          <w:tcPr>
            <w:tcW w:w="1176" w:type="dxa"/>
            <w:tcBorders>
              <w:top w:val="nil"/>
              <w:left w:val="nil"/>
              <w:bottom w:val="single" w:sz="8" w:space="0" w:color="auto"/>
              <w:right w:val="single" w:sz="8" w:space="0" w:color="auto"/>
            </w:tcBorders>
            <w:vAlign w:val="center"/>
            <w:hideMark/>
          </w:tcPr>
          <w:p w:rsidR="008F0719" w:rsidRPr="008F0719" w:rsidP="008F0719" w14:paraId="4E5E4083" w14:textId="535BABDF">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4,953,301.29</w:t>
            </w:r>
          </w:p>
        </w:tc>
        <w:tc>
          <w:tcPr>
            <w:tcW w:w="848" w:type="dxa"/>
            <w:tcBorders>
              <w:top w:val="nil"/>
              <w:left w:val="nil"/>
              <w:bottom w:val="single" w:sz="8" w:space="0" w:color="auto"/>
              <w:right w:val="single" w:sz="8" w:space="0" w:color="auto"/>
            </w:tcBorders>
            <w:vAlign w:val="center"/>
            <w:hideMark/>
          </w:tcPr>
          <w:p w:rsidR="008F0719" w:rsidRPr="008F0719" w:rsidP="008F0719" w14:paraId="10DDBF2E" w14:textId="4DD9FF49">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w:t>
            </w:r>
            <w:r>
              <w:rPr>
                <w:rFonts w:ascii="Times New Roman" w:hAnsi="Times New Roman"/>
                <w:color w:val="000000"/>
                <w:sz w:val="20"/>
                <w:szCs w:val="20"/>
              </w:rPr>
              <w:t>40.89</w:t>
            </w:r>
          </w:p>
        </w:tc>
        <w:tc>
          <w:tcPr>
            <w:tcW w:w="1378" w:type="dxa"/>
            <w:tcBorders>
              <w:top w:val="nil"/>
              <w:left w:val="nil"/>
              <w:bottom w:val="single" w:sz="8" w:space="0" w:color="auto"/>
              <w:right w:val="single" w:sz="8" w:space="0" w:color="auto"/>
            </w:tcBorders>
            <w:vAlign w:val="center"/>
            <w:hideMark/>
          </w:tcPr>
          <w:p w:rsidR="008F0719" w:rsidRPr="008F0719" w:rsidP="008F0719" w14:paraId="25FBF62B" w14:textId="777B5C9C">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w:t>
            </w:r>
            <w:r w:rsidR="008964DC">
              <w:rPr>
                <w:rFonts w:ascii="Times New Roman" w:hAnsi="Times New Roman"/>
                <w:color w:val="000000"/>
                <w:sz w:val="20"/>
                <w:szCs w:val="20"/>
              </w:rPr>
              <w:t>202,540,489.75</w:t>
            </w:r>
          </w:p>
        </w:tc>
      </w:tr>
      <w:tr w14:paraId="6A3AA907" w14:textId="77777777" w:rsidTr="008F0719">
        <w:tblPrEx>
          <w:tblW w:w="10428" w:type="dxa"/>
          <w:tblLook w:val="04A0"/>
        </w:tblPrEx>
        <w:trPr>
          <w:trHeight w:val="1545"/>
        </w:trPr>
        <w:tc>
          <w:tcPr>
            <w:tcW w:w="1161" w:type="dxa"/>
            <w:tcBorders>
              <w:top w:val="nil"/>
              <w:left w:val="single" w:sz="8" w:space="0" w:color="auto"/>
              <w:bottom w:val="single" w:sz="8" w:space="0" w:color="auto"/>
              <w:right w:val="single" w:sz="8" w:space="0" w:color="auto"/>
            </w:tcBorders>
            <w:vAlign w:val="center"/>
            <w:hideMark/>
          </w:tcPr>
          <w:p w:rsidR="008F0719" w:rsidP="008F0719" w14:paraId="2D817EE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and households</w:t>
            </w:r>
          </w:p>
        </w:tc>
        <w:tc>
          <w:tcPr>
            <w:tcW w:w="1355" w:type="dxa"/>
            <w:tcBorders>
              <w:top w:val="nil"/>
              <w:left w:val="nil"/>
              <w:bottom w:val="single" w:sz="8" w:space="0" w:color="auto"/>
              <w:right w:val="single" w:sz="8" w:space="0" w:color="auto"/>
            </w:tcBorders>
            <w:vAlign w:val="center"/>
            <w:hideMark/>
          </w:tcPr>
          <w:p w:rsidR="008F0719" w:rsidP="008F0719" w14:paraId="5BEDA5F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Supplement A to Form I-485, Adjustment of Status Under Section 245(i), Form I-485A</w:t>
            </w:r>
          </w:p>
        </w:tc>
        <w:tc>
          <w:tcPr>
            <w:tcW w:w="1239" w:type="dxa"/>
            <w:tcBorders>
              <w:top w:val="nil"/>
              <w:left w:val="nil"/>
              <w:bottom w:val="single" w:sz="8" w:space="0" w:color="auto"/>
              <w:right w:val="single" w:sz="8" w:space="0" w:color="auto"/>
            </w:tcBorders>
            <w:vAlign w:val="center"/>
            <w:hideMark/>
          </w:tcPr>
          <w:p w:rsidR="008F0719" w:rsidP="008F0719" w14:paraId="4704532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29,213</w:t>
            </w:r>
          </w:p>
        </w:tc>
        <w:tc>
          <w:tcPr>
            <w:tcW w:w="1161" w:type="dxa"/>
            <w:tcBorders>
              <w:top w:val="nil"/>
              <w:left w:val="nil"/>
              <w:bottom w:val="single" w:sz="8" w:space="0" w:color="auto"/>
              <w:right w:val="single" w:sz="8" w:space="0" w:color="auto"/>
            </w:tcBorders>
            <w:vAlign w:val="center"/>
            <w:hideMark/>
          </w:tcPr>
          <w:p w:rsidR="008F0719" w:rsidP="008F0719" w14:paraId="0BF73DB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27" w:type="dxa"/>
            <w:tcBorders>
              <w:top w:val="nil"/>
              <w:left w:val="nil"/>
              <w:bottom w:val="single" w:sz="8" w:space="0" w:color="auto"/>
              <w:right w:val="single" w:sz="8" w:space="0" w:color="auto"/>
            </w:tcBorders>
            <w:vAlign w:val="center"/>
            <w:hideMark/>
          </w:tcPr>
          <w:p w:rsidR="008F0719" w:rsidP="008F0719" w14:paraId="27074596" w14:textId="1C734DD9">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29,213</w:t>
            </w:r>
          </w:p>
        </w:tc>
        <w:tc>
          <w:tcPr>
            <w:tcW w:w="983" w:type="dxa"/>
            <w:tcBorders>
              <w:top w:val="nil"/>
              <w:left w:val="nil"/>
              <w:bottom w:val="single" w:sz="8" w:space="0" w:color="auto"/>
              <w:right w:val="single" w:sz="8" w:space="0" w:color="auto"/>
            </w:tcBorders>
            <w:vAlign w:val="center"/>
            <w:hideMark/>
          </w:tcPr>
          <w:p w:rsidR="008F0719" w:rsidRPr="008F0719" w:rsidP="008F0719" w14:paraId="5D05567E" w14:textId="4E22D5DF">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1.25</w:t>
            </w:r>
          </w:p>
        </w:tc>
        <w:tc>
          <w:tcPr>
            <w:tcW w:w="1176" w:type="dxa"/>
            <w:tcBorders>
              <w:top w:val="nil"/>
              <w:left w:val="nil"/>
              <w:bottom w:val="single" w:sz="8" w:space="0" w:color="auto"/>
              <w:right w:val="single" w:sz="8" w:space="0" w:color="auto"/>
            </w:tcBorders>
            <w:vAlign w:val="center"/>
            <w:hideMark/>
          </w:tcPr>
          <w:p w:rsidR="008F0719" w:rsidRPr="008F0719" w:rsidP="008F0719" w14:paraId="30D41929" w14:textId="56B3D696">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36,516.25</w:t>
            </w:r>
          </w:p>
        </w:tc>
        <w:tc>
          <w:tcPr>
            <w:tcW w:w="848" w:type="dxa"/>
            <w:tcBorders>
              <w:top w:val="nil"/>
              <w:left w:val="nil"/>
              <w:bottom w:val="single" w:sz="8" w:space="0" w:color="auto"/>
              <w:right w:val="single" w:sz="8" w:space="0" w:color="auto"/>
            </w:tcBorders>
            <w:vAlign w:val="center"/>
            <w:hideMark/>
          </w:tcPr>
          <w:p w:rsidR="008F0719" w:rsidRPr="008F0719" w:rsidP="008F0719" w14:paraId="53D5F743" w14:textId="7519573E">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w:t>
            </w:r>
            <w:r>
              <w:rPr>
                <w:rFonts w:ascii="Times New Roman" w:hAnsi="Times New Roman"/>
                <w:color w:val="000000"/>
                <w:sz w:val="20"/>
                <w:szCs w:val="20"/>
              </w:rPr>
              <w:t>40.89</w:t>
            </w:r>
          </w:p>
        </w:tc>
        <w:tc>
          <w:tcPr>
            <w:tcW w:w="1378" w:type="dxa"/>
            <w:tcBorders>
              <w:top w:val="nil"/>
              <w:left w:val="nil"/>
              <w:bottom w:val="single" w:sz="8" w:space="0" w:color="auto"/>
              <w:right w:val="single" w:sz="8" w:space="0" w:color="auto"/>
            </w:tcBorders>
            <w:vAlign w:val="center"/>
            <w:hideMark/>
          </w:tcPr>
          <w:p w:rsidR="008F0719" w:rsidRPr="008F0719" w:rsidP="008F0719" w14:paraId="527B961D" w14:textId="7D23427F">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w:t>
            </w:r>
            <w:r w:rsidR="008964DC">
              <w:rPr>
                <w:rFonts w:ascii="Times New Roman" w:hAnsi="Times New Roman"/>
                <w:color w:val="000000"/>
                <w:sz w:val="20"/>
                <w:szCs w:val="20"/>
              </w:rPr>
              <w:t>1,493,149.46</w:t>
            </w:r>
          </w:p>
        </w:tc>
      </w:tr>
      <w:tr w14:paraId="7B78BB12" w14:textId="77777777" w:rsidTr="008F0719">
        <w:tblPrEx>
          <w:tblW w:w="10428" w:type="dxa"/>
          <w:tblLook w:val="04A0"/>
        </w:tblPrEx>
        <w:trPr>
          <w:trHeight w:val="2055"/>
        </w:trPr>
        <w:tc>
          <w:tcPr>
            <w:tcW w:w="1161" w:type="dxa"/>
            <w:tcBorders>
              <w:top w:val="nil"/>
              <w:left w:val="single" w:sz="8" w:space="0" w:color="auto"/>
              <w:bottom w:val="single" w:sz="8" w:space="0" w:color="auto"/>
              <w:right w:val="single" w:sz="8" w:space="0" w:color="auto"/>
            </w:tcBorders>
            <w:vAlign w:val="center"/>
            <w:hideMark/>
          </w:tcPr>
          <w:p w:rsidR="008F0719" w:rsidP="008F0719" w14:paraId="6773713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and households</w:t>
            </w:r>
          </w:p>
        </w:tc>
        <w:tc>
          <w:tcPr>
            <w:tcW w:w="1355" w:type="dxa"/>
            <w:tcBorders>
              <w:top w:val="nil"/>
              <w:left w:val="nil"/>
              <w:bottom w:val="single" w:sz="8" w:space="0" w:color="auto"/>
              <w:right w:val="single" w:sz="8" w:space="0" w:color="auto"/>
            </w:tcBorders>
            <w:vAlign w:val="center"/>
            <w:hideMark/>
          </w:tcPr>
          <w:p w:rsidR="008F0719" w:rsidP="008F0719" w14:paraId="52CB5EF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Confirmation of Bona Fide Job Offer or Request for Job Portability Under INA Section 204(j), Supplement J</w:t>
            </w:r>
          </w:p>
        </w:tc>
        <w:tc>
          <w:tcPr>
            <w:tcW w:w="1239" w:type="dxa"/>
            <w:tcBorders>
              <w:top w:val="nil"/>
              <w:left w:val="nil"/>
              <w:bottom w:val="single" w:sz="8" w:space="0" w:color="auto"/>
              <w:right w:val="single" w:sz="8" w:space="0" w:color="auto"/>
            </w:tcBorders>
            <w:vAlign w:val="center"/>
            <w:hideMark/>
          </w:tcPr>
          <w:p w:rsidR="008F0719" w:rsidP="008F0719" w14:paraId="5F06F99A" w14:textId="1ECB409C">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37,358</w:t>
            </w:r>
          </w:p>
        </w:tc>
        <w:tc>
          <w:tcPr>
            <w:tcW w:w="1161" w:type="dxa"/>
            <w:tcBorders>
              <w:top w:val="nil"/>
              <w:left w:val="nil"/>
              <w:bottom w:val="single" w:sz="8" w:space="0" w:color="auto"/>
              <w:right w:val="single" w:sz="8" w:space="0" w:color="auto"/>
            </w:tcBorders>
            <w:vAlign w:val="center"/>
            <w:hideMark/>
          </w:tcPr>
          <w:p w:rsidR="008F0719" w:rsidP="008F0719" w14:paraId="29A27AE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27" w:type="dxa"/>
            <w:tcBorders>
              <w:top w:val="nil"/>
              <w:left w:val="nil"/>
              <w:bottom w:val="single" w:sz="8" w:space="0" w:color="auto"/>
              <w:right w:val="single" w:sz="8" w:space="0" w:color="auto"/>
            </w:tcBorders>
            <w:vAlign w:val="center"/>
            <w:hideMark/>
          </w:tcPr>
          <w:p w:rsidR="008F0719" w:rsidP="008F0719" w14:paraId="5952210C" w14:textId="4EE6BCD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37,358</w:t>
            </w:r>
          </w:p>
        </w:tc>
        <w:tc>
          <w:tcPr>
            <w:tcW w:w="983" w:type="dxa"/>
            <w:tcBorders>
              <w:top w:val="nil"/>
              <w:left w:val="nil"/>
              <w:bottom w:val="single" w:sz="8" w:space="0" w:color="auto"/>
              <w:right w:val="single" w:sz="8" w:space="0" w:color="auto"/>
            </w:tcBorders>
            <w:vAlign w:val="center"/>
            <w:hideMark/>
          </w:tcPr>
          <w:p w:rsidR="008F0719" w:rsidRPr="008F0719" w:rsidP="008F0719" w14:paraId="3ECAB27C" w14:textId="0EA0A473">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1</w:t>
            </w:r>
          </w:p>
        </w:tc>
        <w:tc>
          <w:tcPr>
            <w:tcW w:w="1176" w:type="dxa"/>
            <w:tcBorders>
              <w:top w:val="nil"/>
              <w:left w:val="nil"/>
              <w:bottom w:val="single" w:sz="8" w:space="0" w:color="auto"/>
              <w:right w:val="single" w:sz="8" w:space="0" w:color="auto"/>
            </w:tcBorders>
            <w:vAlign w:val="center"/>
            <w:hideMark/>
          </w:tcPr>
          <w:p w:rsidR="008F0719" w:rsidRPr="008F0719" w:rsidP="008F0719" w14:paraId="012E12D2" w14:textId="5A7985B2">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37,358.00</w:t>
            </w:r>
          </w:p>
        </w:tc>
        <w:tc>
          <w:tcPr>
            <w:tcW w:w="848" w:type="dxa"/>
            <w:tcBorders>
              <w:top w:val="nil"/>
              <w:left w:val="nil"/>
              <w:bottom w:val="single" w:sz="8" w:space="0" w:color="auto"/>
              <w:right w:val="single" w:sz="8" w:space="0" w:color="auto"/>
            </w:tcBorders>
            <w:vAlign w:val="center"/>
            <w:hideMark/>
          </w:tcPr>
          <w:p w:rsidR="008F0719" w:rsidRPr="008F0719" w:rsidP="008F0719" w14:paraId="5F94B89C" w14:textId="6D808C92">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w:t>
            </w:r>
            <w:r>
              <w:rPr>
                <w:rFonts w:ascii="Times New Roman" w:hAnsi="Times New Roman"/>
                <w:color w:val="000000"/>
                <w:sz w:val="20"/>
                <w:szCs w:val="20"/>
              </w:rPr>
              <w:t>40.89</w:t>
            </w:r>
          </w:p>
        </w:tc>
        <w:tc>
          <w:tcPr>
            <w:tcW w:w="1378" w:type="dxa"/>
            <w:tcBorders>
              <w:top w:val="nil"/>
              <w:left w:val="nil"/>
              <w:bottom w:val="single" w:sz="8" w:space="0" w:color="auto"/>
              <w:right w:val="single" w:sz="8" w:space="0" w:color="auto"/>
            </w:tcBorders>
            <w:vAlign w:val="center"/>
            <w:hideMark/>
          </w:tcPr>
          <w:p w:rsidR="008F0719" w:rsidRPr="008F0719" w:rsidP="008F0719" w14:paraId="677B2CF6" w14:textId="110E5C09">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w:t>
            </w:r>
            <w:r w:rsidR="008964DC">
              <w:rPr>
                <w:rFonts w:ascii="Times New Roman" w:hAnsi="Times New Roman"/>
                <w:color w:val="000000"/>
                <w:sz w:val="20"/>
                <w:szCs w:val="20"/>
              </w:rPr>
              <w:t>1,527,568.62</w:t>
            </w:r>
          </w:p>
        </w:tc>
      </w:tr>
      <w:tr w14:paraId="0A248205" w14:textId="77777777" w:rsidTr="008F0719">
        <w:tblPrEx>
          <w:tblW w:w="10428" w:type="dxa"/>
          <w:tblLook w:val="04A0"/>
        </w:tblPrEx>
        <w:trPr>
          <w:trHeight w:val="780"/>
        </w:trPr>
        <w:tc>
          <w:tcPr>
            <w:tcW w:w="1161" w:type="dxa"/>
            <w:tcBorders>
              <w:top w:val="nil"/>
              <w:left w:val="single" w:sz="8" w:space="0" w:color="auto"/>
              <w:bottom w:val="single" w:sz="8" w:space="0" w:color="auto"/>
              <w:right w:val="single" w:sz="8" w:space="0" w:color="auto"/>
            </w:tcBorders>
            <w:vAlign w:val="center"/>
            <w:hideMark/>
          </w:tcPr>
          <w:p w:rsidR="008F0719" w:rsidP="008F0719" w14:paraId="61AD9C5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and households</w:t>
            </w:r>
          </w:p>
        </w:tc>
        <w:tc>
          <w:tcPr>
            <w:tcW w:w="1355" w:type="dxa"/>
            <w:tcBorders>
              <w:top w:val="nil"/>
              <w:left w:val="nil"/>
              <w:bottom w:val="single" w:sz="8" w:space="0" w:color="auto"/>
              <w:right w:val="single" w:sz="8" w:space="0" w:color="auto"/>
            </w:tcBorders>
            <w:vAlign w:val="center"/>
            <w:hideMark/>
          </w:tcPr>
          <w:p w:rsidR="008F0719" w:rsidP="008F0719" w14:paraId="5C53D11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Biometrics Processing</w:t>
            </w:r>
          </w:p>
        </w:tc>
        <w:tc>
          <w:tcPr>
            <w:tcW w:w="1239" w:type="dxa"/>
            <w:tcBorders>
              <w:top w:val="nil"/>
              <w:left w:val="nil"/>
              <w:bottom w:val="single" w:sz="8" w:space="0" w:color="auto"/>
              <w:right w:val="single" w:sz="8" w:space="0" w:color="auto"/>
            </w:tcBorders>
            <w:vAlign w:val="center"/>
            <w:hideMark/>
          </w:tcPr>
          <w:p w:rsidR="008F0719" w:rsidP="008F0719" w14:paraId="1688E8CD" w14:textId="6A1240F8">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690,837</w:t>
            </w:r>
          </w:p>
        </w:tc>
        <w:tc>
          <w:tcPr>
            <w:tcW w:w="1161" w:type="dxa"/>
            <w:tcBorders>
              <w:top w:val="nil"/>
              <w:left w:val="nil"/>
              <w:bottom w:val="single" w:sz="8" w:space="0" w:color="auto"/>
              <w:right w:val="single" w:sz="8" w:space="0" w:color="auto"/>
            </w:tcBorders>
            <w:vAlign w:val="center"/>
            <w:hideMark/>
          </w:tcPr>
          <w:p w:rsidR="008F0719" w:rsidP="008F0719" w14:paraId="1D57AF9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27" w:type="dxa"/>
            <w:tcBorders>
              <w:top w:val="nil"/>
              <w:left w:val="nil"/>
              <w:bottom w:val="single" w:sz="8" w:space="0" w:color="auto"/>
              <w:right w:val="single" w:sz="8" w:space="0" w:color="auto"/>
            </w:tcBorders>
            <w:vAlign w:val="center"/>
            <w:hideMark/>
          </w:tcPr>
          <w:p w:rsidR="008F0719" w:rsidP="008F0719" w14:paraId="47F88A73" w14:textId="6AFD3283">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690,837</w:t>
            </w:r>
          </w:p>
        </w:tc>
        <w:tc>
          <w:tcPr>
            <w:tcW w:w="983" w:type="dxa"/>
            <w:tcBorders>
              <w:top w:val="nil"/>
              <w:left w:val="nil"/>
              <w:bottom w:val="single" w:sz="8" w:space="0" w:color="auto"/>
              <w:right w:val="single" w:sz="8" w:space="0" w:color="auto"/>
            </w:tcBorders>
            <w:vAlign w:val="center"/>
            <w:hideMark/>
          </w:tcPr>
          <w:p w:rsidR="008F0719" w:rsidRPr="008F0719" w:rsidP="008F0719" w14:paraId="24E44003" w14:textId="3D0315BD">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1.17</w:t>
            </w:r>
          </w:p>
        </w:tc>
        <w:tc>
          <w:tcPr>
            <w:tcW w:w="1176" w:type="dxa"/>
            <w:tcBorders>
              <w:top w:val="nil"/>
              <w:left w:val="nil"/>
              <w:bottom w:val="single" w:sz="8" w:space="0" w:color="auto"/>
              <w:right w:val="single" w:sz="8" w:space="0" w:color="auto"/>
            </w:tcBorders>
            <w:vAlign w:val="center"/>
            <w:hideMark/>
          </w:tcPr>
          <w:p w:rsidR="008F0719" w:rsidRPr="008F0719" w:rsidP="008F0719" w14:paraId="63786B95" w14:textId="6FB74B97">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808,279.29</w:t>
            </w:r>
          </w:p>
        </w:tc>
        <w:tc>
          <w:tcPr>
            <w:tcW w:w="848" w:type="dxa"/>
            <w:tcBorders>
              <w:top w:val="nil"/>
              <w:left w:val="nil"/>
              <w:bottom w:val="single" w:sz="8" w:space="0" w:color="auto"/>
              <w:right w:val="single" w:sz="8" w:space="0" w:color="auto"/>
            </w:tcBorders>
            <w:vAlign w:val="center"/>
            <w:hideMark/>
          </w:tcPr>
          <w:p w:rsidR="008F0719" w:rsidRPr="008F0719" w:rsidP="008F0719" w14:paraId="1DC431AF" w14:textId="414568D8">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w:t>
            </w:r>
            <w:r w:rsidR="008964DC">
              <w:rPr>
                <w:rFonts w:ascii="Times New Roman" w:hAnsi="Times New Roman"/>
                <w:color w:val="000000"/>
                <w:sz w:val="20"/>
                <w:szCs w:val="20"/>
              </w:rPr>
              <w:t>40.89</w:t>
            </w:r>
          </w:p>
        </w:tc>
        <w:tc>
          <w:tcPr>
            <w:tcW w:w="1378" w:type="dxa"/>
            <w:tcBorders>
              <w:top w:val="nil"/>
              <w:left w:val="nil"/>
              <w:bottom w:val="single" w:sz="8" w:space="0" w:color="auto"/>
              <w:right w:val="single" w:sz="8" w:space="0" w:color="auto"/>
            </w:tcBorders>
            <w:vAlign w:val="center"/>
            <w:hideMark/>
          </w:tcPr>
          <w:p w:rsidR="008F0719" w:rsidRPr="008F0719" w:rsidP="008F0719" w14:paraId="0AB2D866" w14:textId="79ADC786">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w:t>
            </w:r>
            <w:r w:rsidR="008964DC">
              <w:rPr>
                <w:rFonts w:ascii="Times New Roman" w:hAnsi="Times New Roman"/>
                <w:color w:val="000000"/>
                <w:sz w:val="20"/>
                <w:szCs w:val="20"/>
              </w:rPr>
              <w:t>33,050,540.17</w:t>
            </w:r>
          </w:p>
        </w:tc>
      </w:tr>
      <w:tr w14:paraId="190EC3BA" w14:textId="77777777" w:rsidTr="008F0719">
        <w:tblPrEx>
          <w:tblW w:w="10428" w:type="dxa"/>
          <w:tblLook w:val="04A0"/>
        </w:tblPrEx>
        <w:trPr>
          <w:trHeight w:val="330"/>
        </w:trPr>
        <w:tc>
          <w:tcPr>
            <w:tcW w:w="1161" w:type="dxa"/>
            <w:tcBorders>
              <w:top w:val="nil"/>
              <w:left w:val="single" w:sz="8" w:space="0" w:color="auto"/>
              <w:bottom w:val="single" w:sz="8" w:space="0" w:color="auto"/>
              <w:right w:val="single" w:sz="8" w:space="0" w:color="auto"/>
            </w:tcBorders>
            <w:vAlign w:val="center"/>
            <w:hideMark/>
          </w:tcPr>
          <w:p w:rsidR="008F0719" w:rsidP="008F0719" w14:paraId="359CBFC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355" w:type="dxa"/>
            <w:tcBorders>
              <w:top w:val="nil"/>
              <w:left w:val="nil"/>
              <w:bottom w:val="single" w:sz="8" w:space="0" w:color="auto"/>
              <w:right w:val="single" w:sz="8" w:space="0" w:color="auto"/>
            </w:tcBorders>
            <w:shd w:val="clear" w:color="auto" w:fill="000000"/>
            <w:vAlign w:val="center"/>
            <w:hideMark/>
          </w:tcPr>
          <w:p w:rsidR="008F0719" w:rsidP="008F0719" w14:paraId="5976E7F9" w14:textId="0E87ACA0">
            <w:pPr>
              <w:widowControl/>
              <w:autoSpaceDE/>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auto" w:fill="000000"/>
            <w:vAlign w:val="center"/>
            <w:hideMark/>
          </w:tcPr>
          <w:p w:rsidR="008F0719" w:rsidP="008F0719" w14:paraId="41AE26C1" w14:textId="05F6324C">
            <w:pPr>
              <w:widowControl/>
              <w:autoSpaceDE/>
              <w:adjustRightInd/>
              <w:jc w:val="center"/>
              <w:rPr>
                <w:rFonts w:ascii="Times New Roman" w:hAnsi="Times New Roman"/>
                <w:color w:val="000000"/>
                <w:sz w:val="20"/>
                <w:szCs w:val="20"/>
              </w:rPr>
            </w:pPr>
          </w:p>
        </w:tc>
        <w:tc>
          <w:tcPr>
            <w:tcW w:w="1161" w:type="dxa"/>
            <w:tcBorders>
              <w:top w:val="nil"/>
              <w:left w:val="nil"/>
              <w:bottom w:val="single" w:sz="8" w:space="0" w:color="auto"/>
              <w:right w:val="single" w:sz="8" w:space="0" w:color="auto"/>
            </w:tcBorders>
            <w:shd w:val="clear" w:color="auto" w:fill="000000"/>
            <w:vAlign w:val="center"/>
            <w:hideMark/>
          </w:tcPr>
          <w:p w:rsidR="008F0719" w:rsidP="008F0719" w14:paraId="51119826" w14:textId="50F43B9D">
            <w:pPr>
              <w:widowControl/>
              <w:autoSpaceDE/>
              <w:adjustRightInd/>
              <w:jc w:val="center"/>
              <w:rPr>
                <w:rFonts w:ascii="Times New Roman" w:hAnsi="Times New Roman"/>
                <w:color w:val="000000"/>
                <w:sz w:val="20"/>
                <w:szCs w:val="20"/>
              </w:rPr>
            </w:pPr>
          </w:p>
        </w:tc>
        <w:tc>
          <w:tcPr>
            <w:tcW w:w="1127" w:type="dxa"/>
            <w:tcBorders>
              <w:top w:val="nil"/>
              <w:left w:val="nil"/>
              <w:bottom w:val="single" w:sz="8" w:space="0" w:color="auto"/>
              <w:right w:val="single" w:sz="8" w:space="0" w:color="auto"/>
            </w:tcBorders>
            <w:vAlign w:val="center"/>
            <w:hideMark/>
          </w:tcPr>
          <w:p w:rsidR="008F0719" w:rsidP="008F0719" w14:paraId="2B06C212" w14:textId="44FEB32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1,448,245</w:t>
            </w:r>
          </w:p>
        </w:tc>
        <w:tc>
          <w:tcPr>
            <w:tcW w:w="983" w:type="dxa"/>
            <w:tcBorders>
              <w:top w:val="nil"/>
              <w:left w:val="nil"/>
              <w:bottom w:val="single" w:sz="8" w:space="0" w:color="auto"/>
              <w:right w:val="single" w:sz="8" w:space="0" w:color="auto"/>
            </w:tcBorders>
            <w:shd w:val="clear" w:color="auto" w:fill="000000"/>
            <w:vAlign w:val="center"/>
            <w:hideMark/>
          </w:tcPr>
          <w:p w:rsidR="008F0719" w:rsidRPr="008F0719" w:rsidP="008F0719" w14:paraId="3D500554" w14:textId="786BB2D4">
            <w:pPr>
              <w:widowControl/>
              <w:autoSpaceDE/>
              <w:adjustRightInd/>
              <w:jc w:val="center"/>
              <w:rPr>
                <w:rFonts w:ascii="Times New Roman" w:hAnsi="Times New Roman"/>
                <w:color w:val="000000"/>
                <w:sz w:val="20"/>
                <w:szCs w:val="20"/>
              </w:rPr>
            </w:pPr>
          </w:p>
        </w:tc>
        <w:tc>
          <w:tcPr>
            <w:tcW w:w="1176" w:type="dxa"/>
            <w:tcBorders>
              <w:top w:val="nil"/>
              <w:left w:val="nil"/>
              <w:bottom w:val="single" w:sz="8" w:space="0" w:color="auto"/>
              <w:right w:val="single" w:sz="8" w:space="0" w:color="auto"/>
            </w:tcBorders>
            <w:vAlign w:val="center"/>
            <w:hideMark/>
          </w:tcPr>
          <w:p w:rsidR="008F0719" w:rsidRPr="008F0719" w:rsidP="008F0719" w14:paraId="41E94AB9" w14:textId="7C251244">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5,835,454.83</w:t>
            </w:r>
          </w:p>
        </w:tc>
        <w:tc>
          <w:tcPr>
            <w:tcW w:w="848" w:type="dxa"/>
            <w:tcBorders>
              <w:top w:val="nil"/>
              <w:left w:val="nil"/>
              <w:bottom w:val="single" w:sz="8" w:space="0" w:color="auto"/>
              <w:right w:val="single" w:sz="8" w:space="0" w:color="auto"/>
            </w:tcBorders>
            <w:shd w:val="clear" w:color="auto" w:fill="000000"/>
            <w:vAlign w:val="center"/>
            <w:hideMark/>
          </w:tcPr>
          <w:p w:rsidR="008F0719" w:rsidRPr="008F0719" w:rsidP="008F0719" w14:paraId="2DE46191" w14:textId="56B86EEB">
            <w:pPr>
              <w:widowControl/>
              <w:autoSpaceDE/>
              <w:adjustRightInd/>
              <w:jc w:val="center"/>
              <w:rPr>
                <w:rFonts w:ascii="Times New Roman" w:hAnsi="Times New Roman"/>
                <w:color w:val="000000"/>
                <w:sz w:val="20"/>
                <w:szCs w:val="20"/>
              </w:rPr>
            </w:pPr>
          </w:p>
        </w:tc>
        <w:tc>
          <w:tcPr>
            <w:tcW w:w="1378" w:type="dxa"/>
            <w:tcBorders>
              <w:top w:val="nil"/>
              <w:left w:val="nil"/>
              <w:bottom w:val="single" w:sz="8" w:space="0" w:color="auto"/>
              <w:right w:val="single" w:sz="8" w:space="0" w:color="auto"/>
            </w:tcBorders>
            <w:vAlign w:val="center"/>
            <w:hideMark/>
          </w:tcPr>
          <w:p w:rsidR="008F0719" w:rsidRPr="008F0719" w:rsidP="008F0719" w14:paraId="2D7FC0A8" w14:textId="09448F18">
            <w:pPr>
              <w:widowControl/>
              <w:autoSpaceDE/>
              <w:adjustRightInd/>
              <w:jc w:val="center"/>
              <w:rPr>
                <w:rFonts w:ascii="Times New Roman" w:hAnsi="Times New Roman"/>
                <w:color w:val="000000"/>
                <w:sz w:val="20"/>
                <w:szCs w:val="20"/>
              </w:rPr>
            </w:pPr>
            <w:r w:rsidRPr="008F0719">
              <w:rPr>
                <w:rFonts w:ascii="Times New Roman" w:hAnsi="Times New Roman"/>
                <w:color w:val="000000"/>
                <w:sz w:val="20"/>
                <w:szCs w:val="20"/>
              </w:rPr>
              <w:t>$</w:t>
            </w:r>
            <w:r w:rsidR="008964DC">
              <w:rPr>
                <w:rFonts w:ascii="Times New Roman" w:hAnsi="Times New Roman"/>
                <w:color w:val="000000"/>
                <w:sz w:val="20"/>
                <w:szCs w:val="20"/>
              </w:rPr>
              <w:t>238,611,748.00</w:t>
            </w:r>
          </w:p>
        </w:tc>
      </w:tr>
    </w:tbl>
    <w:p w:rsidR="00E60293" w:rsidP="00E60293" w14:paraId="6677701D" w14:textId="77777777">
      <w:pPr>
        <w:tabs>
          <w:tab w:val="left" w:pos="-1440"/>
          <w:tab w:val="left" w:pos="1080"/>
        </w:tabs>
        <w:ind w:left="1080" w:hanging="360"/>
        <w:rPr>
          <w:rFonts w:ascii="Times New Roman" w:hAnsi="Times New Roman"/>
          <w:b/>
        </w:rPr>
      </w:pPr>
    </w:p>
    <w:p w:rsidR="008964DC" w:rsidRPr="008964DC" w:rsidP="008964DC" w14:paraId="73CE6768" w14:textId="6B2DD8D2">
      <w:pPr>
        <w:ind w:left="720"/>
        <w:jc w:val="both"/>
        <w:rPr>
          <w:rFonts w:ascii="Times New Roman" w:hAnsi="Times New Roman"/>
          <w:sz w:val="20"/>
          <w:szCs w:val="20"/>
          <w:u w:val="single"/>
        </w:rPr>
      </w:pPr>
      <w:bookmarkStart w:id="0" w:name="_Hlk39049463"/>
      <w:r w:rsidRPr="008964DC">
        <w:rPr>
          <w:rFonts w:ascii="Times New Roman" w:hAnsi="Times New Roman"/>
          <w:i/>
          <w:iCs/>
          <w:sz w:val="20"/>
          <w:szCs w:val="20"/>
        </w:rPr>
        <w:t xml:space="preserve">*  The above Average Hourly Wage Rate is the </w:t>
      </w:r>
      <w:hyperlink r:id="rId7" w:history="1">
        <w:r w:rsidRPr="008964DC">
          <w:rPr>
            <w:rStyle w:val="Hyperlink"/>
            <w:rFonts w:ascii="Times New Roman" w:hAnsi="Times New Roman"/>
            <w:i/>
            <w:iCs/>
            <w:sz w:val="20"/>
            <w:szCs w:val="20"/>
          </w:rPr>
          <w:t>May 2021 Bureau of Labor Statistics</w:t>
        </w:r>
      </w:hyperlink>
      <w:r w:rsidRPr="008964DC">
        <w:rPr>
          <w:rFonts w:ascii="Times New Roman" w:hAnsi="Times New Roman"/>
          <w:i/>
          <w:iCs/>
          <w:sz w:val="20"/>
          <w:szCs w:val="20"/>
        </w:rPr>
        <w:t xml:space="preserve"> average wage for All Occupations $28.01 times the wage rate benefit multiplier of 1.46 (to account for benefits provided) equaling $40.89.  The selection of “All Occupations” was chosen because respondents to this collection could be expected from any occupation.</w:t>
      </w:r>
    </w:p>
    <w:bookmarkEnd w:id="0"/>
    <w:p w:rsidR="00E60293" w:rsidP="00E60293" w14:paraId="24650E43" w14:textId="77777777">
      <w:pPr>
        <w:tabs>
          <w:tab w:val="left" w:pos="-1440"/>
        </w:tabs>
        <w:jc w:val="both"/>
        <w:rPr>
          <w:rFonts w:ascii="Times New Roman" w:hAnsi="Times New Roman"/>
        </w:rPr>
      </w:pPr>
    </w:p>
    <w:p w:rsidR="00E60293" w:rsidP="00E60293" w14:paraId="53E0DB62"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E60293" w:rsidP="00E60293" w14:paraId="744D1D88" w14:textId="77777777">
      <w:pPr>
        <w:ind w:left="720"/>
        <w:rPr>
          <w:rFonts w:ascii="Times New Roman" w:hAnsi="Times New Roman"/>
          <w:b/>
        </w:rPr>
      </w:pPr>
    </w:p>
    <w:p w:rsidR="00E60293" w:rsidP="00E60293" w14:paraId="4D72EFEE"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60293" w:rsidP="00E60293" w14:paraId="4D6B4B50" w14:textId="77777777">
      <w:pPr>
        <w:tabs>
          <w:tab w:val="left" w:pos="1080"/>
        </w:tabs>
        <w:ind w:left="1080" w:hanging="360"/>
        <w:rPr>
          <w:rFonts w:ascii="Times New Roman" w:hAnsi="Times New Roman"/>
          <w:b/>
        </w:rPr>
      </w:pPr>
    </w:p>
    <w:p w:rsidR="00E60293" w:rsidP="00E60293" w14:paraId="28350B5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60293" w:rsidP="00E60293" w14:paraId="1600C2D4" w14:textId="77777777">
      <w:pPr>
        <w:tabs>
          <w:tab w:val="left" w:pos="1080"/>
        </w:tabs>
        <w:ind w:left="1080" w:hanging="360"/>
        <w:rPr>
          <w:rFonts w:ascii="Times New Roman" w:hAnsi="Times New Roman"/>
          <w:b/>
        </w:rPr>
      </w:pPr>
    </w:p>
    <w:p w:rsidR="00E60293" w:rsidP="00E60293" w14:paraId="363EF7A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Generally, estimates should not include purchases of equipment or services, or </w:t>
      </w:r>
      <w:r>
        <w:rPr>
          <w:rFonts w:ascii="Times New Roman" w:hAnsi="Times New Roman"/>
          <w:b/>
        </w:rPr>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60293" w:rsidP="00E60293" w14:paraId="28AFF486" w14:textId="77777777">
      <w:pPr>
        <w:tabs>
          <w:tab w:val="left" w:pos="-1440"/>
        </w:tabs>
        <w:ind w:left="1440" w:hanging="720"/>
        <w:rPr>
          <w:rFonts w:ascii="Times New Roman" w:hAnsi="Times New Roman"/>
        </w:rPr>
      </w:pPr>
    </w:p>
    <w:p w:rsidR="00E60293" w:rsidP="00E60293" w14:paraId="01448243" w14:textId="77777777">
      <w:pPr>
        <w:ind w:left="720"/>
        <w:rPr>
          <w:rFonts w:ascii="Times New Roman" w:hAnsi="Times New Roman"/>
          <w:color w:val="000000"/>
        </w:rPr>
      </w:pPr>
      <w:r>
        <w:rPr>
          <w:rFonts w:ascii="Times New Roman" w:hAnsi="Times New Roman"/>
          <w:color w:val="000000"/>
        </w:rPr>
        <w:t xml:space="preserve">There are no capital or start-up costs associated with this information collection. Any cost burdens to respondents as a result of this collection are identified in question 14.  </w:t>
      </w:r>
    </w:p>
    <w:p w:rsidR="00E60293" w:rsidP="00E60293" w14:paraId="3C46060D" w14:textId="77777777">
      <w:pPr>
        <w:ind w:left="720"/>
        <w:rPr>
          <w:rFonts w:ascii="Times New Roman" w:hAnsi="Times New Roman"/>
          <w:color w:val="000000"/>
        </w:rPr>
      </w:pPr>
    </w:p>
    <w:p w:rsidR="00E60293" w:rsidP="00E60293" w14:paraId="65630606" w14:textId="77777777">
      <w:pPr>
        <w:rPr>
          <w:rFonts w:ascii="Times New Roman" w:hAnsi="Times New Roman"/>
          <w:color w:val="000000"/>
        </w:rPr>
      </w:pPr>
      <w:r>
        <w:rPr>
          <w:rFonts w:ascii="Times New Roman" w:hAnsi="Times New Roman"/>
          <w:color w:val="000000"/>
        </w:rPr>
        <w:t xml:space="preserve">            However, there is a fee charge of:</w:t>
      </w:r>
    </w:p>
    <w:p w:rsidR="00E60293" w:rsidP="00E60293" w14:paraId="22EB0FAA" w14:textId="77777777">
      <w:pPr>
        <w:widowControl/>
        <w:numPr>
          <w:ilvl w:val="0"/>
          <w:numId w:val="11"/>
        </w:numPr>
        <w:adjustRightInd/>
        <w:rPr>
          <w:rFonts w:ascii="Times New Roman" w:hAnsi="Times New Roman"/>
          <w:color w:val="000000"/>
        </w:rPr>
      </w:pPr>
      <w:r>
        <w:rPr>
          <w:rFonts w:ascii="Times New Roman" w:hAnsi="Times New Roman"/>
          <w:color w:val="000000"/>
        </w:rPr>
        <w:t>$1,140 for filing fee for Form I-485; and $750 (under the age of 14 years)</w:t>
      </w:r>
    </w:p>
    <w:p w:rsidR="00E60293" w:rsidP="00E60293" w14:paraId="2EC4AD6C" w14:textId="77777777">
      <w:pPr>
        <w:widowControl/>
        <w:numPr>
          <w:ilvl w:val="0"/>
          <w:numId w:val="11"/>
        </w:numPr>
        <w:adjustRightInd/>
        <w:rPr>
          <w:rFonts w:ascii="Times New Roman" w:hAnsi="Times New Roman"/>
          <w:color w:val="000000"/>
        </w:rPr>
      </w:pPr>
      <w:r>
        <w:rPr>
          <w:rFonts w:ascii="Times New Roman" w:hAnsi="Times New Roman"/>
          <w:color w:val="000000"/>
        </w:rPr>
        <w:t>$1,000 fee for filing Form I-485A; and</w:t>
      </w:r>
    </w:p>
    <w:p w:rsidR="00E60293" w:rsidP="00E60293" w14:paraId="4A3DD8B5" w14:textId="77777777">
      <w:pPr>
        <w:widowControl/>
        <w:numPr>
          <w:ilvl w:val="0"/>
          <w:numId w:val="11"/>
        </w:numPr>
        <w:adjustRightInd/>
        <w:rPr>
          <w:rFonts w:ascii="Times New Roman" w:hAnsi="Times New Roman"/>
          <w:color w:val="000000"/>
        </w:rPr>
      </w:pPr>
      <w:r>
        <w:rPr>
          <w:rFonts w:ascii="Times New Roman" w:hAnsi="Times New Roman"/>
          <w:color w:val="000000"/>
        </w:rPr>
        <w:t xml:space="preserve">$85 biometric fee for filing Form I-485; and  </w:t>
      </w:r>
    </w:p>
    <w:p w:rsidR="00E60293" w:rsidP="00E60293" w14:paraId="41AF74BD" w14:textId="77777777">
      <w:pPr>
        <w:rPr>
          <w:rFonts w:ascii="Times New Roman" w:hAnsi="Times New Roman"/>
          <w:color w:val="000000"/>
        </w:rPr>
      </w:pPr>
    </w:p>
    <w:p w:rsidR="00E60293" w:rsidP="00E60293" w14:paraId="031E6077" w14:textId="77777777">
      <w:pPr>
        <w:tabs>
          <w:tab w:val="left" w:pos="-1440"/>
        </w:tabs>
        <w:ind w:left="720"/>
        <w:rPr>
          <w:rFonts w:ascii="Times New Roman" w:hAnsi="Times New Roman"/>
        </w:rPr>
      </w:pPr>
      <w:r>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rsidR="00E60293" w:rsidP="00E60293" w14:paraId="3F6754A0" w14:textId="77777777">
      <w:pPr>
        <w:tabs>
          <w:tab w:val="left" w:pos="-1440"/>
        </w:tabs>
        <w:ind w:left="720"/>
        <w:rPr>
          <w:rFonts w:ascii="Times New Roman" w:hAnsi="Times New Roman"/>
        </w:rPr>
      </w:pPr>
    </w:p>
    <w:p w:rsidR="00E60293" w:rsidP="00F272DA" w14:paraId="2CA7A04B" w14:textId="2294E831">
      <w:pPr>
        <w:ind w:left="1440" w:hanging="720"/>
        <w:rPr>
          <w:rFonts w:ascii="Times New Roman" w:hAnsi="Times New Roman"/>
        </w:rPr>
      </w:pPr>
      <w:r>
        <w:rPr>
          <w:rFonts w:ascii="Times New Roman" w:hAnsi="Times New Roman"/>
        </w:rPr>
        <w:t xml:space="preserve">I-485:  $490 (average cost) * </w:t>
      </w:r>
      <w:r>
        <w:rPr>
          <w:rFonts w:ascii="Times New Roman" w:hAnsi="Times New Roman"/>
          <w:bCs/>
        </w:rPr>
        <w:t>690,837</w:t>
      </w:r>
      <w:r>
        <w:rPr>
          <w:rFonts w:ascii="Times New Roman" w:hAnsi="Times New Roman"/>
        </w:rPr>
        <w:t xml:space="preserve"> * 70 percent (estimated weighted average) is the percentage of respondent estimated would incur any cost.  This totals $236,957,091.  The out-of-pocket cost per respondent is estimated at $343 (Calculated: $236,957,091 / </w:t>
      </w:r>
      <w:r>
        <w:rPr>
          <w:rFonts w:ascii="Times New Roman" w:hAnsi="Times New Roman"/>
          <w:bCs/>
        </w:rPr>
        <w:t>690,837</w:t>
      </w:r>
      <w:r>
        <w:rPr>
          <w:rFonts w:ascii="Times New Roman" w:hAnsi="Times New Roman"/>
        </w:rPr>
        <w:t xml:space="preserve"> </w:t>
      </w:r>
      <w:r>
        <w:rPr>
          <w:rFonts w:ascii="Times New Roman" w:hAnsi="Times New Roman"/>
          <w:bCs/>
        </w:rPr>
        <w:t xml:space="preserve">= </w:t>
      </w:r>
      <w:r>
        <w:rPr>
          <w:rFonts w:ascii="Times New Roman" w:hAnsi="Times New Roman"/>
        </w:rPr>
        <w:t>$343).</w:t>
      </w:r>
    </w:p>
    <w:p w:rsidR="00E60293" w:rsidP="00E60293" w14:paraId="35BD3118" w14:textId="77777777">
      <w:pPr>
        <w:ind w:left="1440" w:hanging="720"/>
        <w:rPr>
          <w:rFonts w:ascii="Times New Roman" w:hAnsi="Times New Roman"/>
        </w:rPr>
      </w:pPr>
    </w:p>
    <w:p w:rsidR="00E60293" w:rsidP="00E60293" w14:paraId="36112303"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60293" w:rsidP="00E60293" w14:paraId="4A78F3E5" w14:textId="77777777">
      <w:pPr>
        <w:tabs>
          <w:tab w:val="left" w:pos="-1440"/>
        </w:tabs>
        <w:ind w:left="720"/>
        <w:rPr>
          <w:rFonts w:ascii="Times New Roman" w:hAnsi="Times New Roman"/>
        </w:rPr>
      </w:pPr>
    </w:p>
    <w:p w:rsidR="00E60293" w:rsidP="00E60293" w14:paraId="1D316ED0" w14:textId="77777777">
      <w:pPr>
        <w:ind w:left="720"/>
        <w:rPr>
          <w:rFonts w:ascii="Times New Roman" w:hAnsi="Times New Roman"/>
          <w:b/>
          <w:bCs/>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I-485 at $1,140, I-485 Supplement A at $1,000, and Biometrics Processing Fee at $85.</w:t>
      </w:r>
    </w:p>
    <w:p w:rsidR="00E60293" w:rsidP="00E60293" w14:paraId="0C74D424" w14:textId="48DA67EC">
      <w:pPr>
        <w:ind w:left="720"/>
        <w:rPr>
          <w:rFonts w:ascii="Times New Roman" w:hAnsi="Times New Roman"/>
          <w:b/>
          <w:bCs/>
        </w:rPr>
      </w:pPr>
    </w:p>
    <w:p w:rsidR="001610CA" w:rsidP="00E60293" w14:paraId="7DD1972E" w14:textId="6CA1C6BB">
      <w:pPr>
        <w:ind w:left="720"/>
        <w:rPr>
          <w:rFonts w:ascii="Times New Roman" w:hAnsi="Times New Roman"/>
          <w:b/>
          <w:bCs/>
        </w:rPr>
      </w:pPr>
    </w:p>
    <w:p w:rsidR="001610CA" w:rsidP="00E60293" w14:paraId="1551DA10" w14:textId="00276179">
      <w:pPr>
        <w:ind w:left="720"/>
        <w:rPr>
          <w:rFonts w:ascii="Times New Roman" w:hAnsi="Times New Roman"/>
          <w:b/>
          <w:bCs/>
        </w:rPr>
      </w:pPr>
    </w:p>
    <w:p w:rsidR="001610CA" w:rsidP="00E60293" w14:paraId="01D30147" w14:textId="77777777">
      <w:pPr>
        <w:ind w:left="720"/>
        <w:rPr>
          <w:rFonts w:ascii="Times New Roman" w:hAnsi="Times New Roman"/>
          <w:b/>
          <w:bCs/>
        </w:rPr>
      </w:pPr>
    </w:p>
    <w:p w:rsidR="00E60293" w:rsidP="00E60293" w14:paraId="78FB33DA" w14:textId="77777777">
      <w:pPr>
        <w:ind w:left="720"/>
        <w:rPr>
          <w:rFonts w:ascii="Times New Roman" w:hAnsi="Times New Roman"/>
        </w:rPr>
      </w:pPr>
      <w:r>
        <w:rPr>
          <w:rFonts w:ascii="Times New Roman" w:hAnsi="Times New Roman"/>
        </w:rPr>
        <w:t>The following calculations were used to determine the estimated cost to the Government:</w:t>
      </w:r>
    </w:p>
    <w:p w:rsidR="00E60293" w:rsidP="00E60293" w14:paraId="58013D09" w14:textId="77777777">
      <w:pPr>
        <w:ind w:left="1440"/>
        <w:rPr>
          <w:rFonts w:ascii="Times New Roman" w:hAnsi="Times New Roman"/>
        </w:rPr>
      </w:pPr>
    </w:p>
    <w:p w:rsidR="00E60293" w:rsidP="00E60293" w14:paraId="428F7270" w14:textId="77777777">
      <w:pPr>
        <w:tabs>
          <w:tab w:val="left" w:pos="1080"/>
          <w:tab w:val="left" w:pos="1260"/>
        </w:tabs>
        <w:rPr>
          <w:rFonts w:ascii="Times New Roman" w:hAnsi="Times New Roman"/>
          <w:u w:val="single"/>
        </w:rPr>
      </w:pPr>
      <w:r>
        <w:rPr>
          <w:rFonts w:ascii="Times New Roman" w:hAnsi="Times New Roman"/>
        </w:rPr>
        <w:t xml:space="preserve">                        </w:t>
      </w:r>
      <w:r>
        <w:rPr>
          <w:rFonts w:ascii="Times New Roman" w:hAnsi="Times New Roman"/>
          <w:u w:val="single"/>
        </w:rPr>
        <w:t xml:space="preserve">Form I-485 </w:t>
      </w:r>
    </w:p>
    <w:p w:rsidR="00E60293" w:rsidP="00E60293" w14:paraId="1426094F" w14:textId="77777777">
      <w:pPr>
        <w:ind w:left="1440"/>
        <w:rPr>
          <w:rFonts w:ascii="Times New Roman" w:hAnsi="Times New Roman"/>
        </w:rPr>
      </w:pPr>
    </w:p>
    <w:p w:rsidR="00E60293" w:rsidP="00E60293" w14:paraId="123FCE47" w14:textId="77777777">
      <w:pPr>
        <w:widowControl/>
        <w:numPr>
          <w:ilvl w:val="0"/>
          <w:numId w:val="12"/>
        </w:numPr>
        <w:tabs>
          <w:tab w:val="num" w:pos="1800"/>
        </w:tabs>
        <w:autoSpaceDE/>
        <w:adjustRightInd/>
        <w:ind w:left="1800"/>
        <w:rPr>
          <w:rFonts w:ascii="Times New Roman" w:hAnsi="Times New Roman"/>
        </w:rPr>
      </w:pPr>
      <w:r>
        <w:rPr>
          <w:rFonts w:ascii="Times New Roman" w:hAnsi="Times New Roman"/>
        </w:rPr>
        <w:t>Estimated number of respondents (</w:t>
      </w:r>
      <w:r>
        <w:rPr>
          <w:rFonts w:ascii="Times New Roman" w:hAnsi="Times New Roman"/>
          <w:bCs/>
        </w:rPr>
        <w:t>690,837</w:t>
      </w:r>
      <w:r>
        <w:rPr>
          <w:rFonts w:ascii="Times New Roman" w:hAnsi="Times New Roman"/>
        </w:rPr>
        <w:t>) x (1) x the $1,140 fee, equaling $787,554,180.</w:t>
      </w:r>
    </w:p>
    <w:p w:rsidR="00E60293" w:rsidP="00E60293" w14:paraId="34D94493" w14:textId="77777777">
      <w:pPr>
        <w:ind w:left="1440"/>
        <w:rPr>
          <w:rFonts w:ascii="Times New Roman" w:hAnsi="Times New Roman"/>
        </w:rPr>
      </w:pPr>
    </w:p>
    <w:p w:rsidR="00E60293" w:rsidP="00E60293" w14:paraId="0E287985" w14:textId="77777777">
      <w:pPr>
        <w:keepNext/>
        <w:ind w:left="1440"/>
        <w:rPr>
          <w:rFonts w:ascii="Times New Roman" w:hAnsi="Times New Roman"/>
          <w:u w:val="single"/>
        </w:rPr>
      </w:pPr>
      <w:r>
        <w:rPr>
          <w:rFonts w:ascii="Times New Roman" w:hAnsi="Times New Roman"/>
          <w:u w:val="single"/>
        </w:rPr>
        <w:t>Form I-485, Supplement A</w:t>
      </w:r>
    </w:p>
    <w:p w:rsidR="00E60293" w:rsidP="00E60293" w14:paraId="41CAAD0C" w14:textId="77777777">
      <w:pPr>
        <w:keepNext/>
        <w:ind w:left="1800"/>
        <w:rPr>
          <w:rFonts w:ascii="Times New Roman" w:hAnsi="Times New Roman"/>
          <w:u w:val="single"/>
        </w:rPr>
      </w:pPr>
    </w:p>
    <w:p w:rsidR="00E60293" w:rsidP="00E60293" w14:paraId="175D7503" w14:textId="77777777">
      <w:pPr>
        <w:keepNext/>
        <w:widowControl/>
        <w:numPr>
          <w:ilvl w:val="0"/>
          <w:numId w:val="12"/>
        </w:numPr>
        <w:tabs>
          <w:tab w:val="num" w:pos="1800"/>
        </w:tabs>
        <w:autoSpaceDE/>
        <w:adjustRightInd/>
        <w:ind w:left="1800"/>
        <w:rPr>
          <w:rFonts w:ascii="Times New Roman" w:hAnsi="Times New Roman"/>
          <w:u w:val="single"/>
        </w:rPr>
      </w:pPr>
      <w:r>
        <w:rPr>
          <w:rFonts w:ascii="Times New Roman" w:hAnsi="Times New Roman"/>
        </w:rPr>
        <w:t>Estimated number of respondents (</w:t>
      </w:r>
      <w:r>
        <w:rPr>
          <w:rFonts w:ascii="Times New Roman" w:hAnsi="Times New Roman"/>
          <w:color w:val="000000"/>
        </w:rPr>
        <w:t>29,213</w:t>
      </w:r>
      <w:r>
        <w:rPr>
          <w:rFonts w:ascii="Times New Roman" w:hAnsi="Times New Roman"/>
        </w:rPr>
        <w:t>) x (1) x the $1,000 fee, equaling $29,213,000.</w:t>
      </w:r>
    </w:p>
    <w:p w:rsidR="00E60293" w:rsidP="00E60293" w14:paraId="775EAAC9" w14:textId="77777777">
      <w:pPr>
        <w:rPr>
          <w:rFonts w:ascii="Times New Roman" w:hAnsi="Times New Roman"/>
        </w:rPr>
      </w:pPr>
      <w:r>
        <w:rPr>
          <w:rFonts w:ascii="Times New Roman" w:hAnsi="Times New Roman"/>
        </w:rPr>
        <w:tab/>
      </w:r>
      <w:r>
        <w:rPr>
          <w:rFonts w:ascii="Times New Roman" w:hAnsi="Times New Roman"/>
        </w:rPr>
        <w:tab/>
      </w:r>
    </w:p>
    <w:p w:rsidR="00E60293" w:rsidP="00E60293" w14:paraId="05CAD1CA" w14:textId="77777777">
      <w:pPr>
        <w:keepNext/>
        <w:ind w:left="1440"/>
        <w:rPr>
          <w:rFonts w:ascii="Times New Roman" w:hAnsi="Times New Roman"/>
          <w:u w:val="single"/>
        </w:rPr>
      </w:pPr>
      <w:r>
        <w:rPr>
          <w:rFonts w:ascii="Times New Roman" w:hAnsi="Times New Roman"/>
          <w:u w:val="single"/>
        </w:rPr>
        <w:t>Form I-485, Supplement J</w:t>
      </w:r>
    </w:p>
    <w:p w:rsidR="00E60293" w:rsidP="00E60293" w14:paraId="50DEF418" w14:textId="77777777">
      <w:pPr>
        <w:ind w:left="1440"/>
        <w:rPr>
          <w:rFonts w:ascii="Times New Roman" w:hAnsi="Times New Roman"/>
        </w:rPr>
      </w:pPr>
    </w:p>
    <w:p w:rsidR="00E60293" w:rsidP="00E60293" w14:paraId="14472206" w14:textId="77777777">
      <w:pPr>
        <w:keepNext/>
        <w:widowControl/>
        <w:numPr>
          <w:ilvl w:val="0"/>
          <w:numId w:val="12"/>
        </w:numPr>
        <w:tabs>
          <w:tab w:val="num" w:pos="1800"/>
        </w:tabs>
        <w:autoSpaceDE/>
        <w:adjustRightInd/>
        <w:ind w:left="1800"/>
        <w:rPr>
          <w:rFonts w:ascii="Times New Roman" w:hAnsi="Times New Roman"/>
        </w:rPr>
      </w:pPr>
      <w:r>
        <w:rPr>
          <w:rFonts w:ascii="Times New Roman" w:hAnsi="Times New Roman"/>
        </w:rPr>
        <w:t>The cost to the government for Supplement J is included in the I-485.</w:t>
      </w:r>
    </w:p>
    <w:p w:rsidR="00E60293" w:rsidP="00E60293" w14:paraId="07F109D7" w14:textId="77777777">
      <w:pPr>
        <w:keepNext/>
        <w:ind w:left="1800"/>
        <w:rPr>
          <w:rFonts w:ascii="Times New Roman" w:hAnsi="Times New Roman"/>
        </w:rPr>
      </w:pPr>
    </w:p>
    <w:p w:rsidR="00E60293" w:rsidP="00E60293" w14:paraId="45131F6C" w14:textId="77777777">
      <w:pPr>
        <w:ind w:left="1440"/>
        <w:rPr>
          <w:rFonts w:ascii="Times New Roman" w:hAnsi="Times New Roman"/>
          <w:u w:val="single"/>
        </w:rPr>
      </w:pPr>
      <w:r>
        <w:rPr>
          <w:rFonts w:ascii="Times New Roman" w:hAnsi="Times New Roman"/>
          <w:u w:val="single"/>
        </w:rPr>
        <w:t>Biometrics Processing Fee</w:t>
      </w:r>
    </w:p>
    <w:p w:rsidR="00E60293" w:rsidP="00E60293" w14:paraId="09A9536C" w14:textId="77777777">
      <w:pPr>
        <w:ind w:left="1440"/>
        <w:rPr>
          <w:rFonts w:ascii="Times New Roman" w:hAnsi="Times New Roman"/>
          <w:u w:val="single"/>
        </w:rPr>
      </w:pPr>
    </w:p>
    <w:p w:rsidR="00E60293" w:rsidP="00E60293" w14:paraId="3FF1F9E7" w14:textId="77777777">
      <w:pPr>
        <w:widowControl/>
        <w:numPr>
          <w:ilvl w:val="0"/>
          <w:numId w:val="12"/>
        </w:numPr>
        <w:tabs>
          <w:tab w:val="num" w:pos="1800"/>
          <w:tab w:val="left" w:pos="1890"/>
        </w:tabs>
        <w:autoSpaceDE/>
        <w:adjustRightInd/>
        <w:ind w:hanging="720"/>
        <w:rPr>
          <w:rFonts w:ascii="Times New Roman" w:hAnsi="Times New Roman"/>
        </w:rPr>
      </w:pPr>
      <w:r>
        <w:rPr>
          <w:rFonts w:ascii="Times New Roman" w:hAnsi="Times New Roman"/>
        </w:rPr>
        <w:t>Estimated number of respondents (</w:t>
      </w:r>
      <w:r>
        <w:rPr>
          <w:rFonts w:ascii="Times New Roman" w:hAnsi="Times New Roman"/>
          <w:bCs/>
        </w:rPr>
        <w:t>690,837</w:t>
      </w:r>
      <w:r>
        <w:rPr>
          <w:rFonts w:ascii="Times New Roman" w:hAnsi="Times New Roman"/>
        </w:rPr>
        <w:t>) x (1) x the $85</w:t>
      </w:r>
    </w:p>
    <w:p w:rsidR="00E60293" w:rsidP="00E60293" w14:paraId="410CD814" w14:textId="358CC105">
      <w:pPr>
        <w:tabs>
          <w:tab w:val="left" w:pos="1890"/>
        </w:tabs>
        <w:ind w:left="1440"/>
        <w:rPr>
          <w:rFonts w:ascii="Times New Roman" w:hAnsi="Times New Roman"/>
        </w:rPr>
      </w:pPr>
      <w:r>
        <w:rPr>
          <w:rFonts w:ascii="Times New Roman" w:hAnsi="Times New Roman"/>
        </w:rPr>
        <w:t xml:space="preserve">     </w:t>
      </w:r>
      <w:r w:rsidR="00E7684C">
        <w:rPr>
          <w:rFonts w:ascii="Times New Roman" w:hAnsi="Times New Roman"/>
        </w:rPr>
        <w:t xml:space="preserve"> </w:t>
      </w:r>
      <w:r>
        <w:rPr>
          <w:rFonts w:ascii="Times New Roman" w:hAnsi="Times New Roman"/>
        </w:rPr>
        <w:t>Biometrics Fee, equaling $</w:t>
      </w:r>
      <w:r w:rsidR="00671033">
        <w:rPr>
          <w:rFonts w:ascii="Times New Roman" w:hAnsi="Times New Roman"/>
        </w:rPr>
        <w:t>58,721,145</w:t>
      </w:r>
      <w:r>
        <w:rPr>
          <w:rFonts w:ascii="Times New Roman" w:hAnsi="Times New Roman"/>
        </w:rPr>
        <w:t>.</w:t>
      </w:r>
    </w:p>
    <w:p w:rsidR="00E60293" w:rsidP="00E60293" w14:paraId="24CA43D8" w14:textId="77777777">
      <w:pPr>
        <w:ind w:left="2160"/>
        <w:rPr>
          <w:rFonts w:ascii="Times New Roman" w:hAnsi="Times New Roman"/>
        </w:rPr>
      </w:pPr>
    </w:p>
    <w:p w:rsidR="00E60293" w:rsidP="00E60293" w14:paraId="7E99815E" w14:textId="77777777">
      <w:pPr>
        <w:tabs>
          <w:tab w:val="left" w:pos="-1440"/>
        </w:tabs>
        <w:ind w:left="720"/>
        <w:rPr>
          <w:rFonts w:ascii="Times New Roman" w:hAnsi="Times New Roman"/>
        </w:rPr>
      </w:pPr>
      <w:r>
        <w:rPr>
          <w:rFonts w:ascii="Times New Roman" w:hAnsi="Times New Roman"/>
          <w:b/>
        </w:rPr>
        <w:t>The total estimated cost to the Government is $875,488,325</w:t>
      </w:r>
      <w:r>
        <w:rPr>
          <w:rFonts w:ascii="Times New Roman" w:hAnsi="Times New Roman"/>
        </w:rPr>
        <w:t>.  The total cost includes the suggested hourly rate for clerical, officer, and managerial time with benefits, plus a percent for the estimated overhead cost for printing, stocking, distributing, and processing of this form.</w:t>
      </w:r>
    </w:p>
    <w:p w:rsidR="00E60293" w:rsidP="00E60293" w14:paraId="6204F36D" w14:textId="77777777">
      <w:pPr>
        <w:tabs>
          <w:tab w:val="left" w:pos="-1440"/>
        </w:tabs>
        <w:ind w:left="720"/>
        <w:rPr>
          <w:rFonts w:ascii="Times New Roman" w:hAnsi="Times New Roman"/>
        </w:rPr>
      </w:pPr>
    </w:p>
    <w:p w:rsidR="00E60293" w:rsidP="00E60293" w14:paraId="72FB753C"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E60293" w:rsidP="00E60293" w14:paraId="33CD7A6E" w14:textId="77777777">
      <w:pPr>
        <w:tabs>
          <w:tab w:val="left" w:pos="-1440"/>
        </w:tabs>
        <w:ind w:left="720"/>
        <w:rPr>
          <w:rFonts w:ascii="Times New Roman" w:hAnsi="Times New Roman"/>
        </w:rPr>
      </w:pPr>
    </w:p>
    <w:tbl>
      <w:tblPr>
        <w:tblW w:w="9985" w:type="dxa"/>
        <w:tblLook w:val="04A0"/>
      </w:tblPr>
      <w:tblGrid>
        <w:gridCol w:w="2049"/>
        <w:gridCol w:w="1383"/>
        <w:gridCol w:w="1314"/>
        <w:gridCol w:w="1363"/>
        <w:gridCol w:w="1234"/>
        <w:gridCol w:w="1228"/>
        <w:gridCol w:w="1414"/>
      </w:tblGrid>
      <w:tr w14:paraId="537F2B4E" w14:textId="77777777" w:rsidTr="00E60293">
        <w:tblPrEx>
          <w:tblW w:w="9985" w:type="dxa"/>
          <w:tblLook w:val="04A0"/>
        </w:tblPrEx>
        <w:trPr>
          <w:trHeight w:val="1035"/>
        </w:trPr>
        <w:tc>
          <w:tcPr>
            <w:tcW w:w="2049" w:type="dxa"/>
            <w:tcBorders>
              <w:top w:val="single" w:sz="4" w:space="0" w:color="auto"/>
              <w:left w:val="single" w:sz="4" w:space="0" w:color="auto"/>
              <w:bottom w:val="single" w:sz="4" w:space="0" w:color="auto"/>
              <w:right w:val="single" w:sz="4" w:space="0" w:color="auto"/>
            </w:tcBorders>
            <w:vAlign w:val="bottom"/>
            <w:hideMark/>
          </w:tcPr>
          <w:p w:rsidR="00E60293" w14:paraId="6CDE9CB5"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Data collection Activity/Instrument</w:t>
            </w:r>
          </w:p>
        </w:tc>
        <w:tc>
          <w:tcPr>
            <w:tcW w:w="1383" w:type="dxa"/>
            <w:tcBorders>
              <w:top w:val="single" w:sz="4" w:space="0" w:color="auto"/>
              <w:left w:val="nil"/>
              <w:bottom w:val="single" w:sz="4" w:space="0" w:color="auto"/>
              <w:right w:val="single" w:sz="4" w:space="0" w:color="auto"/>
            </w:tcBorders>
            <w:vAlign w:val="bottom"/>
            <w:hideMark/>
          </w:tcPr>
          <w:p w:rsidR="00E60293" w14:paraId="332EC849"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 xml:space="preserve">Program Change (hours currently on OMB Inventory) </w:t>
            </w:r>
          </w:p>
        </w:tc>
        <w:tc>
          <w:tcPr>
            <w:tcW w:w="1314" w:type="dxa"/>
            <w:tcBorders>
              <w:top w:val="single" w:sz="4" w:space="0" w:color="auto"/>
              <w:left w:val="nil"/>
              <w:bottom w:val="single" w:sz="4" w:space="0" w:color="auto"/>
              <w:right w:val="single" w:sz="4" w:space="0" w:color="auto"/>
            </w:tcBorders>
            <w:vAlign w:val="bottom"/>
            <w:hideMark/>
          </w:tcPr>
          <w:p w:rsidR="00E60293" w14:paraId="24C66E2A"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 xml:space="preserve">Program Change (New) </w:t>
            </w:r>
          </w:p>
        </w:tc>
        <w:tc>
          <w:tcPr>
            <w:tcW w:w="1363" w:type="dxa"/>
            <w:tcBorders>
              <w:top w:val="single" w:sz="4" w:space="0" w:color="auto"/>
              <w:left w:val="nil"/>
              <w:bottom w:val="single" w:sz="4" w:space="0" w:color="auto"/>
              <w:right w:val="single" w:sz="4" w:space="0" w:color="auto"/>
            </w:tcBorders>
            <w:vAlign w:val="bottom"/>
            <w:hideMark/>
          </w:tcPr>
          <w:p w:rsidR="00E60293" w14:paraId="6B7D0C55"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Difference</w:t>
            </w:r>
          </w:p>
        </w:tc>
        <w:tc>
          <w:tcPr>
            <w:tcW w:w="1234" w:type="dxa"/>
            <w:tcBorders>
              <w:top w:val="single" w:sz="4" w:space="0" w:color="auto"/>
              <w:left w:val="nil"/>
              <w:bottom w:val="single" w:sz="4" w:space="0" w:color="auto"/>
              <w:right w:val="single" w:sz="4" w:space="0" w:color="auto"/>
            </w:tcBorders>
            <w:vAlign w:val="bottom"/>
            <w:hideMark/>
          </w:tcPr>
          <w:p w:rsidR="00E60293" w14:paraId="374F193B"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Adjustment (hours currently on OMB Inventory)</w:t>
            </w:r>
          </w:p>
        </w:tc>
        <w:tc>
          <w:tcPr>
            <w:tcW w:w="1228" w:type="dxa"/>
            <w:tcBorders>
              <w:top w:val="single" w:sz="4" w:space="0" w:color="auto"/>
              <w:left w:val="nil"/>
              <w:bottom w:val="single" w:sz="4" w:space="0" w:color="auto"/>
              <w:right w:val="single" w:sz="4" w:space="0" w:color="auto"/>
            </w:tcBorders>
            <w:vAlign w:val="bottom"/>
            <w:hideMark/>
          </w:tcPr>
          <w:p w:rsidR="00E60293" w14:paraId="7087CC1D"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Adjustment (New)</w:t>
            </w:r>
          </w:p>
        </w:tc>
        <w:tc>
          <w:tcPr>
            <w:tcW w:w="1414" w:type="dxa"/>
            <w:tcBorders>
              <w:top w:val="single" w:sz="4" w:space="0" w:color="auto"/>
              <w:left w:val="nil"/>
              <w:bottom w:val="single" w:sz="4" w:space="0" w:color="auto"/>
              <w:right w:val="single" w:sz="4" w:space="0" w:color="auto"/>
            </w:tcBorders>
            <w:vAlign w:val="bottom"/>
            <w:hideMark/>
          </w:tcPr>
          <w:p w:rsidR="00E60293" w14:paraId="24AE7304"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Difference</w:t>
            </w:r>
          </w:p>
        </w:tc>
      </w:tr>
      <w:tr w14:paraId="1ABD2E07" w14:textId="77777777" w:rsidTr="004C4BB1">
        <w:tblPrEx>
          <w:tblW w:w="9985" w:type="dxa"/>
          <w:tblLook w:val="04A0"/>
        </w:tblPrEx>
        <w:trPr>
          <w:trHeight w:val="300"/>
        </w:trPr>
        <w:tc>
          <w:tcPr>
            <w:tcW w:w="2049" w:type="dxa"/>
            <w:tcBorders>
              <w:top w:val="nil"/>
              <w:left w:val="single" w:sz="4" w:space="0" w:color="auto"/>
              <w:bottom w:val="single" w:sz="4" w:space="0" w:color="auto"/>
              <w:right w:val="single" w:sz="4" w:space="0" w:color="auto"/>
            </w:tcBorders>
            <w:vAlign w:val="center"/>
            <w:hideMark/>
          </w:tcPr>
          <w:p w:rsidR="008F0719" w:rsidP="008F0719" w14:paraId="50AD3AC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I-485</w:t>
            </w:r>
          </w:p>
        </w:tc>
        <w:tc>
          <w:tcPr>
            <w:tcW w:w="1383" w:type="dxa"/>
            <w:tcBorders>
              <w:top w:val="nil"/>
              <w:left w:val="nil"/>
              <w:bottom w:val="single" w:sz="4" w:space="0" w:color="auto"/>
              <w:right w:val="single" w:sz="4" w:space="0" w:color="auto"/>
            </w:tcBorders>
            <w:vAlign w:val="bottom"/>
            <w:hideMark/>
          </w:tcPr>
          <w:p w:rsidR="008F0719" w:rsidRPr="00EA0963" w:rsidP="008F0719" w14:paraId="20B4F6A1" w14:textId="5A5B625A">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3,715,305</w:t>
            </w:r>
          </w:p>
        </w:tc>
        <w:tc>
          <w:tcPr>
            <w:tcW w:w="1314" w:type="dxa"/>
            <w:tcBorders>
              <w:top w:val="nil"/>
              <w:left w:val="nil"/>
              <w:bottom w:val="single" w:sz="4" w:space="0" w:color="auto"/>
              <w:right w:val="single" w:sz="4" w:space="0" w:color="auto"/>
            </w:tcBorders>
            <w:vAlign w:val="bottom"/>
            <w:hideMark/>
          </w:tcPr>
          <w:p w:rsidR="008F0719" w:rsidRPr="00EA0963" w:rsidP="008F0719" w14:paraId="59664E83" w14:textId="63DE25F3">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4,953,301</w:t>
            </w:r>
          </w:p>
        </w:tc>
        <w:tc>
          <w:tcPr>
            <w:tcW w:w="1363" w:type="dxa"/>
            <w:tcBorders>
              <w:top w:val="nil"/>
              <w:left w:val="nil"/>
              <w:bottom w:val="single" w:sz="4" w:space="0" w:color="auto"/>
              <w:right w:val="single" w:sz="4" w:space="0" w:color="auto"/>
            </w:tcBorders>
            <w:vAlign w:val="bottom"/>
            <w:hideMark/>
          </w:tcPr>
          <w:p w:rsidR="008F0719" w:rsidRPr="00EA0963" w:rsidP="008F0719" w14:paraId="44DED121" w14:textId="524F4B9F">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1,237,996</w:t>
            </w:r>
          </w:p>
        </w:tc>
        <w:tc>
          <w:tcPr>
            <w:tcW w:w="1234" w:type="dxa"/>
            <w:tcBorders>
              <w:top w:val="nil"/>
              <w:left w:val="nil"/>
              <w:bottom w:val="single" w:sz="4" w:space="0" w:color="auto"/>
              <w:right w:val="single" w:sz="4" w:space="0" w:color="auto"/>
            </w:tcBorders>
            <w:vAlign w:val="bottom"/>
            <w:hideMark/>
          </w:tcPr>
          <w:p w:rsidR="008F0719" w:rsidRPr="00EA0963" w:rsidP="008F0719" w14:paraId="3309BB27" w14:textId="090A9E84">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vAlign w:val="bottom"/>
            <w:hideMark/>
          </w:tcPr>
          <w:p w:rsidR="008F0719" w:rsidRPr="00EA0963" w:rsidP="008F0719" w14:paraId="175D8AAE" w14:textId="1C83AF7A">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c>
          <w:tcPr>
            <w:tcW w:w="1414" w:type="dxa"/>
            <w:tcBorders>
              <w:top w:val="nil"/>
              <w:left w:val="nil"/>
              <w:bottom w:val="single" w:sz="4" w:space="0" w:color="auto"/>
              <w:right w:val="single" w:sz="4" w:space="0" w:color="auto"/>
            </w:tcBorders>
            <w:vAlign w:val="bottom"/>
            <w:hideMark/>
          </w:tcPr>
          <w:p w:rsidR="008F0719" w:rsidRPr="00EA0963" w:rsidP="008F0719" w14:paraId="7A9E01EF" w14:textId="3DBE5D54">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r>
      <w:tr w14:paraId="0C6C9B6B" w14:textId="77777777" w:rsidTr="004C4BB1">
        <w:tblPrEx>
          <w:tblW w:w="9985" w:type="dxa"/>
          <w:tblLook w:val="04A0"/>
        </w:tblPrEx>
        <w:trPr>
          <w:trHeight w:val="300"/>
        </w:trPr>
        <w:tc>
          <w:tcPr>
            <w:tcW w:w="2049" w:type="dxa"/>
            <w:tcBorders>
              <w:top w:val="nil"/>
              <w:left w:val="single" w:sz="4" w:space="0" w:color="auto"/>
              <w:bottom w:val="single" w:sz="4" w:space="0" w:color="auto"/>
              <w:right w:val="single" w:sz="4" w:space="0" w:color="auto"/>
            </w:tcBorders>
            <w:vAlign w:val="center"/>
            <w:hideMark/>
          </w:tcPr>
          <w:p w:rsidR="008F0719" w:rsidP="008F0719" w14:paraId="669B944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I-485A</w:t>
            </w:r>
          </w:p>
        </w:tc>
        <w:tc>
          <w:tcPr>
            <w:tcW w:w="1383" w:type="dxa"/>
            <w:tcBorders>
              <w:top w:val="nil"/>
              <w:left w:val="nil"/>
              <w:bottom w:val="single" w:sz="4" w:space="0" w:color="auto"/>
              <w:right w:val="single" w:sz="4" w:space="0" w:color="auto"/>
            </w:tcBorders>
            <w:vAlign w:val="bottom"/>
          </w:tcPr>
          <w:p w:rsidR="008F0719" w:rsidRPr="00EA0963" w:rsidP="008F0719" w14:paraId="7994BB3D" w14:textId="4B0F46FE">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c>
          <w:tcPr>
            <w:tcW w:w="1314" w:type="dxa"/>
            <w:tcBorders>
              <w:top w:val="nil"/>
              <w:left w:val="nil"/>
              <w:bottom w:val="single" w:sz="4" w:space="0" w:color="auto"/>
              <w:right w:val="single" w:sz="4" w:space="0" w:color="auto"/>
            </w:tcBorders>
            <w:vAlign w:val="bottom"/>
          </w:tcPr>
          <w:p w:rsidR="008F0719" w:rsidRPr="00EA0963" w:rsidP="008F0719" w14:paraId="59E003A0" w14:textId="24236933">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vAlign w:val="bottom"/>
          </w:tcPr>
          <w:p w:rsidR="008F0719" w:rsidRPr="00EA0963" w:rsidP="008F0719" w14:paraId="01F803B2" w14:textId="7D8784B8">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c>
          <w:tcPr>
            <w:tcW w:w="1234" w:type="dxa"/>
            <w:tcBorders>
              <w:top w:val="nil"/>
              <w:left w:val="nil"/>
              <w:bottom w:val="single" w:sz="4" w:space="0" w:color="auto"/>
              <w:right w:val="single" w:sz="4" w:space="0" w:color="auto"/>
            </w:tcBorders>
            <w:vAlign w:val="bottom"/>
            <w:hideMark/>
          </w:tcPr>
          <w:p w:rsidR="008F0719" w:rsidRPr="00EA0963" w:rsidP="008F0719" w14:paraId="22B26CBA" w14:textId="13930A7A">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36,516</w:t>
            </w:r>
          </w:p>
        </w:tc>
        <w:tc>
          <w:tcPr>
            <w:tcW w:w="1228" w:type="dxa"/>
            <w:tcBorders>
              <w:top w:val="nil"/>
              <w:left w:val="nil"/>
              <w:bottom w:val="single" w:sz="4" w:space="0" w:color="auto"/>
              <w:right w:val="single" w:sz="4" w:space="0" w:color="auto"/>
            </w:tcBorders>
            <w:vAlign w:val="bottom"/>
            <w:hideMark/>
          </w:tcPr>
          <w:p w:rsidR="008F0719" w:rsidRPr="00EA0963" w:rsidP="008F0719" w14:paraId="3201E3BB" w14:textId="70D9D469">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36,516</w:t>
            </w:r>
          </w:p>
        </w:tc>
        <w:tc>
          <w:tcPr>
            <w:tcW w:w="1414" w:type="dxa"/>
            <w:tcBorders>
              <w:top w:val="nil"/>
              <w:left w:val="nil"/>
              <w:bottom w:val="single" w:sz="4" w:space="0" w:color="auto"/>
              <w:right w:val="single" w:sz="4" w:space="0" w:color="auto"/>
            </w:tcBorders>
            <w:vAlign w:val="bottom"/>
            <w:hideMark/>
          </w:tcPr>
          <w:p w:rsidR="008F0719" w:rsidRPr="00EA0963" w:rsidP="008F0719" w14:paraId="0D8A4458" w14:textId="4D1E34C5">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0</w:t>
            </w:r>
          </w:p>
        </w:tc>
      </w:tr>
      <w:tr w14:paraId="5E018625" w14:textId="77777777" w:rsidTr="004C4BB1">
        <w:tblPrEx>
          <w:tblW w:w="9985" w:type="dxa"/>
          <w:tblLook w:val="04A0"/>
        </w:tblPrEx>
        <w:trPr>
          <w:trHeight w:val="312"/>
        </w:trPr>
        <w:tc>
          <w:tcPr>
            <w:tcW w:w="2049" w:type="dxa"/>
            <w:tcBorders>
              <w:top w:val="nil"/>
              <w:left w:val="single" w:sz="4" w:space="0" w:color="auto"/>
              <w:bottom w:val="single" w:sz="4" w:space="0" w:color="auto"/>
              <w:right w:val="single" w:sz="4" w:space="0" w:color="auto"/>
            </w:tcBorders>
            <w:vAlign w:val="center"/>
            <w:hideMark/>
          </w:tcPr>
          <w:p w:rsidR="008F0719" w:rsidP="008F0719" w14:paraId="3D931B3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I-485J</w:t>
            </w:r>
          </w:p>
        </w:tc>
        <w:tc>
          <w:tcPr>
            <w:tcW w:w="1383" w:type="dxa"/>
            <w:tcBorders>
              <w:top w:val="nil"/>
              <w:left w:val="nil"/>
              <w:bottom w:val="single" w:sz="4" w:space="0" w:color="auto"/>
              <w:right w:val="single" w:sz="4" w:space="0" w:color="auto"/>
            </w:tcBorders>
            <w:vAlign w:val="bottom"/>
          </w:tcPr>
          <w:p w:rsidR="008F0719" w:rsidRPr="00EA0963" w:rsidP="008F0719" w14:paraId="4F888B96" w14:textId="1ADB534B">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c>
          <w:tcPr>
            <w:tcW w:w="1314" w:type="dxa"/>
            <w:tcBorders>
              <w:top w:val="nil"/>
              <w:left w:val="nil"/>
              <w:bottom w:val="single" w:sz="4" w:space="0" w:color="auto"/>
              <w:right w:val="single" w:sz="4" w:space="0" w:color="auto"/>
            </w:tcBorders>
            <w:vAlign w:val="bottom"/>
          </w:tcPr>
          <w:p w:rsidR="008F0719" w:rsidRPr="00EA0963" w:rsidP="008F0719" w14:paraId="445FDB93" w14:textId="6B172309">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c>
          <w:tcPr>
            <w:tcW w:w="1363" w:type="dxa"/>
            <w:tcBorders>
              <w:top w:val="nil"/>
              <w:left w:val="nil"/>
              <w:bottom w:val="single" w:sz="4" w:space="0" w:color="auto"/>
              <w:right w:val="single" w:sz="4" w:space="0" w:color="auto"/>
            </w:tcBorders>
            <w:vAlign w:val="bottom"/>
          </w:tcPr>
          <w:p w:rsidR="008F0719" w:rsidRPr="00EA0963" w:rsidP="008F0719" w14:paraId="2C776754" w14:textId="71A7F259">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c>
          <w:tcPr>
            <w:tcW w:w="1234" w:type="dxa"/>
            <w:tcBorders>
              <w:top w:val="nil"/>
              <w:left w:val="nil"/>
              <w:bottom w:val="single" w:sz="4" w:space="0" w:color="auto"/>
              <w:right w:val="single" w:sz="4" w:space="0" w:color="auto"/>
            </w:tcBorders>
            <w:vAlign w:val="bottom"/>
            <w:hideMark/>
          </w:tcPr>
          <w:p w:rsidR="008F0719" w:rsidRPr="00EA0963" w:rsidP="008F0719" w14:paraId="7BC3BB95" w14:textId="23AA68C7">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37,358</w:t>
            </w:r>
          </w:p>
        </w:tc>
        <w:tc>
          <w:tcPr>
            <w:tcW w:w="1228" w:type="dxa"/>
            <w:tcBorders>
              <w:top w:val="nil"/>
              <w:left w:val="nil"/>
              <w:bottom w:val="single" w:sz="4" w:space="0" w:color="auto"/>
              <w:right w:val="single" w:sz="4" w:space="0" w:color="auto"/>
            </w:tcBorders>
            <w:vAlign w:val="bottom"/>
            <w:hideMark/>
          </w:tcPr>
          <w:p w:rsidR="008F0719" w:rsidRPr="00EA0963" w:rsidP="008F0719" w14:paraId="1F003A91" w14:textId="35CAF83E">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37,358</w:t>
            </w:r>
          </w:p>
        </w:tc>
        <w:tc>
          <w:tcPr>
            <w:tcW w:w="1414" w:type="dxa"/>
            <w:tcBorders>
              <w:top w:val="nil"/>
              <w:left w:val="nil"/>
              <w:bottom w:val="single" w:sz="4" w:space="0" w:color="auto"/>
              <w:right w:val="single" w:sz="4" w:space="0" w:color="auto"/>
            </w:tcBorders>
            <w:vAlign w:val="bottom"/>
            <w:hideMark/>
          </w:tcPr>
          <w:p w:rsidR="008F0719" w:rsidRPr="00EA0963" w:rsidP="008F0719" w14:paraId="66D394D4" w14:textId="55ED503F">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0</w:t>
            </w:r>
          </w:p>
        </w:tc>
      </w:tr>
      <w:tr w14:paraId="5CA6ECD2" w14:textId="77777777" w:rsidTr="004C4BB1">
        <w:tblPrEx>
          <w:tblW w:w="9985" w:type="dxa"/>
          <w:tblLook w:val="04A0"/>
        </w:tblPrEx>
        <w:trPr>
          <w:trHeight w:val="300"/>
        </w:trPr>
        <w:tc>
          <w:tcPr>
            <w:tcW w:w="2049" w:type="dxa"/>
            <w:tcBorders>
              <w:top w:val="nil"/>
              <w:left w:val="single" w:sz="4" w:space="0" w:color="auto"/>
              <w:bottom w:val="single" w:sz="4" w:space="0" w:color="auto"/>
              <w:right w:val="single" w:sz="4" w:space="0" w:color="auto"/>
            </w:tcBorders>
            <w:vAlign w:val="center"/>
            <w:hideMark/>
          </w:tcPr>
          <w:p w:rsidR="008F0719" w:rsidP="008F0719" w14:paraId="7B84205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Biometrics Processing</w:t>
            </w:r>
          </w:p>
        </w:tc>
        <w:tc>
          <w:tcPr>
            <w:tcW w:w="1383" w:type="dxa"/>
            <w:tcBorders>
              <w:top w:val="nil"/>
              <w:left w:val="nil"/>
              <w:bottom w:val="single" w:sz="4" w:space="0" w:color="auto"/>
              <w:right w:val="single" w:sz="4" w:space="0" w:color="auto"/>
            </w:tcBorders>
            <w:vAlign w:val="bottom"/>
            <w:hideMark/>
          </w:tcPr>
          <w:p w:rsidR="008F0719" w:rsidRPr="00EA0963" w:rsidP="008F0719" w14:paraId="16D8AC54" w14:textId="1BF7CAE0">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677,088</w:t>
            </w:r>
          </w:p>
        </w:tc>
        <w:tc>
          <w:tcPr>
            <w:tcW w:w="1314" w:type="dxa"/>
            <w:tcBorders>
              <w:top w:val="nil"/>
              <w:left w:val="nil"/>
              <w:bottom w:val="single" w:sz="4" w:space="0" w:color="auto"/>
              <w:right w:val="single" w:sz="4" w:space="0" w:color="auto"/>
            </w:tcBorders>
            <w:vAlign w:val="bottom"/>
            <w:hideMark/>
          </w:tcPr>
          <w:p w:rsidR="008F0719" w:rsidRPr="00EA0963" w:rsidP="008F0719" w14:paraId="1157D162" w14:textId="76A3D544">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808,279</w:t>
            </w:r>
          </w:p>
        </w:tc>
        <w:tc>
          <w:tcPr>
            <w:tcW w:w="1363" w:type="dxa"/>
            <w:tcBorders>
              <w:top w:val="nil"/>
              <w:left w:val="nil"/>
              <w:bottom w:val="single" w:sz="4" w:space="0" w:color="auto"/>
              <w:right w:val="single" w:sz="4" w:space="0" w:color="auto"/>
            </w:tcBorders>
            <w:vAlign w:val="bottom"/>
            <w:hideMark/>
          </w:tcPr>
          <w:p w:rsidR="008F0719" w:rsidRPr="00EA0963" w:rsidP="008F0719" w14:paraId="71085F49" w14:textId="69E71FB8">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131,191</w:t>
            </w:r>
          </w:p>
        </w:tc>
        <w:tc>
          <w:tcPr>
            <w:tcW w:w="1234" w:type="dxa"/>
            <w:tcBorders>
              <w:top w:val="nil"/>
              <w:left w:val="nil"/>
              <w:bottom w:val="single" w:sz="4" w:space="0" w:color="auto"/>
              <w:right w:val="single" w:sz="4" w:space="0" w:color="auto"/>
            </w:tcBorders>
            <w:vAlign w:val="bottom"/>
            <w:hideMark/>
          </w:tcPr>
          <w:p w:rsidR="008F0719" w:rsidRPr="00EA0963" w:rsidP="008F0719" w14:paraId="693C66AF" w14:textId="63F62A33">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vAlign w:val="bottom"/>
            <w:hideMark/>
          </w:tcPr>
          <w:p w:rsidR="008F0719" w:rsidRPr="00EA0963" w:rsidP="008F0719" w14:paraId="4D3C2875" w14:textId="0D7AF173">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c>
          <w:tcPr>
            <w:tcW w:w="1414" w:type="dxa"/>
            <w:tcBorders>
              <w:top w:val="nil"/>
              <w:left w:val="nil"/>
              <w:bottom w:val="single" w:sz="4" w:space="0" w:color="auto"/>
              <w:right w:val="single" w:sz="4" w:space="0" w:color="auto"/>
            </w:tcBorders>
            <w:vAlign w:val="bottom"/>
            <w:hideMark/>
          </w:tcPr>
          <w:p w:rsidR="008F0719" w:rsidRPr="00EA0963" w:rsidP="008F0719" w14:paraId="17E8E507" w14:textId="113A8063">
            <w:pPr>
              <w:widowControl/>
              <w:autoSpaceDE/>
              <w:adjustRightInd/>
              <w:jc w:val="center"/>
              <w:rPr>
                <w:rFonts w:ascii="Times New Roman" w:hAnsi="Times New Roman"/>
                <w:color w:val="000000"/>
                <w:sz w:val="20"/>
                <w:szCs w:val="20"/>
              </w:rPr>
            </w:pPr>
            <w:r w:rsidRPr="00EA0963">
              <w:rPr>
                <w:rFonts w:ascii="Times New Roman" w:hAnsi="Times New Roman"/>
                <w:color w:val="000000"/>
                <w:sz w:val="20"/>
                <w:szCs w:val="20"/>
              </w:rPr>
              <w:t> </w:t>
            </w:r>
          </w:p>
        </w:tc>
      </w:tr>
      <w:tr w14:paraId="1FD22BC3" w14:textId="77777777" w:rsidTr="004C4BB1">
        <w:tblPrEx>
          <w:tblW w:w="9985" w:type="dxa"/>
          <w:tblLook w:val="04A0"/>
        </w:tblPrEx>
        <w:trPr>
          <w:trHeight w:val="300"/>
        </w:trPr>
        <w:tc>
          <w:tcPr>
            <w:tcW w:w="2049" w:type="dxa"/>
            <w:tcBorders>
              <w:top w:val="nil"/>
              <w:left w:val="single" w:sz="4" w:space="0" w:color="auto"/>
              <w:bottom w:val="single" w:sz="4" w:space="0" w:color="auto"/>
              <w:right w:val="single" w:sz="4" w:space="0" w:color="auto"/>
            </w:tcBorders>
            <w:vAlign w:val="bottom"/>
            <w:hideMark/>
          </w:tcPr>
          <w:p w:rsidR="008F0719" w:rsidP="008F0719" w14:paraId="0AD825BC"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Total(s)</w:t>
            </w:r>
          </w:p>
        </w:tc>
        <w:tc>
          <w:tcPr>
            <w:tcW w:w="1383" w:type="dxa"/>
            <w:tcBorders>
              <w:top w:val="nil"/>
              <w:left w:val="nil"/>
              <w:bottom w:val="single" w:sz="4" w:space="0" w:color="auto"/>
              <w:right w:val="single" w:sz="4" w:space="0" w:color="auto"/>
            </w:tcBorders>
            <w:vAlign w:val="bottom"/>
            <w:hideMark/>
          </w:tcPr>
          <w:p w:rsidR="008F0719" w:rsidRPr="00EA0963" w:rsidP="008F0719" w14:paraId="212C50ED" w14:textId="45979B0C">
            <w:pPr>
              <w:widowControl/>
              <w:autoSpaceDE/>
              <w:adjustRightInd/>
              <w:jc w:val="center"/>
              <w:rPr>
                <w:rFonts w:ascii="Times New Roman" w:hAnsi="Times New Roman"/>
                <w:b/>
                <w:bCs/>
                <w:color w:val="000000"/>
                <w:sz w:val="20"/>
                <w:szCs w:val="20"/>
              </w:rPr>
            </w:pPr>
            <w:r w:rsidRPr="00EA0963">
              <w:rPr>
                <w:rFonts w:ascii="Times New Roman" w:hAnsi="Times New Roman"/>
                <w:b/>
                <w:bCs/>
                <w:color w:val="000000"/>
                <w:sz w:val="20"/>
                <w:szCs w:val="20"/>
              </w:rPr>
              <w:t>4,392,394</w:t>
            </w:r>
          </w:p>
        </w:tc>
        <w:tc>
          <w:tcPr>
            <w:tcW w:w="1314" w:type="dxa"/>
            <w:tcBorders>
              <w:top w:val="nil"/>
              <w:left w:val="nil"/>
              <w:bottom w:val="single" w:sz="4" w:space="0" w:color="auto"/>
              <w:right w:val="single" w:sz="4" w:space="0" w:color="auto"/>
            </w:tcBorders>
            <w:vAlign w:val="bottom"/>
            <w:hideMark/>
          </w:tcPr>
          <w:p w:rsidR="008F0719" w:rsidRPr="00EA0963" w:rsidP="008F0719" w14:paraId="3C294D58" w14:textId="4FDC15B8">
            <w:pPr>
              <w:widowControl/>
              <w:autoSpaceDE/>
              <w:adjustRightInd/>
              <w:jc w:val="center"/>
              <w:rPr>
                <w:rFonts w:ascii="Times New Roman" w:hAnsi="Times New Roman"/>
                <w:b/>
                <w:bCs/>
                <w:color w:val="000000"/>
                <w:sz w:val="20"/>
                <w:szCs w:val="20"/>
              </w:rPr>
            </w:pPr>
            <w:r w:rsidRPr="00EA0963">
              <w:rPr>
                <w:rFonts w:ascii="Times New Roman" w:hAnsi="Times New Roman"/>
                <w:b/>
                <w:bCs/>
                <w:color w:val="000000"/>
                <w:sz w:val="20"/>
                <w:szCs w:val="20"/>
              </w:rPr>
              <w:t>5,761,581</w:t>
            </w:r>
          </w:p>
        </w:tc>
        <w:tc>
          <w:tcPr>
            <w:tcW w:w="1363" w:type="dxa"/>
            <w:tcBorders>
              <w:top w:val="nil"/>
              <w:left w:val="nil"/>
              <w:bottom w:val="single" w:sz="4" w:space="0" w:color="auto"/>
              <w:right w:val="single" w:sz="4" w:space="0" w:color="auto"/>
            </w:tcBorders>
            <w:vAlign w:val="bottom"/>
            <w:hideMark/>
          </w:tcPr>
          <w:p w:rsidR="008F0719" w:rsidRPr="00EA0963" w:rsidP="008F0719" w14:paraId="1788FA1E" w14:textId="551FEDBE">
            <w:pPr>
              <w:widowControl/>
              <w:autoSpaceDE/>
              <w:adjustRightInd/>
              <w:jc w:val="center"/>
              <w:rPr>
                <w:rFonts w:ascii="Times New Roman" w:hAnsi="Times New Roman"/>
                <w:b/>
                <w:bCs/>
                <w:color w:val="000000"/>
                <w:sz w:val="20"/>
                <w:szCs w:val="20"/>
              </w:rPr>
            </w:pPr>
            <w:r w:rsidRPr="00EA0963">
              <w:rPr>
                <w:rFonts w:ascii="Times New Roman" w:hAnsi="Times New Roman"/>
                <w:b/>
                <w:bCs/>
                <w:color w:val="000000"/>
                <w:sz w:val="20"/>
                <w:szCs w:val="20"/>
              </w:rPr>
              <w:t>1,369,187</w:t>
            </w:r>
          </w:p>
        </w:tc>
        <w:tc>
          <w:tcPr>
            <w:tcW w:w="1234" w:type="dxa"/>
            <w:tcBorders>
              <w:top w:val="nil"/>
              <w:left w:val="nil"/>
              <w:bottom w:val="single" w:sz="4" w:space="0" w:color="auto"/>
              <w:right w:val="single" w:sz="4" w:space="0" w:color="auto"/>
            </w:tcBorders>
            <w:vAlign w:val="bottom"/>
            <w:hideMark/>
          </w:tcPr>
          <w:p w:rsidR="008F0719" w:rsidRPr="00EA0963" w:rsidP="008F0719" w14:paraId="7CF01FDF" w14:textId="581BBB4C">
            <w:pPr>
              <w:widowControl/>
              <w:autoSpaceDE/>
              <w:adjustRightInd/>
              <w:jc w:val="center"/>
              <w:rPr>
                <w:rFonts w:ascii="Times New Roman" w:hAnsi="Times New Roman"/>
                <w:b/>
                <w:bCs/>
                <w:color w:val="000000"/>
                <w:sz w:val="20"/>
                <w:szCs w:val="20"/>
              </w:rPr>
            </w:pPr>
            <w:r w:rsidRPr="00EA0963">
              <w:rPr>
                <w:rFonts w:ascii="Times New Roman" w:hAnsi="Times New Roman"/>
                <w:b/>
                <w:bCs/>
                <w:color w:val="000000"/>
                <w:sz w:val="20"/>
                <w:szCs w:val="20"/>
              </w:rPr>
              <w:t>73,874</w:t>
            </w:r>
          </w:p>
        </w:tc>
        <w:tc>
          <w:tcPr>
            <w:tcW w:w="1228" w:type="dxa"/>
            <w:tcBorders>
              <w:top w:val="nil"/>
              <w:left w:val="nil"/>
              <w:bottom w:val="single" w:sz="4" w:space="0" w:color="auto"/>
              <w:right w:val="single" w:sz="4" w:space="0" w:color="auto"/>
            </w:tcBorders>
            <w:vAlign w:val="bottom"/>
            <w:hideMark/>
          </w:tcPr>
          <w:p w:rsidR="008F0719" w:rsidRPr="00EA0963" w:rsidP="008F0719" w14:paraId="23039916" w14:textId="3B9A9DBD">
            <w:pPr>
              <w:widowControl/>
              <w:autoSpaceDE/>
              <w:adjustRightInd/>
              <w:jc w:val="center"/>
              <w:rPr>
                <w:rFonts w:ascii="Times New Roman" w:hAnsi="Times New Roman"/>
                <w:b/>
                <w:bCs/>
                <w:color w:val="000000"/>
                <w:sz w:val="20"/>
                <w:szCs w:val="20"/>
              </w:rPr>
            </w:pPr>
            <w:r w:rsidRPr="00EA0963">
              <w:rPr>
                <w:rFonts w:ascii="Times New Roman" w:hAnsi="Times New Roman"/>
                <w:b/>
                <w:bCs/>
                <w:color w:val="000000"/>
                <w:sz w:val="20"/>
                <w:szCs w:val="20"/>
              </w:rPr>
              <w:t>73,874</w:t>
            </w:r>
          </w:p>
        </w:tc>
        <w:tc>
          <w:tcPr>
            <w:tcW w:w="1414" w:type="dxa"/>
            <w:tcBorders>
              <w:top w:val="nil"/>
              <w:left w:val="nil"/>
              <w:bottom w:val="single" w:sz="4" w:space="0" w:color="auto"/>
              <w:right w:val="single" w:sz="4" w:space="0" w:color="auto"/>
            </w:tcBorders>
            <w:vAlign w:val="bottom"/>
            <w:hideMark/>
          </w:tcPr>
          <w:p w:rsidR="008F0719" w:rsidRPr="00EA0963" w:rsidP="008F0719" w14:paraId="5C14AA32" w14:textId="2913D662">
            <w:pPr>
              <w:widowControl/>
              <w:autoSpaceDE/>
              <w:adjustRightInd/>
              <w:jc w:val="center"/>
              <w:rPr>
                <w:rFonts w:ascii="Times New Roman" w:hAnsi="Times New Roman"/>
                <w:b/>
                <w:bCs/>
                <w:color w:val="000000"/>
                <w:sz w:val="20"/>
                <w:szCs w:val="20"/>
              </w:rPr>
            </w:pPr>
            <w:r w:rsidRPr="00EA0963">
              <w:rPr>
                <w:rFonts w:ascii="Times New Roman" w:hAnsi="Times New Roman"/>
                <w:b/>
                <w:bCs/>
                <w:color w:val="000000"/>
                <w:sz w:val="20"/>
                <w:szCs w:val="20"/>
              </w:rPr>
              <w:t>0</w:t>
            </w:r>
          </w:p>
        </w:tc>
      </w:tr>
    </w:tbl>
    <w:p w:rsidR="00E60293" w:rsidP="00E60293" w14:paraId="5CE5AB62" w14:textId="77777777">
      <w:pPr>
        <w:tabs>
          <w:tab w:val="left" w:pos="-1440"/>
        </w:tabs>
        <w:rPr>
          <w:rFonts w:ascii="Times New Roman" w:hAnsi="Times New Roman"/>
          <w:color w:val="FF0000"/>
        </w:rPr>
      </w:pPr>
    </w:p>
    <w:p w:rsidR="00E60293" w:rsidP="00E60293" w14:paraId="71ECBCBE" w14:textId="30AF315D">
      <w:pPr>
        <w:tabs>
          <w:tab w:val="left" w:pos="-1440"/>
        </w:tabs>
        <w:ind w:left="720"/>
        <w:rPr>
          <w:rFonts w:ascii="Times New Roman" w:hAnsi="Times New Roman"/>
        </w:rPr>
      </w:pPr>
      <w:r>
        <w:rPr>
          <w:rFonts w:ascii="Times New Roman" w:hAnsi="Times New Roman"/>
        </w:rPr>
        <w:t xml:space="preserve">There is an increase in the estimated annual time burden </w:t>
      </w:r>
      <w:r w:rsidR="00EA0963">
        <w:rPr>
          <w:rFonts w:ascii="Times New Roman" w:hAnsi="Times New Roman"/>
        </w:rPr>
        <w:t xml:space="preserve">as a result of the </w:t>
      </w:r>
      <w:r>
        <w:rPr>
          <w:rFonts w:ascii="Times New Roman" w:hAnsi="Times New Roman"/>
        </w:rPr>
        <w:t xml:space="preserve">Public Charge </w:t>
      </w:r>
      <w:r w:rsidR="00EA0963">
        <w:rPr>
          <w:rFonts w:ascii="Times New Roman" w:hAnsi="Times New Roman"/>
        </w:rPr>
        <w:t xml:space="preserve">final rule, which adds </w:t>
      </w:r>
      <w:r>
        <w:rPr>
          <w:rFonts w:ascii="Times New Roman" w:hAnsi="Times New Roman"/>
        </w:rPr>
        <w:t>questions and instruction language to the information collection.  There are no other program changes.</w:t>
      </w:r>
    </w:p>
    <w:p w:rsidR="00E60293" w:rsidP="00E60293" w14:paraId="2211C5AD" w14:textId="77777777">
      <w:pPr>
        <w:ind w:left="720"/>
        <w:rPr>
          <w:rFonts w:ascii="Times New Roman" w:hAnsi="Times New Roman"/>
        </w:rPr>
      </w:pPr>
    </w:p>
    <w:tbl>
      <w:tblPr>
        <w:tblW w:w="9951" w:type="dxa"/>
        <w:tblLook w:val="04A0"/>
      </w:tblPr>
      <w:tblGrid>
        <w:gridCol w:w="2086"/>
        <w:gridCol w:w="1426"/>
        <w:gridCol w:w="1426"/>
        <w:gridCol w:w="1316"/>
        <w:gridCol w:w="1329"/>
        <w:gridCol w:w="1329"/>
        <w:gridCol w:w="1194"/>
      </w:tblGrid>
      <w:tr w14:paraId="3C51175F" w14:textId="77777777" w:rsidTr="00E60293">
        <w:tblPrEx>
          <w:tblW w:w="9951" w:type="dxa"/>
          <w:tblLook w:val="04A0"/>
        </w:tblPrEx>
        <w:trPr>
          <w:trHeight w:val="1440"/>
        </w:trPr>
        <w:tc>
          <w:tcPr>
            <w:tcW w:w="2086" w:type="dxa"/>
            <w:tcBorders>
              <w:top w:val="single" w:sz="4" w:space="0" w:color="auto"/>
              <w:left w:val="single" w:sz="4" w:space="0" w:color="auto"/>
              <w:bottom w:val="single" w:sz="4" w:space="0" w:color="auto"/>
              <w:right w:val="single" w:sz="4" w:space="0" w:color="auto"/>
            </w:tcBorders>
            <w:vAlign w:val="bottom"/>
            <w:hideMark/>
          </w:tcPr>
          <w:p w:rsidR="00E60293" w14:paraId="1ED9530B" w14:textId="77777777">
            <w:pPr>
              <w:widowControl/>
              <w:autoSpaceDE/>
              <w:adjustRightInd/>
              <w:rPr>
                <w:rFonts w:ascii="Times New Roman" w:hAnsi="Times New Roman"/>
                <w:b/>
                <w:bCs/>
                <w:color w:val="000000"/>
                <w:sz w:val="22"/>
                <w:szCs w:val="22"/>
              </w:rPr>
            </w:pPr>
            <w:r>
              <w:rPr>
                <w:rFonts w:ascii="Times New Roman" w:hAnsi="Times New Roman"/>
                <w:b/>
                <w:bCs/>
                <w:color w:val="000000"/>
                <w:sz w:val="22"/>
                <w:szCs w:val="22"/>
              </w:rPr>
              <w:t>Data collection Activity/Instrument</w:t>
            </w:r>
          </w:p>
        </w:tc>
        <w:tc>
          <w:tcPr>
            <w:tcW w:w="1242" w:type="dxa"/>
            <w:tcBorders>
              <w:top w:val="single" w:sz="4" w:space="0" w:color="auto"/>
              <w:left w:val="nil"/>
              <w:bottom w:val="single" w:sz="4" w:space="0" w:color="auto"/>
              <w:right w:val="single" w:sz="4" w:space="0" w:color="auto"/>
            </w:tcBorders>
            <w:vAlign w:val="bottom"/>
            <w:hideMark/>
          </w:tcPr>
          <w:p w:rsidR="00E60293" w14:paraId="125394A1" w14:textId="77777777">
            <w:pPr>
              <w:widowControl/>
              <w:autoSpaceDE/>
              <w:adjustRightInd/>
              <w:rPr>
                <w:rFonts w:ascii="Times New Roman" w:hAnsi="Times New Roman"/>
                <w:b/>
                <w:bCs/>
                <w:color w:val="000000"/>
                <w:sz w:val="22"/>
                <w:szCs w:val="22"/>
              </w:rPr>
            </w:pPr>
            <w:r>
              <w:rPr>
                <w:rFonts w:ascii="Times New Roman" w:hAnsi="Times New Roman"/>
                <w:b/>
                <w:bCs/>
                <w:color w:val="000000"/>
                <w:sz w:val="22"/>
                <w:szCs w:val="22"/>
              </w:rPr>
              <w:t xml:space="preserve">Program Change (cost currently on OMB Inventory) </w:t>
            </w:r>
          </w:p>
        </w:tc>
        <w:tc>
          <w:tcPr>
            <w:tcW w:w="1093" w:type="dxa"/>
            <w:tcBorders>
              <w:top w:val="single" w:sz="4" w:space="0" w:color="auto"/>
              <w:left w:val="nil"/>
              <w:bottom w:val="single" w:sz="4" w:space="0" w:color="auto"/>
              <w:right w:val="single" w:sz="4" w:space="0" w:color="auto"/>
            </w:tcBorders>
            <w:vAlign w:val="bottom"/>
            <w:hideMark/>
          </w:tcPr>
          <w:p w:rsidR="00E60293" w14:paraId="2B79B0D7" w14:textId="77777777">
            <w:pPr>
              <w:widowControl/>
              <w:autoSpaceDE/>
              <w:adjustRightInd/>
              <w:rPr>
                <w:rFonts w:ascii="Times New Roman" w:hAnsi="Times New Roman"/>
                <w:b/>
                <w:bCs/>
                <w:color w:val="000000"/>
                <w:sz w:val="22"/>
                <w:szCs w:val="22"/>
              </w:rPr>
            </w:pPr>
            <w:r>
              <w:rPr>
                <w:rFonts w:ascii="Times New Roman" w:hAnsi="Times New Roman"/>
                <w:b/>
                <w:bCs/>
                <w:color w:val="000000"/>
                <w:sz w:val="22"/>
                <w:szCs w:val="22"/>
              </w:rPr>
              <w:t xml:space="preserve">Program Change (New) </w:t>
            </w:r>
          </w:p>
        </w:tc>
        <w:tc>
          <w:tcPr>
            <w:tcW w:w="1218" w:type="dxa"/>
            <w:tcBorders>
              <w:top w:val="single" w:sz="4" w:space="0" w:color="auto"/>
              <w:left w:val="nil"/>
              <w:bottom w:val="single" w:sz="4" w:space="0" w:color="auto"/>
              <w:right w:val="single" w:sz="4" w:space="0" w:color="auto"/>
            </w:tcBorders>
            <w:vAlign w:val="bottom"/>
            <w:hideMark/>
          </w:tcPr>
          <w:p w:rsidR="00E60293" w14:paraId="76820577" w14:textId="77777777">
            <w:pPr>
              <w:widowControl/>
              <w:autoSpaceDE/>
              <w:adjustRightInd/>
              <w:rPr>
                <w:rFonts w:ascii="Times New Roman" w:hAnsi="Times New Roman"/>
                <w:b/>
                <w:bCs/>
                <w:color w:val="000000"/>
                <w:sz w:val="22"/>
                <w:szCs w:val="22"/>
              </w:rPr>
            </w:pPr>
            <w:r>
              <w:rPr>
                <w:rFonts w:ascii="Times New Roman" w:hAnsi="Times New Roman"/>
                <w:b/>
                <w:bCs/>
                <w:color w:val="000000"/>
                <w:sz w:val="22"/>
                <w:szCs w:val="22"/>
              </w:rPr>
              <w:t>Difference</w:t>
            </w:r>
          </w:p>
        </w:tc>
        <w:tc>
          <w:tcPr>
            <w:tcW w:w="1570" w:type="dxa"/>
            <w:tcBorders>
              <w:top w:val="single" w:sz="4" w:space="0" w:color="auto"/>
              <w:left w:val="nil"/>
              <w:bottom w:val="single" w:sz="4" w:space="0" w:color="auto"/>
              <w:right w:val="single" w:sz="4" w:space="0" w:color="auto"/>
            </w:tcBorders>
            <w:vAlign w:val="bottom"/>
            <w:hideMark/>
          </w:tcPr>
          <w:p w:rsidR="00E60293" w14:paraId="75188C81" w14:textId="77777777">
            <w:pPr>
              <w:widowControl/>
              <w:autoSpaceDE/>
              <w:adjustRightInd/>
              <w:rPr>
                <w:rFonts w:ascii="Times New Roman" w:hAnsi="Times New Roman"/>
                <w:b/>
                <w:bCs/>
                <w:color w:val="000000"/>
                <w:sz w:val="22"/>
                <w:szCs w:val="22"/>
              </w:rPr>
            </w:pPr>
            <w:r>
              <w:rPr>
                <w:rFonts w:ascii="Times New Roman" w:hAnsi="Times New Roman"/>
                <w:b/>
                <w:bCs/>
                <w:color w:val="000000"/>
                <w:sz w:val="22"/>
                <w:szCs w:val="22"/>
              </w:rPr>
              <w:t>Adjustment (cost currently on OMB Inventory)</w:t>
            </w:r>
          </w:p>
        </w:tc>
        <w:tc>
          <w:tcPr>
            <w:tcW w:w="1426" w:type="dxa"/>
            <w:tcBorders>
              <w:top w:val="single" w:sz="4" w:space="0" w:color="auto"/>
              <w:left w:val="nil"/>
              <w:bottom w:val="single" w:sz="4" w:space="0" w:color="auto"/>
              <w:right w:val="single" w:sz="4" w:space="0" w:color="auto"/>
            </w:tcBorders>
            <w:vAlign w:val="bottom"/>
            <w:hideMark/>
          </w:tcPr>
          <w:p w:rsidR="00E60293" w14:paraId="49D32ED1" w14:textId="77777777">
            <w:pPr>
              <w:widowControl/>
              <w:autoSpaceDE/>
              <w:adjustRightInd/>
              <w:rPr>
                <w:rFonts w:ascii="Times New Roman" w:hAnsi="Times New Roman"/>
                <w:b/>
                <w:bCs/>
                <w:color w:val="000000"/>
                <w:sz w:val="22"/>
                <w:szCs w:val="22"/>
              </w:rPr>
            </w:pPr>
            <w:r>
              <w:rPr>
                <w:rFonts w:ascii="Times New Roman" w:hAnsi="Times New Roman"/>
                <w:b/>
                <w:bCs/>
                <w:color w:val="000000"/>
                <w:sz w:val="22"/>
                <w:szCs w:val="22"/>
              </w:rPr>
              <w:t>Adjustment (New)</w:t>
            </w:r>
          </w:p>
        </w:tc>
        <w:tc>
          <w:tcPr>
            <w:tcW w:w="1316" w:type="dxa"/>
            <w:tcBorders>
              <w:top w:val="single" w:sz="4" w:space="0" w:color="auto"/>
              <w:left w:val="nil"/>
              <w:bottom w:val="single" w:sz="4" w:space="0" w:color="auto"/>
              <w:right w:val="single" w:sz="4" w:space="0" w:color="auto"/>
            </w:tcBorders>
            <w:vAlign w:val="bottom"/>
            <w:hideMark/>
          </w:tcPr>
          <w:p w:rsidR="00E60293" w14:paraId="45B7EECD" w14:textId="77777777">
            <w:pPr>
              <w:widowControl/>
              <w:autoSpaceDE/>
              <w:adjustRightInd/>
              <w:rPr>
                <w:rFonts w:ascii="Times New Roman" w:hAnsi="Times New Roman"/>
                <w:b/>
                <w:bCs/>
                <w:color w:val="000000"/>
                <w:sz w:val="22"/>
                <w:szCs w:val="22"/>
              </w:rPr>
            </w:pPr>
            <w:r>
              <w:rPr>
                <w:rFonts w:ascii="Times New Roman" w:hAnsi="Times New Roman"/>
                <w:b/>
                <w:bCs/>
                <w:color w:val="000000"/>
                <w:sz w:val="22"/>
                <w:szCs w:val="22"/>
              </w:rPr>
              <w:t>Difference</w:t>
            </w:r>
          </w:p>
        </w:tc>
      </w:tr>
      <w:tr w14:paraId="2F35E889" w14:textId="77777777" w:rsidTr="00EA0963">
        <w:tblPrEx>
          <w:tblW w:w="9951" w:type="dxa"/>
          <w:tblLook w:val="04A0"/>
        </w:tblPrEx>
        <w:trPr>
          <w:trHeight w:val="330"/>
        </w:trPr>
        <w:tc>
          <w:tcPr>
            <w:tcW w:w="2086" w:type="dxa"/>
            <w:tcBorders>
              <w:top w:val="nil"/>
              <w:left w:val="single" w:sz="4" w:space="0" w:color="auto"/>
              <w:bottom w:val="single" w:sz="4" w:space="0" w:color="auto"/>
              <w:right w:val="single" w:sz="4" w:space="0" w:color="auto"/>
            </w:tcBorders>
            <w:vAlign w:val="center"/>
            <w:hideMark/>
          </w:tcPr>
          <w:p w:rsidR="00E60293" w:rsidRPr="00EA0963" w:rsidP="00EA0963" w14:paraId="0DFA7CBE" w14:textId="77777777">
            <w:pPr>
              <w:widowControl/>
              <w:autoSpaceDE/>
              <w:adjustRightInd/>
              <w:jc w:val="center"/>
              <w:rPr>
                <w:rFonts w:ascii="Times New Roman" w:hAnsi="Times New Roman"/>
                <w:color w:val="000000"/>
                <w:sz w:val="22"/>
                <w:szCs w:val="22"/>
              </w:rPr>
            </w:pPr>
            <w:r w:rsidRPr="00EA0963">
              <w:rPr>
                <w:rFonts w:ascii="Times New Roman" w:hAnsi="Times New Roman"/>
                <w:color w:val="000000"/>
                <w:sz w:val="22"/>
                <w:szCs w:val="22"/>
              </w:rPr>
              <w:t>I-485</w:t>
            </w:r>
          </w:p>
        </w:tc>
        <w:tc>
          <w:tcPr>
            <w:tcW w:w="1242" w:type="dxa"/>
            <w:tcBorders>
              <w:top w:val="nil"/>
              <w:left w:val="nil"/>
              <w:bottom w:val="single" w:sz="4" w:space="0" w:color="auto"/>
              <w:right w:val="single" w:sz="4" w:space="0" w:color="auto"/>
            </w:tcBorders>
            <w:vAlign w:val="center"/>
            <w:hideMark/>
          </w:tcPr>
          <w:p w:rsidR="00E60293" w:rsidRPr="00EA0963" w:rsidP="00EA0963" w14:paraId="5D9047B5" w14:textId="2897E5F8">
            <w:pPr>
              <w:widowControl/>
              <w:autoSpaceDE/>
              <w:adjustRightInd/>
              <w:jc w:val="center"/>
              <w:rPr>
                <w:rFonts w:ascii="Times New Roman" w:hAnsi="Times New Roman"/>
                <w:color w:val="000000"/>
                <w:sz w:val="22"/>
                <w:szCs w:val="22"/>
              </w:rPr>
            </w:pPr>
            <w:r w:rsidRPr="00EA0963">
              <w:rPr>
                <w:rFonts w:ascii="Times New Roman" w:hAnsi="Times New Roman"/>
                <w:color w:val="000000"/>
                <w:sz w:val="22"/>
                <w:szCs w:val="22"/>
              </w:rPr>
              <w:t>$198,496,844</w:t>
            </w:r>
          </w:p>
        </w:tc>
        <w:tc>
          <w:tcPr>
            <w:tcW w:w="1093" w:type="dxa"/>
            <w:tcBorders>
              <w:top w:val="nil"/>
              <w:left w:val="nil"/>
              <w:bottom w:val="single" w:sz="4" w:space="0" w:color="auto"/>
              <w:right w:val="single" w:sz="4" w:space="0" w:color="auto"/>
            </w:tcBorders>
            <w:vAlign w:val="center"/>
            <w:hideMark/>
          </w:tcPr>
          <w:p w:rsidR="00E60293" w:rsidRPr="00EA0963" w:rsidP="00EA0963" w14:paraId="031BDDEC" w14:textId="5650176F">
            <w:pPr>
              <w:widowControl/>
              <w:autoSpaceDE/>
              <w:adjustRightInd/>
              <w:jc w:val="center"/>
              <w:rPr>
                <w:rFonts w:ascii="Times New Roman" w:hAnsi="Times New Roman"/>
                <w:color w:val="000000"/>
                <w:sz w:val="22"/>
                <w:szCs w:val="22"/>
              </w:rPr>
            </w:pPr>
            <w:r w:rsidRPr="00EA0963">
              <w:rPr>
                <w:rFonts w:ascii="Times New Roman" w:hAnsi="Times New Roman"/>
                <w:color w:val="000000"/>
                <w:sz w:val="22"/>
                <w:szCs w:val="22"/>
              </w:rPr>
              <w:t>$236,957,091</w:t>
            </w:r>
          </w:p>
        </w:tc>
        <w:tc>
          <w:tcPr>
            <w:tcW w:w="1218" w:type="dxa"/>
            <w:tcBorders>
              <w:top w:val="nil"/>
              <w:left w:val="nil"/>
              <w:bottom w:val="single" w:sz="4" w:space="0" w:color="auto"/>
              <w:right w:val="single" w:sz="4" w:space="0" w:color="auto"/>
            </w:tcBorders>
            <w:vAlign w:val="center"/>
            <w:hideMark/>
          </w:tcPr>
          <w:p w:rsidR="00E60293" w:rsidRPr="00EA0963" w:rsidP="00EA0963" w14:paraId="5F1D612D" w14:textId="4C8FA9E6">
            <w:pPr>
              <w:widowControl/>
              <w:autoSpaceDE/>
              <w:adjustRightInd/>
              <w:jc w:val="center"/>
              <w:rPr>
                <w:rFonts w:ascii="Times New Roman" w:hAnsi="Times New Roman"/>
                <w:color w:val="000000"/>
                <w:sz w:val="22"/>
                <w:szCs w:val="22"/>
              </w:rPr>
            </w:pPr>
            <w:r w:rsidRPr="00EA0963">
              <w:rPr>
                <w:rFonts w:ascii="Times New Roman" w:hAnsi="Times New Roman"/>
                <w:color w:val="000000"/>
                <w:sz w:val="22"/>
                <w:szCs w:val="22"/>
              </w:rPr>
              <w:t>$38,460,247</w:t>
            </w:r>
          </w:p>
        </w:tc>
        <w:tc>
          <w:tcPr>
            <w:tcW w:w="1570" w:type="dxa"/>
            <w:tcBorders>
              <w:top w:val="nil"/>
              <w:left w:val="nil"/>
              <w:bottom w:val="single" w:sz="8" w:space="0" w:color="auto"/>
              <w:right w:val="single" w:sz="8" w:space="0" w:color="auto"/>
            </w:tcBorders>
            <w:vAlign w:val="center"/>
          </w:tcPr>
          <w:p w:rsidR="00E60293" w:rsidRPr="00EA0963" w:rsidP="00EA0963" w14:paraId="0525EF45" w14:textId="77777777">
            <w:pPr>
              <w:widowControl/>
              <w:autoSpaceDE/>
              <w:adjustRightInd/>
              <w:jc w:val="center"/>
              <w:rPr>
                <w:rFonts w:ascii="Times New Roman" w:hAnsi="Times New Roman"/>
                <w:color w:val="000000"/>
                <w:sz w:val="22"/>
                <w:szCs w:val="22"/>
              </w:rPr>
            </w:pPr>
          </w:p>
        </w:tc>
        <w:tc>
          <w:tcPr>
            <w:tcW w:w="1426" w:type="dxa"/>
            <w:tcBorders>
              <w:top w:val="nil"/>
              <w:left w:val="single" w:sz="4" w:space="0" w:color="auto"/>
              <w:bottom w:val="single" w:sz="4" w:space="0" w:color="auto"/>
              <w:right w:val="single" w:sz="4" w:space="0" w:color="auto"/>
            </w:tcBorders>
            <w:vAlign w:val="center"/>
          </w:tcPr>
          <w:p w:rsidR="00E60293" w:rsidRPr="00EA0963" w:rsidP="00EA0963" w14:paraId="1B58CE1C" w14:textId="77777777">
            <w:pPr>
              <w:widowControl/>
              <w:autoSpaceDE/>
              <w:adjustRightInd/>
              <w:jc w:val="center"/>
              <w:rPr>
                <w:rFonts w:ascii="Times New Roman" w:hAnsi="Times New Roman"/>
                <w:color w:val="000000"/>
                <w:sz w:val="22"/>
                <w:szCs w:val="22"/>
              </w:rPr>
            </w:pPr>
          </w:p>
        </w:tc>
        <w:tc>
          <w:tcPr>
            <w:tcW w:w="1316" w:type="dxa"/>
            <w:tcBorders>
              <w:top w:val="nil"/>
              <w:left w:val="nil"/>
              <w:bottom w:val="single" w:sz="4" w:space="0" w:color="auto"/>
              <w:right w:val="single" w:sz="4" w:space="0" w:color="auto"/>
            </w:tcBorders>
            <w:vAlign w:val="center"/>
          </w:tcPr>
          <w:p w:rsidR="00E60293" w:rsidRPr="00EA0963" w:rsidP="00EA0963" w14:paraId="38E7C9CF" w14:textId="77777777">
            <w:pPr>
              <w:widowControl/>
              <w:autoSpaceDE/>
              <w:adjustRightInd/>
              <w:jc w:val="center"/>
              <w:rPr>
                <w:rFonts w:ascii="Times New Roman" w:hAnsi="Times New Roman"/>
                <w:color w:val="000000"/>
                <w:sz w:val="22"/>
                <w:szCs w:val="22"/>
              </w:rPr>
            </w:pPr>
          </w:p>
        </w:tc>
      </w:tr>
      <w:tr w14:paraId="4A977A95" w14:textId="77777777" w:rsidTr="00EA0963">
        <w:tblPrEx>
          <w:tblW w:w="9951" w:type="dxa"/>
          <w:tblLook w:val="04A0"/>
        </w:tblPrEx>
        <w:trPr>
          <w:trHeight w:val="330"/>
        </w:trPr>
        <w:tc>
          <w:tcPr>
            <w:tcW w:w="2086" w:type="dxa"/>
            <w:tcBorders>
              <w:top w:val="nil"/>
              <w:left w:val="single" w:sz="4" w:space="0" w:color="auto"/>
              <w:bottom w:val="single" w:sz="4" w:space="0" w:color="auto"/>
              <w:right w:val="single" w:sz="4" w:space="0" w:color="auto"/>
            </w:tcBorders>
            <w:vAlign w:val="center"/>
            <w:hideMark/>
          </w:tcPr>
          <w:p w:rsidR="00E60293" w:rsidRPr="00EA0963" w:rsidP="00EA0963" w14:paraId="42269D8C" w14:textId="77777777">
            <w:pPr>
              <w:widowControl/>
              <w:autoSpaceDE/>
              <w:adjustRightInd/>
              <w:jc w:val="center"/>
              <w:rPr>
                <w:rFonts w:ascii="Times New Roman" w:hAnsi="Times New Roman"/>
                <w:b/>
                <w:bCs/>
                <w:color w:val="000000"/>
                <w:sz w:val="22"/>
                <w:szCs w:val="22"/>
              </w:rPr>
            </w:pPr>
            <w:r w:rsidRPr="00EA0963">
              <w:rPr>
                <w:rFonts w:ascii="Times New Roman" w:hAnsi="Times New Roman"/>
                <w:b/>
                <w:bCs/>
                <w:color w:val="000000"/>
                <w:sz w:val="22"/>
                <w:szCs w:val="22"/>
              </w:rPr>
              <w:t>Total(s)</w:t>
            </w:r>
          </w:p>
        </w:tc>
        <w:tc>
          <w:tcPr>
            <w:tcW w:w="1242" w:type="dxa"/>
            <w:tcBorders>
              <w:top w:val="nil"/>
              <w:left w:val="nil"/>
              <w:bottom w:val="single" w:sz="4" w:space="0" w:color="auto"/>
              <w:right w:val="single" w:sz="4" w:space="0" w:color="auto"/>
            </w:tcBorders>
            <w:vAlign w:val="center"/>
            <w:hideMark/>
          </w:tcPr>
          <w:p w:rsidR="00E60293" w:rsidRPr="00EA0963" w:rsidP="00EA0963" w14:paraId="5E76CC2A" w14:textId="1D84FA5E">
            <w:pPr>
              <w:widowControl/>
              <w:autoSpaceDE/>
              <w:adjustRightInd/>
              <w:jc w:val="center"/>
              <w:rPr>
                <w:rFonts w:ascii="Times New Roman" w:hAnsi="Times New Roman"/>
                <w:b/>
                <w:bCs/>
                <w:color w:val="000000"/>
                <w:sz w:val="22"/>
                <w:szCs w:val="22"/>
              </w:rPr>
            </w:pPr>
            <w:r w:rsidRPr="00EA0963">
              <w:rPr>
                <w:rFonts w:ascii="Times New Roman" w:hAnsi="Times New Roman"/>
                <w:b/>
                <w:bCs/>
                <w:color w:val="000000"/>
                <w:sz w:val="22"/>
                <w:szCs w:val="22"/>
              </w:rPr>
              <w:t>$198,496,844</w:t>
            </w:r>
          </w:p>
        </w:tc>
        <w:tc>
          <w:tcPr>
            <w:tcW w:w="1093" w:type="dxa"/>
            <w:tcBorders>
              <w:top w:val="nil"/>
              <w:left w:val="nil"/>
              <w:bottom w:val="single" w:sz="4" w:space="0" w:color="auto"/>
              <w:right w:val="single" w:sz="4" w:space="0" w:color="auto"/>
            </w:tcBorders>
            <w:vAlign w:val="center"/>
            <w:hideMark/>
          </w:tcPr>
          <w:p w:rsidR="00E60293" w:rsidRPr="00EA0963" w:rsidP="00EA0963" w14:paraId="0E834BF7" w14:textId="1185A9F0">
            <w:pPr>
              <w:widowControl/>
              <w:autoSpaceDE/>
              <w:adjustRightInd/>
              <w:jc w:val="center"/>
              <w:rPr>
                <w:rFonts w:ascii="Times New Roman" w:hAnsi="Times New Roman"/>
                <w:b/>
                <w:bCs/>
                <w:color w:val="000000"/>
                <w:sz w:val="22"/>
                <w:szCs w:val="22"/>
              </w:rPr>
            </w:pPr>
            <w:r w:rsidRPr="00EA0963">
              <w:rPr>
                <w:rFonts w:ascii="Times New Roman" w:hAnsi="Times New Roman"/>
                <w:b/>
                <w:bCs/>
                <w:color w:val="000000"/>
                <w:sz w:val="22"/>
                <w:szCs w:val="22"/>
              </w:rPr>
              <w:t>$236,957,091</w:t>
            </w:r>
          </w:p>
        </w:tc>
        <w:tc>
          <w:tcPr>
            <w:tcW w:w="1218" w:type="dxa"/>
            <w:tcBorders>
              <w:top w:val="nil"/>
              <w:left w:val="nil"/>
              <w:bottom w:val="single" w:sz="4" w:space="0" w:color="auto"/>
              <w:right w:val="single" w:sz="4" w:space="0" w:color="auto"/>
            </w:tcBorders>
            <w:vAlign w:val="center"/>
            <w:hideMark/>
          </w:tcPr>
          <w:p w:rsidR="00E60293" w:rsidRPr="00EA0963" w:rsidP="00EA0963" w14:paraId="5E05FB00" w14:textId="4FD52218">
            <w:pPr>
              <w:widowControl/>
              <w:autoSpaceDE/>
              <w:adjustRightInd/>
              <w:jc w:val="center"/>
              <w:rPr>
                <w:rFonts w:ascii="Times New Roman" w:hAnsi="Times New Roman"/>
                <w:b/>
                <w:bCs/>
                <w:color w:val="000000"/>
                <w:sz w:val="22"/>
                <w:szCs w:val="22"/>
              </w:rPr>
            </w:pPr>
            <w:r w:rsidRPr="00EA0963">
              <w:rPr>
                <w:rFonts w:ascii="Times New Roman" w:hAnsi="Times New Roman"/>
                <w:b/>
                <w:bCs/>
                <w:color w:val="000000"/>
                <w:sz w:val="22"/>
                <w:szCs w:val="22"/>
              </w:rPr>
              <w:t>$38,460,247</w:t>
            </w:r>
          </w:p>
        </w:tc>
        <w:tc>
          <w:tcPr>
            <w:tcW w:w="1570" w:type="dxa"/>
            <w:tcBorders>
              <w:top w:val="nil"/>
              <w:left w:val="nil"/>
              <w:bottom w:val="single" w:sz="8" w:space="0" w:color="auto"/>
              <w:right w:val="single" w:sz="8" w:space="0" w:color="auto"/>
            </w:tcBorders>
            <w:vAlign w:val="center"/>
          </w:tcPr>
          <w:p w:rsidR="00E60293" w:rsidRPr="00EA0963" w:rsidP="00EA0963" w14:paraId="267B18A7" w14:textId="77777777">
            <w:pPr>
              <w:widowControl/>
              <w:autoSpaceDE/>
              <w:adjustRightInd/>
              <w:jc w:val="center"/>
              <w:rPr>
                <w:rFonts w:ascii="Times New Roman" w:hAnsi="Times New Roman"/>
                <w:b/>
                <w:bCs/>
                <w:color w:val="000000"/>
                <w:sz w:val="22"/>
                <w:szCs w:val="22"/>
              </w:rPr>
            </w:pPr>
          </w:p>
        </w:tc>
        <w:tc>
          <w:tcPr>
            <w:tcW w:w="1426" w:type="dxa"/>
            <w:tcBorders>
              <w:top w:val="nil"/>
              <w:left w:val="single" w:sz="4" w:space="0" w:color="auto"/>
              <w:bottom w:val="single" w:sz="4" w:space="0" w:color="auto"/>
              <w:right w:val="single" w:sz="4" w:space="0" w:color="auto"/>
            </w:tcBorders>
            <w:vAlign w:val="center"/>
          </w:tcPr>
          <w:p w:rsidR="00E60293" w:rsidRPr="00EA0963" w:rsidP="00EA0963" w14:paraId="5B6D767D" w14:textId="77777777">
            <w:pPr>
              <w:widowControl/>
              <w:autoSpaceDE/>
              <w:adjustRightInd/>
              <w:jc w:val="center"/>
              <w:rPr>
                <w:rFonts w:ascii="Times New Roman" w:hAnsi="Times New Roman"/>
                <w:b/>
                <w:bCs/>
                <w:color w:val="000000"/>
                <w:sz w:val="22"/>
                <w:szCs w:val="22"/>
              </w:rPr>
            </w:pPr>
          </w:p>
        </w:tc>
        <w:tc>
          <w:tcPr>
            <w:tcW w:w="1316" w:type="dxa"/>
            <w:tcBorders>
              <w:top w:val="nil"/>
              <w:left w:val="nil"/>
              <w:bottom w:val="single" w:sz="4" w:space="0" w:color="auto"/>
              <w:right w:val="single" w:sz="4" w:space="0" w:color="auto"/>
            </w:tcBorders>
            <w:vAlign w:val="center"/>
          </w:tcPr>
          <w:p w:rsidR="00E60293" w:rsidRPr="00EA0963" w:rsidP="00EA0963" w14:paraId="11677F9E" w14:textId="77777777">
            <w:pPr>
              <w:widowControl/>
              <w:autoSpaceDE/>
              <w:adjustRightInd/>
              <w:jc w:val="center"/>
              <w:rPr>
                <w:rFonts w:ascii="Times New Roman" w:hAnsi="Times New Roman"/>
                <w:b/>
                <w:bCs/>
                <w:color w:val="000000"/>
                <w:sz w:val="22"/>
                <w:szCs w:val="22"/>
              </w:rPr>
            </w:pPr>
          </w:p>
        </w:tc>
      </w:tr>
    </w:tbl>
    <w:p w:rsidR="00E60293" w:rsidP="00E60293" w14:paraId="30468A16" w14:textId="77777777">
      <w:pPr>
        <w:tabs>
          <w:tab w:val="left" w:pos="-1440"/>
        </w:tabs>
        <w:ind w:left="720"/>
        <w:rPr>
          <w:rFonts w:ascii="Times New Roman" w:hAnsi="Times New Roman"/>
        </w:rPr>
      </w:pPr>
    </w:p>
    <w:p w:rsidR="00E60293" w:rsidP="00E60293" w14:paraId="1D2C2D4F" w14:textId="60855AFE">
      <w:pPr>
        <w:tabs>
          <w:tab w:val="left" w:pos="-1440"/>
        </w:tabs>
        <w:ind w:left="720"/>
        <w:rPr>
          <w:rFonts w:ascii="Times New Roman" w:hAnsi="Times New Roman"/>
        </w:rPr>
      </w:pPr>
      <w:r>
        <w:rPr>
          <w:rFonts w:ascii="Times New Roman" w:hAnsi="Times New Roman"/>
        </w:rPr>
        <w:t xml:space="preserve">There is no change to the estimated annual cost burden </w:t>
      </w:r>
      <w:r w:rsidR="00EA0963">
        <w:rPr>
          <w:rFonts w:ascii="Times New Roman" w:hAnsi="Times New Roman"/>
        </w:rPr>
        <w:t>as a result of the Public Charge final rule</w:t>
      </w:r>
      <w:r w:rsidR="0070715A">
        <w:rPr>
          <w:rFonts w:ascii="Times New Roman" w:hAnsi="Times New Roman"/>
        </w:rPr>
        <w:t xml:space="preserve">.  </w:t>
      </w:r>
      <w:r>
        <w:rPr>
          <w:rFonts w:ascii="Times New Roman" w:hAnsi="Times New Roman"/>
        </w:rPr>
        <w:t>There are no other program changes.</w:t>
      </w:r>
    </w:p>
    <w:p w:rsidR="00E60293" w:rsidP="00E60293" w14:paraId="42D2F5D5" w14:textId="77777777">
      <w:pPr>
        <w:ind w:left="720"/>
        <w:rPr>
          <w:rFonts w:ascii="Times New Roman" w:hAnsi="Times New Roman"/>
        </w:rPr>
      </w:pPr>
    </w:p>
    <w:p w:rsidR="00E60293" w:rsidP="00E60293" w14:paraId="322DC6D2"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60293" w:rsidP="00E60293" w14:paraId="213122FC" w14:textId="77777777">
      <w:pPr>
        <w:tabs>
          <w:tab w:val="left" w:pos="-1440"/>
        </w:tabs>
        <w:ind w:left="720"/>
        <w:rPr>
          <w:rFonts w:ascii="Times New Roman" w:hAnsi="Times New Roman"/>
        </w:rPr>
      </w:pPr>
    </w:p>
    <w:p w:rsidR="00E60293" w:rsidP="00E60293" w14:paraId="7517D5F7"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E60293" w:rsidP="00E60293" w14:paraId="2E785C51" w14:textId="77777777">
      <w:pPr>
        <w:ind w:left="720"/>
        <w:rPr>
          <w:rFonts w:ascii="Times New Roman" w:hAnsi="Times New Roman"/>
        </w:rPr>
      </w:pPr>
    </w:p>
    <w:p w:rsidR="00E60293" w:rsidP="00E60293" w14:paraId="5A7A655E"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E60293" w:rsidP="00E60293" w14:paraId="248FAE1A" w14:textId="77777777">
      <w:pPr>
        <w:tabs>
          <w:tab w:val="left" w:pos="-1440"/>
        </w:tabs>
        <w:ind w:left="720"/>
        <w:rPr>
          <w:rFonts w:ascii="Times New Roman" w:hAnsi="Times New Roman"/>
        </w:rPr>
      </w:pPr>
    </w:p>
    <w:p w:rsidR="00E60293" w:rsidP="00E60293" w14:paraId="3716E4F3"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E60293" w:rsidP="00E60293" w14:paraId="045A1F63" w14:textId="77777777">
      <w:pPr>
        <w:ind w:left="720"/>
        <w:rPr>
          <w:rFonts w:ascii="Times New Roman" w:hAnsi="Times New Roman"/>
        </w:rPr>
      </w:pPr>
    </w:p>
    <w:p w:rsidR="00E60293" w:rsidP="00E60293" w14:paraId="1072DC07" w14:textId="77777777">
      <w:pPr>
        <w:numPr>
          <w:ilvl w:val="0"/>
          <w:numId w:val="13"/>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E60293" w:rsidP="00E60293" w14:paraId="216FC1D3" w14:textId="77777777">
      <w:pPr>
        <w:tabs>
          <w:tab w:val="left" w:pos="-1440"/>
        </w:tabs>
        <w:ind w:left="720"/>
        <w:rPr>
          <w:rFonts w:ascii="Times New Roman" w:hAnsi="Times New Roman"/>
        </w:rPr>
      </w:pPr>
    </w:p>
    <w:p w:rsidR="00E60293" w:rsidP="00E60293" w14:paraId="576B87DA" w14:textId="77777777">
      <w:pPr>
        <w:ind w:left="720"/>
        <w:rPr>
          <w:rFonts w:ascii="Times New Roman" w:hAnsi="Times New Roman"/>
        </w:rPr>
      </w:pPr>
      <w:r>
        <w:rPr>
          <w:rFonts w:ascii="Times New Roman" w:hAnsi="Times New Roman"/>
        </w:rPr>
        <w:t>USCIS does not request an exception to the certification of this information collection.</w:t>
      </w:r>
    </w:p>
    <w:p w:rsidR="00E60293" w:rsidP="00E60293" w14:paraId="5347ABFB" w14:textId="77777777">
      <w:pPr>
        <w:ind w:left="720"/>
        <w:rPr>
          <w:rFonts w:ascii="Times New Roman" w:hAnsi="Times New Roman"/>
        </w:rPr>
      </w:pPr>
    </w:p>
    <w:p w:rsidR="00E60293" w:rsidP="00E60293" w14:paraId="7F9DAAB3"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E60293" w:rsidP="00E60293" w14:paraId="5EAA9228" w14:textId="77777777">
      <w:pPr>
        <w:widowControl/>
        <w:tabs>
          <w:tab w:val="left" w:pos="-720"/>
        </w:tabs>
        <w:suppressAutoHyphens/>
        <w:autoSpaceDE/>
        <w:adjustRightInd/>
        <w:ind w:left="720"/>
        <w:rPr>
          <w:rFonts w:ascii="Arial" w:hAnsi="Arial" w:cs="Arial"/>
        </w:rPr>
      </w:pPr>
    </w:p>
    <w:p w:rsidR="00E60293" w:rsidP="00E60293" w14:paraId="50B5EF8F"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p w:rsidR="00E60293" w:rsidP="00E60293" w14:paraId="6EB4116B" w14:textId="77777777">
      <w:pPr>
        <w:widowControl/>
        <w:autoSpaceDE/>
        <w:adjustRightInd/>
      </w:pPr>
    </w:p>
    <w:p w:rsidR="00E91139" w:rsidRPr="00E60293" w:rsidP="00E60293" w14:paraId="58EC54B5" w14:textId="77777777"/>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DEA2B58"/>
    <w:multiLevelType w:val="hybridMultilevel"/>
    <w:tmpl w:val="D9366C72"/>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62D7462"/>
    <w:multiLevelType w:val="hybridMultilevel"/>
    <w:tmpl w:val="2518879C"/>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4"/>
  </w:num>
  <w:num w:numId="7">
    <w:abstractNumId w:val="3"/>
  </w:num>
  <w:num w:numId="8">
    <w:abstractNumId w:val="2"/>
  </w:num>
  <w:num w:numId="9">
    <w:abstractNumId w:val="10"/>
  </w:num>
  <w:num w:numId="10">
    <w:abstractNumId w:val="10"/>
  </w:num>
  <w:num w:numId="11">
    <w:abstractNumId w:val="7"/>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32D24"/>
    <w:rsid w:val="001415B0"/>
    <w:rsid w:val="001610CA"/>
    <w:rsid w:val="0019320E"/>
    <w:rsid w:val="001A595D"/>
    <w:rsid w:val="001A6D21"/>
    <w:rsid w:val="001F67BB"/>
    <w:rsid w:val="0020110E"/>
    <w:rsid w:val="00215244"/>
    <w:rsid w:val="0029577A"/>
    <w:rsid w:val="002A4A73"/>
    <w:rsid w:val="002B6812"/>
    <w:rsid w:val="002C3934"/>
    <w:rsid w:val="002C5AEE"/>
    <w:rsid w:val="002E199D"/>
    <w:rsid w:val="002E7594"/>
    <w:rsid w:val="003338D4"/>
    <w:rsid w:val="0039427E"/>
    <w:rsid w:val="003A0F52"/>
    <w:rsid w:val="003A4F57"/>
    <w:rsid w:val="004233E5"/>
    <w:rsid w:val="00494557"/>
    <w:rsid w:val="004F3779"/>
    <w:rsid w:val="00525E40"/>
    <w:rsid w:val="005423DD"/>
    <w:rsid w:val="0054585A"/>
    <w:rsid w:val="005543AD"/>
    <w:rsid w:val="00590B61"/>
    <w:rsid w:val="005B6129"/>
    <w:rsid w:val="005C3DD7"/>
    <w:rsid w:val="00603702"/>
    <w:rsid w:val="006049A7"/>
    <w:rsid w:val="00627BD9"/>
    <w:rsid w:val="0063778A"/>
    <w:rsid w:val="00662686"/>
    <w:rsid w:val="00663D52"/>
    <w:rsid w:val="00671033"/>
    <w:rsid w:val="006A0CC6"/>
    <w:rsid w:val="006B0B31"/>
    <w:rsid w:val="006B38F6"/>
    <w:rsid w:val="006C79B6"/>
    <w:rsid w:val="006E606E"/>
    <w:rsid w:val="006F083F"/>
    <w:rsid w:val="00703B09"/>
    <w:rsid w:val="0070715A"/>
    <w:rsid w:val="0071391D"/>
    <w:rsid w:val="007312F9"/>
    <w:rsid w:val="00765E88"/>
    <w:rsid w:val="00792B9D"/>
    <w:rsid w:val="007A08BD"/>
    <w:rsid w:val="007B32A5"/>
    <w:rsid w:val="007C03A1"/>
    <w:rsid w:val="007E6F17"/>
    <w:rsid w:val="007F5988"/>
    <w:rsid w:val="007F70DB"/>
    <w:rsid w:val="00807BA2"/>
    <w:rsid w:val="0081460B"/>
    <w:rsid w:val="008255EE"/>
    <w:rsid w:val="00833B6C"/>
    <w:rsid w:val="00847763"/>
    <w:rsid w:val="00865CCF"/>
    <w:rsid w:val="008964DC"/>
    <w:rsid w:val="008A42B6"/>
    <w:rsid w:val="008A4764"/>
    <w:rsid w:val="008D0F4C"/>
    <w:rsid w:val="008D7291"/>
    <w:rsid w:val="008E27DF"/>
    <w:rsid w:val="008F0719"/>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26A5E"/>
    <w:rsid w:val="00D3403B"/>
    <w:rsid w:val="00D80E94"/>
    <w:rsid w:val="00DA2D6B"/>
    <w:rsid w:val="00DE08FF"/>
    <w:rsid w:val="00E15619"/>
    <w:rsid w:val="00E60293"/>
    <w:rsid w:val="00E61E1B"/>
    <w:rsid w:val="00E7684C"/>
    <w:rsid w:val="00E77B24"/>
    <w:rsid w:val="00E85D6D"/>
    <w:rsid w:val="00E91139"/>
    <w:rsid w:val="00EA0963"/>
    <w:rsid w:val="00EA1FB2"/>
    <w:rsid w:val="00EC3504"/>
    <w:rsid w:val="00EC5F60"/>
    <w:rsid w:val="00ED4E0C"/>
    <w:rsid w:val="00F272DA"/>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E6029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ule_x0020_Short_x0020_Name xmlns="2589310c-5316-40b3-b68d-4735ac72f265" xsi:nil="true"/>
    <ROCIS_x0020_ICR_x0023_ xmlns="2589310c-5316-40b3-b68d-4735ac72f265" xsi:nil="true"/>
    <Rule xmlns="2589310c-5316-40b3-b68d-4735ac72f265">false</Rule>
    <Biweekly_x0020_Update xmlns="2589310c-5316-40b3-b68d-4735ac72f265">false</Biweekly_x0020_Update>
    <Priority_x0020_Typ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38B1C-A7C9-4AF3-939D-794A5BC26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2F230-6EE9-43F5-93AA-9A1959617DB7}">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2589310c-5316-40b3-b68d-4735ac72f265"/>
    <ds:schemaRef ds:uri="http://schemas.microsoft.com/office/infopath/2007/PartnerControls"/>
    <ds:schemaRef ds:uri="bf094c2b-8036-49e0-a2b2-a973ea273ca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3826</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Stout, Samantha J</cp:lastModifiedBy>
  <cp:revision>23</cp:revision>
  <cp:lastPrinted>2010-05-14T16:20:00Z</cp:lastPrinted>
  <dcterms:created xsi:type="dcterms:W3CDTF">2022-08-25T14:32:00Z</dcterms:created>
  <dcterms:modified xsi:type="dcterms:W3CDTF">2022-09-09T11:51:00Z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