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14:paraId="41776760" w14:textId="77777777"/>
    <w:p w:rsidR="005C2C05" w:rsidRPr="0025604D" w:rsidP="009F4D1C" w14:paraId="41776761" w14:textId="781957D3">
      <w:pPr>
        <w:jc w:val="center"/>
      </w:pPr>
    </w:p>
    <w:p w:rsidR="005C2C05" w:rsidP="009F4D1C" w14:paraId="41776762" w14:textId="09012001">
      <w:pPr>
        <w:jc w:val="center"/>
        <w:rPr>
          <w:b/>
          <w:bCs/>
        </w:rPr>
      </w:pPr>
      <w:r w:rsidRPr="00A66B23">
        <w:rPr>
          <w:b/>
          <w:bCs/>
        </w:rPr>
        <w:t xml:space="preserve">Supporting Statement </w:t>
      </w:r>
    </w:p>
    <w:p w:rsidR="00A66B23" w:rsidRPr="00A66B23" w:rsidP="009F4D1C" w14:paraId="0B357ECA" w14:textId="290459E3">
      <w:pPr>
        <w:jc w:val="center"/>
        <w:rPr>
          <w:b/>
          <w:bCs/>
        </w:rPr>
      </w:pPr>
      <w:r>
        <w:rPr>
          <w:b/>
          <w:bCs/>
        </w:rPr>
        <w:t>Internal Revenue Service</w:t>
      </w:r>
    </w:p>
    <w:p w:rsidR="005C2C05" w:rsidP="003C068B" w14:paraId="41776763" w14:textId="77777777">
      <w:pPr>
        <w:jc w:val="center"/>
      </w:pPr>
      <w:r>
        <w:t>Qualifying Advanced Energy Project Credit</w:t>
      </w:r>
    </w:p>
    <w:p w:rsidR="00930944" w:rsidP="003C068B" w14:paraId="41776764" w14:textId="77777777">
      <w:pPr>
        <w:jc w:val="center"/>
      </w:pPr>
      <w:r>
        <w:t>OMB # 1545-2151</w:t>
      </w:r>
    </w:p>
    <w:p w:rsidR="005C2C05" w:rsidRPr="0025604D" w14:paraId="41776765" w14:textId="77777777"/>
    <w:p w:rsidR="005C2C05" w:rsidP="00F41911" w14:paraId="41776766" w14:textId="77777777">
      <w:pPr>
        <w:numPr>
          <w:ilvl w:val="0"/>
          <w:numId w:val="12"/>
        </w:numPr>
        <w:rPr>
          <w:u w:val="single"/>
        </w:rPr>
      </w:pPr>
      <w:r w:rsidRPr="0025604D">
        <w:t xml:space="preserve"> </w:t>
      </w:r>
      <w:r w:rsidRPr="0025604D">
        <w:rPr>
          <w:u w:val="single"/>
        </w:rPr>
        <w:t>Circumstances necessitating the collection of information</w:t>
      </w:r>
    </w:p>
    <w:p w:rsidR="005C2C05" w:rsidRPr="0025604D" w:rsidP="00990870" w14:paraId="41776767" w14:textId="77777777">
      <w:pPr>
        <w:ind w:left="360"/>
        <w:rPr>
          <w:u w:val="single"/>
        </w:rPr>
      </w:pPr>
    </w:p>
    <w:p w:rsidR="008956BA" w:rsidP="00CF0E68" w14:paraId="0BADA4CF" w14:textId="1FE20D02">
      <w:bookmarkStart w:id="0" w:name="_Hlk126268962"/>
      <w:r>
        <w:rPr>
          <w:rFonts w:cs="Arial"/>
        </w:rPr>
        <w:t>Internal Revenue Service (</w:t>
      </w:r>
      <w:r w:rsidR="00CB3662">
        <w:t>IRS</w:t>
      </w:r>
      <w:r>
        <w:t>)</w:t>
      </w:r>
      <w:r w:rsidR="00CB3662">
        <w:t xml:space="preserve"> </w:t>
      </w:r>
      <w:r w:rsidRPr="00800D3C" w:rsidR="00CF0E68">
        <w:t>Notice 2023-</w:t>
      </w:r>
      <w:r w:rsidR="008A6D0F">
        <w:t>18</w:t>
      </w:r>
      <w:r w:rsidRPr="00800D3C" w:rsidR="00CF0E68">
        <w:t xml:space="preserve"> establishes </w:t>
      </w:r>
      <w:r w:rsidRPr="00726B6C" w:rsidR="00CF0E68">
        <w:t>t</w:t>
      </w:r>
      <w:r w:rsidRPr="00800D3C" w:rsidR="00CF0E68">
        <w:t xml:space="preserve">he program under § 48C(e)(1) of the Internal Revenue Code to allocate $10 billion of credits ($4 billion of which may only be allocated to projects located in certain energy communities) for qualified investments in eligible qualifying advanced energy projects (§ 48C(e) </w:t>
      </w:r>
      <w:r w:rsidR="00492259">
        <w:t>p</w:t>
      </w:r>
      <w:r w:rsidRPr="00800D3C" w:rsidR="00CF0E68">
        <w:t xml:space="preserve">rogram).  </w:t>
      </w:r>
    </w:p>
    <w:p w:rsidR="008956BA" w:rsidP="00CF0E68" w14:paraId="31A5704E" w14:textId="77777777"/>
    <w:p w:rsidR="008956BA" w:rsidP="00CF0E68" w14:paraId="4331A2FF" w14:textId="4FA9D4C2">
      <w:r w:rsidRPr="00800D3C">
        <w:t>A qualifying advanced energy project (1) re-equip</w:t>
      </w:r>
      <w:r>
        <w:t>s</w:t>
      </w:r>
      <w:r w:rsidRPr="00800D3C">
        <w:t>, expand</w:t>
      </w:r>
      <w:r>
        <w:t>s</w:t>
      </w:r>
      <w:r w:rsidRPr="00800D3C">
        <w:t xml:space="preserve"> or establish</w:t>
      </w:r>
      <w:r>
        <w:t>es</w:t>
      </w:r>
      <w:r w:rsidRPr="00800D3C">
        <w:t xml:space="preserve"> an industrial or manufacturing facility for the production or recycling of </w:t>
      </w:r>
      <w:r>
        <w:t xml:space="preserve">certain </w:t>
      </w:r>
      <w:r w:rsidRPr="00800D3C">
        <w:t>clean energy technologies</w:t>
      </w:r>
      <w:r>
        <w:t xml:space="preserve"> specified in Notice 2023-</w:t>
      </w:r>
      <w:r w:rsidR="008A6D0F">
        <w:t>18</w:t>
      </w:r>
      <w:r w:rsidRPr="00800D3C">
        <w:t>; (2) re-equip</w:t>
      </w:r>
      <w:r>
        <w:t>s</w:t>
      </w:r>
      <w:r w:rsidRPr="00800D3C">
        <w:t xml:space="preserve"> an</w:t>
      </w:r>
      <w:r>
        <w:t>y</w:t>
      </w:r>
      <w:r w:rsidRPr="00800D3C">
        <w:t xml:space="preserve"> industrial or manufacturing facility with equipment designed to reduce greenhouse gas emissions by </w:t>
      </w:r>
      <w:r>
        <w:t xml:space="preserve">at least </w:t>
      </w:r>
      <w:r w:rsidRPr="00800D3C">
        <w:t>20%</w:t>
      </w:r>
      <w:r>
        <w:t xml:space="preserve"> through the installation of certain technologies specified in Notice 2023-</w:t>
      </w:r>
      <w:r w:rsidR="008A6D0F">
        <w:t>18</w:t>
      </w:r>
      <w:r w:rsidRPr="00800D3C">
        <w:t xml:space="preserve">; or (3) re-equips, expands, or establishes an industrial facility for the processing, refining, or recycling of critical materials (as defined in </w:t>
      </w:r>
      <w:r w:rsidRPr="00E3262A">
        <w:t>section 7002(a) of the Energy Act of 2020 (</w:t>
      </w:r>
      <w:hyperlink r:id="rId5" w:history="1">
        <w:r w:rsidRPr="00E3262A">
          <w:t>30 U.S.C. 1606(a)</w:t>
        </w:r>
      </w:hyperlink>
      <w:r w:rsidRPr="00A71A4F">
        <w:rPr>
          <w:color w:val="333333"/>
          <w:shd w:val="clear" w:color="auto" w:fill="FFFFFF"/>
        </w:rPr>
        <w:t>).</w:t>
      </w:r>
      <w:r w:rsidRPr="00E3262A">
        <w:t xml:space="preserve">  </w:t>
      </w:r>
    </w:p>
    <w:p w:rsidR="008956BA" w:rsidP="00CF0E68" w14:paraId="57CEA2C6" w14:textId="77777777"/>
    <w:p w:rsidR="00CF0E68" w:rsidRPr="008C7C38" w:rsidP="00CF0E68" w14:paraId="06A1D30D" w14:textId="79266009">
      <w:r w:rsidRPr="00E3262A">
        <w:t xml:space="preserve">A taxpayer must submit, for each qualifying advanced energy project: (1) a concept paper for </w:t>
      </w:r>
      <w:r>
        <w:t>Department of Energy (</w:t>
      </w:r>
      <w:r w:rsidRPr="00E3262A">
        <w:t>DOE</w:t>
      </w:r>
      <w:r>
        <w:t>)</w:t>
      </w:r>
      <w:r w:rsidRPr="00E3262A">
        <w:t xml:space="preserve"> consideration and (2) </w:t>
      </w:r>
      <w:r>
        <w:t>a</w:t>
      </w:r>
      <w:r w:rsidRPr="00E3262A">
        <w:t xml:space="preserve"> § 48C(e) application (consisting of (i) an application for DOE recommendation and (ii) an application for § 48C(e) certification).  </w:t>
      </w:r>
      <w:r w:rsidRPr="00A71A4F">
        <w:t xml:space="preserve"> </w:t>
      </w:r>
      <w:r>
        <w:t xml:space="preserve">To be eligible to claim any </w:t>
      </w:r>
      <w:r w:rsidRPr="00800D3C">
        <w:t>§ 48C</w:t>
      </w:r>
      <w:r>
        <w:t xml:space="preserve"> credits allocated to a project under the </w:t>
      </w:r>
      <w:r w:rsidRPr="00800D3C">
        <w:t xml:space="preserve">§ 48C(e) </w:t>
      </w:r>
      <w:r w:rsidR="0089247F">
        <w:t>p</w:t>
      </w:r>
      <w:r w:rsidRPr="00800D3C">
        <w:t>rogram</w:t>
      </w:r>
      <w:r>
        <w:t xml:space="preserve">, a taxpayer must also provide to </w:t>
      </w:r>
      <w:r w:rsidRPr="00D94983">
        <w:rPr>
          <w:rFonts w:cs="Arial"/>
        </w:rPr>
        <w:t xml:space="preserve">DOE </w:t>
      </w:r>
      <w:r>
        <w:rPr>
          <w:rFonts w:cs="Arial"/>
        </w:rPr>
        <w:t xml:space="preserve">(1) </w:t>
      </w:r>
      <w:r w:rsidRPr="00D94983">
        <w:rPr>
          <w:rFonts w:cs="Arial"/>
        </w:rPr>
        <w:t>evidence establishing that</w:t>
      </w:r>
      <w:r>
        <w:rPr>
          <w:rFonts w:cs="Arial"/>
        </w:rPr>
        <w:t xml:space="preserve"> a project satisfies the</w:t>
      </w:r>
      <w:r w:rsidRPr="00D94983">
        <w:rPr>
          <w:rFonts w:cs="Arial"/>
        </w:rPr>
        <w:t xml:space="preserve"> certification requirements </w:t>
      </w:r>
      <w:r>
        <w:rPr>
          <w:rFonts w:cs="Arial"/>
        </w:rPr>
        <w:t>specified in Notice 2023-</w:t>
      </w:r>
      <w:r w:rsidR="008A6D0F">
        <w:rPr>
          <w:rFonts w:cs="Arial"/>
        </w:rPr>
        <w:t>18</w:t>
      </w:r>
      <w:r>
        <w:rPr>
          <w:rFonts w:cs="Arial"/>
        </w:rPr>
        <w:t xml:space="preserve"> and (2) a notification that the project has been placed in service.  </w:t>
      </w:r>
      <w:r w:rsidRPr="00D94983">
        <w:rPr>
          <w:rFonts w:cs="Arial"/>
        </w:rPr>
        <w:t xml:space="preserve"> </w:t>
      </w:r>
    </w:p>
    <w:bookmarkEnd w:id="0"/>
    <w:p w:rsidR="005C2C05" w:rsidRPr="0025604D" w:rsidP="00CE2D06" w14:paraId="41776769" w14:textId="77777777"/>
    <w:p w:rsidR="005C2C05" w:rsidRPr="0025604D" w:rsidP="00F41911" w14:paraId="4177676A" w14:textId="77777777">
      <w:pPr>
        <w:numPr>
          <w:ilvl w:val="0"/>
          <w:numId w:val="12"/>
        </w:numPr>
      </w:pPr>
      <w:r w:rsidRPr="0025604D">
        <w:rPr>
          <w:u w:val="single"/>
        </w:rPr>
        <w:t>Use of the data</w:t>
      </w:r>
    </w:p>
    <w:p w:rsidR="005C2C05" w:rsidRPr="0025604D" w:rsidP="003C1AB8" w14:paraId="4177676B" w14:textId="77777777">
      <w:pPr>
        <w:rPr>
          <w:u w:val="single"/>
        </w:rPr>
      </w:pPr>
    </w:p>
    <w:p w:rsidR="00CF0E68" w:rsidP="00CF0E68" w14:paraId="63255A3F" w14:textId="55005CB8">
      <w:r>
        <w:t xml:space="preserve">The information will be used </w:t>
      </w:r>
      <w:r w:rsidR="00CB3662">
        <w:t xml:space="preserve">by </w:t>
      </w:r>
      <w:r w:rsidR="00592774">
        <w:t xml:space="preserve">(1) the DOE to </w:t>
      </w:r>
      <w:r w:rsidRPr="00832450" w:rsidR="00592774">
        <w:rPr>
          <w:rFonts w:cs="Arial"/>
        </w:rPr>
        <w:t xml:space="preserve">provide a recommendation to the IRS regarding the acceptance or rejection of each </w:t>
      </w:r>
      <w:bookmarkStart w:id="1" w:name="_Hlk126742352"/>
      <w:r w:rsidRPr="006E6507" w:rsidR="00592774">
        <w:rPr>
          <w:rFonts w:cs="Arial"/>
        </w:rPr>
        <w:t>§ 48C</w:t>
      </w:r>
      <w:r w:rsidR="00592774">
        <w:rPr>
          <w:rFonts w:cs="Arial"/>
        </w:rPr>
        <w:t>(e)</w:t>
      </w:r>
      <w:r w:rsidRPr="006E6507" w:rsidR="00592774">
        <w:rPr>
          <w:rFonts w:cs="Arial"/>
        </w:rPr>
        <w:t xml:space="preserve"> application</w:t>
      </w:r>
      <w:r w:rsidR="00592774">
        <w:rPr>
          <w:rFonts w:cs="Arial"/>
        </w:rPr>
        <w:t xml:space="preserve"> </w:t>
      </w:r>
      <w:bookmarkEnd w:id="1"/>
      <w:r w:rsidRPr="00832450" w:rsidR="00592774">
        <w:rPr>
          <w:rFonts w:cs="Arial"/>
        </w:rPr>
        <w:t xml:space="preserve">and </w:t>
      </w:r>
      <w:r w:rsidR="00592774">
        <w:rPr>
          <w:rFonts w:cs="Arial"/>
        </w:rPr>
        <w:t xml:space="preserve">a </w:t>
      </w:r>
      <w:r w:rsidRPr="00832450" w:rsidR="00592774">
        <w:rPr>
          <w:rFonts w:cs="Arial"/>
        </w:rPr>
        <w:t>ranking</w:t>
      </w:r>
      <w:r w:rsidR="00592774">
        <w:rPr>
          <w:rFonts w:cs="Arial"/>
        </w:rPr>
        <w:t xml:space="preserve"> of</w:t>
      </w:r>
      <w:r w:rsidRPr="00832450" w:rsidR="00592774">
        <w:rPr>
          <w:rFonts w:cs="Arial"/>
        </w:rPr>
        <w:t xml:space="preserve"> the applications</w:t>
      </w:r>
      <w:r w:rsidR="00592774">
        <w:rPr>
          <w:rFonts w:cs="Arial"/>
        </w:rPr>
        <w:t>,</w:t>
      </w:r>
      <w:r w:rsidR="00592774">
        <w:t xml:space="preserve"> </w:t>
      </w:r>
      <w:r w:rsidR="00CB3662">
        <w:t xml:space="preserve">and </w:t>
      </w:r>
      <w:r w:rsidR="00592774">
        <w:t xml:space="preserve">(2) </w:t>
      </w:r>
      <w:r w:rsidR="00CB3662">
        <w:t xml:space="preserve">the IRS </w:t>
      </w:r>
      <w:r>
        <w:t xml:space="preserve">to determine which projects should be allocated </w:t>
      </w:r>
      <w:r w:rsidRPr="005A228B">
        <w:t>§ 48C</w:t>
      </w:r>
      <w:r>
        <w:t xml:space="preserve"> credits under the </w:t>
      </w:r>
      <w:r w:rsidRPr="005A228B">
        <w:t xml:space="preserve">§ 48C(e) program </w:t>
      </w:r>
      <w:r>
        <w:t xml:space="preserve">and whether a taxpayer can claim the </w:t>
      </w:r>
      <w:r w:rsidRPr="005A228B">
        <w:t>§ 48C</w:t>
      </w:r>
      <w:r>
        <w:t xml:space="preserve"> credits allocated to a project.  </w:t>
      </w:r>
    </w:p>
    <w:p w:rsidR="005C2C05" w:rsidRPr="0025604D" w:rsidP="003C1AB8" w14:paraId="4177676D" w14:textId="77777777">
      <w:r>
        <w:t xml:space="preserve">  </w:t>
      </w:r>
    </w:p>
    <w:p w:rsidR="005C2C05" w:rsidRPr="005378E3" w:rsidP="005378E3" w14:paraId="4177676E" w14:textId="7A929D8D">
      <w:pPr>
        <w:numPr>
          <w:ilvl w:val="0"/>
          <w:numId w:val="12"/>
        </w:numPr>
        <w:rPr>
          <w:u w:val="single"/>
        </w:rPr>
      </w:pPr>
      <w:r w:rsidRPr="0025604D">
        <w:rPr>
          <w:u w:val="single"/>
        </w:rPr>
        <w:t>Use of information technology</w:t>
      </w:r>
      <w:r w:rsidRPr="005378E3">
        <w:rPr>
          <w:u w:val="single"/>
        </w:rPr>
        <w:t xml:space="preserve"> </w:t>
      </w:r>
    </w:p>
    <w:p w:rsidR="005C2C05" w:rsidRPr="0025604D" w:rsidP="00961823" w14:paraId="4177676F" w14:textId="77777777">
      <w:pPr>
        <w:keepNext/>
      </w:pPr>
    </w:p>
    <w:p w:rsidR="005C2C05" w:rsidP="00F72D0B" w14:paraId="41776770" w14:textId="29A72495">
      <w:r>
        <w:rPr>
          <w:rFonts w:cs="Arial"/>
        </w:rPr>
        <w:t xml:space="preserve">Concept papers and </w:t>
      </w:r>
      <w:r w:rsidRPr="006E6507">
        <w:rPr>
          <w:rFonts w:cs="Arial"/>
        </w:rPr>
        <w:t>§ 48C</w:t>
      </w:r>
      <w:r>
        <w:rPr>
          <w:rFonts w:cs="Arial"/>
        </w:rPr>
        <w:t>(e)</w:t>
      </w:r>
      <w:r w:rsidRPr="006E6507">
        <w:rPr>
          <w:rFonts w:cs="Arial"/>
        </w:rPr>
        <w:t xml:space="preserve"> application</w:t>
      </w:r>
      <w:r>
        <w:rPr>
          <w:rFonts w:cs="Arial"/>
        </w:rPr>
        <w:t xml:space="preserve">s </w:t>
      </w:r>
      <w:r w:rsidRPr="009B1F03">
        <w:t xml:space="preserve">are submitted according to </w:t>
      </w:r>
      <w:r>
        <w:t xml:space="preserve">the </w:t>
      </w:r>
      <w:r w:rsidRPr="009B1F03">
        <w:t xml:space="preserve">requirements prescribed in Notice </w:t>
      </w:r>
      <w:r w:rsidR="00901860">
        <w:t>2023-</w:t>
      </w:r>
      <w:r w:rsidR="002A5F33">
        <w:t>18</w:t>
      </w:r>
      <w:r w:rsidR="00D55D86">
        <w:t>.</w:t>
      </w:r>
      <w:r w:rsidRPr="009B1F03">
        <w:t xml:space="preserve">  </w:t>
      </w:r>
      <w:r>
        <w:rPr>
          <w:rFonts w:cs="Arial"/>
        </w:rPr>
        <w:t xml:space="preserve">Concept papers and </w:t>
      </w:r>
      <w:r w:rsidRPr="006E6507">
        <w:rPr>
          <w:rFonts w:cs="Arial"/>
        </w:rPr>
        <w:t>§ 48C</w:t>
      </w:r>
      <w:r>
        <w:rPr>
          <w:rFonts w:cs="Arial"/>
        </w:rPr>
        <w:t>(e)</w:t>
      </w:r>
      <w:r w:rsidRPr="006E6507">
        <w:rPr>
          <w:rFonts w:cs="Arial"/>
        </w:rPr>
        <w:t xml:space="preserve"> application</w:t>
      </w:r>
      <w:r>
        <w:rPr>
          <w:rFonts w:cs="Arial"/>
        </w:rPr>
        <w:t xml:space="preserve">s </w:t>
      </w:r>
      <w:r w:rsidRPr="009B1F03">
        <w:t xml:space="preserve">are to be provided in electronic format </w:t>
      </w:r>
      <w:r w:rsidR="00A73657">
        <w:t xml:space="preserve">through </w:t>
      </w:r>
      <w:r w:rsidR="00FB24C0">
        <w:t xml:space="preserve">an </w:t>
      </w:r>
      <w:r w:rsidRPr="009B1F03">
        <w:t>electronic submission</w:t>
      </w:r>
      <w:r w:rsidR="00FB24C0">
        <w:t xml:space="preserve"> portal</w:t>
      </w:r>
      <w:r w:rsidR="00A73657">
        <w:t>.</w:t>
      </w:r>
      <w:r w:rsidRPr="009B1F03">
        <w:t xml:space="preserve"> </w:t>
      </w:r>
    </w:p>
    <w:p w:rsidR="005C2C05" w:rsidRPr="0025604D" w:rsidP="00F72D0B" w14:paraId="41776771" w14:textId="77777777"/>
    <w:p w:rsidR="005C2C05" w:rsidRPr="005378E3" w:rsidP="005378E3" w14:paraId="41776772" w14:textId="1117578E">
      <w:pPr>
        <w:numPr>
          <w:ilvl w:val="0"/>
          <w:numId w:val="12"/>
        </w:numPr>
        <w:rPr>
          <w:u w:val="single"/>
        </w:rPr>
      </w:pPr>
      <w:r w:rsidRPr="0025604D">
        <w:rPr>
          <w:u w:val="single"/>
        </w:rPr>
        <w:t>Efforts to identify duplication</w:t>
      </w:r>
      <w:r w:rsidRPr="005378E3">
        <w:rPr>
          <w:u w:val="single"/>
        </w:rPr>
        <w:t xml:space="preserve">   </w:t>
      </w:r>
    </w:p>
    <w:p w:rsidR="005C2C05" w:rsidP="00CC4534" w14:paraId="41776773" w14:textId="77777777"/>
    <w:p w:rsidR="004470CC" w:rsidP="004470CC" w14:paraId="41776774" w14:textId="77777777">
      <w:r w:rsidRPr="00131D26">
        <w:t>The information obtained through this collection is unique and is not already available for use or adaptation from another source.</w:t>
      </w:r>
    </w:p>
    <w:p w:rsidR="005C2C05" w:rsidRPr="0025604D" w:rsidP="00F72D0B" w14:paraId="41776775" w14:textId="77777777"/>
    <w:p w:rsidR="005C2C05" w:rsidRPr="0025604D" w:rsidP="005378E3" w14:paraId="41776776" w14:textId="32966E3A">
      <w:pPr>
        <w:numPr>
          <w:ilvl w:val="0"/>
          <w:numId w:val="12"/>
        </w:numPr>
        <w:rPr>
          <w:u w:val="single"/>
        </w:rPr>
      </w:pPr>
      <w:r w:rsidRPr="0025604D">
        <w:rPr>
          <w:u w:val="single"/>
        </w:rPr>
        <w:t>Impact on small entities</w:t>
      </w:r>
    </w:p>
    <w:p w:rsidR="005C2C05" w:rsidRPr="0025604D" w:rsidP="00F72D0B" w14:paraId="41776777" w14:textId="77777777"/>
    <w:p w:rsidR="004470CC" w:rsidRPr="00131D26" w:rsidP="004470CC" w14:paraId="41776778" w14:textId="77777777">
      <w:r w:rsidRPr="00131D26">
        <w:t>The collection of information requirement will not have a significant economic impact on a substantial number of small entities.</w:t>
      </w:r>
    </w:p>
    <w:p w:rsidR="005C2C05" w:rsidRPr="0025604D" w:rsidP="00F72D0B" w14:paraId="41776779" w14:textId="77777777"/>
    <w:p w:rsidR="005C2C05" w:rsidRPr="0025604D" w:rsidP="005378E3" w14:paraId="4177677A" w14:textId="0A42C96B">
      <w:pPr>
        <w:numPr>
          <w:ilvl w:val="0"/>
          <w:numId w:val="12"/>
        </w:numPr>
        <w:rPr>
          <w:u w:val="single"/>
        </w:rPr>
      </w:pPr>
      <w:r w:rsidRPr="0025604D">
        <w:rPr>
          <w:u w:val="single"/>
        </w:rPr>
        <w:t>Consequences of less frequent collection and obstacles to burden reduction</w:t>
      </w:r>
    </w:p>
    <w:p w:rsidR="005C2C05" w:rsidRPr="0025604D" w:rsidP="00F72D0B" w14:paraId="4177677B" w14:textId="77777777"/>
    <w:p w:rsidR="005C2C05" w:rsidP="00F72D0B" w14:paraId="4177677E" w14:textId="75C1CB4B">
      <w:r>
        <w:t xml:space="preserve">As provided above, the information collected will be used to determine which projects should be allocated </w:t>
      </w:r>
      <w:r w:rsidRPr="005A228B">
        <w:t>§ 48C</w:t>
      </w:r>
      <w:r>
        <w:t xml:space="preserve"> credits under the </w:t>
      </w:r>
      <w:r w:rsidRPr="005A228B">
        <w:t xml:space="preserve">§ 48C(e) program </w:t>
      </w:r>
      <w:r>
        <w:t xml:space="preserve">and whether a taxpayer can claim the </w:t>
      </w:r>
      <w:r w:rsidRPr="005A228B">
        <w:t>§ 48C</w:t>
      </w:r>
      <w:r>
        <w:t xml:space="preserve"> credits allocated to a project.  </w:t>
      </w:r>
      <w:r w:rsidRPr="00131D26">
        <w:t xml:space="preserve">A less frequent collection will not enable the IRS to </w:t>
      </w:r>
      <w:r>
        <w:t xml:space="preserve">appropriately allocate </w:t>
      </w:r>
      <w:r w:rsidRPr="005A228B">
        <w:t>§ 48C</w:t>
      </w:r>
      <w:r>
        <w:t xml:space="preserve"> credits under the </w:t>
      </w:r>
      <w:r w:rsidRPr="005A228B">
        <w:t xml:space="preserve">§ 48C(e) program </w:t>
      </w:r>
      <w:r>
        <w:t xml:space="preserve">as required by </w:t>
      </w:r>
      <w:r w:rsidRPr="005A228B">
        <w:t>§ 48</w:t>
      </w:r>
      <w:r>
        <w:t xml:space="preserve">C(e).  </w:t>
      </w:r>
    </w:p>
    <w:p w:rsidR="00CF0E68" w:rsidRPr="0025604D" w:rsidP="00F72D0B" w14:paraId="26A1001F" w14:textId="77777777"/>
    <w:p w:rsidR="005C2C05" w:rsidRPr="0025604D" w:rsidP="005378E3" w14:paraId="4177677F" w14:textId="5D3AB640">
      <w:pPr>
        <w:numPr>
          <w:ilvl w:val="0"/>
          <w:numId w:val="12"/>
        </w:numPr>
        <w:rPr>
          <w:u w:val="single"/>
        </w:rPr>
      </w:pPr>
      <w:r w:rsidRPr="0025604D">
        <w:rPr>
          <w:u w:val="single"/>
        </w:rPr>
        <w:t>Circumstances requiring special information collection</w:t>
      </w:r>
    </w:p>
    <w:p w:rsidR="005C2C05" w:rsidP="00CB003A" w14:paraId="41776780" w14:textId="77777777">
      <w:pPr>
        <w:rPr>
          <w:u w:val="single"/>
        </w:rPr>
      </w:pPr>
    </w:p>
    <w:p w:rsidR="00CF0E68" w:rsidRPr="00F31337" w:rsidP="00CF0E68" w14:paraId="43FDE6AA" w14:textId="77777777">
      <w:r w:rsidRPr="00930944">
        <w:t xml:space="preserve">There are no special circumstances requiring data collection to be inconsistent with </w:t>
      </w:r>
      <w:r>
        <w:t>g</w:t>
      </w:r>
      <w:r w:rsidRPr="00930944">
        <w:t>uidelines in 5 CFR 1320.5(d)(2)</w:t>
      </w:r>
      <w:r>
        <w:t>.</w:t>
      </w:r>
    </w:p>
    <w:p w:rsidR="005C2C05" w:rsidRPr="0025604D" w:rsidP="00CB003A" w14:paraId="41776782" w14:textId="77777777"/>
    <w:p w:rsidR="005C2C05" w:rsidRPr="0025604D" w:rsidP="005378E3" w14:paraId="41776783" w14:textId="0828EB6B">
      <w:pPr>
        <w:numPr>
          <w:ilvl w:val="0"/>
          <w:numId w:val="12"/>
        </w:numPr>
        <w:rPr>
          <w:u w:val="single"/>
        </w:rPr>
      </w:pPr>
      <w:r w:rsidRPr="0025604D">
        <w:rPr>
          <w:u w:val="single"/>
        </w:rPr>
        <w:t>Solicitation of comments on information collection</w:t>
      </w:r>
    </w:p>
    <w:p w:rsidR="005C2C05" w:rsidRPr="0025604D" w:rsidP="00CB003A" w14:paraId="41776784" w14:textId="77777777"/>
    <w:p w:rsidR="00003A36" w:rsidP="00003A36" w14:paraId="5E2E3AE7" w14:textId="174C3B8E">
      <w:r w:rsidRPr="00003A36">
        <w:t xml:space="preserve">Due to the extraordinary circumstances and statutory deadlines for implementing the Section </w:t>
      </w:r>
      <w:r w:rsidR="00625411">
        <w:t xml:space="preserve">13501 of the Inflation Reduction </w:t>
      </w:r>
      <w:r w:rsidRPr="00003A36">
        <w:t>Act of 2022, the Department of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w:t>
      </w:r>
    </w:p>
    <w:p w:rsidR="00625411" w:rsidP="00003A36" w14:paraId="629580D7" w14:textId="1C7C922C"/>
    <w:p w:rsidR="00625411" w:rsidRPr="00003A36" w:rsidP="00003A36" w14:paraId="72006232" w14:textId="37D4773D">
      <w:r>
        <w:t>The Treasury and the IRS</w:t>
      </w:r>
      <w:r w:rsidR="00212C35">
        <w:t xml:space="preserve"> consulted with </w:t>
      </w:r>
      <w:r w:rsidR="00592774">
        <w:t>the DOE</w:t>
      </w:r>
      <w:r w:rsidR="00212C35">
        <w:t xml:space="preserve"> on the </w:t>
      </w:r>
      <w:r w:rsidR="008E2756">
        <w:t xml:space="preserve">qualifying advanced energy project definitions </w:t>
      </w:r>
      <w:r w:rsidR="00D3369D">
        <w:t>provided in</w:t>
      </w:r>
      <w:r w:rsidR="00212C35">
        <w:t xml:space="preserve"> Notice 2023-</w:t>
      </w:r>
      <w:r w:rsidR="002A5F33">
        <w:t>18</w:t>
      </w:r>
      <w:r w:rsidR="00592774">
        <w:t xml:space="preserve"> and the procedures applicable to submitting concept papers and </w:t>
      </w:r>
      <w:r w:rsidRPr="00E3262A" w:rsidR="00D3369D">
        <w:t>application</w:t>
      </w:r>
      <w:r w:rsidR="00D3369D">
        <w:t>s</w:t>
      </w:r>
      <w:r w:rsidRPr="00E3262A" w:rsidR="00D3369D">
        <w:t xml:space="preserve"> for DOE recommendation</w:t>
      </w:r>
      <w:r w:rsidR="00212C35">
        <w:t>.</w:t>
      </w:r>
      <w:r w:rsidRPr="00A85556" w:rsidR="00212C35">
        <w:t xml:space="preserve"> </w:t>
      </w:r>
    </w:p>
    <w:p w:rsidR="005C2C05" w:rsidRPr="0025604D" w:rsidP="00CB003A" w14:paraId="41776788" w14:textId="77777777"/>
    <w:p w:rsidR="00923A34" w:rsidRPr="00923A34" w:rsidP="008D00D2" w14:paraId="41776789" w14:textId="04A11156">
      <w:pPr>
        <w:numPr>
          <w:ilvl w:val="0"/>
          <w:numId w:val="12"/>
        </w:numPr>
        <w:rPr>
          <w:u w:val="single"/>
        </w:rPr>
      </w:pPr>
      <w:r w:rsidRPr="00923A34">
        <w:rPr>
          <w:u w:val="single"/>
        </w:rPr>
        <w:t>E</w:t>
      </w:r>
      <w:r>
        <w:rPr>
          <w:u w:val="single"/>
        </w:rPr>
        <w:t>xplanation of decision to provide any payment or gift to respondents</w:t>
      </w:r>
    </w:p>
    <w:p w:rsidR="00923A34" w:rsidRPr="00923A34" w:rsidP="00923A34" w14:paraId="4177678A" w14:textId="77777777">
      <w:pPr>
        <w:keepNext/>
        <w:ind w:firstLine="360"/>
        <w:rPr>
          <w:u w:val="single"/>
        </w:rPr>
      </w:pPr>
    </w:p>
    <w:p w:rsidR="005C2C05" w:rsidRPr="00923A34" w:rsidP="00923A34" w14:paraId="4177678B" w14:textId="03F0B5FD">
      <w:pPr>
        <w:keepNext/>
      </w:pPr>
      <w:r w:rsidRPr="00923A34">
        <w:t>No payment or gift has been provided to any respondents</w:t>
      </w:r>
      <w:r w:rsidR="00CB3662">
        <w:t>.</w:t>
      </w:r>
    </w:p>
    <w:p w:rsidR="00923A34" w:rsidRPr="0025604D" w:rsidP="00923A34" w14:paraId="4177678C" w14:textId="77777777">
      <w:pPr>
        <w:keepNext/>
        <w:ind w:firstLine="360"/>
      </w:pPr>
    </w:p>
    <w:p w:rsidR="005C2C05" w:rsidRPr="008D00D2" w:rsidP="008D00D2" w14:paraId="4177678D" w14:textId="2EEEB465">
      <w:pPr>
        <w:numPr>
          <w:ilvl w:val="0"/>
          <w:numId w:val="12"/>
        </w:numPr>
        <w:rPr>
          <w:u w:val="single"/>
        </w:rPr>
      </w:pPr>
      <w:r w:rsidRPr="0025604D">
        <w:rPr>
          <w:u w:val="single"/>
        </w:rPr>
        <w:t>Assurance of confidentiality</w:t>
      </w:r>
    </w:p>
    <w:p w:rsidR="005C2C05" w:rsidRPr="0025604D" w:rsidP="00666B6D" w14:paraId="4177678E" w14:textId="77777777">
      <w:pPr>
        <w:keepNext/>
      </w:pPr>
    </w:p>
    <w:p w:rsidR="005C2C05" w:rsidP="00CB003A" w14:paraId="4177678F" w14:textId="2AE8487B">
      <w:r>
        <w:t>Generally, tax returns and tax return information are confidential as required by 26 USC 6103.</w:t>
      </w:r>
      <w:r w:rsidR="00FB24C0">
        <w:t xml:space="preserve">  Section 48C(e)(7) requires the Secretary to publicly disclose the identity of the applicant and the amount of the credit to the applicant.</w:t>
      </w:r>
    </w:p>
    <w:p w:rsidR="005C2C05" w:rsidRPr="0025604D" w:rsidP="00CB003A" w14:paraId="41776790" w14:textId="77777777"/>
    <w:p w:rsidR="005C2C05" w:rsidRPr="0025604D" w:rsidP="008D00D2" w14:paraId="41776791" w14:textId="4AB00ED6">
      <w:pPr>
        <w:numPr>
          <w:ilvl w:val="0"/>
          <w:numId w:val="12"/>
        </w:numPr>
        <w:rPr>
          <w:u w:val="single"/>
        </w:rPr>
      </w:pPr>
      <w:r w:rsidRPr="0025604D">
        <w:rPr>
          <w:u w:val="single"/>
        </w:rPr>
        <w:t>Justification of sensitive questions</w:t>
      </w:r>
    </w:p>
    <w:p w:rsidR="005C2C05" w:rsidRPr="0025604D" w:rsidP="00CB003A" w14:paraId="41776792" w14:textId="77777777"/>
    <w:p w:rsidR="00116640" w:rsidP="00116640" w14:paraId="41776793" w14:textId="77777777">
      <w:r>
        <w:t>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Department of Treasury PIAs can be found at https://www.irs.gov/uac/Privacy-Impact-Assessments-PIA.</w:t>
      </w:r>
    </w:p>
    <w:p w:rsidR="00116640" w:rsidP="00116640" w14:paraId="41776794" w14:textId="77777777"/>
    <w:p w:rsidR="005C2C05" w:rsidRPr="0025604D" w:rsidP="00116640" w14:paraId="41776795" w14:textId="691C6E90">
      <w: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5C2C05" w:rsidRPr="0025604D" w:rsidP="00CB003A" w14:paraId="41776796" w14:textId="77777777"/>
    <w:p w:rsidR="005C2C05" w:rsidRPr="008D00D2" w:rsidP="008D00D2" w14:paraId="41776797" w14:textId="0E64A274">
      <w:pPr>
        <w:numPr>
          <w:ilvl w:val="0"/>
          <w:numId w:val="12"/>
        </w:numPr>
        <w:rPr>
          <w:u w:val="single"/>
        </w:rPr>
      </w:pPr>
      <w:bookmarkStart w:id="2" w:name="OLE_LINK1"/>
      <w:r w:rsidRPr="0025604D">
        <w:rPr>
          <w:u w:val="single"/>
        </w:rPr>
        <w:t>Estimated burden of information collection</w:t>
      </w:r>
    </w:p>
    <w:bookmarkEnd w:id="2"/>
    <w:p w:rsidR="005C2C05" w:rsidP="00CB003A" w14:paraId="41776798" w14:textId="77777777"/>
    <w:p w:rsidR="005C2C05" w:rsidP="00CB003A" w14:paraId="41776799" w14:textId="1D48FAF7">
      <w:r>
        <w:t xml:space="preserve">It is estimated that there will be approximately </w:t>
      </w:r>
      <w:r w:rsidR="00CF0E68">
        <w:t>2,</w:t>
      </w:r>
      <w:r w:rsidR="001348F8">
        <w:t>500</w:t>
      </w:r>
      <w:r>
        <w:t xml:space="preserve"> applicants for this program</w:t>
      </w:r>
      <w:r w:rsidR="008F199A">
        <w:t>.  It is estimated that it will take a total of 136 minutes for taxpayers to complete and submit the concept papers and 626 minutes for the application process</w:t>
      </w:r>
      <w:r>
        <w:t xml:space="preserve">.  The estimated annual reporting burden is therefore </w:t>
      </w:r>
      <w:r w:rsidR="008F199A">
        <w:t>31,750</w:t>
      </w:r>
      <w:r w:rsidR="00CF0E68">
        <w:t xml:space="preserve"> </w:t>
      </w:r>
      <w:r>
        <w:t>hours.</w:t>
      </w:r>
    </w:p>
    <w:p w:rsidR="00CB3662" w:rsidP="00CB003A" w14:paraId="0BACEC44" w14:textId="77777777"/>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1858"/>
        <w:gridCol w:w="1169"/>
        <w:gridCol w:w="1163"/>
        <w:gridCol w:w="1075"/>
        <w:gridCol w:w="1153"/>
        <w:gridCol w:w="1284"/>
      </w:tblGrid>
      <w:tr w14:paraId="417767A1" w14:textId="77777777" w:rsidTr="00CF0E68">
        <w:tblPrEx>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2" w:type="dxa"/>
            <w:shd w:val="clear" w:color="auto" w:fill="auto"/>
            <w:vAlign w:val="bottom"/>
          </w:tcPr>
          <w:p w:rsidR="004470CC" w:rsidRPr="00930637" w:rsidP="00810978" w14:paraId="4177679A"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858" w:type="dxa"/>
            <w:vAlign w:val="bottom"/>
          </w:tcPr>
          <w:p w:rsidR="004470CC" w:rsidRPr="00930637" w:rsidP="00810978" w14:paraId="4177679B"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69" w:type="dxa"/>
            <w:vAlign w:val="bottom"/>
          </w:tcPr>
          <w:p w:rsidR="004470CC" w:rsidRPr="00930637" w:rsidP="00810978" w14:paraId="4177679C" w14:textId="77777777">
            <w:pPr>
              <w:numPr>
                <w:ilvl w:val="12"/>
                <w:numId w:val="0"/>
              </w:numPr>
              <w:jc w:val="center"/>
              <w:rPr>
                <w:rFonts w:ascii="Arial Narrow" w:hAnsi="Arial Narrow"/>
                <w:b/>
                <w:sz w:val="18"/>
                <w:szCs w:val="18"/>
              </w:rPr>
            </w:pPr>
            <w:r>
              <w:rPr>
                <w:rFonts w:ascii="Arial Narrow" w:hAnsi="Arial Narrow"/>
                <w:b/>
                <w:sz w:val="18"/>
                <w:szCs w:val="18"/>
              </w:rPr>
              <w:t>Number of Respondents</w:t>
            </w:r>
          </w:p>
        </w:tc>
        <w:tc>
          <w:tcPr>
            <w:tcW w:w="1163" w:type="dxa"/>
            <w:vAlign w:val="bottom"/>
          </w:tcPr>
          <w:p w:rsidR="004470CC" w:rsidRPr="00930637" w:rsidP="00810978" w14:paraId="4177679D" w14:textId="77777777">
            <w:pPr>
              <w:numPr>
                <w:ilvl w:val="12"/>
                <w:numId w:val="0"/>
              </w:numPr>
              <w:jc w:val="center"/>
              <w:rPr>
                <w:rFonts w:ascii="Arial Narrow" w:hAnsi="Arial Narrow"/>
                <w:b/>
                <w:sz w:val="18"/>
                <w:szCs w:val="18"/>
              </w:rPr>
            </w:pPr>
            <w:r>
              <w:rPr>
                <w:rFonts w:ascii="Arial Narrow" w:hAnsi="Arial Narrow"/>
                <w:b/>
                <w:sz w:val="18"/>
                <w:szCs w:val="18"/>
              </w:rPr>
              <w:t>Number of Responses per Respondent</w:t>
            </w:r>
          </w:p>
        </w:tc>
        <w:tc>
          <w:tcPr>
            <w:tcW w:w="1075" w:type="dxa"/>
            <w:shd w:val="clear" w:color="auto" w:fill="auto"/>
            <w:vAlign w:val="bottom"/>
          </w:tcPr>
          <w:p w:rsidR="004470CC" w:rsidRPr="00930637" w:rsidP="00810978" w14:paraId="4177679E"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53" w:type="dxa"/>
            <w:vAlign w:val="bottom"/>
          </w:tcPr>
          <w:p w:rsidR="004470CC" w:rsidRPr="00930637" w:rsidP="00810978" w14:paraId="4177679F"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284" w:type="dxa"/>
            <w:shd w:val="clear" w:color="auto" w:fill="auto"/>
            <w:vAlign w:val="bottom"/>
          </w:tcPr>
          <w:p w:rsidR="004470CC" w:rsidRPr="00930637" w:rsidP="00810978" w14:paraId="417767A0"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14:paraId="417767A9" w14:textId="77777777" w:rsidTr="00CF0E68">
        <w:tblPrEx>
          <w:tblW w:w="8934" w:type="dxa"/>
          <w:tblLook w:val="04A0"/>
        </w:tblPrEx>
        <w:tc>
          <w:tcPr>
            <w:tcW w:w="1232" w:type="dxa"/>
            <w:shd w:val="clear" w:color="auto" w:fill="auto"/>
            <w:vAlign w:val="bottom"/>
          </w:tcPr>
          <w:p w:rsidR="004470CC" w:rsidRPr="00930637" w:rsidP="00810978" w14:paraId="417767A2" w14:textId="77777777">
            <w:pPr>
              <w:numPr>
                <w:ilvl w:val="12"/>
                <w:numId w:val="0"/>
              </w:numPr>
              <w:jc w:val="center"/>
              <w:rPr>
                <w:rFonts w:ascii="Arial Narrow" w:hAnsi="Arial Narrow"/>
                <w:sz w:val="18"/>
                <w:szCs w:val="18"/>
              </w:rPr>
            </w:pPr>
            <w:r>
              <w:rPr>
                <w:rFonts w:ascii="Arial Narrow" w:hAnsi="Arial Narrow"/>
                <w:sz w:val="18"/>
                <w:szCs w:val="18"/>
              </w:rPr>
              <w:t>IRC 48C</w:t>
            </w:r>
          </w:p>
        </w:tc>
        <w:tc>
          <w:tcPr>
            <w:tcW w:w="1858" w:type="dxa"/>
            <w:vAlign w:val="bottom"/>
          </w:tcPr>
          <w:p w:rsidR="004470CC" w:rsidRPr="00131D26" w:rsidP="00810978" w14:paraId="417767A3" w14:textId="65C57E90">
            <w:pPr>
              <w:numPr>
                <w:ilvl w:val="12"/>
                <w:numId w:val="0"/>
              </w:numPr>
              <w:jc w:val="center"/>
              <w:rPr>
                <w:rFonts w:ascii="Arial Narrow" w:hAnsi="Arial Narrow"/>
                <w:sz w:val="18"/>
                <w:szCs w:val="18"/>
              </w:rPr>
            </w:pPr>
            <w:r>
              <w:rPr>
                <w:rFonts w:ascii="Arial Narrow" w:hAnsi="Arial Narrow"/>
                <w:sz w:val="18"/>
                <w:szCs w:val="18"/>
              </w:rPr>
              <w:t>Concept Papers</w:t>
            </w:r>
          </w:p>
        </w:tc>
        <w:tc>
          <w:tcPr>
            <w:tcW w:w="1169" w:type="dxa"/>
            <w:vAlign w:val="bottom"/>
          </w:tcPr>
          <w:p w:rsidR="004470CC" w:rsidRPr="00930637" w:rsidP="00810978" w14:paraId="417767A4" w14:textId="0822C4C6">
            <w:pPr>
              <w:numPr>
                <w:ilvl w:val="12"/>
                <w:numId w:val="0"/>
              </w:numPr>
              <w:jc w:val="center"/>
              <w:rPr>
                <w:rFonts w:ascii="Arial Narrow" w:hAnsi="Arial Narrow"/>
                <w:sz w:val="18"/>
                <w:szCs w:val="18"/>
              </w:rPr>
            </w:pPr>
            <w:r>
              <w:rPr>
                <w:rFonts w:ascii="Arial Narrow" w:hAnsi="Arial Narrow"/>
                <w:sz w:val="18"/>
                <w:szCs w:val="18"/>
              </w:rPr>
              <w:t>2,</w:t>
            </w:r>
            <w:r w:rsidR="00A73657">
              <w:rPr>
                <w:rFonts w:ascii="Arial Narrow" w:hAnsi="Arial Narrow"/>
                <w:sz w:val="18"/>
                <w:szCs w:val="18"/>
              </w:rPr>
              <w:t>500</w:t>
            </w:r>
          </w:p>
        </w:tc>
        <w:tc>
          <w:tcPr>
            <w:tcW w:w="1163" w:type="dxa"/>
            <w:vAlign w:val="bottom"/>
          </w:tcPr>
          <w:p w:rsidR="004470CC" w:rsidRPr="00930637" w:rsidP="00810978" w14:paraId="417767A5"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75" w:type="dxa"/>
            <w:shd w:val="clear" w:color="auto" w:fill="auto"/>
            <w:vAlign w:val="bottom"/>
          </w:tcPr>
          <w:p w:rsidR="004470CC" w:rsidRPr="00930637" w:rsidP="00810978" w14:paraId="417767A6" w14:textId="586B0137">
            <w:pPr>
              <w:numPr>
                <w:ilvl w:val="12"/>
                <w:numId w:val="0"/>
              </w:numPr>
              <w:jc w:val="center"/>
              <w:rPr>
                <w:rFonts w:ascii="Arial Narrow" w:hAnsi="Arial Narrow"/>
                <w:sz w:val="18"/>
                <w:szCs w:val="18"/>
              </w:rPr>
            </w:pPr>
            <w:r>
              <w:rPr>
                <w:rFonts w:ascii="Arial Narrow" w:hAnsi="Arial Narrow"/>
                <w:sz w:val="18"/>
                <w:szCs w:val="18"/>
              </w:rPr>
              <w:t>2</w:t>
            </w:r>
            <w:r w:rsidR="00A73657">
              <w:rPr>
                <w:rFonts w:ascii="Arial Narrow" w:hAnsi="Arial Narrow"/>
                <w:sz w:val="18"/>
                <w:szCs w:val="18"/>
              </w:rPr>
              <w:t>,500</w:t>
            </w:r>
          </w:p>
        </w:tc>
        <w:tc>
          <w:tcPr>
            <w:tcW w:w="1153" w:type="dxa"/>
            <w:vAlign w:val="bottom"/>
          </w:tcPr>
          <w:p w:rsidR="004470CC" w:rsidP="00810978" w14:paraId="3087B400" w14:textId="77777777">
            <w:pPr>
              <w:numPr>
                <w:ilvl w:val="12"/>
                <w:numId w:val="0"/>
              </w:numPr>
              <w:jc w:val="center"/>
              <w:rPr>
                <w:rFonts w:ascii="Arial Narrow" w:hAnsi="Arial Narrow"/>
                <w:sz w:val="18"/>
                <w:szCs w:val="18"/>
              </w:rPr>
            </w:pPr>
            <w:r>
              <w:rPr>
                <w:rFonts w:ascii="Arial Narrow" w:hAnsi="Arial Narrow"/>
                <w:sz w:val="18"/>
                <w:szCs w:val="18"/>
              </w:rPr>
              <w:t>136 minutes</w:t>
            </w:r>
          </w:p>
          <w:p w:rsidR="00671064" w:rsidRPr="00930637" w:rsidP="00810978" w14:paraId="417767A7" w14:textId="51E50702">
            <w:pPr>
              <w:numPr>
                <w:ilvl w:val="12"/>
                <w:numId w:val="0"/>
              </w:numPr>
              <w:jc w:val="center"/>
              <w:rPr>
                <w:rFonts w:ascii="Arial Narrow" w:hAnsi="Arial Narrow"/>
                <w:sz w:val="18"/>
                <w:szCs w:val="18"/>
              </w:rPr>
            </w:pPr>
            <w:r>
              <w:rPr>
                <w:rFonts w:ascii="Arial Narrow" w:hAnsi="Arial Narrow"/>
                <w:sz w:val="18"/>
                <w:szCs w:val="18"/>
              </w:rPr>
              <w:t>(</w:t>
            </w:r>
            <w:r>
              <w:rPr>
                <w:rFonts w:ascii="Arial Narrow" w:hAnsi="Arial Narrow"/>
                <w:sz w:val="18"/>
                <w:szCs w:val="18"/>
              </w:rPr>
              <w:t>2.2667</w:t>
            </w:r>
            <w:r>
              <w:rPr>
                <w:rFonts w:ascii="Arial Narrow" w:hAnsi="Arial Narrow"/>
                <w:sz w:val="18"/>
                <w:szCs w:val="18"/>
              </w:rPr>
              <w:t xml:space="preserve"> hours)</w:t>
            </w:r>
          </w:p>
        </w:tc>
        <w:tc>
          <w:tcPr>
            <w:tcW w:w="1284" w:type="dxa"/>
            <w:shd w:val="clear" w:color="auto" w:fill="auto"/>
            <w:vAlign w:val="bottom"/>
          </w:tcPr>
          <w:p w:rsidR="004470CC" w:rsidRPr="00930637" w:rsidP="00810978" w14:paraId="417767A8" w14:textId="00155E1F">
            <w:pPr>
              <w:numPr>
                <w:ilvl w:val="12"/>
                <w:numId w:val="0"/>
              </w:numPr>
              <w:jc w:val="center"/>
              <w:rPr>
                <w:rFonts w:ascii="Arial Narrow" w:hAnsi="Arial Narrow"/>
                <w:sz w:val="18"/>
                <w:szCs w:val="18"/>
              </w:rPr>
            </w:pPr>
            <w:r>
              <w:rPr>
                <w:rFonts w:ascii="Arial Narrow" w:hAnsi="Arial Narrow"/>
                <w:sz w:val="18"/>
                <w:szCs w:val="18"/>
              </w:rPr>
              <w:t>5,667</w:t>
            </w:r>
          </w:p>
        </w:tc>
      </w:tr>
      <w:tr w14:paraId="1E93F35E" w14:textId="77777777" w:rsidTr="00CF0E68">
        <w:tblPrEx>
          <w:tblW w:w="8934" w:type="dxa"/>
          <w:tblLook w:val="04A0"/>
        </w:tblPrEx>
        <w:tc>
          <w:tcPr>
            <w:tcW w:w="1232" w:type="dxa"/>
            <w:shd w:val="clear" w:color="auto" w:fill="auto"/>
            <w:vAlign w:val="bottom"/>
          </w:tcPr>
          <w:p w:rsidR="00DC6AE5" w:rsidP="00810978" w14:paraId="0BA3303A" w14:textId="77777777">
            <w:pPr>
              <w:numPr>
                <w:ilvl w:val="12"/>
                <w:numId w:val="0"/>
              </w:numPr>
              <w:jc w:val="center"/>
              <w:rPr>
                <w:rFonts w:ascii="Arial Narrow" w:hAnsi="Arial Narrow"/>
                <w:sz w:val="18"/>
                <w:szCs w:val="18"/>
              </w:rPr>
            </w:pPr>
          </w:p>
        </w:tc>
        <w:tc>
          <w:tcPr>
            <w:tcW w:w="1858" w:type="dxa"/>
            <w:vAlign w:val="bottom"/>
          </w:tcPr>
          <w:p w:rsidR="00DC6AE5" w:rsidP="00810978" w14:paraId="0E7DD932" w14:textId="1E29BDF4">
            <w:pPr>
              <w:numPr>
                <w:ilvl w:val="12"/>
                <w:numId w:val="0"/>
              </w:numPr>
              <w:jc w:val="center"/>
              <w:rPr>
                <w:rFonts w:ascii="Arial Narrow" w:hAnsi="Arial Narrow"/>
                <w:sz w:val="18"/>
                <w:szCs w:val="18"/>
              </w:rPr>
            </w:pPr>
            <w:r>
              <w:rPr>
                <w:rFonts w:ascii="Arial Narrow" w:hAnsi="Arial Narrow"/>
                <w:sz w:val="18"/>
                <w:szCs w:val="18"/>
              </w:rPr>
              <w:t>Application Process</w:t>
            </w:r>
          </w:p>
        </w:tc>
        <w:tc>
          <w:tcPr>
            <w:tcW w:w="1169" w:type="dxa"/>
            <w:vAlign w:val="bottom"/>
          </w:tcPr>
          <w:p w:rsidR="00DC6AE5" w:rsidP="00810978" w14:paraId="0D020884" w14:textId="31CDE778">
            <w:pPr>
              <w:numPr>
                <w:ilvl w:val="12"/>
                <w:numId w:val="0"/>
              </w:numPr>
              <w:jc w:val="center"/>
              <w:rPr>
                <w:rFonts w:ascii="Arial Narrow" w:hAnsi="Arial Narrow"/>
                <w:sz w:val="18"/>
                <w:szCs w:val="18"/>
              </w:rPr>
            </w:pPr>
            <w:r>
              <w:rPr>
                <w:rFonts w:ascii="Arial Narrow" w:hAnsi="Arial Narrow"/>
                <w:sz w:val="18"/>
                <w:szCs w:val="18"/>
              </w:rPr>
              <w:t>2,500</w:t>
            </w:r>
          </w:p>
        </w:tc>
        <w:tc>
          <w:tcPr>
            <w:tcW w:w="1163" w:type="dxa"/>
            <w:vAlign w:val="bottom"/>
          </w:tcPr>
          <w:p w:rsidR="00DC6AE5" w:rsidP="00810978" w14:paraId="220D7005" w14:textId="4335B259">
            <w:pPr>
              <w:numPr>
                <w:ilvl w:val="12"/>
                <w:numId w:val="0"/>
              </w:numPr>
              <w:jc w:val="center"/>
              <w:rPr>
                <w:rFonts w:ascii="Arial Narrow" w:hAnsi="Arial Narrow"/>
                <w:sz w:val="18"/>
                <w:szCs w:val="18"/>
              </w:rPr>
            </w:pPr>
            <w:r>
              <w:rPr>
                <w:rFonts w:ascii="Arial Narrow" w:hAnsi="Arial Narrow"/>
                <w:sz w:val="18"/>
                <w:szCs w:val="18"/>
              </w:rPr>
              <w:t>1</w:t>
            </w:r>
          </w:p>
        </w:tc>
        <w:tc>
          <w:tcPr>
            <w:tcW w:w="1075" w:type="dxa"/>
            <w:shd w:val="clear" w:color="auto" w:fill="auto"/>
            <w:vAlign w:val="bottom"/>
          </w:tcPr>
          <w:p w:rsidR="00DC6AE5" w:rsidP="00810978" w14:paraId="788F2EE7" w14:textId="4D0FE73F">
            <w:pPr>
              <w:numPr>
                <w:ilvl w:val="12"/>
                <w:numId w:val="0"/>
              </w:numPr>
              <w:jc w:val="center"/>
              <w:rPr>
                <w:rFonts w:ascii="Arial Narrow" w:hAnsi="Arial Narrow"/>
                <w:sz w:val="18"/>
                <w:szCs w:val="18"/>
              </w:rPr>
            </w:pPr>
            <w:r>
              <w:rPr>
                <w:rFonts w:ascii="Arial Narrow" w:hAnsi="Arial Narrow"/>
                <w:sz w:val="18"/>
                <w:szCs w:val="18"/>
              </w:rPr>
              <w:t>2,500</w:t>
            </w:r>
          </w:p>
        </w:tc>
        <w:tc>
          <w:tcPr>
            <w:tcW w:w="1153" w:type="dxa"/>
            <w:vAlign w:val="bottom"/>
          </w:tcPr>
          <w:p w:rsidR="00DC6AE5" w:rsidP="00810978" w14:paraId="5D01F17B" w14:textId="77777777">
            <w:pPr>
              <w:numPr>
                <w:ilvl w:val="12"/>
                <w:numId w:val="0"/>
              </w:numPr>
              <w:jc w:val="center"/>
              <w:rPr>
                <w:rFonts w:ascii="Arial Narrow" w:hAnsi="Arial Narrow"/>
                <w:sz w:val="18"/>
                <w:szCs w:val="18"/>
              </w:rPr>
            </w:pPr>
            <w:r>
              <w:rPr>
                <w:rFonts w:ascii="Arial Narrow" w:hAnsi="Arial Narrow"/>
                <w:sz w:val="18"/>
                <w:szCs w:val="18"/>
              </w:rPr>
              <w:t>626 minutes</w:t>
            </w:r>
          </w:p>
          <w:p w:rsidR="00671064" w:rsidP="00810978" w14:paraId="280751E0" w14:textId="60354890">
            <w:pPr>
              <w:numPr>
                <w:ilvl w:val="12"/>
                <w:numId w:val="0"/>
              </w:numPr>
              <w:jc w:val="center"/>
              <w:rPr>
                <w:rFonts w:ascii="Arial Narrow" w:hAnsi="Arial Narrow"/>
                <w:sz w:val="18"/>
                <w:szCs w:val="18"/>
              </w:rPr>
            </w:pPr>
            <w:r>
              <w:rPr>
                <w:rFonts w:ascii="Arial Narrow" w:hAnsi="Arial Narrow"/>
                <w:sz w:val="18"/>
                <w:szCs w:val="18"/>
              </w:rPr>
              <w:t>(</w:t>
            </w:r>
            <w:r>
              <w:rPr>
                <w:rFonts w:ascii="Arial Narrow" w:hAnsi="Arial Narrow"/>
                <w:sz w:val="18"/>
                <w:szCs w:val="18"/>
              </w:rPr>
              <w:t>10.4333 hours</w:t>
            </w:r>
            <w:r>
              <w:rPr>
                <w:rFonts w:ascii="Arial Narrow" w:hAnsi="Arial Narrow"/>
                <w:sz w:val="18"/>
                <w:szCs w:val="18"/>
              </w:rPr>
              <w:t>)</w:t>
            </w:r>
          </w:p>
        </w:tc>
        <w:tc>
          <w:tcPr>
            <w:tcW w:w="1284" w:type="dxa"/>
            <w:shd w:val="clear" w:color="auto" w:fill="auto"/>
            <w:vAlign w:val="bottom"/>
          </w:tcPr>
          <w:p w:rsidR="00DC6AE5" w:rsidP="00810978" w14:paraId="3BDCBEE4" w14:textId="36B2CFF6">
            <w:pPr>
              <w:numPr>
                <w:ilvl w:val="12"/>
                <w:numId w:val="0"/>
              </w:numPr>
              <w:jc w:val="center"/>
              <w:rPr>
                <w:rFonts w:ascii="Arial Narrow" w:hAnsi="Arial Narrow"/>
                <w:sz w:val="18"/>
                <w:szCs w:val="18"/>
              </w:rPr>
            </w:pPr>
            <w:r>
              <w:rPr>
                <w:rFonts w:ascii="Arial Narrow" w:hAnsi="Arial Narrow"/>
                <w:sz w:val="18"/>
                <w:szCs w:val="18"/>
              </w:rPr>
              <w:t>26,083</w:t>
            </w:r>
          </w:p>
        </w:tc>
      </w:tr>
      <w:tr w14:paraId="417767B1" w14:textId="77777777" w:rsidTr="00CF0E68">
        <w:tblPrEx>
          <w:tblW w:w="8934" w:type="dxa"/>
          <w:tblLook w:val="04A0"/>
        </w:tblPrEx>
        <w:tc>
          <w:tcPr>
            <w:tcW w:w="1232" w:type="dxa"/>
            <w:shd w:val="clear" w:color="auto" w:fill="auto"/>
            <w:vAlign w:val="bottom"/>
          </w:tcPr>
          <w:p w:rsidR="004470CC" w:rsidRPr="00930637" w:rsidP="00810978" w14:paraId="417767AA"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858" w:type="dxa"/>
            <w:vAlign w:val="bottom"/>
          </w:tcPr>
          <w:p w:rsidR="004470CC" w:rsidRPr="00930637" w:rsidP="00810978" w14:paraId="417767AB" w14:textId="77777777">
            <w:pPr>
              <w:numPr>
                <w:ilvl w:val="12"/>
                <w:numId w:val="0"/>
              </w:numPr>
              <w:jc w:val="center"/>
              <w:rPr>
                <w:rFonts w:ascii="Arial Narrow" w:hAnsi="Arial Narrow"/>
                <w:sz w:val="18"/>
                <w:szCs w:val="18"/>
              </w:rPr>
            </w:pPr>
          </w:p>
        </w:tc>
        <w:tc>
          <w:tcPr>
            <w:tcW w:w="1169" w:type="dxa"/>
            <w:vAlign w:val="bottom"/>
          </w:tcPr>
          <w:p w:rsidR="004470CC" w:rsidRPr="00930637" w:rsidP="00810978" w14:paraId="417767AC" w14:textId="10CB5A23">
            <w:pPr>
              <w:numPr>
                <w:ilvl w:val="12"/>
                <w:numId w:val="0"/>
              </w:numPr>
              <w:jc w:val="center"/>
              <w:rPr>
                <w:rFonts w:ascii="Arial Narrow" w:hAnsi="Arial Narrow"/>
                <w:sz w:val="18"/>
                <w:szCs w:val="18"/>
              </w:rPr>
            </w:pPr>
            <w:r>
              <w:rPr>
                <w:rFonts w:ascii="Arial Narrow" w:hAnsi="Arial Narrow"/>
                <w:sz w:val="18"/>
                <w:szCs w:val="18"/>
              </w:rPr>
              <w:t>2,500</w:t>
            </w:r>
          </w:p>
        </w:tc>
        <w:tc>
          <w:tcPr>
            <w:tcW w:w="1163" w:type="dxa"/>
            <w:vAlign w:val="bottom"/>
          </w:tcPr>
          <w:p w:rsidR="004470CC" w:rsidRPr="00930637" w:rsidP="00810978" w14:paraId="417767AD" w14:textId="77777777">
            <w:pPr>
              <w:numPr>
                <w:ilvl w:val="12"/>
                <w:numId w:val="0"/>
              </w:numPr>
              <w:jc w:val="center"/>
              <w:rPr>
                <w:rFonts w:ascii="Arial Narrow" w:hAnsi="Arial Narrow"/>
                <w:sz w:val="18"/>
                <w:szCs w:val="18"/>
              </w:rPr>
            </w:pPr>
          </w:p>
        </w:tc>
        <w:tc>
          <w:tcPr>
            <w:tcW w:w="1075" w:type="dxa"/>
            <w:shd w:val="clear" w:color="auto" w:fill="auto"/>
            <w:vAlign w:val="bottom"/>
          </w:tcPr>
          <w:p w:rsidR="004470CC" w:rsidRPr="00930637" w:rsidP="00810978" w14:paraId="417767AE" w14:textId="078077D1">
            <w:pPr>
              <w:numPr>
                <w:ilvl w:val="12"/>
                <w:numId w:val="0"/>
              </w:numPr>
              <w:jc w:val="center"/>
              <w:rPr>
                <w:rFonts w:ascii="Arial Narrow" w:hAnsi="Arial Narrow"/>
                <w:sz w:val="18"/>
                <w:szCs w:val="18"/>
              </w:rPr>
            </w:pPr>
            <w:r>
              <w:rPr>
                <w:rFonts w:ascii="Arial Narrow" w:hAnsi="Arial Narrow"/>
                <w:sz w:val="18"/>
                <w:szCs w:val="18"/>
              </w:rPr>
              <w:t>5,000</w:t>
            </w:r>
          </w:p>
        </w:tc>
        <w:tc>
          <w:tcPr>
            <w:tcW w:w="1153" w:type="dxa"/>
            <w:vAlign w:val="bottom"/>
          </w:tcPr>
          <w:p w:rsidR="004470CC" w:rsidRPr="00930637" w:rsidP="00810978" w14:paraId="417767AF" w14:textId="1216982C">
            <w:pPr>
              <w:numPr>
                <w:ilvl w:val="12"/>
                <w:numId w:val="0"/>
              </w:numPr>
              <w:jc w:val="center"/>
              <w:rPr>
                <w:rFonts w:ascii="Arial Narrow" w:hAnsi="Arial Narrow"/>
                <w:sz w:val="18"/>
                <w:szCs w:val="18"/>
              </w:rPr>
            </w:pPr>
          </w:p>
        </w:tc>
        <w:tc>
          <w:tcPr>
            <w:tcW w:w="1284" w:type="dxa"/>
            <w:shd w:val="clear" w:color="auto" w:fill="auto"/>
            <w:vAlign w:val="bottom"/>
          </w:tcPr>
          <w:p w:rsidR="004470CC" w:rsidRPr="00930637" w:rsidP="00810978" w14:paraId="417767B0" w14:textId="092E89A7">
            <w:pPr>
              <w:numPr>
                <w:ilvl w:val="12"/>
                <w:numId w:val="0"/>
              </w:numPr>
              <w:jc w:val="center"/>
              <w:rPr>
                <w:rFonts w:ascii="Arial Narrow" w:hAnsi="Arial Narrow"/>
                <w:sz w:val="18"/>
                <w:szCs w:val="18"/>
              </w:rPr>
            </w:pPr>
            <w:r>
              <w:rPr>
                <w:rFonts w:ascii="Arial Narrow" w:hAnsi="Arial Narrow"/>
                <w:sz w:val="18"/>
                <w:szCs w:val="18"/>
              </w:rPr>
              <w:t>31,750</w:t>
            </w:r>
          </w:p>
        </w:tc>
      </w:tr>
    </w:tbl>
    <w:p w:rsidR="005C2C05" w:rsidRPr="0025604D" w:rsidP="00CB003A" w14:paraId="417767B3" w14:textId="77777777"/>
    <w:p w:rsidR="005C2C05" w:rsidRPr="008D00D2" w:rsidP="008D00D2" w14:paraId="417767B4" w14:textId="767F1427">
      <w:pPr>
        <w:numPr>
          <w:ilvl w:val="0"/>
          <w:numId w:val="12"/>
        </w:numPr>
        <w:rPr>
          <w:u w:val="single"/>
        </w:rPr>
      </w:pPr>
      <w:r w:rsidRPr="0025604D">
        <w:rPr>
          <w:u w:val="single"/>
        </w:rPr>
        <w:t>Estimated total annual cost burden to respondents</w:t>
      </w:r>
      <w:r w:rsidRPr="005C6A93">
        <w:t>  </w:t>
      </w:r>
    </w:p>
    <w:p w:rsidR="005C2C05" w:rsidRPr="0025604D" w:rsidP="00FB7F1C" w14:paraId="417767B5" w14:textId="77777777">
      <w:pPr>
        <w:keepNext/>
      </w:pPr>
    </w:p>
    <w:p w:rsidR="005C2C05" w:rsidP="00CB003A" w14:paraId="417767B6" w14:textId="2484CBAD">
      <w:pPr>
        <w:rPr>
          <w:bCs/>
        </w:rPr>
      </w:pPr>
      <w:r w:rsidRPr="00923A34">
        <w:rPr>
          <w:bCs/>
        </w:rPr>
        <w:t>There are no start-up costs associated with this collection</w:t>
      </w:r>
      <w:r w:rsidR="00AF1141">
        <w:rPr>
          <w:bCs/>
        </w:rPr>
        <w:t>.</w:t>
      </w:r>
    </w:p>
    <w:p w:rsidR="00923A34" w:rsidRPr="0025604D" w:rsidP="00CB003A" w14:paraId="417767B7" w14:textId="77777777"/>
    <w:p w:rsidR="005C2C05" w:rsidRPr="008D00D2" w:rsidP="008D00D2" w14:paraId="417767B8" w14:textId="42E0640B">
      <w:pPr>
        <w:numPr>
          <w:ilvl w:val="0"/>
          <w:numId w:val="12"/>
        </w:numPr>
        <w:rPr>
          <w:u w:val="single"/>
        </w:rPr>
      </w:pPr>
      <w:r w:rsidRPr="0025604D">
        <w:rPr>
          <w:u w:val="single"/>
        </w:rPr>
        <w:t>Estimated cost to the federal government</w:t>
      </w:r>
    </w:p>
    <w:p w:rsidR="005C2C05" w:rsidRPr="0025604D" w:rsidP="00CB003A" w14:paraId="417767B9" w14:textId="77777777"/>
    <w:p w:rsidR="005C2C05" w:rsidRPr="0025604D" w:rsidP="00CB003A" w14:paraId="417767BA" w14:textId="7F1B0F6A">
      <w:r w:rsidRPr="0025604D">
        <w:t>There will be no costs for the government to receive this information.</w:t>
      </w:r>
    </w:p>
    <w:p w:rsidR="005C2C05" w:rsidRPr="0025604D" w:rsidP="00CB003A" w14:paraId="417767BB" w14:textId="77777777"/>
    <w:p w:rsidR="005C2C05" w:rsidRPr="008D00D2" w:rsidP="008D00D2" w14:paraId="417767BC" w14:textId="06777A48">
      <w:pPr>
        <w:numPr>
          <w:ilvl w:val="0"/>
          <w:numId w:val="12"/>
        </w:numPr>
        <w:rPr>
          <w:u w:val="single"/>
        </w:rPr>
      </w:pPr>
      <w:r w:rsidRPr="0025604D">
        <w:rPr>
          <w:u w:val="single"/>
        </w:rPr>
        <w:t>Reasons for change in burden</w:t>
      </w:r>
    </w:p>
    <w:p w:rsidR="005C2C05" w:rsidRPr="0025604D" w:rsidP="00666B6D" w14:paraId="417767BD" w14:textId="77777777">
      <w:pPr>
        <w:keepNext/>
      </w:pPr>
    </w:p>
    <w:p w:rsidR="005C2C05" w:rsidRPr="0025604D" w:rsidP="00CB003A" w14:paraId="417767BE" w14:textId="5B60150A">
      <w:r>
        <w:t xml:space="preserve">Section 13501(a) of the Inflation Reduction Act of 2022 extends the 48C credit to provide an additional credit allocation of $10 billion.  Therefore, IRS is reinstating the OMB approval of 1545-2151 – Qualifying Advanced Energy Project Credit.  </w:t>
      </w:r>
    </w:p>
    <w:p w:rsidR="005C2C05" w:rsidRPr="0025604D" w:rsidP="00CB003A" w14:paraId="417767BF" w14:textId="77777777"/>
    <w:p w:rsidR="005C2C05" w:rsidRPr="008D00D2" w:rsidP="008D00D2" w14:paraId="417767C0" w14:textId="7A7A90BC">
      <w:pPr>
        <w:numPr>
          <w:ilvl w:val="0"/>
          <w:numId w:val="12"/>
        </w:numPr>
        <w:rPr>
          <w:u w:val="single"/>
        </w:rPr>
      </w:pPr>
      <w:r w:rsidRPr="0025604D">
        <w:rPr>
          <w:u w:val="single"/>
        </w:rPr>
        <w:t>Plans for tabulation, statistical analysis and publication</w:t>
      </w:r>
    </w:p>
    <w:p w:rsidR="005C2C05" w:rsidRPr="0025604D" w:rsidP="00CB003A" w14:paraId="417767C1" w14:textId="77777777"/>
    <w:p w:rsidR="005C2C05" w:rsidP="008D183E" w14:paraId="417767C2" w14:textId="2E3798FF">
      <w:r>
        <w:t xml:space="preserve">Per IRC Section 48C(e)(7) and Section 11 of Notice 2023-18, the Secretary will disclose publicly the identity of the applicant and the amount of the credit certified with respect to such applicant.  </w:t>
      </w:r>
      <w:r w:rsidRPr="00923A34" w:rsidR="00923A34">
        <w:t>There are no</w:t>
      </w:r>
      <w:r>
        <w:t xml:space="preserve"> other</w:t>
      </w:r>
      <w:r w:rsidRPr="00923A34" w:rsidR="00923A34">
        <w:t xml:space="preserve"> plans for tabulation, statistical analysis </w:t>
      </w:r>
      <w:r w:rsidR="00241849">
        <w:t>or</w:t>
      </w:r>
      <w:r w:rsidRPr="00923A34" w:rsidR="00241849">
        <w:t xml:space="preserve"> </w:t>
      </w:r>
      <w:r w:rsidRPr="00923A34" w:rsidR="00923A34">
        <w:t>publication</w:t>
      </w:r>
      <w:r>
        <w:t xml:space="preserve"> of the information collected in accordance with Notice 2023-18</w:t>
      </w:r>
      <w:r w:rsidRPr="00923A34" w:rsidR="00923A34">
        <w:t>.</w:t>
      </w:r>
    </w:p>
    <w:p w:rsidR="00923A34" w:rsidRPr="0025604D" w:rsidP="00CB003A" w14:paraId="417767C3" w14:textId="77777777"/>
    <w:p w:rsidR="005C2C05" w:rsidRPr="008D00D2" w:rsidP="008D00D2" w14:paraId="417767C4" w14:textId="4319FA24">
      <w:pPr>
        <w:numPr>
          <w:ilvl w:val="0"/>
          <w:numId w:val="12"/>
        </w:numPr>
        <w:rPr>
          <w:u w:val="single"/>
        </w:rPr>
      </w:pPr>
      <w:r w:rsidRPr="0025604D">
        <w:rPr>
          <w:u w:val="single"/>
        </w:rPr>
        <w:t>Reasons why displaying the OMB expiration date is inappropriate</w:t>
      </w:r>
    </w:p>
    <w:p w:rsidR="005C2C05" w:rsidRPr="0025604D" w:rsidP="00CB003A" w14:paraId="417767C5" w14:textId="77777777"/>
    <w:p w:rsidR="005378E3" w:rsidRPr="005378E3" w:rsidP="005378E3" w14:paraId="59BDB34E" w14:textId="77777777">
      <w:r w:rsidRPr="005378E3">
        <w:t>IRS believes that displaying the OMB expiration date is inappropriate because it could cause confusion by leading taxpayers to believe that the form sunsets as of the expiration date. Taxpayers are not likely to be aware that IRS intends to request renewal of the OMB approval and obtain a new expiration date before the old one expires.</w:t>
      </w:r>
    </w:p>
    <w:p w:rsidR="005C2C05" w:rsidRPr="0025604D" w:rsidP="00CB003A" w14:paraId="417767D1" w14:textId="296F31B4">
      <w:r>
        <w:t xml:space="preserve">   </w:t>
      </w:r>
    </w:p>
    <w:p w:rsidR="005C2C05" w:rsidRPr="00282304" w:rsidP="00282304" w14:paraId="417767D2" w14:textId="4F9FA139">
      <w:pPr>
        <w:numPr>
          <w:ilvl w:val="0"/>
          <w:numId w:val="12"/>
        </w:numPr>
        <w:rPr>
          <w:u w:val="single"/>
        </w:rPr>
      </w:pPr>
      <w:r w:rsidRPr="0025604D">
        <w:rPr>
          <w:u w:val="single"/>
        </w:rPr>
        <w:t xml:space="preserve">Exceptions to certification </w:t>
      </w:r>
    </w:p>
    <w:p w:rsidR="005C2C05" w:rsidRPr="0025604D" w:rsidP="00CB003A" w14:paraId="417767D3" w14:textId="77777777"/>
    <w:p w:rsidR="005C2C05" w:rsidP="00A90BAB" w14:paraId="417767D4" w14:textId="0CFFE326">
      <w:r w:rsidRPr="00923A34">
        <w:t>There are no exceptions to the certification statement.</w:t>
      </w:r>
    </w:p>
    <w:p w:rsidR="00223FF1" w:rsidP="00A90BAB" w14:paraId="4FB9EA11" w14:textId="77777777"/>
    <w:p w:rsidR="005C2C05" w:rsidRPr="0008675A" w:rsidP="00521924" w14:paraId="417767D5" w14:textId="77777777">
      <w:r w:rsidRPr="0008675A">
        <w:rPr>
          <w:u w:val="single"/>
        </w:rPr>
        <w:t>Note:</w:t>
      </w:r>
      <w:r w:rsidRPr="0008675A">
        <w:t xml:space="preserve">   The following paragraph applies to all of the collections of information in this submission:</w:t>
      </w:r>
    </w:p>
    <w:p w:rsidR="005C2C05" w:rsidRPr="0008675A" w:rsidP="00521924" w14:paraId="417767D6" w14:textId="77777777"/>
    <w:p w:rsidR="005C2C05" w:rsidRPr="0008675A" w:rsidP="00521924" w14:paraId="417767D7" w14:textId="77777777">
      <w:r w:rsidRPr="0008675A">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5C2C05" w:rsidP="00521924" w14:paraId="417767D8" w14:textId="77777777"/>
    <w:sectPr w:rsidSect="00EB5E62">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08831190">
    <w:abstractNumId w:val="2"/>
  </w:num>
  <w:num w:numId="2" w16cid:durableId="966740132">
    <w:abstractNumId w:val="9"/>
  </w:num>
  <w:num w:numId="3" w16cid:durableId="40137891">
    <w:abstractNumId w:val="11"/>
  </w:num>
  <w:num w:numId="4" w16cid:durableId="1650286649">
    <w:abstractNumId w:val="4"/>
  </w:num>
  <w:num w:numId="5" w16cid:durableId="894702637">
    <w:abstractNumId w:val="10"/>
  </w:num>
  <w:num w:numId="6" w16cid:durableId="172188136">
    <w:abstractNumId w:val="3"/>
  </w:num>
  <w:num w:numId="7" w16cid:durableId="1696611753">
    <w:abstractNumId w:val="0"/>
  </w:num>
  <w:num w:numId="8" w16cid:durableId="547882149">
    <w:abstractNumId w:val="7"/>
  </w:num>
  <w:num w:numId="9" w16cid:durableId="447092587">
    <w:abstractNumId w:val="6"/>
  </w:num>
  <w:num w:numId="10" w16cid:durableId="1990742861">
    <w:abstractNumId w:val="8"/>
  </w:num>
  <w:num w:numId="11" w16cid:durableId="1773434589">
    <w:abstractNumId w:val="1"/>
  </w:num>
  <w:num w:numId="12" w16cid:durableId="885873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2F56"/>
    <w:rsid w:val="00032166"/>
    <w:rsid w:val="00046778"/>
    <w:rsid w:val="00073704"/>
    <w:rsid w:val="000762ED"/>
    <w:rsid w:val="0008675A"/>
    <w:rsid w:val="000B0264"/>
    <w:rsid w:val="000C7031"/>
    <w:rsid w:val="000E1F44"/>
    <w:rsid w:val="000F2AE6"/>
    <w:rsid w:val="000F53C2"/>
    <w:rsid w:val="0010021E"/>
    <w:rsid w:val="00105553"/>
    <w:rsid w:val="001110E6"/>
    <w:rsid w:val="00116640"/>
    <w:rsid w:val="00131D26"/>
    <w:rsid w:val="001348F8"/>
    <w:rsid w:val="00147A26"/>
    <w:rsid w:val="0015169B"/>
    <w:rsid w:val="00156E23"/>
    <w:rsid w:val="00161711"/>
    <w:rsid w:val="00166D33"/>
    <w:rsid w:val="00170A2A"/>
    <w:rsid w:val="001719E5"/>
    <w:rsid w:val="001819F2"/>
    <w:rsid w:val="00181F21"/>
    <w:rsid w:val="0018375D"/>
    <w:rsid w:val="001A4A80"/>
    <w:rsid w:val="001A6115"/>
    <w:rsid w:val="001C3DA8"/>
    <w:rsid w:val="001D6012"/>
    <w:rsid w:val="001E127C"/>
    <w:rsid w:val="001E212A"/>
    <w:rsid w:val="001E4BCF"/>
    <w:rsid w:val="001E74D7"/>
    <w:rsid w:val="00203DB3"/>
    <w:rsid w:val="00212C35"/>
    <w:rsid w:val="002154CF"/>
    <w:rsid w:val="00223FF1"/>
    <w:rsid w:val="00235BDF"/>
    <w:rsid w:val="00237FAA"/>
    <w:rsid w:val="0024000F"/>
    <w:rsid w:val="00241849"/>
    <w:rsid w:val="00241A1F"/>
    <w:rsid w:val="0025604D"/>
    <w:rsid w:val="00256911"/>
    <w:rsid w:val="00271992"/>
    <w:rsid w:val="00282304"/>
    <w:rsid w:val="00293974"/>
    <w:rsid w:val="002A5F33"/>
    <w:rsid w:val="002C2A5D"/>
    <w:rsid w:val="003265D6"/>
    <w:rsid w:val="00333F3C"/>
    <w:rsid w:val="00365005"/>
    <w:rsid w:val="003737FC"/>
    <w:rsid w:val="00380639"/>
    <w:rsid w:val="00385107"/>
    <w:rsid w:val="00387E3B"/>
    <w:rsid w:val="00392B31"/>
    <w:rsid w:val="00394A61"/>
    <w:rsid w:val="00396A75"/>
    <w:rsid w:val="003A347F"/>
    <w:rsid w:val="003C068B"/>
    <w:rsid w:val="003C1AB8"/>
    <w:rsid w:val="003F3118"/>
    <w:rsid w:val="00406DAA"/>
    <w:rsid w:val="00436C40"/>
    <w:rsid w:val="0044510E"/>
    <w:rsid w:val="004470CC"/>
    <w:rsid w:val="004550C8"/>
    <w:rsid w:val="00460B20"/>
    <w:rsid w:val="004746FF"/>
    <w:rsid w:val="00475022"/>
    <w:rsid w:val="00475731"/>
    <w:rsid w:val="0047668D"/>
    <w:rsid w:val="00492259"/>
    <w:rsid w:val="00493B99"/>
    <w:rsid w:val="004A78A5"/>
    <w:rsid w:val="004B06B5"/>
    <w:rsid w:val="004B32A0"/>
    <w:rsid w:val="004E0DE8"/>
    <w:rsid w:val="004E4145"/>
    <w:rsid w:val="004E6996"/>
    <w:rsid w:val="004F5145"/>
    <w:rsid w:val="00511978"/>
    <w:rsid w:val="00511CB4"/>
    <w:rsid w:val="00513CFE"/>
    <w:rsid w:val="00521924"/>
    <w:rsid w:val="0052662E"/>
    <w:rsid w:val="00534EA9"/>
    <w:rsid w:val="00535AD0"/>
    <w:rsid w:val="005366FC"/>
    <w:rsid w:val="005378E3"/>
    <w:rsid w:val="00546AA2"/>
    <w:rsid w:val="00572D2C"/>
    <w:rsid w:val="00592774"/>
    <w:rsid w:val="005A228B"/>
    <w:rsid w:val="005C2C05"/>
    <w:rsid w:val="005C6A93"/>
    <w:rsid w:val="005D35C0"/>
    <w:rsid w:val="005D6C80"/>
    <w:rsid w:val="005D7EE0"/>
    <w:rsid w:val="005F2B55"/>
    <w:rsid w:val="005F43A7"/>
    <w:rsid w:val="0060168D"/>
    <w:rsid w:val="006049CB"/>
    <w:rsid w:val="00610580"/>
    <w:rsid w:val="00612025"/>
    <w:rsid w:val="006137E1"/>
    <w:rsid w:val="00625411"/>
    <w:rsid w:val="006264E3"/>
    <w:rsid w:val="00633442"/>
    <w:rsid w:val="0064051D"/>
    <w:rsid w:val="00643306"/>
    <w:rsid w:val="006536E9"/>
    <w:rsid w:val="00666B6D"/>
    <w:rsid w:val="00671064"/>
    <w:rsid w:val="00686B96"/>
    <w:rsid w:val="006B22D1"/>
    <w:rsid w:val="006B3E5B"/>
    <w:rsid w:val="006E6507"/>
    <w:rsid w:val="006F02DD"/>
    <w:rsid w:val="006F0A29"/>
    <w:rsid w:val="006F7235"/>
    <w:rsid w:val="00701278"/>
    <w:rsid w:val="00707BDE"/>
    <w:rsid w:val="0072387B"/>
    <w:rsid w:val="00726B6C"/>
    <w:rsid w:val="00740121"/>
    <w:rsid w:val="00775C08"/>
    <w:rsid w:val="007775A3"/>
    <w:rsid w:val="00790257"/>
    <w:rsid w:val="00795CCA"/>
    <w:rsid w:val="007A0B8F"/>
    <w:rsid w:val="007D0B41"/>
    <w:rsid w:val="007D7889"/>
    <w:rsid w:val="007E69B3"/>
    <w:rsid w:val="007F0335"/>
    <w:rsid w:val="00800D3C"/>
    <w:rsid w:val="00810171"/>
    <w:rsid w:val="00810250"/>
    <w:rsid w:val="00810978"/>
    <w:rsid w:val="0081132F"/>
    <w:rsid w:val="00813491"/>
    <w:rsid w:val="008166BA"/>
    <w:rsid w:val="00832450"/>
    <w:rsid w:val="00856DD0"/>
    <w:rsid w:val="008803A0"/>
    <w:rsid w:val="0089247F"/>
    <w:rsid w:val="008956BA"/>
    <w:rsid w:val="008A3399"/>
    <w:rsid w:val="008A3E67"/>
    <w:rsid w:val="008A4440"/>
    <w:rsid w:val="008A5AEA"/>
    <w:rsid w:val="008A6D0F"/>
    <w:rsid w:val="008B7CB1"/>
    <w:rsid w:val="008C7C38"/>
    <w:rsid w:val="008D00D2"/>
    <w:rsid w:val="008D183E"/>
    <w:rsid w:val="008E2756"/>
    <w:rsid w:val="008E5DE9"/>
    <w:rsid w:val="008F199A"/>
    <w:rsid w:val="00900F75"/>
    <w:rsid w:val="00901860"/>
    <w:rsid w:val="00921EA8"/>
    <w:rsid w:val="00923A34"/>
    <w:rsid w:val="00930637"/>
    <w:rsid w:val="00930944"/>
    <w:rsid w:val="009339C5"/>
    <w:rsid w:val="009379CE"/>
    <w:rsid w:val="00946EB3"/>
    <w:rsid w:val="00950A9E"/>
    <w:rsid w:val="00954BC9"/>
    <w:rsid w:val="00961823"/>
    <w:rsid w:val="009663D0"/>
    <w:rsid w:val="00983B56"/>
    <w:rsid w:val="00986077"/>
    <w:rsid w:val="00990870"/>
    <w:rsid w:val="009B1F03"/>
    <w:rsid w:val="009D0AFE"/>
    <w:rsid w:val="009D6458"/>
    <w:rsid w:val="009E48DD"/>
    <w:rsid w:val="009F01E5"/>
    <w:rsid w:val="009F2F67"/>
    <w:rsid w:val="009F45CC"/>
    <w:rsid w:val="009F4D1C"/>
    <w:rsid w:val="00A00740"/>
    <w:rsid w:val="00A10A09"/>
    <w:rsid w:val="00A10BA6"/>
    <w:rsid w:val="00A1769D"/>
    <w:rsid w:val="00A2596F"/>
    <w:rsid w:val="00A66B23"/>
    <w:rsid w:val="00A67505"/>
    <w:rsid w:val="00A70D48"/>
    <w:rsid w:val="00A71A4F"/>
    <w:rsid w:val="00A73657"/>
    <w:rsid w:val="00A85556"/>
    <w:rsid w:val="00A90BAB"/>
    <w:rsid w:val="00A93EA3"/>
    <w:rsid w:val="00A9744C"/>
    <w:rsid w:val="00AF0E0E"/>
    <w:rsid w:val="00AF1141"/>
    <w:rsid w:val="00B002FE"/>
    <w:rsid w:val="00B07D95"/>
    <w:rsid w:val="00B41318"/>
    <w:rsid w:val="00B50861"/>
    <w:rsid w:val="00B61494"/>
    <w:rsid w:val="00B716A8"/>
    <w:rsid w:val="00B96D67"/>
    <w:rsid w:val="00BA59A6"/>
    <w:rsid w:val="00BB4D18"/>
    <w:rsid w:val="00BC310B"/>
    <w:rsid w:val="00BC318B"/>
    <w:rsid w:val="00BC4F4E"/>
    <w:rsid w:val="00C0391A"/>
    <w:rsid w:val="00C34F74"/>
    <w:rsid w:val="00C36F16"/>
    <w:rsid w:val="00C525D3"/>
    <w:rsid w:val="00C60DF5"/>
    <w:rsid w:val="00C643B1"/>
    <w:rsid w:val="00C65F8F"/>
    <w:rsid w:val="00C70990"/>
    <w:rsid w:val="00C73E4B"/>
    <w:rsid w:val="00C75252"/>
    <w:rsid w:val="00C93531"/>
    <w:rsid w:val="00C954EA"/>
    <w:rsid w:val="00CB003A"/>
    <w:rsid w:val="00CB3662"/>
    <w:rsid w:val="00CC0B33"/>
    <w:rsid w:val="00CC4534"/>
    <w:rsid w:val="00CD27FF"/>
    <w:rsid w:val="00CE2D06"/>
    <w:rsid w:val="00CF0E68"/>
    <w:rsid w:val="00CF3850"/>
    <w:rsid w:val="00D01718"/>
    <w:rsid w:val="00D3369D"/>
    <w:rsid w:val="00D55D86"/>
    <w:rsid w:val="00D8477F"/>
    <w:rsid w:val="00D94983"/>
    <w:rsid w:val="00DA0F09"/>
    <w:rsid w:val="00DA5F5B"/>
    <w:rsid w:val="00DC2EC0"/>
    <w:rsid w:val="00DC6AE5"/>
    <w:rsid w:val="00E2008C"/>
    <w:rsid w:val="00E20513"/>
    <w:rsid w:val="00E3262A"/>
    <w:rsid w:val="00E65994"/>
    <w:rsid w:val="00E673FE"/>
    <w:rsid w:val="00E71397"/>
    <w:rsid w:val="00E7768F"/>
    <w:rsid w:val="00E8070F"/>
    <w:rsid w:val="00EB1FF7"/>
    <w:rsid w:val="00EB5E62"/>
    <w:rsid w:val="00EC4EB8"/>
    <w:rsid w:val="00ED261A"/>
    <w:rsid w:val="00EE0B0E"/>
    <w:rsid w:val="00EE2F8A"/>
    <w:rsid w:val="00F066AB"/>
    <w:rsid w:val="00F24F5A"/>
    <w:rsid w:val="00F27C5F"/>
    <w:rsid w:val="00F31337"/>
    <w:rsid w:val="00F41911"/>
    <w:rsid w:val="00F43B61"/>
    <w:rsid w:val="00F51DC7"/>
    <w:rsid w:val="00F6303F"/>
    <w:rsid w:val="00F72D0B"/>
    <w:rsid w:val="00F75895"/>
    <w:rsid w:val="00FB24C0"/>
    <w:rsid w:val="00FB7F1C"/>
    <w:rsid w:val="00FC174E"/>
    <w:rsid w:val="00FC2B60"/>
    <w:rsid w:val="00FD0BF8"/>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uiPriority w:val="99"/>
    <w:semiHidden/>
    <w:unhideWhenUsed/>
    <w:rsid w:val="002154CF"/>
    <w:rPr>
      <w:sz w:val="16"/>
      <w:szCs w:val="16"/>
    </w:rPr>
  </w:style>
  <w:style w:type="paragraph" w:styleId="CommentText">
    <w:name w:val="annotation text"/>
    <w:basedOn w:val="Normal"/>
    <w:link w:val="CommentTextChar"/>
    <w:uiPriority w:val="99"/>
    <w:semiHidden/>
    <w:unhideWhenUsed/>
    <w:rsid w:val="002154CF"/>
    <w:rPr>
      <w:sz w:val="20"/>
      <w:szCs w:val="20"/>
    </w:rPr>
  </w:style>
  <w:style w:type="character" w:customStyle="1" w:styleId="CommentTextChar">
    <w:name w:val="Comment Text Char"/>
    <w:basedOn w:val="DefaultParagraphFont"/>
    <w:link w:val="CommentText"/>
    <w:uiPriority w:val="99"/>
    <w:semiHidden/>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law.cornell.edu/uscode/text/30/160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Stasko Molly J</cp:lastModifiedBy>
  <cp:revision>9</cp:revision>
  <cp:lastPrinted>2008-10-24T12:52:00Z</cp:lastPrinted>
  <dcterms:created xsi:type="dcterms:W3CDTF">2023-04-03T19:41:00Z</dcterms:created>
  <dcterms:modified xsi:type="dcterms:W3CDTF">2023-05-25T19:37:00Z</dcterms:modified>
</cp:coreProperties>
</file>