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77E74B6B" w14:textId="7AD0D41C">
      <w:pPr>
        <w:jc w:val="center"/>
        <w:rPr>
          <w:rFonts w:eastAsia="Calibri"/>
        </w:rPr>
      </w:pPr>
      <w:r w:rsidRPr="00357C8A">
        <w:rPr>
          <w:rFonts w:eastAsia="Calibri"/>
        </w:rPr>
        <w:t>United States Food and Drug Administration</w:t>
      </w:r>
    </w:p>
    <w:p w:rsidR="00357C8A" w:rsidP="00357C8A" w14:paraId="4B94D5A5" w14:textId="77777777">
      <w:pPr>
        <w:jc w:val="center"/>
        <w:rPr>
          <w:rFonts w:eastAsia="Calibri"/>
        </w:rPr>
      </w:pPr>
    </w:p>
    <w:p w:rsidR="00357C8A" w:rsidP="00357C8A" w14:paraId="65AECB87" w14:textId="483F786E">
      <w:pPr>
        <w:jc w:val="center"/>
        <w:rPr>
          <w:rFonts w:eastAsia="Calibri"/>
        </w:rPr>
      </w:pPr>
      <w:bookmarkStart w:id="0" w:name="_Hlk121350645"/>
      <w:bookmarkStart w:id="1" w:name="_Hlk121350224"/>
      <w:r w:rsidRPr="00AB3B9F">
        <w:rPr>
          <w:rFonts w:eastAsia="Calibri"/>
        </w:rPr>
        <w:t>Importation of Prescription Drugs</w:t>
      </w:r>
      <w:bookmarkEnd w:id="0"/>
      <w:bookmarkEnd w:id="1"/>
    </w:p>
    <w:p w:rsidR="00357C8A" w:rsidP="00357C8A" w14:paraId="3DEEC669" w14:textId="77777777">
      <w:pPr>
        <w:jc w:val="center"/>
        <w:rPr>
          <w:rFonts w:eastAsia="Calibri"/>
        </w:rPr>
      </w:pPr>
    </w:p>
    <w:p w:rsidR="00357C8A" w:rsidP="00357C8A" w14:paraId="52FFAE30" w14:textId="7195BA13">
      <w:pPr>
        <w:jc w:val="center"/>
        <w:rPr>
          <w:rFonts w:eastAsia="Calibri"/>
        </w:rPr>
      </w:pPr>
      <w:r w:rsidRPr="00357C8A">
        <w:rPr>
          <w:rFonts w:eastAsia="Calibri"/>
        </w:rPr>
        <w:t xml:space="preserve">OMB Control No. </w:t>
      </w:r>
      <w:bookmarkStart w:id="2" w:name="_Hlk121350623"/>
      <w:r w:rsidRPr="00357C8A">
        <w:rPr>
          <w:rFonts w:eastAsia="Calibri"/>
        </w:rPr>
        <w:t>0910-</w:t>
      </w:r>
      <w:r w:rsidR="00386F69">
        <w:rPr>
          <w:rFonts w:eastAsia="Calibri"/>
        </w:rPr>
        <w:t>0888</w:t>
      </w:r>
      <w:bookmarkEnd w:id="2"/>
    </w:p>
    <w:p w:rsidR="00357C8A" w:rsidP="00357C8A" w14:paraId="3656B9AB" w14:textId="77777777">
      <w:pPr>
        <w:jc w:val="center"/>
        <w:rPr>
          <w:rFonts w:eastAsia="Calibri"/>
        </w:rPr>
      </w:pPr>
    </w:p>
    <w:p w:rsidR="00357C8A" w:rsidP="00357C8A" w14:paraId="2C2BCB7B" w14:textId="77777777">
      <w:pPr>
        <w:jc w:val="center"/>
        <w:rPr>
          <w:rFonts w:eastAsia="Calibri"/>
        </w:rPr>
      </w:pPr>
      <w:r w:rsidRPr="00357C8A">
        <w:rPr>
          <w:rFonts w:eastAsia="Calibri"/>
        </w:rPr>
        <w:t>SUPPORTING STATEMENT</w:t>
      </w:r>
    </w:p>
    <w:p w:rsidR="009B4DF2" w:rsidP="00357C8A" w14:paraId="45FB0818" w14:textId="77777777">
      <w:pPr>
        <w:jc w:val="center"/>
        <w:rPr>
          <w:rFonts w:eastAsia="Calibri"/>
        </w:rPr>
      </w:pPr>
    </w:p>
    <w:p w:rsidR="00472470" w:rsidP="000D79CC" w14:paraId="7931902D" w14:textId="4C798557">
      <w:pPr>
        <w:rPr>
          <w:rFonts w:eastAsia="Calibri"/>
          <w:b/>
        </w:rPr>
      </w:pPr>
      <w:r>
        <w:rPr>
          <w:rFonts w:eastAsia="Calibri"/>
          <w:b/>
        </w:rPr>
        <w:t>EXTENSION</w:t>
      </w:r>
    </w:p>
    <w:p w:rsidR="00472470" w:rsidP="000D79CC" w14:paraId="0CF8BD5A" w14:textId="77777777">
      <w:pPr>
        <w:rPr>
          <w:rFonts w:eastAsia="Calibri"/>
          <w:b/>
        </w:rPr>
      </w:pPr>
    </w:p>
    <w:p w:rsidR="00357C8A" w:rsidP="000D79CC" w14:paraId="436C6022" w14:textId="7D7502C8">
      <w:pPr>
        <w:rPr>
          <w:rFonts w:eastAsia="Calibri"/>
        </w:rPr>
      </w:pPr>
      <w:r w:rsidRPr="00357C8A">
        <w:rPr>
          <w:rFonts w:eastAsia="Calibri"/>
          <w:b/>
        </w:rPr>
        <w:t>Part A:  Justification</w:t>
      </w:r>
      <w:r w:rsidRPr="00357C8A">
        <w:rPr>
          <w:rFonts w:eastAsia="Calibri"/>
        </w:rPr>
        <w:t>:</w:t>
      </w:r>
    </w:p>
    <w:p w:rsidR="000D79CC" w:rsidRPr="00357C8A" w:rsidP="000D79CC" w14:paraId="53128261" w14:textId="77777777">
      <w:pPr>
        <w:rPr>
          <w:rFonts w:eastAsia="Calibri"/>
        </w:rPr>
      </w:pPr>
    </w:p>
    <w:p w:rsidR="00357C8A" w:rsidRPr="00357C8A" w:rsidP="006705EA" w14:paraId="465D4D07" w14:textId="74004F9E">
      <w:pPr>
        <w:numPr>
          <w:ilvl w:val="0"/>
          <w:numId w:val="6"/>
        </w:numPr>
        <w:spacing w:after="200" w:line="276" w:lineRule="auto"/>
        <w:rPr>
          <w:rFonts w:eastAsia="Calibri"/>
        </w:rPr>
      </w:pPr>
      <w:r w:rsidRPr="00357C8A">
        <w:rPr>
          <w:rFonts w:eastAsia="Calibri"/>
          <w:u w:val="single"/>
        </w:rPr>
        <w:t>Circumstances Making the Collection of Information Necessary</w:t>
      </w:r>
    </w:p>
    <w:p w:rsidR="006B63E1" w:rsidRPr="005C71CA" w:rsidP="00BE3D66" w14:paraId="6D099DFD" w14:textId="4BCB54A0">
      <w:pPr>
        <w:rPr>
          <w:rFonts w:eastAsia="Calibri"/>
        </w:rPr>
      </w:pPr>
      <w:bookmarkStart w:id="3" w:name="_Hlk121350309"/>
      <w:bookmarkStart w:id="4" w:name="_Hlk121350890"/>
      <w:r>
        <w:rPr>
          <w:rFonts w:eastAsia="Calibri"/>
        </w:rPr>
        <w:t>This</w:t>
      </w:r>
      <w:r w:rsidRPr="00386F69" w:rsidR="00386F69">
        <w:rPr>
          <w:rFonts w:eastAsia="Calibri"/>
        </w:rPr>
        <w:t xml:space="preserve"> information collection </w:t>
      </w:r>
      <w:r w:rsidR="005170FC">
        <w:rPr>
          <w:rFonts w:eastAsia="Calibri"/>
        </w:rPr>
        <w:t>supports</w:t>
      </w:r>
      <w:r w:rsidR="00026123">
        <w:rPr>
          <w:rFonts w:eastAsia="Calibri"/>
        </w:rPr>
        <w:t xml:space="preserve"> Food and Drug Administration (FDA, </w:t>
      </w:r>
      <w:r w:rsidR="00395706">
        <w:rPr>
          <w:rFonts w:eastAsia="Calibri"/>
        </w:rPr>
        <w:t>us,</w:t>
      </w:r>
      <w:r w:rsidR="00026123">
        <w:rPr>
          <w:rFonts w:eastAsia="Calibri"/>
        </w:rPr>
        <w:t xml:space="preserve"> or we)</w:t>
      </w:r>
      <w:r w:rsidR="005170FC">
        <w:rPr>
          <w:rFonts w:eastAsia="Calibri"/>
        </w:rPr>
        <w:t xml:space="preserve"> implementation of</w:t>
      </w:r>
      <w:r w:rsidRPr="00386F69" w:rsidR="00386F69">
        <w:rPr>
          <w:rFonts w:eastAsia="Calibri"/>
        </w:rPr>
        <w:t xml:space="preserve"> section 804</w:t>
      </w:r>
      <w:r w:rsidRPr="00F24045" w:rsidR="00F24045">
        <w:rPr>
          <w:rFonts w:eastAsia="Calibri"/>
        </w:rPr>
        <w:t>(b) through (h)</w:t>
      </w:r>
      <w:r w:rsidRPr="00386F69" w:rsidR="00386F69">
        <w:rPr>
          <w:rFonts w:eastAsia="Calibri"/>
        </w:rPr>
        <w:t xml:space="preserve"> of the Federal Food, Drug, and Cosmetic Act (FD&amp;C Act) </w:t>
      </w:r>
      <w:r w:rsidRPr="00C74107" w:rsidR="00C74107">
        <w:rPr>
          <w:rFonts w:eastAsia="Calibri"/>
        </w:rPr>
        <w:t xml:space="preserve">(21 U.S.C. 384(b) through (h)) </w:t>
      </w:r>
      <w:r w:rsidRPr="00386F69" w:rsidR="00386F69">
        <w:rPr>
          <w:rFonts w:eastAsia="Calibri"/>
        </w:rPr>
        <w:t xml:space="preserve">and </w:t>
      </w:r>
      <w:r w:rsidR="00BA3A7A">
        <w:rPr>
          <w:rFonts w:eastAsia="Calibri"/>
        </w:rPr>
        <w:t>applicable regulations</w:t>
      </w:r>
      <w:r w:rsidR="000362EB">
        <w:rPr>
          <w:rFonts w:eastAsia="Calibri"/>
        </w:rPr>
        <w:t xml:space="preserve"> in</w:t>
      </w:r>
      <w:r w:rsidR="0049553C">
        <w:rPr>
          <w:rFonts w:eastAsia="Calibri"/>
        </w:rPr>
        <w:t xml:space="preserve"> </w:t>
      </w:r>
      <w:r w:rsidRPr="00386F69" w:rsidR="00386F69">
        <w:rPr>
          <w:rFonts w:eastAsia="Calibri"/>
        </w:rPr>
        <w:t>21 CFR part 251</w:t>
      </w:r>
      <w:bookmarkEnd w:id="3"/>
      <w:r>
        <w:rPr>
          <w:rFonts w:eastAsia="Calibri"/>
        </w:rPr>
        <w:t xml:space="preserve">, which </w:t>
      </w:r>
      <w:r w:rsidR="00024B81">
        <w:rPr>
          <w:rFonts w:eastAsia="Calibri"/>
        </w:rPr>
        <w:t>provide for the</w:t>
      </w:r>
      <w:r>
        <w:rPr>
          <w:rFonts w:eastAsia="Calibri"/>
        </w:rPr>
        <w:t xml:space="preserve"> importation of certain prescription drugs shipped from Canada</w:t>
      </w:r>
      <w:r w:rsidR="00386F69">
        <w:rPr>
          <w:rFonts w:eastAsia="Calibri"/>
        </w:rPr>
        <w:t>.</w:t>
      </w:r>
      <w:bookmarkEnd w:id="4"/>
      <w:r w:rsidRPr="00386F69" w:rsidR="00386F69">
        <w:rPr>
          <w:rFonts w:eastAsia="Calibri"/>
        </w:rPr>
        <w:t xml:space="preserve">  </w:t>
      </w:r>
      <w:r w:rsidRPr="00BE3D66" w:rsidR="00BE3D66">
        <w:rPr>
          <w:rFonts w:eastAsia="Calibri"/>
        </w:rPr>
        <w:t xml:space="preserve">The purpose of section 804 of the FD&amp;C Act is to reduce the cost of covered </w:t>
      </w:r>
      <w:r w:rsidR="00775669">
        <w:rPr>
          <w:rFonts w:eastAsia="Calibri"/>
        </w:rPr>
        <w:t>products</w:t>
      </w:r>
      <w:r w:rsidRPr="00BE3D66" w:rsidR="00775669">
        <w:rPr>
          <w:rFonts w:eastAsia="Calibri"/>
        </w:rPr>
        <w:t xml:space="preserve"> </w:t>
      </w:r>
      <w:r w:rsidRPr="00BE3D66" w:rsidR="00BE3D66">
        <w:rPr>
          <w:rFonts w:eastAsia="Calibri"/>
        </w:rPr>
        <w:t>to American consumers without imposing additional risk to public health and safety.  The regulations in 21 CFR part 251 set forth procedures</w:t>
      </w:r>
      <w:r w:rsidR="00570C6A">
        <w:rPr>
          <w:rFonts w:eastAsia="Calibri"/>
        </w:rPr>
        <w:t xml:space="preserve"> that</w:t>
      </w:r>
      <w:r w:rsidRPr="00BE3D66" w:rsidR="00BE3D66">
        <w:rPr>
          <w:rFonts w:eastAsia="Calibri"/>
        </w:rPr>
        <w:t xml:space="preserve"> Section 804 Importation Program </w:t>
      </w:r>
      <w:r w:rsidR="00134632">
        <w:rPr>
          <w:rFonts w:eastAsia="Calibri"/>
        </w:rPr>
        <w:t>S</w:t>
      </w:r>
      <w:r w:rsidRPr="00BE3D66" w:rsidR="00BE3D66">
        <w:rPr>
          <w:rFonts w:eastAsia="Calibri"/>
        </w:rPr>
        <w:t xml:space="preserve">ponsors (SIP Sponsors) must follow when submitting plans to implement time-limited programs to begin importation of drugs from Canada.  The regulations also establish criteria for FDA review and authorization of a SIP </w:t>
      </w:r>
      <w:r w:rsidR="00077FC3">
        <w:rPr>
          <w:rFonts w:eastAsia="Calibri"/>
        </w:rPr>
        <w:t>P</w:t>
      </w:r>
      <w:r w:rsidRPr="00BE3D66" w:rsidR="00BE3D66">
        <w:rPr>
          <w:rFonts w:eastAsia="Calibri"/>
        </w:rPr>
        <w:t xml:space="preserve">roposal or supplemental proposal. </w:t>
      </w:r>
      <w:r w:rsidR="000D4843">
        <w:rPr>
          <w:rFonts w:eastAsia="Calibri"/>
        </w:rPr>
        <w:t xml:space="preserve"> </w:t>
      </w:r>
      <w:r w:rsidRPr="00BE3D66" w:rsidR="00BE3D66">
        <w:rPr>
          <w:rFonts w:eastAsia="Calibri"/>
        </w:rPr>
        <w:t xml:space="preserve">Additionally, the regulations set forth requirements for eligible prescription drugs and requirements for entities that engage in importation of eligible prescription drugs.  Finally, the regulations provide </w:t>
      </w:r>
      <w:r w:rsidR="00D6124B">
        <w:rPr>
          <w:rFonts w:eastAsia="Calibri"/>
        </w:rPr>
        <w:t>that</w:t>
      </w:r>
      <w:r w:rsidRPr="00BE3D66" w:rsidR="00BE3D66">
        <w:rPr>
          <w:rFonts w:eastAsia="Calibri"/>
        </w:rPr>
        <w:t xml:space="preserve"> eligible prescription drugs that meet certain requirements </w:t>
      </w:r>
      <w:r w:rsidR="00BD62ED">
        <w:rPr>
          <w:rFonts w:eastAsia="Calibri"/>
        </w:rPr>
        <w:t xml:space="preserve">are exempt </w:t>
      </w:r>
      <w:r w:rsidR="00A57540">
        <w:rPr>
          <w:rFonts w:eastAsia="Calibri"/>
        </w:rPr>
        <w:t>from</w:t>
      </w:r>
      <w:r w:rsidRPr="00BE3D66" w:rsidR="00A57540">
        <w:rPr>
          <w:rFonts w:eastAsia="Calibri"/>
        </w:rPr>
        <w:t xml:space="preserve"> </w:t>
      </w:r>
      <w:r w:rsidRPr="00BE3D66" w:rsidR="00BE3D66">
        <w:rPr>
          <w:rFonts w:eastAsia="Calibri"/>
        </w:rPr>
        <w:t>section 502(f)(1) of the FD&amp;C Act</w:t>
      </w:r>
      <w:r w:rsidR="00DF7A2F">
        <w:rPr>
          <w:rFonts w:eastAsia="Calibri"/>
        </w:rPr>
        <w:t xml:space="preserve"> (</w:t>
      </w:r>
      <w:r w:rsidRPr="00DF7A2F" w:rsidR="00DF7A2F">
        <w:rPr>
          <w:rFonts w:eastAsia="Calibri"/>
        </w:rPr>
        <w:t>21 U.S.C. 352</w:t>
      </w:r>
      <w:r w:rsidR="00DF7A2F">
        <w:rPr>
          <w:rFonts w:eastAsia="Calibri"/>
        </w:rPr>
        <w:t>(f)(1)</w:t>
      </w:r>
      <w:r w:rsidRPr="00DF7A2F" w:rsidR="00DF7A2F">
        <w:rPr>
          <w:rFonts w:eastAsia="Calibri"/>
        </w:rPr>
        <w:t>)</w:t>
      </w:r>
      <w:r w:rsidRPr="00BE3D66" w:rsidR="00BE3D66">
        <w:rPr>
          <w:rFonts w:eastAsia="Calibri"/>
        </w:rPr>
        <w:t>.</w:t>
      </w:r>
      <w:r w:rsidRPr="00386F69" w:rsidR="00386F69">
        <w:rPr>
          <w:rFonts w:eastAsia="Calibri"/>
        </w:rPr>
        <w:t xml:space="preserve"> </w:t>
      </w:r>
      <w:bookmarkStart w:id="5" w:name="_Hlk145932353"/>
    </w:p>
    <w:bookmarkEnd w:id="5"/>
    <w:p w:rsidR="00423272" w:rsidP="00423272" w14:paraId="62486C05" w14:textId="77777777">
      <w:pPr>
        <w:rPr>
          <w:rFonts w:eastAsia="Calibri"/>
        </w:rPr>
      </w:pPr>
    </w:p>
    <w:p w:rsidR="00357C8A" w:rsidP="00863AA6" w14:paraId="4F65F814" w14:textId="273EFBDD">
      <w:pPr>
        <w:rPr>
          <w:rFonts w:eastAsia="Calibri"/>
        </w:rPr>
      </w:pPr>
      <w:r>
        <w:rPr>
          <w:rFonts w:eastAsia="Calibri"/>
        </w:rPr>
        <w:t>Therefore, w</w:t>
      </w:r>
      <w:r w:rsidRPr="005C71CA" w:rsidR="00423272">
        <w:rPr>
          <w:rFonts w:eastAsia="Calibri"/>
        </w:rPr>
        <w:t xml:space="preserve">e request </w:t>
      </w:r>
      <w:r w:rsidR="009C6CC0">
        <w:rPr>
          <w:rFonts w:eastAsia="Calibri"/>
        </w:rPr>
        <w:t>Office of Management and Budget (</w:t>
      </w:r>
      <w:r w:rsidRPr="005C71CA" w:rsidR="00423272">
        <w:rPr>
          <w:rFonts w:eastAsia="Calibri"/>
        </w:rPr>
        <w:t>OMB</w:t>
      </w:r>
      <w:r w:rsidR="009C6CC0">
        <w:rPr>
          <w:rFonts w:eastAsia="Calibri"/>
        </w:rPr>
        <w:t>)</w:t>
      </w:r>
      <w:r w:rsidRPr="005C71CA" w:rsidR="00423272">
        <w:rPr>
          <w:rFonts w:eastAsia="Calibri"/>
        </w:rPr>
        <w:t xml:space="preserve"> approval of </w:t>
      </w:r>
      <w:r w:rsidR="00386F69">
        <w:rPr>
          <w:rFonts w:eastAsia="Calibri"/>
        </w:rPr>
        <w:t>the information collection</w:t>
      </w:r>
      <w:r w:rsidR="0070711F">
        <w:rPr>
          <w:rFonts w:eastAsia="Calibri"/>
        </w:rPr>
        <w:t xml:space="preserve"> associated</w:t>
      </w:r>
      <w:r w:rsidR="00825EE1">
        <w:rPr>
          <w:rFonts w:eastAsia="Calibri"/>
        </w:rPr>
        <w:t xml:space="preserve"> with importation of prescription drug </w:t>
      </w:r>
      <w:r w:rsidR="00AB0C71">
        <w:rPr>
          <w:rFonts w:eastAsia="Calibri"/>
        </w:rPr>
        <w:t>requirements</w:t>
      </w:r>
      <w:r w:rsidRPr="005C71CA" w:rsidR="00AB0C71">
        <w:rPr>
          <w:rFonts w:eastAsia="Calibri"/>
        </w:rPr>
        <w:t xml:space="preserve"> in</w:t>
      </w:r>
      <w:r w:rsidRPr="005C71CA" w:rsidR="00423272">
        <w:rPr>
          <w:rFonts w:eastAsia="Calibri"/>
        </w:rPr>
        <w:t xml:space="preserve"> </w:t>
      </w:r>
      <w:r w:rsidR="005078D1">
        <w:rPr>
          <w:rFonts w:eastAsia="Calibri"/>
        </w:rPr>
        <w:t>the applicable regulations</w:t>
      </w:r>
      <w:r w:rsidRPr="005C71CA" w:rsidR="00423272">
        <w:rPr>
          <w:rFonts w:eastAsia="Calibri"/>
        </w:rPr>
        <w:t>.</w:t>
      </w:r>
    </w:p>
    <w:p w:rsidR="00863AA6" w:rsidRPr="00357C8A" w:rsidP="00863AA6" w14:paraId="1FE29F9A" w14:textId="77777777">
      <w:pPr>
        <w:rPr>
          <w:rFonts w:eastAsia="Calibri"/>
          <w:color w:val="FF0000"/>
        </w:rPr>
      </w:pPr>
    </w:p>
    <w:p w:rsidR="00357C8A" w:rsidRPr="00357C8A" w:rsidP="006705EA" w14:paraId="39D1A85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4E0261" w:rsidP="00863AA6" w14:paraId="06ACDAC9" w14:textId="07D96CBB">
      <w:pPr>
        <w:spacing w:after="200"/>
        <w:rPr>
          <w:rFonts w:eastAsia="Calibri"/>
        </w:rPr>
      </w:pPr>
      <w:bookmarkStart w:id="6" w:name="_Hlk121350866"/>
      <w:r w:rsidRPr="00863AA6">
        <w:rPr>
          <w:rFonts w:eastAsia="Calibri"/>
        </w:rPr>
        <w:t xml:space="preserve">The information collection provisions are designed to facilitate programs for importation of </w:t>
      </w:r>
      <w:r w:rsidR="008E0D12">
        <w:rPr>
          <w:rFonts w:eastAsia="Calibri"/>
        </w:rPr>
        <w:t>products</w:t>
      </w:r>
      <w:r w:rsidRPr="00863AA6" w:rsidR="00FC23E7">
        <w:rPr>
          <w:rFonts w:eastAsia="Calibri"/>
        </w:rPr>
        <w:t xml:space="preserve"> </w:t>
      </w:r>
      <w:r w:rsidRPr="00863AA6">
        <w:rPr>
          <w:rFonts w:eastAsia="Calibri"/>
        </w:rPr>
        <w:t xml:space="preserve">that pose no additional risk to the U.S. public’s health and safety and will result in a significant reduction in the cost of </w:t>
      </w:r>
      <w:r w:rsidR="00AD0FB0">
        <w:rPr>
          <w:rFonts w:eastAsia="Calibri"/>
        </w:rPr>
        <w:t>covered products</w:t>
      </w:r>
      <w:r w:rsidRPr="00863AA6">
        <w:rPr>
          <w:rFonts w:eastAsia="Calibri"/>
        </w:rPr>
        <w:t xml:space="preserve"> to American consumers.  </w:t>
      </w:r>
      <w:r w:rsidR="00AD65A6">
        <w:rPr>
          <w:rFonts w:eastAsia="Calibri"/>
        </w:rPr>
        <w:t xml:space="preserve">We will use the information collected </w:t>
      </w:r>
      <w:r w:rsidRPr="00863AA6">
        <w:rPr>
          <w:rFonts w:eastAsia="Calibri"/>
        </w:rPr>
        <w:t>to review SIP Proposals, including to assess supply chains</w:t>
      </w:r>
      <w:r>
        <w:rPr>
          <w:rFonts w:eastAsia="Calibri"/>
        </w:rPr>
        <w:t xml:space="preserve">.  </w:t>
      </w:r>
    </w:p>
    <w:p w:rsidR="00943E1B" w:rsidP="00943E1B" w14:paraId="7C9A5820" w14:textId="1F4447C7">
      <w:pPr>
        <w:rPr>
          <w:rFonts w:eastAsia="Calibri"/>
          <w:i/>
          <w:iCs/>
        </w:rPr>
      </w:pPr>
      <w:r w:rsidRPr="006B63E1">
        <w:rPr>
          <w:rFonts w:eastAsia="Calibri"/>
        </w:rPr>
        <w:t xml:space="preserve">A SIP can be co-sponsored by a State, Indian Tribe, pharmacist, or wholesale distributor.  An Importer that is a wholesale distributor or pharmacist licensed in the United States will buy eligible prescription drugs directly from a “foreign seller” in Canada which purchases the drugs directly from the manufacturer.  </w:t>
      </w:r>
      <w:r w:rsidRPr="00863AA6" w:rsidR="00076A11">
        <w:rPr>
          <w:rFonts w:eastAsia="Calibri"/>
        </w:rPr>
        <w:t xml:space="preserve">This information collection will be used by the </w:t>
      </w:r>
      <w:r w:rsidR="00A10E37">
        <w:rPr>
          <w:rFonts w:eastAsia="Calibri"/>
        </w:rPr>
        <w:t>p</w:t>
      </w:r>
      <w:r w:rsidRPr="00863AA6" w:rsidR="00076A11">
        <w:rPr>
          <w:rFonts w:eastAsia="Calibri"/>
        </w:rPr>
        <w:t xml:space="preserve">rivate </w:t>
      </w:r>
      <w:r w:rsidRPr="00EC3021" w:rsidR="00A10E37">
        <w:rPr>
          <w:rFonts w:eastAsia="Calibri"/>
        </w:rPr>
        <w:t>s</w:t>
      </w:r>
      <w:r w:rsidRPr="00EC3021" w:rsidR="00076A11">
        <w:rPr>
          <w:rFonts w:eastAsia="Calibri"/>
        </w:rPr>
        <w:t>ector</w:t>
      </w:r>
      <w:r w:rsidRPr="00863AA6" w:rsidR="00076A11">
        <w:rPr>
          <w:rFonts w:eastAsia="Calibri"/>
        </w:rPr>
        <w:t>, State and Tribal Governments (SIP Sponsors), and the Federal Government to maintain the integrity of supply chains, protect the public from interruptions of supply or diversion of these prescription drugs</w:t>
      </w:r>
      <w:r w:rsidR="00767325">
        <w:rPr>
          <w:rFonts w:eastAsia="Calibri"/>
        </w:rPr>
        <w:t>,</w:t>
      </w:r>
      <w:r w:rsidRPr="00863AA6" w:rsidR="00076A11">
        <w:rPr>
          <w:rFonts w:eastAsia="Calibri"/>
        </w:rPr>
        <w:t xml:space="preserve"> and ensure that the drugs are authentic, not degraded, and meet established specifications and standards.</w:t>
      </w:r>
    </w:p>
    <w:p w:rsidR="00943E1B" w:rsidP="00943E1B" w14:paraId="266C5AA8" w14:textId="77777777">
      <w:pPr>
        <w:rPr>
          <w:rFonts w:eastAsia="Calibri"/>
          <w:i/>
          <w:iCs/>
        </w:rPr>
      </w:pPr>
    </w:p>
    <w:p w:rsidR="00863AA6" w:rsidP="00863AA6" w14:paraId="5FD1ADEC" w14:textId="6282C4EE">
      <w:pPr>
        <w:spacing w:after="200"/>
        <w:rPr>
          <w:rFonts w:eastAsia="Calibri"/>
        </w:rPr>
      </w:pPr>
      <w:r>
        <w:rPr>
          <w:rFonts w:eastAsia="Calibri"/>
          <w:i/>
          <w:iCs/>
        </w:rPr>
        <w:t>Description of Respondents:</w:t>
      </w:r>
      <w:r w:rsidR="000D4479">
        <w:rPr>
          <w:rFonts w:eastAsia="Calibri"/>
          <w:i/>
          <w:iCs/>
        </w:rPr>
        <w:t xml:space="preserve"> </w:t>
      </w:r>
      <w:r>
        <w:rPr>
          <w:rFonts w:eastAsia="Calibri"/>
          <w:i/>
          <w:iCs/>
        </w:rPr>
        <w:t xml:space="preserve"> </w:t>
      </w:r>
      <w:r w:rsidRPr="00E113F1" w:rsidR="00E113F1">
        <w:rPr>
          <w:rFonts w:eastAsia="Calibri"/>
        </w:rPr>
        <w:t>Respondents</w:t>
      </w:r>
      <w:r>
        <w:rPr>
          <w:rFonts w:eastAsia="Calibri"/>
        </w:rPr>
        <w:t xml:space="preserve"> to the </w:t>
      </w:r>
      <w:r w:rsidR="000A3FB3">
        <w:rPr>
          <w:rFonts w:eastAsia="Calibri"/>
        </w:rPr>
        <w:t>collection of information are</w:t>
      </w:r>
      <w:r>
        <w:rPr>
          <w:rFonts w:eastAsia="Calibri"/>
        </w:rPr>
        <w:t xml:space="preserve"> </w:t>
      </w:r>
      <w:r w:rsidRPr="00E113F1" w:rsidR="00E113F1">
        <w:rPr>
          <w:rFonts w:eastAsia="Calibri"/>
        </w:rPr>
        <w:t xml:space="preserve">SIP Sponsors </w:t>
      </w:r>
      <w:r w:rsidRPr="002150A2" w:rsidR="00E113F1">
        <w:rPr>
          <w:rFonts w:eastAsia="Calibri"/>
        </w:rPr>
        <w:t>(States or Indian Tribes,</w:t>
      </w:r>
      <w:r w:rsidRPr="00E113F1" w:rsidR="00E113F1">
        <w:rPr>
          <w:rFonts w:eastAsia="Calibri"/>
        </w:rPr>
        <w:t xml:space="preserve"> or in certain future circumstances pharmacists or wholesale distributors, </w:t>
      </w:r>
      <w:r w:rsidRPr="00E113F1" w:rsidR="00E113F1">
        <w:rPr>
          <w:rFonts w:eastAsia="Calibri"/>
        </w:rPr>
        <w:t>and any cosponsor(s))</w:t>
      </w:r>
      <w:r w:rsidR="00E113F1">
        <w:rPr>
          <w:rFonts w:eastAsia="Calibri"/>
        </w:rPr>
        <w:t>,</w:t>
      </w:r>
      <w:r w:rsidRPr="00E113F1" w:rsidR="00E113F1">
        <w:rPr>
          <w:rFonts w:eastAsia="Calibri"/>
        </w:rPr>
        <w:t xml:space="preserve"> </w:t>
      </w:r>
      <w:r w:rsidR="00141D53">
        <w:rPr>
          <w:rFonts w:eastAsia="Calibri"/>
        </w:rPr>
        <w:t>i</w:t>
      </w:r>
      <w:r w:rsidRPr="00E113F1" w:rsidR="00E113F1">
        <w:rPr>
          <w:rFonts w:eastAsia="Calibri"/>
        </w:rPr>
        <w:t>mporters (pharmacists or wholesale distributors)</w:t>
      </w:r>
      <w:r w:rsidR="00E113F1">
        <w:rPr>
          <w:rFonts w:eastAsia="Calibri"/>
        </w:rPr>
        <w:t>,</w:t>
      </w:r>
      <w:r w:rsidRPr="00E113F1" w:rsidR="00E113F1">
        <w:rPr>
          <w:rFonts w:eastAsia="Calibri"/>
        </w:rPr>
        <w:t xml:space="preserve"> and manufacturers of eligible prescription drugs</w:t>
      </w:r>
      <w:r w:rsidRPr="00863AA6">
        <w:rPr>
          <w:rFonts w:eastAsia="Calibri"/>
        </w:rPr>
        <w:t>.</w:t>
      </w:r>
    </w:p>
    <w:bookmarkEnd w:id="6"/>
    <w:p w:rsidR="00357C8A" w:rsidRPr="00357C8A" w:rsidP="006705EA"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C340EA" w:rsidP="0022425B" w14:paraId="3DA140AD" w14:textId="5942ADA0">
      <w:pPr>
        <w:spacing w:after="200"/>
        <w:rPr>
          <w:rFonts w:eastAsia="Calibri"/>
        </w:rPr>
      </w:pPr>
      <w:r w:rsidRPr="00C340EA">
        <w:rPr>
          <w:rFonts w:eastAsia="Calibri"/>
        </w:rPr>
        <w:t xml:space="preserve">FDA estimates that 100 percent of the respondents will use electronic means to fulfill the Agency’s requirements or requests.  </w:t>
      </w:r>
      <w:r>
        <w:rPr>
          <w:rFonts w:eastAsia="Calibri"/>
        </w:rPr>
        <w:t>A</w:t>
      </w:r>
      <w:r w:rsidRPr="00C340EA">
        <w:rPr>
          <w:rFonts w:eastAsia="Calibri"/>
        </w:rPr>
        <w:t xml:space="preserve"> State or Indian Tribe that seeks to implement a SIP must submit a proposal to FDA in electronic format via email to </w:t>
      </w:r>
      <w:hyperlink r:id="rId8" w:history="1">
        <w:r w:rsidRPr="004F7DCF" w:rsidR="009E06E2">
          <w:rPr>
            <w:rStyle w:val="Hyperlink"/>
            <w:rFonts w:eastAsia="Calibri"/>
          </w:rPr>
          <w:t>SIPDrugImportsandRFP@fda.hhs.gov</w:t>
        </w:r>
      </w:hyperlink>
      <w:r w:rsidRPr="00C340EA">
        <w:rPr>
          <w:rFonts w:eastAsia="Calibri"/>
        </w:rPr>
        <w:t xml:space="preserve">.  </w:t>
      </w:r>
      <w:r w:rsidR="009D624F">
        <w:rPr>
          <w:rFonts w:eastAsia="Calibri"/>
        </w:rPr>
        <w:t>A</w:t>
      </w:r>
      <w:r w:rsidRPr="00C340EA">
        <w:rPr>
          <w:rFonts w:eastAsia="Calibri"/>
        </w:rPr>
        <w:t>n importer will submit a pre-import request to FDA via email to</w:t>
      </w:r>
      <w:r w:rsidR="009E06E2">
        <w:rPr>
          <w:rFonts w:eastAsia="Calibri"/>
        </w:rPr>
        <w:t xml:space="preserve"> </w:t>
      </w:r>
      <w:hyperlink r:id="rId8" w:history="1">
        <w:r w:rsidRPr="004F7DCF" w:rsidR="009E06E2">
          <w:rPr>
            <w:rStyle w:val="Hyperlink"/>
            <w:rFonts w:eastAsia="Calibri"/>
          </w:rPr>
          <w:t>SIPDrugImportsandRFP@fda.hhs.gov</w:t>
        </w:r>
      </w:hyperlink>
      <w:r w:rsidRPr="00C340EA">
        <w:rPr>
          <w:rFonts w:eastAsia="Calibri"/>
        </w:rPr>
        <w:t>.</w:t>
      </w:r>
    </w:p>
    <w:p w:rsidR="00357C8A" w:rsidRPr="00357C8A" w:rsidP="006705E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53380B" w14:paraId="298CB76E" w14:textId="72B9ADCB">
      <w:pPr>
        <w:spacing w:after="200"/>
      </w:pPr>
      <w:r w:rsidRPr="005C71CA">
        <w:t>We are unaware of duplicative information collection.</w:t>
      </w:r>
    </w:p>
    <w:p w:rsidR="00357C8A" w:rsidRPr="00357C8A" w:rsidP="006705E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863AA6" w:rsidRPr="00863AA6" w:rsidP="00863AA6" w14:paraId="16EEA361" w14:textId="1AC47F32">
      <w:pPr>
        <w:spacing w:after="200"/>
        <w:rPr>
          <w:rFonts w:eastAsia="Calibri"/>
        </w:rPr>
      </w:pPr>
      <w:r>
        <w:rPr>
          <w:rFonts w:eastAsia="Calibri"/>
        </w:rPr>
        <w:t xml:space="preserve">We do not believe the information collection poses undue burden on small entities. </w:t>
      </w:r>
      <w:r w:rsidRPr="00863AA6">
        <w:rPr>
          <w:rFonts w:eastAsia="Calibri"/>
        </w:rPr>
        <w:t xml:space="preserve"> </w:t>
      </w:r>
    </w:p>
    <w:p w:rsidR="00357C8A" w:rsidP="006705EA" w14:paraId="0AE88DF7" w14:textId="54F78CB8">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173E0F" w:rsidRPr="003061BF" w:rsidP="00395706" w14:paraId="37DE4C48" w14:textId="3ACE34B1">
      <w:pPr>
        <w:spacing w:after="200" w:line="276" w:lineRule="auto"/>
        <w:rPr>
          <w:rFonts w:eastAsia="Calibri"/>
        </w:rPr>
      </w:pPr>
      <w:r w:rsidRPr="003061BF">
        <w:rPr>
          <w:rFonts w:eastAsia="Calibri"/>
        </w:rPr>
        <w:t>The information collection schedule is consistent with statutory and regulatory requirements.</w:t>
      </w:r>
    </w:p>
    <w:p w:rsidR="00357C8A" w:rsidRPr="00357C8A" w:rsidP="006705E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5E153480" w14:textId="15E8E3BC">
      <w:pPr>
        <w:spacing w:after="200"/>
        <w:rPr>
          <w:rFonts w:eastAsia="Calibri"/>
        </w:rPr>
      </w:pPr>
      <w:r w:rsidRPr="00863AA6">
        <w:rPr>
          <w:rFonts w:eastAsia="Calibri"/>
        </w:rPr>
        <w:t xml:space="preserve">There are no special circumstances </w:t>
      </w:r>
      <w:r w:rsidR="007B6326">
        <w:rPr>
          <w:rFonts w:eastAsia="Calibri"/>
        </w:rPr>
        <w:t xml:space="preserve">relating to </w:t>
      </w:r>
      <w:r w:rsidRPr="00863AA6">
        <w:rPr>
          <w:rFonts w:eastAsia="Calibri"/>
        </w:rPr>
        <w:t xml:space="preserve">this </w:t>
      </w:r>
      <w:r w:rsidR="007B6326">
        <w:rPr>
          <w:rFonts w:eastAsia="Calibri"/>
        </w:rPr>
        <w:t xml:space="preserve">information </w:t>
      </w:r>
      <w:r w:rsidRPr="00863AA6">
        <w:rPr>
          <w:rFonts w:eastAsia="Calibri"/>
        </w:rPr>
        <w:t>collection.</w:t>
      </w:r>
    </w:p>
    <w:p w:rsidR="00232B31" w:rsidP="006C5109" w14:paraId="4A9D3A70" w14:textId="4798891D">
      <w:pPr>
        <w:numPr>
          <w:ilvl w:val="0"/>
          <w:numId w:val="6"/>
        </w:numPr>
        <w:tabs>
          <w:tab w:val="left" w:pos="360"/>
        </w:tabs>
        <w:spacing w:after="200" w:line="276" w:lineRule="auto"/>
        <w:rPr>
          <w:rFonts w:eastAsia="Calibri"/>
        </w:rPr>
      </w:pPr>
      <w:r w:rsidRPr="003E0661">
        <w:rPr>
          <w:rFonts w:eastAsia="Calibri"/>
          <w:u w:val="single"/>
        </w:rPr>
        <w:t xml:space="preserve">Comments in Response to the </w:t>
      </w:r>
      <w:r w:rsidRPr="006C5109">
        <w:rPr>
          <w:rFonts w:eastAsia="Calibri"/>
          <w:i/>
          <w:iCs/>
          <w:u w:val="single"/>
        </w:rPr>
        <w:t>Federal Register</w:t>
      </w:r>
      <w:r w:rsidRPr="003E0661">
        <w:rPr>
          <w:rFonts w:eastAsia="Calibri"/>
          <w:u w:val="single"/>
        </w:rPr>
        <w:t xml:space="preserve"> Notice and Efforts to Consult Outside the</w:t>
      </w:r>
      <w:r w:rsidR="009932F5">
        <w:rPr>
          <w:rFonts w:eastAsia="Calibri"/>
          <w:u w:val="single"/>
        </w:rPr>
        <w:t xml:space="preserve"> </w:t>
      </w:r>
      <w:r w:rsidRPr="00232B31">
        <w:rPr>
          <w:rFonts w:eastAsia="Calibri"/>
          <w:u w:val="single"/>
        </w:rPr>
        <w:t>Agency</w:t>
      </w:r>
    </w:p>
    <w:p w:rsidR="00BF034E" w:rsidP="00232B31" w14:paraId="7B9A2C8A" w14:textId="3CDB5887">
      <w:pPr>
        <w:spacing w:after="200" w:line="276" w:lineRule="auto"/>
        <w:rPr>
          <w:rFonts w:eastAsia="Calibri"/>
        </w:rPr>
      </w:pPr>
      <w:r>
        <w:rPr>
          <w:rFonts w:eastAsia="Calibri"/>
        </w:rPr>
        <w:t xml:space="preserve">In </w:t>
      </w:r>
      <w:r w:rsidRPr="003E0661" w:rsidR="00487C15">
        <w:rPr>
          <w:rFonts w:eastAsia="Calibri"/>
        </w:rPr>
        <w:t>accordance with 5 CFR 1320.8(d)</w:t>
      </w:r>
      <w:r w:rsidR="00FB59FF">
        <w:rPr>
          <w:rFonts w:eastAsia="Calibri"/>
        </w:rPr>
        <w:t>,</w:t>
      </w:r>
      <w:r w:rsidRPr="003E0661" w:rsidR="00487C15">
        <w:rPr>
          <w:rFonts w:eastAsia="Calibri"/>
        </w:rPr>
        <w:t xml:space="preserve"> FDA published a </w:t>
      </w:r>
      <w:r w:rsidRPr="003E0661" w:rsidR="003040A9">
        <w:rPr>
          <w:rFonts w:eastAsia="Calibri"/>
        </w:rPr>
        <w:t>60-day</w:t>
      </w:r>
      <w:r w:rsidRPr="003E0661" w:rsidR="00487C15">
        <w:rPr>
          <w:rFonts w:eastAsia="Calibri"/>
        </w:rPr>
        <w:t xml:space="preserve"> notice inviting public comment in </w:t>
      </w:r>
      <w:r w:rsidRPr="005771ED" w:rsidR="00487C15">
        <w:rPr>
          <w:rFonts w:eastAsia="Calibri"/>
        </w:rPr>
        <w:t xml:space="preserve">the </w:t>
      </w:r>
      <w:r w:rsidRPr="005771ED" w:rsidR="00487C15">
        <w:rPr>
          <w:rFonts w:eastAsia="Calibri"/>
          <w:i/>
          <w:iCs/>
        </w:rPr>
        <w:t xml:space="preserve">Federal Register </w:t>
      </w:r>
      <w:r w:rsidRPr="005771ED" w:rsidR="00487C15">
        <w:rPr>
          <w:rFonts w:eastAsia="Calibri"/>
        </w:rPr>
        <w:t xml:space="preserve">of </w:t>
      </w:r>
      <w:r w:rsidR="00173E0F">
        <w:rPr>
          <w:rFonts w:eastAsia="Calibri"/>
        </w:rPr>
        <w:t>June 8, 2023</w:t>
      </w:r>
      <w:r w:rsidRPr="005771ED" w:rsidR="00487C15">
        <w:rPr>
          <w:rFonts w:eastAsia="Calibri"/>
        </w:rPr>
        <w:t xml:space="preserve"> (</w:t>
      </w:r>
      <w:r w:rsidRPr="005771ED" w:rsidR="00096EA9">
        <w:rPr>
          <w:rFonts w:eastAsia="Calibri"/>
        </w:rPr>
        <w:t xml:space="preserve">88 </w:t>
      </w:r>
      <w:r w:rsidRPr="005771ED" w:rsidR="00487C15">
        <w:rPr>
          <w:rFonts w:eastAsia="Calibri"/>
        </w:rPr>
        <w:t>FR</w:t>
      </w:r>
      <w:r w:rsidRPr="005771ED" w:rsidR="00096EA9">
        <w:rPr>
          <w:rFonts w:eastAsia="Calibri"/>
        </w:rPr>
        <w:t xml:space="preserve"> 37549</w:t>
      </w:r>
      <w:r w:rsidRPr="005771ED" w:rsidR="00487C15">
        <w:rPr>
          <w:rFonts w:eastAsia="Calibri"/>
        </w:rPr>
        <w:t xml:space="preserve">). </w:t>
      </w:r>
      <w:r w:rsidRPr="005771ED" w:rsidR="005C5103">
        <w:rPr>
          <w:rFonts w:eastAsia="Calibri"/>
        </w:rPr>
        <w:t xml:space="preserve"> </w:t>
      </w:r>
    </w:p>
    <w:p w:rsidR="00405FB0" w:rsidRPr="00AD3287" w:rsidP="00AD3287" w14:paraId="32D86E87" w14:textId="45E017BF">
      <w:pPr>
        <w:rPr>
          <w:sz w:val="22"/>
          <w:szCs w:val="22"/>
        </w:rPr>
      </w:pPr>
      <w:r w:rsidRPr="00AD3287">
        <w:t xml:space="preserve">We received one comment communicating that we had revised our burden estimates from those found in the final rule that issued October 10, 2020 (85 FR 62094).  The comment also suggested that our figures underestimated burden associated with individual provisions established by part 251 although no alternative figures were proffered.  We note also, that both FDA and respondents continue to </w:t>
      </w:r>
      <w:r w:rsidR="005379AA">
        <w:t>carry out certain</w:t>
      </w:r>
      <w:r w:rsidRPr="00AD3287">
        <w:t xml:space="preserve"> provisions in part 251, including activities related to the information collection elements.  The comment also appeared to question how FDA derived its count of respondents included in the information collection.  In this regard, we note that the scope of the information collection is set forth in 21 CFR 251.1.  We appreciate all comments but refrain from making further modifications to our estimate until we have more experience with the implementation of the information collection.   </w:t>
      </w:r>
    </w:p>
    <w:p w:rsidR="00405FB0" w:rsidRPr="00AD3287" w:rsidP="00405FB0" w14:paraId="3414FDFF" w14:textId="77777777">
      <w:pPr>
        <w:ind w:left="720"/>
      </w:pPr>
    </w:p>
    <w:p w:rsidR="00357C8A" w:rsidRPr="00357C8A" w:rsidP="006705EA" w14:paraId="7968C1B9" w14:textId="5DDC0CF9">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6131FC07" w14:textId="0615FE09">
      <w:pPr>
        <w:spacing w:after="200"/>
        <w:rPr>
          <w:rFonts w:eastAsia="Calibri"/>
          <w:i/>
        </w:rPr>
      </w:pPr>
      <w:r w:rsidRPr="002074FE">
        <w:rPr>
          <w:rFonts w:eastAsia="Calibri"/>
        </w:rPr>
        <w:t>There are no incentives, payments</w:t>
      </w:r>
      <w:r w:rsidR="00B158C3">
        <w:rPr>
          <w:rFonts w:eastAsia="Calibri"/>
        </w:rPr>
        <w:t>,</w:t>
      </w:r>
      <w:r w:rsidRPr="002074FE">
        <w:rPr>
          <w:rFonts w:eastAsia="Calibri"/>
        </w:rPr>
        <w:t xml:space="preserve"> or gifts associated with this information collection.</w:t>
      </w:r>
    </w:p>
    <w:p w:rsidR="00357C8A" w:rsidRPr="00357C8A" w:rsidP="006705EA" w14:paraId="51F27BAA" w14:textId="1C8FD4F5">
      <w:pPr>
        <w:numPr>
          <w:ilvl w:val="0"/>
          <w:numId w:val="6"/>
        </w:numPr>
        <w:spacing w:after="200" w:line="276" w:lineRule="auto"/>
        <w:rPr>
          <w:rFonts w:eastAsia="Calibri"/>
        </w:rPr>
      </w:pPr>
      <w:r w:rsidRPr="003061BF">
        <w:rPr>
          <w:rFonts w:eastAsia="Calibri"/>
        </w:rPr>
        <w:t xml:space="preserve"> </w:t>
      </w:r>
      <w:r w:rsidRPr="00357C8A">
        <w:rPr>
          <w:rFonts w:eastAsia="Calibri"/>
          <w:u w:val="single"/>
        </w:rPr>
        <w:t>Assurance of Confidentiality Provided to Respondents</w:t>
      </w:r>
    </w:p>
    <w:p w:rsidR="00A45ECA" w:rsidRPr="00A45ECA" w:rsidP="00A45ECA" w14:paraId="0E541BBD" w14:textId="491C3312">
      <w:r w:rsidRPr="00A45ECA">
        <w:t>In preparing this Supporting Statement, we consulted our Privacy Office to ensure appropriate identification and handling of information collected.</w:t>
      </w:r>
    </w:p>
    <w:p w:rsidR="00A45ECA" w:rsidP="00A45ECA" w14:paraId="4BB8DD01" w14:textId="527A5365"/>
    <w:p w:rsidR="00395706" w:rsidP="00A45ECA" w14:paraId="39DE184B" w14:textId="1856BD7B"/>
    <w:p w:rsidR="00395706" w:rsidP="00A45ECA" w14:paraId="52AFCF0E" w14:textId="77777777"/>
    <w:p w:rsidR="00026123" w:rsidRPr="00876F3B" w:rsidP="00876F3B" w14:paraId="34FF08D0" w14:textId="4E536ADF">
      <w:pPr>
        <w:ind w:firstLine="720"/>
        <w:rPr>
          <w:i/>
          <w:iCs/>
        </w:rPr>
      </w:pPr>
      <w:r w:rsidRPr="00876F3B">
        <w:rPr>
          <w:i/>
          <w:iCs/>
        </w:rPr>
        <w:t>The Privacy Act of 1974</w:t>
      </w:r>
    </w:p>
    <w:p w:rsidR="00026123" w:rsidRPr="00A45ECA" w:rsidP="00A45ECA" w14:paraId="7137C32D" w14:textId="77777777"/>
    <w:p w:rsidR="00A45ECA" w:rsidP="00A45ECA" w14:paraId="0E0343D0" w14:textId="03479135">
      <w:r w:rsidRPr="00A45ECA">
        <w:t>This ICR collects personally identifiable information (PII).  PII is collected in the context of the subject individuals’ professional capacity and the FDA-related work they perform for their employer (e.g., point of contact at a regulated entity).  The PII submitted includes point of contact name, work phone number, work address, and work email address.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webpage design, FDA limited submission fields and minimized the PII collected to protect the privacy of the individuals.</w:t>
      </w:r>
    </w:p>
    <w:p w:rsidR="00026123" w:rsidP="00A45ECA" w14:paraId="6B9A5B78" w14:textId="1BB3F3CC"/>
    <w:p w:rsidR="00026123" w:rsidRPr="00876F3B" w:rsidP="00876F3B" w14:paraId="619CA48F" w14:textId="765CD166">
      <w:pPr>
        <w:ind w:firstLine="720"/>
        <w:rPr>
          <w:i/>
          <w:iCs/>
        </w:rPr>
      </w:pPr>
      <w:r w:rsidRPr="00876F3B">
        <w:rPr>
          <w:i/>
          <w:iCs/>
        </w:rPr>
        <w:t>The Freedom of Information Act</w:t>
      </w:r>
    </w:p>
    <w:p w:rsidR="00A45ECA" w:rsidRPr="00A45ECA" w:rsidP="00A45ECA" w14:paraId="2E4D2AE0" w14:textId="77777777"/>
    <w:p w:rsidR="00A45ECA" w:rsidRPr="00A45ECA" w:rsidP="00A45ECA" w14:paraId="6A689EDE" w14:textId="6172A293">
      <w:pPr>
        <w:spacing w:after="200"/>
        <w:rPr>
          <w:rFonts w:eastAsia="Calibri"/>
        </w:rPr>
      </w:pPr>
      <w:r w:rsidRPr="00A45ECA">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7C72B7DD" w14:textId="7F3D14BD">
      <w:pPr>
        <w:numPr>
          <w:ilvl w:val="0"/>
          <w:numId w:val="6"/>
        </w:numPr>
        <w:spacing w:after="200" w:line="276" w:lineRule="auto"/>
        <w:rPr>
          <w:rFonts w:eastAsia="Calibri"/>
        </w:rPr>
      </w:pPr>
      <w:r w:rsidRPr="003061BF">
        <w:rPr>
          <w:rFonts w:eastAsia="Calibri"/>
        </w:rPr>
        <w:t xml:space="preserve"> </w:t>
      </w:r>
      <w:r w:rsidRPr="00357C8A">
        <w:rPr>
          <w:rFonts w:eastAsia="Calibri"/>
          <w:u w:val="single"/>
        </w:rPr>
        <w:t>Justification for Sensitive Questions</w:t>
      </w:r>
    </w:p>
    <w:p w:rsidR="00357C8A" w:rsidRPr="00266261" w:rsidP="00DD0E02" w14:paraId="0CF5A1B6" w14:textId="78584CA4">
      <w:pPr>
        <w:spacing w:after="200"/>
        <w:rPr>
          <w:rFonts w:eastAsia="Calibri"/>
          <w:iCs/>
        </w:rPr>
      </w:pPr>
      <w:r>
        <w:rPr>
          <w:rFonts w:eastAsia="Calibri"/>
          <w:iCs/>
        </w:rPr>
        <w:t>The collection of information does not involve sensitive questions</w:t>
      </w:r>
      <w:r w:rsidRPr="00266261">
        <w:rPr>
          <w:rFonts w:eastAsia="Calibri"/>
          <w:iCs/>
        </w:rPr>
        <w:t>.</w:t>
      </w:r>
    </w:p>
    <w:p w:rsidR="00357C8A" w:rsidRPr="00357C8A" w:rsidP="006705EA" w14:paraId="25A9650D" w14:textId="111380CF">
      <w:pPr>
        <w:numPr>
          <w:ilvl w:val="0"/>
          <w:numId w:val="6"/>
        </w:numPr>
        <w:spacing w:after="200" w:line="276" w:lineRule="auto"/>
        <w:rPr>
          <w:rFonts w:eastAsia="Calibri"/>
          <w:u w:val="single"/>
        </w:rPr>
      </w:pPr>
      <w:r w:rsidRPr="000E3BDC">
        <w:rPr>
          <w:rFonts w:eastAsia="Calibri"/>
        </w:rPr>
        <w:t xml:space="preserve"> </w:t>
      </w:r>
      <w:r w:rsidRPr="00357C8A">
        <w:rPr>
          <w:rFonts w:eastAsia="Calibri"/>
          <w:u w:val="single"/>
        </w:rPr>
        <w:t>Estimates of Annualized Burden Hours and Cost</w:t>
      </w:r>
    </w:p>
    <w:p w:rsidR="00357C8A" w:rsidRPr="005C71CA" w:rsidP="0022425B" w14:paraId="658EF539" w14:textId="77777777">
      <w:pPr>
        <w:spacing w:after="200"/>
        <w:ind w:left="360"/>
        <w:rPr>
          <w:rFonts w:eastAsia="Calibri"/>
        </w:rPr>
      </w:pPr>
      <w:r w:rsidRPr="005C71CA">
        <w:rPr>
          <w:rFonts w:eastAsia="Calibri"/>
        </w:rPr>
        <w:t>12a.  Annualized Hour Burden Estimate</w:t>
      </w:r>
    </w:p>
    <w:p w:rsidR="00B8154E" w:rsidP="00B8154E" w14:paraId="01A60F18" w14:textId="46BBD007">
      <w:pPr>
        <w:spacing w:after="200"/>
        <w:ind w:left="360"/>
        <w:rPr>
          <w:rFonts w:eastAsia="Calibri"/>
        </w:rPr>
      </w:pPr>
      <w:r w:rsidRPr="00377C64">
        <w:rPr>
          <w:rFonts w:eastAsia="Calibri"/>
        </w:rPr>
        <w:t>FDA estimates the burden for the information collection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371"/>
        <w:gridCol w:w="1462"/>
        <w:gridCol w:w="1584"/>
        <w:gridCol w:w="1584"/>
        <w:gridCol w:w="1584"/>
      </w:tblGrid>
      <w:tr w14:paraId="78389B64" w14:textId="77777777" w:rsidTr="00E841F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504" w:type="dxa"/>
            <w:gridSpan w:val="6"/>
            <w:tcBorders>
              <w:top w:val="nil"/>
              <w:left w:val="nil"/>
              <w:right w:val="nil"/>
            </w:tcBorders>
            <w:shd w:val="clear" w:color="auto" w:fill="auto"/>
          </w:tcPr>
          <w:p w:rsidR="000A3FB3" w:rsidRPr="00CE0DD7" w:rsidP="00CE0DD7" w14:paraId="6FBB1C46" w14:textId="6E812537">
            <w:pPr>
              <w:jc w:val="center"/>
              <w:rPr>
                <w:b/>
                <w:bCs/>
                <w:sz w:val="20"/>
                <w:szCs w:val="20"/>
              </w:rPr>
            </w:pPr>
            <w:r w:rsidRPr="00CE0DD7">
              <w:rPr>
                <w:sz w:val="20"/>
                <w:szCs w:val="20"/>
              </w:rPr>
              <w:t>Table 1.—Estimated Annual Recordkeeping Burden</w:t>
            </w:r>
          </w:p>
        </w:tc>
      </w:tr>
      <w:tr w14:paraId="03C7C15F" w14:textId="77777777" w:rsidTr="00E841F5">
        <w:tblPrEx>
          <w:tblW w:w="5000" w:type="pct"/>
          <w:tblLayout w:type="fixed"/>
          <w:tblLook w:val="01E0"/>
        </w:tblPrEx>
        <w:trPr>
          <w:cantSplit/>
          <w:trHeight w:val="20"/>
        </w:trPr>
        <w:tc>
          <w:tcPr>
            <w:tcW w:w="1919" w:type="dxa"/>
            <w:shd w:val="clear" w:color="auto" w:fill="auto"/>
          </w:tcPr>
          <w:p w:rsidR="000A3FB3" w:rsidRPr="00CE0DD7" w:rsidP="000A3FB3" w14:paraId="2EAE562C" w14:textId="1D92018C">
            <w:pPr>
              <w:jc w:val="center"/>
              <w:rPr>
                <w:b/>
                <w:bCs/>
                <w:sz w:val="20"/>
                <w:szCs w:val="20"/>
              </w:rPr>
            </w:pPr>
            <w:r w:rsidRPr="00CE0DD7">
              <w:rPr>
                <w:sz w:val="20"/>
                <w:szCs w:val="20"/>
              </w:rPr>
              <w:t xml:space="preserve">21 CFR Section 251; Information Collection Activity </w:t>
            </w:r>
          </w:p>
        </w:tc>
        <w:tc>
          <w:tcPr>
            <w:tcW w:w="1371" w:type="dxa"/>
            <w:shd w:val="clear" w:color="auto" w:fill="auto"/>
          </w:tcPr>
          <w:p w:rsidR="000A3FB3" w:rsidRPr="00CE0DD7" w:rsidP="000A3FB3" w14:paraId="712C9FC9" w14:textId="77777777">
            <w:pPr>
              <w:jc w:val="center"/>
              <w:rPr>
                <w:b/>
                <w:bCs/>
                <w:sz w:val="20"/>
                <w:szCs w:val="20"/>
              </w:rPr>
            </w:pPr>
            <w:r w:rsidRPr="00CE0DD7">
              <w:rPr>
                <w:sz w:val="20"/>
                <w:szCs w:val="20"/>
              </w:rPr>
              <w:t>No. of Respondents</w:t>
            </w:r>
          </w:p>
        </w:tc>
        <w:tc>
          <w:tcPr>
            <w:tcW w:w="1462" w:type="dxa"/>
            <w:shd w:val="clear" w:color="auto" w:fill="auto"/>
          </w:tcPr>
          <w:p w:rsidR="000A3FB3" w:rsidRPr="00CE0DD7" w:rsidP="000A3FB3" w14:paraId="57FADF00" w14:textId="77777777">
            <w:pPr>
              <w:jc w:val="center"/>
              <w:rPr>
                <w:b/>
                <w:bCs/>
                <w:sz w:val="20"/>
                <w:szCs w:val="20"/>
              </w:rPr>
            </w:pPr>
            <w:r w:rsidRPr="00CE0DD7">
              <w:rPr>
                <w:bCs/>
                <w:sz w:val="20"/>
                <w:szCs w:val="20"/>
              </w:rPr>
              <w:t>No. of Records per Recordkeeper</w:t>
            </w:r>
          </w:p>
        </w:tc>
        <w:tc>
          <w:tcPr>
            <w:tcW w:w="1584" w:type="dxa"/>
            <w:shd w:val="clear" w:color="auto" w:fill="auto"/>
          </w:tcPr>
          <w:p w:rsidR="000A3FB3" w:rsidRPr="00CE0DD7" w:rsidP="000A3FB3" w14:paraId="4E49DBF0" w14:textId="77777777">
            <w:pPr>
              <w:jc w:val="center"/>
              <w:rPr>
                <w:b/>
                <w:bCs/>
                <w:sz w:val="20"/>
                <w:szCs w:val="20"/>
              </w:rPr>
            </w:pPr>
            <w:r w:rsidRPr="00CE0DD7">
              <w:rPr>
                <w:sz w:val="20"/>
                <w:szCs w:val="20"/>
              </w:rPr>
              <w:t>Total Annual Records</w:t>
            </w:r>
          </w:p>
        </w:tc>
        <w:tc>
          <w:tcPr>
            <w:tcW w:w="1584" w:type="dxa"/>
            <w:shd w:val="clear" w:color="auto" w:fill="auto"/>
          </w:tcPr>
          <w:p w:rsidR="000A3FB3" w:rsidRPr="00CE0DD7" w:rsidP="000A3FB3" w14:paraId="02877755" w14:textId="77777777">
            <w:pPr>
              <w:jc w:val="center"/>
              <w:rPr>
                <w:b/>
                <w:bCs/>
                <w:sz w:val="20"/>
                <w:szCs w:val="20"/>
              </w:rPr>
            </w:pPr>
            <w:r w:rsidRPr="00CE0DD7">
              <w:rPr>
                <w:bCs/>
                <w:sz w:val="20"/>
                <w:szCs w:val="20"/>
              </w:rPr>
              <w:t>Average Burden per Record</w:t>
            </w:r>
          </w:p>
        </w:tc>
        <w:tc>
          <w:tcPr>
            <w:tcW w:w="1584" w:type="dxa"/>
            <w:shd w:val="clear" w:color="auto" w:fill="auto"/>
          </w:tcPr>
          <w:p w:rsidR="000A3FB3" w:rsidRPr="00CE0DD7" w:rsidP="000A3FB3" w14:paraId="21F9B5FF" w14:textId="77777777">
            <w:pPr>
              <w:jc w:val="center"/>
              <w:rPr>
                <w:b/>
                <w:bCs/>
                <w:sz w:val="20"/>
                <w:szCs w:val="20"/>
              </w:rPr>
            </w:pPr>
            <w:r w:rsidRPr="00CE0DD7">
              <w:rPr>
                <w:sz w:val="20"/>
                <w:szCs w:val="20"/>
              </w:rPr>
              <w:t>Total Hours</w:t>
            </w:r>
          </w:p>
        </w:tc>
      </w:tr>
      <w:tr w14:paraId="29B1375E" w14:textId="77777777" w:rsidTr="00E841F5">
        <w:tblPrEx>
          <w:tblW w:w="5000" w:type="pct"/>
          <w:tblLayout w:type="fixed"/>
          <w:tblLook w:val="01E0"/>
        </w:tblPrEx>
        <w:trPr>
          <w:cantSplit/>
          <w:trHeight w:val="20"/>
        </w:trPr>
        <w:tc>
          <w:tcPr>
            <w:tcW w:w="1919" w:type="dxa"/>
            <w:shd w:val="clear" w:color="auto" w:fill="auto"/>
          </w:tcPr>
          <w:p w:rsidR="000A3FB3" w:rsidRPr="000A3FB3" w:rsidP="000A3FB3" w14:paraId="215219CD" w14:textId="28D84AD0">
            <w:pPr>
              <w:rPr>
                <w:sz w:val="20"/>
                <w:szCs w:val="20"/>
              </w:rPr>
            </w:pPr>
            <w:r w:rsidRPr="000A3FB3">
              <w:rPr>
                <w:rFonts w:eastAsia="Calibri"/>
                <w:sz w:val="20"/>
                <w:szCs w:val="20"/>
              </w:rPr>
              <w:t xml:space="preserve">Subpart B; SIP </w:t>
            </w:r>
            <w:r w:rsidR="00B01DD8">
              <w:rPr>
                <w:rFonts w:eastAsia="Calibri"/>
                <w:sz w:val="20"/>
                <w:szCs w:val="20"/>
              </w:rPr>
              <w:t>P</w:t>
            </w:r>
            <w:r w:rsidRPr="000A3FB3">
              <w:rPr>
                <w:rFonts w:eastAsia="Calibri"/>
                <w:sz w:val="20"/>
                <w:szCs w:val="20"/>
              </w:rPr>
              <w:t xml:space="preserve">roposals and </w:t>
            </w:r>
            <w:r w:rsidR="00B01DD8">
              <w:rPr>
                <w:rFonts w:eastAsia="Calibri"/>
                <w:sz w:val="20"/>
                <w:szCs w:val="20"/>
              </w:rPr>
              <w:t>P</w:t>
            </w:r>
            <w:r w:rsidRPr="000A3FB3">
              <w:rPr>
                <w:rFonts w:eastAsia="Calibri"/>
                <w:sz w:val="20"/>
                <w:szCs w:val="20"/>
              </w:rPr>
              <w:t>re-</w:t>
            </w:r>
            <w:r w:rsidR="00B01DD8">
              <w:rPr>
                <w:rFonts w:eastAsia="Calibri"/>
                <w:sz w:val="20"/>
                <w:szCs w:val="20"/>
              </w:rPr>
              <w:t>I</w:t>
            </w:r>
            <w:r w:rsidRPr="000A3FB3">
              <w:rPr>
                <w:rFonts w:eastAsia="Calibri"/>
                <w:sz w:val="20"/>
                <w:szCs w:val="20"/>
              </w:rPr>
              <w:t xml:space="preserve">mport </w:t>
            </w:r>
            <w:r w:rsidR="00B01DD8">
              <w:rPr>
                <w:rFonts w:eastAsia="Calibri"/>
                <w:sz w:val="20"/>
                <w:szCs w:val="20"/>
              </w:rPr>
              <w:t>R</w:t>
            </w:r>
            <w:r w:rsidRPr="000A3FB3">
              <w:rPr>
                <w:rFonts w:eastAsia="Calibri"/>
                <w:sz w:val="20"/>
                <w:szCs w:val="20"/>
              </w:rPr>
              <w:t xml:space="preserve">equests </w:t>
            </w:r>
          </w:p>
        </w:tc>
        <w:tc>
          <w:tcPr>
            <w:tcW w:w="1371" w:type="dxa"/>
            <w:shd w:val="clear" w:color="auto" w:fill="auto"/>
          </w:tcPr>
          <w:p w:rsidR="000A3FB3" w:rsidRPr="000A3FB3" w:rsidP="000A3FB3" w14:paraId="65B4A177" w14:textId="77777777">
            <w:pPr>
              <w:jc w:val="right"/>
              <w:rPr>
                <w:sz w:val="20"/>
                <w:szCs w:val="20"/>
              </w:rPr>
            </w:pPr>
            <w:r w:rsidRPr="000A3FB3">
              <w:rPr>
                <w:rFonts w:eastAsia="Calibri"/>
                <w:sz w:val="20"/>
                <w:szCs w:val="20"/>
              </w:rPr>
              <w:t>40</w:t>
            </w:r>
          </w:p>
        </w:tc>
        <w:tc>
          <w:tcPr>
            <w:tcW w:w="1462" w:type="dxa"/>
            <w:shd w:val="clear" w:color="auto" w:fill="auto"/>
          </w:tcPr>
          <w:p w:rsidR="000A3FB3" w:rsidRPr="000A3FB3" w:rsidP="000A3FB3" w14:paraId="5DA343D2" w14:textId="3C17D45F">
            <w:pPr>
              <w:jc w:val="right"/>
              <w:rPr>
                <w:sz w:val="20"/>
                <w:szCs w:val="20"/>
              </w:rPr>
            </w:pPr>
            <w:r w:rsidRPr="000A3FB3">
              <w:rPr>
                <w:rFonts w:eastAsia="Calibri"/>
                <w:sz w:val="20"/>
                <w:szCs w:val="20"/>
              </w:rPr>
              <w:t>1.5</w:t>
            </w:r>
          </w:p>
        </w:tc>
        <w:tc>
          <w:tcPr>
            <w:tcW w:w="1584" w:type="dxa"/>
            <w:shd w:val="clear" w:color="auto" w:fill="auto"/>
          </w:tcPr>
          <w:p w:rsidR="000A3FB3" w:rsidRPr="000A3FB3" w:rsidP="000A3FB3" w14:paraId="5B6DB737" w14:textId="501AB162">
            <w:pPr>
              <w:jc w:val="right"/>
              <w:rPr>
                <w:sz w:val="20"/>
                <w:szCs w:val="20"/>
              </w:rPr>
            </w:pPr>
            <w:r>
              <w:rPr>
                <w:sz w:val="20"/>
                <w:szCs w:val="20"/>
              </w:rPr>
              <w:t>60</w:t>
            </w:r>
          </w:p>
        </w:tc>
        <w:tc>
          <w:tcPr>
            <w:tcW w:w="1584" w:type="dxa"/>
            <w:shd w:val="clear" w:color="auto" w:fill="auto"/>
          </w:tcPr>
          <w:p w:rsidR="000A3FB3" w:rsidRPr="000A3FB3" w:rsidP="000A3FB3" w14:paraId="1B1A9059" w14:textId="069C2BC5">
            <w:pPr>
              <w:jc w:val="right"/>
              <w:rPr>
                <w:sz w:val="20"/>
                <w:szCs w:val="20"/>
              </w:rPr>
            </w:pPr>
            <w:r w:rsidRPr="000A3FB3">
              <w:rPr>
                <w:sz w:val="20"/>
                <w:szCs w:val="20"/>
              </w:rPr>
              <w:t>72</w:t>
            </w:r>
            <w:r w:rsidR="007B670C">
              <w:rPr>
                <w:sz w:val="20"/>
                <w:szCs w:val="20"/>
              </w:rPr>
              <w:t xml:space="preserve"> hours</w:t>
            </w:r>
          </w:p>
        </w:tc>
        <w:tc>
          <w:tcPr>
            <w:tcW w:w="1584" w:type="dxa"/>
            <w:shd w:val="clear" w:color="auto" w:fill="auto"/>
          </w:tcPr>
          <w:p w:rsidR="000A3FB3" w:rsidRPr="000A3FB3" w:rsidP="000A3FB3" w14:paraId="6520783A" w14:textId="77777777">
            <w:pPr>
              <w:jc w:val="right"/>
              <w:rPr>
                <w:sz w:val="20"/>
                <w:szCs w:val="20"/>
              </w:rPr>
            </w:pPr>
            <w:r w:rsidRPr="000A3FB3">
              <w:rPr>
                <w:sz w:val="20"/>
                <w:szCs w:val="20"/>
              </w:rPr>
              <w:t>4,320</w:t>
            </w:r>
          </w:p>
        </w:tc>
      </w:tr>
      <w:tr w14:paraId="40755987" w14:textId="77777777" w:rsidTr="00E841F5">
        <w:tblPrEx>
          <w:tblW w:w="5000" w:type="pct"/>
          <w:tblLayout w:type="fixed"/>
          <w:tblLook w:val="01E0"/>
        </w:tblPrEx>
        <w:trPr>
          <w:cantSplit/>
          <w:trHeight w:val="20"/>
        </w:trPr>
        <w:tc>
          <w:tcPr>
            <w:tcW w:w="1919" w:type="dxa"/>
            <w:shd w:val="clear" w:color="auto" w:fill="auto"/>
          </w:tcPr>
          <w:p w:rsidR="000A3FB3" w:rsidRPr="000A3FB3" w:rsidP="000A3FB3" w14:paraId="0EA5D304" w14:textId="20DFC160">
            <w:pPr>
              <w:rPr>
                <w:sz w:val="20"/>
                <w:szCs w:val="20"/>
              </w:rPr>
            </w:pPr>
            <w:r w:rsidRPr="000A3FB3">
              <w:rPr>
                <w:rFonts w:eastAsia="Calibri"/>
                <w:sz w:val="20"/>
                <w:szCs w:val="20"/>
              </w:rPr>
              <w:t xml:space="preserve">Subpart C; </w:t>
            </w:r>
            <w:r w:rsidR="007F0DF2">
              <w:rPr>
                <w:rFonts w:eastAsia="Calibri"/>
                <w:sz w:val="20"/>
                <w:szCs w:val="20"/>
              </w:rPr>
              <w:t>c</w:t>
            </w:r>
            <w:r w:rsidRPr="000A3FB3">
              <w:rPr>
                <w:rFonts w:eastAsia="Calibri"/>
                <w:sz w:val="20"/>
                <w:szCs w:val="20"/>
              </w:rPr>
              <w:t xml:space="preserve">ertain requirements for importation programs </w:t>
            </w:r>
          </w:p>
        </w:tc>
        <w:tc>
          <w:tcPr>
            <w:tcW w:w="1371" w:type="dxa"/>
            <w:shd w:val="clear" w:color="auto" w:fill="auto"/>
          </w:tcPr>
          <w:p w:rsidR="000A3FB3" w:rsidRPr="000A3FB3" w:rsidP="000A3FB3" w14:paraId="0A9CE6F8" w14:textId="77777777">
            <w:pPr>
              <w:jc w:val="right"/>
              <w:rPr>
                <w:sz w:val="20"/>
                <w:szCs w:val="20"/>
              </w:rPr>
            </w:pPr>
            <w:r w:rsidRPr="000A3FB3">
              <w:rPr>
                <w:rFonts w:eastAsia="Calibri"/>
                <w:sz w:val="20"/>
                <w:szCs w:val="20"/>
              </w:rPr>
              <w:t>40</w:t>
            </w:r>
          </w:p>
        </w:tc>
        <w:tc>
          <w:tcPr>
            <w:tcW w:w="1462" w:type="dxa"/>
            <w:shd w:val="clear" w:color="auto" w:fill="auto"/>
          </w:tcPr>
          <w:p w:rsidR="000A3FB3" w:rsidRPr="000A3FB3" w:rsidP="000A3FB3" w14:paraId="40557982" w14:textId="77777777">
            <w:pPr>
              <w:jc w:val="right"/>
              <w:rPr>
                <w:sz w:val="20"/>
                <w:szCs w:val="20"/>
              </w:rPr>
            </w:pPr>
            <w:r w:rsidRPr="000A3FB3">
              <w:rPr>
                <w:rFonts w:eastAsia="Calibri"/>
                <w:sz w:val="20"/>
                <w:szCs w:val="20"/>
              </w:rPr>
              <w:t>1</w:t>
            </w:r>
          </w:p>
        </w:tc>
        <w:tc>
          <w:tcPr>
            <w:tcW w:w="1584" w:type="dxa"/>
            <w:shd w:val="clear" w:color="auto" w:fill="auto"/>
          </w:tcPr>
          <w:p w:rsidR="000A3FB3" w:rsidRPr="000A3FB3" w:rsidP="000A3FB3" w14:paraId="2A2339A8" w14:textId="77777777">
            <w:pPr>
              <w:jc w:val="right"/>
              <w:rPr>
                <w:sz w:val="20"/>
                <w:szCs w:val="20"/>
              </w:rPr>
            </w:pPr>
            <w:r w:rsidRPr="000A3FB3">
              <w:rPr>
                <w:rFonts w:eastAsia="Calibri"/>
                <w:sz w:val="20"/>
                <w:szCs w:val="20"/>
              </w:rPr>
              <w:t>40</w:t>
            </w:r>
          </w:p>
        </w:tc>
        <w:tc>
          <w:tcPr>
            <w:tcW w:w="1584" w:type="dxa"/>
            <w:shd w:val="clear" w:color="auto" w:fill="auto"/>
          </w:tcPr>
          <w:p w:rsidR="000A3FB3" w:rsidRPr="000A3FB3" w:rsidP="000A3FB3" w14:paraId="2467BC2C" w14:textId="20738DE5">
            <w:pPr>
              <w:jc w:val="right"/>
              <w:rPr>
                <w:sz w:val="20"/>
                <w:szCs w:val="20"/>
              </w:rPr>
            </w:pPr>
            <w:r w:rsidRPr="000A3FB3">
              <w:rPr>
                <w:sz w:val="20"/>
                <w:szCs w:val="20"/>
              </w:rPr>
              <w:t>43</w:t>
            </w:r>
            <w:r w:rsidR="00621F92">
              <w:rPr>
                <w:sz w:val="20"/>
                <w:szCs w:val="20"/>
              </w:rPr>
              <w:t xml:space="preserve"> hours</w:t>
            </w:r>
          </w:p>
        </w:tc>
        <w:tc>
          <w:tcPr>
            <w:tcW w:w="1584" w:type="dxa"/>
            <w:shd w:val="clear" w:color="auto" w:fill="auto"/>
          </w:tcPr>
          <w:p w:rsidR="000A3FB3" w:rsidRPr="000A3FB3" w:rsidP="000A3FB3" w14:paraId="3AAAAB2B" w14:textId="77777777">
            <w:pPr>
              <w:jc w:val="right"/>
              <w:rPr>
                <w:sz w:val="20"/>
                <w:szCs w:val="20"/>
              </w:rPr>
            </w:pPr>
            <w:r w:rsidRPr="000A3FB3">
              <w:rPr>
                <w:sz w:val="20"/>
                <w:szCs w:val="20"/>
              </w:rPr>
              <w:t>1,720</w:t>
            </w:r>
          </w:p>
        </w:tc>
      </w:tr>
      <w:tr w14:paraId="433681D5" w14:textId="77777777" w:rsidTr="00E841F5">
        <w:tblPrEx>
          <w:tblW w:w="5000" w:type="pct"/>
          <w:tblLayout w:type="fixed"/>
          <w:tblLook w:val="01E0"/>
        </w:tblPrEx>
        <w:trPr>
          <w:cantSplit/>
          <w:trHeight w:val="20"/>
        </w:trPr>
        <w:tc>
          <w:tcPr>
            <w:tcW w:w="7920" w:type="dxa"/>
            <w:gridSpan w:val="5"/>
            <w:shd w:val="clear" w:color="auto" w:fill="auto"/>
          </w:tcPr>
          <w:p w:rsidR="00E841F5" w:rsidRPr="000A3FB3" w:rsidP="00C340EA" w14:paraId="1A718549" w14:textId="3D51141E">
            <w:pPr>
              <w:rPr>
                <w:sz w:val="20"/>
                <w:szCs w:val="20"/>
              </w:rPr>
            </w:pPr>
            <w:r w:rsidRPr="000A3FB3">
              <w:rPr>
                <w:rFonts w:eastAsia="Calibri"/>
                <w:sz w:val="20"/>
                <w:szCs w:val="20"/>
              </w:rPr>
              <w:t>TOTAL</w:t>
            </w:r>
          </w:p>
        </w:tc>
        <w:tc>
          <w:tcPr>
            <w:tcW w:w="1584" w:type="dxa"/>
            <w:shd w:val="clear" w:color="auto" w:fill="auto"/>
          </w:tcPr>
          <w:p w:rsidR="00E841F5" w:rsidRPr="000A3FB3" w:rsidP="000A3FB3" w14:paraId="1012FB11" w14:textId="77777777">
            <w:pPr>
              <w:jc w:val="right"/>
              <w:rPr>
                <w:sz w:val="20"/>
                <w:szCs w:val="20"/>
              </w:rPr>
            </w:pPr>
            <w:r w:rsidRPr="000A3FB3">
              <w:rPr>
                <w:sz w:val="20"/>
                <w:szCs w:val="20"/>
              </w:rPr>
              <w:fldChar w:fldCharType="begin"/>
            </w:r>
            <w:r w:rsidRPr="000A3FB3">
              <w:rPr>
                <w:sz w:val="20"/>
                <w:szCs w:val="20"/>
              </w:rPr>
              <w:instrText xml:space="preserve"> =SUM(ABOVE) </w:instrText>
            </w:r>
            <w:r w:rsidRPr="000A3FB3">
              <w:rPr>
                <w:sz w:val="20"/>
                <w:szCs w:val="20"/>
              </w:rPr>
              <w:fldChar w:fldCharType="separate"/>
            </w:r>
            <w:r w:rsidRPr="000A3FB3">
              <w:rPr>
                <w:noProof/>
                <w:sz w:val="20"/>
                <w:szCs w:val="20"/>
              </w:rPr>
              <w:t>6,040</w:t>
            </w:r>
            <w:r w:rsidRPr="000A3FB3">
              <w:rPr>
                <w:sz w:val="20"/>
                <w:szCs w:val="20"/>
              </w:rPr>
              <w:fldChar w:fldCharType="end"/>
            </w:r>
          </w:p>
        </w:tc>
      </w:tr>
    </w:tbl>
    <w:p w:rsidR="00FB5D04" w:rsidP="00FB5D04" w14:paraId="0E41806E" w14:textId="67B6C8C2">
      <w:pPr>
        <w:spacing w:after="200"/>
        <w:ind w:left="360"/>
        <w:rPr>
          <w:rFonts w:eastAsia="Calibri"/>
        </w:rPr>
      </w:pPr>
    </w:p>
    <w:p w:rsidR="00FB5D04" w:rsidP="003061BF" w14:paraId="6A40B3EF" w14:textId="3E3990E6">
      <w:pPr>
        <w:spacing w:after="200"/>
        <w:ind w:left="360"/>
        <w:rPr>
          <w:rFonts w:eastAsia="Calibri"/>
        </w:rPr>
      </w:pPr>
      <w:r w:rsidRPr="00FE457B">
        <w:rPr>
          <w:rFonts w:eastAsia="Calibri"/>
        </w:rPr>
        <w:t xml:space="preserve">We assume burden attributable to the information collection tasks will be distributed among respondents. </w:t>
      </w:r>
      <w:r w:rsidR="0066064E">
        <w:rPr>
          <w:rFonts w:eastAsia="Calibri"/>
        </w:rPr>
        <w:t xml:space="preserve"> As noted in the previous submission, </w:t>
      </w:r>
      <w:r w:rsidRPr="00FB5D04">
        <w:rPr>
          <w:rFonts w:eastAsia="Calibri"/>
        </w:rPr>
        <w:t xml:space="preserve">FDA estimates that there will be 10 SIP Sponsors requiring 360 hours each to research, prepare, and administer requirements annually; 10 Pre-Import Requests requiring 24 hours each annually; and 20 manufacturers also requiring 24 hours each annually to participate in the program. </w:t>
      </w:r>
      <w:r w:rsidR="003061BF">
        <w:rPr>
          <w:rFonts w:eastAsia="Calibri"/>
        </w:rPr>
        <w:t xml:space="preserve"> </w:t>
      </w:r>
      <w:r w:rsidRPr="00FB5D04">
        <w:rPr>
          <w:rFonts w:eastAsia="Calibri"/>
        </w:rPr>
        <w:t xml:space="preserve">In addition, FDA estimates that a recordkeeping burden of 52 hours will be imposed annually on the 10 SIP Sponsors, and a </w:t>
      </w:r>
      <w:r w:rsidRPr="00FB5D04">
        <w:rPr>
          <w:rFonts w:eastAsia="Calibri"/>
        </w:rPr>
        <w:t xml:space="preserve">recordkeeping burden of 24 hours will be imposed annually on each of the 10 Importers and the 20 manufacturers. </w:t>
      </w:r>
      <w:r w:rsidR="003061BF">
        <w:rPr>
          <w:rFonts w:eastAsia="Calibri"/>
        </w:rPr>
        <w:t xml:space="preserve"> </w:t>
      </w:r>
      <w:r w:rsidRPr="00FB5D04">
        <w:rPr>
          <w:rFonts w:eastAsia="Calibri"/>
        </w:rPr>
        <w:t>The 20 manufacturers anticipated to participate in the program will also incur an estimated burden of 24 hours each for copying and providing records to SIP Sponsors and Importers of foreign transactions.</w:t>
      </w:r>
      <w:r w:rsidRPr="006321C3" w:rsidR="006321C3">
        <w:rPr>
          <w:rFonts w:eastAsia="Calibri"/>
        </w:rPr>
        <w:t xml:space="preserve"> </w:t>
      </w:r>
    </w:p>
    <w:p w:rsidR="00900AF2" w:rsidP="00DC371B" w14:paraId="0706CFF1" w14:textId="19E6B8E5">
      <w:pPr>
        <w:spacing w:after="200"/>
        <w:ind w:left="360"/>
        <w:rPr>
          <w:rFonts w:eastAsia="Calibri"/>
        </w:rPr>
      </w:pPr>
      <w:r w:rsidRPr="00305093">
        <w:rPr>
          <w:rFonts w:eastAsia="Calibri"/>
        </w:rPr>
        <w:t xml:space="preserve">A SIP sponsor will submit a SIP proposal that includes, among other things, information about the SIP Sponsor and the SIP Sponsor’s importation plan.  In addition, SIP Sponsors must provide FDA with data and information on the drugs the SIP </w:t>
      </w:r>
      <w:r w:rsidR="00266AF5">
        <w:rPr>
          <w:rFonts w:eastAsia="Calibri"/>
        </w:rPr>
        <w:t xml:space="preserve">proposes to </w:t>
      </w:r>
      <w:r w:rsidRPr="00305093">
        <w:rPr>
          <w:rFonts w:eastAsia="Calibri"/>
        </w:rPr>
        <w:t xml:space="preserve">import and on the SIP’s cost savings to the American consumer.  </w:t>
      </w:r>
    </w:p>
    <w:p w:rsidR="00D776F9" w:rsidP="00DC371B" w14:paraId="1156F068" w14:textId="3B2C0E85">
      <w:pPr>
        <w:spacing w:after="200"/>
        <w:ind w:left="360"/>
        <w:rPr>
          <w:rFonts w:eastAsia="Calibri"/>
        </w:rPr>
      </w:pPr>
      <w:r w:rsidRPr="00305093">
        <w:rPr>
          <w:rFonts w:eastAsia="Calibri"/>
        </w:rPr>
        <w:t xml:space="preserve">Importers have a number of responsibilities related to submitting a Pre-Import Request to FDA, screening eligible prescription drugs, safety reporting, and arranging for importing, testing, and relabeling.  </w:t>
      </w:r>
      <w:r w:rsidR="00F93C45">
        <w:rPr>
          <w:rFonts w:eastAsia="Calibri"/>
        </w:rPr>
        <w:t>A pre-import request will</w:t>
      </w:r>
      <w:r w:rsidRPr="007A44B3" w:rsidR="007A44B3">
        <w:rPr>
          <w:rFonts w:eastAsia="Calibri"/>
        </w:rPr>
        <w:t xml:space="preserve"> identify information regarding the importation, relabeling of the Canadian products, and relevant information necessary to evaluate whether the products meet established specifications and standards</w:t>
      </w:r>
      <w:r w:rsidR="00F93C45">
        <w:rPr>
          <w:rFonts w:eastAsia="Calibri"/>
        </w:rPr>
        <w:t>.</w:t>
      </w:r>
    </w:p>
    <w:p w:rsidR="000E3BDC" w:rsidP="00DC371B" w14:paraId="64EAB724" w14:textId="64831094">
      <w:pPr>
        <w:spacing w:after="200"/>
        <w:ind w:left="360"/>
        <w:rPr>
          <w:rFonts w:eastAsia="Calibri"/>
        </w:rPr>
      </w:pPr>
      <w:r w:rsidRPr="00305093">
        <w:rPr>
          <w:rFonts w:eastAsia="Calibri"/>
        </w:rPr>
        <w:t>Manufacturers will provide information needed to ensure that the drugs are authentic, not degraded, and in compliance with established specifications and standards.</w:t>
      </w:r>
      <w:r w:rsidRPr="00900AF2" w:rsidR="00900AF2">
        <w:rPr>
          <w:rFonts w:eastAsia="Calibri"/>
        </w:rPr>
        <w:t xml:space="preserve"> </w:t>
      </w:r>
    </w:p>
    <w:p w:rsidR="00357C8A" w:rsidP="00DC371B" w14:paraId="346FA635" w14:textId="00C9241F">
      <w:pPr>
        <w:spacing w:after="200"/>
        <w:ind w:left="360"/>
        <w:rPr>
          <w:rFonts w:eastAsia="Calibri"/>
        </w:rPr>
      </w:pPr>
      <w:r w:rsidRPr="005C71CA">
        <w:rPr>
          <w:rFonts w:eastAsia="Calibri"/>
        </w:rPr>
        <w:t>12b.  Annualized Cost Burden Estimate</w:t>
      </w:r>
    </w:p>
    <w:p w:rsidR="00357C8A" w:rsidRPr="00357C8A" w:rsidP="003061BF" w14:paraId="0562CB0E" w14:textId="766E267C">
      <w:pPr>
        <w:spacing w:after="200"/>
        <w:ind w:left="360"/>
        <w:rPr>
          <w:rFonts w:eastAsia="Calibri"/>
        </w:rPr>
      </w:pPr>
      <w:r w:rsidRPr="00D44BF7">
        <w:rPr>
          <w:rFonts w:eastAsia="Calibri"/>
        </w:rPr>
        <w:t>The total estimated cost burden for this collection of information is based upon performing a similar position in the government as private industry.  The cost to respondents is estimated to approach the hourly cost of a GS-10, step 5 worker, or $31 per hour.  Therefore, the cost associated with this collection is $</w:t>
      </w:r>
      <w:r>
        <w:rPr>
          <w:rFonts w:eastAsia="Calibri"/>
        </w:rPr>
        <w:t>187,240</w:t>
      </w:r>
      <w:r w:rsidR="007B7A57">
        <w:rPr>
          <w:rFonts w:eastAsia="Calibri"/>
        </w:rPr>
        <w:t xml:space="preserve"> (6,040 burden hours x $31.00)</w:t>
      </w:r>
      <w:r w:rsidRPr="00D44BF7">
        <w:rPr>
          <w:rFonts w:eastAsia="Calibri"/>
        </w:rPr>
        <w:t>.</w:t>
      </w:r>
    </w:p>
    <w:p w:rsidR="00357C8A" w:rsidRPr="00357C8A" w:rsidP="006705EA" w14:paraId="6205AA95" w14:textId="76D68CD9">
      <w:pPr>
        <w:numPr>
          <w:ilvl w:val="0"/>
          <w:numId w:val="6"/>
        </w:numPr>
        <w:spacing w:after="200" w:line="276" w:lineRule="auto"/>
        <w:rPr>
          <w:rFonts w:eastAsia="Calibri"/>
        </w:rPr>
      </w:pPr>
      <w:r w:rsidRPr="000E3BDC">
        <w:rPr>
          <w:rFonts w:eastAsia="Calibri"/>
        </w:rPr>
        <w:t xml:space="preserve"> </w:t>
      </w: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707CC" w:rsidP="0022425B" w14:paraId="1489C546" w14:textId="4511BFDA">
      <w:pPr>
        <w:spacing w:after="200"/>
        <w:rPr>
          <w:rFonts w:eastAsia="Calibri"/>
        </w:rPr>
      </w:pPr>
      <w:r w:rsidRPr="00B8154E">
        <w:rPr>
          <w:rFonts w:eastAsia="Calibri"/>
        </w:rPr>
        <w:t xml:space="preserve">There are no capital costs </w:t>
      </w:r>
      <w:r w:rsidR="00E841F5">
        <w:rPr>
          <w:rFonts w:eastAsia="Calibri"/>
        </w:rPr>
        <w:t xml:space="preserve">or operating and maintenance costs </w:t>
      </w:r>
      <w:r w:rsidRPr="00B8154E">
        <w:rPr>
          <w:rFonts w:eastAsia="Calibri"/>
        </w:rPr>
        <w:t>associated with this collection of information</w:t>
      </w:r>
      <w:r w:rsidR="00266261">
        <w:rPr>
          <w:rFonts w:eastAsia="Calibri"/>
        </w:rPr>
        <w:t>.</w:t>
      </w:r>
    </w:p>
    <w:p w:rsidR="00357C8A" w:rsidP="006705EA" w14:paraId="211BE818" w14:textId="7D0CF739">
      <w:pPr>
        <w:numPr>
          <w:ilvl w:val="0"/>
          <w:numId w:val="6"/>
        </w:numPr>
        <w:spacing w:after="200" w:line="276" w:lineRule="auto"/>
        <w:rPr>
          <w:rFonts w:eastAsia="Calibri"/>
          <w:u w:val="single"/>
        </w:rPr>
      </w:pPr>
      <w:r w:rsidRPr="000E3BDC">
        <w:rPr>
          <w:rFonts w:eastAsia="Calibri"/>
        </w:rPr>
        <w:t xml:space="preserve"> </w:t>
      </w:r>
      <w:r w:rsidRPr="00357C8A">
        <w:rPr>
          <w:rFonts w:eastAsia="Calibri"/>
          <w:u w:val="single"/>
        </w:rPr>
        <w:t>Annualized Cost to the Federal Government</w:t>
      </w:r>
    </w:p>
    <w:p w:rsidR="002343BB" w:rsidRPr="003061BF" w:rsidP="00395706" w14:paraId="1D50B68D" w14:textId="020498DE">
      <w:pPr>
        <w:spacing w:after="200" w:line="276" w:lineRule="auto"/>
        <w:rPr>
          <w:rFonts w:eastAsia="Calibri"/>
        </w:rPr>
      </w:pPr>
      <w:r w:rsidRPr="003061BF">
        <w:rPr>
          <w:rFonts w:eastAsia="Calibri"/>
        </w:rPr>
        <w:t xml:space="preserve">As </w:t>
      </w:r>
      <w:r w:rsidRPr="003061BF" w:rsidR="00507E47">
        <w:rPr>
          <w:rFonts w:eastAsia="Calibri"/>
        </w:rPr>
        <w:t>we continue to implement this program</w:t>
      </w:r>
      <w:r w:rsidRPr="003061BF">
        <w:rPr>
          <w:rFonts w:eastAsia="Calibri"/>
        </w:rPr>
        <w:t>, we assume, based on estimated costs for other import program ICRs and adjusted based on a ratio of covered respondents, the</w:t>
      </w:r>
      <w:r w:rsidRPr="003061BF">
        <w:rPr>
          <w:rFonts w:eastAsia="Calibri"/>
        </w:rPr>
        <w:t xml:space="preserve"> annual cost to the Federal government to be $</w:t>
      </w:r>
      <w:r w:rsidRPr="003061BF" w:rsidR="006E161D">
        <w:rPr>
          <w:rFonts w:eastAsia="Calibri"/>
        </w:rPr>
        <w:t>163,094.40</w:t>
      </w:r>
      <w:r w:rsidRPr="003061BF">
        <w:rPr>
          <w:rFonts w:eastAsia="Calibri"/>
        </w:rPr>
        <w:t>.</w:t>
      </w:r>
    </w:p>
    <w:p w:rsidR="00357C8A" w:rsidP="006705EA" w14:paraId="4C080B4D" w14:textId="3FFD3541">
      <w:pPr>
        <w:numPr>
          <w:ilvl w:val="0"/>
          <w:numId w:val="6"/>
        </w:numPr>
        <w:spacing w:after="200" w:line="276" w:lineRule="auto"/>
        <w:rPr>
          <w:rFonts w:eastAsia="Calibri"/>
          <w:u w:val="single"/>
        </w:rPr>
      </w:pPr>
      <w:r w:rsidRPr="000E3BDC">
        <w:rPr>
          <w:rFonts w:eastAsia="Calibri"/>
        </w:rPr>
        <w:t xml:space="preserve"> </w:t>
      </w:r>
      <w:r w:rsidRPr="00357C8A">
        <w:rPr>
          <w:rFonts w:eastAsia="Calibri"/>
          <w:u w:val="single"/>
        </w:rPr>
        <w:t>Explanation for Program Changes or Adjustments</w:t>
      </w:r>
    </w:p>
    <w:p w:rsidR="00BE5656" w:rsidP="00357C8A" w14:paraId="734A94C8" w14:textId="00BF6FF3">
      <w:pPr>
        <w:spacing w:after="200"/>
      </w:pPr>
      <w:bookmarkStart w:id="7" w:name="_Hlk141175794"/>
      <w:bookmarkStart w:id="8" w:name="_Hlk140842928"/>
      <w:r w:rsidRPr="00B17BD3">
        <w:t>We have established a web page at</w:t>
      </w:r>
      <w:r w:rsidR="00D24172">
        <w:t xml:space="preserve"> </w:t>
      </w:r>
      <w:hyperlink r:id="rId9" w:history="1">
        <w:r w:rsidRPr="004F7DCF" w:rsidR="003061BF">
          <w:rPr>
            <w:rStyle w:val="Hyperlink"/>
            <w:i/>
            <w:iCs/>
          </w:rPr>
          <w:t>https://www.fda.gov/about-fda/reports/importation-program-under-section-804-fdc-act</w:t>
        </w:r>
      </w:hyperlink>
      <w:r w:rsidRPr="00B17BD3">
        <w:t xml:space="preserve"> to communicate news and information about FDA efforts to implement the Section 804 Importation Program. </w:t>
      </w:r>
      <w:r w:rsidR="003061BF">
        <w:t xml:space="preserve"> </w:t>
      </w:r>
      <w:r w:rsidRPr="00B17BD3">
        <w:t>To date, however, no SIP proposals have been authorized since publication of the final rule on October 1, 2020 (</w:t>
      </w:r>
      <w:hyperlink r:id="rId10" w:history="1">
        <w:r w:rsidRPr="00B17BD3">
          <w:rPr>
            <w:color w:val="0000FF"/>
            <w:u w:val="single"/>
          </w:rPr>
          <w:t>85 FR 62094</w:t>
        </w:r>
      </w:hyperlink>
      <w:r w:rsidRPr="00B17BD3">
        <w:t>).</w:t>
      </w:r>
      <w:r w:rsidR="003061BF">
        <w:t xml:space="preserve">  </w:t>
      </w:r>
      <w:r w:rsidRPr="00B17BD3">
        <w:t xml:space="preserve">We have therefore retained figures </w:t>
      </w:r>
      <w:r w:rsidR="00514A12">
        <w:t>from the previous information collection approval</w:t>
      </w:r>
      <w:r w:rsidRPr="00B17BD3">
        <w:t xml:space="preserve">. </w:t>
      </w:r>
    </w:p>
    <w:p w:rsidR="00B17BD3" w:rsidP="00357C8A" w14:paraId="2B7DA0C5" w14:textId="00780A4D">
      <w:pPr>
        <w:spacing w:after="200"/>
      </w:pPr>
      <w:r w:rsidRPr="00B17BD3">
        <w:t>We assume burden attributable to the required retention</w:t>
      </w:r>
      <w:r w:rsidR="00071638">
        <w:t>, reporting</w:t>
      </w:r>
      <w:r w:rsidRPr="00B17BD3">
        <w:t xml:space="preserve"> and disclosure of records pertaining to these information collection activities will be distributed among respondents for an average of 100 responses and 6,040 hours annually</w:t>
      </w:r>
      <w:bookmarkEnd w:id="7"/>
      <w:r w:rsidRPr="00B17BD3">
        <w:t>.</w:t>
      </w:r>
    </w:p>
    <w:bookmarkEnd w:id="8"/>
    <w:p w:rsidR="00357C8A" w:rsidRPr="00357C8A" w:rsidP="006705EA" w14:paraId="280C2435" w14:textId="10B812BD">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4D86B51B" w14:textId="09A7B5A8">
      <w:pPr>
        <w:spacing w:after="200"/>
        <w:rPr>
          <w:rFonts w:eastAsia="Calibri"/>
        </w:rPr>
      </w:pPr>
      <w:r w:rsidRPr="005C71CA">
        <w:rPr>
          <w:rFonts w:eastAsia="Calibri"/>
        </w:rPr>
        <w:t>This information collected will not be published or tabulated.</w:t>
      </w:r>
    </w:p>
    <w:p w:rsidR="00357C8A" w:rsidRPr="00357C8A" w:rsidP="006705EA" w14:paraId="2080EABB" w14:textId="5DC44782">
      <w:pPr>
        <w:numPr>
          <w:ilvl w:val="0"/>
          <w:numId w:val="6"/>
        </w:numPr>
        <w:spacing w:after="200" w:line="276" w:lineRule="auto"/>
        <w:rPr>
          <w:rFonts w:eastAsia="Calibri"/>
          <w:u w:val="single"/>
        </w:rPr>
      </w:pPr>
      <w:bookmarkStart w:id="9" w:name="_Hlk133327767"/>
      <w:r w:rsidRPr="000E3BDC">
        <w:rPr>
          <w:rFonts w:eastAsia="Calibri"/>
        </w:rPr>
        <w:t xml:space="preserve"> </w:t>
      </w:r>
      <w:r w:rsidRPr="00357C8A">
        <w:rPr>
          <w:rFonts w:eastAsia="Calibri"/>
          <w:u w:val="single"/>
        </w:rPr>
        <w:t xml:space="preserve">Reason(s) Display of OMB Expiration Date </w:t>
      </w:r>
      <w:r w:rsidR="00531F70">
        <w:rPr>
          <w:rFonts w:eastAsia="Calibri"/>
          <w:u w:val="single"/>
        </w:rPr>
        <w:t>I</w:t>
      </w:r>
      <w:r w:rsidRPr="00357C8A">
        <w:rPr>
          <w:rFonts w:eastAsia="Calibri"/>
          <w:u w:val="single"/>
        </w:rPr>
        <w:t>s Inappropriate</w:t>
      </w:r>
    </w:p>
    <w:p w:rsidR="00357C8A" w:rsidRPr="00357C8A" w:rsidP="00357C8A" w14:paraId="18D08025" w14:textId="56E36C2A">
      <w:pPr>
        <w:spacing w:after="200"/>
        <w:rPr>
          <w:rFonts w:eastAsia="Calibri"/>
        </w:rPr>
      </w:pPr>
      <w:r w:rsidRPr="00266261">
        <w:rPr>
          <w:rFonts w:eastAsia="Calibri"/>
        </w:rPr>
        <w:t>FDA will display the OMB expiration date as required by 5 CFR 1320.5</w:t>
      </w:r>
      <w:bookmarkEnd w:id="9"/>
      <w:r w:rsidRPr="00357C8A">
        <w:rPr>
          <w:rFonts w:eastAsia="Calibri"/>
        </w:rPr>
        <w:t>.</w:t>
      </w:r>
    </w:p>
    <w:p w:rsidR="00357C8A" w:rsidRPr="00357C8A" w:rsidP="006705EA" w14:paraId="614699C1" w14:textId="61AAB5CE">
      <w:pPr>
        <w:numPr>
          <w:ilvl w:val="0"/>
          <w:numId w:val="6"/>
        </w:numPr>
        <w:spacing w:after="200" w:line="276" w:lineRule="auto"/>
        <w:rPr>
          <w:rFonts w:eastAsia="Calibri"/>
          <w:u w:val="single"/>
        </w:rPr>
      </w:pPr>
      <w:r w:rsidRPr="000E3BDC">
        <w:rPr>
          <w:rFonts w:eastAsia="Calibri"/>
        </w:rPr>
        <w:t xml:space="preserve"> </w:t>
      </w:r>
      <w:r w:rsidRPr="00357C8A">
        <w:rPr>
          <w:rFonts w:eastAsia="Calibri"/>
          <w:u w:val="single"/>
        </w:rPr>
        <w:t>Exceptions to Certification for Paperwork Reduction Act Submissions</w:t>
      </w:r>
    </w:p>
    <w:p w:rsidR="00544138" w:rsidRPr="00C20690" w:rsidP="00C20690" w14:paraId="0C363028" w14:textId="35FB6177">
      <w:pPr>
        <w:spacing w:after="200"/>
        <w:rPr>
          <w:rFonts w:eastAsia="Calibri"/>
        </w:rPr>
      </w:pPr>
      <w:r w:rsidRPr="007E59A8">
        <w:rPr>
          <w:rFonts w:eastAsia="Calibri"/>
        </w:rPr>
        <w:t>There are no exceptions to the certification</w:t>
      </w:r>
      <w:r>
        <w:rPr>
          <w:rFonts w:eastAsia="Calibri"/>
        </w:rPr>
        <w:t>.</w:t>
      </w:r>
    </w:p>
    <w:sectPr w:rsidSect="005C71CA">
      <w:headerReference w:type="default" r:id="rId11"/>
      <w:footerReference w:type="even" r:id="rId12"/>
      <w:footerReference w:type="default" r:id="rId13"/>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rsidP="755C8B3D" w14:paraId="4D823F4D" w14:textId="639A21EC">
    <w:pPr>
      <w:pStyle w:val="Header"/>
      <w:rPr>
        <w:sz w:val="18"/>
        <w:szCs w:val="18"/>
        <w:highlight w:val="yellow"/>
      </w:rPr>
    </w:pPr>
    <w:r>
      <w:tab/>
    </w:r>
    <w:r>
      <w:tab/>
    </w:r>
    <w:r w:rsidRPr="755C8B3D" w:rsid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C09A2"/>
    <w:multiLevelType w:val="hybridMultilevel"/>
    <w:tmpl w:val="83EC7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88250147">
    <w:abstractNumId w:val="5"/>
  </w:num>
  <w:num w:numId="2" w16cid:durableId="1500925594">
    <w:abstractNumId w:val="1"/>
  </w:num>
  <w:num w:numId="3" w16cid:durableId="1566915598">
    <w:abstractNumId w:val="6"/>
  </w:num>
  <w:num w:numId="4" w16cid:durableId="1264412203">
    <w:abstractNumId w:val="3"/>
  </w:num>
  <w:num w:numId="5" w16cid:durableId="1987665557">
    <w:abstractNumId w:val="8"/>
  </w:num>
  <w:num w:numId="6" w16cid:durableId="797335090">
    <w:abstractNumId w:val="0"/>
  </w:num>
  <w:num w:numId="7" w16cid:durableId="481048165">
    <w:abstractNumId w:val="2"/>
  </w:num>
  <w:num w:numId="8" w16cid:durableId="1304311558">
    <w:abstractNumId w:val="4"/>
  </w:num>
  <w:num w:numId="9" w16cid:durableId="15839053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688"/>
    <w:rsid w:val="00007866"/>
    <w:rsid w:val="000206FA"/>
    <w:rsid w:val="00021EEB"/>
    <w:rsid w:val="00022CAA"/>
    <w:rsid w:val="000233DD"/>
    <w:rsid w:val="00024B81"/>
    <w:rsid w:val="00026123"/>
    <w:rsid w:val="00031A2C"/>
    <w:rsid w:val="000362EB"/>
    <w:rsid w:val="00036786"/>
    <w:rsid w:val="00037B34"/>
    <w:rsid w:val="00042B93"/>
    <w:rsid w:val="00043C7F"/>
    <w:rsid w:val="000467A8"/>
    <w:rsid w:val="00050FAA"/>
    <w:rsid w:val="0005261F"/>
    <w:rsid w:val="00055F45"/>
    <w:rsid w:val="0006037F"/>
    <w:rsid w:val="000617B2"/>
    <w:rsid w:val="0006320D"/>
    <w:rsid w:val="0006570F"/>
    <w:rsid w:val="00071638"/>
    <w:rsid w:val="00075DE8"/>
    <w:rsid w:val="00076A11"/>
    <w:rsid w:val="00077FC3"/>
    <w:rsid w:val="000849E3"/>
    <w:rsid w:val="00085064"/>
    <w:rsid w:val="0008640E"/>
    <w:rsid w:val="00087439"/>
    <w:rsid w:val="00091F8E"/>
    <w:rsid w:val="000939BF"/>
    <w:rsid w:val="0009502A"/>
    <w:rsid w:val="00096EA9"/>
    <w:rsid w:val="000A3FB3"/>
    <w:rsid w:val="000A577D"/>
    <w:rsid w:val="000A6594"/>
    <w:rsid w:val="000B1246"/>
    <w:rsid w:val="000C1260"/>
    <w:rsid w:val="000C338A"/>
    <w:rsid w:val="000C560C"/>
    <w:rsid w:val="000C687A"/>
    <w:rsid w:val="000C6F90"/>
    <w:rsid w:val="000D080B"/>
    <w:rsid w:val="000D4479"/>
    <w:rsid w:val="000D4843"/>
    <w:rsid w:val="000D48FD"/>
    <w:rsid w:val="000D5219"/>
    <w:rsid w:val="000D57E5"/>
    <w:rsid w:val="000D79CC"/>
    <w:rsid w:val="000E1C64"/>
    <w:rsid w:val="000E3BDC"/>
    <w:rsid w:val="000F2C22"/>
    <w:rsid w:val="000F3AD3"/>
    <w:rsid w:val="000F7119"/>
    <w:rsid w:val="00100739"/>
    <w:rsid w:val="00103578"/>
    <w:rsid w:val="0010493E"/>
    <w:rsid w:val="00106D39"/>
    <w:rsid w:val="001075D3"/>
    <w:rsid w:val="00107885"/>
    <w:rsid w:val="001117BF"/>
    <w:rsid w:val="00114FC4"/>
    <w:rsid w:val="0012050D"/>
    <w:rsid w:val="00121E93"/>
    <w:rsid w:val="0012329C"/>
    <w:rsid w:val="00124221"/>
    <w:rsid w:val="00124916"/>
    <w:rsid w:val="0012681B"/>
    <w:rsid w:val="00127513"/>
    <w:rsid w:val="00134632"/>
    <w:rsid w:val="00134FA7"/>
    <w:rsid w:val="00136107"/>
    <w:rsid w:val="00137950"/>
    <w:rsid w:val="00141D53"/>
    <w:rsid w:val="00146058"/>
    <w:rsid w:val="001479C3"/>
    <w:rsid w:val="00152F29"/>
    <w:rsid w:val="001613A3"/>
    <w:rsid w:val="0017388D"/>
    <w:rsid w:val="00173E0F"/>
    <w:rsid w:val="00174D54"/>
    <w:rsid w:val="0017702C"/>
    <w:rsid w:val="0018455C"/>
    <w:rsid w:val="0018500A"/>
    <w:rsid w:val="00185270"/>
    <w:rsid w:val="00185CF2"/>
    <w:rsid w:val="00187153"/>
    <w:rsid w:val="00187D8E"/>
    <w:rsid w:val="00195F8F"/>
    <w:rsid w:val="001974D0"/>
    <w:rsid w:val="001A0337"/>
    <w:rsid w:val="001A3B5A"/>
    <w:rsid w:val="001A5C02"/>
    <w:rsid w:val="001A7968"/>
    <w:rsid w:val="001B2528"/>
    <w:rsid w:val="001B6968"/>
    <w:rsid w:val="001B7CE9"/>
    <w:rsid w:val="001C2618"/>
    <w:rsid w:val="001C4D94"/>
    <w:rsid w:val="001D495A"/>
    <w:rsid w:val="001D5DE7"/>
    <w:rsid w:val="001E244C"/>
    <w:rsid w:val="001E5FA6"/>
    <w:rsid w:val="001E7B5E"/>
    <w:rsid w:val="001F1437"/>
    <w:rsid w:val="001F1A65"/>
    <w:rsid w:val="001F2074"/>
    <w:rsid w:val="001F6D91"/>
    <w:rsid w:val="00200062"/>
    <w:rsid w:val="00202656"/>
    <w:rsid w:val="00203AA9"/>
    <w:rsid w:val="002058B7"/>
    <w:rsid w:val="00206799"/>
    <w:rsid w:val="002074FE"/>
    <w:rsid w:val="00212029"/>
    <w:rsid w:val="002150A2"/>
    <w:rsid w:val="0022425B"/>
    <w:rsid w:val="00224B0C"/>
    <w:rsid w:val="002259EF"/>
    <w:rsid w:val="00226306"/>
    <w:rsid w:val="00231E93"/>
    <w:rsid w:val="00232B31"/>
    <w:rsid w:val="002343BB"/>
    <w:rsid w:val="002345C7"/>
    <w:rsid w:val="00241FCB"/>
    <w:rsid w:val="00242ED1"/>
    <w:rsid w:val="002444BB"/>
    <w:rsid w:val="002471E8"/>
    <w:rsid w:val="00254069"/>
    <w:rsid w:val="00261EA5"/>
    <w:rsid w:val="00262610"/>
    <w:rsid w:val="00266261"/>
    <w:rsid w:val="00266AF5"/>
    <w:rsid w:val="00270748"/>
    <w:rsid w:val="002734E5"/>
    <w:rsid w:val="002746DB"/>
    <w:rsid w:val="00275099"/>
    <w:rsid w:val="002768A3"/>
    <w:rsid w:val="002808B8"/>
    <w:rsid w:val="00280CAF"/>
    <w:rsid w:val="00282AFF"/>
    <w:rsid w:val="00282F09"/>
    <w:rsid w:val="00283894"/>
    <w:rsid w:val="002849B5"/>
    <w:rsid w:val="00291810"/>
    <w:rsid w:val="00293F09"/>
    <w:rsid w:val="002946BE"/>
    <w:rsid w:val="00294D62"/>
    <w:rsid w:val="00297532"/>
    <w:rsid w:val="00297FFD"/>
    <w:rsid w:val="002A1210"/>
    <w:rsid w:val="002A30D7"/>
    <w:rsid w:val="002A47D2"/>
    <w:rsid w:val="002A5059"/>
    <w:rsid w:val="002A69DC"/>
    <w:rsid w:val="002A7FB5"/>
    <w:rsid w:val="002B1023"/>
    <w:rsid w:val="002B2044"/>
    <w:rsid w:val="002B2074"/>
    <w:rsid w:val="002B2600"/>
    <w:rsid w:val="002B4C36"/>
    <w:rsid w:val="002B71E9"/>
    <w:rsid w:val="002C2CDD"/>
    <w:rsid w:val="002C313C"/>
    <w:rsid w:val="002C3E4D"/>
    <w:rsid w:val="002C4DF4"/>
    <w:rsid w:val="002C69C7"/>
    <w:rsid w:val="002C7AA3"/>
    <w:rsid w:val="002D0E8C"/>
    <w:rsid w:val="002D14D8"/>
    <w:rsid w:val="002D4799"/>
    <w:rsid w:val="002E070B"/>
    <w:rsid w:val="002E1CED"/>
    <w:rsid w:val="002E26A7"/>
    <w:rsid w:val="002E2F46"/>
    <w:rsid w:val="002E3FA4"/>
    <w:rsid w:val="002E53A5"/>
    <w:rsid w:val="002E64B8"/>
    <w:rsid w:val="002E6834"/>
    <w:rsid w:val="002E7352"/>
    <w:rsid w:val="002F3AC3"/>
    <w:rsid w:val="002F62FB"/>
    <w:rsid w:val="002F68BF"/>
    <w:rsid w:val="00301BEE"/>
    <w:rsid w:val="003040A9"/>
    <w:rsid w:val="00305093"/>
    <w:rsid w:val="003061BF"/>
    <w:rsid w:val="003100FF"/>
    <w:rsid w:val="003113FF"/>
    <w:rsid w:val="00312622"/>
    <w:rsid w:val="00312D89"/>
    <w:rsid w:val="00321C76"/>
    <w:rsid w:val="0032277F"/>
    <w:rsid w:val="003262B8"/>
    <w:rsid w:val="003278F9"/>
    <w:rsid w:val="00327C32"/>
    <w:rsid w:val="00332392"/>
    <w:rsid w:val="00334A86"/>
    <w:rsid w:val="00336489"/>
    <w:rsid w:val="00336B69"/>
    <w:rsid w:val="0034302B"/>
    <w:rsid w:val="00343256"/>
    <w:rsid w:val="00344236"/>
    <w:rsid w:val="00345E39"/>
    <w:rsid w:val="00350523"/>
    <w:rsid w:val="0035189D"/>
    <w:rsid w:val="003539FD"/>
    <w:rsid w:val="0035560A"/>
    <w:rsid w:val="00355B62"/>
    <w:rsid w:val="00357C8A"/>
    <w:rsid w:val="003617D6"/>
    <w:rsid w:val="00364C5A"/>
    <w:rsid w:val="00365F5A"/>
    <w:rsid w:val="003714BA"/>
    <w:rsid w:val="003740BC"/>
    <w:rsid w:val="0037456B"/>
    <w:rsid w:val="003756E7"/>
    <w:rsid w:val="00377C64"/>
    <w:rsid w:val="003801A3"/>
    <w:rsid w:val="00383D90"/>
    <w:rsid w:val="003855E2"/>
    <w:rsid w:val="00386F69"/>
    <w:rsid w:val="003870AE"/>
    <w:rsid w:val="003934FD"/>
    <w:rsid w:val="00395706"/>
    <w:rsid w:val="00396300"/>
    <w:rsid w:val="00397BC6"/>
    <w:rsid w:val="003A02A7"/>
    <w:rsid w:val="003A105B"/>
    <w:rsid w:val="003A1A27"/>
    <w:rsid w:val="003A432B"/>
    <w:rsid w:val="003A4D00"/>
    <w:rsid w:val="003A50CC"/>
    <w:rsid w:val="003A63AD"/>
    <w:rsid w:val="003B0CA7"/>
    <w:rsid w:val="003B42B3"/>
    <w:rsid w:val="003B5818"/>
    <w:rsid w:val="003B6384"/>
    <w:rsid w:val="003C0FE2"/>
    <w:rsid w:val="003C16D9"/>
    <w:rsid w:val="003C4EBB"/>
    <w:rsid w:val="003C6D60"/>
    <w:rsid w:val="003D1531"/>
    <w:rsid w:val="003D2929"/>
    <w:rsid w:val="003D73D4"/>
    <w:rsid w:val="003E0661"/>
    <w:rsid w:val="003E082B"/>
    <w:rsid w:val="003E4EC6"/>
    <w:rsid w:val="003E527E"/>
    <w:rsid w:val="003E553E"/>
    <w:rsid w:val="003E6F68"/>
    <w:rsid w:val="003E7078"/>
    <w:rsid w:val="003F1F2F"/>
    <w:rsid w:val="003F3DF5"/>
    <w:rsid w:val="003F3FA6"/>
    <w:rsid w:val="003F6AA3"/>
    <w:rsid w:val="003F73B8"/>
    <w:rsid w:val="004012B0"/>
    <w:rsid w:val="0040297E"/>
    <w:rsid w:val="00405FB0"/>
    <w:rsid w:val="00406733"/>
    <w:rsid w:val="00411D11"/>
    <w:rsid w:val="00414494"/>
    <w:rsid w:val="0041557C"/>
    <w:rsid w:val="00415E23"/>
    <w:rsid w:val="004164EF"/>
    <w:rsid w:val="0041670D"/>
    <w:rsid w:val="004177E4"/>
    <w:rsid w:val="00417E59"/>
    <w:rsid w:val="00422539"/>
    <w:rsid w:val="00423272"/>
    <w:rsid w:val="00424061"/>
    <w:rsid w:val="0042729F"/>
    <w:rsid w:val="0043704F"/>
    <w:rsid w:val="004402BA"/>
    <w:rsid w:val="00442A3C"/>
    <w:rsid w:val="00443969"/>
    <w:rsid w:val="00447CF2"/>
    <w:rsid w:val="00447D74"/>
    <w:rsid w:val="00450A74"/>
    <w:rsid w:val="00454636"/>
    <w:rsid w:val="004546BF"/>
    <w:rsid w:val="00460F21"/>
    <w:rsid w:val="004618A8"/>
    <w:rsid w:val="00465350"/>
    <w:rsid w:val="0047053F"/>
    <w:rsid w:val="00472470"/>
    <w:rsid w:val="0047295B"/>
    <w:rsid w:val="00474FA0"/>
    <w:rsid w:val="00476B91"/>
    <w:rsid w:val="004810B8"/>
    <w:rsid w:val="004839C0"/>
    <w:rsid w:val="00483B56"/>
    <w:rsid w:val="004846BF"/>
    <w:rsid w:val="00487C15"/>
    <w:rsid w:val="00494912"/>
    <w:rsid w:val="0049553C"/>
    <w:rsid w:val="00496A8F"/>
    <w:rsid w:val="00496B62"/>
    <w:rsid w:val="004A1D8F"/>
    <w:rsid w:val="004A4486"/>
    <w:rsid w:val="004A5323"/>
    <w:rsid w:val="004A5674"/>
    <w:rsid w:val="004A5A99"/>
    <w:rsid w:val="004A7DD1"/>
    <w:rsid w:val="004B145A"/>
    <w:rsid w:val="004B1DBB"/>
    <w:rsid w:val="004B5458"/>
    <w:rsid w:val="004C6979"/>
    <w:rsid w:val="004C718F"/>
    <w:rsid w:val="004D0316"/>
    <w:rsid w:val="004D13A2"/>
    <w:rsid w:val="004D3E7A"/>
    <w:rsid w:val="004D527C"/>
    <w:rsid w:val="004D6010"/>
    <w:rsid w:val="004D7CBE"/>
    <w:rsid w:val="004E0261"/>
    <w:rsid w:val="004E5936"/>
    <w:rsid w:val="004E5B30"/>
    <w:rsid w:val="004F26A0"/>
    <w:rsid w:val="004F555F"/>
    <w:rsid w:val="004F594B"/>
    <w:rsid w:val="004F61E1"/>
    <w:rsid w:val="004F7582"/>
    <w:rsid w:val="004F7DCF"/>
    <w:rsid w:val="00500BDC"/>
    <w:rsid w:val="00501F3B"/>
    <w:rsid w:val="00502DB4"/>
    <w:rsid w:val="0050663D"/>
    <w:rsid w:val="005078D1"/>
    <w:rsid w:val="00507E47"/>
    <w:rsid w:val="00511ED9"/>
    <w:rsid w:val="00512053"/>
    <w:rsid w:val="00514A12"/>
    <w:rsid w:val="00515FD2"/>
    <w:rsid w:val="00516252"/>
    <w:rsid w:val="00516EFD"/>
    <w:rsid w:val="005170FC"/>
    <w:rsid w:val="00522036"/>
    <w:rsid w:val="00525FD9"/>
    <w:rsid w:val="005278D6"/>
    <w:rsid w:val="00531F70"/>
    <w:rsid w:val="005328A7"/>
    <w:rsid w:val="0053380B"/>
    <w:rsid w:val="005350F7"/>
    <w:rsid w:val="00535C50"/>
    <w:rsid w:val="0053621C"/>
    <w:rsid w:val="005379AA"/>
    <w:rsid w:val="00543194"/>
    <w:rsid w:val="00544138"/>
    <w:rsid w:val="005510D0"/>
    <w:rsid w:val="00554E34"/>
    <w:rsid w:val="00565151"/>
    <w:rsid w:val="00566B1C"/>
    <w:rsid w:val="00570C6A"/>
    <w:rsid w:val="00573A71"/>
    <w:rsid w:val="00573C5F"/>
    <w:rsid w:val="005771ED"/>
    <w:rsid w:val="005827EA"/>
    <w:rsid w:val="0058363D"/>
    <w:rsid w:val="00583DD4"/>
    <w:rsid w:val="00584583"/>
    <w:rsid w:val="00585812"/>
    <w:rsid w:val="00587D01"/>
    <w:rsid w:val="00590E90"/>
    <w:rsid w:val="00590EEB"/>
    <w:rsid w:val="00596D56"/>
    <w:rsid w:val="005A3E02"/>
    <w:rsid w:val="005A4099"/>
    <w:rsid w:val="005B00E6"/>
    <w:rsid w:val="005C38B2"/>
    <w:rsid w:val="005C5029"/>
    <w:rsid w:val="005C5103"/>
    <w:rsid w:val="005C55C2"/>
    <w:rsid w:val="005C71CA"/>
    <w:rsid w:val="005C745C"/>
    <w:rsid w:val="005D4DF5"/>
    <w:rsid w:val="005D5B14"/>
    <w:rsid w:val="005E05C0"/>
    <w:rsid w:val="005E1F1D"/>
    <w:rsid w:val="005E42BA"/>
    <w:rsid w:val="005E4420"/>
    <w:rsid w:val="005F0A3C"/>
    <w:rsid w:val="005F2AB1"/>
    <w:rsid w:val="005F2E89"/>
    <w:rsid w:val="005F3775"/>
    <w:rsid w:val="005F3826"/>
    <w:rsid w:val="005F43E1"/>
    <w:rsid w:val="005F5955"/>
    <w:rsid w:val="006071DF"/>
    <w:rsid w:val="00611D6B"/>
    <w:rsid w:val="00614243"/>
    <w:rsid w:val="006158EB"/>
    <w:rsid w:val="00617931"/>
    <w:rsid w:val="00621F92"/>
    <w:rsid w:val="00625CFD"/>
    <w:rsid w:val="006266BF"/>
    <w:rsid w:val="00627F71"/>
    <w:rsid w:val="006321C3"/>
    <w:rsid w:val="006326EC"/>
    <w:rsid w:val="006356BA"/>
    <w:rsid w:val="0063606C"/>
    <w:rsid w:val="00646B59"/>
    <w:rsid w:val="00650E66"/>
    <w:rsid w:val="006519D8"/>
    <w:rsid w:val="0066064E"/>
    <w:rsid w:val="00663A42"/>
    <w:rsid w:val="006641C7"/>
    <w:rsid w:val="006705EA"/>
    <w:rsid w:val="00670BE2"/>
    <w:rsid w:val="00676C10"/>
    <w:rsid w:val="006814B9"/>
    <w:rsid w:val="006826C8"/>
    <w:rsid w:val="006916D9"/>
    <w:rsid w:val="00695C4B"/>
    <w:rsid w:val="006A0E05"/>
    <w:rsid w:val="006A1C01"/>
    <w:rsid w:val="006A26C6"/>
    <w:rsid w:val="006A465A"/>
    <w:rsid w:val="006A5E89"/>
    <w:rsid w:val="006A7D5D"/>
    <w:rsid w:val="006B1229"/>
    <w:rsid w:val="006B46F5"/>
    <w:rsid w:val="006B63E1"/>
    <w:rsid w:val="006C4638"/>
    <w:rsid w:val="006C5109"/>
    <w:rsid w:val="006D0C12"/>
    <w:rsid w:val="006D4AFB"/>
    <w:rsid w:val="006D5D57"/>
    <w:rsid w:val="006E161D"/>
    <w:rsid w:val="006E2538"/>
    <w:rsid w:val="006E302F"/>
    <w:rsid w:val="006E3388"/>
    <w:rsid w:val="006E6C5D"/>
    <w:rsid w:val="006F051B"/>
    <w:rsid w:val="006F232F"/>
    <w:rsid w:val="006F2B9C"/>
    <w:rsid w:val="006F4D6D"/>
    <w:rsid w:val="006F5839"/>
    <w:rsid w:val="0070115A"/>
    <w:rsid w:val="00705086"/>
    <w:rsid w:val="00705C80"/>
    <w:rsid w:val="0070622B"/>
    <w:rsid w:val="007067F2"/>
    <w:rsid w:val="0070711F"/>
    <w:rsid w:val="00707567"/>
    <w:rsid w:val="00711C50"/>
    <w:rsid w:val="0072102D"/>
    <w:rsid w:val="00722001"/>
    <w:rsid w:val="007231CB"/>
    <w:rsid w:val="00733636"/>
    <w:rsid w:val="00733E2A"/>
    <w:rsid w:val="00734894"/>
    <w:rsid w:val="00737FE6"/>
    <w:rsid w:val="0074032C"/>
    <w:rsid w:val="007426FF"/>
    <w:rsid w:val="00745750"/>
    <w:rsid w:val="00751E66"/>
    <w:rsid w:val="00752164"/>
    <w:rsid w:val="00754497"/>
    <w:rsid w:val="007564A2"/>
    <w:rsid w:val="00760F09"/>
    <w:rsid w:val="00767325"/>
    <w:rsid w:val="00767BFE"/>
    <w:rsid w:val="00775669"/>
    <w:rsid w:val="00776D1C"/>
    <w:rsid w:val="007828D7"/>
    <w:rsid w:val="00785519"/>
    <w:rsid w:val="00787C39"/>
    <w:rsid w:val="00787CF8"/>
    <w:rsid w:val="00790384"/>
    <w:rsid w:val="00792947"/>
    <w:rsid w:val="00792F4E"/>
    <w:rsid w:val="00794BAA"/>
    <w:rsid w:val="0079520B"/>
    <w:rsid w:val="00795DF3"/>
    <w:rsid w:val="00796436"/>
    <w:rsid w:val="00797185"/>
    <w:rsid w:val="007A373C"/>
    <w:rsid w:val="007A44B3"/>
    <w:rsid w:val="007A6627"/>
    <w:rsid w:val="007A67C5"/>
    <w:rsid w:val="007A70DC"/>
    <w:rsid w:val="007B225C"/>
    <w:rsid w:val="007B6326"/>
    <w:rsid w:val="007B670C"/>
    <w:rsid w:val="007B7A57"/>
    <w:rsid w:val="007B7CA9"/>
    <w:rsid w:val="007C034F"/>
    <w:rsid w:val="007C043D"/>
    <w:rsid w:val="007C4EA1"/>
    <w:rsid w:val="007C5C19"/>
    <w:rsid w:val="007C65E1"/>
    <w:rsid w:val="007C75B1"/>
    <w:rsid w:val="007D12AC"/>
    <w:rsid w:val="007D1685"/>
    <w:rsid w:val="007D3DFC"/>
    <w:rsid w:val="007E2F07"/>
    <w:rsid w:val="007E59A8"/>
    <w:rsid w:val="007E674B"/>
    <w:rsid w:val="007E756E"/>
    <w:rsid w:val="007E7776"/>
    <w:rsid w:val="007E7DCC"/>
    <w:rsid w:val="007F0DF2"/>
    <w:rsid w:val="00805771"/>
    <w:rsid w:val="00805886"/>
    <w:rsid w:val="008063A2"/>
    <w:rsid w:val="0080776D"/>
    <w:rsid w:val="00810145"/>
    <w:rsid w:val="008108FA"/>
    <w:rsid w:val="00810FF1"/>
    <w:rsid w:val="00814B21"/>
    <w:rsid w:val="00820591"/>
    <w:rsid w:val="00822336"/>
    <w:rsid w:val="00823DFA"/>
    <w:rsid w:val="00825EE1"/>
    <w:rsid w:val="00834CB5"/>
    <w:rsid w:val="00837D7C"/>
    <w:rsid w:val="00841281"/>
    <w:rsid w:val="0084277B"/>
    <w:rsid w:val="00842DB7"/>
    <w:rsid w:val="00843752"/>
    <w:rsid w:val="0084479F"/>
    <w:rsid w:val="00856EF0"/>
    <w:rsid w:val="0085725E"/>
    <w:rsid w:val="0085791A"/>
    <w:rsid w:val="00863AA6"/>
    <w:rsid w:val="0086522D"/>
    <w:rsid w:val="00866E86"/>
    <w:rsid w:val="00873D4F"/>
    <w:rsid w:val="008740F3"/>
    <w:rsid w:val="0087509F"/>
    <w:rsid w:val="00876925"/>
    <w:rsid w:val="00876F3B"/>
    <w:rsid w:val="00885B09"/>
    <w:rsid w:val="00885CC1"/>
    <w:rsid w:val="00892400"/>
    <w:rsid w:val="00894526"/>
    <w:rsid w:val="008A1FD4"/>
    <w:rsid w:val="008A209D"/>
    <w:rsid w:val="008A22BB"/>
    <w:rsid w:val="008A4977"/>
    <w:rsid w:val="008A77D6"/>
    <w:rsid w:val="008B035D"/>
    <w:rsid w:val="008B0E29"/>
    <w:rsid w:val="008B0EFA"/>
    <w:rsid w:val="008B30AB"/>
    <w:rsid w:val="008B5B38"/>
    <w:rsid w:val="008C0AE1"/>
    <w:rsid w:val="008C3BB8"/>
    <w:rsid w:val="008C4B65"/>
    <w:rsid w:val="008C5E1D"/>
    <w:rsid w:val="008E0D12"/>
    <w:rsid w:val="008E5F55"/>
    <w:rsid w:val="008E7C9D"/>
    <w:rsid w:val="008F15B1"/>
    <w:rsid w:val="008F1E38"/>
    <w:rsid w:val="008F790E"/>
    <w:rsid w:val="009009E7"/>
    <w:rsid w:val="00900AF2"/>
    <w:rsid w:val="00901A98"/>
    <w:rsid w:val="00905DEF"/>
    <w:rsid w:val="00906056"/>
    <w:rsid w:val="00910E0A"/>
    <w:rsid w:val="009122AE"/>
    <w:rsid w:val="00912A7B"/>
    <w:rsid w:val="00912DAB"/>
    <w:rsid w:val="00913B43"/>
    <w:rsid w:val="009146B9"/>
    <w:rsid w:val="00914BAE"/>
    <w:rsid w:val="00915E0D"/>
    <w:rsid w:val="00917B61"/>
    <w:rsid w:val="00927C50"/>
    <w:rsid w:val="00930203"/>
    <w:rsid w:val="009311D2"/>
    <w:rsid w:val="009311E6"/>
    <w:rsid w:val="00931275"/>
    <w:rsid w:val="009313BF"/>
    <w:rsid w:val="00936AC7"/>
    <w:rsid w:val="009418BA"/>
    <w:rsid w:val="00943E1B"/>
    <w:rsid w:val="009469DF"/>
    <w:rsid w:val="00946B17"/>
    <w:rsid w:val="00946DDF"/>
    <w:rsid w:val="009473EC"/>
    <w:rsid w:val="00947D19"/>
    <w:rsid w:val="00951EF2"/>
    <w:rsid w:val="00953B64"/>
    <w:rsid w:val="00954398"/>
    <w:rsid w:val="0096407F"/>
    <w:rsid w:val="009646A7"/>
    <w:rsid w:val="00970A88"/>
    <w:rsid w:val="00970B92"/>
    <w:rsid w:val="00972DCE"/>
    <w:rsid w:val="009734CD"/>
    <w:rsid w:val="00974F76"/>
    <w:rsid w:val="009810E1"/>
    <w:rsid w:val="009818A1"/>
    <w:rsid w:val="009875BE"/>
    <w:rsid w:val="009914E0"/>
    <w:rsid w:val="00992C5C"/>
    <w:rsid w:val="009932F5"/>
    <w:rsid w:val="00995478"/>
    <w:rsid w:val="009975CF"/>
    <w:rsid w:val="009A1674"/>
    <w:rsid w:val="009A6D34"/>
    <w:rsid w:val="009B1441"/>
    <w:rsid w:val="009B2284"/>
    <w:rsid w:val="009B2677"/>
    <w:rsid w:val="009B38BE"/>
    <w:rsid w:val="009B4DF2"/>
    <w:rsid w:val="009C2C30"/>
    <w:rsid w:val="009C37B9"/>
    <w:rsid w:val="009C684F"/>
    <w:rsid w:val="009C6CC0"/>
    <w:rsid w:val="009C7956"/>
    <w:rsid w:val="009D074C"/>
    <w:rsid w:val="009D0AEC"/>
    <w:rsid w:val="009D18E4"/>
    <w:rsid w:val="009D1D02"/>
    <w:rsid w:val="009D48E9"/>
    <w:rsid w:val="009D4C4D"/>
    <w:rsid w:val="009D5E99"/>
    <w:rsid w:val="009D624F"/>
    <w:rsid w:val="009D6E73"/>
    <w:rsid w:val="009D7769"/>
    <w:rsid w:val="009D7B62"/>
    <w:rsid w:val="009E06E2"/>
    <w:rsid w:val="009E2681"/>
    <w:rsid w:val="009E3B1A"/>
    <w:rsid w:val="009E4C13"/>
    <w:rsid w:val="009E5977"/>
    <w:rsid w:val="009F1F1D"/>
    <w:rsid w:val="009F2B4F"/>
    <w:rsid w:val="009F3C63"/>
    <w:rsid w:val="009F4014"/>
    <w:rsid w:val="009F4D57"/>
    <w:rsid w:val="009F66B5"/>
    <w:rsid w:val="00A01199"/>
    <w:rsid w:val="00A02F10"/>
    <w:rsid w:val="00A05359"/>
    <w:rsid w:val="00A06288"/>
    <w:rsid w:val="00A06748"/>
    <w:rsid w:val="00A1060C"/>
    <w:rsid w:val="00A10E37"/>
    <w:rsid w:val="00A12477"/>
    <w:rsid w:val="00A154ED"/>
    <w:rsid w:val="00A16221"/>
    <w:rsid w:val="00A17725"/>
    <w:rsid w:val="00A20A7D"/>
    <w:rsid w:val="00A20AC4"/>
    <w:rsid w:val="00A3123A"/>
    <w:rsid w:val="00A35D42"/>
    <w:rsid w:val="00A40401"/>
    <w:rsid w:val="00A407C0"/>
    <w:rsid w:val="00A40E04"/>
    <w:rsid w:val="00A4459B"/>
    <w:rsid w:val="00A45ECA"/>
    <w:rsid w:val="00A46CCF"/>
    <w:rsid w:val="00A506DE"/>
    <w:rsid w:val="00A53451"/>
    <w:rsid w:val="00A538B9"/>
    <w:rsid w:val="00A57540"/>
    <w:rsid w:val="00A6687F"/>
    <w:rsid w:val="00A66A89"/>
    <w:rsid w:val="00A67F3C"/>
    <w:rsid w:val="00A70426"/>
    <w:rsid w:val="00A707CC"/>
    <w:rsid w:val="00A7126C"/>
    <w:rsid w:val="00A71410"/>
    <w:rsid w:val="00A7281F"/>
    <w:rsid w:val="00A74133"/>
    <w:rsid w:val="00A743BC"/>
    <w:rsid w:val="00A84C0E"/>
    <w:rsid w:val="00A860F5"/>
    <w:rsid w:val="00A91E9A"/>
    <w:rsid w:val="00A93ED9"/>
    <w:rsid w:val="00A96221"/>
    <w:rsid w:val="00A96B31"/>
    <w:rsid w:val="00A97570"/>
    <w:rsid w:val="00AA61DD"/>
    <w:rsid w:val="00AB0C71"/>
    <w:rsid w:val="00AB13ED"/>
    <w:rsid w:val="00AB2700"/>
    <w:rsid w:val="00AB3B9F"/>
    <w:rsid w:val="00AB43F4"/>
    <w:rsid w:val="00AB66B5"/>
    <w:rsid w:val="00AB7295"/>
    <w:rsid w:val="00AB7F30"/>
    <w:rsid w:val="00AC2DBB"/>
    <w:rsid w:val="00AC4F61"/>
    <w:rsid w:val="00AC6A99"/>
    <w:rsid w:val="00AD0256"/>
    <w:rsid w:val="00AD0FB0"/>
    <w:rsid w:val="00AD1149"/>
    <w:rsid w:val="00AD24A2"/>
    <w:rsid w:val="00AD3287"/>
    <w:rsid w:val="00AD3D0E"/>
    <w:rsid w:val="00AD6048"/>
    <w:rsid w:val="00AD65A6"/>
    <w:rsid w:val="00AE203B"/>
    <w:rsid w:val="00B009AC"/>
    <w:rsid w:val="00B01DD8"/>
    <w:rsid w:val="00B033E7"/>
    <w:rsid w:val="00B0508E"/>
    <w:rsid w:val="00B055EF"/>
    <w:rsid w:val="00B0664C"/>
    <w:rsid w:val="00B06B5B"/>
    <w:rsid w:val="00B100FE"/>
    <w:rsid w:val="00B11F32"/>
    <w:rsid w:val="00B1302B"/>
    <w:rsid w:val="00B154D0"/>
    <w:rsid w:val="00B158C3"/>
    <w:rsid w:val="00B17BD3"/>
    <w:rsid w:val="00B202C5"/>
    <w:rsid w:val="00B21306"/>
    <w:rsid w:val="00B23060"/>
    <w:rsid w:val="00B23769"/>
    <w:rsid w:val="00B25E85"/>
    <w:rsid w:val="00B34B91"/>
    <w:rsid w:val="00B40F8F"/>
    <w:rsid w:val="00B41789"/>
    <w:rsid w:val="00B46CF1"/>
    <w:rsid w:val="00B50EC8"/>
    <w:rsid w:val="00B5231A"/>
    <w:rsid w:val="00B53083"/>
    <w:rsid w:val="00B539DC"/>
    <w:rsid w:val="00B53EBD"/>
    <w:rsid w:val="00B54735"/>
    <w:rsid w:val="00B55808"/>
    <w:rsid w:val="00B55D91"/>
    <w:rsid w:val="00B562F2"/>
    <w:rsid w:val="00B66FB9"/>
    <w:rsid w:val="00B766DC"/>
    <w:rsid w:val="00B8154E"/>
    <w:rsid w:val="00B81808"/>
    <w:rsid w:val="00B821D5"/>
    <w:rsid w:val="00B85BE6"/>
    <w:rsid w:val="00B85C6D"/>
    <w:rsid w:val="00B86DFA"/>
    <w:rsid w:val="00B936D0"/>
    <w:rsid w:val="00B93EEA"/>
    <w:rsid w:val="00B94485"/>
    <w:rsid w:val="00BA3A7A"/>
    <w:rsid w:val="00BA4789"/>
    <w:rsid w:val="00BA691E"/>
    <w:rsid w:val="00BA7BC6"/>
    <w:rsid w:val="00BB15FB"/>
    <w:rsid w:val="00BB2D3F"/>
    <w:rsid w:val="00BB45C1"/>
    <w:rsid w:val="00BC1DF4"/>
    <w:rsid w:val="00BC23AF"/>
    <w:rsid w:val="00BC5C8F"/>
    <w:rsid w:val="00BC5D1F"/>
    <w:rsid w:val="00BD2340"/>
    <w:rsid w:val="00BD3D5B"/>
    <w:rsid w:val="00BD62ED"/>
    <w:rsid w:val="00BD6E6F"/>
    <w:rsid w:val="00BE3600"/>
    <w:rsid w:val="00BE3D66"/>
    <w:rsid w:val="00BE5656"/>
    <w:rsid w:val="00BF034E"/>
    <w:rsid w:val="00BF0477"/>
    <w:rsid w:val="00BF1337"/>
    <w:rsid w:val="00BF2CD2"/>
    <w:rsid w:val="00C01F6F"/>
    <w:rsid w:val="00C03A62"/>
    <w:rsid w:val="00C041EA"/>
    <w:rsid w:val="00C04C8D"/>
    <w:rsid w:val="00C07261"/>
    <w:rsid w:val="00C10608"/>
    <w:rsid w:val="00C135D2"/>
    <w:rsid w:val="00C13BBD"/>
    <w:rsid w:val="00C14655"/>
    <w:rsid w:val="00C149AB"/>
    <w:rsid w:val="00C16929"/>
    <w:rsid w:val="00C20690"/>
    <w:rsid w:val="00C219F5"/>
    <w:rsid w:val="00C23275"/>
    <w:rsid w:val="00C242B7"/>
    <w:rsid w:val="00C315A6"/>
    <w:rsid w:val="00C32333"/>
    <w:rsid w:val="00C3308F"/>
    <w:rsid w:val="00C340EA"/>
    <w:rsid w:val="00C36020"/>
    <w:rsid w:val="00C36F12"/>
    <w:rsid w:val="00C40694"/>
    <w:rsid w:val="00C4072C"/>
    <w:rsid w:val="00C479BF"/>
    <w:rsid w:val="00C50A47"/>
    <w:rsid w:val="00C5124B"/>
    <w:rsid w:val="00C52D84"/>
    <w:rsid w:val="00C63F55"/>
    <w:rsid w:val="00C65836"/>
    <w:rsid w:val="00C66CAB"/>
    <w:rsid w:val="00C70542"/>
    <w:rsid w:val="00C7264D"/>
    <w:rsid w:val="00C74107"/>
    <w:rsid w:val="00C75CBF"/>
    <w:rsid w:val="00C77769"/>
    <w:rsid w:val="00C854CC"/>
    <w:rsid w:val="00C85EA4"/>
    <w:rsid w:val="00C90508"/>
    <w:rsid w:val="00C912AD"/>
    <w:rsid w:val="00CA7C1B"/>
    <w:rsid w:val="00CB1EEE"/>
    <w:rsid w:val="00CB7BA6"/>
    <w:rsid w:val="00CC0810"/>
    <w:rsid w:val="00CC2894"/>
    <w:rsid w:val="00CD77C3"/>
    <w:rsid w:val="00CE0DD7"/>
    <w:rsid w:val="00CE112C"/>
    <w:rsid w:val="00CE20B1"/>
    <w:rsid w:val="00CE7FCC"/>
    <w:rsid w:val="00CF00DF"/>
    <w:rsid w:val="00CF1503"/>
    <w:rsid w:val="00CF1BCA"/>
    <w:rsid w:val="00CF50F9"/>
    <w:rsid w:val="00CF54B7"/>
    <w:rsid w:val="00CF55D4"/>
    <w:rsid w:val="00CF630B"/>
    <w:rsid w:val="00D0332F"/>
    <w:rsid w:val="00D1128A"/>
    <w:rsid w:val="00D13626"/>
    <w:rsid w:val="00D22245"/>
    <w:rsid w:val="00D24172"/>
    <w:rsid w:val="00D44BF7"/>
    <w:rsid w:val="00D50837"/>
    <w:rsid w:val="00D52B78"/>
    <w:rsid w:val="00D54B00"/>
    <w:rsid w:val="00D55AF5"/>
    <w:rsid w:val="00D601E9"/>
    <w:rsid w:val="00D608DA"/>
    <w:rsid w:val="00D6124B"/>
    <w:rsid w:val="00D72CAC"/>
    <w:rsid w:val="00D730BF"/>
    <w:rsid w:val="00D776F9"/>
    <w:rsid w:val="00D810AF"/>
    <w:rsid w:val="00D852F4"/>
    <w:rsid w:val="00D90A4F"/>
    <w:rsid w:val="00D94FAA"/>
    <w:rsid w:val="00D978AE"/>
    <w:rsid w:val="00DA4155"/>
    <w:rsid w:val="00DA41EA"/>
    <w:rsid w:val="00DB1110"/>
    <w:rsid w:val="00DB3730"/>
    <w:rsid w:val="00DB574B"/>
    <w:rsid w:val="00DC02B4"/>
    <w:rsid w:val="00DC371B"/>
    <w:rsid w:val="00DC3788"/>
    <w:rsid w:val="00DC76C7"/>
    <w:rsid w:val="00DD09F5"/>
    <w:rsid w:val="00DD0E02"/>
    <w:rsid w:val="00DD32EB"/>
    <w:rsid w:val="00DD4201"/>
    <w:rsid w:val="00DD4568"/>
    <w:rsid w:val="00DD5E9F"/>
    <w:rsid w:val="00DD64DE"/>
    <w:rsid w:val="00DE0426"/>
    <w:rsid w:val="00DE2A5A"/>
    <w:rsid w:val="00DE5711"/>
    <w:rsid w:val="00DF0916"/>
    <w:rsid w:val="00DF1527"/>
    <w:rsid w:val="00DF1D17"/>
    <w:rsid w:val="00DF2429"/>
    <w:rsid w:val="00DF43FA"/>
    <w:rsid w:val="00DF4DD2"/>
    <w:rsid w:val="00DF5C97"/>
    <w:rsid w:val="00DF7A2F"/>
    <w:rsid w:val="00E00EA0"/>
    <w:rsid w:val="00E01E70"/>
    <w:rsid w:val="00E021CB"/>
    <w:rsid w:val="00E03F04"/>
    <w:rsid w:val="00E05F6A"/>
    <w:rsid w:val="00E113F1"/>
    <w:rsid w:val="00E138F1"/>
    <w:rsid w:val="00E141E2"/>
    <w:rsid w:val="00E209A5"/>
    <w:rsid w:val="00E2309D"/>
    <w:rsid w:val="00E26758"/>
    <w:rsid w:val="00E335CD"/>
    <w:rsid w:val="00E358E4"/>
    <w:rsid w:val="00E371AB"/>
    <w:rsid w:val="00E3728B"/>
    <w:rsid w:val="00E40194"/>
    <w:rsid w:val="00E4357B"/>
    <w:rsid w:val="00E43A82"/>
    <w:rsid w:val="00E443A7"/>
    <w:rsid w:val="00E45644"/>
    <w:rsid w:val="00E45904"/>
    <w:rsid w:val="00E529FA"/>
    <w:rsid w:val="00E549A0"/>
    <w:rsid w:val="00E62288"/>
    <w:rsid w:val="00E63DE5"/>
    <w:rsid w:val="00E647AF"/>
    <w:rsid w:val="00E647C7"/>
    <w:rsid w:val="00E65A37"/>
    <w:rsid w:val="00E65EF7"/>
    <w:rsid w:val="00E67C8F"/>
    <w:rsid w:val="00E763A9"/>
    <w:rsid w:val="00E77B48"/>
    <w:rsid w:val="00E841F5"/>
    <w:rsid w:val="00E848CD"/>
    <w:rsid w:val="00E852FA"/>
    <w:rsid w:val="00E857FB"/>
    <w:rsid w:val="00E85E22"/>
    <w:rsid w:val="00E86308"/>
    <w:rsid w:val="00E91799"/>
    <w:rsid w:val="00E93C0D"/>
    <w:rsid w:val="00E975EC"/>
    <w:rsid w:val="00E97DF8"/>
    <w:rsid w:val="00EA0990"/>
    <w:rsid w:val="00EA1214"/>
    <w:rsid w:val="00EA21FE"/>
    <w:rsid w:val="00EA3214"/>
    <w:rsid w:val="00EA34E3"/>
    <w:rsid w:val="00EA5A40"/>
    <w:rsid w:val="00EA77C6"/>
    <w:rsid w:val="00EB1254"/>
    <w:rsid w:val="00EB3285"/>
    <w:rsid w:val="00EB35B2"/>
    <w:rsid w:val="00EB39BA"/>
    <w:rsid w:val="00EB647F"/>
    <w:rsid w:val="00EB7538"/>
    <w:rsid w:val="00EC0D45"/>
    <w:rsid w:val="00EC1868"/>
    <w:rsid w:val="00EC2381"/>
    <w:rsid w:val="00EC3021"/>
    <w:rsid w:val="00EC3873"/>
    <w:rsid w:val="00EC3C27"/>
    <w:rsid w:val="00ED5AEA"/>
    <w:rsid w:val="00ED7FC7"/>
    <w:rsid w:val="00EE6468"/>
    <w:rsid w:val="00EF6DBA"/>
    <w:rsid w:val="00EF7148"/>
    <w:rsid w:val="00F03633"/>
    <w:rsid w:val="00F03A6E"/>
    <w:rsid w:val="00F05668"/>
    <w:rsid w:val="00F1299B"/>
    <w:rsid w:val="00F15F89"/>
    <w:rsid w:val="00F207A4"/>
    <w:rsid w:val="00F23848"/>
    <w:rsid w:val="00F24045"/>
    <w:rsid w:val="00F25173"/>
    <w:rsid w:val="00F33661"/>
    <w:rsid w:val="00F33E58"/>
    <w:rsid w:val="00F355AC"/>
    <w:rsid w:val="00F376C0"/>
    <w:rsid w:val="00F40CF7"/>
    <w:rsid w:val="00F437D2"/>
    <w:rsid w:val="00F44194"/>
    <w:rsid w:val="00F57885"/>
    <w:rsid w:val="00F60E88"/>
    <w:rsid w:val="00F62BEA"/>
    <w:rsid w:val="00F65BD8"/>
    <w:rsid w:val="00F66172"/>
    <w:rsid w:val="00F67AF0"/>
    <w:rsid w:val="00F67EAE"/>
    <w:rsid w:val="00F70D9C"/>
    <w:rsid w:val="00F71A5A"/>
    <w:rsid w:val="00F73A1A"/>
    <w:rsid w:val="00F73BFA"/>
    <w:rsid w:val="00F769E0"/>
    <w:rsid w:val="00F809B0"/>
    <w:rsid w:val="00F87774"/>
    <w:rsid w:val="00F91711"/>
    <w:rsid w:val="00F93C45"/>
    <w:rsid w:val="00FA00AF"/>
    <w:rsid w:val="00FA4A46"/>
    <w:rsid w:val="00FA75FE"/>
    <w:rsid w:val="00FB1032"/>
    <w:rsid w:val="00FB39BC"/>
    <w:rsid w:val="00FB59FF"/>
    <w:rsid w:val="00FB5D04"/>
    <w:rsid w:val="00FB6A53"/>
    <w:rsid w:val="00FB6C67"/>
    <w:rsid w:val="00FC11CA"/>
    <w:rsid w:val="00FC14E9"/>
    <w:rsid w:val="00FC23E7"/>
    <w:rsid w:val="00FC5547"/>
    <w:rsid w:val="00FC62D1"/>
    <w:rsid w:val="00FC6BDE"/>
    <w:rsid w:val="00FD1B49"/>
    <w:rsid w:val="00FD645F"/>
    <w:rsid w:val="00FE19A4"/>
    <w:rsid w:val="00FE2715"/>
    <w:rsid w:val="00FE439A"/>
    <w:rsid w:val="00FE457B"/>
    <w:rsid w:val="00FE6A70"/>
    <w:rsid w:val="00FF3210"/>
    <w:rsid w:val="00FF5043"/>
    <w:rsid w:val="00FF6138"/>
    <w:rsid w:val="00FF62CB"/>
    <w:rsid w:val="03584786"/>
    <w:rsid w:val="03BC4E10"/>
    <w:rsid w:val="086D0965"/>
    <w:rsid w:val="140345EC"/>
    <w:rsid w:val="173FEFB1"/>
    <w:rsid w:val="17D1FF44"/>
    <w:rsid w:val="186A04D2"/>
    <w:rsid w:val="21EC80E0"/>
    <w:rsid w:val="24302CD9"/>
    <w:rsid w:val="24395FFF"/>
    <w:rsid w:val="347EC94F"/>
    <w:rsid w:val="373318BA"/>
    <w:rsid w:val="3C5E9484"/>
    <w:rsid w:val="4720213F"/>
    <w:rsid w:val="498EF84C"/>
    <w:rsid w:val="4D014090"/>
    <w:rsid w:val="4F21B948"/>
    <w:rsid w:val="54A5255F"/>
    <w:rsid w:val="5A289176"/>
    <w:rsid w:val="633DB37F"/>
    <w:rsid w:val="69EDCD08"/>
    <w:rsid w:val="755C8B3D"/>
    <w:rsid w:val="77C14E47"/>
    <w:rsid w:val="7952C2E7"/>
    <w:rsid w:val="7C3022A6"/>
    <w:rsid w:val="7C8A63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15:docId w15:val="{9DA209DD-C2DB-4A83-B265-EF287B99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266261"/>
    <w:rPr>
      <w:sz w:val="16"/>
      <w:szCs w:val="16"/>
    </w:rPr>
  </w:style>
  <w:style w:type="paragraph" w:styleId="CommentText">
    <w:name w:val="annotation text"/>
    <w:basedOn w:val="Normal"/>
    <w:link w:val="CommentTextChar"/>
    <w:rsid w:val="00266261"/>
    <w:rPr>
      <w:sz w:val="20"/>
      <w:szCs w:val="20"/>
    </w:rPr>
  </w:style>
  <w:style w:type="character" w:customStyle="1" w:styleId="CommentTextChar">
    <w:name w:val="Comment Text Char"/>
    <w:basedOn w:val="DefaultParagraphFont"/>
    <w:link w:val="CommentText"/>
    <w:rsid w:val="00266261"/>
    <w:rPr>
      <w:lang w:eastAsia="en-US"/>
    </w:rPr>
  </w:style>
  <w:style w:type="paragraph" w:styleId="CommentSubject">
    <w:name w:val="annotation subject"/>
    <w:basedOn w:val="CommentText"/>
    <w:next w:val="CommentText"/>
    <w:link w:val="CommentSubjectChar"/>
    <w:rsid w:val="00266261"/>
    <w:rPr>
      <w:b/>
      <w:bCs/>
    </w:rPr>
  </w:style>
  <w:style w:type="character" w:customStyle="1" w:styleId="CommentSubjectChar">
    <w:name w:val="Comment Subject Char"/>
    <w:basedOn w:val="CommentTextChar"/>
    <w:link w:val="CommentSubject"/>
    <w:rsid w:val="00266261"/>
    <w:rPr>
      <w:b/>
      <w:bCs/>
      <w:lang w:eastAsia="en-US"/>
    </w:rPr>
  </w:style>
  <w:style w:type="paragraph" w:styleId="Revision">
    <w:name w:val="Revision"/>
    <w:hidden/>
    <w:uiPriority w:val="99"/>
    <w:semiHidden/>
    <w:rsid w:val="00814B21"/>
    <w:rPr>
      <w:sz w:val="24"/>
      <w:szCs w:val="24"/>
      <w:lang w:eastAsia="en-US"/>
    </w:rPr>
  </w:style>
  <w:style w:type="character" w:styleId="Mention">
    <w:name w:val="Mention"/>
    <w:basedOn w:val="DefaultParagraphFont"/>
    <w:uiPriority w:val="99"/>
    <w:unhideWhenUsed/>
    <w:rsid w:val="002345C7"/>
    <w:rPr>
      <w:color w:val="2B579A"/>
      <w:shd w:val="clear" w:color="auto" w:fill="E1DFDD"/>
    </w:rPr>
  </w:style>
  <w:style w:type="character" w:customStyle="1" w:styleId="ui-provider">
    <w:name w:val="ui-provider"/>
    <w:basedOn w:val="DefaultParagraphFont"/>
    <w:rsid w:val="0019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85-FR-62094"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IPDrugImportsandRFP@fda.hhs.gov" TargetMode="External" /><Relationship Id="rId9" Type="http://schemas.openxmlformats.org/officeDocument/2006/relationships/hyperlink" Target="https://www.fda.gov/about-fda/reports/importation-program-under-section-804-fdc-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FB2F6D-4E7E-4ED2-9D0C-75958EA6403F}">
  <ds:schemaRefs>
    <ds:schemaRef ds:uri="http://schemas.microsoft.com/sharepoint/v3/contenttype/forms"/>
  </ds:schemaRefs>
</ds:datastoreItem>
</file>

<file path=customXml/itemProps2.xml><?xml version="1.0" encoding="utf-8"?>
<ds:datastoreItem xmlns:ds="http://schemas.openxmlformats.org/officeDocument/2006/customXml" ds:itemID="{B24D78EC-3A43-4444-A3DB-CE8CFDB1F575}">
  <ds:schemaRefs>
    <ds:schemaRef ds:uri="http://schemas.openxmlformats.org/officeDocument/2006/bibliography"/>
  </ds:schemaRefs>
</ds:datastoreItem>
</file>

<file path=customXml/itemProps3.xml><?xml version="1.0" encoding="utf-8"?>
<ds:datastoreItem xmlns:ds="http://schemas.openxmlformats.org/officeDocument/2006/customXml" ds:itemID="{06446CA7-9932-43E1-A3D4-C45487D05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D2027-1162-49C1-8425-A563352A5507}">
  <ds:schemaRefs>
    <ds:schemaRef ds:uri="http://schemas.microsoft.com/office/2006/documentManagement/types"/>
    <ds:schemaRef ds:uri="http://schemas.microsoft.com/sharepoint/v3"/>
    <ds:schemaRef ds:uri="514c19e2-07bf-48e3-9638-5047d7891ec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5022a83-871b-4d85-bad2-b5228c1d40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1657</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4</cp:revision>
  <cp:lastPrinted>2019-07-03T19:25:00Z</cp:lastPrinted>
  <dcterms:created xsi:type="dcterms:W3CDTF">2023-09-25T13:15:00Z</dcterms:created>
  <dcterms:modified xsi:type="dcterms:W3CDTF">2023-10-20T15:55:00Z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