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C89" w:rsidP="002F5329" w14:paraId="28FDE48D" w14:textId="77777777">
      <w:pPr>
        <w:pStyle w:val="Heading2"/>
        <w:tabs>
          <w:tab w:val="left" w:pos="900"/>
        </w:tabs>
        <w:ind w:right="-180"/>
        <w:rPr>
          <w:b w:val="0"/>
        </w:rPr>
      </w:pPr>
      <w:r>
        <w:rPr>
          <w:b w:val="0"/>
        </w:rPr>
        <w:t>United States Food and Drug Administration</w:t>
      </w:r>
    </w:p>
    <w:p w:rsidR="00022D4D" w:rsidP="00A63790" w14:paraId="2F35CAB8" w14:textId="77777777">
      <w:pPr>
        <w:jc w:val="center"/>
        <w:rPr>
          <w:bCs/>
        </w:rPr>
      </w:pPr>
      <w:r w:rsidRPr="00022D4D">
        <w:rPr>
          <w:bCs/>
        </w:rPr>
        <w:t>Generic Clearance for Qualitative Data to Support Social and Behavioral Research for Food, Dietary Supplements, Cosmetics, and Animal Food and Feed</w:t>
      </w:r>
    </w:p>
    <w:p w:rsidR="00A63790" w:rsidRPr="00EF2C89" w:rsidP="00A63790" w14:paraId="3DAEB1FC" w14:textId="77777777">
      <w:pPr>
        <w:jc w:val="center"/>
      </w:pPr>
      <w:r w:rsidRPr="00EF2C89">
        <w:t xml:space="preserve">OMB Control Number </w:t>
      </w:r>
      <w:r w:rsidRPr="00EF2C89" w:rsidR="003D0EC1">
        <w:t>0910-0</w:t>
      </w:r>
      <w:r w:rsidR="009C64D5">
        <w:t>891</w:t>
      </w:r>
    </w:p>
    <w:p w:rsidR="001B4575" w:rsidRPr="00EF2C89" w:rsidP="00A63790" w14:paraId="71EEF2C6" w14:textId="77777777">
      <w:pPr>
        <w:jc w:val="center"/>
      </w:pPr>
      <w:r w:rsidRPr="00EF2C89">
        <w:t>G</w:t>
      </w:r>
      <w:r w:rsidR="00914F50">
        <w:t xml:space="preserve">en </w:t>
      </w:r>
      <w:r w:rsidRPr="00EF2C89">
        <w:t>IC Request for Approval</w:t>
      </w:r>
    </w:p>
    <w:p w:rsidR="00A63790" w:rsidP="00A63790" w14:paraId="76E49B26" w14:textId="77777777">
      <w:pPr>
        <w:rPr>
          <w:sz w:val="18"/>
          <w:szCs w:val="18"/>
        </w:rPr>
      </w:pPr>
    </w:p>
    <w:p w:rsidR="009C64D5" w:rsidRPr="00463B4D" w:rsidP="009C64D5" w14:paraId="3B20FF82" w14:textId="77777777">
      <w:pPr>
        <w:rPr>
          <w:sz w:val="20"/>
          <w:szCs w:val="20"/>
        </w:rPr>
      </w:pPr>
      <w:r>
        <w:rPr>
          <w:sz w:val="20"/>
          <w:szCs w:val="20"/>
        </w:rPr>
        <w:t>Qualitative methods generally yield data</w:t>
      </w:r>
      <w:r w:rsidRPr="00463B4D">
        <w:rPr>
          <w:sz w:val="20"/>
          <w:szCs w:val="20"/>
        </w:rPr>
        <w:t xml:space="preserve"> that </w:t>
      </w:r>
      <w:r>
        <w:rPr>
          <w:sz w:val="20"/>
          <w:szCs w:val="20"/>
        </w:rPr>
        <w:t xml:space="preserve">are not statistically </w:t>
      </w:r>
      <w:r w:rsidRPr="00463B4D">
        <w:rPr>
          <w:sz w:val="20"/>
          <w:szCs w:val="20"/>
        </w:rPr>
        <w:t>generaliz</w:t>
      </w:r>
      <w:r>
        <w:rPr>
          <w:sz w:val="20"/>
          <w:szCs w:val="20"/>
        </w:rPr>
        <w:t>able</w:t>
      </w:r>
      <w:r w:rsidRPr="00463B4D">
        <w:rPr>
          <w:sz w:val="20"/>
          <w:szCs w:val="20"/>
        </w:rPr>
        <w:t xml:space="preserve">.  As such, they </w:t>
      </w:r>
      <w:r>
        <w:rPr>
          <w:sz w:val="20"/>
          <w:szCs w:val="20"/>
        </w:rPr>
        <w:t xml:space="preserve">are useful for </w:t>
      </w:r>
      <w:r w:rsidRPr="00463B4D">
        <w:rPr>
          <w:sz w:val="20"/>
          <w:szCs w:val="20"/>
        </w:rPr>
        <w:t>test</w:t>
      </w:r>
      <w:r>
        <w:rPr>
          <w:sz w:val="20"/>
          <w:szCs w:val="20"/>
        </w:rPr>
        <w:t>ing</w:t>
      </w:r>
      <w:r w:rsidRPr="00463B4D">
        <w:rPr>
          <w:sz w:val="20"/>
          <w:szCs w:val="20"/>
        </w:rPr>
        <w:t xml:space="preserve"> and refin</w:t>
      </w:r>
      <w:r>
        <w:rPr>
          <w:sz w:val="20"/>
          <w:szCs w:val="20"/>
        </w:rPr>
        <w:t>ing</w:t>
      </w:r>
      <w:r w:rsidRPr="00463B4D">
        <w:rPr>
          <w:sz w:val="20"/>
          <w:szCs w:val="20"/>
        </w:rPr>
        <w:t xml:space="preserve"> ideas</w:t>
      </w:r>
      <w:r>
        <w:rPr>
          <w:sz w:val="20"/>
          <w:szCs w:val="20"/>
        </w:rPr>
        <w:t>, and for developing hypotheses that can be further explored using quantitative methods, which is the preferred method for informing important policy and resource allocation d</w:t>
      </w:r>
      <w:r w:rsidRPr="00463B4D">
        <w:rPr>
          <w:sz w:val="20"/>
          <w:szCs w:val="20"/>
        </w:rPr>
        <w:t>ecisions</w:t>
      </w:r>
      <w:r>
        <w:rPr>
          <w:sz w:val="20"/>
          <w:szCs w:val="20"/>
        </w:rPr>
        <w:t>.</w:t>
      </w:r>
      <w:r w:rsidRPr="00463B4D">
        <w:rPr>
          <w:sz w:val="20"/>
          <w:szCs w:val="20"/>
        </w:rPr>
        <w:t xml:space="preserve"> </w:t>
      </w:r>
    </w:p>
    <w:p w:rsidR="00B402FF" w:rsidP="00B402FF" w14:paraId="7BF6FE0E" w14:textId="77777777">
      <w:pPr>
        <w:rPr>
          <w:rFonts w:eastAsia="Calibri"/>
          <w:b/>
        </w:rPr>
      </w:pPr>
    </w:p>
    <w:p w:rsidR="00EF2C89" w:rsidRPr="00EF2C89" w:rsidP="00EF2C89" w14:paraId="4D7D6B80" w14:textId="77777777">
      <w:pPr>
        <w:spacing w:after="200"/>
        <w:rPr>
          <w:rFonts w:eastAsia="Calibri"/>
        </w:rPr>
      </w:pPr>
      <w:bookmarkStart w:id="0" w:name="_Hlk25234418"/>
      <w:r w:rsidRPr="0061415E">
        <w:rPr>
          <w:rFonts w:eastAsia="Calibri"/>
          <w:bCs/>
        </w:rPr>
        <w:t>Title of Gen IC:</w:t>
      </w:r>
      <w:r w:rsidRPr="00EF2C89">
        <w:rPr>
          <w:rFonts w:eastAsia="Calibri"/>
        </w:rPr>
        <w:t xml:space="preserve"> </w:t>
      </w:r>
      <w:r w:rsidRPr="006B3065" w:rsidR="006B3065">
        <w:rPr>
          <w:rFonts w:eastAsia="Calibri"/>
        </w:rPr>
        <w:t>Dietary Supplement Claims One-on-one In-depth Interview Study</w:t>
      </w:r>
    </w:p>
    <w:p w:rsidR="009C64D5" w:rsidP="00F849CA" w14:paraId="5F91F69F" w14:textId="77777777">
      <w:pPr>
        <w:numPr>
          <w:ilvl w:val="0"/>
          <w:numId w:val="20"/>
        </w:numPr>
        <w:spacing w:after="200" w:line="276" w:lineRule="auto"/>
        <w:rPr>
          <w:bCs/>
          <w:u w:val="single"/>
        </w:rPr>
      </w:pPr>
      <w:r>
        <w:rPr>
          <w:bCs/>
          <w:u w:val="single"/>
        </w:rPr>
        <w:t>Type of Collection</w:t>
      </w:r>
    </w:p>
    <w:p w:rsidR="009C64D5" w:rsidP="009C64D5" w14:paraId="7DAF2BE4" w14:textId="516E17FC">
      <w:pPr>
        <w:spacing w:after="200" w:line="276" w:lineRule="auto"/>
        <w:ind w:left="360"/>
        <w:rPr>
          <w:bCs/>
        </w:rPr>
      </w:pPr>
      <w:r w:rsidRPr="009C64D5">
        <w:rPr>
          <w:bCs/>
        </w:rPr>
        <w:t xml:space="preserve">For this </w:t>
      </w:r>
      <w:r w:rsidR="00C74DB4">
        <w:rPr>
          <w:bCs/>
        </w:rPr>
        <w:t>G</w:t>
      </w:r>
      <w:r w:rsidRPr="009C64D5">
        <w:rPr>
          <w:bCs/>
        </w:rPr>
        <w:t>en IC FDA will conduct</w:t>
      </w:r>
      <w:r>
        <w:rPr>
          <w:bCs/>
        </w:rPr>
        <w:t xml:space="preserve"> </w:t>
      </w:r>
      <w:r w:rsidR="005B5DB8">
        <w:rPr>
          <w:bCs/>
        </w:rPr>
        <w:t>in-depth, one-on-one interviews.</w:t>
      </w:r>
    </w:p>
    <w:p w:rsidR="00EF2C89" w:rsidRPr="00C168FB" w:rsidP="00F849CA" w14:paraId="4433CCE1" w14:textId="77777777">
      <w:pPr>
        <w:numPr>
          <w:ilvl w:val="0"/>
          <w:numId w:val="20"/>
        </w:numPr>
        <w:spacing w:after="200" w:line="276" w:lineRule="auto"/>
        <w:rPr>
          <w:bCs/>
          <w:u w:val="single"/>
        </w:rPr>
      </w:pPr>
      <w:r w:rsidRPr="00C168FB">
        <w:rPr>
          <w:bCs/>
          <w:u w:val="single"/>
        </w:rPr>
        <w:t>Statement of Need</w:t>
      </w:r>
    </w:p>
    <w:p w:rsidR="006B3065" w:rsidP="006B3065" w14:paraId="1247A1BE" w14:textId="77777777">
      <w:pPr>
        <w:ind w:left="360"/>
      </w:pPr>
      <w:r>
        <w:t>T</w:t>
      </w:r>
      <w:r>
        <w:t xml:space="preserve">his data collection </w:t>
      </w:r>
      <w:r>
        <w:t>will</w:t>
      </w:r>
      <w:r>
        <w:t xml:space="preserve"> collect qualitative information on consumer perception of and reactions to labeling statements on dietary supplement products and relationships between personal background and other factors</w:t>
      </w:r>
      <w:r w:rsidR="00A945E0">
        <w:t>,</w:t>
      </w:r>
      <w:r>
        <w:t xml:space="preserve"> and label perception and reaction.  </w:t>
      </w:r>
      <w:r>
        <w:t>D</w:t>
      </w:r>
      <w:r w:rsidRPr="005B5DB8">
        <w:t>ietary supplement</w:t>
      </w:r>
      <w:r>
        <w:t>s are</w:t>
      </w:r>
      <w:r w:rsidRPr="005B5DB8">
        <w:t xml:space="preserve"> product</w:t>
      </w:r>
      <w:r>
        <w:t>s</w:t>
      </w:r>
      <w:r w:rsidRPr="005B5DB8">
        <w:t xml:space="preserve"> intended for ingestion </w:t>
      </w:r>
      <w:r w:rsidR="0030496F">
        <w:t>and</w:t>
      </w:r>
      <w:r w:rsidRPr="005B5DB8">
        <w:t xml:space="preserve"> to supplement the diet</w:t>
      </w:r>
      <w:r>
        <w:t xml:space="preserve">, such as </w:t>
      </w:r>
      <w:r w:rsidRPr="005B5DB8">
        <w:t>vitamins and minerals</w:t>
      </w:r>
      <w:r w:rsidR="0030496F">
        <w:t>,</w:t>
      </w:r>
      <w:r w:rsidRPr="005B5DB8">
        <w:t xml:space="preserve"> herbs and other botanicals</w:t>
      </w:r>
      <w:r w:rsidR="0030496F">
        <w:t>,</w:t>
      </w:r>
      <w:r w:rsidRPr="005B5DB8">
        <w:t xml:space="preserve"> </w:t>
      </w:r>
      <w:r>
        <w:t xml:space="preserve">and </w:t>
      </w:r>
      <w:r w:rsidRPr="005B5DB8">
        <w:t>amino acids</w:t>
      </w:r>
      <w:r w:rsidR="00305096">
        <w:t>.</w:t>
      </w:r>
      <w:r w:rsidR="00605B24">
        <w:t xml:space="preserve"> Th</w:t>
      </w:r>
      <w:r>
        <w:t>e Final Rule entitled “Regulations on Statements Made for Dietary Supplements Concerning the Effect of the Product on the Structure or Function of the Body” (65 FR 1000, January 6, 2000) established criteria for distinguishing between two types of labeling statements.  First, “structure/function” (s/f) claims are about the effects of a product on the structure or function of the body (e.g., “Promotes healthy blood glucose level”); s/f claims may be made without prior FDA review or approval.  Second, “disease claims” claiming, expressly or by implication, that a product treats, prevents, cures, diagnoses, or mitigates a disease (e.g., “Helps regulate blood sugar level”); disease claims generally require review under the drug provisions of the Federal Food, Drug, and Cosmetic Act (the FD&amp;C Act).</w:t>
      </w:r>
    </w:p>
    <w:p w:rsidR="006B3065" w:rsidP="006B3065" w14:paraId="6114ACDF" w14:textId="77777777">
      <w:pPr>
        <w:ind w:left="360"/>
      </w:pPr>
    </w:p>
    <w:p w:rsidR="00CD4C89" w:rsidP="00CD4C89" w14:paraId="7138BF59" w14:textId="77777777">
      <w:pPr>
        <w:ind w:left="360"/>
      </w:pPr>
      <w:r>
        <w:t>E</w:t>
      </w:r>
      <w:r w:rsidR="005B5DB8">
        <w:t>xisting research</w:t>
      </w:r>
      <w:r>
        <w:t xml:space="preserve"> suggests</w:t>
      </w:r>
      <w:r w:rsidR="005B5DB8">
        <w:t xml:space="preserve"> </w:t>
      </w:r>
      <w:r w:rsidR="00A97F53">
        <w:t xml:space="preserve">consumers in general </w:t>
      </w:r>
      <w:r w:rsidR="0067005D">
        <w:t xml:space="preserve">lack understanding of differences between </w:t>
      </w:r>
      <w:r w:rsidR="0067005D">
        <w:t>various types</w:t>
      </w:r>
      <w:r w:rsidR="0067005D">
        <w:t xml:space="preserve"> of labeling claim on food products.</w:t>
      </w:r>
      <w:r>
        <w:rPr>
          <w:rStyle w:val="FootnoteReference"/>
        </w:rPr>
        <w:footnoteReference w:id="2"/>
      </w:r>
      <w:r>
        <w:rPr>
          <w:rStyle w:val="FootnoteReference"/>
        </w:rPr>
        <w:footnoteReference w:id="3"/>
      </w:r>
      <w:r w:rsidR="0067005D">
        <w:t xml:space="preserve"> </w:t>
      </w:r>
      <w:r w:rsidR="00305096">
        <w:t xml:space="preserve"> </w:t>
      </w:r>
      <w:r w:rsidR="0067005D">
        <w:t>We suspect the same may apply to claims on dietary supplement products</w:t>
      </w:r>
      <w:r w:rsidR="003B5353">
        <w:t>, i.e.,</w:t>
      </w:r>
      <w:r w:rsidR="0067005D">
        <w:t xml:space="preserve"> </w:t>
      </w:r>
      <w:r w:rsidR="005B5DB8">
        <w:t>t</w:t>
      </w:r>
      <w:r w:rsidR="006B3065">
        <w:t>he regulatory distinction between s/f claims and disease claims may not be obvious to ordinary consumers, particularly dietary supplement users.  Among other things, confusing s/f claims for having implied disease functions may cause dietary supplement users to delay or forgo FDA-approved therapies for prevention or treatment of serious diseases without any assurance that the dietary supplement will be safe and effective against the disease.  Therefore, FDA desires to have better understanding of how consumers interpret s/f claims, which are displayed on many dietary supplement products</w:t>
      </w:r>
      <w:bookmarkStart w:id="1" w:name="_Hlk141859157"/>
      <w:r w:rsidR="006B3065">
        <w:t>, to formulate</w:t>
      </w:r>
      <w:bookmarkStart w:id="2" w:name="_Hlk146634024"/>
      <w:r w:rsidR="005B5DB8">
        <w:t>, expand, and improve</w:t>
      </w:r>
      <w:r w:rsidR="006B3065">
        <w:t xml:space="preserve">  educational and </w:t>
      </w:r>
      <w:r w:rsidR="005B5DB8">
        <w:t>outreach initiatives</w:t>
      </w:r>
      <w:bookmarkEnd w:id="2"/>
      <w:r w:rsidR="005B5DB8">
        <w:t xml:space="preserve"> (e.g., consumer education materials on FDA website</w:t>
      </w:r>
      <w:r>
        <w:rPr>
          <w:rStyle w:val="FootnoteReference"/>
        </w:rPr>
        <w:footnoteReference w:id="4"/>
      </w:r>
      <w:r w:rsidR="005B5DB8">
        <w:t>)</w:t>
      </w:r>
      <w:r w:rsidR="006B3065">
        <w:t xml:space="preserve"> that may help consumers understand the meaning and limitations of s/f claims</w:t>
      </w:r>
      <w:bookmarkEnd w:id="1"/>
      <w:r w:rsidR="006B3065">
        <w:t xml:space="preserve">.  Due to resource limitations, this study will focus on s/f claims related to two chronic illnesses – diabetes and hypertension.  </w:t>
      </w:r>
    </w:p>
    <w:p w:rsidR="00CD4C89" w:rsidP="00CD4C89" w14:paraId="2911BF75" w14:textId="71B7D885">
      <w:pPr>
        <w:ind w:left="360"/>
      </w:pPr>
      <w:r>
        <w:br w:type="page"/>
      </w:r>
    </w:p>
    <w:p w:rsidR="00CD4C89" w:rsidP="00866397" w14:paraId="28EAA460" w14:textId="77777777">
      <w:pPr>
        <w:numPr>
          <w:ilvl w:val="0"/>
          <w:numId w:val="20"/>
        </w:numPr>
      </w:pPr>
      <w:r w:rsidRPr="00C168FB">
        <w:rPr>
          <w:bCs/>
          <w:u w:val="single"/>
        </w:rPr>
        <w:t>Intended Use of the Informatio</w:t>
      </w:r>
      <w:r w:rsidRPr="00C168FB" w:rsidR="00C168FB">
        <w:rPr>
          <w:bCs/>
          <w:u w:val="single"/>
        </w:rPr>
        <w:t>n</w:t>
      </w:r>
      <w:r w:rsidRPr="00C168FB">
        <w:rPr>
          <w:b/>
          <w:u w:val="single"/>
        </w:rPr>
        <w:br/>
      </w:r>
    </w:p>
    <w:p w:rsidR="00CD4C89" w:rsidP="00CD4C89" w14:paraId="4CB0CB8B" w14:textId="77777777">
      <w:pPr>
        <w:ind w:left="360"/>
      </w:pPr>
      <w:r w:rsidRPr="00CD4C89">
        <w:t xml:space="preserve">The information can be helpful for </w:t>
      </w:r>
      <w:r>
        <w:t>FDA</w:t>
      </w:r>
      <w:r w:rsidRPr="00CD4C89">
        <w:t xml:space="preserve"> to formulate</w:t>
      </w:r>
      <w:r w:rsidRPr="00866397" w:rsidR="00866397">
        <w:t xml:space="preserve">, expand, and improve educational and outreach initiatives </w:t>
      </w:r>
      <w:r w:rsidRPr="00CD4C89">
        <w:t xml:space="preserve">that may help consumers understand the meaning and limitations of s/f claims </w:t>
      </w:r>
      <w:r>
        <w:t xml:space="preserve">and to </w:t>
      </w:r>
      <w:r w:rsidRPr="00CD4C89">
        <w:t>promot</w:t>
      </w:r>
      <w:r>
        <w:t>e</w:t>
      </w:r>
      <w:r w:rsidRPr="00CD4C89">
        <w:t xml:space="preserve"> and protect the public's health by ensuring</w:t>
      </w:r>
      <w:r w:rsidR="00866397">
        <w:t xml:space="preserve"> consumers understand the information on dietary supplement products to make informed choices</w:t>
      </w:r>
      <w:r w:rsidRPr="00CD4C89">
        <w:t>.</w:t>
      </w:r>
      <w:r>
        <w:t xml:space="preserve">  This data collection is not part of a larger study or effort.</w:t>
      </w:r>
    </w:p>
    <w:p w:rsidR="00EF2C89" w:rsidRPr="00EF2C89" w:rsidP="00CD4C89" w14:paraId="357D7714" w14:textId="77777777">
      <w:pPr>
        <w:ind w:left="360"/>
      </w:pPr>
      <w:r w:rsidRPr="00EF2C89">
        <w:t xml:space="preserve"> </w:t>
      </w:r>
    </w:p>
    <w:p w:rsidR="00EF2C89" w:rsidRPr="00C168FB" w:rsidP="00EF2C89" w14:paraId="294DFD1A" w14:textId="77777777">
      <w:pPr>
        <w:widowControl w:val="0"/>
        <w:numPr>
          <w:ilvl w:val="0"/>
          <w:numId w:val="20"/>
        </w:numPr>
        <w:spacing w:after="200" w:line="276" w:lineRule="auto"/>
        <w:contextualSpacing/>
        <w:rPr>
          <w:bCs/>
          <w:snapToGrid w:val="0"/>
          <w:u w:val="single"/>
        </w:rPr>
      </w:pPr>
      <w:r w:rsidRPr="00C168FB">
        <w:rPr>
          <w:bCs/>
          <w:snapToGrid w:val="0"/>
          <w:u w:val="single"/>
        </w:rPr>
        <w:t>Description of Respondents</w:t>
      </w:r>
    </w:p>
    <w:p w:rsidR="00EF2C89" w:rsidRPr="00EF2C89" w:rsidP="00EF2C89" w14:paraId="2FF3A92F" w14:textId="77777777">
      <w:pPr>
        <w:widowControl w:val="0"/>
        <w:ind w:left="360"/>
        <w:contextualSpacing/>
        <w:rPr>
          <w:snapToGrid w:val="0"/>
        </w:rPr>
      </w:pPr>
    </w:p>
    <w:p w:rsidR="00CD4C89" w:rsidRPr="00CD4C89" w:rsidP="00CD4C89" w14:paraId="31AE48A4" w14:textId="77777777">
      <w:pPr>
        <w:widowControl w:val="0"/>
        <w:ind w:left="360"/>
        <w:rPr>
          <w:snapToGrid w:val="0"/>
        </w:rPr>
      </w:pPr>
      <w:r w:rsidRPr="00CD4C89">
        <w:rPr>
          <w:snapToGrid w:val="0"/>
        </w:rPr>
        <w:t xml:space="preserve">The target </w:t>
      </w:r>
      <w:r w:rsidR="00317017">
        <w:rPr>
          <w:snapToGrid w:val="0"/>
        </w:rPr>
        <w:t>respondents</w:t>
      </w:r>
      <w:r w:rsidRPr="00CD4C89">
        <w:rPr>
          <w:snapToGrid w:val="0"/>
        </w:rPr>
        <w:t xml:space="preserve"> will be diverse in age (40-65 years old vs 66 years or older), education (with vs</w:t>
      </w:r>
      <w:r w:rsidR="00481487">
        <w:rPr>
          <w:snapToGrid w:val="0"/>
        </w:rPr>
        <w:t>.</w:t>
      </w:r>
      <w:r w:rsidRPr="00CD4C89">
        <w:rPr>
          <w:snapToGrid w:val="0"/>
        </w:rPr>
        <w:t xml:space="preserve"> without a college education), race/ethnicity (non-Hispanic white vs</w:t>
      </w:r>
      <w:r w:rsidR="00481487">
        <w:rPr>
          <w:snapToGrid w:val="0"/>
        </w:rPr>
        <w:t>.</w:t>
      </w:r>
      <w:r w:rsidRPr="00CD4C89">
        <w:rPr>
          <w:snapToGrid w:val="0"/>
        </w:rPr>
        <w:t xml:space="preserve"> other), and gender (male, female, or non-binary).  The study will focus on adults of 40+ years old because they are more likely to use dietary supplements</w:t>
      </w:r>
      <w:r>
        <w:rPr>
          <w:snapToGrid w:val="0"/>
          <w:vertAlign w:val="superscript"/>
        </w:rPr>
        <w:footnoteReference w:id="5"/>
      </w:r>
      <w:r w:rsidRPr="00CD4C89">
        <w:rPr>
          <w:snapToGrid w:val="0"/>
        </w:rPr>
        <w:t xml:space="preserve"> or to have chronic health conditions</w:t>
      </w:r>
      <w:r>
        <w:rPr>
          <w:snapToGrid w:val="0"/>
          <w:vertAlign w:val="superscript"/>
        </w:rPr>
        <w:footnoteReference w:id="6"/>
      </w:r>
      <w:r w:rsidRPr="00CD4C89">
        <w:rPr>
          <w:snapToGrid w:val="0"/>
        </w:rPr>
        <w:t xml:space="preserve"> that may trigger interest toward or use of dietary supplements.</w:t>
      </w:r>
    </w:p>
    <w:p w:rsidR="00CD4C89" w:rsidRPr="00CD4C89" w:rsidP="00CD4C89" w14:paraId="062589E2" w14:textId="77777777">
      <w:pPr>
        <w:widowControl w:val="0"/>
        <w:ind w:left="360"/>
        <w:rPr>
          <w:snapToGrid w:val="0"/>
        </w:rPr>
      </w:pPr>
    </w:p>
    <w:p w:rsidR="00CD4C89" w:rsidRPr="00CD4C89" w:rsidP="00CD4C89" w14:paraId="69274F75" w14:textId="77777777">
      <w:pPr>
        <w:widowControl w:val="0"/>
        <w:ind w:left="360"/>
        <w:rPr>
          <w:snapToGrid w:val="0"/>
        </w:rPr>
      </w:pPr>
      <w:r w:rsidRPr="00CD4C89">
        <w:rPr>
          <w:snapToGrid w:val="0"/>
        </w:rPr>
        <w:t xml:space="preserve">The target number of </w:t>
      </w:r>
      <w:r w:rsidR="00317017">
        <w:rPr>
          <w:snapToGrid w:val="0"/>
        </w:rPr>
        <w:t>respondents</w:t>
      </w:r>
      <w:r w:rsidRPr="00CD4C89">
        <w:rPr>
          <w:snapToGrid w:val="0"/>
        </w:rPr>
        <w:t xml:space="preserve"> is sixty-two (62), including two pre-testers of the protocol. The remaining sixty (60) </w:t>
      </w:r>
      <w:r w:rsidR="00317017">
        <w:rPr>
          <w:snapToGrid w:val="0"/>
        </w:rPr>
        <w:t>respondents</w:t>
      </w:r>
      <w:r w:rsidRPr="00CD4C89">
        <w:rPr>
          <w:snapToGrid w:val="0"/>
        </w:rPr>
        <w:t xml:space="preserve"> will be segmented into the following three clusters to obtain a range of responses from </w:t>
      </w:r>
      <w:r w:rsidRPr="00CD4C89">
        <w:rPr>
          <w:snapToGrid w:val="0"/>
        </w:rPr>
        <w:t>various types</w:t>
      </w:r>
      <w:r w:rsidRPr="00CD4C89">
        <w:rPr>
          <w:snapToGrid w:val="0"/>
        </w:rPr>
        <w:t xml:space="preserve"> of individuals.  </w:t>
      </w:r>
    </w:p>
    <w:p w:rsidR="00CD4C89" w:rsidRPr="00CD4C89" w:rsidP="00CD4C89" w14:paraId="242029BA" w14:textId="77777777">
      <w:pPr>
        <w:widowControl w:val="0"/>
        <w:rPr>
          <w:b/>
          <w:bCs/>
          <w:snapToGrid w:val="0"/>
        </w:rPr>
      </w:pPr>
    </w:p>
    <w:tbl>
      <w:tblPr>
        <w:tblW w:w="88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2250"/>
        <w:gridCol w:w="2880"/>
        <w:gridCol w:w="1339"/>
        <w:gridCol w:w="1271"/>
      </w:tblGrid>
      <w:tr w14:paraId="4E017EC3" w14:textId="77777777" w:rsidTr="00B75AF6">
        <w:tblPrEx>
          <w:tblW w:w="88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shd w:val="clear" w:color="auto" w:fill="auto"/>
          </w:tcPr>
          <w:p w:rsidR="00CD4C89" w:rsidRPr="00CD4C89" w:rsidP="00CD4C89" w14:paraId="00ED7F78" w14:textId="77777777">
            <w:pPr>
              <w:widowControl w:val="0"/>
              <w:rPr>
                <w:b/>
                <w:snapToGrid w:val="0"/>
              </w:rPr>
            </w:pPr>
            <w:bookmarkStart w:id="3" w:name="_Hlk98745858"/>
          </w:p>
          <w:p w:rsidR="00CD4C89" w:rsidRPr="00CD4C89" w:rsidP="00CD4C89" w14:paraId="323FC93B" w14:textId="77777777">
            <w:pPr>
              <w:widowControl w:val="0"/>
              <w:rPr>
                <w:b/>
                <w:snapToGrid w:val="0"/>
              </w:rPr>
            </w:pPr>
            <w:r w:rsidRPr="00CD4C89">
              <w:rPr>
                <w:b/>
                <w:snapToGrid w:val="0"/>
              </w:rPr>
              <w:t>Cluster</w:t>
            </w:r>
          </w:p>
        </w:tc>
        <w:tc>
          <w:tcPr>
            <w:tcW w:w="2250" w:type="dxa"/>
            <w:shd w:val="clear" w:color="auto" w:fill="auto"/>
          </w:tcPr>
          <w:p w:rsidR="00CD4C89" w:rsidRPr="00CD4C89" w:rsidP="00CD4C89" w14:paraId="54179D79" w14:textId="77777777">
            <w:pPr>
              <w:widowControl w:val="0"/>
              <w:rPr>
                <w:b/>
                <w:snapToGrid w:val="0"/>
              </w:rPr>
            </w:pPr>
          </w:p>
          <w:p w:rsidR="00CD4C89" w:rsidRPr="00CD4C89" w:rsidP="00CD4C89" w14:paraId="29010369" w14:textId="77777777">
            <w:pPr>
              <w:widowControl w:val="0"/>
              <w:rPr>
                <w:b/>
                <w:snapToGrid w:val="0"/>
              </w:rPr>
            </w:pPr>
            <w:r w:rsidRPr="00CD4C89">
              <w:rPr>
                <w:b/>
                <w:snapToGrid w:val="0"/>
              </w:rPr>
              <w:t>User status*</w:t>
            </w:r>
          </w:p>
        </w:tc>
        <w:tc>
          <w:tcPr>
            <w:tcW w:w="2880" w:type="dxa"/>
            <w:shd w:val="clear" w:color="auto" w:fill="auto"/>
          </w:tcPr>
          <w:p w:rsidR="00CD4C89" w:rsidRPr="00CD4C89" w:rsidP="00CD4C89" w14:paraId="26ECAA37" w14:textId="77777777">
            <w:pPr>
              <w:widowControl w:val="0"/>
              <w:rPr>
                <w:b/>
                <w:snapToGrid w:val="0"/>
              </w:rPr>
            </w:pPr>
          </w:p>
          <w:p w:rsidR="00CD4C89" w:rsidRPr="00CD4C89" w:rsidP="00CD4C89" w14:paraId="604AB601" w14:textId="77777777">
            <w:pPr>
              <w:widowControl w:val="0"/>
              <w:rPr>
                <w:b/>
                <w:snapToGrid w:val="0"/>
              </w:rPr>
            </w:pPr>
            <w:r w:rsidRPr="00CD4C89">
              <w:rPr>
                <w:b/>
                <w:snapToGrid w:val="0"/>
              </w:rPr>
              <w:t>Purpose of use**</w:t>
            </w:r>
          </w:p>
        </w:tc>
        <w:tc>
          <w:tcPr>
            <w:tcW w:w="1339" w:type="dxa"/>
            <w:shd w:val="clear" w:color="auto" w:fill="auto"/>
          </w:tcPr>
          <w:p w:rsidR="00CD4C89" w:rsidRPr="00CD4C89" w:rsidP="00CD4C89" w14:paraId="2D351CC8" w14:textId="77777777">
            <w:pPr>
              <w:widowControl w:val="0"/>
              <w:rPr>
                <w:b/>
                <w:snapToGrid w:val="0"/>
              </w:rPr>
            </w:pPr>
          </w:p>
          <w:p w:rsidR="00CD4C89" w:rsidRPr="00CD4C89" w:rsidP="00CD4C89" w14:paraId="699DE504" w14:textId="77777777">
            <w:pPr>
              <w:widowControl w:val="0"/>
              <w:rPr>
                <w:b/>
                <w:snapToGrid w:val="0"/>
              </w:rPr>
            </w:pPr>
            <w:r w:rsidRPr="00CD4C89">
              <w:rPr>
                <w:b/>
                <w:snapToGrid w:val="0"/>
              </w:rPr>
              <w:t>Time zone</w:t>
            </w:r>
          </w:p>
        </w:tc>
        <w:tc>
          <w:tcPr>
            <w:tcW w:w="1271" w:type="dxa"/>
            <w:shd w:val="clear" w:color="auto" w:fill="auto"/>
          </w:tcPr>
          <w:p w:rsidR="00CD4C89" w:rsidRPr="00CD4C89" w:rsidP="00CD4C89" w14:paraId="6967CBC7" w14:textId="77777777">
            <w:pPr>
              <w:widowControl w:val="0"/>
              <w:rPr>
                <w:b/>
                <w:snapToGrid w:val="0"/>
              </w:rPr>
            </w:pPr>
            <w:r w:rsidRPr="00CD4C89">
              <w:rPr>
                <w:b/>
                <w:snapToGrid w:val="0"/>
              </w:rPr>
              <w:t>Number of interviews</w:t>
            </w:r>
          </w:p>
        </w:tc>
      </w:tr>
      <w:tr w14:paraId="3CA69964" w14:textId="77777777" w:rsidTr="00B75AF6">
        <w:tblPrEx>
          <w:tblW w:w="8820" w:type="dxa"/>
          <w:tblInd w:w="558" w:type="dxa"/>
          <w:tblLook w:val="04A0"/>
        </w:tblPrEx>
        <w:tc>
          <w:tcPr>
            <w:tcW w:w="1080" w:type="dxa"/>
            <w:shd w:val="clear" w:color="auto" w:fill="auto"/>
          </w:tcPr>
          <w:p w:rsidR="00CD4C89" w:rsidRPr="00CD4C89" w:rsidP="00CD4C89" w14:paraId="2A68E724" w14:textId="77777777">
            <w:pPr>
              <w:widowControl w:val="0"/>
              <w:rPr>
                <w:b/>
                <w:snapToGrid w:val="0"/>
              </w:rPr>
            </w:pPr>
          </w:p>
          <w:p w:rsidR="00CD4C89" w:rsidRPr="00CD4C89" w:rsidP="00CD4C89" w14:paraId="157823ED" w14:textId="77777777">
            <w:pPr>
              <w:widowControl w:val="0"/>
              <w:rPr>
                <w:b/>
                <w:snapToGrid w:val="0"/>
              </w:rPr>
            </w:pPr>
            <w:r w:rsidRPr="00CD4C89">
              <w:rPr>
                <w:b/>
                <w:snapToGrid w:val="0"/>
              </w:rPr>
              <w:t>N/A</w:t>
            </w:r>
          </w:p>
        </w:tc>
        <w:tc>
          <w:tcPr>
            <w:tcW w:w="2250" w:type="dxa"/>
            <w:shd w:val="clear" w:color="auto" w:fill="auto"/>
          </w:tcPr>
          <w:p w:rsidR="00CD4C89" w:rsidRPr="00CD4C89" w:rsidP="00CD4C89" w14:paraId="3D06F864" w14:textId="77777777">
            <w:pPr>
              <w:widowControl w:val="0"/>
              <w:rPr>
                <w:b/>
                <w:snapToGrid w:val="0"/>
              </w:rPr>
            </w:pPr>
            <w:r w:rsidRPr="00CD4C89">
              <w:rPr>
                <w:snapToGrid w:val="0"/>
              </w:rPr>
              <w:t>(Mock interview #1) Non-user</w:t>
            </w:r>
          </w:p>
        </w:tc>
        <w:tc>
          <w:tcPr>
            <w:tcW w:w="2880" w:type="dxa"/>
            <w:shd w:val="clear" w:color="auto" w:fill="auto"/>
          </w:tcPr>
          <w:p w:rsidR="00CD4C89" w:rsidRPr="00CD4C89" w:rsidP="00CD4C89" w14:paraId="4F73DE22" w14:textId="77777777">
            <w:pPr>
              <w:widowControl w:val="0"/>
              <w:rPr>
                <w:bCs/>
                <w:snapToGrid w:val="0"/>
              </w:rPr>
            </w:pPr>
          </w:p>
          <w:p w:rsidR="00CD4C89" w:rsidRPr="00CD4C89" w:rsidP="00CD4C89" w14:paraId="2B1D94F8" w14:textId="77777777">
            <w:pPr>
              <w:widowControl w:val="0"/>
              <w:rPr>
                <w:b/>
                <w:snapToGrid w:val="0"/>
              </w:rPr>
            </w:pPr>
            <w:r w:rsidRPr="00CD4C89">
              <w:rPr>
                <w:bCs/>
                <w:snapToGrid w:val="0"/>
              </w:rPr>
              <w:t>Not applicable</w:t>
            </w:r>
          </w:p>
        </w:tc>
        <w:tc>
          <w:tcPr>
            <w:tcW w:w="1339" w:type="dxa"/>
            <w:shd w:val="clear" w:color="auto" w:fill="auto"/>
          </w:tcPr>
          <w:p w:rsidR="00CD4C89" w:rsidRPr="00CD4C89" w:rsidP="00CD4C89" w14:paraId="28E8C709" w14:textId="77777777">
            <w:pPr>
              <w:widowControl w:val="0"/>
              <w:rPr>
                <w:snapToGrid w:val="0"/>
              </w:rPr>
            </w:pPr>
          </w:p>
          <w:p w:rsidR="00CD4C89" w:rsidRPr="00CD4C89" w:rsidP="00CD4C89" w14:paraId="05286F0D" w14:textId="77777777">
            <w:pPr>
              <w:widowControl w:val="0"/>
              <w:rPr>
                <w:b/>
                <w:snapToGrid w:val="0"/>
              </w:rPr>
            </w:pPr>
            <w:r w:rsidRPr="00CD4C89">
              <w:rPr>
                <w:snapToGrid w:val="0"/>
              </w:rPr>
              <w:t>TBD</w:t>
            </w:r>
          </w:p>
        </w:tc>
        <w:tc>
          <w:tcPr>
            <w:tcW w:w="1271" w:type="dxa"/>
            <w:shd w:val="clear" w:color="auto" w:fill="auto"/>
          </w:tcPr>
          <w:p w:rsidR="00CD4C89" w:rsidRPr="00CD4C89" w:rsidP="00CD4C89" w14:paraId="7B3903D6" w14:textId="77777777">
            <w:pPr>
              <w:widowControl w:val="0"/>
              <w:rPr>
                <w:snapToGrid w:val="0"/>
              </w:rPr>
            </w:pPr>
          </w:p>
          <w:p w:rsidR="00CD4C89" w:rsidRPr="00CD4C89" w:rsidP="00CD4C89" w14:paraId="555518D5" w14:textId="77777777">
            <w:pPr>
              <w:widowControl w:val="0"/>
              <w:rPr>
                <w:b/>
                <w:snapToGrid w:val="0"/>
              </w:rPr>
            </w:pPr>
            <w:r w:rsidRPr="00CD4C89">
              <w:rPr>
                <w:snapToGrid w:val="0"/>
              </w:rPr>
              <w:t>1</w:t>
            </w:r>
          </w:p>
        </w:tc>
      </w:tr>
      <w:tr w14:paraId="3DBFD951" w14:textId="77777777" w:rsidTr="00B75AF6">
        <w:tblPrEx>
          <w:tblW w:w="8820" w:type="dxa"/>
          <w:tblInd w:w="558" w:type="dxa"/>
          <w:tblLook w:val="04A0"/>
        </w:tblPrEx>
        <w:tc>
          <w:tcPr>
            <w:tcW w:w="1080" w:type="dxa"/>
            <w:shd w:val="clear" w:color="auto" w:fill="auto"/>
          </w:tcPr>
          <w:p w:rsidR="00CD4C89" w:rsidRPr="00CD4C89" w:rsidP="00CD4C89" w14:paraId="5E576E63" w14:textId="77777777">
            <w:pPr>
              <w:widowControl w:val="0"/>
              <w:rPr>
                <w:b/>
                <w:snapToGrid w:val="0"/>
              </w:rPr>
            </w:pPr>
          </w:p>
          <w:p w:rsidR="00CD4C89" w:rsidRPr="00CD4C89" w:rsidP="00CD4C89" w14:paraId="5B32BCBB" w14:textId="77777777">
            <w:pPr>
              <w:widowControl w:val="0"/>
              <w:rPr>
                <w:b/>
                <w:snapToGrid w:val="0"/>
              </w:rPr>
            </w:pPr>
            <w:r w:rsidRPr="00CD4C89">
              <w:rPr>
                <w:b/>
                <w:snapToGrid w:val="0"/>
              </w:rPr>
              <w:t>N/A</w:t>
            </w:r>
          </w:p>
        </w:tc>
        <w:tc>
          <w:tcPr>
            <w:tcW w:w="2250" w:type="dxa"/>
            <w:shd w:val="clear" w:color="auto" w:fill="auto"/>
          </w:tcPr>
          <w:p w:rsidR="00CD4C89" w:rsidRPr="00CD4C89" w:rsidP="00CD4C89" w14:paraId="447F39EF" w14:textId="77777777">
            <w:pPr>
              <w:widowControl w:val="0"/>
              <w:rPr>
                <w:b/>
                <w:snapToGrid w:val="0"/>
              </w:rPr>
            </w:pPr>
            <w:r w:rsidRPr="00CD4C89">
              <w:rPr>
                <w:bCs/>
                <w:snapToGrid w:val="0"/>
              </w:rPr>
              <w:t>(Mock interview #2) User</w:t>
            </w:r>
          </w:p>
        </w:tc>
        <w:tc>
          <w:tcPr>
            <w:tcW w:w="2880" w:type="dxa"/>
            <w:shd w:val="clear" w:color="auto" w:fill="auto"/>
          </w:tcPr>
          <w:p w:rsidR="00CD4C89" w:rsidRPr="00CD4C89" w:rsidP="00CD4C89" w14:paraId="5FDE6428" w14:textId="77777777">
            <w:pPr>
              <w:widowControl w:val="0"/>
              <w:rPr>
                <w:bCs/>
                <w:snapToGrid w:val="0"/>
              </w:rPr>
            </w:pPr>
          </w:p>
          <w:p w:rsidR="00CD4C89" w:rsidRPr="00CD4C89" w:rsidP="00CD4C89" w14:paraId="71B546AB" w14:textId="77777777">
            <w:pPr>
              <w:widowControl w:val="0"/>
              <w:rPr>
                <w:b/>
                <w:snapToGrid w:val="0"/>
              </w:rPr>
            </w:pPr>
            <w:r w:rsidRPr="00CD4C89">
              <w:rPr>
                <w:bCs/>
                <w:snapToGrid w:val="0"/>
              </w:rPr>
              <w:t>Non-specified</w:t>
            </w:r>
          </w:p>
        </w:tc>
        <w:tc>
          <w:tcPr>
            <w:tcW w:w="1339" w:type="dxa"/>
            <w:shd w:val="clear" w:color="auto" w:fill="auto"/>
          </w:tcPr>
          <w:p w:rsidR="00CD4C89" w:rsidRPr="00CD4C89" w:rsidP="00CD4C89" w14:paraId="5264FCCA" w14:textId="77777777">
            <w:pPr>
              <w:widowControl w:val="0"/>
              <w:rPr>
                <w:bCs/>
                <w:snapToGrid w:val="0"/>
              </w:rPr>
            </w:pPr>
          </w:p>
          <w:p w:rsidR="00CD4C89" w:rsidRPr="00CD4C89" w:rsidP="00CD4C89" w14:paraId="0742B62A" w14:textId="77777777">
            <w:pPr>
              <w:widowControl w:val="0"/>
              <w:rPr>
                <w:b/>
                <w:snapToGrid w:val="0"/>
              </w:rPr>
            </w:pPr>
            <w:r w:rsidRPr="00CD4C89">
              <w:rPr>
                <w:bCs/>
                <w:snapToGrid w:val="0"/>
              </w:rPr>
              <w:t>TBD</w:t>
            </w:r>
          </w:p>
        </w:tc>
        <w:tc>
          <w:tcPr>
            <w:tcW w:w="1271" w:type="dxa"/>
            <w:shd w:val="clear" w:color="auto" w:fill="auto"/>
          </w:tcPr>
          <w:p w:rsidR="00CD4C89" w:rsidRPr="00CD4C89" w:rsidP="00CD4C89" w14:paraId="25532880" w14:textId="77777777">
            <w:pPr>
              <w:widowControl w:val="0"/>
              <w:rPr>
                <w:snapToGrid w:val="0"/>
              </w:rPr>
            </w:pPr>
          </w:p>
          <w:p w:rsidR="00CD4C89" w:rsidRPr="00CD4C89" w:rsidP="00CD4C89" w14:paraId="024575AB" w14:textId="77777777">
            <w:pPr>
              <w:widowControl w:val="0"/>
              <w:rPr>
                <w:b/>
                <w:snapToGrid w:val="0"/>
              </w:rPr>
            </w:pPr>
            <w:r w:rsidRPr="00CD4C89">
              <w:rPr>
                <w:snapToGrid w:val="0"/>
              </w:rPr>
              <w:t>1</w:t>
            </w:r>
          </w:p>
        </w:tc>
      </w:tr>
      <w:tr w14:paraId="2CC5AB33" w14:textId="77777777" w:rsidTr="00B75AF6">
        <w:tblPrEx>
          <w:tblW w:w="8820" w:type="dxa"/>
          <w:tblInd w:w="558" w:type="dxa"/>
          <w:tblLook w:val="04A0"/>
        </w:tblPrEx>
        <w:tc>
          <w:tcPr>
            <w:tcW w:w="1080" w:type="dxa"/>
            <w:shd w:val="clear" w:color="auto" w:fill="auto"/>
          </w:tcPr>
          <w:p w:rsidR="00CD4C89" w:rsidRPr="00CD4C89" w:rsidP="00CD4C89" w14:paraId="0400DB1D" w14:textId="77777777">
            <w:pPr>
              <w:widowControl w:val="0"/>
              <w:rPr>
                <w:b/>
                <w:snapToGrid w:val="0"/>
              </w:rPr>
            </w:pPr>
            <w:r w:rsidRPr="00CD4C89">
              <w:rPr>
                <w:b/>
                <w:snapToGrid w:val="0"/>
              </w:rPr>
              <w:t>1</w:t>
            </w:r>
          </w:p>
        </w:tc>
        <w:tc>
          <w:tcPr>
            <w:tcW w:w="2250" w:type="dxa"/>
            <w:shd w:val="clear" w:color="auto" w:fill="auto"/>
          </w:tcPr>
          <w:p w:rsidR="00CD4C89" w:rsidRPr="00CD4C89" w:rsidP="00CD4C89" w14:paraId="2FE2941E" w14:textId="77777777">
            <w:pPr>
              <w:widowControl w:val="0"/>
              <w:rPr>
                <w:b/>
                <w:snapToGrid w:val="0"/>
              </w:rPr>
            </w:pPr>
            <w:r w:rsidRPr="00CD4C89">
              <w:rPr>
                <w:bCs/>
                <w:snapToGrid w:val="0"/>
              </w:rPr>
              <w:t>Non-users</w:t>
            </w:r>
          </w:p>
        </w:tc>
        <w:tc>
          <w:tcPr>
            <w:tcW w:w="2880" w:type="dxa"/>
            <w:shd w:val="clear" w:color="auto" w:fill="auto"/>
          </w:tcPr>
          <w:p w:rsidR="00CD4C89" w:rsidRPr="00CD4C89" w:rsidP="00CD4C89" w14:paraId="22591FA9" w14:textId="77777777">
            <w:pPr>
              <w:widowControl w:val="0"/>
              <w:rPr>
                <w:b/>
                <w:snapToGrid w:val="0"/>
              </w:rPr>
            </w:pPr>
            <w:r w:rsidRPr="00CD4C89">
              <w:rPr>
                <w:bCs/>
                <w:snapToGrid w:val="0"/>
              </w:rPr>
              <w:t>Not applicable</w:t>
            </w:r>
          </w:p>
        </w:tc>
        <w:tc>
          <w:tcPr>
            <w:tcW w:w="1339" w:type="dxa"/>
            <w:shd w:val="clear" w:color="auto" w:fill="auto"/>
          </w:tcPr>
          <w:p w:rsidR="00CD4C89" w:rsidRPr="00CD4C89" w:rsidP="00CD4C89" w14:paraId="50206B4A" w14:textId="77777777">
            <w:pPr>
              <w:widowControl w:val="0"/>
              <w:rPr>
                <w:b/>
                <w:snapToGrid w:val="0"/>
              </w:rPr>
            </w:pPr>
            <w:r w:rsidRPr="00CD4C89">
              <w:rPr>
                <w:snapToGrid w:val="0"/>
              </w:rPr>
              <w:t>All 3 zones</w:t>
            </w:r>
          </w:p>
        </w:tc>
        <w:tc>
          <w:tcPr>
            <w:tcW w:w="1271" w:type="dxa"/>
            <w:shd w:val="clear" w:color="auto" w:fill="auto"/>
          </w:tcPr>
          <w:p w:rsidR="00CD4C89" w:rsidRPr="00CD4C89" w:rsidP="00CD4C89" w14:paraId="06C0C802" w14:textId="77777777">
            <w:pPr>
              <w:widowControl w:val="0"/>
              <w:rPr>
                <w:b/>
                <w:snapToGrid w:val="0"/>
              </w:rPr>
            </w:pPr>
            <w:r w:rsidRPr="00CD4C89">
              <w:rPr>
                <w:snapToGrid w:val="0"/>
              </w:rPr>
              <w:t>20</w:t>
            </w:r>
          </w:p>
        </w:tc>
      </w:tr>
      <w:tr w14:paraId="03448C90" w14:textId="77777777" w:rsidTr="00B75AF6">
        <w:tblPrEx>
          <w:tblW w:w="8820" w:type="dxa"/>
          <w:tblInd w:w="558" w:type="dxa"/>
          <w:tblLook w:val="04A0"/>
        </w:tblPrEx>
        <w:tc>
          <w:tcPr>
            <w:tcW w:w="1080" w:type="dxa"/>
            <w:shd w:val="clear" w:color="auto" w:fill="auto"/>
          </w:tcPr>
          <w:p w:rsidR="00CD4C89" w:rsidRPr="00CD4C89" w:rsidP="00CD4C89" w14:paraId="36459F64" w14:textId="77777777">
            <w:pPr>
              <w:widowControl w:val="0"/>
              <w:rPr>
                <w:b/>
                <w:snapToGrid w:val="0"/>
              </w:rPr>
            </w:pPr>
          </w:p>
          <w:p w:rsidR="00CD4C89" w:rsidRPr="00CD4C89" w:rsidP="00CD4C89" w14:paraId="28008D55" w14:textId="77777777">
            <w:pPr>
              <w:widowControl w:val="0"/>
              <w:rPr>
                <w:b/>
                <w:snapToGrid w:val="0"/>
              </w:rPr>
            </w:pPr>
            <w:r w:rsidRPr="00CD4C89">
              <w:rPr>
                <w:b/>
                <w:snapToGrid w:val="0"/>
              </w:rPr>
              <w:t>2</w:t>
            </w:r>
          </w:p>
        </w:tc>
        <w:tc>
          <w:tcPr>
            <w:tcW w:w="2250" w:type="dxa"/>
            <w:shd w:val="clear" w:color="auto" w:fill="auto"/>
          </w:tcPr>
          <w:p w:rsidR="00CD4C89" w:rsidRPr="00CD4C89" w:rsidP="00CD4C89" w14:paraId="383AACBA" w14:textId="77777777">
            <w:pPr>
              <w:widowControl w:val="0"/>
              <w:rPr>
                <w:snapToGrid w:val="0"/>
              </w:rPr>
            </w:pPr>
          </w:p>
          <w:p w:rsidR="00CD4C89" w:rsidRPr="00CD4C89" w:rsidP="00CD4C89" w14:paraId="3E0133E9" w14:textId="77777777">
            <w:pPr>
              <w:widowControl w:val="0"/>
              <w:rPr>
                <w:b/>
                <w:snapToGrid w:val="0"/>
              </w:rPr>
            </w:pPr>
            <w:r w:rsidRPr="00CD4C89">
              <w:rPr>
                <w:snapToGrid w:val="0"/>
              </w:rPr>
              <w:t>Users</w:t>
            </w:r>
          </w:p>
        </w:tc>
        <w:tc>
          <w:tcPr>
            <w:tcW w:w="2880" w:type="dxa"/>
            <w:shd w:val="clear" w:color="auto" w:fill="auto"/>
          </w:tcPr>
          <w:p w:rsidR="00CD4C89" w:rsidRPr="00CD4C89" w:rsidP="00CD4C89" w14:paraId="4F315167" w14:textId="77777777">
            <w:pPr>
              <w:widowControl w:val="0"/>
              <w:rPr>
                <w:b/>
                <w:snapToGrid w:val="0"/>
              </w:rPr>
            </w:pPr>
            <w:r w:rsidRPr="00CD4C89">
              <w:rPr>
                <w:bCs/>
                <w:snapToGrid w:val="0"/>
              </w:rPr>
              <w:t xml:space="preserve">For one or more of the listed health </w:t>
            </w:r>
            <w:r w:rsidRPr="00CD4C89">
              <w:rPr>
                <w:bCs/>
                <w:snapToGrid w:val="0"/>
              </w:rPr>
              <w:t>condition</w:t>
            </w:r>
            <w:r w:rsidRPr="00CD4C89">
              <w:rPr>
                <w:bCs/>
                <w:snapToGrid w:val="0"/>
              </w:rPr>
              <w:t>(s)</w:t>
            </w:r>
          </w:p>
        </w:tc>
        <w:tc>
          <w:tcPr>
            <w:tcW w:w="1339" w:type="dxa"/>
            <w:shd w:val="clear" w:color="auto" w:fill="auto"/>
          </w:tcPr>
          <w:p w:rsidR="00CD4C89" w:rsidRPr="00CD4C89" w:rsidP="00CD4C89" w14:paraId="320CBB81" w14:textId="77777777">
            <w:pPr>
              <w:widowControl w:val="0"/>
              <w:rPr>
                <w:snapToGrid w:val="0"/>
              </w:rPr>
            </w:pPr>
          </w:p>
          <w:p w:rsidR="00CD4C89" w:rsidRPr="00CD4C89" w:rsidP="00CD4C89" w14:paraId="2D820A99" w14:textId="77777777">
            <w:pPr>
              <w:widowControl w:val="0"/>
              <w:rPr>
                <w:b/>
                <w:snapToGrid w:val="0"/>
              </w:rPr>
            </w:pPr>
            <w:r w:rsidRPr="00CD4C89">
              <w:rPr>
                <w:snapToGrid w:val="0"/>
              </w:rPr>
              <w:t>All 3 zones</w:t>
            </w:r>
          </w:p>
        </w:tc>
        <w:tc>
          <w:tcPr>
            <w:tcW w:w="1271" w:type="dxa"/>
            <w:shd w:val="clear" w:color="auto" w:fill="auto"/>
          </w:tcPr>
          <w:p w:rsidR="00CD4C89" w:rsidRPr="00CD4C89" w:rsidP="00CD4C89" w14:paraId="70DD550A" w14:textId="77777777">
            <w:pPr>
              <w:widowControl w:val="0"/>
              <w:rPr>
                <w:snapToGrid w:val="0"/>
              </w:rPr>
            </w:pPr>
          </w:p>
          <w:p w:rsidR="00CD4C89" w:rsidRPr="00CD4C89" w:rsidP="00CD4C89" w14:paraId="76144914" w14:textId="77777777">
            <w:pPr>
              <w:widowControl w:val="0"/>
              <w:rPr>
                <w:b/>
                <w:snapToGrid w:val="0"/>
              </w:rPr>
            </w:pPr>
            <w:r w:rsidRPr="00CD4C89">
              <w:rPr>
                <w:snapToGrid w:val="0"/>
              </w:rPr>
              <w:t>20</w:t>
            </w:r>
          </w:p>
        </w:tc>
      </w:tr>
      <w:tr w14:paraId="2FB58DEB" w14:textId="77777777" w:rsidTr="00B75AF6">
        <w:tblPrEx>
          <w:tblW w:w="8820" w:type="dxa"/>
          <w:tblInd w:w="558" w:type="dxa"/>
          <w:tblLook w:val="04A0"/>
        </w:tblPrEx>
        <w:tc>
          <w:tcPr>
            <w:tcW w:w="1080" w:type="dxa"/>
            <w:shd w:val="clear" w:color="auto" w:fill="auto"/>
          </w:tcPr>
          <w:p w:rsidR="00CD4C89" w:rsidRPr="00CD4C89" w:rsidP="00CD4C89" w14:paraId="77D1335F" w14:textId="77777777">
            <w:pPr>
              <w:widowControl w:val="0"/>
              <w:rPr>
                <w:b/>
                <w:snapToGrid w:val="0"/>
              </w:rPr>
            </w:pPr>
          </w:p>
          <w:p w:rsidR="00CD4C89" w:rsidRPr="00CD4C89" w:rsidP="00CD4C89" w14:paraId="2FACB329" w14:textId="77777777">
            <w:pPr>
              <w:widowControl w:val="0"/>
              <w:rPr>
                <w:b/>
                <w:snapToGrid w:val="0"/>
              </w:rPr>
            </w:pPr>
            <w:r w:rsidRPr="00CD4C89">
              <w:rPr>
                <w:b/>
                <w:snapToGrid w:val="0"/>
              </w:rPr>
              <w:t>3</w:t>
            </w:r>
          </w:p>
        </w:tc>
        <w:tc>
          <w:tcPr>
            <w:tcW w:w="2250" w:type="dxa"/>
            <w:shd w:val="clear" w:color="auto" w:fill="auto"/>
          </w:tcPr>
          <w:p w:rsidR="00CD4C89" w:rsidRPr="00CD4C89" w:rsidP="00CD4C89" w14:paraId="0F61E8D1" w14:textId="77777777">
            <w:pPr>
              <w:widowControl w:val="0"/>
              <w:rPr>
                <w:snapToGrid w:val="0"/>
              </w:rPr>
            </w:pPr>
          </w:p>
          <w:p w:rsidR="00CD4C89" w:rsidRPr="00CD4C89" w:rsidP="00CD4C89" w14:paraId="3A2D40E4" w14:textId="77777777">
            <w:pPr>
              <w:widowControl w:val="0"/>
              <w:rPr>
                <w:b/>
                <w:snapToGrid w:val="0"/>
              </w:rPr>
            </w:pPr>
            <w:r w:rsidRPr="00CD4C89">
              <w:rPr>
                <w:snapToGrid w:val="0"/>
              </w:rPr>
              <w:t>Users</w:t>
            </w:r>
          </w:p>
        </w:tc>
        <w:tc>
          <w:tcPr>
            <w:tcW w:w="2880" w:type="dxa"/>
            <w:shd w:val="clear" w:color="auto" w:fill="auto"/>
          </w:tcPr>
          <w:p w:rsidR="00CD4C89" w:rsidRPr="00CD4C89" w:rsidP="00CD4C89" w14:paraId="751F2FAF" w14:textId="77777777">
            <w:pPr>
              <w:widowControl w:val="0"/>
              <w:rPr>
                <w:b/>
                <w:snapToGrid w:val="0"/>
              </w:rPr>
            </w:pPr>
            <w:r w:rsidRPr="00CD4C89">
              <w:rPr>
                <w:bCs/>
                <w:snapToGrid w:val="0"/>
              </w:rPr>
              <w:t>NOT for any of the listed health conditions</w:t>
            </w:r>
          </w:p>
        </w:tc>
        <w:tc>
          <w:tcPr>
            <w:tcW w:w="1339" w:type="dxa"/>
            <w:shd w:val="clear" w:color="auto" w:fill="auto"/>
          </w:tcPr>
          <w:p w:rsidR="00CD4C89" w:rsidRPr="00CD4C89" w:rsidP="00CD4C89" w14:paraId="48754A01" w14:textId="77777777">
            <w:pPr>
              <w:widowControl w:val="0"/>
              <w:rPr>
                <w:snapToGrid w:val="0"/>
              </w:rPr>
            </w:pPr>
          </w:p>
          <w:p w:rsidR="00CD4C89" w:rsidRPr="00CD4C89" w:rsidP="00CD4C89" w14:paraId="56A4E4E6" w14:textId="77777777">
            <w:pPr>
              <w:widowControl w:val="0"/>
              <w:rPr>
                <w:b/>
                <w:snapToGrid w:val="0"/>
              </w:rPr>
            </w:pPr>
            <w:r w:rsidRPr="00CD4C89">
              <w:rPr>
                <w:snapToGrid w:val="0"/>
              </w:rPr>
              <w:t>All 3 zones</w:t>
            </w:r>
          </w:p>
        </w:tc>
        <w:tc>
          <w:tcPr>
            <w:tcW w:w="1271" w:type="dxa"/>
            <w:shd w:val="clear" w:color="auto" w:fill="auto"/>
          </w:tcPr>
          <w:p w:rsidR="00CD4C89" w:rsidRPr="00CD4C89" w:rsidP="00CD4C89" w14:paraId="0EEE31E9" w14:textId="77777777">
            <w:pPr>
              <w:widowControl w:val="0"/>
              <w:rPr>
                <w:snapToGrid w:val="0"/>
              </w:rPr>
            </w:pPr>
          </w:p>
          <w:p w:rsidR="00CD4C89" w:rsidRPr="00CD4C89" w:rsidP="00CD4C89" w14:paraId="62FD6FC4" w14:textId="77777777">
            <w:pPr>
              <w:widowControl w:val="0"/>
              <w:rPr>
                <w:b/>
                <w:snapToGrid w:val="0"/>
              </w:rPr>
            </w:pPr>
            <w:r w:rsidRPr="00CD4C89">
              <w:rPr>
                <w:snapToGrid w:val="0"/>
              </w:rPr>
              <w:t>20</w:t>
            </w:r>
          </w:p>
        </w:tc>
      </w:tr>
      <w:tr w14:paraId="5DA664E2" w14:textId="77777777" w:rsidTr="00B75AF6">
        <w:tblPrEx>
          <w:tblW w:w="8820" w:type="dxa"/>
          <w:tblInd w:w="558" w:type="dxa"/>
          <w:tblLook w:val="04A0"/>
        </w:tblPrEx>
        <w:tc>
          <w:tcPr>
            <w:tcW w:w="7549" w:type="dxa"/>
            <w:gridSpan w:val="4"/>
            <w:shd w:val="clear" w:color="auto" w:fill="auto"/>
          </w:tcPr>
          <w:p w:rsidR="00CD4C89" w:rsidRPr="00CD4C89" w:rsidP="00CD4C89" w14:paraId="6312306F" w14:textId="77777777">
            <w:pPr>
              <w:widowControl w:val="0"/>
              <w:rPr>
                <w:b/>
                <w:snapToGrid w:val="0"/>
              </w:rPr>
            </w:pPr>
            <w:r w:rsidRPr="00CD4C89">
              <w:rPr>
                <w:b/>
                <w:snapToGrid w:val="0"/>
              </w:rPr>
              <w:t>Total</w:t>
            </w:r>
          </w:p>
        </w:tc>
        <w:tc>
          <w:tcPr>
            <w:tcW w:w="1271" w:type="dxa"/>
            <w:shd w:val="clear" w:color="auto" w:fill="auto"/>
          </w:tcPr>
          <w:p w:rsidR="00CD4C89" w:rsidRPr="00CD4C89" w:rsidP="00CD4C89" w14:paraId="4BD8F7C7" w14:textId="77777777">
            <w:pPr>
              <w:widowControl w:val="0"/>
              <w:rPr>
                <w:b/>
                <w:snapToGrid w:val="0"/>
              </w:rPr>
            </w:pPr>
            <w:r w:rsidRPr="00CD4C89">
              <w:rPr>
                <w:b/>
                <w:snapToGrid w:val="0"/>
              </w:rPr>
              <w:t>62</w:t>
            </w:r>
          </w:p>
        </w:tc>
      </w:tr>
    </w:tbl>
    <w:bookmarkEnd w:id="3"/>
    <w:p w:rsidR="00CD4C89" w:rsidRPr="00CD4C89" w:rsidP="00CD4C89" w14:paraId="537918E7" w14:textId="77777777">
      <w:pPr>
        <w:widowControl w:val="0"/>
        <w:ind w:left="360"/>
        <w:rPr>
          <w:snapToGrid w:val="0"/>
        </w:rPr>
      </w:pPr>
      <w:r w:rsidRPr="00CD4C89">
        <w:rPr>
          <w:snapToGrid w:val="0"/>
        </w:rPr>
        <w:t>* “User” is defined as an individual who has used one or more dietary supplements in the twelve (12) months prior to the date of recruitment.</w:t>
      </w:r>
    </w:p>
    <w:p w:rsidR="00A0748D" w:rsidP="00CD4C89" w14:paraId="67BD37D9" w14:textId="77777777">
      <w:pPr>
        <w:widowControl w:val="0"/>
        <w:ind w:left="360"/>
        <w:rPr>
          <w:snapToGrid w:val="0"/>
        </w:rPr>
      </w:pPr>
      <w:r w:rsidRPr="00CD4C89">
        <w:rPr>
          <w:snapToGrid w:val="0"/>
        </w:rPr>
        <w:t>** Purpose of use: Whether any supplements are used for one or more of the following health conditions: high blood pressure/hypertension, high blood sugar/diabetes, high cholesterol, cardiovascular diseases/heart disease/stroke, and cancer.</w:t>
      </w:r>
    </w:p>
    <w:p w:rsidR="00CD4C89" w:rsidP="00A0748D" w14:paraId="6114692E" w14:textId="268266AE">
      <w:pPr>
        <w:widowControl w:val="0"/>
        <w:rPr>
          <w:snapToGrid w:val="0"/>
        </w:rPr>
      </w:pPr>
    </w:p>
    <w:p w:rsidR="00B07E6F" w:rsidP="00A0748D" w14:paraId="73A9FAE6" w14:textId="5B0B33A7">
      <w:pPr>
        <w:widowControl w:val="0"/>
        <w:rPr>
          <w:snapToGrid w:val="0"/>
        </w:rPr>
      </w:pPr>
    </w:p>
    <w:p w:rsidR="00B07E6F" w:rsidP="00A0748D" w14:paraId="57C96F4C" w14:textId="65BFAA72">
      <w:pPr>
        <w:widowControl w:val="0"/>
        <w:rPr>
          <w:snapToGrid w:val="0"/>
        </w:rPr>
      </w:pPr>
    </w:p>
    <w:p w:rsidR="00B07E6F" w:rsidP="00A0748D" w14:paraId="04FAD094" w14:textId="2520663B">
      <w:pPr>
        <w:widowControl w:val="0"/>
        <w:rPr>
          <w:snapToGrid w:val="0"/>
        </w:rPr>
      </w:pPr>
    </w:p>
    <w:p w:rsidR="00B07E6F" w:rsidP="00A0748D" w14:paraId="66FE9C34" w14:textId="50BB6EA0">
      <w:pPr>
        <w:widowControl w:val="0"/>
        <w:rPr>
          <w:snapToGrid w:val="0"/>
        </w:rPr>
      </w:pPr>
    </w:p>
    <w:p w:rsidR="00B07E6F" w:rsidP="00A0748D" w14:paraId="418FD401" w14:textId="45C50913">
      <w:pPr>
        <w:widowControl w:val="0"/>
        <w:rPr>
          <w:snapToGrid w:val="0"/>
        </w:rPr>
      </w:pPr>
    </w:p>
    <w:p w:rsidR="00B07E6F" w:rsidP="00A0748D" w14:paraId="32F9E828" w14:textId="77777777">
      <w:pPr>
        <w:widowControl w:val="0"/>
        <w:rPr>
          <w:snapToGrid w:val="0"/>
        </w:rPr>
      </w:pPr>
    </w:p>
    <w:p w:rsidR="00A0748D" w:rsidRPr="0061415E" w:rsidP="00A0748D" w14:paraId="6713F262" w14:textId="77777777">
      <w:pPr>
        <w:pStyle w:val="ListParagraph"/>
        <w:numPr>
          <w:ilvl w:val="0"/>
          <w:numId w:val="20"/>
        </w:numPr>
        <w:contextualSpacing/>
        <w:rPr>
          <w:bCs/>
          <w:u w:val="single"/>
        </w:rPr>
      </w:pPr>
      <w:r w:rsidRPr="0061415E">
        <w:rPr>
          <w:bCs/>
          <w:u w:val="single"/>
        </w:rPr>
        <w:t>How the Information is Collected</w:t>
      </w:r>
    </w:p>
    <w:p w:rsidR="00A0748D" w:rsidP="00A0748D" w14:paraId="0346904B" w14:textId="77777777"/>
    <w:bookmarkEnd w:id="0"/>
    <w:p w:rsidR="001B4575" w:rsidP="00CD4C89" w14:paraId="451A35EF" w14:textId="77777777">
      <w:pPr>
        <w:ind w:left="360"/>
      </w:pPr>
      <w:r>
        <w:t xml:space="preserve">Under supervision of the primary data collection contractor, </w:t>
      </w:r>
      <w:r>
        <w:t>Westat</w:t>
      </w:r>
      <w:r>
        <w:t>, s</w:t>
      </w:r>
      <w:r w:rsidRPr="00CD4C89" w:rsidR="00CD4C89">
        <w:t>taff from the recruitment facilities</w:t>
      </w:r>
      <w:r>
        <w:t xml:space="preserve">, as </w:t>
      </w:r>
      <w:r>
        <w:t>Westat’s</w:t>
      </w:r>
      <w:r>
        <w:t xml:space="preserve"> subcontractors,</w:t>
      </w:r>
      <w:r w:rsidRPr="00CD4C89" w:rsidR="00CD4C89">
        <w:t xml:space="preserve"> will recruit participants via telephone using the participant screener (Attachment 1). </w:t>
      </w:r>
      <w:r>
        <w:t xml:space="preserve"> The recruiting facilities will use their existing databases </w:t>
      </w:r>
      <w:r w:rsidRPr="000647A7" w:rsidR="000647A7">
        <w:t>to find prospective participants</w:t>
      </w:r>
      <w:r w:rsidR="000647A7">
        <w:t xml:space="preserve">.  </w:t>
      </w:r>
      <w:bookmarkStart w:id="4" w:name="_Hlk146641738"/>
      <w:r w:rsidRPr="00CD4C89" w:rsidR="00CD4C89">
        <w:t xml:space="preserve">The facilities’ staff will provide all necessary information and instructions </w:t>
      </w:r>
      <w:r w:rsidR="00883520">
        <w:t xml:space="preserve">in the confirmation letter </w:t>
      </w:r>
      <w:r w:rsidRPr="00CD4C89" w:rsidR="00CD4C89">
        <w:t>to ensure participants log in to the online platform</w:t>
      </w:r>
      <w:r w:rsidR="003B5353">
        <w:t xml:space="preserve"> for interviews</w:t>
      </w:r>
      <w:r w:rsidRPr="00CD4C89" w:rsidR="00CD4C89">
        <w:t xml:space="preserve"> on the agreed upon date and time</w:t>
      </w:r>
      <w:r w:rsidR="003B5353">
        <w:t xml:space="preserve"> (Attachment 2)</w:t>
      </w:r>
      <w:r w:rsidRPr="00CD4C89" w:rsidR="00CD4C89">
        <w:t>.</w:t>
      </w:r>
      <w:bookmarkEnd w:id="4"/>
      <w:r w:rsidRPr="00CD4C89" w:rsidR="00CD4C89">
        <w:t xml:space="preserve"> Facilities will conduct recruitment and ensure that the needed number of participants are present for their scheduled time slot. The facilities will </w:t>
      </w:r>
      <w:r w:rsidR="00610798">
        <w:t>email</w:t>
      </w:r>
      <w:r w:rsidRPr="00CD4C89" w:rsidR="00CD4C89">
        <w:t xml:space="preserve"> </w:t>
      </w:r>
      <w:r w:rsidR="00BF17C6">
        <w:t xml:space="preserve">a </w:t>
      </w:r>
      <w:r w:rsidRPr="00CD4C89" w:rsidR="00CD4C89">
        <w:t xml:space="preserve">confirmation </w:t>
      </w:r>
      <w:r w:rsidR="00305096">
        <w:t xml:space="preserve">letter </w:t>
      </w:r>
      <w:r w:rsidRPr="00CD4C89" w:rsidR="00CD4C89">
        <w:t xml:space="preserve">(Attachment 2), reminder </w:t>
      </w:r>
      <w:r w:rsidR="00305096">
        <w:t xml:space="preserve">letter </w:t>
      </w:r>
      <w:r w:rsidRPr="00CD4C89" w:rsidR="00CD4C89">
        <w:t>(Attachment 3), and consent form (Attachment 4) to recruited participants</w:t>
      </w:r>
      <w:r w:rsidR="00BF17C6">
        <w:t xml:space="preserve"> for completion prior to the survey</w:t>
      </w:r>
      <w:r w:rsidRPr="00CD4C89" w:rsidR="00CD4C89">
        <w:t>.</w:t>
      </w:r>
    </w:p>
    <w:p w:rsidR="00CD4C89" w:rsidP="00CD4C89" w14:paraId="1993DD82" w14:textId="77777777">
      <w:pPr>
        <w:ind w:left="360"/>
      </w:pPr>
    </w:p>
    <w:p w:rsidR="00CD4C89" w:rsidP="00CD4C89" w14:paraId="58A579E0" w14:textId="77777777">
      <w:pPr>
        <w:ind w:left="360"/>
      </w:pPr>
      <w:r>
        <w:t>Westat</w:t>
      </w:r>
      <w:r w:rsidR="001001DB">
        <w:t>’s</w:t>
      </w:r>
      <w:r w:rsidR="00ED0F1B">
        <w:t xml:space="preserve"> </w:t>
      </w:r>
      <w:r>
        <w:t>staff members will serve as interviewers for all interviews. FDA staff members will observe most, if not all, of the sessions remotely using streaming technology.</w:t>
      </w:r>
    </w:p>
    <w:p w:rsidR="00CD4C89" w:rsidP="00CD4C89" w14:paraId="5F41624F" w14:textId="77777777">
      <w:pPr>
        <w:ind w:left="360"/>
      </w:pPr>
    </w:p>
    <w:p w:rsidR="00CD4C89" w:rsidP="00CD4C89" w14:paraId="6A656C07" w14:textId="77777777">
      <w:pPr>
        <w:ind w:left="360"/>
      </w:pPr>
      <w:r>
        <w:t xml:space="preserve">The interviewers will use the interview guide (Attachment 5) and </w:t>
      </w:r>
      <w:r w:rsidR="002F71F6">
        <w:t xml:space="preserve">a set of mock labels and </w:t>
      </w:r>
      <w:r w:rsidR="00216A5A">
        <w:t xml:space="preserve">mock </w:t>
      </w:r>
      <w:r w:rsidR="002F71F6">
        <w:t>claims</w:t>
      </w:r>
      <w:r>
        <w:t xml:space="preserve"> (Attachments 7)</w:t>
      </w:r>
      <w:r w:rsidR="00216A5A">
        <w:t>, with the aid of Attachment 6 (structure of the interview),</w:t>
      </w:r>
      <w:r>
        <w:t xml:space="preserve"> to ensure that all relevant topic areas are addressed</w:t>
      </w:r>
      <w:r w:rsidR="00AB22F4">
        <w:t xml:space="preserve">, e.g., </w:t>
      </w:r>
      <w:r w:rsidR="00AD53FB">
        <w:t>participants’ background information related to dietary supplements</w:t>
      </w:r>
      <w:r w:rsidR="00AB22F4">
        <w:t>, their</w:t>
      </w:r>
      <w:r w:rsidR="00AD53FB">
        <w:t xml:space="preserve"> interpretation of various claims they see on product packages</w:t>
      </w:r>
      <w:r w:rsidR="00AB22F4">
        <w:t>, and</w:t>
      </w:r>
      <w:r w:rsidR="00AD53FB">
        <w:t xml:space="preserve"> their ability to distinguish between s/f claims and disease claims</w:t>
      </w:r>
      <w:r w:rsidR="00AB22F4">
        <w:t xml:space="preserve">.  The information will be elicited when participants view various </w:t>
      </w:r>
      <w:r w:rsidR="00F75D25">
        <w:t xml:space="preserve">mock </w:t>
      </w:r>
      <w:r w:rsidR="00AB22F4">
        <w:t>product labels</w:t>
      </w:r>
      <w:r w:rsidR="001F5C6F">
        <w:t xml:space="preserve"> (Attachment </w:t>
      </w:r>
      <w:r w:rsidR="002F71F6">
        <w:t>7</w:t>
      </w:r>
      <w:r w:rsidR="001F5C6F">
        <w:t>)</w:t>
      </w:r>
      <w:r w:rsidR="002F71F6">
        <w:t xml:space="preserve"> and report how they interpret the labels and why,</w:t>
      </w:r>
      <w:r w:rsidR="001F5C6F">
        <w:t xml:space="preserve"> </w:t>
      </w:r>
      <w:r w:rsidR="00AB22F4">
        <w:t>and when they sort claims into groups</w:t>
      </w:r>
      <w:r w:rsidR="002F71F6">
        <w:t xml:space="preserve"> according to the differences they perceive between the claims</w:t>
      </w:r>
      <w:r w:rsidR="00605B24">
        <w:t xml:space="preserve"> (Attachment </w:t>
      </w:r>
      <w:r w:rsidR="001F5C6F">
        <w:t>7</w:t>
      </w:r>
      <w:r w:rsidR="00605B24">
        <w:t>)</w:t>
      </w:r>
      <w:r w:rsidR="00AB22F4">
        <w:t>.</w:t>
      </w:r>
      <w:r w:rsidR="009665F9">
        <w:t xml:space="preserve">  </w:t>
      </w:r>
      <w:r>
        <w:t>Westat</w:t>
      </w:r>
      <w:r>
        <w:t xml:space="preserve"> will make audio and video recordings to ensure a verbatim record of the proceedings is captured.</w:t>
      </w:r>
    </w:p>
    <w:p w:rsidR="00CD4C89" w:rsidRPr="00A0748D" w:rsidP="00A0748D" w14:paraId="4FEE47FF" w14:textId="77777777"/>
    <w:p w:rsidR="001B4575" w:rsidRPr="0061415E" w:rsidP="00A0748D" w14:paraId="034CDA5B" w14:textId="77777777">
      <w:pPr>
        <w:numPr>
          <w:ilvl w:val="0"/>
          <w:numId w:val="20"/>
        </w:numPr>
        <w:rPr>
          <w:bCs/>
          <w:u w:val="single"/>
        </w:rPr>
      </w:pPr>
      <w:bookmarkStart w:id="5" w:name="_Hlk25237554"/>
      <w:r w:rsidRPr="0061415E">
        <w:rPr>
          <w:bCs/>
          <w:u w:val="single"/>
        </w:rPr>
        <w:t>Confidentiality of Respondents</w:t>
      </w:r>
    </w:p>
    <w:p w:rsidR="001B4575" w:rsidP="00A0748D" w14:paraId="36618AEF" w14:textId="77777777">
      <w:pPr>
        <w:ind w:left="360"/>
      </w:pPr>
    </w:p>
    <w:p w:rsidR="00F60085" w:rsidRPr="00F60085" w:rsidP="00F60085" w14:paraId="571BBD4E" w14:textId="77777777">
      <w:pPr>
        <w:ind w:left="360"/>
        <w:rPr>
          <w:color w:val="000000"/>
        </w:rPr>
      </w:pPr>
      <w:r w:rsidRPr="00F60085">
        <w:rPr>
          <w:color w:val="000000"/>
        </w:rPr>
        <w:t xml:space="preserve">In preparing this </w:t>
      </w:r>
      <w:r w:rsidR="00AA5773">
        <w:rPr>
          <w:color w:val="000000"/>
        </w:rPr>
        <w:t xml:space="preserve">submission, </w:t>
      </w:r>
      <w:r w:rsidRPr="00F60085">
        <w:rPr>
          <w:color w:val="000000"/>
        </w:rPr>
        <w:t xml:space="preserve">we consulted our Privacy Office to ensure appropriate identification and handling of information collected. </w:t>
      </w:r>
    </w:p>
    <w:p w:rsidR="00F60085" w:rsidRPr="00F60085" w:rsidP="00F60085" w14:paraId="5E3A38F1" w14:textId="77777777">
      <w:pPr>
        <w:ind w:left="360"/>
        <w:rPr>
          <w:color w:val="000000"/>
        </w:rPr>
      </w:pPr>
    </w:p>
    <w:p w:rsidR="00F60085" w:rsidRPr="00F60085" w:rsidP="00F60085" w14:paraId="7AA76D0F" w14:textId="77777777">
      <w:pPr>
        <w:ind w:left="360"/>
        <w:rPr>
          <w:color w:val="000000"/>
        </w:rPr>
      </w:pPr>
      <w:r w:rsidRPr="00F60085">
        <w:rPr>
          <w:color w:val="000000"/>
        </w:rPr>
        <w:t>This ICR will collect personally identifiable information (PII).  The PII collected consists of name, contact information, age, race, gender, health information, and biometric identifiers in the form of video recordings of participant interviews.  PII is collected on behalf of the FDA by a contractor or vendor who conducts surveys.  PII is collected to gather information on consumer perception of and reactions to labeling statements on dietary supplement products and relationships between personal and background and other factors and label perception and reaction.  Information collected by the vendor or contractor will be summarized into aggregate form, sent in aggregate to FDA (no PII will be included), and destroyed after the study or interview has been completed.  Collected PII is used to notify potential respondents of their selection and includes name and contact information.  All information collected will be kept secure by the vendor or contractor.  FDA and any vendor or contractor will disclose identifiable information only to the extent authorized by the individual or required by law.  Contractors or vendors maintaining information will destroy it in accordance with applicable records retention and other requirements per contract terms after the aggregate information has been provided to FDA and the survey has been completed.  In keeping with IRB/Human Subjects Research protocols, the FDA clearance process ensures that study data is appropriately secured (e.g., housed on the Contractor’s servers, password protected, separate storage areas for each study, access controlled).</w:t>
      </w:r>
    </w:p>
    <w:p w:rsidR="00F60085" w:rsidRPr="00F60085" w:rsidP="00F60085" w14:paraId="040FCDCA" w14:textId="77777777">
      <w:pPr>
        <w:ind w:left="360"/>
        <w:rPr>
          <w:color w:val="000000"/>
        </w:rPr>
      </w:pPr>
    </w:p>
    <w:p w:rsidR="00F60085" w:rsidRPr="00F60085" w:rsidP="00F60085" w14:paraId="6D56833D" w14:textId="77777777">
      <w:pPr>
        <w:ind w:left="360"/>
        <w:rPr>
          <w:color w:val="000000"/>
        </w:rPr>
      </w:pPr>
      <w:r w:rsidRPr="00F60085">
        <w:rPr>
          <w:color w:val="000000"/>
        </w:rPr>
        <w:t>FDA determined that although PII is collected it is not subject to the Privacy Act of 1974 and the particular notice and other requirements of the Act do not apply.  Specifically, the contractor does not use name or any other personal identifier to retrieve records from the information collected.</w:t>
      </w:r>
    </w:p>
    <w:p w:rsidR="00F60085" w:rsidP="00A0748D" w14:paraId="2AF5B897" w14:textId="77777777">
      <w:pPr>
        <w:ind w:left="360"/>
        <w:rPr>
          <w:color w:val="000000"/>
        </w:rPr>
      </w:pPr>
    </w:p>
    <w:p w:rsidR="00A0748D" w:rsidP="00A0748D" w14:paraId="2FB75565" w14:textId="77777777">
      <w:pPr>
        <w:ind w:left="360"/>
        <w:rPr>
          <w:color w:val="000000"/>
        </w:rPr>
      </w:pPr>
      <w:r w:rsidRPr="00F60085">
        <w:rPr>
          <w:color w:val="000000"/>
        </w:rPr>
        <w:t>Westat</w:t>
      </w:r>
      <w:r w:rsidRPr="00F60085">
        <w:rPr>
          <w:color w:val="000000"/>
        </w:rPr>
        <w:t xml:space="preserve"> will comply with safeguards for ensuring </w:t>
      </w:r>
      <w:r w:rsidR="00317017">
        <w:rPr>
          <w:color w:val="000000"/>
        </w:rPr>
        <w:t>respondent</w:t>
      </w:r>
      <w:r w:rsidRPr="00F60085">
        <w:rPr>
          <w:color w:val="000000"/>
        </w:rPr>
        <w:t xml:space="preserve"> information is kept secure to the extent permitted by law. The last names of the </w:t>
      </w:r>
      <w:r w:rsidR="00317017">
        <w:rPr>
          <w:color w:val="000000"/>
        </w:rPr>
        <w:t>respondents</w:t>
      </w:r>
      <w:r w:rsidRPr="00F60085">
        <w:rPr>
          <w:color w:val="000000"/>
        </w:rPr>
        <w:t xml:space="preserve"> will not appear on any interview materials. Verbatim quotes included in the final report will not be attributed to any individual.</w:t>
      </w:r>
    </w:p>
    <w:p w:rsidR="00F60085" w:rsidP="00A0748D" w14:paraId="2753C3AF" w14:textId="77777777">
      <w:pPr>
        <w:ind w:left="360"/>
        <w:rPr>
          <w:color w:val="000000"/>
        </w:rPr>
      </w:pPr>
    </w:p>
    <w:bookmarkEnd w:id="5"/>
    <w:p w:rsidR="00563B3F" w:rsidRPr="0061415E" w:rsidP="008E61CF" w14:paraId="5386C8B2" w14:textId="77777777">
      <w:pPr>
        <w:numPr>
          <w:ilvl w:val="0"/>
          <w:numId w:val="20"/>
        </w:numPr>
        <w:spacing w:after="200" w:line="276" w:lineRule="auto"/>
        <w:contextualSpacing/>
        <w:rPr>
          <w:bCs/>
          <w:u w:val="single"/>
        </w:rPr>
      </w:pPr>
      <w:r w:rsidRPr="0061415E">
        <w:rPr>
          <w:bCs/>
          <w:u w:val="single"/>
        </w:rPr>
        <w:t>Amount and Justification for Proposed Incentive</w:t>
      </w:r>
    </w:p>
    <w:p w:rsidR="00563B3F" w:rsidP="00563B3F" w14:paraId="74CE3060" w14:textId="77777777">
      <w:pPr>
        <w:spacing w:after="200" w:line="276" w:lineRule="auto"/>
        <w:ind w:left="360"/>
        <w:contextualSpacing/>
        <w:rPr>
          <w:b/>
        </w:rPr>
      </w:pPr>
    </w:p>
    <w:p w:rsidR="00F60085" w:rsidRPr="00F60085" w:rsidP="00F60085" w14:paraId="2522B94E" w14:textId="77777777">
      <w:pPr>
        <w:spacing w:after="200" w:line="276" w:lineRule="auto"/>
        <w:ind w:left="360"/>
        <w:contextualSpacing/>
        <w:rPr>
          <w:bCs/>
        </w:rPr>
      </w:pPr>
      <w:bookmarkStart w:id="6" w:name="_Hlk141860485"/>
      <w:r w:rsidRPr="00F60085">
        <w:rPr>
          <w:bCs/>
        </w:rPr>
        <w:t xml:space="preserve">We propose to offer an incentive of $60 as one component in a two-pronged approach to encouraging participation and increasing recruiting efficiency.  </w:t>
      </w:r>
    </w:p>
    <w:p w:rsidR="00F60085" w:rsidRPr="00F60085" w:rsidP="00F60085" w14:paraId="402BA480" w14:textId="77777777">
      <w:pPr>
        <w:spacing w:after="200" w:line="276" w:lineRule="auto"/>
        <w:ind w:left="360"/>
        <w:contextualSpacing/>
        <w:rPr>
          <w:bCs/>
        </w:rPr>
      </w:pPr>
    </w:p>
    <w:p w:rsidR="00F60085" w:rsidRPr="00F60085" w:rsidP="00F60085" w14:paraId="6552A10F" w14:textId="77777777">
      <w:pPr>
        <w:spacing w:after="200" w:line="276" w:lineRule="auto"/>
        <w:ind w:left="360"/>
        <w:contextualSpacing/>
        <w:rPr>
          <w:bCs/>
        </w:rPr>
      </w:pPr>
      <w:bookmarkStart w:id="7" w:name="_Hlk147394825"/>
      <w:r w:rsidRPr="00F60085">
        <w:rPr>
          <w:bCs/>
        </w:rPr>
        <w:t xml:space="preserve">The incentive is to compensate for the cost a </w:t>
      </w:r>
      <w:r w:rsidR="00317017">
        <w:rPr>
          <w:bCs/>
        </w:rPr>
        <w:t>respondent</w:t>
      </w:r>
      <w:r w:rsidRPr="00F60085">
        <w:rPr>
          <w:bCs/>
        </w:rPr>
        <w:t xml:space="preserve"> is expected to commit to this study.  </w:t>
      </w:r>
      <w:bookmarkEnd w:id="7"/>
      <w:r w:rsidRPr="00F60085">
        <w:rPr>
          <w:bCs/>
        </w:rPr>
        <w:t>The $60 reflects the sum of (1) $4</w:t>
      </w:r>
      <w:r w:rsidR="00D1024F">
        <w:rPr>
          <w:bCs/>
        </w:rPr>
        <w:t>2</w:t>
      </w:r>
      <w:r w:rsidRPr="00F60085">
        <w:rPr>
          <w:bCs/>
        </w:rPr>
        <w:t xml:space="preserve"> for the 75 minutes spent on the study - the Bureau of Labor Statistics (BLS) data show the national average hourly wage of employees on private nonfarm payrolls in June 202</w:t>
      </w:r>
      <w:r w:rsidR="00D1024F">
        <w:rPr>
          <w:bCs/>
        </w:rPr>
        <w:t>3</w:t>
      </w:r>
      <w:r w:rsidRPr="00F60085">
        <w:rPr>
          <w:bCs/>
        </w:rPr>
        <w:t xml:space="preserve"> is $3</w:t>
      </w:r>
      <w:r w:rsidR="00D1024F">
        <w:rPr>
          <w:bCs/>
        </w:rPr>
        <w:t>3.60</w:t>
      </w:r>
      <w:r w:rsidRPr="00F60085">
        <w:rPr>
          <w:bCs/>
        </w:rPr>
        <w:t>,</w:t>
      </w:r>
      <w:r>
        <w:rPr>
          <w:bCs/>
          <w:vertAlign w:val="superscript"/>
        </w:rPr>
        <w:footnoteReference w:id="7"/>
      </w:r>
      <w:r w:rsidRPr="00F60085">
        <w:rPr>
          <w:bCs/>
        </w:rPr>
        <w:t xml:space="preserve"> and (2) $1</w:t>
      </w:r>
      <w:r w:rsidR="00D1024F">
        <w:rPr>
          <w:bCs/>
        </w:rPr>
        <w:t>8</w:t>
      </w:r>
      <w:r w:rsidRPr="00F60085">
        <w:rPr>
          <w:bCs/>
        </w:rPr>
        <w:t xml:space="preserve"> for childcare during the 75-minute interview - the BLS data show the national median hourly wage of childcare workers in May 202</w:t>
      </w:r>
      <w:r w:rsidR="00D1024F">
        <w:rPr>
          <w:bCs/>
        </w:rPr>
        <w:t>2</w:t>
      </w:r>
      <w:r w:rsidRPr="00F60085">
        <w:rPr>
          <w:bCs/>
        </w:rPr>
        <w:t xml:space="preserve"> is $1</w:t>
      </w:r>
      <w:r w:rsidR="00D1024F">
        <w:rPr>
          <w:bCs/>
        </w:rPr>
        <w:t>4</w:t>
      </w:r>
      <w:r w:rsidRPr="00F60085">
        <w:rPr>
          <w:bCs/>
        </w:rPr>
        <w:t>.22.</w:t>
      </w:r>
      <w:r>
        <w:rPr>
          <w:bCs/>
          <w:vertAlign w:val="superscript"/>
        </w:rPr>
        <w:footnoteReference w:id="8"/>
      </w:r>
    </w:p>
    <w:p w:rsidR="00F60085" w:rsidRPr="00F60085" w:rsidP="00F60085" w14:paraId="2DF99F22" w14:textId="77777777">
      <w:pPr>
        <w:spacing w:after="200" w:line="276" w:lineRule="auto"/>
        <w:ind w:left="360"/>
        <w:contextualSpacing/>
        <w:rPr>
          <w:bCs/>
        </w:rPr>
      </w:pPr>
    </w:p>
    <w:p w:rsidR="00F60085" w:rsidRPr="00F60085" w:rsidP="00F60085" w14:paraId="5C5A974B" w14:textId="77777777">
      <w:pPr>
        <w:spacing w:after="200" w:line="276" w:lineRule="auto"/>
        <w:ind w:left="360"/>
        <w:contextualSpacing/>
        <w:rPr>
          <w:bCs/>
        </w:rPr>
      </w:pPr>
      <w:r w:rsidRPr="00F60085">
        <w:rPr>
          <w:bCs/>
        </w:rPr>
        <w:t>In addition to the incentive, we also propose to appeal to altruistic motives as the second component of a two-pronged approach to encouraging participation and increasing recruiting efficiency.</w:t>
      </w:r>
      <w:r>
        <w:rPr>
          <w:bCs/>
          <w:vertAlign w:val="superscript"/>
        </w:rPr>
        <w:footnoteReference w:id="9"/>
      </w:r>
      <w:r w:rsidRPr="00F60085">
        <w:rPr>
          <w:bCs/>
        </w:rPr>
        <w:t xml:space="preserve"> We will state in the recruitment screener that “</w:t>
      </w:r>
      <w:r w:rsidR="00AF4615">
        <w:rPr>
          <w:bCs/>
        </w:rPr>
        <w:t>[</w:t>
      </w:r>
      <w:r w:rsidRPr="00F60085">
        <w:rPr>
          <w:bCs/>
        </w:rPr>
        <w:t>T</w:t>
      </w:r>
      <w:r w:rsidR="00AF4615">
        <w:rPr>
          <w:bCs/>
        </w:rPr>
        <w:t>]</w:t>
      </w:r>
      <w:r w:rsidRPr="00F60085">
        <w:rPr>
          <w:bCs/>
        </w:rPr>
        <w:t xml:space="preserve">he interviews are conducted to help FDA gather information from consumers like you to provide accurate and useful product labels </w:t>
      </w:r>
      <w:r w:rsidR="00AB22F4">
        <w:rPr>
          <w:bCs/>
        </w:rPr>
        <w:t>to help you make informed choices about food products.</w:t>
      </w:r>
      <w:r w:rsidRPr="00F60085">
        <w:rPr>
          <w:bCs/>
        </w:rPr>
        <w:t>”</w:t>
      </w:r>
    </w:p>
    <w:bookmarkEnd w:id="6"/>
    <w:p w:rsidR="001B4575" w:rsidRPr="00A0748D" w:rsidP="00A0748D" w14:paraId="1A6AFE14" w14:textId="77777777"/>
    <w:p w:rsidR="00EF2C89" w:rsidRPr="0061415E" w:rsidP="00EF2C89" w14:paraId="15A1F2FA" w14:textId="77777777">
      <w:pPr>
        <w:numPr>
          <w:ilvl w:val="0"/>
          <w:numId w:val="20"/>
        </w:numPr>
        <w:spacing w:after="200" w:line="276" w:lineRule="auto"/>
        <w:contextualSpacing/>
        <w:rPr>
          <w:bCs/>
          <w:u w:val="single"/>
        </w:rPr>
      </w:pPr>
      <w:r w:rsidRPr="0061415E">
        <w:rPr>
          <w:bCs/>
          <w:u w:val="single"/>
        </w:rPr>
        <w:t>Questions of a Sensitive Nature</w:t>
      </w:r>
    </w:p>
    <w:p w:rsidR="008E61CF" w:rsidP="008E61CF" w14:paraId="00F30CA8" w14:textId="77777777">
      <w:pPr>
        <w:ind w:left="360"/>
        <w:contextualSpacing/>
      </w:pPr>
    </w:p>
    <w:p w:rsidR="00F60085" w:rsidRPr="008E61CF" w:rsidP="008E61CF" w14:paraId="0739467A" w14:textId="77777777">
      <w:pPr>
        <w:ind w:left="360"/>
        <w:contextualSpacing/>
      </w:pPr>
      <w:r w:rsidRPr="00F60085">
        <w:t xml:space="preserve">There will be no questions of a sensitive nature asked of </w:t>
      </w:r>
      <w:r w:rsidR="00317017">
        <w:t>respondents</w:t>
      </w:r>
      <w:r w:rsidRPr="00F60085">
        <w:t>.</w:t>
      </w:r>
    </w:p>
    <w:p w:rsidR="00FA2CD7" w:rsidRPr="00A0748D" w:rsidP="00FA2CD7" w14:paraId="3B5167B3" w14:textId="77777777">
      <w:pPr>
        <w:ind w:left="360"/>
        <w:contextualSpacing/>
      </w:pPr>
    </w:p>
    <w:p w:rsidR="00EF2C89" w:rsidRPr="0061415E" w:rsidP="00EF2C89" w14:paraId="3D0417E8" w14:textId="77777777">
      <w:pPr>
        <w:numPr>
          <w:ilvl w:val="0"/>
          <w:numId w:val="20"/>
        </w:numPr>
        <w:spacing w:after="200" w:line="276" w:lineRule="auto"/>
        <w:contextualSpacing/>
        <w:rPr>
          <w:bCs/>
          <w:u w:val="single"/>
        </w:rPr>
      </w:pPr>
      <w:r w:rsidRPr="0061415E">
        <w:rPr>
          <w:bCs/>
          <w:u w:val="single"/>
        </w:rPr>
        <w:t>Description of Statistical Methods</w:t>
      </w:r>
    </w:p>
    <w:p w:rsidR="00EF2C89" w:rsidRPr="00EF2C89" w:rsidP="00EF2C89" w14:paraId="6115E137" w14:textId="77777777">
      <w:pPr>
        <w:spacing w:after="200" w:line="276" w:lineRule="auto"/>
        <w:ind w:left="720"/>
        <w:contextualSpacing/>
      </w:pPr>
    </w:p>
    <w:p w:rsidR="009C1F3E" w:rsidP="00B07E6F" w14:paraId="12B06087" w14:textId="192B8088">
      <w:pPr>
        <w:ind w:left="360"/>
        <w:contextualSpacing/>
        <w:rPr>
          <w:b/>
          <w:bCs/>
        </w:rPr>
      </w:pPr>
      <w:r>
        <w:rPr>
          <w:rFonts w:eastAsia="Calibri"/>
        </w:rPr>
        <w:t xml:space="preserve"> Not applicable.</w:t>
      </w:r>
      <w:r w:rsidR="008F5D26">
        <w:rPr>
          <w:rFonts w:eastAsia="Calibri"/>
        </w:rPr>
        <w:t xml:space="preserve">  Per </w:t>
      </w:r>
      <w:r w:rsidR="00452CE6">
        <w:rPr>
          <w:rFonts w:eastAsia="Calibri"/>
        </w:rPr>
        <w:t xml:space="preserve">Supporting Statement </w:t>
      </w:r>
      <w:r w:rsidR="008F5D26">
        <w:rPr>
          <w:rFonts w:eastAsia="Calibri"/>
        </w:rPr>
        <w:t>Part B of the Gen</w:t>
      </w:r>
      <w:r w:rsidR="00452CE6">
        <w:rPr>
          <w:rFonts w:eastAsia="Calibri"/>
        </w:rPr>
        <w:t xml:space="preserve"> </w:t>
      </w:r>
      <w:r w:rsidR="008F5D26">
        <w:rPr>
          <w:rFonts w:eastAsia="Calibri"/>
        </w:rPr>
        <w:t>IC, in-depth one-on-one interviews</w:t>
      </w:r>
      <w:r w:rsidRPr="008F5D26" w:rsidR="008F5D26">
        <w:rPr>
          <w:rFonts w:eastAsia="Calibri"/>
        </w:rPr>
        <w:t xml:space="preserve"> </w:t>
      </w:r>
      <w:r w:rsidR="008F5D26">
        <w:rPr>
          <w:rFonts w:eastAsia="Calibri"/>
        </w:rPr>
        <w:t>“</w:t>
      </w:r>
      <w:r w:rsidRPr="008F5D26" w:rsidR="008F5D26">
        <w:rPr>
          <w:rFonts w:eastAsia="Calibri"/>
        </w:rPr>
        <w:t>are qualitative research methodologies, statistical methods will not be employed to develop samples or to analyze the data</w:t>
      </w:r>
      <w:r w:rsidR="008F5D26">
        <w:rPr>
          <w:rFonts w:eastAsia="Calibri"/>
        </w:rPr>
        <w:t>.”</w:t>
      </w:r>
      <w:r w:rsidR="00A830A4">
        <w:rPr>
          <w:b/>
          <w:bCs/>
        </w:rPr>
        <w:br w:type="page"/>
      </w:r>
    </w:p>
    <w:p w:rsidR="00F60085" w:rsidRPr="008F5D26" w:rsidP="008F5D26" w14:paraId="1373CB4D" w14:textId="77777777">
      <w:pPr>
        <w:numPr>
          <w:ilvl w:val="0"/>
          <w:numId w:val="20"/>
        </w:numPr>
        <w:spacing w:after="200" w:line="276" w:lineRule="auto"/>
        <w:contextualSpacing/>
        <w:rPr>
          <w:bCs/>
        </w:rPr>
      </w:pPr>
      <w:r w:rsidRPr="008F5D26">
        <w:rPr>
          <w:u w:val="single"/>
        </w:rPr>
        <w:t>B</w:t>
      </w:r>
      <w:r w:rsidRPr="008F5D26" w:rsidR="009C1F3E">
        <w:rPr>
          <w:u w:val="single"/>
        </w:rPr>
        <w:t>urden</w:t>
      </w:r>
      <w:r w:rsidRPr="008F5D26">
        <w:rPr>
          <w:bCs/>
        </w:rPr>
        <w:t xml:space="preserve"> </w:t>
      </w:r>
    </w:p>
    <w:p w:rsidR="00F60085" w:rsidP="00F60085" w14:paraId="5C4AFB8C" w14:textId="77777777">
      <w:pPr>
        <w:spacing w:after="200" w:line="276" w:lineRule="auto"/>
        <w:ind w:left="360"/>
        <w:contextualSpacing/>
        <w:rPr>
          <w:b/>
          <w:bCs/>
        </w:rPr>
      </w:pPr>
    </w:p>
    <w:p w:rsidR="00260CC8" w:rsidP="00F60085" w14:paraId="43A11B00" w14:textId="77777777">
      <w:pPr>
        <w:spacing w:after="200" w:line="276" w:lineRule="auto"/>
        <w:ind w:left="360"/>
        <w:contextualSpacing/>
        <w:rPr>
          <w:b/>
          <w:bCs/>
        </w:rPr>
      </w:pPr>
      <w:r w:rsidRPr="00260CC8">
        <w:rPr>
          <w:color w:val="000000"/>
        </w:rPr>
        <w:t xml:space="preserve">We estimate that participants selected for this study will spend approximately </w:t>
      </w:r>
      <w:r w:rsidR="00951A6C">
        <w:rPr>
          <w:color w:val="000000"/>
        </w:rPr>
        <w:t>75</w:t>
      </w:r>
      <w:r w:rsidRPr="00260CC8">
        <w:rPr>
          <w:color w:val="000000"/>
        </w:rPr>
        <w:t xml:space="preserve"> minutes of their time on this task, which includes time for </w:t>
      </w:r>
      <w:r w:rsidR="00951A6C">
        <w:rPr>
          <w:color w:val="000000"/>
        </w:rPr>
        <w:t xml:space="preserve">responding to the confirmation letter (1 minute), reminder (1 minute) and consent </w:t>
      </w:r>
      <w:r w:rsidRPr="00260CC8">
        <w:rPr>
          <w:color w:val="000000"/>
        </w:rPr>
        <w:t>(</w:t>
      </w:r>
      <w:r w:rsidR="00951A6C">
        <w:rPr>
          <w:color w:val="000000"/>
        </w:rPr>
        <w:t xml:space="preserve">3 </w:t>
      </w:r>
      <w:r w:rsidRPr="00260CC8">
        <w:rPr>
          <w:color w:val="000000"/>
        </w:rPr>
        <w:t>minutes), the time involved in logging in early to confirm the technology is operating correctly (</w:t>
      </w:r>
      <w:r w:rsidR="00951A6C">
        <w:rPr>
          <w:color w:val="000000"/>
        </w:rPr>
        <w:t xml:space="preserve">10 </w:t>
      </w:r>
      <w:r w:rsidRPr="00260CC8">
        <w:rPr>
          <w:color w:val="000000"/>
        </w:rPr>
        <w:t>minutes), and time to participate in the interview (</w:t>
      </w:r>
      <w:r w:rsidR="00951A6C">
        <w:rPr>
          <w:color w:val="000000"/>
        </w:rPr>
        <w:t>60 minutes</w:t>
      </w:r>
      <w:r w:rsidRPr="00260CC8">
        <w:rPr>
          <w:color w:val="000000"/>
        </w:rPr>
        <w:t>).</w:t>
      </w:r>
      <w:r w:rsidR="00216A5A">
        <w:rPr>
          <w:color w:val="000000"/>
        </w:rPr>
        <w:t xml:space="preserve">  The number of estimated </w:t>
      </w:r>
      <w:r w:rsidR="00216A5A">
        <w:rPr>
          <w:color w:val="000000"/>
        </w:rPr>
        <w:t>screening</w:t>
      </w:r>
      <w:r w:rsidR="00216A5A">
        <w:rPr>
          <w:color w:val="000000"/>
        </w:rPr>
        <w:t xml:space="preserve"> is based on the contractor’s recent </w:t>
      </w:r>
      <w:r w:rsidR="0074164C">
        <w:rPr>
          <w:color w:val="000000"/>
        </w:rPr>
        <w:t xml:space="preserve">recruiting </w:t>
      </w:r>
      <w:r w:rsidR="00216A5A">
        <w:rPr>
          <w:color w:val="000000"/>
        </w:rPr>
        <w:t>experience.</w:t>
      </w:r>
    </w:p>
    <w:p w:rsidR="00260CC8" w:rsidRPr="00F60085" w:rsidP="00F60085" w14:paraId="1695B37B" w14:textId="77777777">
      <w:pPr>
        <w:spacing w:after="200" w:line="276" w:lineRule="auto"/>
        <w:ind w:left="360"/>
        <w:contextualSpacing/>
        <w:rPr>
          <w:b/>
          <w:bCs/>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1"/>
        <w:gridCol w:w="1443"/>
        <w:gridCol w:w="1777"/>
        <w:gridCol w:w="1759"/>
      </w:tblGrid>
      <w:tr w14:paraId="2FC244C3" w14:textId="77777777" w:rsidTr="008F5D26">
        <w:tblPrEx>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4171" w:type="dxa"/>
            <w:shd w:val="clear" w:color="auto" w:fill="E7E6E6"/>
          </w:tcPr>
          <w:p w:rsidR="00133121" w:rsidRPr="00E760CD" w:rsidP="008F5D26" w14:paraId="08133F6B" w14:textId="77777777">
            <w:pPr>
              <w:rPr>
                <w:bCs/>
              </w:rPr>
            </w:pPr>
            <w:r>
              <w:rPr>
                <w:bCs/>
              </w:rPr>
              <w:t>Activity</w:t>
            </w:r>
          </w:p>
        </w:tc>
        <w:tc>
          <w:tcPr>
            <w:tcW w:w="1443" w:type="dxa"/>
            <w:shd w:val="clear" w:color="auto" w:fill="E7E6E6"/>
          </w:tcPr>
          <w:p w:rsidR="00133121" w:rsidRPr="00E760CD" w:rsidP="008F5D26" w14:paraId="65749528" w14:textId="77777777">
            <w:pPr>
              <w:rPr>
                <w:bCs/>
              </w:rPr>
            </w:pPr>
            <w:r w:rsidRPr="0061415E">
              <w:rPr>
                <w:bCs/>
              </w:rPr>
              <w:t>No. of Respondents</w:t>
            </w:r>
          </w:p>
        </w:tc>
        <w:tc>
          <w:tcPr>
            <w:tcW w:w="1777" w:type="dxa"/>
            <w:shd w:val="clear" w:color="auto" w:fill="E7E6E6"/>
          </w:tcPr>
          <w:p w:rsidR="00133121" w:rsidRPr="00E760CD" w:rsidP="008F5D26" w14:paraId="448AFC98" w14:textId="77777777">
            <w:pPr>
              <w:rPr>
                <w:bCs/>
              </w:rPr>
            </w:pPr>
            <w:r w:rsidRPr="0061415E">
              <w:rPr>
                <w:bCs/>
              </w:rPr>
              <w:t>Participation Time (minutes)</w:t>
            </w:r>
          </w:p>
        </w:tc>
        <w:tc>
          <w:tcPr>
            <w:tcW w:w="1759" w:type="dxa"/>
            <w:shd w:val="clear" w:color="auto" w:fill="E7E6E6"/>
          </w:tcPr>
          <w:p w:rsidR="00133121" w:rsidRPr="00E760CD" w:rsidP="008F5D26" w14:paraId="23091DA0" w14:textId="77777777">
            <w:pPr>
              <w:rPr>
                <w:bCs/>
              </w:rPr>
            </w:pPr>
            <w:r w:rsidRPr="0061415E">
              <w:rPr>
                <w:bCs/>
              </w:rPr>
              <w:t>Total Burden (hours)</w:t>
            </w:r>
          </w:p>
        </w:tc>
      </w:tr>
      <w:tr w14:paraId="5E6CFEE4" w14:textId="77777777" w:rsidTr="008F5D26">
        <w:tblPrEx>
          <w:tblW w:w="9150" w:type="dxa"/>
          <w:jc w:val="center"/>
          <w:tblLook w:val="01E0"/>
        </w:tblPrEx>
        <w:trPr>
          <w:cantSplit/>
          <w:jc w:val="center"/>
        </w:trPr>
        <w:tc>
          <w:tcPr>
            <w:tcW w:w="4171" w:type="dxa"/>
          </w:tcPr>
          <w:p w:rsidR="00F60085" w:rsidRPr="00E760CD" w:rsidP="008F5D26" w14:paraId="4AD4CB2D" w14:textId="77777777">
            <w:r w:rsidRPr="00E760CD">
              <w:t>Individual In-Depth Interview Screening</w:t>
            </w:r>
          </w:p>
        </w:tc>
        <w:tc>
          <w:tcPr>
            <w:tcW w:w="1443" w:type="dxa"/>
          </w:tcPr>
          <w:p w:rsidR="00F60085" w:rsidRPr="00E760CD" w:rsidP="008F5D26" w14:paraId="60834B1F" w14:textId="77777777">
            <w:r w:rsidRPr="00E760CD">
              <w:t>2</w:t>
            </w:r>
            <w:r w:rsidRPr="00E760CD">
              <w:t>,000</w:t>
            </w:r>
          </w:p>
        </w:tc>
        <w:tc>
          <w:tcPr>
            <w:tcW w:w="1777" w:type="dxa"/>
          </w:tcPr>
          <w:p w:rsidR="00F60085" w:rsidRPr="00E760CD" w:rsidP="008F5D26" w14:paraId="27E5D2EF" w14:textId="77777777">
            <w:r w:rsidRPr="00E760CD">
              <w:t>5</w:t>
            </w:r>
          </w:p>
        </w:tc>
        <w:tc>
          <w:tcPr>
            <w:tcW w:w="1759" w:type="dxa"/>
          </w:tcPr>
          <w:p w:rsidR="00F60085" w:rsidRPr="00E760CD" w:rsidP="008F5D26" w14:paraId="36D9D92A" w14:textId="77777777">
            <w:r w:rsidRPr="00E760CD">
              <w:t>167</w:t>
            </w:r>
          </w:p>
        </w:tc>
      </w:tr>
      <w:tr w14:paraId="3F78943D" w14:textId="77777777" w:rsidTr="008F5D26">
        <w:tblPrEx>
          <w:tblW w:w="9150" w:type="dxa"/>
          <w:jc w:val="center"/>
          <w:tblLook w:val="01E0"/>
        </w:tblPrEx>
        <w:trPr>
          <w:cantSplit/>
          <w:jc w:val="center"/>
        </w:trPr>
        <w:tc>
          <w:tcPr>
            <w:tcW w:w="4171" w:type="dxa"/>
          </w:tcPr>
          <w:p w:rsidR="00F60085" w:rsidRPr="00E760CD" w:rsidP="00BB115A" w14:paraId="167B5A7B" w14:textId="77777777">
            <w:r w:rsidRPr="00E760CD">
              <w:t>Individual In-Depth Interviews</w:t>
            </w:r>
          </w:p>
        </w:tc>
        <w:tc>
          <w:tcPr>
            <w:tcW w:w="1443" w:type="dxa"/>
          </w:tcPr>
          <w:p w:rsidR="00F60085" w:rsidRPr="00E760CD" w:rsidP="00BB115A" w14:paraId="154AD882" w14:textId="77777777">
            <w:r w:rsidRPr="00E760CD">
              <w:t>62</w:t>
            </w:r>
          </w:p>
        </w:tc>
        <w:tc>
          <w:tcPr>
            <w:tcW w:w="1777" w:type="dxa"/>
          </w:tcPr>
          <w:p w:rsidR="00F60085" w:rsidRPr="00E760CD" w:rsidP="00BB115A" w14:paraId="7360B310" w14:textId="77777777">
            <w:r w:rsidRPr="00E760CD">
              <w:t>75</w:t>
            </w:r>
          </w:p>
        </w:tc>
        <w:tc>
          <w:tcPr>
            <w:tcW w:w="1759" w:type="dxa"/>
          </w:tcPr>
          <w:p w:rsidR="00F60085" w:rsidRPr="00E760CD" w:rsidP="00BB115A" w14:paraId="5FC263B9" w14:textId="77777777">
            <w:r w:rsidRPr="00E760CD">
              <w:t>78</w:t>
            </w:r>
          </w:p>
        </w:tc>
      </w:tr>
      <w:tr w14:paraId="7BD01D63" w14:textId="77777777" w:rsidTr="008F5D26">
        <w:tblPrEx>
          <w:tblW w:w="9150" w:type="dxa"/>
          <w:jc w:val="center"/>
          <w:tblLook w:val="01E0"/>
        </w:tblPrEx>
        <w:trPr>
          <w:cantSplit/>
          <w:jc w:val="center"/>
        </w:trPr>
        <w:tc>
          <w:tcPr>
            <w:tcW w:w="4171" w:type="dxa"/>
          </w:tcPr>
          <w:p w:rsidR="00F60085" w:rsidRPr="00E760CD" w:rsidP="00BB115A" w14:paraId="0FDBAE72" w14:textId="77777777">
            <w:r w:rsidRPr="00E760CD">
              <w:t>TOTAL</w:t>
            </w:r>
            <w:r w:rsidRPr="00E760CD" w:rsidR="00133121">
              <w:t>S</w:t>
            </w:r>
            <w:r w:rsidRPr="00E760CD">
              <w:t xml:space="preserve"> </w:t>
            </w:r>
          </w:p>
        </w:tc>
        <w:tc>
          <w:tcPr>
            <w:tcW w:w="1443" w:type="dxa"/>
          </w:tcPr>
          <w:p w:rsidR="00F60085" w:rsidRPr="00E760CD" w:rsidP="00BB115A" w14:paraId="79C00D6C" w14:textId="77777777">
            <w:r>
              <w:t>2,0</w:t>
            </w:r>
            <w:r w:rsidR="00982989">
              <w:t>00</w:t>
            </w:r>
          </w:p>
        </w:tc>
        <w:tc>
          <w:tcPr>
            <w:tcW w:w="1777" w:type="dxa"/>
          </w:tcPr>
          <w:p w:rsidR="00F60085" w:rsidRPr="00E760CD" w:rsidP="00BB115A" w14:paraId="57CFE969" w14:textId="77777777">
            <w:r>
              <w:t>-</w:t>
            </w:r>
          </w:p>
        </w:tc>
        <w:tc>
          <w:tcPr>
            <w:tcW w:w="1759" w:type="dxa"/>
          </w:tcPr>
          <w:p w:rsidR="00F60085" w:rsidRPr="00E760CD" w:rsidP="00BB115A" w14:paraId="5E3A40AD" w14:textId="77777777">
            <w:r w:rsidRPr="00E760CD">
              <w:t>245</w:t>
            </w:r>
          </w:p>
        </w:tc>
      </w:tr>
    </w:tbl>
    <w:p w:rsidR="008F5D26" w:rsidP="00A17954" w14:paraId="7A04586C" w14:textId="77777777">
      <w:pPr>
        <w:pStyle w:val="ListParagraph"/>
        <w:widowControl w:val="0"/>
        <w:ind w:left="360"/>
        <w:contextualSpacing/>
        <w:rPr>
          <w:b/>
          <w:snapToGrid w:val="0"/>
        </w:rPr>
      </w:pPr>
    </w:p>
    <w:p w:rsidR="0061415E" w:rsidRPr="0061415E" w:rsidP="00A53697" w14:paraId="13C11203" w14:textId="77777777">
      <w:pPr>
        <w:pStyle w:val="ListParagraph"/>
        <w:widowControl w:val="0"/>
        <w:numPr>
          <w:ilvl w:val="0"/>
          <w:numId w:val="20"/>
        </w:numPr>
        <w:contextualSpacing/>
        <w:rPr>
          <w:u w:val="single"/>
        </w:rPr>
      </w:pPr>
      <w:r w:rsidRPr="0061415E">
        <w:rPr>
          <w:bCs/>
          <w:snapToGrid w:val="0"/>
          <w:u w:val="single"/>
        </w:rPr>
        <w:t>Date(s) to be Conducted</w:t>
      </w:r>
    </w:p>
    <w:p w:rsidR="0061415E" w:rsidP="0061415E" w14:paraId="70DCAA6B" w14:textId="77777777">
      <w:pPr>
        <w:pStyle w:val="ListParagraph"/>
        <w:widowControl w:val="0"/>
        <w:ind w:left="360"/>
        <w:contextualSpacing/>
      </w:pPr>
      <w:bookmarkStart w:id="8" w:name="_Hlk25234637"/>
    </w:p>
    <w:p w:rsidR="008E61CF" w:rsidP="0061415E" w14:paraId="5C82C6F3" w14:textId="77777777">
      <w:pPr>
        <w:pStyle w:val="ListParagraph"/>
        <w:widowControl w:val="0"/>
        <w:ind w:left="360"/>
        <w:contextualSpacing/>
      </w:pPr>
      <w:r>
        <w:t xml:space="preserve">Starting from four weeks after OMB clearance. </w:t>
      </w:r>
    </w:p>
    <w:bookmarkEnd w:id="8"/>
    <w:p w:rsidR="008E61CF" w:rsidRPr="008E61CF" w:rsidP="008E61CF" w14:paraId="201750B0" w14:textId="77777777">
      <w:pPr>
        <w:pStyle w:val="ListParagraph"/>
        <w:widowControl w:val="0"/>
        <w:ind w:left="360"/>
        <w:rPr>
          <w:snapToGrid w:val="0"/>
        </w:rPr>
      </w:pPr>
    </w:p>
    <w:p w:rsidR="0061415E" w:rsidRPr="0061415E" w:rsidP="008E61CF" w14:paraId="397F45CE" w14:textId="77777777">
      <w:pPr>
        <w:numPr>
          <w:ilvl w:val="0"/>
          <w:numId w:val="20"/>
        </w:numPr>
        <w:spacing w:after="200" w:line="276" w:lineRule="auto"/>
        <w:contextualSpacing/>
        <w:rPr>
          <w:u w:val="single"/>
        </w:rPr>
      </w:pPr>
      <w:bookmarkStart w:id="9" w:name="_Hlk25234789"/>
      <w:r w:rsidRPr="0061415E">
        <w:rPr>
          <w:bCs/>
          <w:u w:val="single"/>
        </w:rPr>
        <w:t>R</w:t>
      </w:r>
      <w:r w:rsidRPr="0061415E" w:rsidR="00EF2C89">
        <w:rPr>
          <w:bCs/>
          <w:u w:val="single"/>
        </w:rPr>
        <w:t>equested Approval Date</w:t>
      </w:r>
    </w:p>
    <w:p w:rsidR="0061415E" w:rsidP="0061415E" w14:paraId="62A5CFD1" w14:textId="77777777">
      <w:pPr>
        <w:spacing w:after="200" w:line="276" w:lineRule="auto"/>
        <w:ind w:left="360"/>
        <w:contextualSpacing/>
        <w:rPr>
          <w:bCs/>
        </w:rPr>
      </w:pPr>
    </w:p>
    <w:p w:rsidR="008E61CF" w:rsidRPr="008E61CF" w:rsidP="0061415E" w14:paraId="0E2278EB" w14:textId="08041C59">
      <w:pPr>
        <w:spacing w:after="200" w:line="276" w:lineRule="auto"/>
        <w:ind w:left="360"/>
        <w:contextualSpacing/>
      </w:pPr>
      <w:r>
        <w:rPr>
          <w:rFonts w:eastAsia="Calibri"/>
        </w:rPr>
        <w:t xml:space="preserve">October </w:t>
      </w:r>
      <w:r w:rsidR="00214B77">
        <w:rPr>
          <w:rFonts w:eastAsia="Calibri"/>
        </w:rPr>
        <w:t>2</w:t>
      </w:r>
      <w:r w:rsidR="00137D8A">
        <w:rPr>
          <w:rFonts w:eastAsia="Calibri"/>
        </w:rPr>
        <w:t>3</w:t>
      </w:r>
      <w:r w:rsidR="00133121">
        <w:rPr>
          <w:rFonts w:eastAsia="Calibri"/>
        </w:rPr>
        <w:t>, 2023</w:t>
      </w:r>
    </w:p>
    <w:p w:rsidR="008E61CF" w:rsidRPr="008E61CF" w:rsidP="008E61CF" w14:paraId="5B8589BD" w14:textId="77777777">
      <w:pPr>
        <w:rPr>
          <w:b/>
        </w:rPr>
      </w:pPr>
    </w:p>
    <w:p w:rsidR="008E61CF" w:rsidRPr="0061415E" w:rsidP="008E61CF" w14:paraId="2D02049B" w14:textId="77777777">
      <w:pPr>
        <w:numPr>
          <w:ilvl w:val="0"/>
          <w:numId w:val="20"/>
        </w:numPr>
        <w:spacing w:after="200" w:line="276" w:lineRule="auto"/>
        <w:contextualSpacing/>
        <w:rPr>
          <w:bCs/>
          <w:u w:val="single"/>
        </w:rPr>
      </w:pPr>
      <w:r w:rsidRPr="0061415E">
        <w:rPr>
          <w:bCs/>
          <w:u w:val="single"/>
        </w:rPr>
        <w:t>FD</w:t>
      </w:r>
      <w:r w:rsidRPr="0061415E" w:rsidR="00EF2C89">
        <w:rPr>
          <w:bCs/>
          <w:u w:val="single"/>
        </w:rPr>
        <w:t>A Contact</w:t>
      </w:r>
      <w:r w:rsidRPr="0061415E" w:rsidR="0061415E">
        <w:rPr>
          <w:bCs/>
          <w:u w:val="single"/>
        </w:rPr>
        <w:t>s</w:t>
      </w:r>
    </w:p>
    <w:p w:rsidR="008E61CF" w:rsidRPr="008E61CF" w:rsidP="008E61CF" w14:paraId="41778C32"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3"/>
        <w:gridCol w:w="4500"/>
      </w:tblGrid>
      <w:tr w14:paraId="314B7F4B" w14:textId="77777777" w:rsidTr="00C75D8D">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93" w:type="dxa"/>
            <w:shd w:val="clear" w:color="auto" w:fill="auto"/>
          </w:tcPr>
          <w:p w:rsidR="008E61CF" w:rsidRPr="008E61CF" w:rsidP="008E61CF" w14:paraId="224A247F" w14:textId="77777777">
            <w:pPr>
              <w:rPr>
                <w:rFonts w:eastAsia="Calibri"/>
                <w:bCs/>
              </w:rPr>
            </w:pPr>
            <w:r w:rsidRPr="008E61CF">
              <w:rPr>
                <w:rFonts w:eastAsia="Calibri"/>
                <w:bCs/>
              </w:rPr>
              <w:t>Program Office Contact</w:t>
            </w:r>
          </w:p>
        </w:tc>
        <w:tc>
          <w:tcPr>
            <w:tcW w:w="4500" w:type="dxa"/>
            <w:shd w:val="clear" w:color="auto" w:fill="auto"/>
          </w:tcPr>
          <w:p w:rsidR="008E61CF" w:rsidRPr="008E61CF" w:rsidP="008E61CF" w14:paraId="1166D6CF" w14:textId="77777777">
            <w:pPr>
              <w:rPr>
                <w:rFonts w:eastAsia="Calibri"/>
                <w:bCs/>
              </w:rPr>
            </w:pPr>
            <w:r w:rsidRPr="008E61CF">
              <w:rPr>
                <w:rFonts w:eastAsia="Calibri"/>
                <w:bCs/>
              </w:rPr>
              <w:t>FDA PRA Contact</w:t>
            </w:r>
          </w:p>
        </w:tc>
      </w:tr>
      <w:tr w14:paraId="418299FA" w14:textId="77777777" w:rsidTr="00C75D8D">
        <w:tblPrEx>
          <w:tblW w:w="0" w:type="auto"/>
          <w:tblInd w:w="355" w:type="dxa"/>
          <w:tblLook w:val="04A0"/>
        </w:tblPrEx>
        <w:tc>
          <w:tcPr>
            <w:tcW w:w="4793" w:type="dxa"/>
            <w:shd w:val="clear" w:color="auto" w:fill="auto"/>
          </w:tcPr>
          <w:p w:rsidR="00133121" w:rsidRPr="00133121" w:rsidP="00133121" w14:paraId="385F2DA6" w14:textId="77777777">
            <w:pPr>
              <w:rPr>
                <w:rFonts w:eastAsia="Calibri"/>
              </w:rPr>
            </w:pPr>
            <w:r w:rsidRPr="00133121">
              <w:rPr>
                <w:rFonts w:eastAsia="Calibri"/>
              </w:rPr>
              <w:t>Chung-Tung Jordan Lin</w:t>
            </w:r>
            <w:r>
              <w:rPr>
                <w:rFonts w:eastAsia="Calibri"/>
              </w:rPr>
              <w:t>,</w:t>
            </w:r>
          </w:p>
          <w:p w:rsidR="00095EF6" w:rsidP="00133121" w14:paraId="36670522" w14:textId="77777777">
            <w:pPr>
              <w:rPr>
                <w:rFonts w:eastAsia="Calibri"/>
              </w:rPr>
            </w:pPr>
            <w:hyperlink r:id="rId6" w:history="1">
              <w:r w:rsidRPr="007616D4">
                <w:rPr>
                  <w:rStyle w:val="Hyperlink"/>
                  <w:rFonts w:eastAsia="Calibri"/>
                </w:rPr>
                <w:t>Chung-Tung.Lin@fda.hhs.gov</w:t>
              </w:r>
            </w:hyperlink>
          </w:p>
          <w:p w:rsidR="00133121" w:rsidP="00133121" w14:paraId="293CBC4D" w14:textId="77777777">
            <w:pPr>
              <w:rPr>
                <w:rFonts w:eastAsia="Calibri"/>
              </w:rPr>
            </w:pPr>
            <w:r>
              <w:rPr>
                <w:rFonts w:eastAsia="Calibri"/>
              </w:rPr>
              <w:t>Office of Analytics and Outreach</w:t>
            </w:r>
            <w:r w:rsidRPr="00133121">
              <w:rPr>
                <w:rFonts w:eastAsia="Calibri"/>
              </w:rPr>
              <w:t xml:space="preserve"> </w:t>
            </w:r>
          </w:p>
          <w:p w:rsidR="0061415E" w:rsidRPr="0061415E" w:rsidP="0061415E" w14:paraId="1A108C60" w14:textId="77777777">
            <w:pPr>
              <w:rPr>
                <w:rFonts w:eastAsia="Calibri"/>
              </w:rPr>
            </w:pPr>
            <w:r>
              <w:rPr>
                <w:rFonts w:eastAsia="Calibri"/>
              </w:rPr>
              <w:t>Center for Food Safety and Applied Nutrition</w:t>
            </w:r>
          </w:p>
        </w:tc>
        <w:tc>
          <w:tcPr>
            <w:tcW w:w="4500" w:type="dxa"/>
            <w:shd w:val="clear" w:color="auto" w:fill="auto"/>
          </w:tcPr>
          <w:p w:rsidR="00133121" w:rsidRPr="00133121" w:rsidP="00133121" w14:paraId="07E5ED69" w14:textId="7F6A27B6">
            <w:pPr>
              <w:rPr>
                <w:rFonts w:eastAsia="Calibri"/>
              </w:rPr>
            </w:pPr>
            <w:r>
              <w:rPr>
                <w:rFonts w:eastAsia="Calibri"/>
              </w:rPr>
              <w:t xml:space="preserve">Rachel Showalter, </w:t>
            </w:r>
            <w:hyperlink r:id="rId7" w:history="1">
              <w:r w:rsidRPr="001B69EC" w:rsidR="00B07E6F">
                <w:rPr>
                  <w:rStyle w:val="Hyperlink"/>
                  <w:rFonts w:eastAsia="Calibri"/>
                </w:rPr>
                <w:t>Rachel.Showalter@fda.hhs.gov</w:t>
              </w:r>
            </w:hyperlink>
            <w:r w:rsidR="00B07E6F">
              <w:rPr>
                <w:rFonts w:eastAsia="Calibri"/>
              </w:rPr>
              <w:t xml:space="preserve"> </w:t>
            </w:r>
          </w:p>
          <w:p w:rsidR="0061415E" w:rsidP="00133121" w14:paraId="1AD180E8" w14:textId="77777777">
            <w:pPr>
              <w:rPr>
                <w:rFonts w:eastAsia="Calibri"/>
                <w:bCs/>
              </w:rPr>
            </w:pPr>
            <w:r>
              <w:rPr>
                <w:rFonts w:eastAsia="Calibri"/>
                <w:bCs/>
              </w:rPr>
              <w:t>Paperwork Reduction Act Staff</w:t>
            </w:r>
            <w:r>
              <w:rPr>
                <w:rFonts w:eastAsia="Calibri"/>
                <w:bCs/>
              </w:rPr>
              <w:br/>
              <w:t>Office of Enterprise Management Services</w:t>
            </w:r>
          </w:p>
          <w:p w:rsidR="0061415E" w:rsidRPr="008E61CF" w:rsidP="0061415E" w14:paraId="724AFAC0" w14:textId="77777777">
            <w:pPr>
              <w:rPr>
                <w:rFonts w:eastAsia="Calibri"/>
                <w:bCs/>
              </w:rPr>
            </w:pPr>
            <w:r>
              <w:rPr>
                <w:rFonts w:eastAsia="Calibri"/>
                <w:bCs/>
              </w:rPr>
              <w:t>Office of Operations</w:t>
            </w:r>
          </w:p>
        </w:tc>
      </w:tr>
      <w:bookmarkEnd w:id="9"/>
    </w:tbl>
    <w:p w:rsidR="008E61CF" w:rsidRPr="008E61CF" w:rsidP="008E61CF" w14:paraId="4A59D9F8" w14:textId="77777777"/>
    <w:sectPr w:rsidSect="00A17954">
      <w:footerReference w:type="default" r:id="rId8"/>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AEE" w14:paraId="3B89D60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137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7005" w14:paraId="740BEA3D" w14:textId="77777777">
      <w:r>
        <w:separator/>
      </w:r>
    </w:p>
  </w:footnote>
  <w:footnote w:type="continuationSeparator" w:id="1">
    <w:p w:rsidR="007B7005" w14:paraId="3924E058" w14:textId="77777777">
      <w:r>
        <w:continuationSeparator/>
      </w:r>
    </w:p>
  </w:footnote>
  <w:footnote w:id="2">
    <w:p w:rsidR="003B5353" w:rsidRPr="003B5353" w14:paraId="6F54BF06" w14:textId="77777777">
      <w:pPr>
        <w:pStyle w:val="FootnoteText"/>
        <w:rPr>
          <w:rFonts w:ascii="Times New Roman" w:hAnsi="Times New Roman"/>
        </w:rPr>
      </w:pPr>
      <w:r w:rsidRPr="003B5353">
        <w:rPr>
          <w:rStyle w:val="FootnoteReference"/>
          <w:rFonts w:ascii="Times New Roman" w:hAnsi="Times New Roman"/>
        </w:rPr>
        <w:footnoteRef/>
      </w:r>
      <w:r w:rsidRPr="003B5353">
        <w:rPr>
          <w:rFonts w:ascii="Times New Roman" w:hAnsi="Times New Roman"/>
        </w:rPr>
        <w:t xml:space="preserve"> Lin, C. T. J. (2008). How do consumers interpret health messages on food labels? Nutrition Today, 43(6), 267-272.</w:t>
      </w:r>
    </w:p>
  </w:footnote>
  <w:footnote w:id="3">
    <w:p w:rsidR="0067005D" w:rsidRPr="0067005D" w14:paraId="21314676" w14:textId="77777777">
      <w:pPr>
        <w:pStyle w:val="FootnoteText"/>
        <w:rPr>
          <w:rFonts w:ascii="Times New Roman" w:hAnsi="Times New Roman"/>
        </w:rPr>
      </w:pPr>
      <w:r w:rsidRPr="003B5353">
        <w:rPr>
          <w:rStyle w:val="FootnoteReference"/>
          <w:rFonts w:ascii="Times New Roman" w:hAnsi="Times New Roman"/>
        </w:rPr>
        <w:footnoteRef/>
      </w:r>
      <w:r w:rsidRPr="0067005D">
        <w:rPr>
          <w:rFonts w:ascii="Times New Roman" w:hAnsi="Times New Roman"/>
        </w:rPr>
        <w:t xml:space="preserve"> Williams, P. (2005). Consumer understanding and use of health claims for foods. Nutrition reviews, 63(7), 256-264.</w:t>
      </w:r>
    </w:p>
  </w:footnote>
  <w:footnote w:id="4">
    <w:p w:rsidR="005B5DB8" w:rsidRPr="00866397" w14:paraId="7A68EB50" w14:textId="77777777">
      <w:pPr>
        <w:pStyle w:val="FootnoteText"/>
        <w:rPr>
          <w:rFonts w:ascii="Times New Roman" w:hAnsi="Times New Roman"/>
        </w:rPr>
      </w:pPr>
      <w:r>
        <w:rPr>
          <w:rStyle w:val="FootnoteReference"/>
        </w:rPr>
        <w:footnoteRef/>
      </w:r>
      <w:r>
        <w:t xml:space="preserve"> </w:t>
      </w:r>
      <w:r w:rsidRPr="00866397">
        <w:rPr>
          <w:rFonts w:ascii="Times New Roman" w:hAnsi="Times New Roman"/>
        </w:rPr>
        <w:t xml:space="preserve">For example, </w:t>
      </w:r>
      <w:hyperlink r:id="rId1" w:history="1">
        <w:r w:rsidRPr="00CD48CB" w:rsidR="00305096">
          <w:rPr>
            <w:rStyle w:val="Hyperlink"/>
            <w:rFonts w:ascii="Times New Roman" w:hAnsi="Times New Roman"/>
          </w:rPr>
          <w:t>https://www.fda.gov/news-events/press-announcements/fda-launches-new-dietary-supplement-education-initiative-consumers-educators-and-healthcare</w:t>
        </w:r>
      </w:hyperlink>
      <w:r w:rsidRPr="00866397">
        <w:rPr>
          <w:rFonts w:ascii="Times New Roman" w:hAnsi="Times New Roman"/>
        </w:rPr>
        <w:t>.</w:t>
      </w:r>
    </w:p>
  </w:footnote>
  <w:footnote w:id="5">
    <w:p w:rsidR="00CD4C89" w:rsidRPr="00866397" w:rsidP="00CD4C89" w14:paraId="26186316" w14:textId="77777777">
      <w:pPr>
        <w:pStyle w:val="FootnoteText"/>
        <w:rPr>
          <w:rFonts w:ascii="Times New Roman" w:hAnsi="Times New Roman"/>
        </w:rPr>
      </w:pPr>
      <w:r w:rsidRPr="00866397">
        <w:rPr>
          <w:rStyle w:val="FootnoteReference"/>
          <w:rFonts w:ascii="Times New Roman" w:hAnsi="Times New Roman"/>
        </w:rPr>
        <w:footnoteRef/>
      </w:r>
      <w:r w:rsidRPr="00866397">
        <w:rPr>
          <w:rFonts w:ascii="Times New Roman" w:hAnsi="Times New Roman"/>
        </w:rPr>
        <w:t xml:space="preserve"> Mishra, S., </w:t>
      </w:r>
      <w:r w:rsidRPr="00866397">
        <w:rPr>
          <w:rFonts w:ascii="Times New Roman" w:hAnsi="Times New Roman"/>
        </w:rPr>
        <w:t>Stierman</w:t>
      </w:r>
      <w:r w:rsidRPr="00866397">
        <w:rPr>
          <w:rFonts w:ascii="Times New Roman" w:hAnsi="Times New Roman"/>
        </w:rPr>
        <w:t xml:space="preserve">, B., </w:t>
      </w:r>
      <w:r w:rsidRPr="00866397">
        <w:rPr>
          <w:rFonts w:ascii="Times New Roman" w:hAnsi="Times New Roman"/>
        </w:rPr>
        <w:t>Gahche</w:t>
      </w:r>
      <w:r w:rsidRPr="00866397">
        <w:rPr>
          <w:rFonts w:ascii="Times New Roman" w:hAnsi="Times New Roman"/>
        </w:rPr>
        <w:t xml:space="preserve">, J. J., &amp; </w:t>
      </w:r>
      <w:r w:rsidRPr="00866397">
        <w:rPr>
          <w:rFonts w:ascii="Times New Roman" w:hAnsi="Times New Roman"/>
        </w:rPr>
        <w:t>Potischman</w:t>
      </w:r>
      <w:r w:rsidRPr="00866397">
        <w:rPr>
          <w:rFonts w:ascii="Times New Roman" w:hAnsi="Times New Roman"/>
        </w:rPr>
        <w:t>, N. (2021). Dietary supplement use among adults: United States, 2017–2018. Centers for Disease Control and Prevention, NCHS Data Brief No. 399.</w:t>
      </w:r>
    </w:p>
  </w:footnote>
  <w:footnote w:id="6">
    <w:p w:rsidR="00CD4C89" w:rsidP="00CD4C89" w14:paraId="109E02C2" w14:textId="77777777">
      <w:pPr>
        <w:pStyle w:val="FootnoteText"/>
      </w:pPr>
      <w:r w:rsidRPr="00866397">
        <w:rPr>
          <w:rStyle w:val="FootnoteReference"/>
          <w:rFonts w:ascii="Times New Roman" w:hAnsi="Times New Roman"/>
        </w:rPr>
        <w:footnoteRef/>
      </w:r>
      <w:r w:rsidRPr="00866397">
        <w:rPr>
          <w:rFonts w:ascii="Times New Roman" w:hAnsi="Times New Roman"/>
        </w:rPr>
        <w:t xml:space="preserve"> Boersma, P., Black, L.I., &amp; Ward, B.W. (2020).  Prevalence of Multiple Chronic Conditions Among US Adults, 2018.  Preventing Chronic Disease, 17:200130.</w:t>
      </w:r>
      <w:r>
        <w:t xml:space="preserve"> </w:t>
      </w:r>
    </w:p>
  </w:footnote>
  <w:footnote w:id="7">
    <w:p w:rsidR="00F60085" w:rsidRPr="00866397" w:rsidP="00F60085" w14:paraId="18DC960F" w14:textId="77777777">
      <w:pPr>
        <w:pStyle w:val="FootnoteText"/>
        <w:rPr>
          <w:rFonts w:ascii="Times New Roman" w:hAnsi="Times New Roman"/>
        </w:rPr>
      </w:pPr>
      <w:r w:rsidRPr="00866397">
        <w:rPr>
          <w:rStyle w:val="FootnoteReference"/>
          <w:rFonts w:ascii="Times New Roman" w:hAnsi="Times New Roman"/>
        </w:rPr>
        <w:footnoteRef/>
      </w:r>
      <w:r w:rsidRPr="00866397">
        <w:rPr>
          <w:rFonts w:ascii="Times New Roman" w:hAnsi="Times New Roman"/>
        </w:rPr>
        <w:t xml:space="preserve"> </w:t>
      </w:r>
      <w:hyperlink r:id="rId2" w:history="1">
        <w:r w:rsidRPr="00866397" w:rsidR="00AF4615">
          <w:rPr>
            <w:rStyle w:val="Hyperlink"/>
            <w:rFonts w:ascii="Times New Roman" w:hAnsi="Times New Roman"/>
          </w:rPr>
          <w:t>https://www.bls.gov/news.release/empsit.t19.htm</w:t>
        </w:r>
      </w:hyperlink>
      <w:r w:rsidR="008F5D26">
        <w:rPr>
          <w:rFonts w:ascii="Times New Roman" w:hAnsi="Times New Roman"/>
        </w:rPr>
        <w:t>, Table B-3</w:t>
      </w:r>
      <w:r w:rsidRPr="00866397">
        <w:rPr>
          <w:rFonts w:ascii="Times New Roman" w:hAnsi="Times New Roman"/>
        </w:rPr>
        <w:t>.</w:t>
      </w:r>
    </w:p>
  </w:footnote>
  <w:footnote w:id="8">
    <w:p w:rsidR="00F60085" w:rsidRPr="00866397" w:rsidP="00F60085" w14:paraId="61757F29" w14:textId="77777777">
      <w:pPr>
        <w:pStyle w:val="FootnoteText"/>
        <w:rPr>
          <w:rFonts w:ascii="Times New Roman" w:hAnsi="Times New Roman"/>
        </w:rPr>
      </w:pPr>
      <w:r w:rsidRPr="00866397">
        <w:rPr>
          <w:rStyle w:val="FootnoteReference"/>
          <w:rFonts w:ascii="Times New Roman" w:hAnsi="Times New Roman"/>
        </w:rPr>
        <w:footnoteRef/>
      </w:r>
      <w:r w:rsidRPr="00866397">
        <w:rPr>
          <w:rFonts w:ascii="Times New Roman" w:hAnsi="Times New Roman"/>
        </w:rPr>
        <w:t xml:space="preserve"> </w:t>
      </w:r>
      <w:hyperlink r:id="rId3" w:history="1">
        <w:r w:rsidRPr="00866397" w:rsidR="00AF4615">
          <w:rPr>
            <w:rStyle w:val="Hyperlink"/>
            <w:rFonts w:ascii="Times New Roman" w:hAnsi="Times New Roman"/>
          </w:rPr>
          <w:t>https://www.bls.gov/oes/current/oes399011.htm</w:t>
        </w:r>
      </w:hyperlink>
      <w:r w:rsidR="008F5D26">
        <w:rPr>
          <w:rFonts w:ascii="Times New Roman" w:hAnsi="Times New Roman"/>
        </w:rPr>
        <w:t>, “</w:t>
      </w:r>
      <w:r w:rsidRPr="008F5D26" w:rsidR="008F5D26">
        <w:rPr>
          <w:rFonts w:ascii="Times New Roman" w:hAnsi="Times New Roman"/>
        </w:rPr>
        <w:t>National estimates for Childcare Workers</w:t>
      </w:r>
      <w:r w:rsidR="008F5D26">
        <w:rPr>
          <w:rFonts w:ascii="Times New Roman" w:hAnsi="Times New Roman"/>
        </w:rPr>
        <w:t>” under “</w:t>
      </w:r>
      <w:r w:rsidRPr="008F5D26" w:rsidR="008F5D26">
        <w:rPr>
          <w:rFonts w:ascii="Times New Roman" w:hAnsi="Times New Roman"/>
        </w:rPr>
        <w:t>39-9011 Childcare Workers</w:t>
      </w:r>
      <w:r w:rsidRPr="00866397">
        <w:rPr>
          <w:rFonts w:ascii="Times New Roman" w:hAnsi="Times New Roman"/>
        </w:rPr>
        <w:t>.</w:t>
      </w:r>
      <w:r w:rsidR="008F5D26">
        <w:rPr>
          <w:rFonts w:ascii="Times New Roman" w:hAnsi="Times New Roman"/>
        </w:rPr>
        <w:t>”</w:t>
      </w:r>
    </w:p>
  </w:footnote>
  <w:footnote w:id="9">
    <w:p w:rsidR="00F60085" w:rsidP="00F60085" w14:paraId="739C2D32" w14:textId="77777777">
      <w:pPr>
        <w:pStyle w:val="FootnoteText"/>
      </w:pPr>
      <w:r w:rsidRPr="00866397">
        <w:rPr>
          <w:rStyle w:val="FootnoteReference"/>
          <w:rFonts w:ascii="Times New Roman" w:hAnsi="Times New Roman"/>
        </w:rPr>
        <w:footnoteRef/>
      </w:r>
      <w:r w:rsidRPr="00866397">
        <w:rPr>
          <w:rFonts w:ascii="Times New Roman" w:hAnsi="Times New Roman"/>
        </w:rPr>
        <w:t xml:space="preserve"> American Association for Public Opinion Research Task Force on Survey Refusals. (2014).  Current Knowledge and Considerations Regarding Survey Refusals.  </w:t>
      </w:r>
      <w:r w:rsidR="00C12094">
        <w:rPr>
          <w:rFonts w:ascii="Times New Roman" w:hAnsi="Times New Roman"/>
        </w:rPr>
        <w:t xml:space="preserve">  </w:t>
      </w:r>
      <w:hyperlink r:id="rId4" w:history="1">
        <w:r w:rsidRPr="00CD48CB" w:rsidR="006A3B63">
          <w:rPr>
            <w:rStyle w:val="Hyperlink"/>
            <w:rFonts w:ascii="Times New Roman" w:hAnsi="Times New Roman"/>
          </w:rPr>
          <w:t>https://aapor.org/wp-content/uploads/2022/11/RefusalTF_FINAL090814.pdf</w:t>
        </w:r>
      </w:hyperlink>
      <w:r w:rsidR="006A3B6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203601E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0704AE8"/>
    <w:multiLevelType w:val="hybridMultilevel"/>
    <w:tmpl w:val="D5D021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9D55CF"/>
    <w:multiLevelType w:val="hybridMultilevel"/>
    <w:tmpl w:val="CAA820EE"/>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10">
    <w:nsid w:val="23202BC7"/>
    <w:multiLevelType w:val="hybridMultilevel"/>
    <w:tmpl w:val="F4C487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3">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12B25C6"/>
    <w:multiLevelType w:val="hybridMultilevel"/>
    <w:tmpl w:val="A18E48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6460EEF"/>
    <w:multiLevelType w:val="hybridMultilevel"/>
    <w:tmpl w:val="4A2627E4"/>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6B7374E1"/>
    <w:multiLevelType w:val="hybridMultilevel"/>
    <w:tmpl w:val="34923AA0"/>
    <w:lvl w:ilvl="0">
      <w:start w:val="1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4">
    <w:nsid w:val="74A94754"/>
    <w:multiLevelType w:val="hybridMultilevel"/>
    <w:tmpl w:val="50AE807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90055813">
    <w:abstractNumId w:val="16"/>
  </w:num>
  <w:num w:numId="2" w16cid:durableId="1806462746">
    <w:abstractNumId w:val="26"/>
  </w:num>
  <w:num w:numId="3" w16cid:durableId="281116203">
    <w:abstractNumId w:val="25"/>
  </w:num>
  <w:num w:numId="4" w16cid:durableId="2062513908">
    <w:abstractNumId w:val="27"/>
  </w:num>
  <w:num w:numId="5" w16cid:durableId="1183281032">
    <w:abstractNumId w:val="6"/>
  </w:num>
  <w:num w:numId="6" w16cid:durableId="1981570384">
    <w:abstractNumId w:val="2"/>
  </w:num>
  <w:num w:numId="7" w16cid:durableId="2119063756">
    <w:abstractNumId w:val="14"/>
  </w:num>
  <w:num w:numId="8" w16cid:durableId="1612513356">
    <w:abstractNumId w:val="21"/>
  </w:num>
  <w:num w:numId="9" w16cid:durableId="543759531">
    <w:abstractNumId w:val="15"/>
  </w:num>
  <w:num w:numId="10" w16cid:durableId="276762237">
    <w:abstractNumId w:val="3"/>
  </w:num>
  <w:num w:numId="11" w16cid:durableId="45496357">
    <w:abstractNumId w:val="8"/>
  </w:num>
  <w:num w:numId="12" w16cid:durableId="804737425">
    <w:abstractNumId w:val="11"/>
  </w:num>
  <w:num w:numId="13" w16cid:durableId="2111704295">
    <w:abstractNumId w:val="1"/>
  </w:num>
  <w:num w:numId="14" w16cid:durableId="898906737">
    <w:abstractNumId w:val="13"/>
  </w:num>
  <w:num w:numId="15" w16cid:durableId="1318460548">
    <w:abstractNumId w:val="23"/>
  </w:num>
  <w:num w:numId="16" w16cid:durableId="828330041">
    <w:abstractNumId w:val="18"/>
  </w:num>
  <w:num w:numId="17" w16cid:durableId="1765301475">
    <w:abstractNumId w:val="0"/>
  </w:num>
  <w:num w:numId="18" w16cid:durableId="1196384593">
    <w:abstractNumId w:val="12"/>
  </w:num>
  <w:num w:numId="19" w16cid:durableId="990672501">
    <w:abstractNumId w:val="9"/>
  </w:num>
  <w:num w:numId="20" w16cid:durableId="1038505660">
    <w:abstractNumId w:val="4"/>
  </w:num>
  <w:num w:numId="21" w16cid:durableId="872811173">
    <w:abstractNumId w:val="22"/>
  </w:num>
  <w:num w:numId="22" w16cid:durableId="2084175916">
    <w:abstractNumId w:val="7"/>
  </w:num>
  <w:num w:numId="23" w16cid:durableId="1404571370">
    <w:abstractNumId w:val="24"/>
  </w:num>
  <w:num w:numId="24" w16cid:durableId="1815877017">
    <w:abstractNumId w:val="20"/>
  </w:num>
  <w:num w:numId="25" w16cid:durableId="941913187">
    <w:abstractNumId w:val="19"/>
  </w:num>
  <w:num w:numId="26" w16cid:durableId="992829985">
    <w:abstractNumId w:val="5"/>
  </w:num>
  <w:num w:numId="27" w16cid:durableId="1270968213">
    <w:abstractNumId w:val="17"/>
  </w:num>
  <w:num w:numId="28" w16cid:durableId="1750227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452A"/>
    <w:rsid w:val="00005D48"/>
    <w:rsid w:val="00012ABB"/>
    <w:rsid w:val="00022D4D"/>
    <w:rsid w:val="00035B5C"/>
    <w:rsid w:val="0004382B"/>
    <w:rsid w:val="000647A7"/>
    <w:rsid w:val="00066F8D"/>
    <w:rsid w:val="0009475B"/>
    <w:rsid w:val="00095EF6"/>
    <w:rsid w:val="000A04FC"/>
    <w:rsid w:val="000A525C"/>
    <w:rsid w:val="000C386B"/>
    <w:rsid w:val="000D1209"/>
    <w:rsid w:val="000D2750"/>
    <w:rsid w:val="000E7C99"/>
    <w:rsid w:val="000F1CDA"/>
    <w:rsid w:val="000F7784"/>
    <w:rsid w:val="001001DB"/>
    <w:rsid w:val="00100276"/>
    <w:rsid w:val="001153EE"/>
    <w:rsid w:val="00121716"/>
    <w:rsid w:val="00123946"/>
    <w:rsid w:val="00126D06"/>
    <w:rsid w:val="00132EF8"/>
    <w:rsid w:val="00133121"/>
    <w:rsid w:val="00137D8A"/>
    <w:rsid w:val="00140343"/>
    <w:rsid w:val="0014404F"/>
    <w:rsid w:val="00156E2F"/>
    <w:rsid w:val="001626D7"/>
    <w:rsid w:val="00172A6E"/>
    <w:rsid w:val="00174C80"/>
    <w:rsid w:val="00186F9C"/>
    <w:rsid w:val="00190AA2"/>
    <w:rsid w:val="00193F12"/>
    <w:rsid w:val="001A68F4"/>
    <w:rsid w:val="001B4575"/>
    <w:rsid w:val="001B69EC"/>
    <w:rsid w:val="001C0117"/>
    <w:rsid w:val="001D19B4"/>
    <w:rsid w:val="001E0F4E"/>
    <w:rsid w:val="001F09C0"/>
    <w:rsid w:val="001F2F56"/>
    <w:rsid w:val="001F407A"/>
    <w:rsid w:val="001F5C6F"/>
    <w:rsid w:val="002018A6"/>
    <w:rsid w:val="00214B77"/>
    <w:rsid w:val="00216A5A"/>
    <w:rsid w:val="00255B16"/>
    <w:rsid w:val="00260CC8"/>
    <w:rsid w:val="002856F0"/>
    <w:rsid w:val="002D0331"/>
    <w:rsid w:val="002E40D3"/>
    <w:rsid w:val="002F5329"/>
    <w:rsid w:val="002F59D6"/>
    <w:rsid w:val="002F71F6"/>
    <w:rsid w:val="0030496F"/>
    <w:rsid w:val="00305096"/>
    <w:rsid w:val="003073BF"/>
    <w:rsid w:val="00317017"/>
    <w:rsid w:val="0032172C"/>
    <w:rsid w:val="00357CBA"/>
    <w:rsid w:val="003601C4"/>
    <w:rsid w:val="003610D1"/>
    <w:rsid w:val="00364051"/>
    <w:rsid w:val="00364A2F"/>
    <w:rsid w:val="003775C9"/>
    <w:rsid w:val="003921CD"/>
    <w:rsid w:val="00396B52"/>
    <w:rsid w:val="003B24E3"/>
    <w:rsid w:val="003B5353"/>
    <w:rsid w:val="003C4B52"/>
    <w:rsid w:val="003C4C17"/>
    <w:rsid w:val="003D0EC1"/>
    <w:rsid w:val="003D3DEC"/>
    <w:rsid w:val="003D58AA"/>
    <w:rsid w:val="003F1C7A"/>
    <w:rsid w:val="00411149"/>
    <w:rsid w:val="00424E35"/>
    <w:rsid w:val="0043546C"/>
    <w:rsid w:val="00452CE6"/>
    <w:rsid w:val="00463B4D"/>
    <w:rsid w:val="00473D2D"/>
    <w:rsid w:val="00476248"/>
    <w:rsid w:val="00477CF3"/>
    <w:rsid w:val="00481487"/>
    <w:rsid w:val="00486705"/>
    <w:rsid w:val="0049419A"/>
    <w:rsid w:val="004947FB"/>
    <w:rsid w:val="004B694D"/>
    <w:rsid w:val="004C0E65"/>
    <w:rsid w:val="0050458C"/>
    <w:rsid w:val="0052010F"/>
    <w:rsid w:val="00525647"/>
    <w:rsid w:val="005418B5"/>
    <w:rsid w:val="00556698"/>
    <w:rsid w:val="00556988"/>
    <w:rsid w:val="00563B3F"/>
    <w:rsid w:val="005935BD"/>
    <w:rsid w:val="00594E29"/>
    <w:rsid w:val="005A18A4"/>
    <w:rsid w:val="005A5486"/>
    <w:rsid w:val="005B5DB8"/>
    <w:rsid w:val="005E23BA"/>
    <w:rsid w:val="005E4981"/>
    <w:rsid w:val="005F0FF4"/>
    <w:rsid w:val="006021D0"/>
    <w:rsid w:val="00605B24"/>
    <w:rsid w:val="00610798"/>
    <w:rsid w:val="0061415E"/>
    <w:rsid w:val="00625AC9"/>
    <w:rsid w:val="006270D3"/>
    <w:rsid w:val="006312F7"/>
    <w:rsid w:val="006316AC"/>
    <w:rsid w:val="00635F6B"/>
    <w:rsid w:val="00645B7C"/>
    <w:rsid w:val="0067005D"/>
    <w:rsid w:val="006750C0"/>
    <w:rsid w:val="00675E74"/>
    <w:rsid w:val="00696B03"/>
    <w:rsid w:val="006A3B63"/>
    <w:rsid w:val="006B0B81"/>
    <w:rsid w:val="006B3065"/>
    <w:rsid w:val="006C2149"/>
    <w:rsid w:val="006D3B31"/>
    <w:rsid w:val="006D4B5E"/>
    <w:rsid w:val="006F1A02"/>
    <w:rsid w:val="00713E50"/>
    <w:rsid w:val="00734079"/>
    <w:rsid w:val="0074164C"/>
    <w:rsid w:val="0074463A"/>
    <w:rsid w:val="00744F5B"/>
    <w:rsid w:val="0074607F"/>
    <w:rsid w:val="00746438"/>
    <w:rsid w:val="00750881"/>
    <w:rsid w:val="00760A54"/>
    <w:rsid w:val="007616D4"/>
    <w:rsid w:val="00766E4F"/>
    <w:rsid w:val="00767802"/>
    <w:rsid w:val="00784B69"/>
    <w:rsid w:val="00792EBB"/>
    <w:rsid w:val="007A4331"/>
    <w:rsid w:val="007B045B"/>
    <w:rsid w:val="007B7005"/>
    <w:rsid w:val="007E2F91"/>
    <w:rsid w:val="00830759"/>
    <w:rsid w:val="00853877"/>
    <w:rsid w:val="00865EB5"/>
    <w:rsid w:val="00866397"/>
    <w:rsid w:val="00882AE4"/>
    <w:rsid w:val="00883520"/>
    <w:rsid w:val="008863D0"/>
    <w:rsid w:val="008C275F"/>
    <w:rsid w:val="008E6145"/>
    <w:rsid w:val="008E61CF"/>
    <w:rsid w:val="008F5D26"/>
    <w:rsid w:val="008F6E91"/>
    <w:rsid w:val="00914F50"/>
    <w:rsid w:val="00915E13"/>
    <w:rsid w:val="00920F07"/>
    <w:rsid w:val="009355B3"/>
    <w:rsid w:val="00937C5D"/>
    <w:rsid w:val="00951A6C"/>
    <w:rsid w:val="00954BA0"/>
    <w:rsid w:val="009665F9"/>
    <w:rsid w:val="00982989"/>
    <w:rsid w:val="00984BE5"/>
    <w:rsid w:val="00996106"/>
    <w:rsid w:val="009A5256"/>
    <w:rsid w:val="009C1F3E"/>
    <w:rsid w:val="009C3229"/>
    <w:rsid w:val="009C5BBE"/>
    <w:rsid w:val="009C64D5"/>
    <w:rsid w:val="00A05ACE"/>
    <w:rsid w:val="00A06EAE"/>
    <w:rsid w:val="00A0748D"/>
    <w:rsid w:val="00A17954"/>
    <w:rsid w:val="00A232C1"/>
    <w:rsid w:val="00A25827"/>
    <w:rsid w:val="00A26BA5"/>
    <w:rsid w:val="00A31375"/>
    <w:rsid w:val="00A44BF9"/>
    <w:rsid w:val="00A53697"/>
    <w:rsid w:val="00A63790"/>
    <w:rsid w:val="00A71EBE"/>
    <w:rsid w:val="00A82DCC"/>
    <w:rsid w:val="00A830A4"/>
    <w:rsid w:val="00A945E0"/>
    <w:rsid w:val="00A97F53"/>
    <w:rsid w:val="00AA0314"/>
    <w:rsid w:val="00AA509F"/>
    <w:rsid w:val="00AA5773"/>
    <w:rsid w:val="00AB22F4"/>
    <w:rsid w:val="00AD53FB"/>
    <w:rsid w:val="00AE101C"/>
    <w:rsid w:val="00AF4615"/>
    <w:rsid w:val="00B07E6F"/>
    <w:rsid w:val="00B17F2E"/>
    <w:rsid w:val="00B378CA"/>
    <w:rsid w:val="00B37D7C"/>
    <w:rsid w:val="00B402FF"/>
    <w:rsid w:val="00B41016"/>
    <w:rsid w:val="00B549A7"/>
    <w:rsid w:val="00B57E15"/>
    <w:rsid w:val="00B75AF6"/>
    <w:rsid w:val="00B772E7"/>
    <w:rsid w:val="00BA5602"/>
    <w:rsid w:val="00BB115A"/>
    <w:rsid w:val="00BC3385"/>
    <w:rsid w:val="00BF17BE"/>
    <w:rsid w:val="00BF17C6"/>
    <w:rsid w:val="00C12094"/>
    <w:rsid w:val="00C168FB"/>
    <w:rsid w:val="00C33C30"/>
    <w:rsid w:val="00C61467"/>
    <w:rsid w:val="00C74A24"/>
    <w:rsid w:val="00C74DB4"/>
    <w:rsid w:val="00C75D8D"/>
    <w:rsid w:val="00C92486"/>
    <w:rsid w:val="00C92983"/>
    <w:rsid w:val="00CA174E"/>
    <w:rsid w:val="00CD48CB"/>
    <w:rsid w:val="00CD4C89"/>
    <w:rsid w:val="00CE57C2"/>
    <w:rsid w:val="00CF10F4"/>
    <w:rsid w:val="00CF3D3D"/>
    <w:rsid w:val="00CF4D2D"/>
    <w:rsid w:val="00D1024F"/>
    <w:rsid w:val="00D22ACE"/>
    <w:rsid w:val="00D33855"/>
    <w:rsid w:val="00D340AB"/>
    <w:rsid w:val="00D34745"/>
    <w:rsid w:val="00D51144"/>
    <w:rsid w:val="00D542D4"/>
    <w:rsid w:val="00D71FA0"/>
    <w:rsid w:val="00D76894"/>
    <w:rsid w:val="00DA6792"/>
    <w:rsid w:val="00DC0439"/>
    <w:rsid w:val="00DC76EE"/>
    <w:rsid w:val="00DD1CCA"/>
    <w:rsid w:val="00DD6106"/>
    <w:rsid w:val="00DD617A"/>
    <w:rsid w:val="00E03C34"/>
    <w:rsid w:val="00E17786"/>
    <w:rsid w:val="00E215FA"/>
    <w:rsid w:val="00E21E0A"/>
    <w:rsid w:val="00E26798"/>
    <w:rsid w:val="00E45BA0"/>
    <w:rsid w:val="00E476FC"/>
    <w:rsid w:val="00E629FF"/>
    <w:rsid w:val="00E73FC9"/>
    <w:rsid w:val="00E760CD"/>
    <w:rsid w:val="00E92C3D"/>
    <w:rsid w:val="00EA0586"/>
    <w:rsid w:val="00EA71AC"/>
    <w:rsid w:val="00EB398C"/>
    <w:rsid w:val="00ED0A6B"/>
    <w:rsid w:val="00ED0F1B"/>
    <w:rsid w:val="00ED7F1F"/>
    <w:rsid w:val="00EE7334"/>
    <w:rsid w:val="00EF00F3"/>
    <w:rsid w:val="00EF2C89"/>
    <w:rsid w:val="00F12AEE"/>
    <w:rsid w:val="00F16FF1"/>
    <w:rsid w:val="00F3176C"/>
    <w:rsid w:val="00F31A15"/>
    <w:rsid w:val="00F3208B"/>
    <w:rsid w:val="00F350A3"/>
    <w:rsid w:val="00F3704A"/>
    <w:rsid w:val="00F539E9"/>
    <w:rsid w:val="00F56C16"/>
    <w:rsid w:val="00F60085"/>
    <w:rsid w:val="00F673DA"/>
    <w:rsid w:val="00F75D25"/>
    <w:rsid w:val="00F824DF"/>
    <w:rsid w:val="00F849CA"/>
    <w:rsid w:val="00F8684A"/>
    <w:rsid w:val="00FA2CD7"/>
    <w:rsid w:val="00FB54FD"/>
    <w:rsid w:val="00FD63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27932B"/>
  <w15:chartTrackingRefBased/>
  <w15:docId w15:val="{90D39298-AD9F-4AA0-9ACF-F4B1EC5F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table" w:styleId="TableGrid">
    <w:name w:val="Table Grid"/>
    <w:basedOn w:val="TableNormal"/>
    <w:uiPriority w:val="59"/>
    <w:rsid w:val="001B45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61CF"/>
    <w:rPr>
      <w:rFonts w:ascii="Calibri" w:eastAsia="Calibri" w:hAnsi="Calibri"/>
      <w:sz w:val="20"/>
      <w:szCs w:val="20"/>
    </w:rPr>
  </w:style>
  <w:style w:type="character" w:customStyle="1" w:styleId="FootnoteTextChar">
    <w:name w:val="Footnote Text Char"/>
    <w:link w:val="FootnoteText"/>
    <w:uiPriority w:val="99"/>
    <w:semiHidden/>
    <w:rsid w:val="008E61CF"/>
    <w:rPr>
      <w:rFonts w:ascii="Calibri" w:eastAsia="Calibri" w:hAnsi="Calibri"/>
    </w:rPr>
  </w:style>
  <w:style w:type="character" w:styleId="FootnoteReference">
    <w:name w:val="footnote reference"/>
    <w:uiPriority w:val="99"/>
    <w:rsid w:val="008E61CF"/>
    <w:rPr>
      <w:vertAlign w:val="superscript"/>
    </w:rPr>
  </w:style>
  <w:style w:type="table" w:customStyle="1" w:styleId="TableGrid1">
    <w:name w:val="Table Grid1"/>
    <w:basedOn w:val="TableNormal"/>
    <w:next w:val="TableGrid"/>
    <w:uiPriority w:val="59"/>
    <w:rsid w:val="008E61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C64D5"/>
    <w:rPr>
      <w:sz w:val="16"/>
      <w:szCs w:val="16"/>
    </w:rPr>
  </w:style>
  <w:style w:type="paragraph" w:styleId="CommentText">
    <w:name w:val="annotation text"/>
    <w:basedOn w:val="Normal"/>
    <w:link w:val="CommentTextChar"/>
    <w:uiPriority w:val="99"/>
    <w:unhideWhenUsed/>
    <w:rsid w:val="009C64D5"/>
    <w:rPr>
      <w:sz w:val="20"/>
      <w:szCs w:val="20"/>
    </w:rPr>
  </w:style>
  <w:style w:type="character" w:customStyle="1" w:styleId="CommentTextChar">
    <w:name w:val="Comment Text Char"/>
    <w:basedOn w:val="DefaultParagraphFont"/>
    <w:link w:val="CommentText"/>
    <w:uiPriority w:val="99"/>
    <w:rsid w:val="009C64D5"/>
  </w:style>
  <w:style w:type="paragraph" w:styleId="CommentSubject">
    <w:name w:val="annotation subject"/>
    <w:basedOn w:val="CommentText"/>
    <w:next w:val="CommentText"/>
    <w:link w:val="CommentSubjectChar"/>
    <w:uiPriority w:val="99"/>
    <w:semiHidden/>
    <w:unhideWhenUsed/>
    <w:rsid w:val="009C64D5"/>
    <w:rPr>
      <w:b/>
      <w:bCs/>
    </w:rPr>
  </w:style>
  <w:style w:type="character" w:customStyle="1" w:styleId="CommentSubjectChar">
    <w:name w:val="Comment Subject Char"/>
    <w:link w:val="CommentSubject"/>
    <w:uiPriority w:val="99"/>
    <w:semiHidden/>
    <w:rsid w:val="009C64D5"/>
    <w:rPr>
      <w:b/>
      <w:bCs/>
    </w:rPr>
  </w:style>
  <w:style w:type="character" w:styleId="UnresolvedMention">
    <w:name w:val="Unresolved Mention"/>
    <w:uiPriority w:val="99"/>
    <w:semiHidden/>
    <w:unhideWhenUsed/>
    <w:rsid w:val="00133121"/>
    <w:rPr>
      <w:color w:val="605E5C"/>
      <w:shd w:val="clear" w:color="auto" w:fill="E1DFDD"/>
    </w:rPr>
  </w:style>
  <w:style w:type="paragraph" w:styleId="Revision">
    <w:name w:val="Revision"/>
    <w:hidden/>
    <w:uiPriority w:val="99"/>
    <w:semiHidden/>
    <w:rsid w:val="009C3229"/>
    <w:rPr>
      <w:sz w:val="24"/>
      <w:szCs w:val="24"/>
    </w:rPr>
  </w:style>
  <w:style w:type="character" w:styleId="FollowedHyperlink">
    <w:name w:val="FollowedHyperlink"/>
    <w:uiPriority w:val="99"/>
    <w:semiHidden/>
    <w:unhideWhenUsed/>
    <w:rsid w:val="00AF461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Chung-Tung.Lin@fda.hhs.gov" TargetMode="External" /><Relationship Id="rId7" Type="http://schemas.openxmlformats.org/officeDocument/2006/relationships/hyperlink" Target="mailto:Rachel.Showalter@fda.hhs.gov"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news-events/press-announcements/fda-launches-new-dietary-supplement-education-initiative-consumers-educators-and-healthcare" TargetMode="External" /><Relationship Id="rId2" Type="http://schemas.openxmlformats.org/officeDocument/2006/relationships/hyperlink" Target="https://www.bls.gov/news.release/empsit.t19.htm" TargetMode="External" /><Relationship Id="rId3" Type="http://schemas.openxmlformats.org/officeDocument/2006/relationships/hyperlink" Target="https://www.bls.gov/oes/current/oes399011.htm" TargetMode="External" /><Relationship Id="rId4" Type="http://schemas.openxmlformats.org/officeDocument/2006/relationships/hyperlink" Target="https://aapor.org/wp-content/uploads/2022/11/RefusalTF_FINAL09081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B301-6849-4AED-8D8F-1D1EC8AE2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1794</Words>
  <Characters>10230</Characters>
  <Application>Microsoft Office Word</Application>
  <DocSecurity>0</DocSecurity>
  <Lines>85</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OMBMemoMERCPtP</vt:lpstr>
      <vt:lpstr>    United States Food and Drug Administration</vt:lpstr>
    </vt:vector>
  </TitlesOfParts>
  <Company>SSI</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Showalter, Rachel</cp:lastModifiedBy>
  <cp:revision>5</cp:revision>
  <cp:lastPrinted>2019-11-25T17:23:00Z</cp:lastPrinted>
  <dcterms:created xsi:type="dcterms:W3CDTF">2023-10-13T12:58:00Z</dcterms:created>
  <dcterms:modified xsi:type="dcterms:W3CDTF">2023-10-13T13:36:00Z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