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145B" w:rsidP="005E3C6B" w14:paraId="68311DB4" w14:textId="77777777">
      <w:pPr>
        <w:jc w:val="center"/>
        <w:rPr>
          <w:b/>
          <w:sz w:val="22"/>
          <w:szCs w:val="22"/>
        </w:rPr>
      </w:pPr>
      <w:bookmarkStart w:id="0" w:name="_Hlk109667309"/>
      <w:r w:rsidRPr="002F66C5">
        <w:rPr>
          <w:b/>
          <w:sz w:val="22"/>
          <w:szCs w:val="22"/>
        </w:rPr>
        <w:t>Supporting Statement for Paperwork Reduction Act Submissions</w:t>
      </w:r>
    </w:p>
    <w:p w:rsidR="0061605E" w:rsidP="005E3C6B" w14:paraId="3F4D80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2"/>
          <w:szCs w:val="22"/>
        </w:rPr>
      </w:pPr>
      <w:r w:rsidRPr="002F66C5">
        <w:rPr>
          <w:b/>
          <w:sz w:val="22"/>
          <w:szCs w:val="22"/>
        </w:rPr>
        <w:t xml:space="preserve">HUD Standardized </w:t>
      </w:r>
      <w:r w:rsidR="00D53175">
        <w:rPr>
          <w:b/>
          <w:sz w:val="22"/>
          <w:szCs w:val="22"/>
        </w:rPr>
        <w:t xml:space="preserve">Grant Application </w:t>
      </w:r>
      <w:r w:rsidRPr="002F66C5">
        <w:rPr>
          <w:b/>
          <w:sz w:val="22"/>
          <w:szCs w:val="22"/>
        </w:rPr>
        <w:t>Form</w:t>
      </w:r>
      <w:r w:rsidR="00D53175">
        <w:rPr>
          <w:b/>
          <w:sz w:val="22"/>
          <w:szCs w:val="22"/>
        </w:rPr>
        <w:t xml:space="preserve"> HUD 27061</w:t>
      </w:r>
      <w:r>
        <w:rPr>
          <w:b/>
          <w:sz w:val="22"/>
          <w:szCs w:val="22"/>
        </w:rPr>
        <w:t xml:space="preserve"> </w:t>
      </w:r>
    </w:p>
    <w:p w:rsidR="002F66C5" w:rsidRPr="002F66C5" w:rsidP="005E3C6B" w14:paraId="1B55B5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2"/>
          <w:szCs w:val="22"/>
        </w:rPr>
      </w:pPr>
      <w:r>
        <w:rPr>
          <w:b/>
          <w:sz w:val="22"/>
          <w:szCs w:val="22"/>
        </w:rPr>
        <w:t xml:space="preserve">(OMB # </w:t>
      </w:r>
      <w:r w:rsidRPr="00F25EFC" w:rsidR="00F25EFC">
        <w:rPr>
          <w:b/>
          <w:sz w:val="22"/>
          <w:szCs w:val="22"/>
        </w:rPr>
        <w:t>2535-0113</w:t>
      </w:r>
      <w:r>
        <w:rPr>
          <w:b/>
          <w:sz w:val="22"/>
          <w:szCs w:val="22"/>
        </w:rPr>
        <w:t>)</w:t>
      </w:r>
    </w:p>
    <w:p w:rsidR="00E8145B" w:rsidRPr="002F66C5" w:rsidP="005E3C6B" w14:paraId="422ECABC" w14:textId="77777777">
      <w:pPr>
        <w:pStyle w:val="NoSpacing"/>
        <w:rPr>
          <w:sz w:val="22"/>
          <w:szCs w:val="22"/>
        </w:rPr>
      </w:pPr>
    </w:p>
    <w:p w:rsidR="00E8145B" w:rsidRPr="002F66C5" w:rsidP="005E3C6B" w14:paraId="182453E8" w14:textId="77777777">
      <w:pPr>
        <w:pStyle w:val="NoSpacing"/>
        <w:rPr>
          <w:color w:val="000000"/>
          <w:sz w:val="22"/>
          <w:szCs w:val="22"/>
        </w:rPr>
      </w:pPr>
      <w:r w:rsidRPr="002F66C5">
        <w:rPr>
          <w:sz w:val="22"/>
          <w:szCs w:val="22"/>
        </w:rPr>
        <w:t xml:space="preserve">A. </w:t>
      </w:r>
      <w:r w:rsidRPr="002F66C5">
        <w:rPr>
          <w:sz w:val="22"/>
          <w:szCs w:val="22"/>
        </w:rPr>
        <w:tab/>
        <w:t>Justi</w:t>
      </w:r>
      <w:r w:rsidRPr="002F66C5">
        <w:rPr>
          <w:color w:val="000000"/>
          <w:sz w:val="22"/>
          <w:szCs w:val="22"/>
        </w:rPr>
        <w:t>fication</w:t>
      </w:r>
    </w:p>
    <w:p w:rsidR="00E8145B" w:rsidRPr="002F66C5" w:rsidP="005E3C6B" w14:paraId="44B3BB4E" w14:textId="77777777">
      <w:pPr>
        <w:pStyle w:val="NoSpacing"/>
        <w:rPr>
          <w:color w:val="000000"/>
          <w:sz w:val="22"/>
          <w:szCs w:val="22"/>
        </w:rPr>
      </w:pPr>
    </w:p>
    <w:p w:rsidR="00F3582D" w:rsidRPr="00BF391D" w:rsidP="00D53175" w14:paraId="3E2578E0" w14:textId="77777777">
      <w:pPr>
        <w:pStyle w:val="NoSpacing"/>
        <w:numPr>
          <w:ilvl w:val="0"/>
          <w:numId w:val="14"/>
        </w:numPr>
        <w:rPr>
          <w:noProof/>
          <w:sz w:val="22"/>
          <w:szCs w:val="22"/>
        </w:rPr>
      </w:pPr>
      <w:r w:rsidRPr="00BF391D">
        <w:rPr>
          <w:noProof/>
          <w:sz w:val="22"/>
          <w:szCs w:val="22"/>
        </w:rPr>
        <w:t>Title VI of the Civil Rights Act of 1964 requires the collection of information concerning the race and ethnicity of the populations intended to benefit from HUD funding.</w:t>
      </w:r>
    </w:p>
    <w:p w:rsidR="00E8145B" w:rsidRPr="002F66C5" w:rsidP="005E3C6B" w14:paraId="3E9B058A" w14:textId="77777777">
      <w:pPr>
        <w:pStyle w:val="NoSpacing"/>
        <w:rPr>
          <w:color w:val="000000"/>
          <w:sz w:val="22"/>
          <w:szCs w:val="22"/>
        </w:rPr>
      </w:pPr>
    </w:p>
    <w:p w:rsidR="00E8145B" w:rsidRPr="00DE40A2" w:rsidP="00D53175" w14:paraId="5C3042A4" w14:textId="77777777">
      <w:pPr>
        <w:pStyle w:val="NoSpacing"/>
        <w:numPr>
          <w:ilvl w:val="0"/>
          <w:numId w:val="14"/>
        </w:numPr>
        <w:rPr>
          <w:noProof/>
          <w:sz w:val="22"/>
          <w:szCs w:val="22"/>
        </w:rPr>
      </w:pPr>
      <w:r w:rsidRPr="0061605E">
        <w:rPr>
          <w:noProof/>
          <w:sz w:val="22"/>
          <w:szCs w:val="22"/>
        </w:rPr>
        <w:t>This is a reinstatement with change of a currently approved collection</w:t>
      </w:r>
      <w:r>
        <w:rPr>
          <w:noProof/>
          <w:sz w:val="22"/>
          <w:szCs w:val="22"/>
        </w:rPr>
        <w:t xml:space="preserve">. </w:t>
      </w:r>
      <w:r w:rsidRPr="0061605E">
        <w:rPr>
          <w:noProof/>
          <w:sz w:val="22"/>
          <w:szCs w:val="22"/>
        </w:rPr>
        <w:t xml:space="preserve"> </w:t>
      </w:r>
      <w:r w:rsidRPr="00821F0D">
        <w:rPr>
          <w:noProof/>
          <w:sz w:val="22"/>
          <w:szCs w:val="22"/>
        </w:rPr>
        <w:t xml:space="preserve">The </w:t>
      </w:r>
      <w:r w:rsidR="00F3582D">
        <w:rPr>
          <w:noProof/>
          <w:sz w:val="22"/>
          <w:szCs w:val="22"/>
        </w:rPr>
        <w:t>i</w:t>
      </w:r>
      <w:r w:rsidRPr="00821F0D">
        <w:rPr>
          <w:noProof/>
          <w:sz w:val="22"/>
          <w:szCs w:val="22"/>
        </w:rPr>
        <w:t xml:space="preserve">nformation collection is required </w:t>
      </w:r>
      <w:r w:rsidR="00BF391D">
        <w:rPr>
          <w:noProof/>
          <w:sz w:val="22"/>
          <w:szCs w:val="22"/>
        </w:rPr>
        <w:t xml:space="preserve">to ensure </w:t>
      </w:r>
      <w:r w:rsidR="00025DDC">
        <w:rPr>
          <w:noProof/>
          <w:sz w:val="22"/>
          <w:szCs w:val="22"/>
        </w:rPr>
        <w:t xml:space="preserve">HUD’s </w:t>
      </w:r>
      <w:r w:rsidR="00BF391D">
        <w:rPr>
          <w:noProof/>
          <w:sz w:val="22"/>
          <w:szCs w:val="22"/>
        </w:rPr>
        <w:t xml:space="preserve">compliance with </w:t>
      </w:r>
      <w:r w:rsidRPr="00BF391D" w:rsidR="00BF391D">
        <w:rPr>
          <w:noProof/>
          <w:sz w:val="22"/>
          <w:szCs w:val="22"/>
        </w:rPr>
        <w:t>Title VI of the Civil Rights Act of 1964</w:t>
      </w:r>
      <w:r w:rsidRPr="00821F0D" w:rsidR="00821F0D">
        <w:rPr>
          <w:sz w:val="22"/>
          <w:szCs w:val="22"/>
        </w:rPr>
        <w:t>.</w:t>
      </w:r>
      <w:r w:rsidRPr="00821F0D">
        <w:rPr>
          <w:sz w:val="22"/>
          <w:szCs w:val="22"/>
        </w:rPr>
        <w:t xml:space="preserve">  </w:t>
      </w:r>
      <w:r w:rsidRPr="00821F0D" w:rsidR="00827538">
        <w:rPr>
          <w:sz w:val="22"/>
          <w:szCs w:val="22"/>
        </w:rPr>
        <w:t xml:space="preserve">HUD’s method for electronic collection of </w:t>
      </w:r>
      <w:r w:rsidR="00025DDC">
        <w:rPr>
          <w:sz w:val="22"/>
          <w:szCs w:val="22"/>
        </w:rPr>
        <w:t>form HUD 27061</w:t>
      </w:r>
      <w:r w:rsidRPr="00821F0D" w:rsidR="00BB2F6F">
        <w:rPr>
          <w:sz w:val="22"/>
          <w:szCs w:val="22"/>
        </w:rPr>
        <w:t xml:space="preserve"> </w:t>
      </w:r>
      <w:r w:rsidRPr="00821F0D" w:rsidR="00827538">
        <w:rPr>
          <w:sz w:val="22"/>
          <w:szCs w:val="22"/>
        </w:rPr>
        <w:t>standardizes the format for information collection requirements for applicants</w:t>
      </w:r>
      <w:r w:rsidR="00025DDC">
        <w:rPr>
          <w:sz w:val="22"/>
          <w:szCs w:val="22"/>
        </w:rPr>
        <w:t xml:space="preserve"> for HUD funding</w:t>
      </w:r>
      <w:r w:rsidRPr="00821F0D" w:rsidR="00821F0D">
        <w:rPr>
          <w:sz w:val="22"/>
          <w:szCs w:val="22"/>
        </w:rPr>
        <w:t xml:space="preserve">. </w:t>
      </w:r>
      <w:r w:rsidR="00025DDC">
        <w:rPr>
          <w:sz w:val="22"/>
          <w:szCs w:val="22"/>
        </w:rPr>
        <w:t xml:space="preserve"> </w:t>
      </w:r>
      <w:r w:rsidR="009A2120">
        <w:rPr>
          <w:sz w:val="22"/>
          <w:szCs w:val="22"/>
        </w:rPr>
        <w:t xml:space="preserve">To ensure that all programs comply with </w:t>
      </w:r>
      <w:r w:rsidRPr="00BF391D" w:rsidR="009A2120">
        <w:rPr>
          <w:noProof/>
          <w:sz w:val="22"/>
          <w:szCs w:val="22"/>
        </w:rPr>
        <w:t>Title VI of the Civil Rights Act of 1964</w:t>
      </w:r>
      <w:r w:rsidR="009A2120">
        <w:rPr>
          <w:noProof/>
          <w:sz w:val="22"/>
          <w:szCs w:val="22"/>
        </w:rPr>
        <w:t>, t</w:t>
      </w:r>
      <w:r w:rsidR="00025DDC">
        <w:rPr>
          <w:sz w:val="22"/>
          <w:szCs w:val="22"/>
        </w:rPr>
        <w:t>he form is submitted as an attachment to applications for HUD funding</w:t>
      </w:r>
      <w:r w:rsidRPr="00DE40A2" w:rsidR="00821F0D">
        <w:rPr>
          <w:noProof/>
          <w:sz w:val="22"/>
          <w:szCs w:val="22"/>
        </w:rPr>
        <w:t>.</w:t>
      </w:r>
      <w:r w:rsidRPr="00DE40A2">
        <w:rPr>
          <w:noProof/>
          <w:sz w:val="22"/>
          <w:szCs w:val="22"/>
        </w:rPr>
        <w:t xml:space="preserve"> </w:t>
      </w:r>
    </w:p>
    <w:p w:rsidR="00E8145B" w:rsidRPr="002F66C5" w:rsidP="005E3C6B" w14:paraId="427980AB" w14:textId="77777777">
      <w:pPr>
        <w:pStyle w:val="NoSpacing"/>
        <w:rPr>
          <w:color w:val="000000"/>
          <w:sz w:val="22"/>
          <w:szCs w:val="22"/>
        </w:rPr>
      </w:pPr>
    </w:p>
    <w:p w:rsidR="00E8145B" w:rsidRPr="002F66C5" w:rsidP="005E3C6B" w14:paraId="4A49F9F6" w14:textId="77777777">
      <w:pPr>
        <w:pStyle w:val="NoSpacing"/>
        <w:numPr>
          <w:ilvl w:val="0"/>
          <w:numId w:val="14"/>
        </w:numPr>
        <w:rPr>
          <w:noProof/>
          <w:sz w:val="22"/>
          <w:szCs w:val="22"/>
        </w:rPr>
      </w:pPr>
      <w:r w:rsidRPr="002F66C5">
        <w:rPr>
          <w:noProof/>
          <w:sz w:val="22"/>
          <w:szCs w:val="22"/>
        </w:rPr>
        <w:t>The information collected through grant applications is submitted electronically.  Th</w:t>
      </w:r>
      <w:r w:rsidR="00025DDC">
        <w:rPr>
          <w:noProof/>
          <w:sz w:val="22"/>
          <w:szCs w:val="22"/>
        </w:rPr>
        <w:t>is</w:t>
      </w:r>
      <w:r w:rsidRPr="002F66C5">
        <w:rPr>
          <w:noProof/>
          <w:sz w:val="22"/>
          <w:szCs w:val="22"/>
        </w:rPr>
        <w:t xml:space="preserve"> form</w:t>
      </w:r>
      <w:r w:rsidR="00025DDC">
        <w:rPr>
          <w:noProof/>
          <w:sz w:val="22"/>
          <w:szCs w:val="22"/>
        </w:rPr>
        <w:t xml:space="preserve"> is </w:t>
      </w:r>
      <w:r w:rsidRPr="002F66C5">
        <w:rPr>
          <w:noProof/>
          <w:sz w:val="22"/>
          <w:szCs w:val="22"/>
        </w:rPr>
        <w:t xml:space="preserve"> downloaded </w:t>
      </w:r>
      <w:r w:rsidR="0019397F">
        <w:rPr>
          <w:noProof/>
          <w:sz w:val="22"/>
          <w:szCs w:val="22"/>
        </w:rPr>
        <w:t>from</w:t>
      </w:r>
      <w:r w:rsidRPr="002F66C5">
        <w:rPr>
          <w:noProof/>
          <w:sz w:val="22"/>
          <w:szCs w:val="22"/>
        </w:rPr>
        <w:t xml:space="preserve"> </w:t>
      </w:r>
      <w:r w:rsidR="0019397F">
        <w:rPr>
          <w:noProof/>
          <w:sz w:val="22"/>
          <w:szCs w:val="22"/>
        </w:rPr>
        <w:t>Gran</w:t>
      </w:r>
      <w:r w:rsidR="000302A7">
        <w:rPr>
          <w:noProof/>
          <w:sz w:val="22"/>
          <w:szCs w:val="22"/>
        </w:rPr>
        <w:t>t</w:t>
      </w:r>
      <w:r w:rsidR="0019397F">
        <w:rPr>
          <w:noProof/>
          <w:sz w:val="22"/>
          <w:szCs w:val="22"/>
        </w:rPr>
        <w:t>s.gov</w:t>
      </w:r>
      <w:r w:rsidR="00025DDC">
        <w:rPr>
          <w:noProof/>
          <w:sz w:val="22"/>
          <w:szCs w:val="22"/>
        </w:rPr>
        <w:t xml:space="preserve"> and </w:t>
      </w:r>
      <w:r w:rsidR="00696C35">
        <w:rPr>
          <w:noProof/>
          <w:sz w:val="22"/>
          <w:szCs w:val="22"/>
        </w:rPr>
        <w:t>www.hud.gov, in both Microsoft Word and PDF formats.</w:t>
      </w:r>
    </w:p>
    <w:p w:rsidR="00E8145B" w:rsidRPr="002F66C5" w:rsidP="005E3C6B" w14:paraId="1307240B" w14:textId="77777777">
      <w:pPr>
        <w:pStyle w:val="NoSpacing"/>
        <w:rPr>
          <w:color w:val="000000"/>
          <w:sz w:val="22"/>
          <w:szCs w:val="22"/>
        </w:rPr>
      </w:pPr>
    </w:p>
    <w:p w:rsidR="00E8145B" w:rsidRPr="002F66C5" w:rsidP="005E3C6B" w14:paraId="13FE6D06" w14:textId="77777777">
      <w:pPr>
        <w:pStyle w:val="NoSpacing"/>
        <w:numPr>
          <w:ilvl w:val="0"/>
          <w:numId w:val="14"/>
        </w:numPr>
        <w:rPr>
          <w:color w:val="000000"/>
          <w:sz w:val="22"/>
          <w:szCs w:val="22"/>
        </w:rPr>
      </w:pPr>
      <w:r>
        <w:rPr>
          <w:noProof/>
          <w:sz w:val="22"/>
          <w:szCs w:val="22"/>
        </w:rPr>
        <w:t xml:space="preserve">The </w:t>
      </w:r>
      <w:r w:rsidR="002A672F">
        <w:rPr>
          <w:noProof/>
          <w:sz w:val="22"/>
          <w:szCs w:val="22"/>
        </w:rPr>
        <w:t xml:space="preserve">form </w:t>
      </w:r>
      <w:r w:rsidR="00D53175">
        <w:rPr>
          <w:noProof/>
          <w:sz w:val="22"/>
          <w:szCs w:val="22"/>
        </w:rPr>
        <w:t xml:space="preserve">uniformly collects information across </w:t>
      </w:r>
      <w:r w:rsidR="002A672F">
        <w:rPr>
          <w:noProof/>
          <w:sz w:val="22"/>
          <w:szCs w:val="22"/>
        </w:rPr>
        <w:t xml:space="preserve">applicants </w:t>
      </w:r>
      <w:r w:rsidR="00D53175">
        <w:rPr>
          <w:noProof/>
          <w:sz w:val="22"/>
          <w:szCs w:val="22"/>
        </w:rPr>
        <w:t>and funding years</w:t>
      </w:r>
      <w:r>
        <w:rPr>
          <w:noProof/>
          <w:sz w:val="22"/>
          <w:szCs w:val="22"/>
        </w:rPr>
        <w:t>. The collection is not duplicative</w:t>
      </w:r>
      <w:r w:rsidRPr="002F66C5">
        <w:rPr>
          <w:noProof/>
          <w:sz w:val="22"/>
          <w:szCs w:val="22"/>
        </w:rPr>
        <w:t xml:space="preserve">. </w:t>
      </w:r>
    </w:p>
    <w:p w:rsidR="00E8145B" w:rsidRPr="002F66C5" w:rsidP="005E3C6B" w14:paraId="22A94D68" w14:textId="77777777">
      <w:pPr>
        <w:pStyle w:val="NoSpacing"/>
        <w:rPr>
          <w:color w:val="000000"/>
          <w:sz w:val="22"/>
          <w:szCs w:val="22"/>
        </w:rPr>
      </w:pPr>
    </w:p>
    <w:p w:rsidR="00E8145B" w:rsidRPr="002F66C5" w:rsidP="005E3C6B" w14:paraId="540B5A88" w14:textId="77777777">
      <w:pPr>
        <w:pStyle w:val="NoSpacing"/>
        <w:numPr>
          <w:ilvl w:val="0"/>
          <w:numId w:val="14"/>
        </w:numPr>
        <w:rPr>
          <w:color w:val="000000"/>
          <w:sz w:val="22"/>
          <w:szCs w:val="22"/>
        </w:rPr>
      </w:pPr>
      <w:r w:rsidRPr="002F66C5">
        <w:rPr>
          <w:noProof/>
          <w:sz w:val="22"/>
          <w:szCs w:val="22"/>
        </w:rPr>
        <w:t>This collection does not have a significant economic impact on small businesses or entities.</w:t>
      </w:r>
    </w:p>
    <w:p w:rsidR="00E8145B" w:rsidRPr="002F66C5" w:rsidP="005E3C6B" w14:paraId="529D05BF" w14:textId="77777777">
      <w:pPr>
        <w:pStyle w:val="NoSpacing"/>
        <w:rPr>
          <w:color w:val="000000"/>
          <w:sz w:val="22"/>
          <w:szCs w:val="22"/>
        </w:rPr>
      </w:pPr>
    </w:p>
    <w:p w:rsidR="00E8145B" w:rsidRPr="002F66C5" w:rsidP="005E3C6B" w14:paraId="6CF25144" w14:textId="77777777">
      <w:pPr>
        <w:pStyle w:val="NoSpacing"/>
        <w:numPr>
          <w:ilvl w:val="0"/>
          <w:numId w:val="14"/>
        </w:numPr>
        <w:rPr>
          <w:color w:val="000000"/>
          <w:sz w:val="22"/>
          <w:szCs w:val="22"/>
        </w:rPr>
      </w:pPr>
      <w:r w:rsidRPr="002F66C5">
        <w:rPr>
          <w:noProof/>
          <w:sz w:val="22"/>
          <w:szCs w:val="22"/>
        </w:rPr>
        <w:t xml:space="preserve">If </w:t>
      </w:r>
      <w:r w:rsidR="00D53175">
        <w:rPr>
          <w:noProof/>
          <w:sz w:val="22"/>
          <w:szCs w:val="22"/>
        </w:rPr>
        <w:t xml:space="preserve">form </w:t>
      </w:r>
      <w:r w:rsidRPr="002F66C5">
        <w:rPr>
          <w:noProof/>
          <w:sz w:val="22"/>
          <w:szCs w:val="22"/>
        </w:rPr>
        <w:t xml:space="preserve">content was reduced, HUD staff’s ability to </w:t>
      </w:r>
      <w:r w:rsidR="00D53175">
        <w:rPr>
          <w:noProof/>
          <w:sz w:val="22"/>
          <w:szCs w:val="22"/>
        </w:rPr>
        <w:t xml:space="preserve">comply with </w:t>
      </w:r>
      <w:r w:rsidRPr="00BF391D" w:rsidR="00D53175">
        <w:rPr>
          <w:noProof/>
          <w:sz w:val="22"/>
          <w:szCs w:val="22"/>
        </w:rPr>
        <w:t xml:space="preserve">Title VI of the Civil Rights Act of 1964 </w:t>
      </w:r>
      <w:r w:rsidRPr="002F66C5">
        <w:rPr>
          <w:noProof/>
          <w:sz w:val="22"/>
          <w:szCs w:val="22"/>
        </w:rPr>
        <w:t>could be impaired.</w:t>
      </w:r>
      <w:r w:rsidR="00F11734">
        <w:rPr>
          <w:noProof/>
          <w:sz w:val="22"/>
          <w:szCs w:val="22"/>
        </w:rPr>
        <w:t xml:space="preserve">  </w:t>
      </w:r>
      <w:r w:rsidR="00D53175">
        <w:rPr>
          <w:noProof/>
          <w:sz w:val="22"/>
          <w:szCs w:val="22"/>
        </w:rPr>
        <w:t xml:space="preserve">The information reported on the form </w:t>
      </w:r>
      <w:r w:rsidRPr="00F11734" w:rsidR="00F11734">
        <w:rPr>
          <w:noProof/>
          <w:sz w:val="22"/>
          <w:szCs w:val="22"/>
        </w:rPr>
        <w:t xml:space="preserve">is part of the accountability mandated by </w:t>
      </w:r>
      <w:r w:rsidRPr="00BF391D" w:rsidR="00107067">
        <w:rPr>
          <w:noProof/>
          <w:sz w:val="22"/>
          <w:szCs w:val="22"/>
        </w:rPr>
        <w:t>Title VI of the Civil Rights Act of 1964</w:t>
      </w:r>
      <w:r w:rsidRPr="00F11734" w:rsidR="00F11734">
        <w:rPr>
          <w:noProof/>
          <w:sz w:val="22"/>
          <w:szCs w:val="22"/>
        </w:rPr>
        <w:t xml:space="preserve">, with respect to HUD assistance made available and awarded.  </w:t>
      </w:r>
    </w:p>
    <w:p w:rsidR="00E8145B" w:rsidRPr="002F66C5" w:rsidP="005E3C6B" w14:paraId="27249896" w14:textId="77777777">
      <w:pPr>
        <w:pStyle w:val="NoSpacing"/>
        <w:rPr>
          <w:color w:val="000000"/>
          <w:sz w:val="22"/>
          <w:szCs w:val="22"/>
        </w:rPr>
      </w:pPr>
    </w:p>
    <w:p w:rsidR="00511B22" w:rsidP="00511B22" w14:paraId="41FE8823" w14:textId="77777777">
      <w:pPr>
        <w:pStyle w:val="NoSpacing"/>
        <w:numPr>
          <w:ilvl w:val="0"/>
          <w:numId w:val="14"/>
        </w:numPr>
        <w:rPr>
          <w:sz w:val="22"/>
          <w:szCs w:val="22"/>
        </w:rPr>
      </w:pPr>
      <w:r w:rsidRPr="002F66C5">
        <w:rPr>
          <w:sz w:val="22"/>
          <w:szCs w:val="22"/>
        </w:rPr>
        <w:t>There are no special circumstances required in the collection of the information.</w:t>
      </w:r>
      <w:r>
        <w:rPr>
          <w:sz w:val="22"/>
          <w:szCs w:val="22"/>
        </w:rPr>
        <w:t xml:space="preserve"> </w:t>
      </w:r>
      <w:bookmarkStart w:id="1" w:name="_Hlk117577573"/>
      <w:r>
        <w:rPr>
          <w:sz w:val="22"/>
          <w:szCs w:val="22"/>
        </w:rPr>
        <w:t>The following circumstances do not apply to this collection:</w:t>
      </w:r>
    </w:p>
    <w:p w:rsidR="00511B22" w:rsidP="00511B22" w14:paraId="5CB971CB" w14:textId="77777777">
      <w:pPr>
        <w:pStyle w:val="ListParagraph"/>
        <w:rPr>
          <w:sz w:val="22"/>
          <w:szCs w:val="22"/>
        </w:rPr>
      </w:pPr>
    </w:p>
    <w:p w:rsidR="00511B22" w:rsidRPr="00A36D51" w:rsidP="00511B22" w14:paraId="514F52BC" w14:textId="77777777">
      <w:pPr>
        <w:pStyle w:val="NoSpacing"/>
        <w:numPr>
          <w:ilvl w:val="0"/>
          <w:numId w:val="16"/>
        </w:numPr>
        <w:ind w:left="1080"/>
        <w:rPr>
          <w:sz w:val="22"/>
          <w:szCs w:val="22"/>
        </w:rPr>
      </w:pPr>
      <w:r>
        <w:rPr>
          <w:sz w:val="22"/>
          <w:szCs w:val="22"/>
        </w:rPr>
        <w:t>r</w:t>
      </w:r>
      <w:r w:rsidRPr="00A36D51">
        <w:rPr>
          <w:sz w:val="22"/>
          <w:szCs w:val="22"/>
        </w:rPr>
        <w:t>equiring respondents to report information to the agency more than quarterly</w:t>
      </w:r>
      <w:r>
        <w:rPr>
          <w:sz w:val="22"/>
          <w:szCs w:val="22"/>
        </w:rPr>
        <w:t>;</w:t>
      </w:r>
      <w:r w:rsidRPr="00DC2971">
        <w:t xml:space="preserve"> </w:t>
      </w:r>
      <w:bookmarkStart w:id="2" w:name="_Hlk117772938"/>
      <w:r w:rsidRPr="00DC2971">
        <w:rPr>
          <w:b/>
          <w:bCs/>
          <w:sz w:val="22"/>
          <w:szCs w:val="22"/>
        </w:rPr>
        <w:t>N/A</w:t>
      </w:r>
      <w:bookmarkEnd w:id="2"/>
    </w:p>
    <w:p w:rsidR="00511B22" w:rsidRPr="00A36D51" w:rsidP="00511B22" w14:paraId="6B25D5E7" w14:textId="77777777">
      <w:pPr>
        <w:pStyle w:val="NoSpacing"/>
        <w:numPr>
          <w:ilvl w:val="0"/>
          <w:numId w:val="17"/>
        </w:numPr>
        <w:ind w:left="1080"/>
        <w:rPr>
          <w:sz w:val="22"/>
          <w:szCs w:val="22"/>
        </w:rPr>
      </w:pPr>
      <w:r>
        <w:rPr>
          <w:sz w:val="22"/>
          <w:szCs w:val="22"/>
        </w:rPr>
        <w:t>r</w:t>
      </w:r>
      <w:r w:rsidRPr="00A36D51">
        <w:rPr>
          <w:sz w:val="22"/>
          <w:szCs w:val="22"/>
        </w:rPr>
        <w:t>equiring respondents to prepare a written response to a collection of information in fewer than 30 days after receipt of it</w:t>
      </w:r>
      <w:r>
        <w:rPr>
          <w:sz w:val="22"/>
          <w:szCs w:val="22"/>
        </w:rPr>
        <w:t>;</w:t>
      </w:r>
      <w:r w:rsidRPr="00DC2971">
        <w:rPr>
          <w:b/>
          <w:bCs/>
          <w:sz w:val="22"/>
          <w:szCs w:val="22"/>
        </w:rPr>
        <w:t xml:space="preserve"> N/A</w:t>
      </w:r>
    </w:p>
    <w:p w:rsidR="00511B22" w:rsidRPr="00A36D51" w:rsidP="00511B22" w14:paraId="258BF66E" w14:textId="77777777">
      <w:pPr>
        <w:pStyle w:val="NoSpacing"/>
        <w:numPr>
          <w:ilvl w:val="0"/>
          <w:numId w:val="17"/>
        </w:numPr>
        <w:ind w:left="1080"/>
        <w:rPr>
          <w:sz w:val="22"/>
          <w:szCs w:val="22"/>
        </w:rPr>
      </w:pPr>
      <w:r w:rsidRPr="00A36D51">
        <w:rPr>
          <w:sz w:val="22"/>
          <w:szCs w:val="22"/>
        </w:rPr>
        <w:t xml:space="preserve">requiring respondents to submit more than an original and two copies of any document; </w:t>
      </w:r>
      <w:r w:rsidRPr="00DC2971">
        <w:rPr>
          <w:b/>
          <w:bCs/>
          <w:sz w:val="22"/>
          <w:szCs w:val="22"/>
        </w:rPr>
        <w:t>N/A</w:t>
      </w:r>
    </w:p>
    <w:p w:rsidR="00511B22" w:rsidRPr="00A36D51" w:rsidP="00511B22" w14:paraId="0579A904" w14:textId="77777777">
      <w:pPr>
        <w:pStyle w:val="NoSpacing"/>
        <w:numPr>
          <w:ilvl w:val="0"/>
          <w:numId w:val="17"/>
        </w:numPr>
        <w:ind w:left="1080"/>
        <w:rPr>
          <w:sz w:val="22"/>
          <w:szCs w:val="22"/>
        </w:rPr>
      </w:pPr>
      <w:r w:rsidRPr="00A36D51">
        <w:rPr>
          <w:sz w:val="22"/>
          <w:szCs w:val="22"/>
        </w:rPr>
        <w:t xml:space="preserve">requiring respondents to retain records other than health, medical, government contract, grant-in-aid, or tax records for more than three years; </w:t>
      </w:r>
      <w:r w:rsidRPr="00DC2971">
        <w:rPr>
          <w:b/>
          <w:bCs/>
          <w:sz w:val="22"/>
          <w:szCs w:val="22"/>
        </w:rPr>
        <w:t>N/A</w:t>
      </w:r>
    </w:p>
    <w:p w:rsidR="00511B22" w:rsidRPr="00A36D51" w:rsidP="00511B22" w14:paraId="2755A3C5" w14:textId="77777777">
      <w:pPr>
        <w:pStyle w:val="NoSpacing"/>
        <w:numPr>
          <w:ilvl w:val="0"/>
          <w:numId w:val="17"/>
        </w:numPr>
        <w:ind w:left="1080"/>
        <w:rPr>
          <w:sz w:val="22"/>
          <w:szCs w:val="22"/>
        </w:rPr>
      </w:pPr>
      <w:r w:rsidRPr="00A36D51">
        <w:rPr>
          <w:sz w:val="22"/>
          <w:szCs w:val="22"/>
        </w:rPr>
        <w:t xml:space="preserve">in connection with a statistical survey, that is not designed to produce valid and reliable results than can be generalized to the universe of study; </w:t>
      </w:r>
      <w:r w:rsidRPr="00DC2971">
        <w:rPr>
          <w:b/>
          <w:bCs/>
          <w:sz w:val="22"/>
          <w:szCs w:val="22"/>
        </w:rPr>
        <w:t>N/A</w:t>
      </w:r>
    </w:p>
    <w:p w:rsidR="00511B22" w:rsidRPr="00A36D51" w:rsidP="00511B22" w14:paraId="1B788194" w14:textId="77777777">
      <w:pPr>
        <w:pStyle w:val="NoSpacing"/>
        <w:numPr>
          <w:ilvl w:val="0"/>
          <w:numId w:val="17"/>
        </w:numPr>
        <w:ind w:left="1080"/>
        <w:rPr>
          <w:sz w:val="22"/>
          <w:szCs w:val="22"/>
        </w:rPr>
      </w:pPr>
      <w:r w:rsidRPr="00A36D51">
        <w:rPr>
          <w:sz w:val="22"/>
          <w:szCs w:val="22"/>
        </w:rPr>
        <w:t xml:space="preserve">requiring the use of a statistical data classification that has not been reviewed and approved by OMB; </w:t>
      </w:r>
      <w:r w:rsidRPr="00DC2971">
        <w:rPr>
          <w:b/>
          <w:bCs/>
          <w:sz w:val="22"/>
          <w:szCs w:val="22"/>
        </w:rPr>
        <w:t>N/A</w:t>
      </w:r>
    </w:p>
    <w:p w:rsidR="00511B22" w:rsidRPr="00A36D51" w:rsidP="00511B22" w14:paraId="790FC967" w14:textId="77777777">
      <w:pPr>
        <w:pStyle w:val="NoSpacing"/>
        <w:numPr>
          <w:ilvl w:val="0"/>
          <w:numId w:val="17"/>
        </w:numPr>
        <w:ind w:left="1080"/>
        <w:rPr>
          <w:sz w:val="22"/>
          <w:szCs w:val="22"/>
        </w:rPr>
      </w:pPr>
      <w:r w:rsidRPr="00A36D51">
        <w:rPr>
          <w:sz w:val="22"/>
          <w:szCs w:val="22"/>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DC2971">
        <w:rPr>
          <w:b/>
          <w:bCs/>
          <w:sz w:val="22"/>
          <w:szCs w:val="22"/>
        </w:rPr>
        <w:t>N/A</w:t>
      </w:r>
    </w:p>
    <w:p w:rsidR="00511B22" w:rsidRPr="00A36D51" w:rsidP="00511B22" w14:paraId="6DAE6EEC" w14:textId="77777777">
      <w:pPr>
        <w:pStyle w:val="NoSpacing"/>
        <w:numPr>
          <w:ilvl w:val="0"/>
          <w:numId w:val="17"/>
        </w:numPr>
        <w:ind w:left="1080"/>
        <w:rPr>
          <w:sz w:val="22"/>
          <w:szCs w:val="22"/>
        </w:rPr>
      </w:pPr>
      <w:r w:rsidRPr="00A36D51">
        <w:rPr>
          <w:sz w:val="22"/>
          <w:szCs w:val="22"/>
        </w:rPr>
        <w:t xml:space="preserve">requiring respondents to submit proprietary trade secret, or other confidential information unless the agency can demonstrate that it has instituted procedures </w:t>
      </w:r>
      <w:bookmarkEnd w:id="1"/>
      <w:r w:rsidRPr="00A36D51">
        <w:rPr>
          <w:sz w:val="22"/>
          <w:szCs w:val="22"/>
        </w:rPr>
        <w:t>to protect the information's confidentiality to the extent permitted by law.</w:t>
      </w:r>
      <w:r w:rsidRPr="00DC2971">
        <w:rPr>
          <w:b/>
          <w:bCs/>
          <w:sz w:val="22"/>
          <w:szCs w:val="22"/>
        </w:rPr>
        <w:t xml:space="preserve"> N/A</w:t>
      </w:r>
      <w:r w:rsidRPr="00A36D51">
        <w:rPr>
          <w:sz w:val="22"/>
          <w:szCs w:val="22"/>
        </w:rPr>
        <w:t xml:space="preserve">         </w:t>
      </w:r>
    </w:p>
    <w:p w:rsidR="002F66C5" w:rsidRPr="002F66C5" w:rsidP="005E3C6B" w14:paraId="57E25356" w14:textId="77777777">
      <w:pPr>
        <w:pStyle w:val="ListParagraph"/>
        <w:rPr>
          <w:sz w:val="22"/>
          <w:szCs w:val="22"/>
        </w:rPr>
      </w:pPr>
    </w:p>
    <w:p w:rsidR="00F11734" w:rsidRPr="002F66C5" w:rsidP="00D53175" w14:paraId="20A3F0F9" w14:textId="77777777">
      <w:pPr>
        <w:pStyle w:val="NoSpacing"/>
        <w:numPr>
          <w:ilvl w:val="0"/>
          <w:numId w:val="14"/>
        </w:numPr>
        <w:rPr>
          <w:sz w:val="22"/>
          <w:szCs w:val="22"/>
        </w:rPr>
      </w:pPr>
      <w:r w:rsidRPr="002F66C5">
        <w:rPr>
          <w:sz w:val="22"/>
          <w:szCs w:val="22"/>
        </w:rPr>
        <w:t xml:space="preserve">This information is collected in a manner consistent with guidelines of 5 CFR 1320.8(d). </w:t>
      </w:r>
      <w:r w:rsidRPr="002F66C5" w:rsidR="00511B22">
        <w:rPr>
          <w:sz w:val="22"/>
          <w:szCs w:val="22"/>
        </w:rPr>
        <w:t xml:space="preserve">The Notice Announcing the collection of information appeared in the </w:t>
      </w:r>
      <w:r w:rsidRPr="00A72437" w:rsidR="00511B22">
        <w:rPr>
          <w:iCs/>
          <w:sz w:val="22"/>
          <w:szCs w:val="22"/>
        </w:rPr>
        <w:t>Federal Register</w:t>
      </w:r>
      <w:r w:rsidRPr="002F66C5" w:rsidR="00511B22">
        <w:rPr>
          <w:i/>
          <w:iCs/>
          <w:sz w:val="22"/>
          <w:szCs w:val="22"/>
        </w:rPr>
        <w:t xml:space="preserve"> </w:t>
      </w:r>
      <w:r w:rsidRPr="002F66C5" w:rsidR="00511B22">
        <w:rPr>
          <w:sz w:val="22"/>
          <w:szCs w:val="22"/>
        </w:rPr>
        <w:t xml:space="preserve">on </w:t>
      </w:r>
      <w:r w:rsidR="00511B22">
        <w:rPr>
          <w:sz w:val="22"/>
          <w:szCs w:val="22"/>
        </w:rPr>
        <w:t>Tuesday,</w:t>
      </w:r>
      <w:r w:rsidRPr="002F66C5" w:rsidR="00511B22">
        <w:rPr>
          <w:sz w:val="22"/>
          <w:szCs w:val="22"/>
        </w:rPr>
        <w:t xml:space="preserve"> </w:t>
      </w:r>
      <w:r w:rsidR="00511B22">
        <w:rPr>
          <w:sz w:val="22"/>
          <w:szCs w:val="22"/>
        </w:rPr>
        <w:t>September 27, 2022</w:t>
      </w:r>
      <w:r w:rsidRPr="002F66C5" w:rsidR="00511B22">
        <w:rPr>
          <w:sz w:val="22"/>
          <w:szCs w:val="22"/>
        </w:rPr>
        <w:t xml:space="preserve">, </w:t>
      </w:r>
      <w:r w:rsidR="00511B22">
        <w:rPr>
          <w:sz w:val="22"/>
          <w:szCs w:val="22"/>
        </w:rPr>
        <w:t xml:space="preserve">at </w:t>
      </w:r>
      <w:r w:rsidRPr="00511B22" w:rsidR="00511B22">
        <w:rPr>
          <w:sz w:val="22"/>
          <w:szCs w:val="22"/>
        </w:rPr>
        <w:t>87 FR 58524</w:t>
      </w:r>
      <w:r w:rsidRPr="002F66C5" w:rsidR="00511B22">
        <w:rPr>
          <w:sz w:val="22"/>
          <w:szCs w:val="22"/>
        </w:rPr>
        <w:t xml:space="preserve">.  </w:t>
      </w:r>
      <w:r w:rsidR="00511B22">
        <w:rPr>
          <w:sz w:val="22"/>
          <w:szCs w:val="22"/>
        </w:rPr>
        <w:t>Three</w:t>
      </w:r>
      <w:r w:rsidRPr="002F66C5" w:rsidR="00511B22">
        <w:rPr>
          <w:sz w:val="22"/>
          <w:szCs w:val="22"/>
        </w:rPr>
        <w:t xml:space="preserve"> comments were received</w:t>
      </w:r>
      <w:r w:rsidR="00511B22">
        <w:rPr>
          <w:sz w:val="22"/>
          <w:szCs w:val="22"/>
        </w:rPr>
        <w:t>; however, none caused a change in the form.</w:t>
      </w:r>
    </w:p>
    <w:p w:rsidR="002F66C5" w:rsidRPr="002F66C5" w:rsidP="005E3C6B" w14:paraId="4C60350E" w14:textId="77777777">
      <w:pPr>
        <w:pStyle w:val="ListParagraph"/>
        <w:rPr>
          <w:color w:val="000000"/>
          <w:sz w:val="22"/>
          <w:szCs w:val="22"/>
        </w:rPr>
      </w:pPr>
    </w:p>
    <w:p w:rsidR="002F66C5" w:rsidRPr="002F66C5" w:rsidP="005E3C6B" w14:paraId="21E0478F" w14:textId="77777777">
      <w:pPr>
        <w:pStyle w:val="NoSpacing"/>
        <w:numPr>
          <w:ilvl w:val="0"/>
          <w:numId w:val="14"/>
        </w:numPr>
        <w:rPr>
          <w:color w:val="000000"/>
          <w:sz w:val="22"/>
          <w:szCs w:val="22"/>
        </w:rPr>
      </w:pPr>
      <w:r w:rsidRPr="002F66C5">
        <w:rPr>
          <w:sz w:val="22"/>
          <w:szCs w:val="22"/>
        </w:rPr>
        <w:t>No payments or gifts are provided to respondents.</w:t>
      </w:r>
    </w:p>
    <w:p w:rsidR="002F66C5" w:rsidRPr="002F66C5" w:rsidP="005E3C6B" w14:paraId="3425FAE3" w14:textId="77777777">
      <w:pPr>
        <w:pStyle w:val="ListParagraph"/>
        <w:rPr>
          <w:color w:val="000000"/>
          <w:sz w:val="22"/>
          <w:szCs w:val="22"/>
        </w:rPr>
      </w:pPr>
    </w:p>
    <w:p w:rsidR="009B729A" w:rsidRPr="00A96BF2" w:rsidP="009B729A" w14:paraId="3016AA50" w14:textId="77777777">
      <w:pPr>
        <w:pStyle w:val="NoSpacing"/>
        <w:numPr>
          <w:ilvl w:val="0"/>
          <w:numId w:val="14"/>
        </w:numPr>
        <w:rPr>
          <w:color w:val="000000"/>
          <w:sz w:val="22"/>
          <w:szCs w:val="22"/>
        </w:rPr>
      </w:pPr>
      <w:r w:rsidRPr="00A96BF2">
        <w:rPr>
          <w:color w:val="000000"/>
          <w:sz w:val="22"/>
          <w:szCs w:val="22"/>
        </w:rPr>
        <w:t xml:space="preserve">There is no assurance of confidentiality provided to the respondents; however, respondents are covered by the Privacy Act of 1974. The information requested under this collection is protected and held private in accordance with 5 U.S.C. 552 (Freedom of Information Act), and (Privacy Act of 1974).  </w:t>
      </w:r>
    </w:p>
    <w:p w:rsidR="002F66C5" w:rsidRPr="002F66C5" w:rsidP="005E3C6B" w14:paraId="70907C5A" w14:textId="77777777">
      <w:pPr>
        <w:pStyle w:val="ListParagraph"/>
        <w:rPr>
          <w:sz w:val="22"/>
          <w:szCs w:val="22"/>
        </w:rPr>
      </w:pPr>
    </w:p>
    <w:p w:rsidR="002F66C5" w:rsidRPr="002F66C5" w:rsidP="005E3C6B" w14:paraId="71FF78DC" w14:textId="77777777">
      <w:pPr>
        <w:pStyle w:val="NoSpacing"/>
        <w:numPr>
          <w:ilvl w:val="0"/>
          <w:numId w:val="14"/>
        </w:numPr>
        <w:rPr>
          <w:color w:val="000000"/>
          <w:sz w:val="22"/>
          <w:szCs w:val="22"/>
        </w:rPr>
      </w:pPr>
      <w:r w:rsidRPr="002F66C5">
        <w:rPr>
          <w:sz w:val="22"/>
          <w:szCs w:val="22"/>
        </w:rPr>
        <w:t>The collection does not contain information of a sensitive nature about sexual behavior or attitudes, religious beliefs, or private matters.</w:t>
      </w:r>
    </w:p>
    <w:p w:rsidR="002F66C5" w:rsidRPr="002F66C5" w:rsidP="005E3C6B" w14:paraId="70CC8CF9" w14:textId="77777777">
      <w:pPr>
        <w:pStyle w:val="ListParagraph"/>
        <w:rPr>
          <w:color w:val="000000"/>
          <w:sz w:val="22"/>
          <w:szCs w:val="22"/>
        </w:rPr>
      </w:pPr>
    </w:p>
    <w:p w:rsidR="00E8145B" w:rsidP="005E3C6B" w14:paraId="724932CD" w14:textId="77777777">
      <w:pPr>
        <w:pStyle w:val="NoSpacing"/>
        <w:numPr>
          <w:ilvl w:val="0"/>
          <w:numId w:val="14"/>
        </w:numPr>
        <w:rPr>
          <w:color w:val="000000"/>
          <w:sz w:val="22"/>
          <w:szCs w:val="22"/>
        </w:rPr>
      </w:pPr>
      <w:r w:rsidRPr="002F66C5">
        <w:rPr>
          <w:color w:val="000000"/>
          <w:sz w:val="22"/>
          <w:szCs w:val="22"/>
        </w:rPr>
        <w:t>Estimated burden</w:t>
      </w:r>
      <w:r w:rsidR="00A52AA6">
        <w:rPr>
          <w:color w:val="000000"/>
          <w:sz w:val="22"/>
          <w:szCs w:val="22"/>
        </w:rPr>
        <w:t xml:space="preserve">, see </w:t>
      </w:r>
      <w:r w:rsidR="00A52AA6">
        <w:rPr>
          <w:color w:val="000000"/>
          <w:sz w:val="22"/>
          <w:szCs w:val="22"/>
        </w:rPr>
        <w:fldChar w:fldCharType="begin"/>
      </w:r>
      <w:r w:rsidR="00A52AA6">
        <w:rPr>
          <w:color w:val="000000"/>
          <w:sz w:val="22"/>
          <w:szCs w:val="22"/>
        </w:rPr>
        <w:instrText xml:space="preserve"> REF _Ref109658599 \h </w:instrText>
      </w:r>
      <w:r w:rsidR="00A52AA6">
        <w:rPr>
          <w:color w:val="000000"/>
          <w:sz w:val="22"/>
          <w:szCs w:val="22"/>
        </w:rPr>
        <w:fldChar w:fldCharType="separate"/>
      </w:r>
      <w:r w:rsidR="00A52AA6">
        <w:t xml:space="preserve">Table </w:t>
      </w:r>
      <w:r w:rsidR="00A52AA6">
        <w:rPr>
          <w:noProof/>
        </w:rPr>
        <w:t>1</w:t>
      </w:r>
      <w:r w:rsidR="00A52AA6">
        <w:rPr>
          <w:color w:val="000000"/>
          <w:sz w:val="22"/>
          <w:szCs w:val="22"/>
        </w:rPr>
        <w:fldChar w:fldCharType="end"/>
      </w:r>
      <w:r w:rsidRPr="002F66C5">
        <w:rPr>
          <w:color w:val="000000"/>
          <w:sz w:val="22"/>
          <w:szCs w:val="22"/>
        </w:rPr>
        <w:t>:</w:t>
      </w:r>
    </w:p>
    <w:p w:rsidR="00D557EA" w:rsidP="005E3C6B" w14:paraId="7D2ED688" w14:textId="77777777">
      <w:pPr>
        <w:pStyle w:val="ListParagraph"/>
        <w:rPr>
          <w:color w:val="000000"/>
          <w:sz w:val="22"/>
          <w:szCs w:val="22"/>
        </w:rPr>
      </w:pPr>
    </w:p>
    <w:p w:rsidR="00A52AA6" w:rsidP="005E3C6B" w14:paraId="08E92D8D" w14:textId="77777777">
      <w:pPr>
        <w:pStyle w:val="Caption"/>
      </w:pPr>
      <w:bookmarkStart w:id="3" w:name="_Ref109658599"/>
      <w:r>
        <w:t xml:space="preserve">Table </w:t>
      </w:r>
      <w:r w:rsidR="00156228">
        <w:fldChar w:fldCharType="begin"/>
      </w:r>
      <w:r w:rsidR="00156228">
        <w:instrText xml:space="preserve"> SEQ Table \* ARABIC </w:instrText>
      </w:r>
      <w:r w:rsidR="00156228">
        <w:fldChar w:fldCharType="separate"/>
      </w:r>
      <w:r>
        <w:rPr>
          <w:noProof/>
        </w:rPr>
        <w:t>1</w:t>
      </w:r>
      <w:r w:rsidR="00156228">
        <w:rPr>
          <w:noProof/>
        </w:rPr>
        <w:fldChar w:fldCharType="end"/>
      </w:r>
      <w:bookmarkEnd w:id="3"/>
      <w:r>
        <w:t>: Estimated Burden for Respondents</w:t>
      </w:r>
    </w:p>
    <w:p w:rsidR="003E1A00" w:rsidP="005E3C6B" w14:paraId="74851D5C" w14:textId="77777777">
      <w:pPr>
        <w:pStyle w:val="NoSpacing"/>
        <w:rPr>
          <w:color w:val="000000"/>
          <w:sz w:val="22"/>
          <w:szCs w:val="22"/>
        </w:rPr>
      </w:pPr>
    </w:p>
    <w:tbl>
      <w:tblPr>
        <w:tblW w:w="0" w:type="auto"/>
        <w:tblInd w:w="468" w:type="dxa"/>
        <w:tblCellMar>
          <w:left w:w="0" w:type="dxa"/>
          <w:right w:w="0" w:type="dxa"/>
        </w:tblCellMar>
        <w:tblLook w:val="04A0"/>
      </w:tblPr>
      <w:tblGrid>
        <w:gridCol w:w="1327"/>
        <w:gridCol w:w="1341"/>
        <w:gridCol w:w="1157"/>
        <w:gridCol w:w="1123"/>
        <w:gridCol w:w="1042"/>
        <w:gridCol w:w="1274"/>
        <w:gridCol w:w="1042"/>
        <w:gridCol w:w="1234"/>
      </w:tblGrid>
      <w:tr w14:paraId="6A0BC80E" w14:textId="77777777" w:rsidTr="00805723">
        <w:tblPrEx>
          <w:tblW w:w="0" w:type="auto"/>
          <w:tblInd w:w="468" w:type="dxa"/>
          <w:tblCellMar>
            <w:left w:w="0" w:type="dxa"/>
            <w:right w:w="0" w:type="dxa"/>
          </w:tblCellMar>
          <w:tblLook w:val="04A0"/>
        </w:tblPrEx>
        <w:tc>
          <w:tcPr>
            <w:tcW w:w="1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72A0" w:rsidRPr="006C7FAE" w:rsidP="00F73D17" w14:paraId="31C459E5"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3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72A0" w:rsidRPr="006C7FAE" w:rsidP="00F73D17" w14:paraId="54B96940"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1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72A0" w:rsidRPr="006C7FAE" w:rsidP="00F73D17" w14:paraId="6807ABE4"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72A0" w:rsidRPr="006C7FAE" w:rsidP="00F73D17" w14:paraId="095A3C66"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0372A0" w:rsidRPr="006C7FAE" w:rsidP="00F73D17" w14:paraId="65CBBE1D" w14:textId="77777777">
            <w:pPr>
              <w:adjustRightInd/>
              <w:jc w:val="center"/>
              <w:textAlignment w:val="auto"/>
              <w:rPr>
                <w:rFonts w:eastAsia="Calibri"/>
                <w:b/>
                <w:bCs/>
                <w:color w:val="000000"/>
              </w:rPr>
            </w:pPr>
            <w:r w:rsidRPr="006C7FAE">
              <w:rPr>
                <w:rFonts w:eastAsia="Calibri"/>
                <w:b/>
                <w:bCs/>
                <w:color w:val="000000"/>
              </w:rPr>
              <w:t>Per Annum</w:t>
            </w:r>
          </w:p>
        </w:tc>
        <w:tc>
          <w:tcPr>
            <w:tcW w:w="10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72A0" w:rsidRPr="006C7FAE" w:rsidP="00F73D17" w14:paraId="54494D0E"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12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72A0" w:rsidRPr="006C7FAE" w:rsidP="00F73D17" w14:paraId="1B1DE8DB" w14:textId="77777777">
            <w:pPr>
              <w:adjustRightInd/>
              <w:jc w:val="center"/>
              <w:textAlignment w:val="auto"/>
              <w:rPr>
                <w:rFonts w:eastAsia="Calibri"/>
                <w:b/>
                <w:bCs/>
                <w:color w:val="000000"/>
              </w:rPr>
            </w:pPr>
            <w:r w:rsidRPr="006C7FAE">
              <w:rPr>
                <w:rFonts w:eastAsia="Calibri"/>
                <w:b/>
                <w:bCs/>
                <w:color w:val="000000"/>
              </w:rPr>
              <w:t>Annual Burden Hours</w:t>
            </w:r>
          </w:p>
        </w:tc>
        <w:tc>
          <w:tcPr>
            <w:tcW w:w="10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72A0" w:rsidRPr="006C7FAE" w:rsidP="00F73D17" w14:paraId="657ADA12"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2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372A0" w:rsidRPr="006C7FAE" w:rsidP="00F73D17" w14:paraId="350CCD71"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0372A0" w:rsidRPr="006C7FAE" w:rsidP="00F73D17" w14:paraId="473226EA" w14:textId="77777777">
            <w:pPr>
              <w:adjustRightInd/>
              <w:jc w:val="center"/>
              <w:textAlignment w:val="auto"/>
              <w:rPr>
                <w:rFonts w:eastAsia="Calibri"/>
                <w:b/>
                <w:bCs/>
                <w:color w:val="000000"/>
              </w:rPr>
            </w:pPr>
          </w:p>
        </w:tc>
      </w:tr>
      <w:tr w14:paraId="3FF69324" w14:textId="77777777" w:rsidTr="00805723">
        <w:tblPrEx>
          <w:tblW w:w="0" w:type="auto"/>
          <w:tblInd w:w="468" w:type="dxa"/>
          <w:tblCellMar>
            <w:left w:w="0" w:type="dxa"/>
            <w:right w:w="0" w:type="dxa"/>
          </w:tblCellMar>
          <w:tblLook w:val="04A0"/>
        </w:tblPrEx>
        <w:tc>
          <w:tcPr>
            <w:tcW w:w="1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05723" w:rsidRPr="006C7FAE" w:rsidP="00805723" w14:paraId="6106B440" w14:textId="77777777">
            <w:pPr>
              <w:adjustRightInd/>
              <w:textAlignment w:val="auto"/>
              <w:rPr>
                <w:rFonts w:eastAsia="Calibri"/>
                <w:b/>
                <w:bCs/>
                <w:color w:val="000000"/>
              </w:rPr>
            </w:pPr>
            <w:r>
              <w:rPr>
                <w:rFonts w:ascii="Calibri" w:hAnsi="Calibri" w:cs="Calibri"/>
                <w:b/>
                <w:bCs/>
                <w:color w:val="000000"/>
              </w:rPr>
              <w:t>HUD-27061</w:t>
            </w:r>
          </w:p>
        </w:tc>
        <w:tc>
          <w:tcPr>
            <w:tcW w:w="1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723" w:rsidRPr="006C7FAE" w:rsidP="00805723" w14:paraId="593DDC0E" w14:textId="77777777">
            <w:pPr>
              <w:adjustRightInd/>
              <w:textAlignment w:val="auto"/>
              <w:rPr>
                <w:rFonts w:eastAsia="Calibri"/>
                <w:b/>
                <w:bCs/>
                <w:color w:val="000000"/>
              </w:rPr>
            </w:pPr>
            <w:r>
              <w:rPr>
                <w:rFonts w:ascii="Calibri" w:hAnsi="Calibri" w:cs="Calibri"/>
                <w:b/>
                <w:bCs/>
                <w:color w:val="000000"/>
              </w:rPr>
              <w:t>14,375</w:t>
            </w:r>
          </w:p>
        </w:tc>
        <w:tc>
          <w:tcPr>
            <w:tcW w:w="11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723" w:rsidRPr="006C7FAE" w:rsidP="00805723" w14:paraId="352FF900" w14:textId="77777777">
            <w:pPr>
              <w:adjustRightInd/>
              <w:jc w:val="center"/>
              <w:textAlignment w:val="auto"/>
              <w:rPr>
                <w:rFonts w:eastAsia="Calibri"/>
                <w:b/>
                <w:bCs/>
                <w:color w:val="000000"/>
              </w:rPr>
            </w:pPr>
            <w:r>
              <w:rPr>
                <w:rFonts w:ascii="Calibri" w:hAnsi="Calibri" w:cs="Calibri"/>
                <w:b/>
                <w:bCs/>
                <w:color w:val="000000"/>
              </w:rPr>
              <w:t>1.2</w:t>
            </w:r>
          </w:p>
        </w:tc>
        <w:tc>
          <w:tcPr>
            <w:tcW w:w="11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723" w:rsidRPr="006C7FAE" w:rsidP="00805723" w14:paraId="0C704EC4" w14:textId="77777777">
            <w:pPr>
              <w:adjustRightInd/>
              <w:jc w:val="center"/>
              <w:textAlignment w:val="auto"/>
              <w:rPr>
                <w:rFonts w:eastAsia="Calibri"/>
                <w:b/>
                <w:bCs/>
                <w:color w:val="000000"/>
              </w:rPr>
            </w:pPr>
            <w:r w:rsidRPr="00805723">
              <w:rPr>
                <w:rFonts w:ascii="Calibri" w:hAnsi="Calibri" w:cs="Calibri"/>
                <w:b/>
                <w:bCs/>
                <w:color w:val="000000"/>
              </w:rPr>
              <w:t>17</w:t>
            </w:r>
            <w:r>
              <w:rPr>
                <w:rFonts w:ascii="Calibri" w:hAnsi="Calibri" w:cs="Calibri"/>
                <w:b/>
                <w:bCs/>
                <w:color w:val="000000"/>
              </w:rPr>
              <w:t>,</w:t>
            </w:r>
            <w:r w:rsidRPr="00805723">
              <w:rPr>
                <w:rFonts w:ascii="Calibri" w:hAnsi="Calibri" w:cs="Calibri"/>
                <w:b/>
                <w:bCs/>
                <w:color w:val="000000"/>
              </w:rPr>
              <w:t>250</w:t>
            </w:r>
          </w:p>
        </w:tc>
        <w:tc>
          <w:tcPr>
            <w:tcW w:w="104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723" w:rsidRPr="006C7FAE" w:rsidP="00805723" w14:paraId="4B8A7FE8" w14:textId="77777777">
            <w:pPr>
              <w:adjustRightInd/>
              <w:jc w:val="center"/>
              <w:textAlignment w:val="auto"/>
              <w:rPr>
                <w:rFonts w:eastAsia="Calibri"/>
                <w:b/>
                <w:bCs/>
                <w:color w:val="000000"/>
              </w:rPr>
            </w:pPr>
            <w:r>
              <w:rPr>
                <w:rFonts w:ascii="Calibri" w:hAnsi="Calibri" w:cs="Calibri"/>
                <w:b/>
                <w:bCs/>
                <w:color w:val="000000"/>
              </w:rPr>
              <w:t>0.50</w:t>
            </w:r>
          </w:p>
        </w:tc>
        <w:tc>
          <w:tcPr>
            <w:tcW w:w="12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723" w:rsidRPr="00805723" w:rsidP="00805723" w14:paraId="1B59C4CB" w14:textId="77777777">
            <w:pPr>
              <w:adjustRightInd/>
              <w:jc w:val="center"/>
              <w:textAlignment w:val="auto"/>
              <w:rPr>
                <w:rFonts w:ascii="Calibri" w:hAnsi="Calibri" w:cs="Calibri"/>
                <w:b/>
                <w:bCs/>
                <w:color w:val="000000"/>
              </w:rPr>
            </w:pPr>
            <w:r w:rsidRPr="00805723">
              <w:rPr>
                <w:rFonts w:ascii="Calibri" w:hAnsi="Calibri" w:cs="Calibri"/>
                <w:b/>
                <w:bCs/>
                <w:color w:val="000000"/>
              </w:rPr>
              <w:t xml:space="preserve">8,625.00 </w:t>
            </w:r>
          </w:p>
        </w:tc>
        <w:tc>
          <w:tcPr>
            <w:tcW w:w="104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723" w:rsidRPr="00805723" w:rsidP="00805723" w14:paraId="5DDF6D98" w14:textId="77777777">
            <w:pPr>
              <w:adjustRightInd/>
              <w:jc w:val="right"/>
              <w:textAlignment w:val="auto"/>
              <w:rPr>
                <w:rFonts w:ascii="Calibri" w:hAnsi="Calibri" w:cs="Calibri"/>
                <w:b/>
                <w:bCs/>
                <w:color w:val="000000"/>
              </w:rPr>
            </w:pPr>
            <w:r w:rsidRPr="00805723">
              <w:rPr>
                <w:rFonts w:ascii="Calibri" w:hAnsi="Calibri" w:cs="Calibri"/>
                <w:b/>
                <w:bCs/>
                <w:color w:val="000000"/>
              </w:rPr>
              <w:t>$45.43</w:t>
            </w:r>
            <w:r>
              <w:rPr>
                <w:rFonts w:ascii="Calibri" w:hAnsi="Calibri" w:cs="Calibri"/>
                <w:b/>
                <w:bCs/>
                <w:color w:val="000000"/>
              </w:rPr>
              <w:t>*</w:t>
            </w:r>
            <w:r w:rsidRPr="00805723">
              <w:rPr>
                <w:rFonts w:ascii="Calibri" w:hAnsi="Calibri" w:cs="Calibri"/>
                <w:b/>
                <w:bCs/>
                <w:color w:val="000000"/>
              </w:rPr>
              <w:t xml:space="preserve"> </w:t>
            </w:r>
          </w:p>
        </w:tc>
        <w:tc>
          <w:tcPr>
            <w:tcW w:w="12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723" w:rsidRPr="00805723" w:rsidP="00805723" w14:paraId="5F7C55DB" w14:textId="457DF916">
            <w:pPr>
              <w:adjustRightInd/>
              <w:jc w:val="right"/>
              <w:textAlignment w:val="auto"/>
              <w:rPr>
                <w:rFonts w:ascii="Calibri" w:hAnsi="Calibri" w:cs="Calibri"/>
                <w:b/>
                <w:bCs/>
                <w:color w:val="000000"/>
              </w:rPr>
            </w:pPr>
            <w:r w:rsidRPr="00805723">
              <w:rPr>
                <w:rFonts w:ascii="Calibri" w:hAnsi="Calibri" w:cs="Calibri"/>
                <w:b/>
                <w:bCs/>
                <w:color w:val="000000"/>
              </w:rPr>
              <w:t>$</w:t>
            </w:r>
            <w:r w:rsidRPr="00156228" w:rsidR="00156228">
              <w:rPr>
                <w:rFonts w:ascii="Calibri" w:hAnsi="Calibri" w:cs="Calibri"/>
                <w:b/>
                <w:bCs/>
                <w:color w:val="000000"/>
              </w:rPr>
              <w:t>391,833.75</w:t>
            </w:r>
            <w:r w:rsidRPr="00805723">
              <w:rPr>
                <w:rFonts w:ascii="Calibri" w:hAnsi="Calibri" w:cs="Calibri"/>
                <w:b/>
                <w:bCs/>
                <w:color w:val="000000"/>
              </w:rPr>
              <w:t xml:space="preserve"> </w:t>
            </w:r>
          </w:p>
        </w:tc>
      </w:tr>
      <w:tr w14:paraId="16EB511F" w14:textId="77777777" w:rsidTr="00E8178D">
        <w:tblPrEx>
          <w:tblW w:w="0" w:type="auto"/>
          <w:tblInd w:w="468" w:type="dxa"/>
          <w:tblCellMar>
            <w:left w:w="0" w:type="dxa"/>
            <w:right w:w="0" w:type="dxa"/>
          </w:tblCellMar>
          <w:tblLook w:val="04A0"/>
        </w:tblPrEx>
        <w:tc>
          <w:tcPr>
            <w:tcW w:w="9540"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05723" w:rsidRPr="006C7FAE" w:rsidP="00805723" w14:paraId="7177AB16" w14:textId="77777777">
            <w:pPr>
              <w:adjustRightInd/>
              <w:textAlignment w:val="auto"/>
              <w:rPr>
                <w:rFonts w:eastAsia="Calibri"/>
                <w:b/>
                <w:bCs/>
                <w:color w:val="000000"/>
              </w:rPr>
            </w:pPr>
            <w:r>
              <w:rPr>
                <w:rFonts w:eastAsia="Calibri"/>
                <w:b/>
                <w:bCs/>
                <w:color w:val="000000"/>
              </w:rPr>
              <w:t xml:space="preserve">* </w:t>
            </w:r>
            <w:r w:rsidRPr="00805723">
              <w:rPr>
                <w:rFonts w:eastAsia="Calibri"/>
                <w:color w:val="000000"/>
              </w:rPr>
              <w:t xml:space="preserve">Median hourly rate for “Project Management Specialists” (occupation code 13-1082), May 2021 National Occupational Employment and Wage Estimates United States, </w:t>
            </w:r>
            <w:hyperlink r:id="rId5" w:anchor="11-0000" w:history="1">
              <w:r w:rsidRPr="00A955BA">
                <w:rPr>
                  <w:rStyle w:val="Hyperlink"/>
                  <w:rFonts w:eastAsia="Calibri"/>
                </w:rPr>
                <w:t>https://www.bls.gov/oes/current/oes_nat.htm#11-0000</w:t>
              </w:r>
            </w:hyperlink>
            <w:r w:rsidRPr="00805723">
              <w:rPr>
                <w:rFonts w:eastAsia="Calibri"/>
                <w:color w:val="000000"/>
              </w:rPr>
              <w:t>.</w:t>
            </w:r>
          </w:p>
        </w:tc>
      </w:tr>
    </w:tbl>
    <w:p w:rsidR="000372A0" w:rsidP="005E3C6B" w14:paraId="5C93DBEA" w14:textId="77777777">
      <w:pPr>
        <w:pStyle w:val="NoSpacing"/>
        <w:rPr>
          <w:color w:val="000000"/>
          <w:sz w:val="22"/>
          <w:szCs w:val="22"/>
        </w:rPr>
      </w:pPr>
    </w:p>
    <w:p w:rsidR="000372A0" w:rsidRPr="002F66C5" w:rsidP="005E3C6B" w14:paraId="2F688F0E" w14:textId="77777777">
      <w:pPr>
        <w:pStyle w:val="NoSpacing"/>
        <w:rPr>
          <w:color w:val="000000"/>
          <w:sz w:val="22"/>
          <w:szCs w:val="22"/>
        </w:rPr>
      </w:pPr>
    </w:p>
    <w:p w:rsidR="00E8145B" w:rsidRPr="002F66C5" w:rsidP="00107067" w14:paraId="5944C6E7" w14:textId="77777777">
      <w:pPr>
        <w:pStyle w:val="NoSpacing"/>
        <w:ind w:left="720"/>
        <w:rPr>
          <w:color w:val="000000"/>
          <w:sz w:val="22"/>
          <w:szCs w:val="22"/>
        </w:rPr>
      </w:pPr>
      <w:r w:rsidRPr="002F66C5">
        <w:rPr>
          <w:sz w:val="22"/>
          <w:szCs w:val="22"/>
        </w:rPr>
        <w:t>The estimated total of all grant application</w:t>
      </w:r>
      <w:r w:rsidRPr="002F66C5" w:rsidR="00DB66C2">
        <w:rPr>
          <w:sz w:val="22"/>
          <w:szCs w:val="22"/>
        </w:rPr>
        <w:t>s</w:t>
      </w:r>
      <w:r w:rsidRPr="002F66C5">
        <w:rPr>
          <w:sz w:val="22"/>
          <w:szCs w:val="22"/>
        </w:rPr>
        <w:t xml:space="preserve"> in all the Department’s current g</w:t>
      </w:r>
      <w:r w:rsidRPr="002F66C5" w:rsidR="00DB66C2">
        <w:rPr>
          <w:sz w:val="22"/>
          <w:szCs w:val="22"/>
        </w:rPr>
        <w:t xml:space="preserve">rant programs is approximately </w:t>
      </w:r>
      <w:r w:rsidR="00324B8F">
        <w:rPr>
          <w:sz w:val="22"/>
          <w:szCs w:val="22"/>
        </w:rPr>
        <w:t>1</w:t>
      </w:r>
      <w:r w:rsidR="00A3047B">
        <w:rPr>
          <w:sz w:val="22"/>
          <w:szCs w:val="22"/>
        </w:rPr>
        <w:t>4</w:t>
      </w:r>
      <w:r w:rsidRPr="002F66C5" w:rsidR="002874E2">
        <w:rPr>
          <w:sz w:val="22"/>
          <w:szCs w:val="22"/>
        </w:rPr>
        <w:t>,</w:t>
      </w:r>
      <w:r w:rsidR="00294579">
        <w:rPr>
          <w:sz w:val="22"/>
          <w:szCs w:val="22"/>
        </w:rPr>
        <w:t>375</w:t>
      </w:r>
      <w:r w:rsidR="0002140A">
        <w:rPr>
          <w:sz w:val="22"/>
          <w:szCs w:val="22"/>
        </w:rPr>
        <w:t>, including initial and updated applications</w:t>
      </w:r>
      <w:r w:rsidRPr="002F66C5">
        <w:rPr>
          <w:sz w:val="22"/>
          <w:szCs w:val="22"/>
        </w:rPr>
        <w:t xml:space="preserve">.  </w:t>
      </w:r>
      <w:bookmarkStart w:id="4" w:name="_Hlk109665304"/>
      <w:r w:rsidRPr="002F66C5">
        <w:rPr>
          <w:sz w:val="22"/>
          <w:szCs w:val="22"/>
        </w:rPr>
        <w:t xml:space="preserve">The actual burden is assessed against each </w:t>
      </w:r>
      <w:r w:rsidR="00A67D8D">
        <w:rPr>
          <w:sz w:val="22"/>
          <w:szCs w:val="22"/>
        </w:rPr>
        <w:t xml:space="preserve">HUD </w:t>
      </w:r>
      <w:r w:rsidRPr="002F66C5">
        <w:rPr>
          <w:sz w:val="22"/>
          <w:szCs w:val="22"/>
        </w:rPr>
        <w:t>program submission.</w:t>
      </w:r>
    </w:p>
    <w:bookmarkEnd w:id="4"/>
    <w:p w:rsidR="00E8145B" w:rsidRPr="002F66C5" w:rsidP="005E3C6B" w14:paraId="3E8F7C50" w14:textId="77777777">
      <w:pPr>
        <w:pStyle w:val="NoSpacing"/>
        <w:rPr>
          <w:color w:val="000000"/>
          <w:sz w:val="22"/>
          <w:szCs w:val="22"/>
        </w:rPr>
      </w:pPr>
    </w:p>
    <w:p w:rsidR="00E8145B" w:rsidRPr="002F66C5" w:rsidP="005E3C6B" w14:paraId="21A0CE39" w14:textId="77777777">
      <w:pPr>
        <w:pStyle w:val="NoSpacing"/>
        <w:numPr>
          <w:ilvl w:val="0"/>
          <w:numId w:val="14"/>
        </w:numPr>
        <w:rPr>
          <w:color w:val="000000"/>
          <w:sz w:val="22"/>
          <w:szCs w:val="22"/>
        </w:rPr>
      </w:pPr>
      <w:r w:rsidRPr="002F66C5">
        <w:rPr>
          <w:sz w:val="22"/>
          <w:szCs w:val="22"/>
        </w:rPr>
        <w:t>There are no additional costs associated with the collection of this information.</w:t>
      </w:r>
    </w:p>
    <w:p w:rsidR="00E8145B" w:rsidRPr="002F66C5" w:rsidP="005E3C6B" w14:paraId="31142D49" w14:textId="77777777">
      <w:pPr>
        <w:pStyle w:val="NoSpacing"/>
        <w:rPr>
          <w:color w:val="000000"/>
          <w:sz w:val="22"/>
          <w:szCs w:val="22"/>
        </w:rPr>
      </w:pPr>
    </w:p>
    <w:p w:rsidR="00E8145B" w:rsidRPr="002F66C5" w:rsidP="005E3C6B" w14:paraId="6E1A156B" w14:textId="77777777">
      <w:pPr>
        <w:pStyle w:val="NoSpacing"/>
        <w:numPr>
          <w:ilvl w:val="0"/>
          <w:numId w:val="14"/>
        </w:numPr>
        <w:rPr>
          <w:color w:val="000000"/>
          <w:sz w:val="22"/>
          <w:szCs w:val="22"/>
        </w:rPr>
      </w:pPr>
      <w:r w:rsidRPr="002F66C5">
        <w:rPr>
          <w:noProof/>
          <w:sz w:val="22"/>
          <w:szCs w:val="22"/>
        </w:rPr>
        <w:t xml:space="preserve">The </w:t>
      </w:r>
      <w:r w:rsidR="00A67D8D">
        <w:rPr>
          <w:noProof/>
          <w:sz w:val="22"/>
          <w:szCs w:val="22"/>
        </w:rPr>
        <w:t xml:space="preserve">actual </w:t>
      </w:r>
      <w:r w:rsidRPr="002F66C5">
        <w:rPr>
          <w:noProof/>
          <w:sz w:val="22"/>
          <w:szCs w:val="22"/>
        </w:rPr>
        <w:t xml:space="preserve">costs to the Federal government is assessed on each </w:t>
      </w:r>
      <w:r w:rsidR="00A67D8D">
        <w:rPr>
          <w:noProof/>
          <w:sz w:val="22"/>
          <w:szCs w:val="22"/>
        </w:rPr>
        <w:t>HUD</w:t>
      </w:r>
      <w:r w:rsidRPr="002F66C5">
        <w:rPr>
          <w:noProof/>
          <w:sz w:val="22"/>
          <w:szCs w:val="22"/>
        </w:rPr>
        <w:t xml:space="preserve"> program submission. </w:t>
      </w:r>
      <w:r w:rsidR="00A67D8D">
        <w:rPr>
          <w:noProof/>
          <w:sz w:val="22"/>
          <w:szCs w:val="22"/>
        </w:rPr>
        <w:t xml:space="preserve">However, </w:t>
      </w:r>
      <w:r w:rsidRPr="00A67D8D" w:rsidR="00A67D8D">
        <w:rPr>
          <w:noProof/>
          <w:sz w:val="22"/>
          <w:szCs w:val="22"/>
        </w:rPr>
        <w:t xml:space="preserve">HUD estimates the cost of the maximum burden on </w:t>
      </w:r>
      <w:bookmarkStart w:id="5" w:name="_Hlk109666488"/>
      <w:r w:rsidRPr="00A67D8D" w:rsidR="00A67D8D">
        <w:rPr>
          <w:noProof/>
          <w:sz w:val="22"/>
          <w:szCs w:val="22"/>
        </w:rPr>
        <w:t xml:space="preserve">HUD staff would total at most </w:t>
      </w:r>
      <w:bookmarkEnd w:id="5"/>
      <w:r w:rsidRPr="009B729A" w:rsidR="009B729A">
        <w:rPr>
          <w:noProof/>
          <w:sz w:val="22"/>
          <w:szCs w:val="22"/>
        </w:rPr>
        <w:t>$1,452,450.00</w:t>
      </w:r>
      <w:r w:rsidRPr="00A67D8D" w:rsidR="00A67D8D">
        <w:rPr>
          <w:noProof/>
          <w:sz w:val="22"/>
          <w:szCs w:val="22"/>
        </w:rPr>
        <w:t>.  Th</w:t>
      </w:r>
      <w:r w:rsidR="0037780B">
        <w:rPr>
          <w:noProof/>
          <w:sz w:val="22"/>
          <w:szCs w:val="22"/>
        </w:rPr>
        <w:t>is</w:t>
      </w:r>
      <w:r w:rsidRPr="00A67D8D" w:rsidR="00A67D8D">
        <w:rPr>
          <w:noProof/>
          <w:sz w:val="22"/>
          <w:szCs w:val="22"/>
        </w:rPr>
        <w:t xml:space="preserve"> estimate assume</w:t>
      </w:r>
      <w:r w:rsidR="009B729A">
        <w:rPr>
          <w:noProof/>
          <w:sz w:val="22"/>
          <w:szCs w:val="22"/>
        </w:rPr>
        <w:t>s</w:t>
      </w:r>
      <w:r w:rsidRPr="00A67D8D" w:rsidR="00A67D8D">
        <w:rPr>
          <w:noProof/>
          <w:sz w:val="22"/>
          <w:szCs w:val="22"/>
        </w:rPr>
        <w:t xml:space="preserve"> </w:t>
      </w:r>
      <w:r w:rsidR="009B729A">
        <w:rPr>
          <w:noProof/>
          <w:sz w:val="22"/>
          <w:szCs w:val="22"/>
        </w:rPr>
        <w:t xml:space="preserve">the </w:t>
      </w:r>
      <w:r w:rsidRPr="00A67D8D" w:rsidR="00A67D8D">
        <w:rPr>
          <w:noProof/>
          <w:sz w:val="22"/>
          <w:szCs w:val="22"/>
        </w:rPr>
        <w:t>form would be reviewed for one hour by a GS-13 step 5, and then by a GS-14 and a GS-15 who will look at summary results on an annual basis.</w:t>
      </w:r>
    </w:p>
    <w:p w:rsidR="00E8145B" w:rsidP="005E3C6B" w14:paraId="79B4AA25" w14:textId="77777777">
      <w:pPr>
        <w:pStyle w:val="NoSpacing"/>
        <w:rPr>
          <w:color w:val="000000"/>
          <w:sz w:val="22"/>
          <w:szCs w:val="22"/>
        </w:rPr>
      </w:pPr>
    </w:p>
    <w:p w:rsidR="00A8456B" w:rsidP="005E3C6B" w14:paraId="22F04C72" w14:textId="77777777">
      <w:pPr>
        <w:pStyle w:val="NoSpacing"/>
        <w:rPr>
          <w:color w:val="000000"/>
          <w:sz w:val="22"/>
          <w:szCs w:val="22"/>
        </w:rPr>
      </w:pPr>
    </w:p>
    <w:p w:rsidR="005C6B45" w:rsidP="005C6B45" w14:paraId="77B186C1" w14:textId="77777777">
      <w:pPr>
        <w:pStyle w:val="Caption"/>
        <w:keepNext/>
      </w:pPr>
      <w:bookmarkStart w:id="6" w:name="_Ref117790049"/>
      <w:r>
        <w:t xml:space="preserve">Table </w:t>
      </w:r>
      <w:r w:rsidR="00156228">
        <w:fldChar w:fldCharType="begin"/>
      </w:r>
      <w:r w:rsidR="00156228">
        <w:instrText xml:space="preserve"> SEQ Table \* ARABIC </w:instrText>
      </w:r>
      <w:r w:rsidR="00156228">
        <w:fldChar w:fldCharType="separate"/>
      </w:r>
      <w:r>
        <w:rPr>
          <w:noProof/>
        </w:rPr>
        <w:t>2</w:t>
      </w:r>
      <w:r w:rsidR="00156228">
        <w:rPr>
          <w:noProof/>
        </w:rPr>
        <w:fldChar w:fldCharType="end"/>
      </w:r>
      <w:bookmarkEnd w:id="6"/>
      <w:r>
        <w:t>: Estimated HUD Burden</w:t>
      </w:r>
    </w:p>
    <w:tbl>
      <w:tblPr>
        <w:tblW w:w="481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6"/>
        <w:gridCol w:w="1197"/>
        <w:gridCol w:w="1276"/>
        <w:gridCol w:w="1273"/>
        <w:gridCol w:w="1005"/>
        <w:gridCol w:w="828"/>
        <w:gridCol w:w="794"/>
        <w:gridCol w:w="849"/>
        <w:gridCol w:w="1252"/>
      </w:tblGrid>
      <w:tr w14:paraId="5A2DB821" w14:textId="77777777" w:rsidTr="005C6B45">
        <w:tblPrEx>
          <w:tblW w:w="481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95"/>
        </w:trPr>
        <w:tc>
          <w:tcPr>
            <w:tcW w:w="600" w:type="pct"/>
            <w:vMerge w:val="restart"/>
            <w:shd w:val="clear" w:color="auto" w:fill="auto"/>
            <w:noWrap/>
            <w:hideMark/>
          </w:tcPr>
          <w:p w:rsidR="005C6B45" w:rsidRPr="000F72D1" w:rsidP="00E8178D" w14:paraId="708B960B" w14:textId="77777777">
            <w:pPr>
              <w:pStyle w:val="NoSpacing"/>
              <w:rPr>
                <w:b/>
                <w:bCs/>
                <w:color w:val="000000"/>
                <w:sz w:val="18"/>
                <w:szCs w:val="18"/>
              </w:rPr>
            </w:pPr>
            <w:r w:rsidRPr="000F72D1">
              <w:rPr>
                <w:b/>
                <w:bCs/>
                <w:color w:val="000000"/>
                <w:sz w:val="18"/>
                <w:szCs w:val="18"/>
              </w:rPr>
              <w:t xml:space="preserve">Information </w:t>
            </w:r>
          </w:p>
          <w:p w:rsidR="005C6B45" w:rsidRPr="000F72D1" w:rsidP="00E8178D" w14:paraId="36080E9F" w14:textId="77777777">
            <w:pPr>
              <w:pStyle w:val="NoSpacing"/>
              <w:rPr>
                <w:b/>
                <w:bCs/>
                <w:color w:val="000000"/>
                <w:sz w:val="18"/>
                <w:szCs w:val="18"/>
              </w:rPr>
            </w:pPr>
            <w:r w:rsidRPr="000F72D1">
              <w:rPr>
                <w:b/>
                <w:bCs/>
                <w:color w:val="000000"/>
                <w:sz w:val="18"/>
                <w:szCs w:val="18"/>
              </w:rPr>
              <w:t>Collection</w:t>
            </w:r>
          </w:p>
        </w:tc>
        <w:tc>
          <w:tcPr>
            <w:tcW w:w="621" w:type="pct"/>
            <w:vMerge w:val="restart"/>
            <w:shd w:val="clear" w:color="auto" w:fill="auto"/>
            <w:hideMark/>
          </w:tcPr>
          <w:p w:rsidR="005C6B45" w:rsidRPr="000F72D1" w:rsidP="00E8178D" w14:paraId="6E25AF84" w14:textId="77777777">
            <w:pPr>
              <w:pStyle w:val="NoSpacing"/>
              <w:rPr>
                <w:b/>
                <w:bCs/>
                <w:color w:val="000000"/>
                <w:sz w:val="18"/>
                <w:szCs w:val="18"/>
              </w:rPr>
            </w:pPr>
            <w:r w:rsidRPr="000F72D1">
              <w:rPr>
                <w:b/>
                <w:bCs/>
                <w:color w:val="000000"/>
                <w:sz w:val="18"/>
                <w:szCs w:val="18"/>
              </w:rPr>
              <w:t>Number of Respondents</w:t>
            </w:r>
          </w:p>
        </w:tc>
        <w:tc>
          <w:tcPr>
            <w:tcW w:w="663" w:type="pct"/>
            <w:vMerge w:val="restart"/>
            <w:shd w:val="clear" w:color="auto" w:fill="auto"/>
            <w:hideMark/>
          </w:tcPr>
          <w:p w:rsidR="005C6B45" w:rsidRPr="000F72D1" w:rsidP="00E8178D" w14:paraId="36CB5F47" w14:textId="77777777">
            <w:pPr>
              <w:pStyle w:val="NoSpacing"/>
              <w:rPr>
                <w:b/>
                <w:bCs/>
                <w:color w:val="000000"/>
                <w:sz w:val="18"/>
                <w:szCs w:val="18"/>
              </w:rPr>
            </w:pPr>
            <w:r w:rsidRPr="000F72D1">
              <w:rPr>
                <w:b/>
                <w:bCs/>
                <w:color w:val="000000"/>
                <w:sz w:val="18"/>
                <w:szCs w:val="18"/>
              </w:rPr>
              <w:t>Frequency of Response</w:t>
            </w:r>
          </w:p>
        </w:tc>
        <w:tc>
          <w:tcPr>
            <w:tcW w:w="661" w:type="pct"/>
            <w:vMerge w:val="restart"/>
          </w:tcPr>
          <w:p w:rsidR="005C6B45" w:rsidRPr="000F72D1" w:rsidP="005C6B45" w14:paraId="3312F83E" w14:textId="77777777">
            <w:pPr>
              <w:overflowPunct/>
              <w:autoSpaceDE/>
              <w:autoSpaceDN/>
              <w:adjustRightInd/>
              <w:textAlignment w:val="auto"/>
              <w:rPr>
                <w:b/>
                <w:bCs/>
                <w:color w:val="000000"/>
                <w:sz w:val="18"/>
                <w:szCs w:val="18"/>
              </w:rPr>
            </w:pPr>
            <w:r w:rsidRPr="006C7FAE">
              <w:rPr>
                <w:rFonts w:eastAsia="Calibri"/>
                <w:b/>
                <w:bCs/>
                <w:color w:val="000000"/>
              </w:rPr>
              <w:t>Responses</w:t>
            </w:r>
            <w:r>
              <w:rPr>
                <w:rFonts w:eastAsia="Calibri"/>
                <w:b/>
                <w:bCs/>
                <w:color w:val="000000"/>
              </w:rPr>
              <w:t xml:space="preserve"> </w:t>
            </w:r>
            <w:r w:rsidRPr="006C7FAE">
              <w:rPr>
                <w:rFonts w:eastAsia="Calibri"/>
                <w:b/>
                <w:bCs/>
                <w:color w:val="000000"/>
              </w:rPr>
              <w:t>Per Annum</w:t>
            </w:r>
          </w:p>
        </w:tc>
        <w:tc>
          <w:tcPr>
            <w:tcW w:w="1805" w:type="pct"/>
            <w:gridSpan w:val="4"/>
            <w:shd w:val="clear" w:color="auto" w:fill="auto"/>
          </w:tcPr>
          <w:p w:rsidR="005C6B45" w:rsidRPr="000F72D1" w:rsidP="00E8178D" w14:paraId="79CA2701" w14:textId="77777777">
            <w:pPr>
              <w:pStyle w:val="NoSpacing"/>
              <w:rPr>
                <w:b/>
                <w:bCs/>
                <w:color w:val="000000"/>
                <w:sz w:val="18"/>
                <w:szCs w:val="18"/>
              </w:rPr>
            </w:pPr>
            <w:r w:rsidRPr="000F72D1">
              <w:rPr>
                <w:b/>
                <w:bCs/>
                <w:color w:val="000000"/>
                <w:sz w:val="18"/>
                <w:szCs w:val="18"/>
              </w:rPr>
              <w:t>Hourly Cost Per Response</w:t>
            </w:r>
            <w:r>
              <w:rPr>
                <w:b/>
                <w:bCs/>
                <w:color w:val="000000"/>
                <w:sz w:val="18"/>
                <w:szCs w:val="18"/>
              </w:rPr>
              <w:t>*</w:t>
            </w:r>
          </w:p>
        </w:tc>
        <w:tc>
          <w:tcPr>
            <w:tcW w:w="650" w:type="pct"/>
            <w:vMerge w:val="restart"/>
            <w:shd w:val="clear" w:color="auto" w:fill="auto"/>
            <w:hideMark/>
          </w:tcPr>
          <w:p w:rsidR="005C6B45" w:rsidRPr="000F72D1" w:rsidP="00E8178D" w14:paraId="5B475250" w14:textId="77777777">
            <w:pPr>
              <w:pStyle w:val="NoSpacing"/>
              <w:rPr>
                <w:b/>
                <w:bCs/>
                <w:color w:val="000000"/>
                <w:sz w:val="18"/>
                <w:szCs w:val="18"/>
              </w:rPr>
            </w:pPr>
            <w:r w:rsidRPr="000F72D1">
              <w:rPr>
                <w:b/>
                <w:bCs/>
                <w:color w:val="000000"/>
                <w:sz w:val="18"/>
                <w:szCs w:val="18"/>
              </w:rPr>
              <w:t>Annual Cost</w:t>
            </w:r>
          </w:p>
        </w:tc>
      </w:tr>
      <w:tr w14:paraId="4194D6CC" w14:textId="77777777" w:rsidTr="005C6B45">
        <w:tblPrEx>
          <w:tblW w:w="4811" w:type="pct"/>
          <w:tblInd w:w="378" w:type="dxa"/>
          <w:tblLook w:val="04A0"/>
        </w:tblPrEx>
        <w:trPr>
          <w:trHeight w:val="575"/>
        </w:trPr>
        <w:tc>
          <w:tcPr>
            <w:tcW w:w="600" w:type="pct"/>
            <w:vMerge/>
            <w:shd w:val="clear" w:color="auto" w:fill="auto"/>
            <w:noWrap/>
          </w:tcPr>
          <w:p w:rsidR="005C6B45" w:rsidRPr="000F72D1" w:rsidP="00E8178D" w14:paraId="26FDA780" w14:textId="77777777">
            <w:pPr>
              <w:pStyle w:val="NoSpacing"/>
              <w:rPr>
                <w:b/>
                <w:bCs/>
                <w:color w:val="000000"/>
                <w:sz w:val="18"/>
                <w:szCs w:val="18"/>
              </w:rPr>
            </w:pPr>
          </w:p>
        </w:tc>
        <w:tc>
          <w:tcPr>
            <w:tcW w:w="621" w:type="pct"/>
            <w:vMerge/>
            <w:shd w:val="clear" w:color="auto" w:fill="auto"/>
          </w:tcPr>
          <w:p w:rsidR="005C6B45" w:rsidRPr="000F72D1" w:rsidP="00E8178D" w14:paraId="6C0FA759" w14:textId="77777777">
            <w:pPr>
              <w:pStyle w:val="NoSpacing"/>
              <w:rPr>
                <w:b/>
                <w:bCs/>
                <w:color w:val="000000"/>
                <w:sz w:val="18"/>
                <w:szCs w:val="18"/>
              </w:rPr>
            </w:pPr>
          </w:p>
        </w:tc>
        <w:tc>
          <w:tcPr>
            <w:tcW w:w="663" w:type="pct"/>
            <w:vMerge/>
            <w:shd w:val="clear" w:color="auto" w:fill="auto"/>
          </w:tcPr>
          <w:p w:rsidR="005C6B45" w:rsidRPr="000F72D1" w:rsidP="00E8178D" w14:paraId="2F93F6F9" w14:textId="77777777">
            <w:pPr>
              <w:pStyle w:val="NoSpacing"/>
              <w:rPr>
                <w:b/>
                <w:bCs/>
                <w:color w:val="000000"/>
                <w:sz w:val="18"/>
                <w:szCs w:val="18"/>
              </w:rPr>
            </w:pPr>
          </w:p>
        </w:tc>
        <w:tc>
          <w:tcPr>
            <w:tcW w:w="661" w:type="pct"/>
            <w:vMerge/>
          </w:tcPr>
          <w:p w:rsidR="005C6B45" w:rsidRPr="000F72D1" w:rsidP="005C6B45" w14:paraId="5A7668D3" w14:textId="77777777">
            <w:pPr>
              <w:pStyle w:val="NoSpacing"/>
              <w:rPr>
                <w:b/>
                <w:bCs/>
                <w:color w:val="000000"/>
                <w:sz w:val="18"/>
                <w:szCs w:val="18"/>
              </w:rPr>
            </w:pPr>
          </w:p>
        </w:tc>
        <w:tc>
          <w:tcPr>
            <w:tcW w:w="522" w:type="pct"/>
            <w:shd w:val="clear" w:color="auto" w:fill="auto"/>
          </w:tcPr>
          <w:p w:rsidR="005C6B45" w:rsidRPr="000F72D1" w:rsidP="00E8178D" w14:paraId="0BA0539A" w14:textId="77777777">
            <w:pPr>
              <w:pStyle w:val="NoSpacing"/>
              <w:rPr>
                <w:b/>
                <w:bCs/>
                <w:color w:val="000000"/>
                <w:sz w:val="18"/>
                <w:szCs w:val="18"/>
              </w:rPr>
            </w:pPr>
            <w:r w:rsidRPr="000F72D1">
              <w:rPr>
                <w:b/>
                <w:bCs/>
                <w:color w:val="000000"/>
                <w:sz w:val="18"/>
                <w:szCs w:val="18"/>
              </w:rPr>
              <w:t>GS 13: 1 hour</w:t>
            </w:r>
          </w:p>
        </w:tc>
        <w:tc>
          <w:tcPr>
            <w:tcW w:w="430" w:type="pct"/>
            <w:shd w:val="clear" w:color="auto" w:fill="auto"/>
          </w:tcPr>
          <w:p w:rsidR="005C6B45" w:rsidRPr="000F72D1" w:rsidP="00E8178D" w14:paraId="20B3F278" w14:textId="77777777">
            <w:pPr>
              <w:pStyle w:val="NoSpacing"/>
              <w:rPr>
                <w:b/>
                <w:bCs/>
                <w:color w:val="000000"/>
                <w:sz w:val="18"/>
                <w:szCs w:val="18"/>
              </w:rPr>
            </w:pPr>
            <w:r w:rsidRPr="000F72D1">
              <w:rPr>
                <w:b/>
                <w:bCs/>
                <w:color w:val="000000"/>
                <w:sz w:val="18"/>
                <w:szCs w:val="18"/>
              </w:rPr>
              <w:t>GS 14: 15 mins.</w:t>
            </w:r>
          </w:p>
        </w:tc>
        <w:tc>
          <w:tcPr>
            <w:tcW w:w="412" w:type="pct"/>
            <w:shd w:val="clear" w:color="auto" w:fill="auto"/>
          </w:tcPr>
          <w:p w:rsidR="005C6B45" w:rsidRPr="000F72D1" w:rsidP="00E8178D" w14:paraId="3269AFEC" w14:textId="77777777">
            <w:pPr>
              <w:pStyle w:val="NoSpacing"/>
              <w:rPr>
                <w:b/>
                <w:bCs/>
                <w:color w:val="000000"/>
                <w:sz w:val="18"/>
                <w:szCs w:val="18"/>
              </w:rPr>
            </w:pPr>
            <w:r w:rsidRPr="000F72D1">
              <w:rPr>
                <w:b/>
                <w:bCs/>
                <w:color w:val="000000"/>
                <w:sz w:val="18"/>
                <w:szCs w:val="18"/>
              </w:rPr>
              <w:t>GS 15: 15 mins.</w:t>
            </w:r>
          </w:p>
        </w:tc>
        <w:tc>
          <w:tcPr>
            <w:tcW w:w="440" w:type="pct"/>
            <w:shd w:val="clear" w:color="auto" w:fill="auto"/>
          </w:tcPr>
          <w:p w:rsidR="005C6B45" w:rsidRPr="000F72D1" w:rsidP="00E8178D" w14:paraId="1B8ED1C5" w14:textId="77777777">
            <w:pPr>
              <w:pStyle w:val="NoSpacing"/>
              <w:rPr>
                <w:b/>
                <w:bCs/>
                <w:color w:val="000000"/>
                <w:sz w:val="18"/>
                <w:szCs w:val="18"/>
              </w:rPr>
            </w:pPr>
            <w:r w:rsidRPr="000F72D1">
              <w:rPr>
                <w:b/>
                <w:bCs/>
                <w:color w:val="000000"/>
                <w:sz w:val="18"/>
                <w:szCs w:val="18"/>
              </w:rPr>
              <w:t>Blended</w:t>
            </w:r>
          </w:p>
        </w:tc>
        <w:tc>
          <w:tcPr>
            <w:tcW w:w="650" w:type="pct"/>
            <w:vMerge/>
            <w:shd w:val="clear" w:color="auto" w:fill="auto"/>
          </w:tcPr>
          <w:p w:rsidR="005C6B45" w:rsidRPr="000F72D1" w:rsidP="00E8178D" w14:paraId="51122EA8" w14:textId="77777777">
            <w:pPr>
              <w:pStyle w:val="NoSpacing"/>
              <w:rPr>
                <w:b/>
                <w:bCs/>
                <w:color w:val="000000"/>
                <w:sz w:val="18"/>
                <w:szCs w:val="18"/>
              </w:rPr>
            </w:pPr>
          </w:p>
        </w:tc>
      </w:tr>
      <w:tr w14:paraId="5AB2BE41" w14:textId="77777777" w:rsidTr="005C6B45">
        <w:tblPrEx>
          <w:tblW w:w="4811" w:type="pct"/>
          <w:tblInd w:w="378" w:type="dxa"/>
          <w:tblLook w:val="04A0"/>
        </w:tblPrEx>
        <w:trPr>
          <w:trHeight w:val="300"/>
        </w:trPr>
        <w:tc>
          <w:tcPr>
            <w:tcW w:w="600" w:type="pct"/>
            <w:shd w:val="clear" w:color="auto" w:fill="auto"/>
            <w:noWrap/>
            <w:hideMark/>
          </w:tcPr>
          <w:p w:rsidR="005C6B45" w:rsidRPr="000F72D1" w:rsidP="00E8178D" w14:paraId="06011BF1" w14:textId="77777777">
            <w:pPr>
              <w:pStyle w:val="NoSpacing"/>
              <w:rPr>
                <w:color w:val="000000"/>
                <w:sz w:val="18"/>
                <w:szCs w:val="18"/>
              </w:rPr>
            </w:pPr>
            <w:r w:rsidRPr="000F72D1">
              <w:rPr>
                <w:sz w:val="18"/>
                <w:szCs w:val="18"/>
              </w:rPr>
              <w:t>HUD</w:t>
            </w:r>
            <w:r>
              <w:rPr>
                <w:sz w:val="18"/>
                <w:szCs w:val="18"/>
              </w:rPr>
              <w:t>-27061</w:t>
            </w:r>
          </w:p>
        </w:tc>
        <w:tc>
          <w:tcPr>
            <w:tcW w:w="621" w:type="pct"/>
            <w:shd w:val="clear" w:color="auto" w:fill="auto"/>
            <w:noWrap/>
            <w:hideMark/>
          </w:tcPr>
          <w:p w:rsidR="005C6B45" w:rsidRPr="000F72D1" w:rsidP="00E8178D" w14:paraId="73999921" w14:textId="77777777">
            <w:pPr>
              <w:pStyle w:val="NoSpacing"/>
              <w:rPr>
                <w:color w:val="000000"/>
                <w:sz w:val="18"/>
                <w:szCs w:val="18"/>
              </w:rPr>
            </w:pPr>
            <w:r w:rsidRPr="000F72D1">
              <w:rPr>
                <w:sz w:val="18"/>
                <w:szCs w:val="18"/>
              </w:rPr>
              <w:t>14,375</w:t>
            </w:r>
          </w:p>
        </w:tc>
        <w:tc>
          <w:tcPr>
            <w:tcW w:w="663" w:type="pct"/>
            <w:shd w:val="clear" w:color="auto" w:fill="auto"/>
            <w:noWrap/>
            <w:hideMark/>
          </w:tcPr>
          <w:p w:rsidR="005C6B45" w:rsidRPr="000F72D1" w:rsidP="00E8178D" w14:paraId="66948A1C" w14:textId="77777777">
            <w:pPr>
              <w:pStyle w:val="NoSpacing"/>
              <w:rPr>
                <w:color w:val="000000"/>
                <w:sz w:val="18"/>
                <w:szCs w:val="18"/>
              </w:rPr>
            </w:pPr>
            <w:r w:rsidRPr="000F72D1">
              <w:rPr>
                <w:sz w:val="18"/>
                <w:szCs w:val="18"/>
              </w:rPr>
              <w:t>1.2</w:t>
            </w:r>
          </w:p>
        </w:tc>
        <w:tc>
          <w:tcPr>
            <w:tcW w:w="661" w:type="pct"/>
          </w:tcPr>
          <w:p w:rsidR="005C6B45" w:rsidRPr="00D74120" w:rsidP="00E8178D" w14:paraId="6B834F94" w14:textId="77777777">
            <w:pPr>
              <w:pStyle w:val="NoSpacing"/>
              <w:rPr>
                <w:sz w:val="18"/>
                <w:szCs w:val="18"/>
              </w:rPr>
            </w:pPr>
            <w:r w:rsidRPr="00D74120">
              <w:rPr>
                <w:rFonts w:ascii="Calibri" w:hAnsi="Calibri" w:cs="Calibri"/>
                <w:color w:val="000000"/>
              </w:rPr>
              <w:t>17,250</w:t>
            </w:r>
          </w:p>
        </w:tc>
        <w:tc>
          <w:tcPr>
            <w:tcW w:w="522" w:type="pct"/>
            <w:shd w:val="clear" w:color="auto" w:fill="auto"/>
            <w:noWrap/>
            <w:hideMark/>
          </w:tcPr>
          <w:p w:rsidR="005C6B45" w:rsidRPr="000F72D1" w:rsidP="00E8178D" w14:paraId="2790C0D3" w14:textId="77777777">
            <w:pPr>
              <w:pStyle w:val="NoSpacing"/>
              <w:rPr>
                <w:color w:val="000000"/>
                <w:sz w:val="18"/>
                <w:szCs w:val="18"/>
              </w:rPr>
            </w:pPr>
            <w:r w:rsidRPr="000F72D1">
              <w:rPr>
                <w:sz w:val="18"/>
                <w:szCs w:val="18"/>
              </w:rPr>
              <w:t>$51.25</w:t>
            </w:r>
          </w:p>
        </w:tc>
        <w:tc>
          <w:tcPr>
            <w:tcW w:w="430" w:type="pct"/>
            <w:shd w:val="clear" w:color="auto" w:fill="auto"/>
            <w:noWrap/>
            <w:hideMark/>
          </w:tcPr>
          <w:p w:rsidR="005C6B45" w:rsidRPr="000F72D1" w:rsidP="00E8178D" w14:paraId="77423365" w14:textId="77777777">
            <w:pPr>
              <w:pStyle w:val="NoSpacing"/>
              <w:rPr>
                <w:color w:val="000000"/>
                <w:sz w:val="18"/>
                <w:szCs w:val="18"/>
              </w:rPr>
            </w:pPr>
            <w:r w:rsidRPr="000F72D1">
              <w:rPr>
                <w:sz w:val="18"/>
                <w:szCs w:val="18"/>
              </w:rPr>
              <w:t>$15.14</w:t>
            </w:r>
          </w:p>
        </w:tc>
        <w:tc>
          <w:tcPr>
            <w:tcW w:w="412" w:type="pct"/>
            <w:shd w:val="clear" w:color="auto" w:fill="auto"/>
            <w:noWrap/>
            <w:hideMark/>
          </w:tcPr>
          <w:p w:rsidR="005C6B45" w:rsidRPr="000F72D1" w:rsidP="00E8178D" w14:paraId="41BA943D" w14:textId="77777777">
            <w:pPr>
              <w:pStyle w:val="NoSpacing"/>
              <w:rPr>
                <w:color w:val="000000"/>
                <w:sz w:val="18"/>
                <w:szCs w:val="18"/>
              </w:rPr>
            </w:pPr>
            <w:r w:rsidRPr="000F72D1">
              <w:rPr>
                <w:sz w:val="18"/>
                <w:szCs w:val="18"/>
              </w:rPr>
              <w:t>$17.81</w:t>
            </w:r>
          </w:p>
        </w:tc>
        <w:tc>
          <w:tcPr>
            <w:tcW w:w="440" w:type="pct"/>
            <w:shd w:val="clear" w:color="auto" w:fill="auto"/>
            <w:noWrap/>
            <w:hideMark/>
          </w:tcPr>
          <w:p w:rsidR="005C6B45" w:rsidRPr="000F72D1" w:rsidP="00E8178D" w14:paraId="2DD5CD64" w14:textId="77777777">
            <w:pPr>
              <w:pStyle w:val="NoSpacing"/>
              <w:rPr>
                <w:color w:val="000000"/>
                <w:sz w:val="18"/>
                <w:szCs w:val="18"/>
              </w:rPr>
            </w:pPr>
            <w:r w:rsidRPr="000F72D1">
              <w:rPr>
                <w:sz w:val="18"/>
                <w:szCs w:val="18"/>
              </w:rPr>
              <w:t>$84.20</w:t>
            </w:r>
          </w:p>
        </w:tc>
        <w:tc>
          <w:tcPr>
            <w:tcW w:w="650" w:type="pct"/>
            <w:shd w:val="clear" w:color="auto" w:fill="auto"/>
            <w:noWrap/>
            <w:hideMark/>
          </w:tcPr>
          <w:p w:rsidR="005C6B45" w:rsidRPr="000F72D1" w:rsidP="00E8178D" w14:paraId="7E353803" w14:textId="77777777">
            <w:pPr>
              <w:pStyle w:val="NoSpacing"/>
              <w:rPr>
                <w:color w:val="000000"/>
                <w:sz w:val="18"/>
                <w:szCs w:val="18"/>
              </w:rPr>
            </w:pPr>
            <w:r w:rsidRPr="000F72D1">
              <w:rPr>
                <w:sz w:val="18"/>
                <w:szCs w:val="18"/>
              </w:rPr>
              <w:t>$1,452,450.00</w:t>
            </w:r>
          </w:p>
        </w:tc>
      </w:tr>
    </w:tbl>
    <w:p w:rsidR="00A8456B" w:rsidP="005C6B45" w14:paraId="1639A480" w14:textId="77777777">
      <w:pPr>
        <w:pStyle w:val="NoSpacing"/>
        <w:ind w:left="360"/>
        <w:rPr>
          <w:color w:val="000000"/>
          <w:sz w:val="22"/>
          <w:szCs w:val="22"/>
        </w:rPr>
      </w:pPr>
      <w:r>
        <w:t xml:space="preserve">* </w:t>
      </w:r>
      <w:bookmarkStart w:id="7" w:name="OLE_LINK1"/>
      <w:bookmarkStart w:id="8" w:name="_Hlk525141270"/>
      <w:r>
        <w:t xml:space="preserve">Using </w:t>
      </w:r>
      <w:hyperlink r:id="rId6" w:history="1">
        <w:r w:rsidRPr="00AB351F">
          <w:rPr>
            <w:rStyle w:val="Hyperlink"/>
          </w:rPr>
          <w:t>OPM’s “Rest of the United States” hourly rates for 2022</w:t>
        </w:r>
      </w:hyperlink>
      <w:r>
        <w:t xml:space="preserve">, </w:t>
      </w:r>
      <w:r w:rsidRPr="00EF2301">
        <w:t>Federal staff time is estimated for a GS-13 step 5 at</w:t>
      </w:r>
      <w:r>
        <w:t xml:space="preserve"> $</w:t>
      </w:r>
      <w:r w:rsidRPr="008613B7">
        <w:t>5</w:t>
      </w:r>
      <w:r>
        <w:t>1</w:t>
      </w:r>
      <w:r w:rsidRPr="008613B7">
        <w:t>.</w:t>
      </w:r>
      <w:r>
        <w:t>2</w:t>
      </w:r>
      <w:r w:rsidRPr="008613B7">
        <w:t>5</w:t>
      </w:r>
      <w:r>
        <w:t xml:space="preserve"> </w:t>
      </w:r>
      <w:r w:rsidRPr="00EF2301">
        <w:t xml:space="preserve">per hour, </w:t>
      </w:r>
      <w:bookmarkEnd w:id="7"/>
      <w:bookmarkEnd w:id="8"/>
      <w:r w:rsidRPr="00410BE3">
        <w:t>as well as 15 minutes each for a GS-14 step 5 at $</w:t>
      </w:r>
      <w:r w:rsidRPr="00AB351F">
        <w:t>60.56</w:t>
      </w:r>
      <w:r w:rsidRPr="00410BE3">
        <w:t>/hr. and a GS-15 step 5 at $</w:t>
      </w:r>
      <w:r w:rsidRPr="00AB351F">
        <w:t>71.24</w:t>
      </w:r>
      <w:r w:rsidRPr="00410BE3">
        <w:t>/hr., bringing the blended total to $</w:t>
      </w:r>
      <w:r>
        <w:t>84.20</w:t>
      </w:r>
      <w:r w:rsidRPr="00410BE3">
        <w:t xml:space="preserve">/hr for each form submitted.   </w:t>
      </w:r>
    </w:p>
    <w:p w:rsidR="00A8456B" w:rsidRPr="002F66C5" w:rsidP="005E3C6B" w14:paraId="3C6870A8" w14:textId="77777777">
      <w:pPr>
        <w:pStyle w:val="NoSpacing"/>
        <w:rPr>
          <w:color w:val="000000"/>
          <w:sz w:val="22"/>
          <w:szCs w:val="22"/>
        </w:rPr>
      </w:pPr>
    </w:p>
    <w:p w:rsidR="00E8145B" w:rsidRPr="002F66C5" w:rsidP="005E3C6B" w14:paraId="0DB6B2AD" w14:textId="77777777">
      <w:pPr>
        <w:pStyle w:val="NoSpacing"/>
        <w:numPr>
          <w:ilvl w:val="0"/>
          <w:numId w:val="14"/>
        </w:numPr>
        <w:rPr>
          <w:color w:val="000000"/>
          <w:sz w:val="22"/>
          <w:szCs w:val="22"/>
        </w:rPr>
      </w:pPr>
      <w:r w:rsidRPr="002F66C5">
        <w:rPr>
          <w:sz w:val="22"/>
          <w:szCs w:val="22"/>
        </w:rPr>
        <w:t xml:space="preserve">This is a </w:t>
      </w:r>
      <w:r w:rsidR="0061605E">
        <w:rPr>
          <w:sz w:val="22"/>
          <w:szCs w:val="22"/>
        </w:rPr>
        <w:t>reinstatement with change</w:t>
      </w:r>
      <w:r w:rsidRPr="002F66C5">
        <w:rPr>
          <w:sz w:val="22"/>
          <w:szCs w:val="22"/>
        </w:rPr>
        <w:t xml:space="preserve"> of a currently approved collection. </w:t>
      </w:r>
      <w:r w:rsidR="00253A0B">
        <w:rPr>
          <w:sz w:val="22"/>
          <w:szCs w:val="22"/>
        </w:rPr>
        <w:t xml:space="preserve">The field labeled DUNS Number is relabeled as </w:t>
      </w:r>
      <w:r w:rsidR="002E724E">
        <w:rPr>
          <w:sz w:val="22"/>
          <w:szCs w:val="22"/>
        </w:rPr>
        <w:t>Grantee/Recipient UEI</w:t>
      </w:r>
      <w:r w:rsidR="00253A0B">
        <w:rPr>
          <w:sz w:val="22"/>
          <w:szCs w:val="22"/>
        </w:rPr>
        <w:t xml:space="preserve">. </w:t>
      </w:r>
      <w:r w:rsidR="009B729A">
        <w:rPr>
          <w:sz w:val="22"/>
          <w:szCs w:val="22"/>
        </w:rPr>
        <w:t>The PRA statement was also updated for compliance.</w:t>
      </w:r>
    </w:p>
    <w:p w:rsidR="00E8145B" w:rsidRPr="002F66C5" w:rsidP="005E3C6B" w14:paraId="34F161ED" w14:textId="77777777">
      <w:pPr>
        <w:pStyle w:val="NoSpacing"/>
        <w:rPr>
          <w:color w:val="000000"/>
          <w:sz w:val="22"/>
          <w:szCs w:val="22"/>
        </w:rPr>
      </w:pPr>
    </w:p>
    <w:p w:rsidR="00E8145B" w:rsidRPr="002F66C5" w:rsidP="005E3C6B" w14:paraId="2B469B17" w14:textId="77777777">
      <w:pPr>
        <w:pStyle w:val="NoSpacing"/>
        <w:numPr>
          <w:ilvl w:val="0"/>
          <w:numId w:val="14"/>
        </w:numPr>
        <w:rPr>
          <w:color w:val="000000"/>
          <w:sz w:val="22"/>
          <w:szCs w:val="22"/>
        </w:rPr>
      </w:pPr>
      <w:r w:rsidRPr="002F66C5">
        <w:rPr>
          <w:color w:val="000000"/>
          <w:sz w:val="22"/>
          <w:szCs w:val="22"/>
        </w:rPr>
        <w:t xml:space="preserve">The information </w:t>
      </w:r>
      <w:r w:rsidR="009E759B">
        <w:rPr>
          <w:color w:val="000000"/>
          <w:sz w:val="22"/>
          <w:szCs w:val="22"/>
        </w:rPr>
        <w:t>may be made available publicly depending on requests from OMB, Congress, or Federal agencies with appropriate authority.  Also, individual HUD programs may assess needs to publish information.</w:t>
      </w:r>
      <w:r w:rsidRPr="002F66C5">
        <w:rPr>
          <w:color w:val="000000"/>
          <w:sz w:val="22"/>
          <w:szCs w:val="22"/>
        </w:rPr>
        <w:t xml:space="preserve">  </w:t>
      </w:r>
    </w:p>
    <w:p w:rsidR="00E8145B" w:rsidRPr="002F66C5" w:rsidP="005E3C6B" w14:paraId="4EB87A9A" w14:textId="77777777">
      <w:pPr>
        <w:pStyle w:val="NoSpacing"/>
        <w:rPr>
          <w:color w:val="000000"/>
          <w:sz w:val="22"/>
          <w:szCs w:val="22"/>
        </w:rPr>
      </w:pPr>
    </w:p>
    <w:p w:rsidR="007371F6" w:rsidRPr="002F66C5" w:rsidP="005E3C6B" w14:paraId="16443718" w14:textId="77777777">
      <w:pPr>
        <w:pStyle w:val="NoSpacing"/>
        <w:numPr>
          <w:ilvl w:val="0"/>
          <w:numId w:val="14"/>
        </w:numPr>
        <w:rPr>
          <w:sz w:val="22"/>
          <w:szCs w:val="22"/>
        </w:rPr>
      </w:pPr>
      <w:r w:rsidRPr="002F66C5">
        <w:rPr>
          <w:sz w:val="22"/>
          <w:szCs w:val="22"/>
        </w:rPr>
        <w:t>The information collection instrument</w:t>
      </w:r>
      <w:r w:rsidRPr="002F66C5" w:rsidR="00DB66C2">
        <w:rPr>
          <w:sz w:val="22"/>
          <w:szCs w:val="22"/>
        </w:rPr>
        <w:t>s</w:t>
      </w:r>
      <w:r w:rsidRPr="002F66C5">
        <w:rPr>
          <w:sz w:val="22"/>
          <w:szCs w:val="22"/>
        </w:rPr>
        <w:t xml:space="preserve"> will display the expiration date for OMB approval of the information collection.</w:t>
      </w:r>
    </w:p>
    <w:p w:rsidR="00E8145B" w:rsidRPr="002F66C5" w:rsidP="005E3C6B" w14:paraId="520262B1" w14:textId="77777777">
      <w:pPr>
        <w:pStyle w:val="NoSpacing"/>
        <w:rPr>
          <w:color w:val="000000"/>
          <w:sz w:val="22"/>
          <w:szCs w:val="22"/>
        </w:rPr>
      </w:pPr>
    </w:p>
    <w:p w:rsidR="00E8145B" w:rsidRPr="00040303" w:rsidP="005E3C6B" w14:paraId="40910B60" w14:textId="77777777">
      <w:pPr>
        <w:pStyle w:val="NoSpacing"/>
        <w:numPr>
          <w:ilvl w:val="0"/>
          <w:numId w:val="14"/>
        </w:numPr>
        <w:rPr>
          <w:sz w:val="22"/>
          <w:szCs w:val="22"/>
        </w:rPr>
      </w:pPr>
      <w:r w:rsidRPr="00040303">
        <w:rPr>
          <w:sz w:val="22"/>
          <w:szCs w:val="22"/>
        </w:rPr>
        <w:t>There are no exceptions to the certification statement identified in item 19 of the OMB 83-I.</w:t>
      </w:r>
      <w:r w:rsidRPr="00040303">
        <w:rPr>
          <w:color w:val="000000"/>
          <w:sz w:val="22"/>
          <w:szCs w:val="22"/>
        </w:rPr>
        <w:t xml:space="preserve"> </w:t>
      </w:r>
    </w:p>
    <w:p w:rsidR="00040303" w:rsidP="005E3C6B" w14:paraId="176E2B02" w14:textId="77777777">
      <w:pPr>
        <w:pStyle w:val="ListParagraph"/>
        <w:rPr>
          <w:sz w:val="22"/>
          <w:szCs w:val="22"/>
        </w:rPr>
      </w:pPr>
    </w:p>
    <w:p w:rsidR="00040303" w:rsidRPr="00040303" w:rsidP="005E3C6B" w14:paraId="7874A9FD" w14:textId="77777777">
      <w:pPr>
        <w:pStyle w:val="NoSpacing"/>
        <w:ind w:left="720"/>
        <w:rPr>
          <w:sz w:val="22"/>
          <w:szCs w:val="22"/>
        </w:rPr>
      </w:pPr>
    </w:p>
    <w:p w:rsidR="00E8145B" w:rsidRPr="002F66C5" w:rsidP="005E3C6B" w14:paraId="2EAA4CF1" w14:textId="77777777">
      <w:pPr>
        <w:pStyle w:val="NoSpacing"/>
        <w:rPr>
          <w:sz w:val="22"/>
          <w:szCs w:val="22"/>
        </w:rPr>
      </w:pPr>
      <w:r w:rsidRPr="002F66C5">
        <w:rPr>
          <w:sz w:val="22"/>
          <w:szCs w:val="22"/>
        </w:rPr>
        <w:t xml:space="preserve">B. </w:t>
      </w:r>
      <w:r w:rsidRPr="002F66C5">
        <w:rPr>
          <w:sz w:val="22"/>
          <w:szCs w:val="22"/>
        </w:rPr>
        <w:tab/>
        <w:t>Collections of Information Employing Statistical Methods</w:t>
      </w:r>
    </w:p>
    <w:p w:rsidR="00E8145B" w:rsidRPr="002F66C5" w:rsidP="005E3C6B" w14:paraId="5656811B" w14:textId="77777777">
      <w:pPr>
        <w:pStyle w:val="NoSpacing"/>
        <w:rPr>
          <w:sz w:val="22"/>
          <w:szCs w:val="22"/>
        </w:rPr>
      </w:pPr>
    </w:p>
    <w:p w:rsidR="007371F6" w:rsidRPr="002F66C5" w:rsidP="005E3C6B" w14:paraId="4FA3D48E" w14:textId="77777777">
      <w:pPr>
        <w:pStyle w:val="NoSpacing"/>
        <w:rPr>
          <w:sz w:val="22"/>
          <w:szCs w:val="22"/>
        </w:rPr>
      </w:pPr>
      <w:r w:rsidRPr="002F66C5">
        <w:rPr>
          <w:sz w:val="22"/>
          <w:szCs w:val="22"/>
        </w:rPr>
        <w:t>There are no statistical methods used in this collection.</w:t>
      </w:r>
      <w:bookmarkEnd w:id="0"/>
    </w:p>
    <w:sectPr w:rsidSect="005E3C6B">
      <w:pgSz w:w="12240" w:h="15840" w:code="1"/>
      <w:pgMar w:top="1152" w:right="1152" w:bottom="1152" w:left="1152" w:header="475" w:footer="475" w:gutter="144"/>
      <w:cols w:space="48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72B28C2"/>
    <w:multiLevelType w:val="hybridMultilevel"/>
    <w:tmpl w:val="BF12C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E8A5383"/>
    <w:multiLevelType w:val="hybridMultilevel"/>
    <w:tmpl w:val="8D28E1F0"/>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52731AA"/>
    <w:multiLevelType w:val="hybridMultilevel"/>
    <w:tmpl w:val="C8A27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8070494"/>
    <w:multiLevelType w:val="hybridMultilevel"/>
    <w:tmpl w:val="13226EAC"/>
    <w:lvl w:ilvl="0">
      <w:start w:val="11"/>
      <w:numFmt w:val="decimal"/>
      <w:lvlText w:val="%1."/>
      <w:lvlJc w:val="left"/>
      <w:pPr>
        <w:tabs>
          <w:tab w:val="num" w:pos="360"/>
        </w:tabs>
        <w:ind w:left="360" w:hanging="360"/>
      </w:pPr>
      <w:rPr>
        <w:rFonts w:hint="default"/>
        <w:color w:val="000000"/>
        <w:sz w:val="18"/>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8">
    <w:nsid w:val="54627B55"/>
    <w:multiLevelType w:val="hybridMultilevel"/>
    <w:tmpl w:val="67A00304"/>
    <w:lvl w:ilvl="0">
      <w:start w:val="11"/>
      <w:numFmt w:val="decimal"/>
      <w:lvlText w:val="%1."/>
      <w:lvlJc w:val="left"/>
      <w:pPr>
        <w:tabs>
          <w:tab w:val="num" w:pos="720"/>
        </w:tabs>
        <w:ind w:left="720" w:hanging="360"/>
      </w:pPr>
      <w:rPr>
        <w:rFonts w:hint="default"/>
        <w:color w:val="auto"/>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9E459DF"/>
    <w:multiLevelType w:val="hybridMultilevel"/>
    <w:tmpl w:val="02C6E7D4"/>
    <w:lvl w:ilvl="0">
      <w:start w:val="1"/>
      <w:numFmt w:val="bulle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B9C3B37"/>
    <w:multiLevelType w:val="hybridMultilevel"/>
    <w:tmpl w:val="D0865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0DB08FD"/>
    <w:multiLevelType w:val="hybridMultilevel"/>
    <w:tmpl w:val="12B2AD5E"/>
    <w:lvl w:ilvl="0">
      <w:start w:val="10"/>
      <w:numFmt w:val="decimal"/>
      <w:lvlText w:val="%1."/>
      <w:lvlJc w:val="left"/>
      <w:pPr>
        <w:tabs>
          <w:tab w:val="num" w:pos="360"/>
        </w:tabs>
        <w:ind w:left="360" w:hanging="360"/>
      </w:pPr>
      <w:rPr>
        <w:rFonts w:hint="default"/>
        <w:sz w:val="18"/>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79A2049E"/>
    <w:multiLevelType w:val="hybridMultilevel"/>
    <w:tmpl w:val="DFB239F8"/>
    <w:lvl w:ilvl="0">
      <w:start w:val="1"/>
      <w:numFmt w:val="decimal"/>
      <w:lvlText w:val="%1."/>
      <w:lvlJc w:val="left"/>
      <w:pPr>
        <w:ind w:left="720" w:hanging="360"/>
      </w:pPr>
      <w:rPr>
        <w:rFonts w:hint="default"/>
        <w:color w:val="00000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086152927">
    <w:abstractNumId w:val="3"/>
  </w:num>
  <w:num w:numId="2" w16cid:durableId="290476252">
    <w:abstractNumId w:val="15"/>
  </w:num>
  <w:num w:numId="3" w16cid:durableId="1545091988">
    <w:abstractNumId w:val="2"/>
  </w:num>
  <w:num w:numId="4" w16cid:durableId="1262834369">
    <w:abstractNumId w:val="13"/>
  </w:num>
  <w:num w:numId="5" w16cid:durableId="1855798821">
    <w:abstractNumId w:val="12"/>
  </w:num>
  <w:num w:numId="6" w16cid:durableId="1066151417">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998996195">
    <w:abstractNumId w:val="7"/>
  </w:num>
  <w:num w:numId="8" w16cid:durableId="1331368122">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16cid:durableId="1764690604">
    <w:abstractNumId w:val="8"/>
  </w:num>
  <w:num w:numId="10" w16cid:durableId="262961400">
    <w:abstractNumId w:val="9"/>
  </w:num>
  <w:num w:numId="11" w16cid:durableId="577524919">
    <w:abstractNumId w:val="4"/>
  </w:num>
  <w:num w:numId="12" w16cid:durableId="938214920">
    <w:abstractNumId w:val="6"/>
  </w:num>
  <w:num w:numId="13" w16cid:durableId="547491556">
    <w:abstractNumId w:val="11"/>
  </w:num>
  <w:num w:numId="14" w16cid:durableId="2045595806">
    <w:abstractNumId w:val="14"/>
  </w:num>
  <w:num w:numId="15" w16cid:durableId="244654776">
    <w:abstractNumId w:val="1"/>
  </w:num>
  <w:num w:numId="16" w16cid:durableId="737827972">
    <w:abstractNumId w:val="10"/>
  </w:num>
  <w:num w:numId="17" w16cid:durableId="1892035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01D"/>
    <w:rsid w:val="0002140A"/>
    <w:rsid w:val="00021752"/>
    <w:rsid w:val="00025DDC"/>
    <w:rsid w:val="000302A7"/>
    <w:rsid w:val="000372A0"/>
    <w:rsid w:val="00040303"/>
    <w:rsid w:val="000552BE"/>
    <w:rsid w:val="000A50C7"/>
    <w:rsid w:val="000E57DE"/>
    <w:rsid w:val="000F72D1"/>
    <w:rsid w:val="00107067"/>
    <w:rsid w:val="00156228"/>
    <w:rsid w:val="001708E7"/>
    <w:rsid w:val="00184719"/>
    <w:rsid w:val="0019397F"/>
    <w:rsid w:val="001E4067"/>
    <w:rsid w:val="00215A1E"/>
    <w:rsid w:val="00253A0B"/>
    <w:rsid w:val="002559A4"/>
    <w:rsid w:val="00260639"/>
    <w:rsid w:val="0028073F"/>
    <w:rsid w:val="00281606"/>
    <w:rsid w:val="002874E2"/>
    <w:rsid w:val="00294579"/>
    <w:rsid w:val="00295C70"/>
    <w:rsid w:val="002A672F"/>
    <w:rsid w:val="002E724E"/>
    <w:rsid w:val="002F66C5"/>
    <w:rsid w:val="00322613"/>
    <w:rsid w:val="003242EC"/>
    <w:rsid w:val="00324B8F"/>
    <w:rsid w:val="003409C9"/>
    <w:rsid w:val="00365934"/>
    <w:rsid w:val="003753FE"/>
    <w:rsid w:val="0037780B"/>
    <w:rsid w:val="003B1280"/>
    <w:rsid w:val="003C6098"/>
    <w:rsid w:val="003E1A00"/>
    <w:rsid w:val="003F1D39"/>
    <w:rsid w:val="00410BE3"/>
    <w:rsid w:val="00432780"/>
    <w:rsid w:val="004B7568"/>
    <w:rsid w:val="00511B22"/>
    <w:rsid w:val="00563007"/>
    <w:rsid w:val="00580CC6"/>
    <w:rsid w:val="00581A63"/>
    <w:rsid w:val="005C6B45"/>
    <w:rsid w:val="005C6EC7"/>
    <w:rsid w:val="005E18FF"/>
    <w:rsid w:val="005E3C6B"/>
    <w:rsid w:val="005F085C"/>
    <w:rsid w:val="0061605E"/>
    <w:rsid w:val="00630390"/>
    <w:rsid w:val="00640C1C"/>
    <w:rsid w:val="00696C35"/>
    <w:rsid w:val="006C7FAE"/>
    <w:rsid w:val="007240DD"/>
    <w:rsid w:val="007371F6"/>
    <w:rsid w:val="007C47DB"/>
    <w:rsid w:val="007E1BA9"/>
    <w:rsid w:val="00805723"/>
    <w:rsid w:val="00821F0D"/>
    <w:rsid w:val="00827538"/>
    <w:rsid w:val="00856DC8"/>
    <w:rsid w:val="008613B7"/>
    <w:rsid w:val="00880097"/>
    <w:rsid w:val="008947C2"/>
    <w:rsid w:val="008A4B01"/>
    <w:rsid w:val="00942CF9"/>
    <w:rsid w:val="00967CA5"/>
    <w:rsid w:val="009A2120"/>
    <w:rsid w:val="009B729A"/>
    <w:rsid w:val="009E11F8"/>
    <w:rsid w:val="009E759B"/>
    <w:rsid w:val="00A061F1"/>
    <w:rsid w:val="00A3047B"/>
    <w:rsid w:val="00A36D51"/>
    <w:rsid w:val="00A52AA6"/>
    <w:rsid w:val="00A56AD1"/>
    <w:rsid w:val="00A67D8D"/>
    <w:rsid w:val="00A72437"/>
    <w:rsid w:val="00A8456B"/>
    <w:rsid w:val="00A955BA"/>
    <w:rsid w:val="00A96BF2"/>
    <w:rsid w:val="00A96CB9"/>
    <w:rsid w:val="00AB351F"/>
    <w:rsid w:val="00B04086"/>
    <w:rsid w:val="00B23452"/>
    <w:rsid w:val="00B31528"/>
    <w:rsid w:val="00B77A07"/>
    <w:rsid w:val="00B97F1C"/>
    <w:rsid w:val="00BA6304"/>
    <w:rsid w:val="00BB2F6F"/>
    <w:rsid w:val="00BC0B42"/>
    <w:rsid w:val="00BF391D"/>
    <w:rsid w:val="00C16881"/>
    <w:rsid w:val="00C83F16"/>
    <w:rsid w:val="00C92603"/>
    <w:rsid w:val="00CB610A"/>
    <w:rsid w:val="00D24CB9"/>
    <w:rsid w:val="00D53175"/>
    <w:rsid w:val="00D557EA"/>
    <w:rsid w:val="00D74120"/>
    <w:rsid w:val="00D87BEF"/>
    <w:rsid w:val="00D95013"/>
    <w:rsid w:val="00DB66C2"/>
    <w:rsid w:val="00DC2971"/>
    <w:rsid w:val="00DD6F36"/>
    <w:rsid w:val="00DD792B"/>
    <w:rsid w:val="00DE40A2"/>
    <w:rsid w:val="00E33ACE"/>
    <w:rsid w:val="00E5501D"/>
    <w:rsid w:val="00E64E31"/>
    <w:rsid w:val="00E8145B"/>
    <w:rsid w:val="00E8178D"/>
    <w:rsid w:val="00EF2301"/>
    <w:rsid w:val="00F01047"/>
    <w:rsid w:val="00F02765"/>
    <w:rsid w:val="00F11734"/>
    <w:rsid w:val="00F12634"/>
    <w:rsid w:val="00F17AEC"/>
    <w:rsid w:val="00F25EFC"/>
    <w:rsid w:val="00F3582D"/>
    <w:rsid w:val="00F70D0B"/>
    <w:rsid w:val="00F73D17"/>
    <w:rsid w:val="00F9078B"/>
    <w:rsid w:val="00F94C86"/>
    <w:rsid w:val="00FA1C62"/>
    <w:rsid w:val="00FA28B4"/>
    <w:rsid w:val="00FB53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1AD513"/>
  <w15:chartTrackingRefBased/>
  <w15:docId w15:val="{A36F7731-E847-4ABC-9583-36A7A0A7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6B45"/>
    <w:pPr>
      <w:overflowPunct w:val="0"/>
      <w:autoSpaceDE w:val="0"/>
      <w:autoSpaceDN w:val="0"/>
      <w:adjustRightInd w:val="0"/>
      <w:textAlignment w:val="baseline"/>
    </w:pPr>
  </w:style>
  <w:style w:type="paragraph" w:styleId="Heading1">
    <w:name w:val="heading 1"/>
    <w:basedOn w:val="Normal"/>
    <w:next w:val="Normal"/>
    <w:qFormat/>
    <w:pPr>
      <w:keepNext/>
      <w:tabs>
        <w:tab w:val="left" w:pos="240"/>
      </w:tabs>
      <w:spacing w:after="40"/>
      <w:ind w:left="120" w:right="-120"/>
      <w:outlineLvl w:val="0"/>
    </w:pPr>
    <w:rPr>
      <w:rFonts w:ascii="Helvetica" w:hAnsi="Helvetica"/>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keepLines/>
      <w:tabs>
        <w:tab w:val="left" w:pos="360"/>
        <w:tab w:val="left" w:pos="720"/>
      </w:tabs>
      <w:ind w:left="360"/>
    </w:pPr>
    <w:rPr>
      <w:noProof/>
      <w:sz w:val="22"/>
    </w:rPr>
  </w:style>
  <w:style w:type="paragraph" w:styleId="BodyTextIndent2">
    <w:name w:val="Body Text Indent 2"/>
    <w:basedOn w:val="Normal"/>
    <w:rsid w:val="00E5501D"/>
    <w:pPr>
      <w:spacing w:after="120" w:line="480" w:lineRule="auto"/>
      <w:ind w:left="360"/>
    </w:pPr>
  </w:style>
  <w:style w:type="paragraph" w:styleId="BlockText">
    <w:name w:val="Block Text"/>
    <w:basedOn w:val="Normal"/>
    <w:rsid w:val="007371F6"/>
    <w:pPr>
      <w:ind w:left="360" w:right="-360" w:hanging="360"/>
    </w:pPr>
    <w:rPr>
      <w:sz w:val="24"/>
    </w:rPr>
  </w:style>
  <w:style w:type="paragraph" w:styleId="NoSpacing">
    <w:name w:val="No Spacing"/>
    <w:uiPriority w:val="1"/>
    <w:qFormat/>
    <w:rsid w:val="00FA28B4"/>
    <w:pPr>
      <w:overflowPunct w:val="0"/>
      <w:autoSpaceDE w:val="0"/>
      <w:autoSpaceDN w:val="0"/>
      <w:adjustRightInd w:val="0"/>
      <w:textAlignment w:val="baseline"/>
    </w:pPr>
  </w:style>
  <w:style w:type="paragraph" w:styleId="ListParagraph">
    <w:name w:val="List Paragraph"/>
    <w:basedOn w:val="Normal"/>
    <w:uiPriority w:val="34"/>
    <w:qFormat/>
    <w:rsid w:val="002F66C5"/>
    <w:pPr>
      <w:ind w:left="720"/>
    </w:pPr>
  </w:style>
  <w:style w:type="paragraph" w:styleId="Caption">
    <w:name w:val="caption"/>
    <w:basedOn w:val="Normal"/>
    <w:next w:val="Normal"/>
    <w:unhideWhenUsed/>
    <w:qFormat/>
    <w:rsid w:val="00A52AA6"/>
    <w:rPr>
      <w:b/>
      <w:bCs/>
    </w:rPr>
  </w:style>
  <w:style w:type="character" w:styleId="CommentReference">
    <w:name w:val="annotation reference"/>
    <w:rsid w:val="00F11734"/>
    <w:rPr>
      <w:sz w:val="16"/>
      <w:szCs w:val="16"/>
    </w:rPr>
  </w:style>
  <w:style w:type="paragraph" w:styleId="CommentText">
    <w:name w:val="annotation text"/>
    <w:basedOn w:val="Normal"/>
    <w:link w:val="CommentTextChar"/>
    <w:rsid w:val="00F11734"/>
  </w:style>
  <w:style w:type="character" w:customStyle="1" w:styleId="CommentTextChar">
    <w:name w:val="Comment Text Char"/>
    <w:basedOn w:val="DefaultParagraphFont"/>
    <w:link w:val="CommentText"/>
    <w:rsid w:val="00F11734"/>
  </w:style>
  <w:style w:type="paragraph" w:styleId="CommentSubject">
    <w:name w:val="annotation subject"/>
    <w:basedOn w:val="CommentText"/>
    <w:next w:val="CommentText"/>
    <w:link w:val="CommentSubjectChar"/>
    <w:rsid w:val="00F11734"/>
    <w:rPr>
      <w:b/>
      <w:bCs/>
    </w:rPr>
  </w:style>
  <w:style w:type="character" w:customStyle="1" w:styleId="CommentSubjectChar">
    <w:name w:val="Comment Subject Char"/>
    <w:link w:val="CommentSubject"/>
    <w:rsid w:val="00F11734"/>
    <w:rPr>
      <w:b/>
      <w:bCs/>
    </w:rPr>
  </w:style>
  <w:style w:type="paragraph" w:styleId="FootnoteText">
    <w:name w:val="footnote text"/>
    <w:basedOn w:val="Normal"/>
    <w:link w:val="FootnoteTextChar"/>
    <w:rsid w:val="00A67D8D"/>
  </w:style>
  <w:style w:type="character" w:customStyle="1" w:styleId="FootnoteTextChar">
    <w:name w:val="Footnote Text Char"/>
    <w:basedOn w:val="DefaultParagraphFont"/>
    <w:link w:val="FootnoteText"/>
    <w:rsid w:val="00A67D8D"/>
  </w:style>
  <w:style w:type="character" w:styleId="Hyperlink">
    <w:name w:val="Hyperlink"/>
    <w:uiPriority w:val="99"/>
    <w:unhideWhenUsed/>
    <w:rsid w:val="00A67D8D"/>
    <w:rPr>
      <w:color w:val="0000FF"/>
      <w:u w:val="single"/>
    </w:rPr>
  </w:style>
  <w:style w:type="character" w:styleId="FootnoteReference">
    <w:name w:val="footnote reference"/>
    <w:rsid w:val="00A67D8D"/>
    <w:rPr>
      <w:vertAlign w:val="superscript"/>
    </w:rPr>
  </w:style>
  <w:style w:type="paragraph" w:styleId="Revision">
    <w:name w:val="Revision"/>
    <w:hidden/>
    <w:uiPriority w:val="99"/>
    <w:semiHidden/>
    <w:rsid w:val="007C47DB"/>
  </w:style>
  <w:style w:type="character" w:styleId="UnresolvedMention">
    <w:name w:val="Unresolved Mention"/>
    <w:uiPriority w:val="99"/>
    <w:semiHidden/>
    <w:unhideWhenUsed/>
    <w:rsid w:val="00805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22Tables/html/RUS_h.asp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E5129-A329-43C7-9A9B-0BE9A8AD6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Brown, Christine W.</cp:lastModifiedBy>
  <cp:revision>3</cp:revision>
  <cp:lastPrinted>2002-06-14T18:44:00Z</cp:lastPrinted>
  <dcterms:created xsi:type="dcterms:W3CDTF">2023-01-24T17:51:00Z</dcterms:created>
  <dcterms:modified xsi:type="dcterms:W3CDTF">2023-01-27T14:36:00Z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