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3525" w14:paraId="21BC83DC" w14:textId="6549C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53525" w14:paraId="581B516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355E1D" w:rsidRPr="006A2B11" w:rsidP="00355E1D" w14:paraId="2B0DFADD" w14:textId="77777777">
      <w:pPr>
        <w:rPr>
          <w:sz w:val="24"/>
          <w:szCs w:val="24"/>
        </w:rPr>
      </w:pPr>
    </w:p>
    <w:p w:rsidR="00355E1D" w:rsidRPr="006A2B11" w:rsidP="00355E1D" w14:paraId="525DB717" w14:textId="02D39967">
      <w:pPr>
        <w:jc w:val="center"/>
        <w:rPr>
          <w:b/>
          <w:bCs/>
          <w:sz w:val="24"/>
          <w:szCs w:val="24"/>
        </w:rPr>
      </w:pPr>
      <w:r>
        <w:rPr>
          <w:b/>
          <w:bCs/>
          <w:sz w:val="24"/>
          <w:szCs w:val="24"/>
        </w:rPr>
        <w:t>The Green and Resilient Retrofit Program (GRRP)</w:t>
      </w:r>
    </w:p>
    <w:p w:rsidR="00355E1D" w:rsidRPr="006A2B11" w:rsidP="00355E1D" w14:paraId="7045E025" w14:textId="77777777">
      <w:pPr>
        <w:jc w:val="center"/>
        <w:rPr>
          <w:b/>
          <w:bCs/>
          <w:sz w:val="24"/>
          <w:szCs w:val="24"/>
        </w:rPr>
      </w:pPr>
      <w:r w:rsidRPr="006A2B11">
        <w:rPr>
          <w:b/>
          <w:bCs/>
          <w:sz w:val="24"/>
          <w:szCs w:val="24"/>
        </w:rPr>
        <w:t>Supporting Statement for Paperwork Reduction Act Submission</w:t>
      </w:r>
    </w:p>
    <w:p w:rsidR="00355E1D" w:rsidP="00355E1D" w14:paraId="43B4CFC5" w14:textId="3647209F">
      <w:pPr>
        <w:jc w:val="center"/>
        <w:rPr>
          <w:b/>
          <w:bCs/>
          <w:sz w:val="24"/>
          <w:szCs w:val="24"/>
        </w:rPr>
      </w:pPr>
      <w:r w:rsidRPr="006A2B11">
        <w:rPr>
          <w:b/>
          <w:bCs/>
          <w:sz w:val="24"/>
          <w:szCs w:val="24"/>
        </w:rPr>
        <w:t xml:space="preserve">Office of </w:t>
      </w:r>
      <w:r w:rsidR="0074671D">
        <w:rPr>
          <w:b/>
          <w:bCs/>
          <w:sz w:val="24"/>
          <w:szCs w:val="24"/>
        </w:rPr>
        <w:t>Recapitalization</w:t>
      </w:r>
      <w:r w:rsidRPr="006A2B11">
        <w:rPr>
          <w:b/>
          <w:bCs/>
          <w:sz w:val="24"/>
          <w:szCs w:val="24"/>
        </w:rPr>
        <w:t>, Office of Housing</w:t>
      </w:r>
      <w:r w:rsidR="008105F1">
        <w:rPr>
          <w:b/>
          <w:bCs/>
          <w:sz w:val="24"/>
          <w:szCs w:val="24"/>
        </w:rPr>
        <w:t>-Federal Housing Commissioner</w:t>
      </w:r>
    </w:p>
    <w:p w:rsidR="00424D5A" w:rsidP="00355E1D" w14:paraId="2EF85BC1" w14:textId="77777777">
      <w:pPr>
        <w:jc w:val="center"/>
        <w:rPr>
          <w:b/>
          <w:bCs/>
          <w:sz w:val="24"/>
          <w:szCs w:val="24"/>
        </w:rPr>
      </w:pPr>
    </w:p>
    <w:p w:rsidR="00424D5A" w:rsidP="00424D5A" w14:paraId="5576B571" w14:textId="3B0D2B6D">
      <w:pPr>
        <w:jc w:val="center"/>
        <w:rPr>
          <w:b/>
          <w:bCs/>
          <w:sz w:val="24"/>
          <w:szCs w:val="24"/>
        </w:rPr>
      </w:pPr>
      <w:r>
        <w:rPr>
          <w:b/>
          <w:bCs/>
          <w:sz w:val="24"/>
          <w:szCs w:val="24"/>
        </w:rPr>
        <w:t>GRRP Applications</w:t>
      </w:r>
      <w:r w:rsidR="00345FBD">
        <w:rPr>
          <w:b/>
          <w:bCs/>
          <w:sz w:val="24"/>
          <w:szCs w:val="24"/>
        </w:rPr>
        <w:t xml:space="preserve">: </w:t>
      </w:r>
    </w:p>
    <w:p w:rsidR="00424D5A" w:rsidRPr="006A2B11" w:rsidP="00424D5A" w14:paraId="4A2FAFD3" w14:textId="15725F3D">
      <w:pPr>
        <w:jc w:val="center"/>
        <w:rPr>
          <w:b/>
          <w:bCs/>
          <w:sz w:val="24"/>
          <w:szCs w:val="24"/>
        </w:rPr>
      </w:pPr>
      <w:r>
        <w:rPr>
          <w:b/>
          <w:bCs/>
          <w:sz w:val="24"/>
          <w:szCs w:val="24"/>
        </w:rPr>
        <w:t xml:space="preserve">1) </w:t>
      </w:r>
      <w:r w:rsidRPr="00424D5A">
        <w:rPr>
          <w:b/>
          <w:bCs/>
          <w:sz w:val="24"/>
          <w:szCs w:val="24"/>
        </w:rPr>
        <w:t>Immediate Impact Elements</w:t>
      </w:r>
      <w:r>
        <w:rPr>
          <w:b/>
          <w:bCs/>
          <w:sz w:val="24"/>
          <w:szCs w:val="24"/>
        </w:rPr>
        <w:t xml:space="preserve">, 2) </w:t>
      </w:r>
      <w:r w:rsidRPr="00424D5A">
        <w:rPr>
          <w:b/>
          <w:bCs/>
          <w:sz w:val="24"/>
          <w:szCs w:val="24"/>
        </w:rPr>
        <w:t>Immediate Net Zero</w:t>
      </w:r>
      <w:r w:rsidR="00345FBD">
        <w:rPr>
          <w:b/>
          <w:bCs/>
          <w:sz w:val="24"/>
          <w:szCs w:val="24"/>
        </w:rPr>
        <w:t xml:space="preserve">, and </w:t>
      </w:r>
      <w:r>
        <w:rPr>
          <w:b/>
          <w:bCs/>
          <w:sz w:val="24"/>
          <w:szCs w:val="24"/>
        </w:rPr>
        <w:t xml:space="preserve">3) </w:t>
      </w:r>
      <w:r w:rsidRPr="00424D5A">
        <w:rPr>
          <w:b/>
          <w:bCs/>
          <w:sz w:val="24"/>
          <w:szCs w:val="24"/>
        </w:rPr>
        <w:t>Comprehensive</w:t>
      </w:r>
    </w:p>
    <w:p w:rsidR="00355E1D" w:rsidRPr="006A2B11" w:rsidP="00355E1D" w14:paraId="0A939ACD" w14:textId="77777777">
      <w:pPr>
        <w:pStyle w:val="NoSpacing"/>
        <w:rPr>
          <w:rFonts w:ascii="Times New Roman" w:hAnsi="Times New Roman" w:cs="Times New Roman"/>
          <w:sz w:val="24"/>
          <w:szCs w:val="24"/>
        </w:rPr>
      </w:pPr>
    </w:p>
    <w:p w:rsidR="00355E1D" w:rsidRPr="006A2B11" w:rsidP="008105F1" w14:paraId="5BA662F8" w14:textId="77777777">
      <w:pPr>
        <w:pStyle w:val="ListParagraph"/>
        <w:ind w:left="0"/>
        <w:rPr>
          <w:rFonts w:ascii="Times New Roman" w:hAnsi="Times New Roman" w:cs="Times New Roman"/>
          <w:sz w:val="24"/>
          <w:szCs w:val="24"/>
        </w:rPr>
      </w:pPr>
    </w:p>
    <w:p w:rsidR="00355E1D" w:rsidRPr="004C1013" w:rsidP="008105F1" w14:paraId="192F9C49" w14:textId="77777777">
      <w:pPr>
        <w:pStyle w:val="ListParagraph"/>
        <w:numPr>
          <w:ilvl w:val="0"/>
          <w:numId w:val="11"/>
        </w:numPr>
        <w:ind w:left="0" w:firstLine="0"/>
        <w:rPr>
          <w:rFonts w:ascii="Times New Roman" w:hAnsi="Times New Roman" w:cs="Times New Roman"/>
          <w:sz w:val="24"/>
          <w:szCs w:val="24"/>
          <w:u w:val="single"/>
        </w:rPr>
      </w:pPr>
      <w:r w:rsidRPr="004C1013">
        <w:rPr>
          <w:rFonts w:ascii="Times New Roman" w:hAnsi="Times New Roman" w:cs="Times New Roman"/>
          <w:sz w:val="24"/>
          <w:szCs w:val="24"/>
          <w:u w:val="single"/>
        </w:rPr>
        <w:t>Justification</w:t>
      </w:r>
    </w:p>
    <w:p w:rsidR="00355E1D" w:rsidP="008105F1" w14:paraId="528B6E57" w14:textId="77777777">
      <w:pPr>
        <w:pStyle w:val="ListParagraph"/>
        <w:spacing w:after="0" w:line="240" w:lineRule="auto"/>
        <w:ind w:left="0"/>
        <w:rPr>
          <w:rFonts w:ascii="Times New Roman" w:hAnsi="Times New Roman" w:cs="Times New Roman"/>
          <w:sz w:val="24"/>
          <w:szCs w:val="24"/>
        </w:rPr>
      </w:pPr>
    </w:p>
    <w:p w:rsidR="00B03063" w:rsidRPr="00920978" w14:paraId="4A14E6EE" w14:textId="7BDE8ACD">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0978" w:rsidP="00920978" w14:paraId="237FE05F" w14:textId="77777777">
      <w:pPr>
        <w:pStyle w:val="ListParagraph"/>
        <w:spacing w:after="0" w:line="240" w:lineRule="auto"/>
        <w:rPr>
          <w:rFonts w:ascii="Times New Roman" w:hAnsi="Times New Roman" w:cs="Times New Roman"/>
          <w:sz w:val="24"/>
          <w:szCs w:val="24"/>
        </w:rPr>
      </w:pPr>
    </w:p>
    <w:p w:rsidR="00CB7682" w:rsidP="00EF78D7" w14:paraId="6B2954A7" w14:textId="08A22F16">
      <w:pPr>
        <w:ind w:left="720"/>
        <w:rPr>
          <w:rFonts w:eastAsiaTheme="minorEastAsia"/>
          <w:sz w:val="24"/>
          <w:szCs w:val="24"/>
        </w:rPr>
      </w:pPr>
      <w:r>
        <w:rPr>
          <w:rFonts w:eastAsiaTheme="minorEastAsia"/>
          <w:sz w:val="24"/>
          <w:szCs w:val="24"/>
        </w:rPr>
        <w:t xml:space="preserve">The </w:t>
      </w:r>
      <w:r w:rsidRPr="54BF3E5B">
        <w:rPr>
          <w:rFonts w:eastAsiaTheme="minorEastAsia"/>
          <w:b/>
          <w:bCs/>
          <w:sz w:val="24"/>
          <w:szCs w:val="24"/>
        </w:rPr>
        <w:t>Green and Resilient Retrofit Program (</w:t>
      </w:r>
      <w:r w:rsidR="00E86992">
        <w:rPr>
          <w:rFonts w:eastAsiaTheme="minorEastAsia"/>
          <w:b/>
          <w:bCs/>
          <w:sz w:val="24"/>
          <w:szCs w:val="24"/>
        </w:rPr>
        <w:t>“</w:t>
      </w:r>
      <w:r w:rsidRPr="54BF3E5B">
        <w:rPr>
          <w:rFonts w:eastAsiaTheme="minorEastAsia"/>
          <w:b/>
          <w:bCs/>
          <w:sz w:val="24"/>
          <w:szCs w:val="24"/>
        </w:rPr>
        <w:t>GRRP</w:t>
      </w:r>
      <w:r w:rsidR="00E86992">
        <w:rPr>
          <w:rFonts w:eastAsiaTheme="minorEastAsia"/>
          <w:b/>
          <w:bCs/>
          <w:sz w:val="24"/>
          <w:szCs w:val="24"/>
        </w:rPr>
        <w:t>”</w:t>
      </w:r>
      <w:r w:rsidRPr="54BF3E5B">
        <w:rPr>
          <w:rFonts w:eastAsiaTheme="minorEastAsia"/>
          <w:b/>
          <w:bCs/>
          <w:sz w:val="24"/>
          <w:szCs w:val="24"/>
        </w:rPr>
        <w:t>)</w:t>
      </w:r>
      <w:r w:rsidRPr="54BF3E5B">
        <w:rPr>
          <w:rFonts w:eastAsiaTheme="minorEastAsia"/>
          <w:sz w:val="24"/>
          <w:szCs w:val="24"/>
        </w:rPr>
        <w:t xml:space="preserve"> </w:t>
      </w:r>
      <w:r>
        <w:rPr>
          <w:rFonts w:eastAsiaTheme="minorEastAsia"/>
          <w:sz w:val="24"/>
          <w:szCs w:val="24"/>
        </w:rPr>
        <w:t xml:space="preserve">is newly funding through </w:t>
      </w:r>
      <w:r w:rsidRPr="00C714A7" w:rsidR="00C714A7">
        <w:rPr>
          <w:rFonts w:eastAsiaTheme="minorEastAsia"/>
          <w:sz w:val="24"/>
          <w:szCs w:val="24"/>
        </w:rPr>
        <w:t>Title III of the Inflation Reduction Act of 2022, H.R. 5376 (IRA), in section 30002 titled “Improving Energy Efficiency or Water Efficiency or Climate Resilience of Affordable Housing” (the “IRA”), authoriz</w:t>
      </w:r>
      <w:r w:rsidR="00E86992">
        <w:rPr>
          <w:rFonts w:eastAsiaTheme="minorEastAsia"/>
          <w:sz w:val="24"/>
          <w:szCs w:val="24"/>
        </w:rPr>
        <w:t>ing</w:t>
      </w:r>
      <w:r w:rsidRPr="00C714A7" w:rsidR="00C714A7">
        <w:rPr>
          <w:rFonts w:eastAsiaTheme="minorEastAsia"/>
          <w:sz w:val="24"/>
          <w:szCs w:val="24"/>
        </w:rPr>
        <w:t xml:space="preserve"> HUD to make loans, grants</w:t>
      </w:r>
      <w:r w:rsidRPr="00EF78D7">
        <w:rPr>
          <w:rFonts w:eastAsiaTheme="minorEastAsia"/>
          <w:sz w:val="24"/>
          <w:szCs w:val="24"/>
        </w:rPr>
        <w:t xml:space="preserve"> to improve energy or water efficiency; enhance indoor air quality or sustainability; implement the use of zero-emission electricity generation, low-emission building materials or processes, energy storage, or building electrification strategies; or address climate resilience of eligible HUD-assisted multifamily properties.  The program leverages significant technological advancements in utility efficiency and adds a focus on preparing for climate hazards – both reducing residents’ and properties’ exposure to hazards and protecting life, livability, and property when disaster strikes. With its dual focus, GRRP is the first program to consider, at the national scale, how best to approach both green and energy efficiency upgrades simultaneously with investment in climate resilience strategies in multifamily housing. HUD is taking a multi-faceted approach to deploy these funds multiple funding rounds and for properties at different development stages.  </w:t>
      </w:r>
    </w:p>
    <w:p w:rsidR="003A0B68" w:rsidP="13A22A33" w14:paraId="2D91E6D4" w14:textId="77777777">
      <w:pPr>
        <w:ind w:left="720" w:hanging="720"/>
        <w:rPr>
          <w:rFonts w:eastAsiaTheme="minorEastAsia"/>
          <w:sz w:val="24"/>
          <w:szCs w:val="24"/>
        </w:rPr>
      </w:pPr>
    </w:p>
    <w:p w:rsidR="005212D0" w:rsidP="00EF78D7" w14:paraId="1A59D7F2" w14:textId="6242F4C0">
      <w:pPr>
        <w:ind w:left="720"/>
        <w:rPr>
          <w:rFonts w:eastAsiaTheme="minorEastAsia"/>
          <w:sz w:val="24"/>
          <w:szCs w:val="24"/>
        </w:rPr>
      </w:pPr>
      <w:r>
        <w:rPr>
          <w:rFonts w:eastAsiaTheme="minorEastAsia"/>
          <w:sz w:val="24"/>
          <w:szCs w:val="24"/>
        </w:rPr>
        <w:t>Funding under this program will be made available under one or multiple Notices of Funding Opportunity</w:t>
      </w:r>
      <w:r w:rsidR="00170B27">
        <w:rPr>
          <w:rFonts w:eastAsiaTheme="minorEastAsia"/>
          <w:sz w:val="24"/>
          <w:szCs w:val="24"/>
        </w:rPr>
        <w:t xml:space="preserve"> (NOFOs) that will detail the application process for eligible applicants. Th</w:t>
      </w:r>
      <w:r w:rsidR="00036B71">
        <w:rPr>
          <w:rFonts w:eastAsiaTheme="minorEastAsia"/>
          <w:sz w:val="24"/>
          <w:szCs w:val="24"/>
        </w:rPr>
        <w:t xml:space="preserve">is collection is necessary </w:t>
      </w:r>
      <w:r w:rsidR="00036B71">
        <w:rPr>
          <w:rFonts w:eastAsiaTheme="minorEastAsia"/>
          <w:sz w:val="24"/>
          <w:szCs w:val="24"/>
        </w:rPr>
        <w:t>in order to</w:t>
      </w:r>
      <w:r w:rsidR="00036B71">
        <w:rPr>
          <w:rFonts w:eastAsiaTheme="minorEastAsia"/>
          <w:sz w:val="24"/>
          <w:szCs w:val="24"/>
        </w:rPr>
        <w:t xml:space="preserve"> receive applications </w:t>
      </w:r>
      <w:r w:rsidR="00F96106">
        <w:rPr>
          <w:rFonts w:eastAsiaTheme="minorEastAsia"/>
          <w:sz w:val="24"/>
          <w:szCs w:val="24"/>
        </w:rPr>
        <w:t xml:space="preserve">requesting funding under this program. </w:t>
      </w:r>
    </w:p>
    <w:p w:rsidR="005212D0" w:rsidP="13A22A33" w14:paraId="099EEA33" w14:textId="77777777">
      <w:pPr>
        <w:ind w:left="720" w:hanging="720"/>
        <w:rPr>
          <w:rFonts w:eastAsiaTheme="minorEastAsia"/>
          <w:sz w:val="24"/>
          <w:szCs w:val="24"/>
        </w:rPr>
      </w:pPr>
    </w:p>
    <w:p w:rsidR="00EA18F1" w:rsidP="00EA18F1" w14:paraId="64A6C047" w14:textId="77777777">
      <w:pPr>
        <w:ind w:left="720"/>
        <w:rPr>
          <w:b/>
        </w:rPr>
      </w:pPr>
    </w:p>
    <w:p w:rsidR="00B03063" w14:paraId="7514EF52" w14:textId="77777777">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54BF3E5B" w:rsidP="4D903D90" w14:paraId="5EE9E20C" w14:textId="3F3E1725">
      <w:pPr>
        <w:rPr>
          <w:sz w:val="24"/>
          <w:szCs w:val="24"/>
        </w:rPr>
      </w:pPr>
    </w:p>
    <w:p w:rsidR="00682178" w:rsidRPr="00EF78D7" w:rsidP="00682178" w14:paraId="4F4BB723" w14:textId="1C7AD67B">
      <w:pPr>
        <w:ind w:left="720"/>
        <w:rPr>
          <w:sz w:val="24"/>
          <w:szCs w:val="24"/>
        </w:rPr>
      </w:pPr>
      <w:r>
        <w:rPr>
          <w:sz w:val="24"/>
          <w:szCs w:val="24"/>
        </w:rPr>
        <w:t xml:space="preserve">GRRP </w:t>
      </w:r>
      <w:r w:rsidR="005A6EDF">
        <w:rPr>
          <w:sz w:val="24"/>
          <w:szCs w:val="24"/>
        </w:rPr>
        <w:t xml:space="preserve">is a new collection and </w:t>
      </w:r>
      <w:r>
        <w:rPr>
          <w:sz w:val="24"/>
          <w:szCs w:val="24"/>
        </w:rPr>
        <w:t xml:space="preserve">will be implemented through multiple NOFOs </w:t>
      </w:r>
      <w:r w:rsidR="00130AA7">
        <w:rPr>
          <w:sz w:val="24"/>
          <w:szCs w:val="24"/>
        </w:rPr>
        <w:t xml:space="preserve">that will target different property types and </w:t>
      </w:r>
      <w:r w:rsidR="0012724E">
        <w:rPr>
          <w:sz w:val="24"/>
          <w:szCs w:val="24"/>
        </w:rPr>
        <w:t xml:space="preserve">accommodate </w:t>
      </w:r>
      <w:r w:rsidR="005D4F05">
        <w:rPr>
          <w:sz w:val="24"/>
          <w:szCs w:val="24"/>
        </w:rPr>
        <w:t>proposals that meet program goals</w:t>
      </w:r>
      <w:r w:rsidR="00361BB5">
        <w:rPr>
          <w:sz w:val="24"/>
          <w:szCs w:val="24"/>
        </w:rPr>
        <w:t xml:space="preserve">. </w:t>
      </w:r>
      <w:r w:rsidR="00C07E69">
        <w:rPr>
          <w:sz w:val="24"/>
          <w:szCs w:val="24"/>
        </w:rPr>
        <w:t xml:space="preserve">Each application will be </w:t>
      </w:r>
      <w:r w:rsidR="00F14695">
        <w:rPr>
          <w:sz w:val="24"/>
          <w:szCs w:val="24"/>
        </w:rPr>
        <w:t>catered to meet the intended audience and purpose of each NOFO.</w:t>
      </w:r>
      <w:r w:rsidR="00792828">
        <w:rPr>
          <w:sz w:val="24"/>
          <w:szCs w:val="24"/>
        </w:rPr>
        <w:t xml:space="preserve"> </w:t>
      </w:r>
    </w:p>
    <w:p w:rsidR="0087544D" w:rsidRPr="00E65426" w:rsidP="0087544D" w14:paraId="7535E771" w14:textId="77777777">
      <w:pPr>
        <w:ind w:left="720"/>
        <w:rPr>
          <w:sz w:val="24"/>
          <w:szCs w:val="24"/>
        </w:rPr>
      </w:pPr>
    </w:p>
    <w:p w:rsidR="00B03063" w:rsidP="00E03416" w14:paraId="335CE00D" w14:textId="3B1966AE">
      <w:pPr>
        <w:ind w:left="720"/>
        <w:rPr>
          <w:sz w:val="24"/>
          <w:szCs w:val="24"/>
        </w:rPr>
      </w:pPr>
    </w:p>
    <w:p w:rsidR="00B03063" w14:paraId="0D0C31CF" w14:textId="77777777">
      <w:pPr>
        <w:pStyle w:val="ListParagraph"/>
        <w:numPr>
          <w:ilvl w:val="0"/>
          <w:numId w:val="12"/>
        </w:numPr>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55E1D" w:rsidRPr="006A2B11" w:rsidP="008105F1" w14:paraId="27DF98EF" w14:textId="77777777">
      <w:pPr>
        <w:pStyle w:val="ListParagraph"/>
        <w:spacing w:after="0" w:line="240" w:lineRule="auto"/>
        <w:ind w:left="0"/>
        <w:rPr>
          <w:rFonts w:ascii="Times New Roman" w:hAnsi="Times New Roman" w:cs="Times New Roman"/>
          <w:sz w:val="24"/>
          <w:szCs w:val="24"/>
        </w:rPr>
      </w:pPr>
    </w:p>
    <w:p w:rsidR="0079375C" w:rsidRPr="00FC7160" w:rsidP="00E03416" w14:paraId="05033167" w14:textId="27112A7E">
      <w:pPr>
        <w:pStyle w:val="ListParagraph"/>
        <w:spacing w:line="240" w:lineRule="auto"/>
        <w:ind w:left="1440"/>
        <w:rPr>
          <w:sz w:val="24"/>
          <w:szCs w:val="24"/>
        </w:rPr>
      </w:pPr>
    </w:p>
    <w:p w:rsidR="00B03063" w:rsidP="0079375C" w14:paraId="32E32593" w14:textId="26425255">
      <w:pPr>
        <w:ind w:left="720"/>
        <w:rPr>
          <w:sz w:val="24"/>
          <w:szCs w:val="24"/>
        </w:rPr>
      </w:pPr>
      <w:r w:rsidRPr="00946A18">
        <w:rPr>
          <w:sz w:val="24"/>
          <w:szCs w:val="24"/>
        </w:rPr>
        <w:t xml:space="preserve">The applications can be accessed and submitted through the </w:t>
      </w:r>
      <w:r w:rsidRPr="00EF78D7" w:rsidR="00D56774">
        <w:rPr>
          <w:sz w:val="24"/>
          <w:szCs w:val="24"/>
        </w:rPr>
        <w:t>grants.gov</w:t>
      </w:r>
      <w:r w:rsidRPr="00EF78D7">
        <w:rPr>
          <w:sz w:val="24"/>
          <w:szCs w:val="24"/>
        </w:rPr>
        <w:t xml:space="preserve">.  </w:t>
      </w:r>
      <w:r w:rsidRPr="00EF78D7" w:rsidR="00411910">
        <w:rPr>
          <w:sz w:val="24"/>
          <w:szCs w:val="24"/>
        </w:rPr>
        <w:t xml:space="preserve">Applications will </w:t>
      </w:r>
      <w:r w:rsidRPr="00EF78D7" w:rsidR="005F437C">
        <w:rPr>
          <w:sz w:val="24"/>
          <w:szCs w:val="24"/>
        </w:rPr>
        <w:t xml:space="preserve">consist of Adobe or Microsoft Excel files </w:t>
      </w:r>
      <w:r w:rsidRPr="00EF78D7" w:rsidR="005F13F4">
        <w:rPr>
          <w:sz w:val="24"/>
          <w:szCs w:val="24"/>
        </w:rPr>
        <w:t xml:space="preserve">to automate the </w:t>
      </w:r>
      <w:r w:rsidRPr="00EF78D7" w:rsidR="0006434C">
        <w:rPr>
          <w:sz w:val="24"/>
          <w:szCs w:val="24"/>
        </w:rPr>
        <w:t xml:space="preserve">completion of the form and </w:t>
      </w:r>
      <w:r w:rsidRPr="00EF78D7" w:rsidR="000D5C99">
        <w:rPr>
          <w:sz w:val="24"/>
          <w:szCs w:val="24"/>
        </w:rPr>
        <w:t xml:space="preserve">standardize </w:t>
      </w:r>
      <w:r w:rsidRPr="00EF78D7" w:rsidR="0006434C">
        <w:rPr>
          <w:sz w:val="24"/>
          <w:szCs w:val="24"/>
        </w:rPr>
        <w:t xml:space="preserve">HUD’s review of the information. </w:t>
      </w:r>
      <w:r w:rsidRPr="00EF78D7" w:rsidR="00A02E98">
        <w:rPr>
          <w:sz w:val="24"/>
          <w:szCs w:val="24"/>
        </w:rPr>
        <w:t xml:space="preserve">HUD-prepared application templates will be programmed to pre-load information already available to HUD </w:t>
      </w:r>
      <w:r w:rsidR="000C2671">
        <w:rPr>
          <w:sz w:val="24"/>
          <w:szCs w:val="24"/>
        </w:rPr>
        <w:t xml:space="preserve">as needed </w:t>
      </w:r>
      <w:r w:rsidRPr="00EF78D7" w:rsidR="00021080">
        <w:rPr>
          <w:sz w:val="24"/>
          <w:szCs w:val="24"/>
        </w:rPr>
        <w:t>(e.g., Project information</w:t>
      </w:r>
      <w:r w:rsidR="00B60CC9">
        <w:rPr>
          <w:sz w:val="24"/>
          <w:szCs w:val="24"/>
        </w:rPr>
        <w:t xml:space="preserve">, </w:t>
      </w:r>
      <w:r w:rsidR="00021080">
        <w:rPr>
          <w:sz w:val="24"/>
          <w:szCs w:val="24"/>
        </w:rPr>
        <w:t>Owner contact information</w:t>
      </w:r>
      <w:r w:rsidR="00B60CC9">
        <w:rPr>
          <w:sz w:val="24"/>
          <w:szCs w:val="24"/>
        </w:rPr>
        <w:t xml:space="preserve">, </w:t>
      </w:r>
      <w:r w:rsidR="00021080">
        <w:rPr>
          <w:sz w:val="24"/>
          <w:szCs w:val="24"/>
        </w:rPr>
        <w:t>Unit inventory distribution</w:t>
      </w:r>
      <w:r w:rsidR="00B60CC9">
        <w:rPr>
          <w:sz w:val="24"/>
          <w:szCs w:val="24"/>
        </w:rPr>
        <w:t>)</w:t>
      </w:r>
      <w:r w:rsidR="00223FA0">
        <w:rPr>
          <w:sz w:val="24"/>
          <w:szCs w:val="24"/>
        </w:rPr>
        <w:t xml:space="preserve"> </w:t>
      </w:r>
      <w:r w:rsidR="00A02E98">
        <w:rPr>
          <w:sz w:val="24"/>
          <w:szCs w:val="24"/>
        </w:rPr>
        <w:t>and to conduct mathematical computations as needed</w:t>
      </w:r>
      <w:r w:rsidR="00220848">
        <w:rPr>
          <w:sz w:val="24"/>
          <w:szCs w:val="24"/>
        </w:rPr>
        <w:t>, minimizing the entries by applicants</w:t>
      </w:r>
      <w:r w:rsidR="0098353E">
        <w:rPr>
          <w:sz w:val="24"/>
          <w:szCs w:val="24"/>
        </w:rPr>
        <w:t xml:space="preserve">. </w:t>
      </w:r>
      <w:r w:rsidR="003C1A25">
        <w:rPr>
          <w:sz w:val="24"/>
          <w:szCs w:val="24"/>
        </w:rPr>
        <w:t xml:space="preserve">In support of the application, HUD </w:t>
      </w:r>
      <w:r w:rsidR="00887EEE">
        <w:rPr>
          <w:sz w:val="24"/>
          <w:szCs w:val="24"/>
        </w:rPr>
        <w:t>will also</w:t>
      </w:r>
      <w:r w:rsidR="00B05621">
        <w:rPr>
          <w:sz w:val="24"/>
          <w:szCs w:val="24"/>
        </w:rPr>
        <w:t xml:space="preserve"> receive </w:t>
      </w:r>
      <w:r w:rsidR="00BE378C">
        <w:rPr>
          <w:sz w:val="24"/>
          <w:szCs w:val="24"/>
        </w:rPr>
        <w:t>benchmarking data on property utility consumption</w:t>
      </w:r>
      <w:r w:rsidR="00C4305A">
        <w:rPr>
          <w:sz w:val="24"/>
          <w:szCs w:val="24"/>
        </w:rPr>
        <w:t xml:space="preserve"> that</w:t>
      </w:r>
      <w:r w:rsidR="00E75DEB">
        <w:rPr>
          <w:sz w:val="24"/>
          <w:szCs w:val="24"/>
        </w:rPr>
        <w:t xml:space="preserve"> will be accessed and submitted </w:t>
      </w:r>
      <w:r w:rsidR="002D74E5">
        <w:rPr>
          <w:sz w:val="24"/>
          <w:szCs w:val="24"/>
        </w:rPr>
        <w:t xml:space="preserve">through </w:t>
      </w:r>
      <w:r w:rsidR="00C14346">
        <w:rPr>
          <w:sz w:val="24"/>
          <w:szCs w:val="24"/>
        </w:rPr>
        <w:t>Portfolio Manager (</w:t>
      </w:r>
      <w:r w:rsidRPr="00430882" w:rsidR="00C81448">
        <w:rPr>
          <w:sz w:val="24"/>
          <w:szCs w:val="24"/>
        </w:rPr>
        <w:t>portfoliomanager.energystar.gov</w:t>
      </w:r>
      <w:r w:rsidR="00C14346">
        <w:rPr>
          <w:sz w:val="24"/>
          <w:szCs w:val="24"/>
        </w:rPr>
        <w:t>)</w:t>
      </w:r>
      <w:r w:rsidRPr="00B83D31" w:rsidR="00B83D31">
        <w:rPr>
          <w:sz w:val="24"/>
          <w:szCs w:val="24"/>
        </w:rPr>
        <w:t xml:space="preserve">.  </w:t>
      </w:r>
      <w:r w:rsidR="0098353E">
        <w:rPr>
          <w:sz w:val="24"/>
          <w:szCs w:val="24"/>
        </w:rPr>
        <w:t xml:space="preserve">By leveraging these technological tools, we will </w:t>
      </w:r>
      <w:r w:rsidR="000C2671">
        <w:rPr>
          <w:sz w:val="24"/>
          <w:szCs w:val="24"/>
        </w:rPr>
        <w:t>reduce</w:t>
      </w:r>
      <w:r w:rsidR="0098353E">
        <w:rPr>
          <w:sz w:val="24"/>
          <w:szCs w:val="24"/>
        </w:rPr>
        <w:t xml:space="preserve"> burden and only collect the minimally necessary information </w:t>
      </w:r>
      <w:r w:rsidR="00AB06D1">
        <w:rPr>
          <w:sz w:val="24"/>
          <w:szCs w:val="24"/>
        </w:rPr>
        <w:t>that</w:t>
      </w:r>
      <w:r w:rsidR="0098353E">
        <w:rPr>
          <w:sz w:val="24"/>
          <w:szCs w:val="24"/>
        </w:rPr>
        <w:t xml:space="preserve"> </w:t>
      </w:r>
      <w:r w:rsidR="00AB06D1">
        <w:rPr>
          <w:sz w:val="24"/>
          <w:szCs w:val="24"/>
        </w:rPr>
        <w:t>serve the purpose of the application process.</w:t>
      </w:r>
      <w:r w:rsidRPr="006A2B11">
        <w:rPr>
          <w:sz w:val="24"/>
          <w:szCs w:val="24"/>
        </w:rPr>
        <w:t xml:space="preserve"> </w:t>
      </w:r>
    </w:p>
    <w:p w:rsidR="00D3071E" w:rsidP="0079375C" w14:paraId="4F4785F5" w14:textId="77777777">
      <w:pPr>
        <w:ind w:left="720"/>
        <w:rPr>
          <w:sz w:val="24"/>
          <w:szCs w:val="24"/>
        </w:rPr>
      </w:pPr>
    </w:p>
    <w:p w:rsidR="00B03063" w14:paraId="4F25371E" w14:textId="77777777">
      <w:pPr>
        <w:rPr>
          <w:sz w:val="24"/>
          <w:szCs w:val="24"/>
        </w:rPr>
      </w:pPr>
    </w:p>
    <w:p w:rsidR="00B03063" w14:paraId="61C05502" w14:textId="77777777">
      <w:pPr>
        <w:pStyle w:val="ListParagraph"/>
        <w:numPr>
          <w:ilvl w:val="0"/>
          <w:numId w:val="12"/>
        </w:numPr>
        <w:rPr>
          <w:rFonts w:ascii="Times New Roman" w:hAnsi="Times New Roman" w:cs="Times New Roman"/>
          <w:sz w:val="24"/>
          <w:szCs w:val="24"/>
        </w:rPr>
      </w:pPr>
      <w:r w:rsidRPr="00C94FA4">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B03063" w:rsidP="00AD2C12" w14:paraId="2A8A2923" w14:textId="57F6980D">
      <w:pPr>
        <w:pStyle w:val="ListParagraph"/>
        <w:rPr>
          <w:rFonts w:ascii="Times New Roman" w:hAnsi="Times New Roman" w:cs="Times New Roman"/>
          <w:sz w:val="24"/>
          <w:szCs w:val="24"/>
        </w:rPr>
      </w:pPr>
    </w:p>
    <w:p w:rsidR="00B03063" w:rsidP="001E582A" w14:paraId="1158DD6A" w14:textId="48871ED2">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This program will target </w:t>
      </w:r>
      <w:r w:rsidRPr="001E582A">
        <w:rPr>
          <w:rFonts w:ascii="Times New Roman" w:hAnsi="Times New Roman" w:cs="Times New Roman"/>
          <w:sz w:val="24"/>
          <w:szCs w:val="24"/>
        </w:rPr>
        <w:t>HUD-assisted multifamily properties</w:t>
      </w:r>
      <w:r w:rsidR="001E582A">
        <w:rPr>
          <w:rFonts w:ascii="Times New Roman" w:hAnsi="Times New Roman" w:cs="Times New Roman"/>
          <w:sz w:val="24"/>
          <w:szCs w:val="24"/>
        </w:rPr>
        <w:t xml:space="preserve"> of which the </w:t>
      </w:r>
      <w:r w:rsidRPr="006A2B11" w:rsidR="00355E1D">
        <w:rPr>
          <w:rFonts w:ascii="Times New Roman" w:hAnsi="Times New Roman" w:cs="Times New Roman"/>
          <w:sz w:val="24"/>
          <w:szCs w:val="24"/>
        </w:rPr>
        <w:t xml:space="preserve">Department </w:t>
      </w:r>
      <w:r w:rsidR="00355E1D">
        <w:rPr>
          <w:rFonts w:ascii="Times New Roman" w:hAnsi="Times New Roman" w:cs="Times New Roman"/>
          <w:sz w:val="24"/>
          <w:szCs w:val="24"/>
        </w:rPr>
        <w:t xml:space="preserve">collects and </w:t>
      </w:r>
      <w:r w:rsidRPr="006A2B11" w:rsidR="00355E1D">
        <w:rPr>
          <w:rFonts w:ascii="Times New Roman" w:hAnsi="Times New Roman" w:cs="Times New Roman"/>
          <w:sz w:val="24"/>
          <w:szCs w:val="24"/>
        </w:rPr>
        <w:t>maintain</w:t>
      </w:r>
      <w:r w:rsidR="00355E1D">
        <w:rPr>
          <w:rFonts w:ascii="Times New Roman" w:hAnsi="Times New Roman" w:cs="Times New Roman"/>
          <w:sz w:val="24"/>
          <w:szCs w:val="24"/>
        </w:rPr>
        <w:t>s information for each</w:t>
      </w:r>
      <w:r w:rsidR="00FF396A">
        <w:rPr>
          <w:rFonts w:ascii="Times New Roman" w:hAnsi="Times New Roman" w:cs="Times New Roman"/>
          <w:sz w:val="24"/>
          <w:szCs w:val="24"/>
        </w:rPr>
        <w:t>,</w:t>
      </w:r>
      <w:r w:rsidR="00355E1D">
        <w:rPr>
          <w:rFonts w:ascii="Times New Roman" w:hAnsi="Times New Roman" w:cs="Times New Roman"/>
          <w:sz w:val="24"/>
          <w:szCs w:val="24"/>
        </w:rPr>
        <w:t xml:space="preserve"> </w:t>
      </w:r>
      <w:r w:rsidRPr="006A2B11" w:rsidR="00355E1D">
        <w:rPr>
          <w:rFonts w:ascii="Times New Roman" w:hAnsi="Times New Roman" w:cs="Times New Roman"/>
          <w:sz w:val="24"/>
          <w:szCs w:val="24"/>
        </w:rPr>
        <w:t>includ</w:t>
      </w:r>
      <w:r w:rsidR="0043161A">
        <w:rPr>
          <w:rFonts w:ascii="Times New Roman" w:hAnsi="Times New Roman" w:cs="Times New Roman"/>
          <w:sz w:val="24"/>
          <w:szCs w:val="24"/>
        </w:rPr>
        <w:t>ing owner information</w:t>
      </w:r>
      <w:r w:rsidRPr="006A2B11" w:rsidR="00355E1D">
        <w:rPr>
          <w:rFonts w:ascii="Times New Roman" w:hAnsi="Times New Roman" w:cs="Times New Roman"/>
          <w:sz w:val="24"/>
          <w:szCs w:val="24"/>
        </w:rPr>
        <w:t xml:space="preserve">, building and unit information, </w:t>
      </w:r>
      <w:r w:rsidR="00947522">
        <w:rPr>
          <w:rFonts w:ascii="Times New Roman" w:hAnsi="Times New Roman" w:cs="Times New Roman"/>
          <w:sz w:val="24"/>
          <w:szCs w:val="24"/>
        </w:rPr>
        <w:t xml:space="preserve">and </w:t>
      </w:r>
      <w:r w:rsidR="0043161A">
        <w:rPr>
          <w:rFonts w:ascii="Times New Roman" w:hAnsi="Times New Roman" w:cs="Times New Roman"/>
          <w:sz w:val="24"/>
          <w:szCs w:val="24"/>
        </w:rPr>
        <w:t>other data</w:t>
      </w:r>
      <w:r w:rsidRPr="006A2B11" w:rsidR="00355E1D">
        <w:rPr>
          <w:rFonts w:ascii="Times New Roman" w:hAnsi="Times New Roman" w:cs="Times New Roman"/>
          <w:sz w:val="24"/>
          <w:szCs w:val="24"/>
        </w:rPr>
        <w:t>.</w:t>
      </w:r>
      <w:r w:rsidR="00947522">
        <w:rPr>
          <w:rFonts w:ascii="Times New Roman" w:hAnsi="Times New Roman" w:cs="Times New Roman"/>
          <w:sz w:val="24"/>
          <w:szCs w:val="24"/>
        </w:rPr>
        <w:t xml:space="preserve"> </w:t>
      </w:r>
      <w:r w:rsidRPr="006A2B11" w:rsidR="00355E1D">
        <w:rPr>
          <w:rFonts w:ascii="Times New Roman" w:hAnsi="Times New Roman" w:cs="Times New Roman"/>
          <w:sz w:val="24"/>
          <w:szCs w:val="24"/>
        </w:rPr>
        <w:t xml:space="preserve"> </w:t>
      </w:r>
      <w:r w:rsidR="0043161A">
        <w:rPr>
          <w:rFonts w:ascii="Times New Roman" w:hAnsi="Times New Roman" w:cs="Times New Roman"/>
          <w:sz w:val="24"/>
          <w:szCs w:val="24"/>
        </w:rPr>
        <w:t xml:space="preserve">The GRRP applications will </w:t>
      </w:r>
      <w:r w:rsidR="00355E1D">
        <w:rPr>
          <w:rFonts w:ascii="Times New Roman" w:hAnsi="Times New Roman" w:cs="Times New Roman"/>
          <w:sz w:val="24"/>
          <w:szCs w:val="24"/>
        </w:rPr>
        <w:t xml:space="preserve">utilize this information and </w:t>
      </w:r>
      <w:r w:rsidR="00EA422B">
        <w:rPr>
          <w:rFonts w:ascii="Times New Roman" w:hAnsi="Times New Roman" w:cs="Times New Roman"/>
          <w:sz w:val="24"/>
          <w:szCs w:val="24"/>
        </w:rPr>
        <w:t xml:space="preserve">only solicit </w:t>
      </w:r>
      <w:r w:rsidR="004507CA">
        <w:rPr>
          <w:rFonts w:ascii="Times New Roman" w:hAnsi="Times New Roman" w:cs="Times New Roman"/>
          <w:sz w:val="24"/>
          <w:szCs w:val="24"/>
        </w:rPr>
        <w:t xml:space="preserve">information not already available to the Department, including the owner’s interest in participation, </w:t>
      </w:r>
      <w:r w:rsidR="005149A5">
        <w:rPr>
          <w:rFonts w:ascii="Times New Roman" w:hAnsi="Times New Roman" w:cs="Times New Roman"/>
          <w:sz w:val="24"/>
          <w:szCs w:val="24"/>
        </w:rPr>
        <w:t xml:space="preserve">data related to the current energy consumption of the property, </w:t>
      </w:r>
      <w:r w:rsidR="00BA75AD">
        <w:rPr>
          <w:rFonts w:ascii="Times New Roman" w:hAnsi="Times New Roman" w:cs="Times New Roman"/>
          <w:sz w:val="24"/>
          <w:szCs w:val="24"/>
        </w:rPr>
        <w:t>information related to the owner’s</w:t>
      </w:r>
      <w:r w:rsidR="00DF7C52">
        <w:rPr>
          <w:rFonts w:ascii="Times New Roman" w:hAnsi="Times New Roman" w:cs="Times New Roman"/>
          <w:sz w:val="24"/>
          <w:szCs w:val="24"/>
        </w:rPr>
        <w:t xml:space="preserve"> plans to </w:t>
      </w:r>
      <w:r w:rsidR="00E46EC8">
        <w:rPr>
          <w:rFonts w:ascii="Times New Roman" w:hAnsi="Times New Roman" w:cs="Times New Roman"/>
          <w:sz w:val="24"/>
          <w:szCs w:val="24"/>
        </w:rPr>
        <w:t>finance improvements to the property</w:t>
      </w:r>
      <w:r w:rsidR="002672EC">
        <w:rPr>
          <w:rFonts w:ascii="Times New Roman" w:hAnsi="Times New Roman" w:cs="Times New Roman"/>
          <w:sz w:val="24"/>
          <w:szCs w:val="24"/>
        </w:rPr>
        <w:t xml:space="preserve">, and </w:t>
      </w:r>
      <w:r w:rsidR="009E0255">
        <w:rPr>
          <w:rFonts w:ascii="Times New Roman" w:hAnsi="Times New Roman" w:cs="Times New Roman"/>
          <w:sz w:val="24"/>
          <w:szCs w:val="24"/>
        </w:rPr>
        <w:t xml:space="preserve">other relevant information needed to confirm eligibility, </w:t>
      </w:r>
      <w:r w:rsidR="003031AD">
        <w:rPr>
          <w:rFonts w:ascii="Times New Roman" w:hAnsi="Times New Roman" w:cs="Times New Roman"/>
          <w:sz w:val="24"/>
          <w:szCs w:val="24"/>
        </w:rPr>
        <w:t>rank,</w:t>
      </w:r>
      <w:r w:rsidR="009E0255">
        <w:rPr>
          <w:rFonts w:ascii="Times New Roman" w:hAnsi="Times New Roman" w:cs="Times New Roman"/>
          <w:sz w:val="24"/>
          <w:szCs w:val="24"/>
        </w:rPr>
        <w:t xml:space="preserve"> and select applicants, and determine the </w:t>
      </w:r>
      <w:r w:rsidR="008463BC">
        <w:rPr>
          <w:rFonts w:ascii="Times New Roman" w:hAnsi="Times New Roman" w:cs="Times New Roman"/>
          <w:sz w:val="24"/>
          <w:szCs w:val="24"/>
        </w:rPr>
        <w:t>amount</w:t>
      </w:r>
      <w:r w:rsidR="008463BC">
        <w:rPr>
          <w:rFonts w:ascii="Times New Roman" w:hAnsi="Times New Roman" w:cs="Times New Roman"/>
          <w:sz w:val="24"/>
          <w:szCs w:val="24"/>
        </w:rPr>
        <w:t xml:space="preserve"> of awards.</w:t>
      </w:r>
      <w:r w:rsidRPr="006A2B11" w:rsidR="00355E1D">
        <w:rPr>
          <w:rFonts w:ascii="Times New Roman" w:hAnsi="Times New Roman" w:cs="Times New Roman"/>
          <w:sz w:val="24"/>
          <w:szCs w:val="24"/>
        </w:rPr>
        <w:t xml:space="preserve">                                                    </w:t>
      </w:r>
    </w:p>
    <w:p w:rsidR="00B03063" w14:paraId="1932D9BE" w14:textId="7777777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rsidR="00B03063" w14:paraId="4ED80445" w14:textId="77777777">
      <w:pPr>
        <w:pStyle w:val="ListParagraph"/>
        <w:numPr>
          <w:ilvl w:val="0"/>
          <w:numId w:val="12"/>
        </w:numPr>
        <w:rPr>
          <w:rFonts w:ascii="Times New Roman" w:hAnsi="Times New Roman" w:cs="Times New Roman"/>
          <w:sz w:val="24"/>
          <w:szCs w:val="24"/>
        </w:rPr>
      </w:pPr>
      <w:r w:rsidRPr="006A2B11">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B03063" w14:paraId="5028B863" w14:textId="77777777">
      <w:pPr>
        <w:pStyle w:val="ListParagraph"/>
        <w:spacing w:after="0" w:line="240" w:lineRule="auto"/>
        <w:ind w:left="0"/>
        <w:rPr>
          <w:rFonts w:ascii="Times New Roman" w:hAnsi="Times New Roman" w:cs="Times New Roman"/>
          <w:b/>
          <w:sz w:val="24"/>
          <w:szCs w:val="24"/>
        </w:rPr>
      </w:pPr>
    </w:p>
    <w:p w:rsidR="00B03063" w14:paraId="45368854" w14:textId="7777777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r>
      <w:r w:rsidRPr="006A2B11">
        <w:rPr>
          <w:rFonts w:ascii="Times New Roman" w:hAnsi="Times New Roman" w:cs="Times New Roman"/>
          <w:sz w:val="24"/>
          <w:szCs w:val="24"/>
        </w:rPr>
        <w:t>This information collection has no impact on small businesses or other small entities.</w:t>
      </w:r>
    </w:p>
    <w:p w:rsidR="00B03063" w14:paraId="5818DA9A" w14:textId="77777777">
      <w:pPr>
        <w:pStyle w:val="ListParagraph"/>
        <w:autoSpaceDE w:val="0"/>
        <w:autoSpaceDN w:val="0"/>
        <w:adjustRightInd w:val="0"/>
        <w:spacing w:after="0" w:line="240" w:lineRule="auto"/>
        <w:ind w:left="0"/>
        <w:rPr>
          <w:rFonts w:ascii="Times New Roman" w:hAnsi="Times New Roman" w:cs="Times New Roman"/>
          <w:b/>
          <w:sz w:val="24"/>
          <w:szCs w:val="24"/>
        </w:rPr>
      </w:pPr>
    </w:p>
    <w:p w:rsidR="00B03063" w14:paraId="4C8728DA"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6A2B11">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B03063" w14:paraId="7837040A"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rsidP="00A22F2C" w14:paraId="71A2F375" w14:textId="7AF3DA44">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Owners of HUD-assisted multifamily properties</w:t>
      </w:r>
      <w:r w:rsidRPr="006A2B11" w:rsidR="00355E1D">
        <w:rPr>
          <w:rFonts w:ascii="Times New Roman" w:hAnsi="Times New Roman" w:cs="Times New Roman"/>
          <w:sz w:val="24"/>
          <w:szCs w:val="24"/>
        </w:rPr>
        <w:t xml:space="preserve"> interested in participating in </w:t>
      </w:r>
      <w:r w:rsidR="009D2667">
        <w:rPr>
          <w:rFonts w:ascii="Times New Roman" w:hAnsi="Times New Roman" w:cs="Times New Roman"/>
          <w:sz w:val="24"/>
          <w:szCs w:val="24"/>
        </w:rPr>
        <w:t>GRRP</w:t>
      </w:r>
      <w:r w:rsidRPr="006A2B11" w:rsidR="00355E1D">
        <w:rPr>
          <w:rFonts w:ascii="Times New Roman" w:hAnsi="Times New Roman" w:cs="Times New Roman"/>
          <w:sz w:val="24"/>
          <w:szCs w:val="24"/>
        </w:rPr>
        <w:t xml:space="preserve"> are</w:t>
      </w:r>
      <w:r w:rsidR="009D2667">
        <w:rPr>
          <w:rFonts w:ascii="Times New Roman" w:hAnsi="Times New Roman" w:cs="Times New Roman"/>
          <w:sz w:val="24"/>
          <w:szCs w:val="24"/>
        </w:rPr>
        <w:t xml:space="preserve"> </w:t>
      </w:r>
      <w:r w:rsidRPr="006A2B11" w:rsidR="00355E1D">
        <w:rPr>
          <w:rFonts w:ascii="Times New Roman" w:hAnsi="Times New Roman" w:cs="Times New Roman"/>
          <w:sz w:val="24"/>
          <w:szCs w:val="24"/>
        </w:rPr>
        <w:t xml:space="preserve">required </w:t>
      </w:r>
      <w:r w:rsidR="00355E1D">
        <w:rPr>
          <w:rFonts w:ascii="Times New Roman" w:hAnsi="Times New Roman" w:cs="Times New Roman"/>
          <w:sz w:val="24"/>
          <w:szCs w:val="24"/>
        </w:rPr>
        <w:t xml:space="preserve">to submit </w:t>
      </w:r>
      <w:r w:rsidRPr="006A2B11" w:rsidR="00355E1D">
        <w:rPr>
          <w:rFonts w:ascii="Times New Roman" w:hAnsi="Times New Roman" w:cs="Times New Roman"/>
          <w:sz w:val="24"/>
          <w:szCs w:val="24"/>
        </w:rPr>
        <w:t xml:space="preserve">applications to HUD. Failure to collect this information would impede upon the Department’s ability to </w:t>
      </w:r>
      <w:r w:rsidR="001C3AC5">
        <w:rPr>
          <w:rFonts w:ascii="Times New Roman" w:hAnsi="Times New Roman" w:cs="Times New Roman"/>
          <w:sz w:val="24"/>
          <w:szCs w:val="24"/>
        </w:rPr>
        <w:t xml:space="preserve">make funds available </w:t>
      </w:r>
      <w:r w:rsidR="00A72A2A">
        <w:rPr>
          <w:rFonts w:ascii="Times New Roman" w:hAnsi="Times New Roman" w:cs="Times New Roman"/>
          <w:sz w:val="24"/>
          <w:szCs w:val="24"/>
        </w:rPr>
        <w:t xml:space="preserve">for owners to make green and resilient retrofits to their </w:t>
      </w:r>
      <w:r w:rsidR="002B2974">
        <w:rPr>
          <w:rFonts w:ascii="Times New Roman" w:hAnsi="Times New Roman" w:cs="Times New Roman"/>
          <w:sz w:val="24"/>
          <w:szCs w:val="24"/>
        </w:rPr>
        <w:t>properties.</w:t>
      </w:r>
    </w:p>
    <w:p w:rsidR="00B03063" w14:paraId="1362CB37"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501AAC42"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2A4F516B" w14:textId="77777777">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6A2B11">
        <w:rPr>
          <w:rFonts w:ascii="Times New Roman" w:hAnsi="Times New Roman" w:cs="Times New Roman"/>
          <w:b/>
          <w:sz w:val="24"/>
          <w:szCs w:val="24"/>
        </w:rPr>
        <w:t>Explain any special circumstances that would cause an information collection to be conducted in a manner:</w:t>
      </w:r>
    </w:p>
    <w:p w:rsidR="00B03063" w14:paraId="3FF34FDC" w14:textId="77777777">
      <w:pPr>
        <w:rPr>
          <w:b/>
          <w:sz w:val="24"/>
          <w:szCs w:val="24"/>
        </w:rPr>
      </w:pPr>
    </w:p>
    <w:p w:rsidR="00B03063" w14:paraId="744B8A87" w14:textId="77777777">
      <w:pPr>
        <w:rPr>
          <w:b/>
          <w:sz w:val="24"/>
          <w:szCs w:val="24"/>
        </w:rPr>
      </w:pPr>
      <w:r>
        <w:rPr>
          <w:b/>
          <w:sz w:val="24"/>
          <w:szCs w:val="24"/>
        </w:rPr>
        <w:tab/>
      </w:r>
      <w:r w:rsidRPr="006A2B11">
        <w:rPr>
          <w:b/>
          <w:sz w:val="24"/>
          <w:szCs w:val="24"/>
        </w:rPr>
        <w:t xml:space="preserve">* Requiring respondents to report information to the agency more often than </w:t>
      </w:r>
      <w:r w:rsidRPr="006A2B11">
        <w:rPr>
          <w:b/>
          <w:sz w:val="24"/>
          <w:szCs w:val="24"/>
        </w:rPr>
        <w:t>quarterly;</w:t>
      </w:r>
    </w:p>
    <w:p w:rsidR="00355E1D" w:rsidRPr="006A2B11" w:rsidP="008105F1" w14:paraId="110E548F" w14:textId="77777777">
      <w:pPr>
        <w:rPr>
          <w:sz w:val="24"/>
          <w:szCs w:val="24"/>
        </w:rPr>
      </w:pPr>
    </w:p>
    <w:p w:rsidR="00B03063" w14:paraId="6DCE9AA2" w14:textId="77777777">
      <w:pPr>
        <w:rPr>
          <w:sz w:val="24"/>
          <w:szCs w:val="24"/>
        </w:rPr>
      </w:pPr>
      <w:r>
        <w:rPr>
          <w:sz w:val="24"/>
          <w:szCs w:val="24"/>
        </w:rPr>
        <w:tab/>
      </w:r>
      <w:r w:rsidRPr="006A2B11">
        <w:rPr>
          <w:sz w:val="24"/>
          <w:szCs w:val="24"/>
        </w:rPr>
        <w:t xml:space="preserve">None </w:t>
      </w:r>
    </w:p>
    <w:p w:rsidR="00B03063" w14:paraId="2A0F2AE5" w14:textId="77777777">
      <w:pPr>
        <w:rPr>
          <w:sz w:val="24"/>
          <w:szCs w:val="24"/>
        </w:rPr>
      </w:pPr>
    </w:p>
    <w:p w:rsidR="00B03063" w14:paraId="22ED585A" w14:textId="77777777">
      <w:pPr>
        <w:rPr>
          <w:b/>
          <w:sz w:val="24"/>
          <w:szCs w:val="24"/>
        </w:rPr>
      </w:pPr>
      <w:r>
        <w:rPr>
          <w:b/>
          <w:sz w:val="24"/>
          <w:szCs w:val="24"/>
        </w:rPr>
        <w:tab/>
      </w:r>
      <w:r w:rsidRPr="006A2B11">
        <w:rPr>
          <w:b/>
          <w:sz w:val="24"/>
          <w:szCs w:val="24"/>
        </w:rPr>
        <w:t xml:space="preserve">* Requiring respondents to prepare a written response to a collection of information in fewer than </w:t>
      </w:r>
      <w:r>
        <w:rPr>
          <w:b/>
          <w:sz w:val="24"/>
          <w:szCs w:val="24"/>
        </w:rPr>
        <w:tab/>
      </w:r>
      <w:r w:rsidRPr="006A2B11">
        <w:rPr>
          <w:b/>
          <w:sz w:val="24"/>
          <w:szCs w:val="24"/>
        </w:rPr>
        <w:t xml:space="preserve">30 days after receipt of </w:t>
      </w:r>
      <w:r w:rsidRPr="006A2B11">
        <w:rPr>
          <w:b/>
          <w:sz w:val="24"/>
          <w:szCs w:val="24"/>
        </w:rPr>
        <w:t>it;</w:t>
      </w:r>
    </w:p>
    <w:p w:rsidR="00B03063" w14:paraId="06634147" w14:textId="77777777">
      <w:pPr>
        <w:rPr>
          <w:sz w:val="24"/>
          <w:szCs w:val="24"/>
        </w:rPr>
      </w:pPr>
    </w:p>
    <w:p w:rsidR="00B03063" w14:paraId="28CBE655" w14:textId="77777777">
      <w:pPr>
        <w:rPr>
          <w:sz w:val="24"/>
          <w:szCs w:val="24"/>
        </w:rPr>
      </w:pPr>
      <w:r>
        <w:rPr>
          <w:sz w:val="24"/>
          <w:szCs w:val="24"/>
        </w:rPr>
        <w:tab/>
      </w:r>
      <w:r w:rsidRPr="006A2B11">
        <w:rPr>
          <w:sz w:val="24"/>
          <w:szCs w:val="24"/>
        </w:rPr>
        <w:t>None</w:t>
      </w:r>
    </w:p>
    <w:p w:rsidR="00B03063" w14:paraId="315024CB" w14:textId="77777777">
      <w:pPr>
        <w:rPr>
          <w:b/>
          <w:sz w:val="24"/>
          <w:szCs w:val="24"/>
        </w:rPr>
      </w:pPr>
      <w:r w:rsidRPr="006A2B11">
        <w:rPr>
          <w:b/>
          <w:sz w:val="24"/>
          <w:szCs w:val="24"/>
        </w:rPr>
        <w:tab/>
      </w:r>
    </w:p>
    <w:p w:rsidR="00B03063" w14:paraId="6AA05862" w14:textId="77777777">
      <w:pPr>
        <w:rPr>
          <w:b/>
          <w:sz w:val="24"/>
          <w:szCs w:val="24"/>
        </w:rPr>
      </w:pPr>
      <w:r>
        <w:rPr>
          <w:b/>
          <w:sz w:val="24"/>
          <w:szCs w:val="24"/>
        </w:rPr>
        <w:tab/>
      </w:r>
      <w:r w:rsidRPr="006A2B11">
        <w:rPr>
          <w:b/>
          <w:sz w:val="24"/>
          <w:szCs w:val="24"/>
        </w:rPr>
        <w:t xml:space="preserve">* Requiring respondents to submit more than an original and two copies of any </w:t>
      </w:r>
      <w:r w:rsidRPr="006A2B11">
        <w:rPr>
          <w:b/>
          <w:sz w:val="24"/>
          <w:szCs w:val="24"/>
        </w:rPr>
        <w:t>document;</w:t>
      </w:r>
    </w:p>
    <w:p w:rsidR="00B03063" w14:paraId="246BA33C" w14:textId="77777777">
      <w:pPr>
        <w:rPr>
          <w:b/>
          <w:sz w:val="24"/>
          <w:szCs w:val="24"/>
        </w:rPr>
      </w:pPr>
    </w:p>
    <w:p w:rsidR="00B03063" w14:paraId="50620365" w14:textId="77777777">
      <w:pPr>
        <w:rPr>
          <w:b/>
          <w:sz w:val="24"/>
          <w:szCs w:val="24"/>
        </w:rPr>
      </w:pPr>
      <w:r>
        <w:rPr>
          <w:sz w:val="24"/>
          <w:szCs w:val="24"/>
        </w:rPr>
        <w:tab/>
      </w:r>
      <w:r w:rsidRPr="006A2B11">
        <w:rPr>
          <w:sz w:val="24"/>
          <w:szCs w:val="24"/>
        </w:rPr>
        <w:t>None</w:t>
      </w:r>
      <w:r w:rsidRPr="006A2B11">
        <w:rPr>
          <w:b/>
          <w:sz w:val="24"/>
          <w:szCs w:val="24"/>
        </w:rPr>
        <w:tab/>
      </w:r>
    </w:p>
    <w:p w:rsidR="00B03063" w14:paraId="5B292849" w14:textId="77777777">
      <w:pPr>
        <w:rPr>
          <w:b/>
          <w:sz w:val="24"/>
          <w:szCs w:val="24"/>
        </w:rPr>
      </w:pPr>
    </w:p>
    <w:p w:rsidR="00B03063" w14:paraId="54FB5641" w14:textId="77777777">
      <w:pPr>
        <w:rPr>
          <w:b/>
          <w:sz w:val="24"/>
          <w:szCs w:val="24"/>
        </w:rPr>
      </w:pPr>
      <w:r>
        <w:rPr>
          <w:b/>
          <w:sz w:val="24"/>
          <w:szCs w:val="24"/>
        </w:rPr>
        <w:tab/>
      </w:r>
      <w:r w:rsidRPr="006A2B11">
        <w:rPr>
          <w:b/>
          <w:sz w:val="24"/>
          <w:szCs w:val="24"/>
        </w:rPr>
        <w:t xml:space="preserve">* Requiring respondents to retain records, other than health, medical, government contract, </w:t>
      </w:r>
      <w:r>
        <w:rPr>
          <w:b/>
          <w:sz w:val="24"/>
          <w:szCs w:val="24"/>
        </w:rPr>
        <w:tab/>
      </w:r>
      <w:r w:rsidRPr="006A2B11">
        <w:rPr>
          <w:b/>
          <w:sz w:val="24"/>
          <w:szCs w:val="24"/>
        </w:rPr>
        <w:t xml:space="preserve">grant-in-aid, or tax records, for more than three </w:t>
      </w:r>
      <w:r w:rsidRPr="006A2B11">
        <w:rPr>
          <w:b/>
          <w:sz w:val="24"/>
          <w:szCs w:val="24"/>
        </w:rPr>
        <w:t>years;</w:t>
      </w:r>
    </w:p>
    <w:p w:rsidR="00B03063" w14:paraId="4928DE5E" w14:textId="77777777">
      <w:pPr>
        <w:rPr>
          <w:b/>
          <w:sz w:val="24"/>
          <w:szCs w:val="24"/>
        </w:rPr>
      </w:pPr>
    </w:p>
    <w:p w:rsidR="00B03063" w14:paraId="3FE7A56C" w14:textId="77777777">
      <w:pPr>
        <w:rPr>
          <w:sz w:val="24"/>
          <w:szCs w:val="24"/>
        </w:rPr>
      </w:pPr>
      <w:r>
        <w:rPr>
          <w:sz w:val="24"/>
          <w:szCs w:val="24"/>
        </w:rPr>
        <w:tab/>
      </w:r>
      <w:r w:rsidRPr="006A2B11">
        <w:rPr>
          <w:sz w:val="24"/>
          <w:szCs w:val="24"/>
        </w:rPr>
        <w:t>None</w:t>
      </w:r>
    </w:p>
    <w:p w:rsidR="00B03063" w14:paraId="34C201F1" w14:textId="77777777">
      <w:pPr>
        <w:rPr>
          <w:b/>
          <w:sz w:val="24"/>
          <w:szCs w:val="24"/>
        </w:rPr>
      </w:pPr>
    </w:p>
    <w:p w:rsidR="00B03063" w14:paraId="11D14F00" w14:textId="77777777">
      <w:pPr>
        <w:rPr>
          <w:b/>
          <w:sz w:val="24"/>
          <w:szCs w:val="24"/>
        </w:rPr>
      </w:pPr>
      <w:r>
        <w:rPr>
          <w:b/>
          <w:sz w:val="24"/>
          <w:szCs w:val="24"/>
        </w:rPr>
        <w:tab/>
      </w:r>
      <w:r w:rsidRPr="006A2B11">
        <w:rPr>
          <w:b/>
          <w:sz w:val="24"/>
          <w:szCs w:val="24"/>
        </w:rPr>
        <w:t xml:space="preserve">* In connection with a statistical survey, that is not designed to produce valid and reliable results </w:t>
      </w:r>
      <w:r>
        <w:rPr>
          <w:b/>
          <w:sz w:val="24"/>
          <w:szCs w:val="24"/>
        </w:rPr>
        <w:tab/>
      </w:r>
      <w:r w:rsidRPr="006A2B11">
        <w:rPr>
          <w:b/>
          <w:sz w:val="24"/>
          <w:szCs w:val="24"/>
        </w:rPr>
        <w:t xml:space="preserve">that can be generalized to the universe of </w:t>
      </w:r>
      <w:r w:rsidRPr="006A2B11">
        <w:rPr>
          <w:b/>
          <w:sz w:val="24"/>
          <w:szCs w:val="24"/>
        </w:rPr>
        <w:t>study;</w:t>
      </w:r>
    </w:p>
    <w:p w:rsidR="00B03063" w14:paraId="25D05B50" w14:textId="77777777">
      <w:pPr>
        <w:rPr>
          <w:b/>
          <w:sz w:val="24"/>
          <w:szCs w:val="24"/>
        </w:rPr>
      </w:pPr>
    </w:p>
    <w:p w:rsidR="00B03063" w14:paraId="454BDB43" w14:textId="77777777">
      <w:pPr>
        <w:rPr>
          <w:sz w:val="24"/>
          <w:szCs w:val="24"/>
        </w:rPr>
      </w:pPr>
      <w:r>
        <w:rPr>
          <w:sz w:val="24"/>
          <w:szCs w:val="24"/>
        </w:rPr>
        <w:tab/>
      </w:r>
      <w:r w:rsidRPr="006A2B11">
        <w:rPr>
          <w:sz w:val="24"/>
          <w:szCs w:val="24"/>
        </w:rPr>
        <w:t>None</w:t>
      </w:r>
    </w:p>
    <w:p w:rsidR="00B03063" w14:paraId="0A2772F5" w14:textId="77777777">
      <w:pPr>
        <w:rPr>
          <w:b/>
          <w:sz w:val="24"/>
          <w:szCs w:val="24"/>
        </w:rPr>
      </w:pPr>
    </w:p>
    <w:p w:rsidR="00B03063" w14:paraId="2671DDC6" w14:textId="77777777">
      <w:pPr>
        <w:rPr>
          <w:b/>
          <w:sz w:val="24"/>
          <w:szCs w:val="24"/>
        </w:rPr>
      </w:pPr>
      <w:r>
        <w:rPr>
          <w:b/>
          <w:sz w:val="24"/>
          <w:szCs w:val="24"/>
        </w:rPr>
        <w:tab/>
      </w:r>
      <w:r w:rsidRPr="006A2B11">
        <w:rPr>
          <w:b/>
          <w:sz w:val="24"/>
          <w:szCs w:val="24"/>
        </w:rPr>
        <w:t xml:space="preserve">* Requiring the use of a statistical data classification that has not been reviewed and </w:t>
      </w:r>
      <w:r>
        <w:rPr>
          <w:b/>
          <w:sz w:val="24"/>
          <w:szCs w:val="24"/>
        </w:rPr>
        <w:tab/>
      </w:r>
      <w:r w:rsidRPr="006A2B11">
        <w:rPr>
          <w:b/>
          <w:sz w:val="24"/>
          <w:szCs w:val="24"/>
        </w:rPr>
        <w:t xml:space="preserve">approved by </w:t>
      </w:r>
      <w:r w:rsidRPr="006A2B11">
        <w:rPr>
          <w:b/>
          <w:sz w:val="24"/>
          <w:szCs w:val="24"/>
        </w:rPr>
        <w:t>OMB;</w:t>
      </w:r>
    </w:p>
    <w:p w:rsidR="00B03063" w14:paraId="7955B451" w14:textId="77777777">
      <w:pPr>
        <w:rPr>
          <w:b/>
          <w:sz w:val="24"/>
          <w:szCs w:val="24"/>
        </w:rPr>
      </w:pPr>
    </w:p>
    <w:p w:rsidR="00B03063" w14:paraId="67F37AE3" w14:textId="77777777">
      <w:pPr>
        <w:rPr>
          <w:sz w:val="24"/>
          <w:szCs w:val="24"/>
        </w:rPr>
      </w:pPr>
      <w:r>
        <w:rPr>
          <w:sz w:val="24"/>
          <w:szCs w:val="24"/>
        </w:rPr>
        <w:tab/>
      </w:r>
      <w:r w:rsidRPr="006A2B11">
        <w:rPr>
          <w:sz w:val="24"/>
          <w:szCs w:val="24"/>
        </w:rPr>
        <w:t>None</w:t>
      </w:r>
    </w:p>
    <w:p w:rsidR="00B03063" w14:paraId="02BE5339" w14:textId="77777777">
      <w:pPr>
        <w:rPr>
          <w:sz w:val="24"/>
          <w:szCs w:val="24"/>
        </w:rPr>
      </w:pPr>
    </w:p>
    <w:p w:rsidR="00B03063" w14:paraId="5A8B75BE" w14:textId="77777777">
      <w:pPr>
        <w:rPr>
          <w:b/>
          <w:sz w:val="24"/>
          <w:szCs w:val="24"/>
        </w:rPr>
      </w:pPr>
      <w:r>
        <w:rPr>
          <w:b/>
          <w:sz w:val="24"/>
          <w:szCs w:val="24"/>
        </w:rPr>
        <w:tab/>
      </w:r>
      <w:r w:rsidRPr="006A2B11">
        <w:rPr>
          <w:b/>
          <w:sz w:val="24"/>
          <w:szCs w:val="24"/>
        </w:rPr>
        <w:t xml:space="preserve">*That includes a pledge of confidentiality that is not supported by authority established in statute </w:t>
      </w:r>
      <w:r>
        <w:rPr>
          <w:b/>
          <w:sz w:val="24"/>
          <w:szCs w:val="24"/>
        </w:rPr>
        <w:tab/>
      </w:r>
      <w:r w:rsidRPr="006A2B11">
        <w:rPr>
          <w:b/>
          <w:sz w:val="24"/>
          <w:szCs w:val="24"/>
        </w:rPr>
        <w:t xml:space="preserve">or regulation, that is not supported by disclosure and data security policies that are consistent </w:t>
      </w:r>
      <w:r>
        <w:rPr>
          <w:b/>
          <w:sz w:val="24"/>
          <w:szCs w:val="24"/>
        </w:rPr>
        <w:tab/>
      </w:r>
      <w:r w:rsidRPr="006A2B11">
        <w:rPr>
          <w:b/>
          <w:sz w:val="24"/>
          <w:szCs w:val="24"/>
        </w:rPr>
        <w:t xml:space="preserve">with the pledge, or which unnecessarily impedes </w:t>
      </w:r>
      <w:r>
        <w:rPr>
          <w:b/>
          <w:sz w:val="24"/>
          <w:szCs w:val="24"/>
        </w:rPr>
        <w:tab/>
      </w:r>
      <w:r w:rsidRPr="006A2B11">
        <w:rPr>
          <w:b/>
          <w:sz w:val="24"/>
          <w:szCs w:val="24"/>
        </w:rPr>
        <w:t xml:space="preserve">sharing of data with other agencies for </w:t>
      </w:r>
      <w:r>
        <w:rPr>
          <w:b/>
          <w:sz w:val="24"/>
          <w:szCs w:val="24"/>
        </w:rPr>
        <w:tab/>
      </w:r>
      <w:r w:rsidRPr="006A2B11">
        <w:rPr>
          <w:b/>
          <w:sz w:val="24"/>
          <w:szCs w:val="24"/>
        </w:rPr>
        <w:t xml:space="preserve">compatible confidential use; or  </w:t>
      </w:r>
    </w:p>
    <w:p w:rsidR="00B03063" w14:paraId="3330D12B" w14:textId="77777777">
      <w:pPr>
        <w:rPr>
          <w:b/>
          <w:sz w:val="24"/>
          <w:szCs w:val="24"/>
        </w:rPr>
      </w:pPr>
    </w:p>
    <w:p w:rsidR="00B03063" w14:paraId="72D5329D" w14:textId="77777777">
      <w:pPr>
        <w:rPr>
          <w:sz w:val="24"/>
          <w:szCs w:val="24"/>
        </w:rPr>
      </w:pPr>
      <w:r>
        <w:rPr>
          <w:sz w:val="24"/>
          <w:szCs w:val="24"/>
        </w:rPr>
        <w:tab/>
      </w:r>
      <w:r w:rsidRPr="006A2B11">
        <w:rPr>
          <w:sz w:val="24"/>
          <w:szCs w:val="24"/>
        </w:rPr>
        <w:t>None</w:t>
      </w:r>
    </w:p>
    <w:p w:rsidR="00B03063" w14:paraId="7803A2A0" w14:textId="77777777">
      <w:pPr>
        <w:rPr>
          <w:sz w:val="24"/>
          <w:szCs w:val="24"/>
        </w:rPr>
      </w:pPr>
    </w:p>
    <w:p w:rsidR="00B03063" w14:paraId="3E82BC0D" w14:textId="77777777">
      <w:pPr>
        <w:rPr>
          <w:b/>
          <w:sz w:val="24"/>
          <w:szCs w:val="24"/>
        </w:rPr>
      </w:pPr>
      <w:r>
        <w:rPr>
          <w:b/>
          <w:sz w:val="24"/>
          <w:szCs w:val="24"/>
        </w:rPr>
        <w:tab/>
      </w:r>
      <w:r w:rsidRPr="006A2B11">
        <w:rPr>
          <w:b/>
          <w:sz w:val="24"/>
          <w:szCs w:val="24"/>
        </w:rPr>
        <w:t xml:space="preserve">* Requiring respondents to submit proprietary trade secrets, or other confidential information </w:t>
      </w:r>
      <w:r>
        <w:rPr>
          <w:b/>
          <w:sz w:val="24"/>
          <w:szCs w:val="24"/>
        </w:rPr>
        <w:tab/>
      </w:r>
      <w:r w:rsidRPr="006A2B11">
        <w:rPr>
          <w:b/>
          <w:sz w:val="24"/>
          <w:szCs w:val="24"/>
        </w:rPr>
        <w:t xml:space="preserve">unless the agency can demonstrate that it has instituted procedures to </w:t>
      </w:r>
      <w:r>
        <w:rPr>
          <w:b/>
          <w:sz w:val="24"/>
          <w:szCs w:val="24"/>
        </w:rPr>
        <w:tab/>
      </w:r>
      <w:r w:rsidRPr="006A2B11">
        <w:rPr>
          <w:b/>
          <w:sz w:val="24"/>
          <w:szCs w:val="24"/>
        </w:rPr>
        <w:t xml:space="preserve">protect the information's </w:t>
      </w:r>
      <w:r>
        <w:rPr>
          <w:b/>
          <w:sz w:val="24"/>
          <w:szCs w:val="24"/>
        </w:rPr>
        <w:tab/>
      </w:r>
      <w:r w:rsidRPr="006A2B11">
        <w:rPr>
          <w:b/>
          <w:sz w:val="24"/>
          <w:szCs w:val="24"/>
        </w:rPr>
        <w:t>confidentiality to the extent permitted by law.</w:t>
      </w:r>
    </w:p>
    <w:p w:rsidR="00B03063" w14:paraId="3875162A" w14:textId="77777777">
      <w:pPr>
        <w:rPr>
          <w:b/>
          <w:sz w:val="24"/>
          <w:szCs w:val="24"/>
        </w:rPr>
      </w:pPr>
    </w:p>
    <w:p w:rsidR="00B03063" w14:paraId="7EE0221F" w14:textId="77777777">
      <w:pPr>
        <w:rPr>
          <w:sz w:val="24"/>
          <w:szCs w:val="24"/>
        </w:rPr>
      </w:pPr>
      <w:r>
        <w:rPr>
          <w:sz w:val="24"/>
          <w:szCs w:val="24"/>
        </w:rPr>
        <w:tab/>
      </w:r>
      <w:r w:rsidRPr="006A2B11">
        <w:rPr>
          <w:sz w:val="24"/>
          <w:szCs w:val="24"/>
        </w:rPr>
        <w:t>None</w:t>
      </w:r>
    </w:p>
    <w:p w:rsidR="00B03063" w14:paraId="7789E96F"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B03063" w14:paraId="00CD3001" w14:textId="77777777">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876FCC">
        <w:rPr>
          <w:rFonts w:ascii="Times New Roman" w:hAnsi="Times New Roman" w:cs="Times New Roman"/>
          <w:b/>
          <w:sz w:val="24"/>
          <w:szCs w:val="24"/>
        </w:rPr>
        <w:t xml:space="preserve">If applicable, provide a copy and identify the date and page number of </w:t>
      </w:r>
      <w:r w:rsidRPr="00876FCC">
        <w:rPr>
          <w:rFonts w:ascii="Times New Roman" w:hAnsi="Times New Roman" w:cs="Times New Roman"/>
          <w:b/>
          <w:sz w:val="24"/>
          <w:szCs w:val="24"/>
        </w:rPr>
        <w:t>publication</w:t>
      </w:r>
      <w:r w:rsidRPr="00876FCC">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w:t>
      </w:r>
    </w:p>
    <w:p w:rsidR="00DB7B62" w14:paraId="5AB74066" w14:textId="77777777">
      <w:pPr>
        <w:rPr>
          <w:sz w:val="24"/>
          <w:szCs w:val="24"/>
        </w:rPr>
      </w:pPr>
      <w:r>
        <w:rPr>
          <w:sz w:val="24"/>
          <w:szCs w:val="24"/>
        </w:rPr>
        <w:tab/>
      </w:r>
    </w:p>
    <w:p w:rsidR="005A3D90" w14:paraId="432E5F13" w14:textId="0346D620">
      <w:pPr>
        <w:rPr>
          <w:sz w:val="24"/>
          <w:szCs w:val="24"/>
        </w:rPr>
      </w:pPr>
      <w:r>
        <w:rPr>
          <w:sz w:val="24"/>
          <w:szCs w:val="24"/>
        </w:rPr>
        <w:tab/>
      </w:r>
      <w:r w:rsidR="00E430F1">
        <w:rPr>
          <w:sz w:val="24"/>
          <w:szCs w:val="24"/>
        </w:rPr>
        <w:t xml:space="preserve">GRRP is a new initiative, </w:t>
      </w:r>
      <w:r w:rsidR="00D85879">
        <w:rPr>
          <w:sz w:val="24"/>
          <w:szCs w:val="24"/>
        </w:rPr>
        <w:t xml:space="preserve">and </w:t>
      </w:r>
      <w:r w:rsidR="00E430F1">
        <w:rPr>
          <w:sz w:val="24"/>
          <w:szCs w:val="24"/>
        </w:rPr>
        <w:t xml:space="preserve">the </w:t>
      </w:r>
      <w:r w:rsidR="004B1DD9">
        <w:rPr>
          <w:sz w:val="24"/>
          <w:szCs w:val="24"/>
        </w:rPr>
        <w:t xml:space="preserve">Federal Register announcement is impending. </w:t>
      </w:r>
    </w:p>
    <w:p w:rsidR="00B03063" w14:paraId="65022EEC" w14:textId="77777777">
      <w:pPr>
        <w:rPr>
          <w:sz w:val="24"/>
          <w:szCs w:val="24"/>
        </w:rPr>
      </w:pPr>
      <w:r>
        <w:rPr>
          <w:sz w:val="24"/>
          <w:szCs w:val="24"/>
        </w:rPr>
        <w:tab/>
      </w:r>
    </w:p>
    <w:p w:rsidR="00B03063" w14:paraId="1FCEF777" w14:textId="77777777">
      <w:pPr>
        <w:rPr>
          <w:b/>
          <w:sz w:val="24"/>
          <w:szCs w:val="24"/>
        </w:rPr>
      </w:pPr>
    </w:p>
    <w:p w:rsidR="00B03063" w14:paraId="61F86100"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Explain any decision to provide any payment or gift to respondents, other than remuneration of contractors or grantees.</w:t>
      </w:r>
    </w:p>
    <w:p w:rsidR="00B03063" w14:paraId="10AE35DD" w14:textId="77777777">
      <w:pPr>
        <w:rPr>
          <w:b/>
          <w:sz w:val="24"/>
          <w:szCs w:val="24"/>
        </w:rPr>
      </w:pPr>
    </w:p>
    <w:p w:rsidR="00B03063" w14:paraId="0655123E" w14:textId="77777777">
      <w:pPr>
        <w:rPr>
          <w:sz w:val="24"/>
          <w:szCs w:val="24"/>
        </w:rPr>
      </w:pPr>
      <w:r>
        <w:rPr>
          <w:sz w:val="24"/>
          <w:szCs w:val="24"/>
        </w:rPr>
        <w:tab/>
      </w:r>
      <w:r w:rsidRPr="006A2B11">
        <w:rPr>
          <w:sz w:val="24"/>
          <w:szCs w:val="24"/>
        </w:rPr>
        <w:t>No payment or gift will be granted to the respondents.</w:t>
      </w:r>
    </w:p>
    <w:p w:rsidR="00355E1D" w:rsidP="008105F1" w14:paraId="08A9756C" w14:textId="77777777">
      <w:pPr>
        <w:rPr>
          <w:sz w:val="24"/>
          <w:szCs w:val="24"/>
        </w:rPr>
      </w:pPr>
    </w:p>
    <w:p w:rsidR="00B03063" w14:paraId="680A59BE"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Describe any assurance of confidentiality provided to respondents and the basis for the assurance in statute, regulation, or agency policy.</w:t>
      </w:r>
    </w:p>
    <w:p w:rsidR="00B03063" w14:paraId="7021BFFD" w14:textId="77777777">
      <w:pPr>
        <w:rPr>
          <w:sz w:val="24"/>
          <w:szCs w:val="24"/>
        </w:rPr>
      </w:pPr>
    </w:p>
    <w:p w:rsidR="00B03063" w14:paraId="59CF3150" w14:textId="77777777">
      <w:pPr>
        <w:rPr>
          <w:sz w:val="24"/>
          <w:szCs w:val="24"/>
        </w:rPr>
      </w:pPr>
      <w:r>
        <w:rPr>
          <w:sz w:val="24"/>
          <w:szCs w:val="24"/>
        </w:rPr>
        <w:tab/>
      </w:r>
      <w:r w:rsidRPr="006A2B11">
        <w:rPr>
          <w:sz w:val="24"/>
          <w:szCs w:val="24"/>
        </w:rPr>
        <w:t xml:space="preserve">Assurance of confidentiality is neither provided nor needed for this information collection.  </w:t>
      </w:r>
    </w:p>
    <w:p w:rsidR="00B03063" w14:paraId="7CA3B32F" w14:textId="77777777">
      <w:pPr>
        <w:rPr>
          <w:sz w:val="24"/>
          <w:szCs w:val="24"/>
        </w:rPr>
      </w:pPr>
    </w:p>
    <w:p w:rsidR="00B03063" w14:paraId="2F1E0C35"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03063" w14:paraId="2EC72A17" w14:textId="77777777">
      <w:pPr>
        <w:rPr>
          <w:sz w:val="24"/>
          <w:szCs w:val="24"/>
        </w:rPr>
      </w:pPr>
    </w:p>
    <w:p w:rsidR="00B03063" w14:paraId="29A69038" w14:textId="77777777">
      <w:pPr>
        <w:rPr>
          <w:sz w:val="24"/>
          <w:szCs w:val="24"/>
        </w:rPr>
      </w:pPr>
      <w:r>
        <w:rPr>
          <w:sz w:val="24"/>
          <w:szCs w:val="24"/>
        </w:rPr>
        <w:tab/>
      </w:r>
      <w:r w:rsidRPr="006A2B11">
        <w:rPr>
          <w:sz w:val="24"/>
          <w:szCs w:val="24"/>
        </w:rPr>
        <w:t>No sensitive information is being asked by this collection.</w:t>
      </w:r>
    </w:p>
    <w:p w:rsidR="00B03063" w14:paraId="75F78257" w14:textId="77777777">
      <w:pPr>
        <w:rPr>
          <w:sz w:val="24"/>
          <w:szCs w:val="24"/>
        </w:rPr>
      </w:pPr>
    </w:p>
    <w:p w:rsidR="00B03063" w14:paraId="3350472E"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the hour burden of the collection of information. The statement should:</w:t>
      </w:r>
    </w:p>
    <w:p w:rsidR="00B03063" w14:paraId="29C7880E" w14:textId="77777777">
      <w:pPr>
        <w:rPr>
          <w:b/>
          <w:sz w:val="24"/>
          <w:szCs w:val="24"/>
        </w:rPr>
      </w:pPr>
    </w:p>
    <w:p w:rsidR="00B03063" w14:paraId="66BB3A7B" w14:textId="77777777">
      <w:pPr>
        <w:rPr>
          <w:b/>
          <w:sz w:val="24"/>
          <w:szCs w:val="24"/>
        </w:rPr>
      </w:pPr>
      <w:r>
        <w:rPr>
          <w:b/>
          <w:sz w:val="24"/>
          <w:szCs w:val="24"/>
        </w:rPr>
        <w:tab/>
      </w:r>
      <w:r w:rsidRPr="006A2B11">
        <w:rPr>
          <w:b/>
          <w:sz w:val="24"/>
          <w:szCs w:val="24"/>
        </w:rPr>
        <w:t xml:space="preserve">* Indicate the number of respondents, frequency of response, annual hour burden, and an </w:t>
      </w:r>
      <w:r>
        <w:rPr>
          <w:b/>
          <w:sz w:val="24"/>
          <w:szCs w:val="24"/>
        </w:rPr>
        <w:tab/>
      </w:r>
      <w:r w:rsidRPr="006A2B11">
        <w:rPr>
          <w:b/>
          <w:sz w:val="24"/>
          <w:szCs w:val="24"/>
        </w:rPr>
        <w:t xml:space="preserve">explanation of how the burden was estimated. Unless directed to do so, agencies should not </w:t>
      </w:r>
      <w:r>
        <w:rPr>
          <w:b/>
          <w:sz w:val="24"/>
          <w:szCs w:val="24"/>
        </w:rPr>
        <w:tab/>
      </w:r>
      <w:r w:rsidRPr="006A2B11">
        <w:rPr>
          <w:b/>
          <w:sz w:val="24"/>
          <w:szCs w:val="24"/>
        </w:rPr>
        <w:t xml:space="preserve">conduct special surveys to obtain information on which to base hour burden estimates. </w:t>
      </w:r>
      <w:r>
        <w:rPr>
          <w:b/>
          <w:sz w:val="24"/>
          <w:szCs w:val="24"/>
        </w:rPr>
        <w:tab/>
      </w:r>
      <w:r w:rsidRPr="006A2B11">
        <w:rPr>
          <w:b/>
          <w:sz w:val="24"/>
          <w:szCs w:val="24"/>
        </w:rPr>
        <w:t xml:space="preserve">Consultation with a sample (fewer than 10) of potential respondents is desirable. If the hour </w:t>
      </w:r>
      <w:r>
        <w:rPr>
          <w:b/>
          <w:sz w:val="24"/>
          <w:szCs w:val="24"/>
        </w:rPr>
        <w:tab/>
      </w:r>
      <w:r w:rsidRPr="006A2B11">
        <w:rPr>
          <w:b/>
          <w:sz w:val="24"/>
          <w:szCs w:val="24"/>
        </w:rPr>
        <w:t xml:space="preserve">burden on respondents is expected to vary widely because of differences in activity, size, or </w:t>
      </w:r>
      <w:r>
        <w:rPr>
          <w:b/>
          <w:sz w:val="24"/>
          <w:szCs w:val="24"/>
        </w:rPr>
        <w:tab/>
      </w:r>
      <w:r w:rsidRPr="006A2B11">
        <w:rPr>
          <w:b/>
          <w:sz w:val="24"/>
          <w:szCs w:val="24"/>
        </w:rPr>
        <w:t xml:space="preserve">complexity, show the range of estimated hour burden, and explain the reasons for the </w:t>
      </w:r>
      <w:r>
        <w:rPr>
          <w:b/>
          <w:sz w:val="24"/>
          <w:szCs w:val="24"/>
        </w:rPr>
        <w:tab/>
      </w:r>
      <w:r w:rsidRPr="006A2B11">
        <w:rPr>
          <w:b/>
          <w:sz w:val="24"/>
          <w:szCs w:val="24"/>
        </w:rPr>
        <w:t xml:space="preserve">variance. Generally, </w:t>
      </w:r>
      <w:r>
        <w:rPr>
          <w:b/>
          <w:sz w:val="24"/>
          <w:szCs w:val="24"/>
        </w:rPr>
        <w:tab/>
      </w:r>
      <w:r w:rsidRPr="006A2B11">
        <w:rPr>
          <w:b/>
          <w:sz w:val="24"/>
          <w:szCs w:val="24"/>
        </w:rPr>
        <w:t xml:space="preserve">estimates should not include burden hours for customary and usual business </w:t>
      </w:r>
      <w:r>
        <w:rPr>
          <w:b/>
          <w:sz w:val="24"/>
          <w:szCs w:val="24"/>
        </w:rPr>
        <w:tab/>
      </w:r>
      <w:r w:rsidRPr="006A2B11">
        <w:rPr>
          <w:b/>
          <w:sz w:val="24"/>
          <w:szCs w:val="24"/>
        </w:rPr>
        <w:t>practices.</w:t>
      </w:r>
    </w:p>
    <w:p w:rsidR="00B03063" w14:paraId="37BF5FC5" w14:textId="77777777">
      <w:pPr>
        <w:rPr>
          <w:b/>
          <w:sz w:val="24"/>
          <w:szCs w:val="24"/>
        </w:rPr>
      </w:pPr>
    </w:p>
    <w:p w:rsidR="00B03063" w14:paraId="43C9CF4C" w14:textId="77777777">
      <w:pPr>
        <w:rPr>
          <w:b/>
          <w:sz w:val="24"/>
          <w:szCs w:val="24"/>
        </w:rPr>
      </w:pPr>
      <w:r>
        <w:rPr>
          <w:b/>
          <w:sz w:val="24"/>
          <w:szCs w:val="24"/>
        </w:rPr>
        <w:tab/>
      </w:r>
      <w:r w:rsidRPr="006A2B11">
        <w:rPr>
          <w:b/>
          <w:sz w:val="24"/>
          <w:szCs w:val="24"/>
        </w:rPr>
        <w:t xml:space="preserve">* If this request for approval covers more than one form, provide separate hour burden estimates </w:t>
      </w:r>
      <w:r>
        <w:rPr>
          <w:b/>
          <w:sz w:val="24"/>
          <w:szCs w:val="24"/>
        </w:rPr>
        <w:tab/>
      </w:r>
      <w:r w:rsidRPr="006A2B11">
        <w:rPr>
          <w:b/>
          <w:sz w:val="24"/>
          <w:szCs w:val="24"/>
        </w:rPr>
        <w:t xml:space="preserve">for each </w:t>
      </w:r>
      <w:r w:rsidRPr="006A2B11">
        <w:rPr>
          <w:b/>
          <w:sz w:val="24"/>
          <w:szCs w:val="24"/>
        </w:rPr>
        <w:t>form</w:t>
      </w:r>
      <w:r w:rsidRPr="006A2B11">
        <w:rPr>
          <w:b/>
          <w:sz w:val="24"/>
          <w:szCs w:val="24"/>
        </w:rPr>
        <w:t xml:space="preserve"> and aggregate the hour burdens in Item 13 of OMB</w:t>
      </w:r>
      <w:r w:rsidR="00DB7B62">
        <w:rPr>
          <w:b/>
          <w:sz w:val="24"/>
          <w:szCs w:val="24"/>
        </w:rPr>
        <w:t xml:space="preserve"> </w:t>
      </w:r>
      <w:r w:rsidRPr="006A2B11">
        <w:rPr>
          <w:b/>
          <w:sz w:val="24"/>
          <w:szCs w:val="24"/>
        </w:rPr>
        <w:t>Form 83-I.</w:t>
      </w:r>
    </w:p>
    <w:p w:rsidR="00B03063" w14:paraId="3022826F" w14:textId="77777777">
      <w:pPr>
        <w:rPr>
          <w:b/>
          <w:sz w:val="24"/>
          <w:szCs w:val="24"/>
        </w:rPr>
      </w:pPr>
    </w:p>
    <w:p w:rsidR="00B03063" w14:paraId="36F29E69" w14:textId="77777777">
      <w:pPr>
        <w:rPr>
          <w:b/>
          <w:sz w:val="24"/>
          <w:szCs w:val="24"/>
        </w:rPr>
      </w:pPr>
      <w:r>
        <w:rPr>
          <w:b/>
          <w:sz w:val="24"/>
          <w:szCs w:val="24"/>
        </w:rPr>
        <w:tab/>
      </w:r>
      <w:r w:rsidRPr="006A2B11">
        <w:rPr>
          <w:b/>
          <w:sz w:val="24"/>
          <w:szCs w:val="24"/>
        </w:rPr>
        <w:t xml:space="preserve">* Provide estimates of annualized cost to respondents for the hour burdens for collections of </w:t>
      </w:r>
      <w:r>
        <w:rPr>
          <w:b/>
          <w:sz w:val="24"/>
          <w:szCs w:val="24"/>
        </w:rPr>
        <w:tab/>
      </w:r>
      <w:r w:rsidRPr="006A2B11">
        <w:rPr>
          <w:b/>
          <w:sz w:val="24"/>
          <w:szCs w:val="24"/>
        </w:rPr>
        <w:t xml:space="preserve">information, identifying and using appropriate wage rate categories. </w:t>
      </w:r>
      <w:r>
        <w:rPr>
          <w:b/>
          <w:sz w:val="24"/>
          <w:szCs w:val="24"/>
        </w:rPr>
        <w:tab/>
      </w:r>
      <w:r w:rsidRPr="006A2B11">
        <w:rPr>
          <w:b/>
          <w:sz w:val="24"/>
          <w:szCs w:val="24"/>
        </w:rPr>
        <w:t xml:space="preserve">The cost of contracting out </w:t>
      </w:r>
      <w:r>
        <w:rPr>
          <w:b/>
          <w:sz w:val="24"/>
          <w:szCs w:val="24"/>
        </w:rPr>
        <w:tab/>
      </w:r>
      <w:r w:rsidRPr="006A2B11">
        <w:rPr>
          <w:b/>
          <w:sz w:val="24"/>
          <w:szCs w:val="24"/>
        </w:rPr>
        <w:t xml:space="preserve">or paying outside parties for information collection activities should not be included here. </w:t>
      </w:r>
      <w:r>
        <w:rPr>
          <w:b/>
          <w:sz w:val="24"/>
          <w:szCs w:val="24"/>
        </w:rPr>
        <w:tab/>
      </w:r>
      <w:r w:rsidRPr="006A2B11">
        <w:rPr>
          <w:b/>
          <w:sz w:val="24"/>
          <w:szCs w:val="24"/>
        </w:rPr>
        <w:t>Instead, this cost should be included in Item 1</w:t>
      </w:r>
      <w:r>
        <w:rPr>
          <w:b/>
          <w:sz w:val="24"/>
          <w:szCs w:val="24"/>
        </w:rPr>
        <w:t>.</w:t>
      </w:r>
    </w:p>
    <w:p w:rsidR="00B03063" w:rsidP="00A05A01" w14:paraId="14B403EE" w14:textId="77777777">
      <w:pPr>
        <w:jc w:val="both"/>
        <w:rPr>
          <w:b/>
          <w:sz w:val="24"/>
          <w:szCs w:val="24"/>
        </w:rPr>
      </w:pPr>
    </w:p>
    <w:p w:rsidR="00A05A01" w:rsidRPr="00A05A01" w:rsidP="00A05A01" w14:paraId="263276BE" w14:textId="595578A9">
      <w:pPr>
        <w:ind w:left="720"/>
        <w:rPr>
          <w:sz w:val="24"/>
          <w:szCs w:val="24"/>
        </w:rPr>
      </w:pPr>
      <w:bookmarkStart w:id="0" w:name="_Hlk126056538"/>
      <w:r w:rsidRPr="007651B3">
        <w:rPr>
          <w:sz w:val="24"/>
          <w:szCs w:val="24"/>
        </w:rPr>
        <w:t>The number of respondents for the GRRP application forms are reflected in the chart below and indicates the number of potential applicants. Individual application forms must be submitted for each eligible HUD-assisted multifamily project owner interested in the program. HUD estimates that approximately 500 projects could apply for GRRP under one of the following: Immediate Impact Elements (targeted at HUD-assisted multifamily properties that are already in the process of planning for a recapitalization transaction); Next Generation (targeted at properties with Immediate Impact Elements and additional requirements); and Comprehensive (targeted at any HUD-assisted multifamily property with minimal requirements</w:t>
      </w:r>
      <w:r w:rsidRPr="007651B3">
        <w:rPr>
          <w:sz w:val="24"/>
          <w:szCs w:val="24"/>
        </w:rPr>
        <w:t xml:space="preserve">).  </w:t>
      </w:r>
      <w:r w:rsidR="000F61F9">
        <w:rPr>
          <w:sz w:val="24"/>
          <w:szCs w:val="24"/>
        </w:rPr>
        <w:t>.</w:t>
      </w:r>
      <w:r w:rsidRPr="00A05A01" w:rsidR="000F61F9">
        <w:rPr>
          <w:sz w:val="24"/>
          <w:szCs w:val="24"/>
        </w:rPr>
        <w:t xml:space="preserve">  </w:t>
      </w:r>
      <w:bookmarkEnd w:id="0"/>
      <w:r w:rsidR="00AB075C">
        <w:rPr>
          <w:sz w:val="24"/>
          <w:szCs w:val="24"/>
        </w:rPr>
        <w:t xml:space="preserve"> The </w:t>
      </w:r>
      <w:r w:rsidR="00680C3F">
        <w:rPr>
          <w:sz w:val="24"/>
          <w:szCs w:val="24"/>
        </w:rPr>
        <w:t xml:space="preserve">“manager-other” </w:t>
      </w:r>
      <w:r w:rsidR="00AB075C">
        <w:rPr>
          <w:sz w:val="24"/>
          <w:szCs w:val="24"/>
        </w:rPr>
        <w:t>median hourly wage at $6</w:t>
      </w:r>
      <w:r w:rsidR="00680C3F">
        <w:rPr>
          <w:sz w:val="24"/>
          <w:szCs w:val="24"/>
        </w:rPr>
        <w:t>0</w:t>
      </w:r>
      <w:r w:rsidR="00AB075C">
        <w:rPr>
          <w:sz w:val="24"/>
          <w:szCs w:val="24"/>
        </w:rPr>
        <w:t xml:space="preserve"> per hour</w:t>
      </w:r>
      <w:r w:rsidR="00680C3F">
        <w:rPr>
          <w:sz w:val="24"/>
          <w:szCs w:val="24"/>
        </w:rPr>
        <w:t xml:space="preserve"> was used for this collection</w:t>
      </w:r>
      <w:r w:rsidR="00035A2C">
        <w:rPr>
          <w:sz w:val="24"/>
          <w:szCs w:val="24"/>
        </w:rPr>
        <w:t>,</w:t>
      </w:r>
      <w:r w:rsidR="00680C3F">
        <w:rPr>
          <w:sz w:val="24"/>
          <w:szCs w:val="24"/>
        </w:rPr>
        <w:t xml:space="preserve"> </w:t>
      </w:r>
      <w:r w:rsidR="00AB075C">
        <w:rPr>
          <w:sz w:val="24"/>
          <w:szCs w:val="24"/>
        </w:rPr>
        <w:t xml:space="preserve">as listed in U.S. Bureau of Labor Statistic </w:t>
      </w:r>
      <w:r w:rsidRPr="00AB075C" w:rsidR="00AB075C">
        <w:rPr>
          <w:sz w:val="24"/>
          <w:szCs w:val="24"/>
        </w:rPr>
        <w:t>Occupational Employment and Wages</w:t>
      </w:r>
      <w:r w:rsidR="00680C3F">
        <w:rPr>
          <w:sz w:val="24"/>
          <w:szCs w:val="24"/>
        </w:rPr>
        <w:t>.</w:t>
      </w:r>
    </w:p>
    <w:p w:rsidR="00B03063" w:rsidP="00A05A01" w14:paraId="0E5A4A26" w14:textId="7902271E">
      <w:pPr>
        <w:jc w:val="both"/>
        <w:rPr>
          <w:sz w:val="24"/>
          <w:szCs w:val="24"/>
        </w:rPr>
      </w:pPr>
    </w:p>
    <w:p w:rsidR="00B03063" w14:paraId="38DB3D04" w14:textId="14CD5917">
      <w:pPr>
        <w:rPr>
          <w:sz w:val="24"/>
          <w:szCs w:val="24"/>
        </w:rPr>
      </w:pPr>
      <w:r>
        <w:rPr>
          <w:sz w:val="24"/>
          <w:szCs w:val="24"/>
        </w:rPr>
        <w:tab/>
      </w:r>
      <w:r w:rsidR="004957BA">
        <w:rPr>
          <w:sz w:val="24"/>
          <w:szCs w:val="24"/>
        </w:rPr>
        <w:t>Each</w:t>
      </w:r>
      <w:r w:rsidR="00EA11B2">
        <w:rPr>
          <w:sz w:val="24"/>
          <w:szCs w:val="24"/>
        </w:rPr>
        <w:t xml:space="preserve"> </w:t>
      </w:r>
      <w:r w:rsidR="00080B58">
        <w:rPr>
          <w:sz w:val="24"/>
          <w:szCs w:val="24"/>
        </w:rPr>
        <w:t>application</w:t>
      </w:r>
      <w:r w:rsidR="004957BA">
        <w:rPr>
          <w:sz w:val="24"/>
          <w:szCs w:val="24"/>
        </w:rPr>
        <w:t xml:space="preserve"> </w:t>
      </w:r>
      <w:r w:rsidR="006B176E">
        <w:rPr>
          <w:sz w:val="24"/>
          <w:szCs w:val="24"/>
        </w:rPr>
        <w:t>package</w:t>
      </w:r>
      <w:r w:rsidR="00080B58">
        <w:rPr>
          <w:sz w:val="24"/>
          <w:szCs w:val="24"/>
        </w:rPr>
        <w:t xml:space="preserve"> is estimated to take </w:t>
      </w:r>
      <w:r>
        <w:rPr>
          <w:sz w:val="24"/>
          <w:szCs w:val="24"/>
        </w:rPr>
        <w:t xml:space="preserve">approximately </w:t>
      </w:r>
      <w:r w:rsidR="00A6382C">
        <w:rPr>
          <w:sz w:val="24"/>
          <w:szCs w:val="24"/>
        </w:rPr>
        <w:t>15 hours</w:t>
      </w:r>
      <w:r w:rsidR="006B176E">
        <w:rPr>
          <w:sz w:val="24"/>
          <w:szCs w:val="24"/>
        </w:rPr>
        <w:t xml:space="preserve"> to complete</w:t>
      </w:r>
      <w:r w:rsidR="004957BA">
        <w:rPr>
          <w:sz w:val="24"/>
          <w:szCs w:val="24"/>
        </w:rPr>
        <w:t>.</w:t>
      </w:r>
    </w:p>
    <w:p w:rsidR="002F4D59" w14:paraId="0AE4D5DD" w14:textId="77777777">
      <w:pPr>
        <w:rPr>
          <w:sz w:val="24"/>
          <w:szCs w:val="24"/>
        </w:rPr>
      </w:pPr>
    </w:p>
    <w:tbl>
      <w:tblPr>
        <w:tblW w:w="10170" w:type="dxa"/>
        <w:tblInd w:w="648" w:type="dxa"/>
        <w:tblLook w:val="04A0"/>
      </w:tblPr>
      <w:tblGrid>
        <w:gridCol w:w="2083"/>
        <w:gridCol w:w="999"/>
        <w:gridCol w:w="1371"/>
        <w:gridCol w:w="916"/>
        <w:gridCol w:w="1214"/>
        <w:gridCol w:w="1088"/>
        <w:gridCol w:w="1097"/>
        <w:gridCol w:w="1402"/>
      </w:tblGrid>
      <w:tr w14:paraId="46CD52AD" w14:textId="77777777" w:rsidTr="09E9DB6D">
        <w:tblPrEx>
          <w:tblW w:w="10170" w:type="dxa"/>
          <w:tblInd w:w="648" w:type="dxa"/>
          <w:tblLook w:val="04A0"/>
        </w:tblPrEx>
        <w:trPr>
          <w:trHeight w:val="1080"/>
        </w:trPr>
        <w:tc>
          <w:tcPr>
            <w:tcW w:w="208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28BCF0CB" w14:textId="77777777">
            <w:pPr>
              <w:overflowPunct/>
              <w:autoSpaceDE/>
              <w:autoSpaceDN/>
              <w:adjustRightInd/>
              <w:textAlignment w:val="auto"/>
              <w:rPr>
                <w:b/>
                <w:bCs/>
                <w:color w:val="000000"/>
                <w:sz w:val="22"/>
                <w:szCs w:val="22"/>
              </w:rPr>
            </w:pPr>
            <w:r w:rsidRPr="002F4D59">
              <w:rPr>
                <w:b/>
                <w:bCs/>
                <w:color w:val="000000"/>
                <w:sz w:val="22"/>
                <w:szCs w:val="22"/>
              </w:rPr>
              <w:t>Forms</w:t>
            </w:r>
          </w:p>
        </w:tc>
        <w:tc>
          <w:tcPr>
            <w:tcW w:w="999" w:type="dxa"/>
            <w:tcBorders>
              <w:top w:val="single" w:sz="8" w:space="0" w:color="auto"/>
              <w:left w:val="single" w:sz="8" w:space="0" w:color="000000" w:themeColor="text1"/>
              <w:bottom w:val="single" w:sz="8" w:space="0" w:color="000000" w:themeColor="text1"/>
              <w:right w:val="single" w:sz="8" w:space="0" w:color="auto"/>
            </w:tcBorders>
            <w:shd w:val="clear" w:color="auto" w:fill="D0CECE"/>
            <w:vAlign w:val="center"/>
            <w:hideMark/>
          </w:tcPr>
          <w:p w:rsidR="002F4D59" w:rsidRPr="002F4D59" w:rsidP="002F4D59" w14:paraId="736E6B2B" w14:textId="77777777">
            <w:pPr>
              <w:overflowPunct/>
              <w:autoSpaceDE/>
              <w:autoSpaceDN/>
              <w:adjustRightInd/>
              <w:jc w:val="center"/>
              <w:textAlignment w:val="auto"/>
              <w:rPr>
                <w:b/>
                <w:bCs/>
                <w:color w:val="000000"/>
                <w:sz w:val="22"/>
                <w:szCs w:val="22"/>
              </w:rPr>
            </w:pPr>
            <w:r w:rsidRPr="002F4D59">
              <w:rPr>
                <w:b/>
                <w:bCs/>
                <w:color w:val="000000"/>
                <w:sz w:val="22"/>
                <w:szCs w:val="22"/>
              </w:rPr>
              <w:t>Number of Resp.</w:t>
            </w:r>
          </w:p>
        </w:tc>
        <w:tc>
          <w:tcPr>
            <w:tcW w:w="1371"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rsidR="002F4D59" w:rsidRPr="002F4D59" w:rsidP="002F4D59" w14:paraId="6E123F23" w14:textId="77777777">
            <w:pPr>
              <w:overflowPunct/>
              <w:autoSpaceDE/>
              <w:autoSpaceDN/>
              <w:adjustRightInd/>
              <w:jc w:val="center"/>
              <w:textAlignment w:val="auto"/>
              <w:rPr>
                <w:b/>
                <w:bCs/>
                <w:color w:val="000000"/>
                <w:sz w:val="22"/>
                <w:szCs w:val="22"/>
              </w:rPr>
            </w:pPr>
            <w:r w:rsidRPr="002F4D59">
              <w:rPr>
                <w:b/>
                <w:bCs/>
                <w:color w:val="000000"/>
                <w:sz w:val="22"/>
                <w:szCs w:val="22"/>
              </w:rPr>
              <w:t>Frequency of Response</w:t>
            </w:r>
          </w:p>
        </w:tc>
        <w:tc>
          <w:tcPr>
            <w:tcW w:w="916" w:type="dxa"/>
            <w:tcBorders>
              <w:top w:val="single" w:sz="8" w:space="0" w:color="auto"/>
              <w:left w:val="single" w:sz="8" w:space="0" w:color="auto"/>
              <w:bottom w:val="single" w:sz="8" w:space="0" w:color="000000" w:themeColor="text1"/>
              <w:right w:val="single" w:sz="8" w:space="0" w:color="auto"/>
            </w:tcBorders>
            <w:shd w:val="clear" w:color="auto" w:fill="D0CECE"/>
            <w:vAlign w:val="center"/>
            <w:hideMark/>
          </w:tcPr>
          <w:p w:rsidR="002F4D59" w:rsidRPr="002F4D59" w:rsidP="002F4D59" w14:paraId="4D0D1EEB" w14:textId="77777777">
            <w:pPr>
              <w:overflowPunct/>
              <w:autoSpaceDE/>
              <w:autoSpaceDN/>
              <w:adjustRightInd/>
              <w:jc w:val="center"/>
              <w:textAlignment w:val="auto"/>
              <w:rPr>
                <w:b/>
                <w:bCs/>
                <w:color w:val="000000"/>
                <w:sz w:val="22"/>
                <w:szCs w:val="22"/>
              </w:rPr>
            </w:pPr>
            <w:r w:rsidRPr="002F4D59">
              <w:rPr>
                <w:b/>
                <w:bCs/>
                <w:color w:val="000000"/>
                <w:sz w:val="22"/>
                <w:szCs w:val="22"/>
              </w:rPr>
              <w:t>Resp. Per Year</w:t>
            </w:r>
          </w:p>
        </w:tc>
        <w:tc>
          <w:tcPr>
            <w:tcW w:w="1214"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rsidR="002F4D59" w:rsidRPr="002F4D59" w:rsidP="002F4D59" w14:paraId="0B680B4B" w14:textId="77777777">
            <w:pPr>
              <w:overflowPunct/>
              <w:autoSpaceDE/>
              <w:autoSpaceDN/>
              <w:adjustRightInd/>
              <w:jc w:val="center"/>
              <w:textAlignment w:val="auto"/>
              <w:rPr>
                <w:b/>
                <w:bCs/>
                <w:color w:val="000000"/>
                <w:sz w:val="22"/>
                <w:szCs w:val="22"/>
              </w:rPr>
            </w:pPr>
            <w:r w:rsidRPr="002F4D59">
              <w:rPr>
                <w:b/>
                <w:bCs/>
                <w:color w:val="000000"/>
                <w:sz w:val="22"/>
                <w:szCs w:val="22"/>
              </w:rPr>
              <w:t>Avg. Burden Hours Per Resp.</w:t>
            </w:r>
          </w:p>
        </w:tc>
        <w:tc>
          <w:tcPr>
            <w:tcW w:w="1088" w:type="dxa"/>
            <w:tcBorders>
              <w:top w:val="single" w:sz="8" w:space="0" w:color="auto"/>
              <w:left w:val="single" w:sz="8" w:space="0" w:color="auto"/>
              <w:bottom w:val="single" w:sz="8" w:space="0" w:color="000000" w:themeColor="text1"/>
              <w:right w:val="single" w:sz="8" w:space="0" w:color="auto"/>
            </w:tcBorders>
            <w:shd w:val="clear" w:color="auto" w:fill="D0CECE"/>
            <w:vAlign w:val="center"/>
            <w:hideMark/>
          </w:tcPr>
          <w:p w:rsidR="002F4D59" w:rsidRPr="002F4D59" w:rsidP="002F4D59" w14:paraId="318601A2" w14:textId="77777777">
            <w:pPr>
              <w:overflowPunct/>
              <w:autoSpaceDE/>
              <w:autoSpaceDN/>
              <w:adjustRightInd/>
              <w:jc w:val="center"/>
              <w:textAlignment w:val="auto"/>
              <w:rPr>
                <w:b/>
                <w:bCs/>
                <w:color w:val="000000"/>
                <w:sz w:val="22"/>
                <w:szCs w:val="22"/>
              </w:rPr>
            </w:pPr>
            <w:r w:rsidRPr="002F4D59">
              <w:rPr>
                <w:b/>
                <w:bCs/>
                <w:color w:val="000000"/>
                <w:sz w:val="22"/>
                <w:szCs w:val="22"/>
              </w:rPr>
              <w:t>Annual Burden Hours</w:t>
            </w:r>
          </w:p>
        </w:tc>
        <w:tc>
          <w:tcPr>
            <w:tcW w:w="1097" w:type="dxa"/>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rsidR="002F4D59" w:rsidRPr="002F4D59" w:rsidP="002F4D59" w14:paraId="7CF95EF7" w14:textId="77777777">
            <w:pPr>
              <w:overflowPunct/>
              <w:autoSpaceDE/>
              <w:autoSpaceDN/>
              <w:adjustRightInd/>
              <w:jc w:val="center"/>
              <w:textAlignment w:val="auto"/>
              <w:rPr>
                <w:b/>
                <w:bCs/>
                <w:color w:val="000000"/>
                <w:sz w:val="22"/>
                <w:szCs w:val="22"/>
              </w:rPr>
            </w:pPr>
            <w:r w:rsidRPr="002F4D59">
              <w:rPr>
                <w:b/>
                <w:bCs/>
                <w:color w:val="000000"/>
                <w:sz w:val="22"/>
                <w:szCs w:val="22"/>
              </w:rPr>
              <w:t>Hourly Cost per Response</w:t>
            </w:r>
          </w:p>
        </w:tc>
        <w:tc>
          <w:tcPr>
            <w:tcW w:w="1402" w:type="dxa"/>
            <w:tcBorders>
              <w:top w:val="single" w:sz="8" w:space="0" w:color="auto"/>
              <w:left w:val="single" w:sz="8" w:space="0" w:color="auto"/>
              <w:bottom w:val="single" w:sz="8" w:space="0" w:color="000000" w:themeColor="text1"/>
              <w:right w:val="single" w:sz="8" w:space="0" w:color="auto"/>
            </w:tcBorders>
            <w:shd w:val="clear" w:color="auto" w:fill="D0CECE"/>
            <w:vAlign w:val="center"/>
            <w:hideMark/>
          </w:tcPr>
          <w:p w:rsidR="002F4D59" w:rsidRPr="002F4D59" w:rsidP="002F4D59" w14:paraId="05BD3600" w14:textId="77777777">
            <w:pPr>
              <w:overflowPunct/>
              <w:autoSpaceDE/>
              <w:autoSpaceDN/>
              <w:adjustRightInd/>
              <w:jc w:val="center"/>
              <w:textAlignment w:val="auto"/>
              <w:rPr>
                <w:b/>
                <w:bCs/>
                <w:color w:val="000000"/>
                <w:sz w:val="22"/>
                <w:szCs w:val="22"/>
              </w:rPr>
            </w:pPr>
            <w:r w:rsidRPr="002F4D59">
              <w:rPr>
                <w:b/>
                <w:bCs/>
                <w:color w:val="000000"/>
                <w:sz w:val="22"/>
                <w:szCs w:val="22"/>
              </w:rPr>
              <w:t>Total Annual Cost</w:t>
            </w:r>
          </w:p>
        </w:tc>
      </w:tr>
      <w:tr w14:paraId="2C3A54EE" w14:textId="77777777" w:rsidTr="09E9DB6D">
        <w:tblPrEx>
          <w:tblW w:w="10170" w:type="dxa"/>
          <w:tblInd w:w="648" w:type="dxa"/>
          <w:tblLook w:val="04A0"/>
        </w:tblPrEx>
        <w:trPr>
          <w:trHeight w:val="640"/>
        </w:trPr>
        <w:tc>
          <w:tcPr>
            <w:tcW w:w="208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4DE984EC" w14:textId="77777777">
            <w:pPr>
              <w:overflowPunct/>
              <w:autoSpaceDE/>
              <w:autoSpaceDN/>
              <w:adjustRightInd/>
              <w:textAlignment w:val="auto"/>
              <w:rPr>
                <w:b/>
                <w:bCs/>
                <w:color w:val="000000"/>
                <w:sz w:val="22"/>
                <w:szCs w:val="22"/>
              </w:rPr>
            </w:pPr>
            <w:r w:rsidRPr="002F4D59">
              <w:rPr>
                <w:b/>
                <w:bCs/>
                <w:color w:val="000000"/>
                <w:sz w:val="22"/>
                <w:szCs w:val="22"/>
              </w:rPr>
              <w:t>Immediate Impact Elements Application</w:t>
            </w:r>
          </w:p>
        </w:tc>
        <w:tc>
          <w:tcPr>
            <w:tcW w:w="999"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129D35EB" w14:textId="5F29708C">
            <w:pPr>
              <w:overflowPunct/>
              <w:autoSpaceDE/>
              <w:autoSpaceDN/>
              <w:adjustRightInd/>
              <w:jc w:val="center"/>
              <w:textAlignment w:val="auto"/>
              <w:rPr>
                <w:color w:val="000000"/>
                <w:sz w:val="22"/>
                <w:szCs w:val="22"/>
              </w:rPr>
            </w:pPr>
            <w:r>
              <w:rPr>
                <w:color w:val="000000"/>
                <w:sz w:val="22"/>
                <w:szCs w:val="22"/>
              </w:rPr>
              <w:t>150</w:t>
            </w:r>
          </w:p>
        </w:tc>
        <w:tc>
          <w:tcPr>
            <w:tcW w:w="1371"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342A263A"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16"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50095F34" w14:textId="1DD90C85">
            <w:pPr>
              <w:overflowPunct/>
              <w:autoSpaceDE/>
              <w:autoSpaceDN/>
              <w:adjustRightInd/>
              <w:jc w:val="center"/>
              <w:textAlignment w:val="auto"/>
              <w:rPr>
                <w:color w:val="000000"/>
                <w:sz w:val="22"/>
                <w:szCs w:val="22"/>
              </w:rPr>
            </w:pPr>
            <w:r>
              <w:rPr>
                <w:color w:val="000000"/>
                <w:sz w:val="22"/>
                <w:szCs w:val="22"/>
              </w:rPr>
              <w:t>150</w:t>
            </w:r>
          </w:p>
        </w:tc>
        <w:tc>
          <w:tcPr>
            <w:tcW w:w="1214"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12962975" w14:textId="339BA656">
            <w:pPr>
              <w:overflowPunct/>
              <w:autoSpaceDE/>
              <w:autoSpaceDN/>
              <w:adjustRightInd/>
              <w:jc w:val="center"/>
              <w:textAlignment w:val="auto"/>
              <w:rPr>
                <w:color w:val="000000"/>
                <w:sz w:val="22"/>
                <w:szCs w:val="22"/>
              </w:rPr>
            </w:pPr>
            <w:r>
              <w:rPr>
                <w:color w:val="000000"/>
                <w:sz w:val="22"/>
                <w:szCs w:val="22"/>
              </w:rPr>
              <w:t>15</w:t>
            </w:r>
          </w:p>
        </w:tc>
        <w:tc>
          <w:tcPr>
            <w:tcW w:w="1088"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25C11FA2" w14:textId="1F17CC03">
            <w:pPr>
              <w:overflowPunct/>
              <w:autoSpaceDE/>
              <w:autoSpaceDN/>
              <w:adjustRightInd/>
              <w:jc w:val="center"/>
              <w:textAlignment w:val="auto"/>
              <w:rPr>
                <w:color w:val="000000"/>
                <w:sz w:val="22"/>
                <w:szCs w:val="22"/>
              </w:rPr>
            </w:pPr>
            <w:r>
              <w:rPr>
                <w:color w:val="000000"/>
                <w:sz w:val="22"/>
                <w:szCs w:val="22"/>
              </w:rPr>
              <w:t>2,250</w:t>
            </w:r>
          </w:p>
        </w:tc>
        <w:tc>
          <w:tcPr>
            <w:tcW w:w="1097"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7CE7512E"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02"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51224EEA" w14:textId="5FE778A5">
            <w:pPr>
              <w:overflowPunct/>
              <w:autoSpaceDE/>
              <w:autoSpaceDN/>
              <w:adjustRightInd/>
              <w:jc w:val="center"/>
              <w:textAlignment w:val="auto"/>
              <w:rPr>
                <w:color w:val="000000"/>
                <w:sz w:val="22"/>
                <w:szCs w:val="22"/>
              </w:rPr>
            </w:pPr>
            <w:r>
              <w:rPr>
                <w:color w:val="000000"/>
                <w:sz w:val="22"/>
                <w:szCs w:val="22"/>
              </w:rPr>
              <w:t>$135,000</w:t>
            </w:r>
            <w:r w:rsidRPr="002F4D59">
              <w:rPr>
                <w:color w:val="000000"/>
                <w:sz w:val="22"/>
                <w:szCs w:val="22"/>
              </w:rPr>
              <w:t xml:space="preserve"> </w:t>
            </w:r>
          </w:p>
        </w:tc>
      </w:tr>
      <w:tr w14:paraId="2AD68673" w14:textId="77777777" w:rsidTr="09E9DB6D">
        <w:tblPrEx>
          <w:tblW w:w="10170" w:type="dxa"/>
          <w:tblInd w:w="648" w:type="dxa"/>
          <w:tblLook w:val="04A0"/>
        </w:tblPrEx>
        <w:trPr>
          <w:trHeight w:val="640"/>
        </w:trPr>
        <w:tc>
          <w:tcPr>
            <w:tcW w:w="208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54D8F3D8" w14:textId="3F02CD54">
            <w:pPr>
              <w:overflowPunct/>
              <w:autoSpaceDE/>
              <w:autoSpaceDN/>
              <w:adjustRightInd/>
              <w:textAlignment w:val="auto"/>
              <w:rPr>
                <w:b/>
                <w:bCs/>
                <w:color w:val="000000"/>
                <w:sz w:val="22"/>
                <w:szCs w:val="22"/>
              </w:rPr>
            </w:pPr>
            <w:r>
              <w:rPr>
                <w:b/>
                <w:bCs/>
                <w:color w:val="000000"/>
                <w:sz w:val="22"/>
                <w:szCs w:val="22"/>
              </w:rPr>
              <w:t>Next Generation</w:t>
            </w:r>
          </w:p>
        </w:tc>
        <w:tc>
          <w:tcPr>
            <w:tcW w:w="999"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220F86F4" w14:textId="53CF8898">
            <w:pPr>
              <w:overflowPunct/>
              <w:autoSpaceDE/>
              <w:autoSpaceDN/>
              <w:adjustRightInd/>
              <w:jc w:val="center"/>
              <w:textAlignment w:val="auto"/>
              <w:rPr>
                <w:color w:val="000000"/>
                <w:sz w:val="22"/>
                <w:szCs w:val="22"/>
              </w:rPr>
            </w:pPr>
            <w:r>
              <w:rPr>
                <w:color w:val="000000"/>
                <w:sz w:val="22"/>
                <w:szCs w:val="22"/>
              </w:rPr>
              <w:t>30</w:t>
            </w:r>
          </w:p>
        </w:tc>
        <w:tc>
          <w:tcPr>
            <w:tcW w:w="1371"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48B8FE2E"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16"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7BFC05BF" w14:textId="5E3918FB">
            <w:pPr>
              <w:overflowPunct/>
              <w:autoSpaceDE/>
              <w:autoSpaceDN/>
              <w:adjustRightInd/>
              <w:jc w:val="center"/>
              <w:textAlignment w:val="auto"/>
              <w:rPr>
                <w:color w:val="000000"/>
                <w:sz w:val="22"/>
                <w:szCs w:val="22"/>
              </w:rPr>
            </w:pPr>
            <w:r>
              <w:rPr>
                <w:color w:val="000000"/>
                <w:sz w:val="22"/>
                <w:szCs w:val="22"/>
              </w:rPr>
              <w:t>30</w:t>
            </w:r>
          </w:p>
        </w:tc>
        <w:tc>
          <w:tcPr>
            <w:tcW w:w="1214"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0E7564D4" w14:textId="343B9C44">
            <w:pPr>
              <w:overflowPunct/>
              <w:autoSpaceDE/>
              <w:autoSpaceDN/>
              <w:adjustRightInd/>
              <w:jc w:val="center"/>
              <w:textAlignment w:val="auto"/>
              <w:rPr>
                <w:color w:val="000000"/>
                <w:sz w:val="22"/>
                <w:szCs w:val="22"/>
              </w:rPr>
            </w:pPr>
            <w:r>
              <w:rPr>
                <w:color w:val="000000"/>
                <w:sz w:val="22"/>
                <w:szCs w:val="22"/>
              </w:rPr>
              <w:t>15</w:t>
            </w:r>
          </w:p>
        </w:tc>
        <w:tc>
          <w:tcPr>
            <w:tcW w:w="1088"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48A9D6FB" w14:textId="6EAD9F76">
            <w:pPr>
              <w:overflowPunct/>
              <w:autoSpaceDE/>
              <w:autoSpaceDN/>
              <w:adjustRightInd/>
              <w:jc w:val="center"/>
              <w:textAlignment w:val="auto"/>
              <w:rPr>
                <w:color w:val="000000"/>
                <w:sz w:val="22"/>
                <w:szCs w:val="22"/>
              </w:rPr>
            </w:pPr>
            <w:r>
              <w:rPr>
                <w:color w:val="000000"/>
                <w:sz w:val="22"/>
                <w:szCs w:val="22"/>
              </w:rPr>
              <w:t>450</w:t>
            </w:r>
          </w:p>
        </w:tc>
        <w:tc>
          <w:tcPr>
            <w:tcW w:w="1097"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36A93D57"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02"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2F4D59" w:rsidRPr="002F4D59" w:rsidP="002F4D59" w14:paraId="15A30A80" w14:textId="520BF971">
            <w:pPr>
              <w:overflowPunct/>
              <w:autoSpaceDE/>
              <w:autoSpaceDN/>
              <w:adjustRightInd/>
              <w:jc w:val="center"/>
              <w:textAlignment w:val="auto"/>
              <w:rPr>
                <w:color w:val="000000"/>
                <w:sz w:val="22"/>
                <w:szCs w:val="22"/>
              </w:rPr>
            </w:pPr>
            <w:r>
              <w:rPr>
                <w:color w:val="000000"/>
                <w:sz w:val="22"/>
                <w:szCs w:val="22"/>
              </w:rPr>
              <w:t>$27,000</w:t>
            </w:r>
          </w:p>
        </w:tc>
      </w:tr>
      <w:tr w14:paraId="3A6ECDB6" w14:textId="77777777" w:rsidTr="09E9DB6D">
        <w:tblPrEx>
          <w:tblW w:w="10170" w:type="dxa"/>
          <w:tblInd w:w="648" w:type="dxa"/>
          <w:tblLook w:val="04A0"/>
        </w:tblPrEx>
        <w:trPr>
          <w:trHeight w:val="640"/>
        </w:trPr>
        <w:tc>
          <w:tcPr>
            <w:tcW w:w="208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02F0BB3A" w14:textId="77777777">
            <w:pPr>
              <w:overflowPunct/>
              <w:autoSpaceDE/>
              <w:autoSpaceDN/>
              <w:adjustRightInd/>
              <w:textAlignment w:val="auto"/>
              <w:rPr>
                <w:b/>
                <w:bCs/>
                <w:color w:val="000000"/>
                <w:sz w:val="22"/>
                <w:szCs w:val="22"/>
              </w:rPr>
            </w:pPr>
            <w:r w:rsidRPr="002F4D59">
              <w:rPr>
                <w:b/>
                <w:bCs/>
                <w:color w:val="000000"/>
                <w:sz w:val="22"/>
                <w:szCs w:val="22"/>
              </w:rPr>
              <w:t>Comprehensive Application</w:t>
            </w:r>
          </w:p>
        </w:tc>
        <w:tc>
          <w:tcPr>
            <w:tcW w:w="999"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684B648D" w14:textId="77777777">
            <w:pPr>
              <w:overflowPunct/>
              <w:autoSpaceDE/>
              <w:autoSpaceDN/>
              <w:adjustRightInd/>
              <w:jc w:val="center"/>
              <w:textAlignment w:val="auto"/>
              <w:rPr>
                <w:color w:val="000000"/>
                <w:sz w:val="22"/>
                <w:szCs w:val="22"/>
              </w:rPr>
            </w:pPr>
            <w:r w:rsidRPr="09E9DB6D">
              <w:rPr>
                <w:color w:val="000000" w:themeColor="text1"/>
                <w:sz w:val="22"/>
                <w:szCs w:val="22"/>
              </w:rPr>
              <w:t>500</w:t>
            </w:r>
          </w:p>
        </w:tc>
        <w:tc>
          <w:tcPr>
            <w:tcW w:w="1371"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2F5D762E" w14:textId="77777777">
            <w:pPr>
              <w:overflowPunct/>
              <w:autoSpaceDE/>
              <w:autoSpaceDN/>
              <w:adjustRightInd/>
              <w:jc w:val="center"/>
              <w:textAlignment w:val="auto"/>
              <w:rPr>
                <w:color w:val="000000"/>
                <w:sz w:val="22"/>
                <w:szCs w:val="22"/>
              </w:rPr>
            </w:pPr>
            <w:r w:rsidRPr="002F4D59">
              <w:rPr>
                <w:color w:val="000000"/>
                <w:sz w:val="22"/>
                <w:szCs w:val="22"/>
              </w:rPr>
              <w:t>1</w:t>
            </w:r>
          </w:p>
        </w:tc>
        <w:tc>
          <w:tcPr>
            <w:tcW w:w="916"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2F8B7DFB" w14:textId="77777777">
            <w:pPr>
              <w:overflowPunct/>
              <w:autoSpaceDE/>
              <w:autoSpaceDN/>
              <w:adjustRightInd/>
              <w:jc w:val="center"/>
              <w:textAlignment w:val="auto"/>
              <w:rPr>
                <w:color w:val="000000"/>
                <w:sz w:val="22"/>
                <w:szCs w:val="22"/>
              </w:rPr>
            </w:pPr>
            <w:r w:rsidRPr="002F4D59">
              <w:rPr>
                <w:color w:val="000000"/>
                <w:sz w:val="22"/>
                <w:szCs w:val="22"/>
              </w:rPr>
              <w:t>500</w:t>
            </w:r>
          </w:p>
        </w:tc>
        <w:tc>
          <w:tcPr>
            <w:tcW w:w="1214"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156CD3AA" w14:textId="0D29CF70">
            <w:pPr>
              <w:overflowPunct/>
              <w:autoSpaceDE/>
              <w:autoSpaceDN/>
              <w:adjustRightInd/>
              <w:jc w:val="center"/>
              <w:textAlignment w:val="auto"/>
              <w:rPr>
                <w:color w:val="000000"/>
                <w:sz w:val="22"/>
                <w:szCs w:val="22"/>
              </w:rPr>
            </w:pPr>
            <w:r>
              <w:rPr>
                <w:color w:val="000000"/>
                <w:sz w:val="22"/>
                <w:szCs w:val="22"/>
              </w:rPr>
              <w:t>15</w:t>
            </w:r>
          </w:p>
        </w:tc>
        <w:tc>
          <w:tcPr>
            <w:tcW w:w="1088"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0B00CD32" w14:textId="37D308B8">
            <w:pPr>
              <w:overflowPunct/>
              <w:autoSpaceDE/>
              <w:autoSpaceDN/>
              <w:adjustRightInd/>
              <w:jc w:val="center"/>
              <w:textAlignment w:val="auto"/>
              <w:rPr>
                <w:color w:val="000000"/>
                <w:sz w:val="22"/>
                <w:szCs w:val="22"/>
              </w:rPr>
            </w:pPr>
            <w:r>
              <w:rPr>
                <w:color w:val="000000"/>
                <w:sz w:val="22"/>
                <w:szCs w:val="22"/>
              </w:rPr>
              <w:t>7,500</w:t>
            </w:r>
          </w:p>
        </w:tc>
        <w:tc>
          <w:tcPr>
            <w:tcW w:w="1097"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38CC9FA0" w14:textId="77777777">
            <w:pPr>
              <w:overflowPunct/>
              <w:autoSpaceDE/>
              <w:autoSpaceDN/>
              <w:adjustRightInd/>
              <w:jc w:val="center"/>
              <w:textAlignment w:val="auto"/>
              <w:rPr>
                <w:color w:val="000000"/>
                <w:sz w:val="22"/>
                <w:szCs w:val="22"/>
              </w:rPr>
            </w:pPr>
            <w:r w:rsidRPr="002F4D59">
              <w:rPr>
                <w:color w:val="000000"/>
                <w:sz w:val="22"/>
                <w:szCs w:val="22"/>
              </w:rPr>
              <w:t xml:space="preserve">$60 </w:t>
            </w:r>
          </w:p>
        </w:tc>
        <w:tc>
          <w:tcPr>
            <w:tcW w:w="1402"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vAlign w:val="center"/>
            <w:hideMark/>
          </w:tcPr>
          <w:p w:rsidR="002F4D59" w:rsidRPr="002F4D59" w:rsidP="002F4D59" w14:paraId="1D149A43" w14:textId="02DDB56F">
            <w:pPr>
              <w:overflowPunct/>
              <w:autoSpaceDE/>
              <w:autoSpaceDN/>
              <w:adjustRightInd/>
              <w:jc w:val="center"/>
              <w:textAlignment w:val="auto"/>
              <w:rPr>
                <w:color w:val="000000"/>
                <w:sz w:val="22"/>
                <w:szCs w:val="22"/>
              </w:rPr>
            </w:pPr>
            <w:r>
              <w:rPr>
                <w:color w:val="000000"/>
                <w:sz w:val="22"/>
                <w:szCs w:val="22"/>
              </w:rPr>
              <w:t>$450,000</w:t>
            </w:r>
            <w:r w:rsidRPr="002F4D59">
              <w:rPr>
                <w:color w:val="000000"/>
                <w:sz w:val="22"/>
                <w:szCs w:val="22"/>
              </w:rPr>
              <w:t xml:space="preserve"> </w:t>
            </w:r>
          </w:p>
        </w:tc>
      </w:tr>
      <w:tr w14:paraId="45DCF76A" w14:textId="77777777" w:rsidTr="09E9DB6D">
        <w:tblPrEx>
          <w:tblW w:w="10170" w:type="dxa"/>
          <w:tblInd w:w="648" w:type="dxa"/>
          <w:tblLook w:val="04A0"/>
        </w:tblPrEx>
        <w:trPr>
          <w:trHeight w:val="380"/>
        </w:trPr>
        <w:tc>
          <w:tcPr>
            <w:tcW w:w="2083"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hideMark/>
          </w:tcPr>
          <w:p w:rsidR="002F4D59" w:rsidRPr="002F4D59" w:rsidP="002F4D59" w14:paraId="47D6A2FF" w14:textId="77777777">
            <w:pPr>
              <w:overflowPunct/>
              <w:autoSpaceDE/>
              <w:autoSpaceDN/>
              <w:adjustRightInd/>
              <w:textAlignment w:val="auto"/>
              <w:rPr>
                <w:color w:val="000000"/>
                <w:sz w:val="22"/>
                <w:szCs w:val="22"/>
              </w:rPr>
            </w:pPr>
            <w:r w:rsidRPr="002F4D59">
              <w:rPr>
                <w:color w:val="000000"/>
                <w:sz w:val="22"/>
                <w:szCs w:val="22"/>
              </w:rPr>
              <w:t>Total</w:t>
            </w:r>
          </w:p>
        </w:tc>
        <w:tc>
          <w:tcPr>
            <w:tcW w:w="999"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hideMark/>
          </w:tcPr>
          <w:p w:rsidR="002F4D59" w:rsidRPr="002F4D59" w:rsidP="002F4D59" w14:paraId="1037EF59" w14:textId="3417612D">
            <w:pPr>
              <w:overflowPunct/>
              <w:autoSpaceDE/>
              <w:autoSpaceDN/>
              <w:adjustRightInd/>
              <w:jc w:val="center"/>
              <w:textAlignment w:val="auto"/>
              <w:rPr>
                <w:b/>
                <w:bCs/>
                <w:color w:val="000000"/>
                <w:sz w:val="22"/>
                <w:szCs w:val="22"/>
              </w:rPr>
            </w:pPr>
            <w:r>
              <w:rPr>
                <w:b/>
                <w:bCs/>
                <w:color w:val="000000"/>
                <w:sz w:val="22"/>
                <w:szCs w:val="22"/>
              </w:rPr>
              <w:t>680</w:t>
            </w:r>
          </w:p>
        </w:tc>
        <w:tc>
          <w:tcPr>
            <w:tcW w:w="1371"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000000" w:themeFill="text1"/>
            <w:vAlign w:val="center"/>
            <w:hideMark/>
          </w:tcPr>
          <w:p w:rsidR="002F4D59" w:rsidRPr="002F4D59" w:rsidP="002F4D59" w14:paraId="4CE5F396" w14:textId="77777777">
            <w:pPr>
              <w:overflowPunct/>
              <w:autoSpaceDE/>
              <w:autoSpaceDN/>
              <w:adjustRightInd/>
              <w:jc w:val="center"/>
              <w:textAlignment w:val="auto"/>
              <w:rPr>
                <w:color w:val="000000"/>
                <w:sz w:val="22"/>
                <w:szCs w:val="22"/>
              </w:rPr>
            </w:pPr>
            <w:r w:rsidRPr="002F4D59">
              <w:rPr>
                <w:color w:val="000000"/>
                <w:sz w:val="22"/>
                <w:szCs w:val="22"/>
              </w:rPr>
              <w:t> </w:t>
            </w:r>
          </w:p>
        </w:tc>
        <w:tc>
          <w:tcPr>
            <w:tcW w:w="916"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hideMark/>
          </w:tcPr>
          <w:p w:rsidR="002F4D59" w:rsidRPr="002F4D59" w:rsidP="002F4D59" w14:paraId="2CBE9B8F" w14:textId="604D5488">
            <w:pPr>
              <w:overflowPunct/>
              <w:autoSpaceDE/>
              <w:autoSpaceDN/>
              <w:adjustRightInd/>
              <w:jc w:val="center"/>
              <w:textAlignment w:val="auto"/>
              <w:rPr>
                <w:b/>
                <w:bCs/>
                <w:color w:val="000000"/>
                <w:sz w:val="22"/>
                <w:szCs w:val="22"/>
              </w:rPr>
            </w:pPr>
            <w:r>
              <w:rPr>
                <w:b/>
                <w:bCs/>
                <w:color w:val="000000"/>
                <w:sz w:val="22"/>
                <w:szCs w:val="22"/>
              </w:rPr>
              <w:t>680</w:t>
            </w:r>
          </w:p>
        </w:tc>
        <w:tc>
          <w:tcPr>
            <w:tcW w:w="1214"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000000" w:themeFill="text1"/>
            <w:vAlign w:val="center"/>
            <w:hideMark/>
          </w:tcPr>
          <w:p w:rsidR="002F4D59" w:rsidRPr="002F4D59" w:rsidP="002F4D59" w14:paraId="27627D2A" w14:textId="77777777">
            <w:pPr>
              <w:overflowPunct/>
              <w:autoSpaceDE/>
              <w:autoSpaceDN/>
              <w:adjustRightInd/>
              <w:jc w:val="center"/>
              <w:textAlignment w:val="auto"/>
              <w:rPr>
                <w:color w:val="000000"/>
                <w:sz w:val="22"/>
                <w:szCs w:val="22"/>
              </w:rPr>
            </w:pPr>
            <w:r w:rsidRPr="002F4D59">
              <w:rPr>
                <w:color w:val="000000"/>
                <w:sz w:val="22"/>
                <w:szCs w:val="22"/>
              </w:rPr>
              <w:t> </w:t>
            </w:r>
          </w:p>
        </w:tc>
        <w:tc>
          <w:tcPr>
            <w:tcW w:w="1088"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hideMark/>
          </w:tcPr>
          <w:p w:rsidR="002F4D59" w:rsidRPr="002F4D59" w:rsidP="002F4D59" w14:paraId="0868814A" w14:textId="2538BFE4">
            <w:pPr>
              <w:overflowPunct/>
              <w:autoSpaceDE/>
              <w:autoSpaceDN/>
              <w:adjustRightInd/>
              <w:jc w:val="center"/>
              <w:textAlignment w:val="auto"/>
              <w:rPr>
                <w:b/>
                <w:bCs/>
                <w:color w:val="000000"/>
                <w:sz w:val="22"/>
                <w:szCs w:val="22"/>
              </w:rPr>
            </w:pPr>
            <w:r>
              <w:rPr>
                <w:b/>
                <w:bCs/>
                <w:color w:val="000000"/>
                <w:sz w:val="22"/>
                <w:szCs w:val="22"/>
              </w:rPr>
              <w:t>10,200</w:t>
            </w:r>
          </w:p>
        </w:tc>
        <w:tc>
          <w:tcPr>
            <w:tcW w:w="1097"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000000" w:themeFill="text1"/>
            <w:vAlign w:val="center"/>
            <w:hideMark/>
          </w:tcPr>
          <w:p w:rsidR="002F4D59" w:rsidRPr="002F4D59" w:rsidP="002F4D59" w14:paraId="2C349CDF" w14:textId="77777777">
            <w:pPr>
              <w:overflowPunct/>
              <w:autoSpaceDE/>
              <w:autoSpaceDN/>
              <w:adjustRightInd/>
              <w:jc w:val="center"/>
              <w:textAlignment w:val="auto"/>
              <w:rPr>
                <w:b/>
                <w:bCs/>
                <w:color w:val="000000"/>
                <w:sz w:val="22"/>
                <w:szCs w:val="22"/>
              </w:rPr>
            </w:pPr>
            <w:r w:rsidRPr="002F4D59">
              <w:rPr>
                <w:b/>
                <w:bCs/>
                <w:color w:val="000000"/>
                <w:sz w:val="22"/>
                <w:szCs w:val="22"/>
              </w:rPr>
              <w:t> </w:t>
            </w:r>
          </w:p>
        </w:tc>
        <w:tc>
          <w:tcPr>
            <w:tcW w:w="1402"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hideMark/>
          </w:tcPr>
          <w:p w:rsidR="002F4D59" w:rsidRPr="002F4D59" w:rsidP="002F4D59" w14:paraId="7972D832" w14:textId="6F4CA156">
            <w:pPr>
              <w:overflowPunct/>
              <w:autoSpaceDE/>
              <w:autoSpaceDN/>
              <w:adjustRightInd/>
              <w:jc w:val="center"/>
              <w:textAlignment w:val="auto"/>
              <w:rPr>
                <w:b/>
                <w:bCs/>
                <w:color w:val="000000"/>
                <w:sz w:val="22"/>
                <w:szCs w:val="22"/>
              </w:rPr>
            </w:pPr>
            <w:r w:rsidRPr="002F4D59">
              <w:rPr>
                <w:b/>
                <w:bCs/>
                <w:color w:val="000000"/>
                <w:sz w:val="22"/>
                <w:szCs w:val="22"/>
              </w:rPr>
              <w:t>$</w:t>
            </w:r>
            <w:r w:rsidR="00152286">
              <w:rPr>
                <w:b/>
                <w:bCs/>
                <w:color w:val="000000"/>
                <w:sz w:val="22"/>
                <w:szCs w:val="22"/>
              </w:rPr>
              <w:t>612,000</w:t>
            </w:r>
            <w:r w:rsidRPr="002F4D59">
              <w:rPr>
                <w:b/>
                <w:bCs/>
                <w:color w:val="000000"/>
                <w:sz w:val="22"/>
                <w:szCs w:val="22"/>
              </w:rPr>
              <w:t xml:space="preserve"> </w:t>
            </w:r>
          </w:p>
        </w:tc>
      </w:tr>
    </w:tbl>
    <w:p w:rsidR="002F4D59" w14:paraId="303D25F9" w14:textId="77777777">
      <w:pPr>
        <w:rPr>
          <w:sz w:val="24"/>
          <w:szCs w:val="24"/>
        </w:rPr>
      </w:pPr>
    </w:p>
    <w:p w:rsidR="00355E1D" w:rsidP="008105F1" w14:paraId="51E7E260" w14:textId="44B88931">
      <w:pPr>
        <w:rPr>
          <w:b/>
          <w:sz w:val="24"/>
          <w:szCs w:val="24"/>
        </w:rPr>
      </w:pPr>
      <w:r>
        <w:rPr>
          <w:b/>
          <w:sz w:val="24"/>
          <w:szCs w:val="24"/>
        </w:rPr>
        <w:tab/>
      </w:r>
    </w:p>
    <w:p w:rsidR="00B03063" w14:paraId="47E46D0B"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an estimate for the total annual cost burden to respondents or record-keepers resulting from the collection of information. (Do not include the cost of any hour burden shown in Items 12 and 14).</w:t>
      </w:r>
    </w:p>
    <w:p w:rsidR="004E7660" w14:paraId="32BDDDB7" w14:textId="77777777">
      <w:pPr>
        <w:pStyle w:val="BodyTextIndent2"/>
        <w:tabs>
          <w:tab w:val="left" w:pos="360"/>
        </w:tabs>
        <w:spacing w:line="240" w:lineRule="auto"/>
        <w:ind w:left="0"/>
        <w:rPr>
          <w:sz w:val="24"/>
          <w:szCs w:val="24"/>
        </w:rPr>
      </w:pPr>
    </w:p>
    <w:p w:rsidR="00B03063" w:rsidP="004E7660" w14:paraId="7FA200F9" w14:textId="58DE66DA">
      <w:pPr>
        <w:pStyle w:val="BodyTextIndent2"/>
        <w:tabs>
          <w:tab w:val="left" w:pos="360"/>
        </w:tabs>
        <w:spacing w:line="240" w:lineRule="auto"/>
        <w:ind w:left="720"/>
        <w:rPr>
          <w:sz w:val="24"/>
          <w:szCs w:val="24"/>
        </w:rPr>
      </w:pPr>
      <w:r w:rsidRPr="00355E1D">
        <w:rPr>
          <w:sz w:val="24"/>
          <w:szCs w:val="24"/>
        </w:rPr>
        <w:t xml:space="preserve">There are no start-up or additional costs to the respondents other than those reported in Item 12 above in the Burden Cost Column. </w:t>
      </w:r>
    </w:p>
    <w:p w:rsidR="00B03063" w14:paraId="050C419A" w14:textId="77777777">
      <w:pPr>
        <w:rPr>
          <w:b/>
          <w:sz w:val="24"/>
          <w:szCs w:val="24"/>
        </w:rPr>
      </w:pPr>
    </w:p>
    <w:p w:rsidR="00B03063" w14:paraId="423D6F36"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B6DBF" w:rsidP="00FB6DBF" w14:paraId="49E04248" w14:textId="77777777">
      <w:pPr>
        <w:rPr>
          <w:b/>
          <w:sz w:val="24"/>
          <w:szCs w:val="24"/>
        </w:rPr>
      </w:pPr>
    </w:p>
    <w:p w:rsidR="00EB063D" w:rsidRPr="0015777E" w:rsidP="00EB063D" w14:paraId="521ED8D4" w14:textId="55FEFBD6">
      <w:pPr>
        <w:ind w:left="720"/>
        <w:rPr>
          <w:color w:val="000000" w:themeColor="text1"/>
          <w:sz w:val="24"/>
          <w:szCs w:val="24"/>
        </w:rPr>
      </w:pPr>
      <w:r>
        <w:rPr>
          <w:sz w:val="24"/>
          <w:szCs w:val="24"/>
        </w:rPr>
        <w:t xml:space="preserve">The number of respondents for GRRP application forms reflected in the chart below indicates the </w:t>
      </w:r>
      <w:r>
        <w:rPr>
          <w:sz w:val="24"/>
          <w:szCs w:val="24"/>
        </w:rPr>
        <w:t>amount</w:t>
      </w:r>
      <w:r>
        <w:rPr>
          <w:sz w:val="24"/>
          <w:szCs w:val="24"/>
        </w:rPr>
        <w:t xml:space="preserve"> of </w:t>
      </w:r>
      <w:r>
        <w:rPr>
          <w:i/>
          <w:sz w:val="24"/>
          <w:szCs w:val="24"/>
        </w:rPr>
        <w:t>expected</w:t>
      </w:r>
      <w:r>
        <w:rPr>
          <w:sz w:val="24"/>
          <w:szCs w:val="24"/>
        </w:rPr>
        <w:t xml:space="preserve"> applicants.  Individual application forms must be submitted for each </w:t>
      </w:r>
      <w:r w:rsidRPr="00EA18F1">
        <w:rPr>
          <w:sz w:val="24"/>
          <w:szCs w:val="24"/>
        </w:rPr>
        <w:t>HUD-assisted multifamily properties for participation in GRR</w:t>
      </w:r>
      <w:r>
        <w:rPr>
          <w:sz w:val="24"/>
          <w:szCs w:val="24"/>
        </w:rPr>
        <w:t xml:space="preserve">P.  </w:t>
      </w:r>
      <w:r w:rsidRPr="0015777E">
        <w:rPr>
          <w:color w:val="000000" w:themeColor="text1"/>
          <w:sz w:val="24"/>
          <w:szCs w:val="24"/>
        </w:rPr>
        <w:t xml:space="preserve">Provided below is an analysis of the costs for review and approval of </w:t>
      </w:r>
      <w:r>
        <w:rPr>
          <w:color w:val="000000" w:themeColor="text1"/>
          <w:sz w:val="24"/>
          <w:szCs w:val="24"/>
        </w:rPr>
        <w:t>the applications</w:t>
      </w:r>
      <w:r w:rsidRPr="0015777E">
        <w:rPr>
          <w:color w:val="000000" w:themeColor="text1"/>
          <w:sz w:val="24"/>
          <w:szCs w:val="24"/>
        </w:rPr>
        <w:t xml:space="preserve"> within this collection for purposes of transparency in the internal costs borne onto HUD. The cost was estimated based on the number of expected annual responses as described in Item 12. The government cost of the collection is exclusively borne by the staff time needed to review and act on (</w:t>
      </w:r>
      <w:r w:rsidRPr="0015777E" w:rsidR="00A02F2F">
        <w:rPr>
          <w:color w:val="000000" w:themeColor="text1"/>
          <w:sz w:val="24"/>
          <w:szCs w:val="24"/>
        </w:rPr>
        <w:t>i.e.,</w:t>
      </w:r>
      <w:r w:rsidRPr="0015777E">
        <w:rPr>
          <w:color w:val="000000" w:themeColor="text1"/>
          <w:sz w:val="24"/>
          <w:szCs w:val="24"/>
        </w:rPr>
        <w:t xml:space="preserve"> approve, reject, solicit additional information) each </w:t>
      </w:r>
      <w:r w:rsidR="00AF010E">
        <w:rPr>
          <w:color w:val="000000" w:themeColor="text1"/>
          <w:sz w:val="24"/>
          <w:szCs w:val="24"/>
        </w:rPr>
        <w:t xml:space="preserve">application </w:t>
      </w:r>
      <w:r w:rsidRPr="0015777E">
        <w:rPr>
          <w:color w:val="000000" w:themeColor="text1"/>
          <w:sz w:val="24"/>
          <w:szCs w:val="24"/>
        </w:rPr>
        <w:t xml:space="preserve">submission. </w:t>
      </w:r>
    </w:p>
    <w:p w:rsidR="00EB063D" w:rsidP="000F3F53" w14:paraId="3D752525" w14:textId="77777777">
      <w:pPr>
        <w:ind w:left="720"/>
        <w:rPr>
          <w:sz w:val="24"/>
          <w:szCs w:val="24"/>
        </w:rPr>
      </w:pPr>
    </w:p>
    <w:p w:rsidR="00FB6DBF" w:rsidP="00B07D40" w14:paraId="05D3E402" w14:textId="0E238C51">
      <w:pPr>
        <w:ind w:left="720"/>
        <w:rPr>
          <w:sz w:val="24"/>
          <w:szCs w:val="24"/>
        </w:rPr>
      </w:pPr>
      <w:r>
        <w:rPr>
          <w:sz w:val="24"/>
          <w:szCs w:val="24"/>
        </w:rPr>
        <w:t xml:space="preserve">Each form </w:t>
      </w:r>
      <w:r w:rsidR="009E08D8">
        <w:rPr>
          <w:sz w:val="24"/>
          <w:szCs w:val="24"/>
        </w:rPr>
        <w:t>is estimated to t</w:t>
      </w:r>
      <w:r>
        <w:rPr>
          <w:sz w:val="24"/>
          <w:szCs w:val="24"/>
        </w:rPr>
        <w:t xml:space="preserve">ake approximately </w:t>
      </w:r>
      <w:r w:rsidRPr="000D5F2A">
        <w:rPr>
          <w:sz w:val="24"/>
          <w:szCs w:val="24"/>
        </w:rPr>
        <w:t>three hours</w:t>
      </w:r>
      <w:r>
        <w:rPr>
          <w:sz w:val="24"/>
          <w:szCs w:val="24"/>
        </w:rPr>
        <w:t xml:space="preserve"> to review by a GS-</w:t>
      </w:r>
      <w:r w:rsidR="0063083C">
        <w:rPr>
          <w:sz w:val="24"/>
          <w:szCs w:val="24"/>
        </w:rPr>
        <w:t>12</w:t>
      </w:r>
      <w:r>
        <w:rPr>
          <w:sz w:val="24"/>
          <w:szCs w:val="24"/>
        </w:rPr>
        <w:t xml:space="preserve"> Step 1 at an hourly salary</w:t>
      </w:r>
      <w:r w:rsidR="009E08D8">
        <w:rPr>
          <w:sz w:val="24"/>
          <w:szCs w:val="24"/>
        </w:rPr>
        <w:t xml:space="preserve"> </w:t>
      </w:r>
      <w:r w:rsidR="00F6248B">
        <w:rPr>
          <w:sz w:val="24"/>
          <w:szCs w:val="24"/>
        </w:rPr>
        <w:t>of $</w:t>
      </w:r>
      <w:r w:rsidR="0063083C">
        <w:rPr>
          <w:sz w:val="24"/>
          <w:szCs w:val="24"/>
        </w:rPr>
        <w:t>43.04</w:t>
      </w:r>
      <w:r w:rsidR="00BA29A3">
        <w:rPr>
          <w:sz w:val="24"/>
          <w:szCs w:val="24"/>
        </w:rPr>
        <w:t>.</w:t>
      </w:r>
      <w:r>
        <w:rPr>
          <w:sz w:val="24"/>
          <w:szCs w:val="24"/>
        </w:rPr>
        <w:t xml:space="preserve">  The expected cost to the federal government is therefore $</w:t>
      </w:r>
      <w:r w:rsidR="007E6DDF">
        <w:rPr>
          <w:sz w:val="24"/>
          <w:szCs w:val="24"/>
        </w:rPr>
        <w:t>87,720</w:t>
      </w:r>
      <w:r>
        <w:rPr>
          <w:sz w:val="24"/>
          <w:szCs w:val="24"/>
        </w:rPr>
        <w:t xml:space="preserve">.  There are no additional </w:t>
      </w:r>
      <w:r w:rsidR="004C3145">
        <w:rPr>
          <w:sz w:val="24"/>
          <w:szCs w:val="24"/>
        </w:rPr>
        <w:t>c</w:t>
      </w:r>
      <w:r>
        <w:rPr>
          <w:sz w:val="24"/>
          <w:szCs w:val="24"/>
        </w:rPr>
        <w:t>osts</w:t>
      </w:r>
      <w:r w:rsidR="00B07D40">
        <w:rPr>
          <w:sz w:val="24"/>
          <w:szCs w:val="24"/>
        </w:rPr>
        <w:t xml:space="preserve"> </w:t>
      </w:r>
      <w:r>
        <w:rPr>
          <w:sz w:val="24"/>
          <w:szCs w:val="24"/>
        </w:rPr>
        <w:t>expected for the processin</w:t>
      </w:r>
      <w:r w:rsidR="009F2DBB">
        <w:rPr>
          <w:sz w:val="24"/>
          <w:szCs w:val="24"/>
        </w:rPr>
        <w:t>g of these applications or operational costs associated with this data collection.</w:t>
      </w:r>
      <w:r>
        <w:rPr>
          <w:sz w:val="24"/>
          <w:szCs w:val="24"/>
        </w:rPr>
        <w:t xml:space="preserve"> </w:t>
      </w:r>
    </w:p>
    <w:p w:rsidR="00C07670" w:rsidP="00FB6DBF" w14:paraId="64585298" w14:textId="77777777">
      <w:pPr>
        <w:rPr>
          <w:b/>
          <w:sz w:val="24"/>
          <w:szCs w:val="24"/>
        </w:rPr>
      </w:pPr>
    </w:p>
    <w:tbl>
      <w:tblPr>
        <w:tblW w:w="10260" w:type="dxa"/>
        <w:tblInd w:w="558" w:type="dxa"/>
        <w:tblLook w:val="04A0"/>
      </w:tblPr>
      <w:tblGrid>
        <w:gridCol w:w="2070"/>
        <w:gridCol w:w="1350"/>
        <w:gridCol w:w="1080"/>
        <w:gridCol w:w="1170"/>
        <w:gridCol w:w="1119"/>
        <w:gridCol w:w="1131"/>
        <w:gridCol w:w="1080"/>
        <w:gridCol w:w="1260"/>
      </w:tblGrid>
      <w:tr w14:paraId="134A8112" w14:textId="77777777" w:rsidTr="007E6DDF">
        <w:tblPrEx>
          <w:tblW w:w="10260" w:type="dxa"/>
          <w:tblInd w:w="558" w:type="dxa"/>
          <w:tblLook w:val="04A0"/>
        </w:tblPrEx>
        <w:trPr>
          <w:trHeight w:val="576"/>
        </w:trPr>
        <w:tc>
          <w:tcPr>
            <w:tcW w:w="2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6DDF" w:rsidRPr="00D12B46" w:rsidP="007E6DDF" w14:paraId="14941337" w14:textId="5071085C">
            <w:pPr>
              <w:overflowPunct/>
              <w:autoSpaceDE/>
              <w:autoSpaceDN/>
              <w:adjustRightInd/>
              <w:jc w:val="center"/>
              <w:textAlignment w:val="auto"/>
              <w:rPr>
                <w:color w:val="000000"/>
              </w:rPr>
            </w:pPr>
            <w:r w:rsidRPr="00C07670">
              <w:rPr>
                <w:color w:val="000000"/>
              </w:rPr>
              <w:t>Type of Reporting</w:t>
            </w:r>
          </w:p>
        </w:tc>
        <w:tc>
          <w:tcPr>
            <w:tcW w:w="135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0FB1CFEB" w14:textId="7CE50C44">
            <w:pPr>
              <w:overflowPunct/>
              <w:autoSpaceDE/>
              <w:autoSpaceDN/>
              <w:adjustRightInd/>
              <w:jc w:val="center"/>
              <w:textAlignment w:val="auto"/>
              <w:rPr>
                <w:color w:val="000000"/>
              </w:rPr>
            </w:pPr>
            <w:r w:rsidRPr="00C07670">
              <w:rPr>
                <w:color w:val="000000"/>
              </w:rPr>
              <w:t>Respondents</w:t>
            </w:r>
          </w:p>
        </w:tc>
        <w:tc>
          <w:tcPr>
            <w:tcW w:w="10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338220EC" w14:textId="7FF30318">
            <w:pPr>
              <w:overflowPunct/>
              <w:autoSpaceDE/>
              <w:autoSpaceDN/>
              <w:adjustRightInd/>
              <w:jc w:val="center"/>
              <w:textAlignment w:val="auto"/>
              <w:rPr>
                <w:color w:val="000000"/>
              </w:rPr>
            </w:pPr>
            <w:r w:rsidRPr="00C07670">
              <w:rPr>
                <w:color w:val="000000"/>
              </w:rPr>
              <w:t>Annual Responses</w:t>
            </w:r>
          </w:p>
        </w:tc>
        <w:tc>
          <w:tcPr>
            <w:tcW w:w="117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2235BA34" w14:textId="04D12B35">
            <w:pPr>
              <w:overflowPunct/>
              <w:autoSpaceDE/>
              <w:autoSpaceDN/>
              <w:adjustRightInd/>
              <w:jc w:val="center"/>
              <w:textAlignment w:val="auto"/>
              <w:rPr>
                <w:color w:val="000000"/>
              </w:rPr>
            </w:pPr>
            <w:r w:rsidRPr="00C07670">
              <w:rPr>
                <w:color w:val="000000"/>
              </w:rPr>
              <w:t>Total Responses</w:t>
            </w:r>
          </w:p>
        </w:tc>
        <w:tc>
          <w:tcPr>
            <w:tcW w:w="111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023526C6" w14:textId="4B05D999">
            <w:pPr>
              <w:overflowPunct/>
              <w:autoSpaceDE/>
              <w:autoSpaceDN/>
              <w:adjustRightInd/>
              <w:jc w:val="center"/>
              <w:textAlignment w:val="auto"/>
              <w:rPr>
                <w:color w:val="000000"/>
              </w:rPr>
            </w:pPr>
            <w:r w:rsidRPr="00C07670">
              <w:rPr>
                <w:color w:val="000000"/>
              </w:rPr>
              <w:t>Burden Hours per Response</w:t>
            </w:r>
          </w:p>
        </w:tc>
        <w:tc>
          <w:tcPr>
            <w:tcW w:w="11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4C1D3127" w14:textId="67220504">
            <w:pPr>
              <w:overflowPunct/>
              <w:autoSpaceDE/>
              <w:autoSpaceDN/>
              <w:adjustRightInd/>
              <w:jc w:val="center"/>
              <w:textAlignment w:val="auto"/>
              <w:rPr>
                <w:color w:val="000000"/>
              </w:rPr>
            </w:pPr>
            <w:r w:rsidRPr="00C07670">
              <w:rPr>
                <w:color w:val="000000"/>
              </w:rPr>
              <w:t>Total Burden Hours</w:t>
            </w:r>
          </w:p>
        </w:tc>
        <w:tc>
          <w:tcPr>
            <w:tcW w:w="1080" w:type="dxa"/>
            <w:tcBorders>
              <w:top w:val="single" w:sz="8" w:space="0" w:color="000000"/>
              <w:left w:val="nil"/>
              <w:bottom w:val="single" w:sz="4" w:space="0" w:color="auto"/>
              <w:right w:val="single" w:sz="8" w:space="0" w:color="000000"/>
            </w:tcBorders>
            <w:shd w:val="clear" w:color="auto" w:fill="auto"/>
            <w:vAlign w:val="center"/>
            <w:hideMark/>
          </w:tcPr>
          <w:p w:rsidR="007E6DDF" w:rsidRPr="00C07670" w:rsidP="007E6DDF" w14:paraId="42F4C614" w14:textId="77777777">
            <w:pPr>
              <w:jc w:val="center"/>
              <w:rPr>
                <w:color w:val="000000"/>
              </w:rPr>
            </w:pPr>
            <w:r w:rsidRPr="00C07670">
              <w:rPr>
                <w:color w:val="000000"/>
              </w:rPr>
              <w:t>Salary</w:t>
            </w:r>
          </w:p>
          <w:p w:rsidR="007E6DDF" w:rsidRPr="00D12B46" w:rsidP="007E6DDF" w14:paraId="16F379FE" w14:textId="435FC861">
            <w:pPr>
              <w:overflowPunct/>
              <w:autoSpaceDE/>
              <w:autoSpaceDN/>
              <w:adjustRightInd/>
              <w:jc w:val="center"/>
              <w:textAlignment w:val="auto"/>
              <w:rPr>
                <w:color w:val="000000"/>
              </w:rPr>
            </w:pPr>
            <w:r w:rsidRPr="00C07670">
              <w:rPr>
                <w:color w:val="000000"/>
              </w:rPr>
              <w:t>(</w:t>
            </w:r>
            <w:r w:rsidRPr="00C07670">
              <w:rPr>
                <w:color w:val="000000"/>
              </w:rPr>
              <w:t>per</w:t>
            </w:r>
            <w:r w:rsidRPr="00C07670">
              <w:rPr>
                <w:color w:val="000000"/>
              </w:rPr>
              <w:t xml:space="preserve"> hour)</w:t>
            </w:r>
          </w:p>
        </w:tc>
        <w:tc>
          <w:tcPr>
            <w:tcW w:w="12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E6DDF" w:rsidRPr="00D12B46" w:rsidP="007E6DDF" w14:paraId="159BC112" w14:textId="58D8D837">
            <w:pPr>
              <w:overflowPunct/>
              <w:autoSpaceDE/>
              <w:autoSpaceDN/>
              <w:adjustRightInd/>
              <w:jc w:val="center"/>
              <w:textAlignment w:val="auto"/>
              <w:rPr>
                <w:color w:val="000000"/>
              </w:rPr>
            </w:pPr>
            <w:r w:rsidRPr="00C07670">
              <w:rPr>
                <w:color w:val="000000"/>
              </w:rPr>
              <w:t>Total Burden Cost</w:t>
            </w:r>
          </w:p>
        </w:tc>
      </w:tr>
      <w:tr w14:paraId="61BE9C7D" w14:textId="77777777" w:rsidTr="007E6DDF">
        <w:tblPrEx>
          <w:tblW w:w="10260" w:type="dxa"/>
          <w:tblInd w:w="558" w:type="dxa"/>
          <w:tblLook w:val="04A0"/>
        </w:tblPrEx>
        <w:trPr>
          <w:trHeight w:val="643"/>
        </w:trPr>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D12B46" w:rsidRPr="00D12B46" w:rsidP="00D12B46" w14:paraId="2BBBA944" w14:textId="77777777">
            <w:pPr>
              <w:overflowPunct/>
              <w:autoSpaceDE/>
              <w:autoSpaceDN/>
              <w:adjustRightInd/>
              <w:textAlignment w:val="auto"/>
              <w:rPr>
                <w:b/>
                <w:bCs/>
                <w:color w:val="000000"/>
              </w:rPr>
            </w:pPr>
            <w:r w:rsidRPr="00D12B46">
              <w:rPr>
                <w:b/>
                <w:bCs/>
                <w:color w:val="000000"/>
              </w:rPr>
              <w:t>Green Resilient and Retrofit Program Application Form</w:t>
            </w:r>
          </w:p>
        </w:tc>
        <w:tc>
          <w:tcPr>
            <w:tcW w:w="135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9595684" w14:textId="77777777">
            <w:pPr>
              <w:overflowPunct/>
              <w:autoSpaceDE/>
              <w:autoSpaceDN/>
              <w:adjustRightInd/>
              <w:jc w:val="center"/>
              <w:textAlignment w:val="auto"/>
              <w:rPr>
                <w:color w:val="000000"/>
              </w:rPr>
            </w:pPr>
            <w:r w:rsidRPr="00D12B46">
              <w:rPr>
                <w:color w:val="000000"/>
              </w:rPr>
              <w:t>150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358E45D" w14:textId="77777777">
            <w:pPr>
              <w:overflowPunct/>
              <w:autoSpaceDE/>
              <w:autoSpaceDN/>
              <w:adjustRightInd/>
              <w:jc w:val="center"/>
              <w:textAlignment w:val="auto"/>
              <w:rPr>
                <w:color w:val="000000"/>
              </w:rPr>
            </w:pPr>
            <w:r w:rsidRPr="00D12B46">
              <w:rPr>
                <w:color w:val="000000"/>
              </w:rPr>
              <w:t>1</w:t>
            </w:r>
          </w:p>
        </w:tc>
        <w:tc>
          <w:tcPr>
            <w:tcW w:w="1170" w:type="dxa"/>
            <w:tcBorders>
              <w:top w:val="nil"/>
              <w:left w:val="nil"/>
              <w:bottom w:val="single" w:sz="8" w:space="0" w:color="000000"/>
              <w:right w:val="single" w:sz="8" w:space="0" w:color="000000"/>
            </w:tcBorders>
            <w:shd w:val="clear" w:color="auto" w:fill="auto"/>
            <w:vAlign w:val="center"/>
            <w:hideMark/>
          </w:tcPr>
          <w:p w:rsidR="00D12B46" w:rsidRPr="00D12B46" w:rsidP="00D12B46" w14:paraId="143D9888" w14:textId="77777777">
            <w:pPr>
              <w:overflowPunct/>
              <w:autoSpaceDE/>
              <w:autoSpaceDN/>
              <w:adjustRightInd/>
              <w:jc w:val="center"/>
              <w:textAlignment w:val="auto"/>
              <w:rPr>
                <w:color w:val="000000"/>
              </w:rPr>
            </w:pPr>
            <w:r w:rsidRPr="00D12B46">
              <w:rPr>
                <w:color w:val="000000"/>
              </w:rPr>
              <w:t>150</w:t>
            </w:r>
          </w:p>
        </w:tc>
        <w:tc>
          <w:tcPr>
            <w:tcW w:w="1119" w:type="dxa"/>
            <w:tcBorders>
              <w:top w:val="nil"/>
              <w:left w:val="nil"/>
              <w:bottom w:val="single" w:sz="8" w:space="0" w:color="000000"/>
              <w:right w:val="single" w:sz="8" w:space="0" w:color="000000"/>
            </w:tcBorders>
            <w:shd w:val="clear" w:color="auto" w:fill="auto"/>
            <w:vAlign w:val="center"/>
            <w:hideMark/>
          </w:tcPr>
          <w:p w:rsidR="00D12B46" w:rsidRPr="00D12B46" w:rsidP="00D12B46" w14:paraId="1A115D98" w14:textId="77777777">
            <w:pPr>
              <w:overflowPunct/>
              <w:autoSpaceDE/>
              <w:autoSpaceDN/>
              <w:adjustRightInd/>
              <w:jc w:val="center"/>
              <w:textAlignment w:val="auto"/>
              <w:rPr>
                <w:color w:val="000000"/>
              </w:rPr>
            </w:pPr>
            <w:r w:rsidRPr="00D12B46">
              <w:rPr>
                <w:color w:val="000000"/>
              </w:rPr>
              <w:t>3</w:t>
            </w:r>
          </w:p>
        </w:tc>
        <w:tc>
          <w:tcPr>
            <w:tcW w:w="1131" w:type="dxa"/>
            <w:tcBorders>
              <w:top w:val="nil"/>
              <w:left w:val="nil"/>
              <w:bottom w:val="single" w:sz="8" w:space="0" w:color="000000"/>
              <w:right w:val="single" w:sz="8" w:space="0" w:color="000000"/>
            </w:tcBorders>
            <w:shd w:val="clear" w:color="auto" w:fill="auto"/>
            <w:vAlign w:val="center"/>
            <w:hideMark/>
          </w:tcPr>
          <w:p w:rsidR="00D12B46" w:rsidRPr="00D12B46" w:rsidP="00D12B46" w14:paraId="27404EF0" w14:textId="77777777">
            <w:pPr>
              <w:overflowPunct/>
              <w:autoSpaceDE/>
              <w:autoSpaceDN/>
              <w:adjustRightInd/>
              <w:jc w:val="center"/>
              <w:textAlignment w:val="auto"/>
              <w:rPr>
                <w:color w:val="000000"/>
              </w:rPr>
            </w:pPr>
            <w:r w:rsidRPr="00D12B46">
              <w:rPr>
                <w:color w:val="000000"/>
              </w:rPr>
              <w:t>450</w:t>
            </w:r>
          </w:p>
        </w:tc>
        <w:tc>
          <w:tcPr>
            <w:tcW w:w="1080" w:type="dxa"/>
            <w:tcBorders>
              <w:top w:val="single" w:sz="4" w:space="0" w:color="auto"/>
              <w:left w:val="nil"/>
              <w:bottom w:val="single" w:sz="8" w:space="0" w:color="000000"/>
              <w:right w:val="single" w:sz="8" w:space="0" w:color="000000"/>
            </w:tcBorders>
            <w:shd w:val="clear" w:color="auto" w:fill="auto"/>
            <w:vAlign w:val="center"/>
            <w:hideMark/>
          </w:tcPr>
          <w:p w:rsidR="00D12B46" w:rsidRPr="00D12B46" w:rsidP="00D12B46" w14:paraId="692101EF" w14:textId="77777777">
            <w:pPr>
              <w:overflowPunct/>
              <w:autoSpaceDE/>
              <w:autoSpaceDN/>
              <w:adjustRightInd/>
              <w:jc w:val="center"/>
              <w:textAlignment w:val="auto"/>
              <w:rPr>
                <w:color w:val="000000"/>
              </w:rPr>
            </w:pPr>
            <w:r w:rsidRPr="00D12B46">
              <w:rPr>
                <w:color w:val="000000"/>
              </w:rPr>
              <w:t xml:space="preserve">$43 </w:t>
            </w:r>
          </w:p>
        </w:tc>
        <w:tc>
          <w:tcPr>
            <w:tcW w:w="1260" w:type="dxa"/>
            <w:tcBorders>
              <w:top w:val="nil"/>
              <w:left w:val="nil"/>
              <w:bottom w:val="single" w:sz="8" w:space="0" w:color="000000"/>
              <w:right w:val="single" w:sz="8" w:space="0" w:color="000000"/>
            </w:tcBorders>
            <w:shd w:val="clear" w:color="auto" w:fill="auto"/>
            <w:vAlign w:val="center"/>
            <w:hideMark/>
          </w:tcPr>
          <w:p w:rsidR="00D12B46" w:rsidRPr="00D12B46" w:rsidP="00D12B46" w14:paraId="3254293B" w14:textId="77777777">
            <w:pPr>
              <w:overflowPunct/>
              <w:autoSpaceDE/>
              <w:autoSpaceDN/>
              <w:adjustRightInd/>
              <w:jc w:val="center"/>
              <w:textAlignment w:val="auto"/>
              <w:rPr>
                <w:color w:val="000000"/>
              </w:rPr>
            </w:pPr>
            <w:r w:rsidRPr="00D12B46">
              <w:rPr>
                <w:color w:val="000000"/>
              </w:rPr>
              <w:t xml:space="preserve">$19,350 </w:t>
            </w:r>
          </w:p>
        </w:tc>
      </w:tr>
      <w:tr w14:paraId="712C9050" w14:textId="77777777" w:rsidTr="007E6DDF">
        <w:tblPrEx>
          <w:tblW w:w="10260" w:type="dxa"/>
          <w:tblInd w:w="558" w:type="dxa"/>
          <w:tblLook w:val="04A0"/>
        </w:tblPrEx>
        <w:trPr>
          <w:trHeight w:val="643"/>
        </w:trPr>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D12B46" w:rsidRPr="00D12B46" w:rsidP="00D12B46" w14:paraId="6886625E" w14:textId="77777777">
            <w:pPr>
              <w:overflowPunct/>
              <w:autoSpaceDE/>
              <w:autoSpaceDN/>
              <w:adjustRightInd/>
              <w:textAlignment w:val="auto"/>
              <w:rPr>
                <w:b/>
                <w:bCs/>
                <w:color w:val="000000"/>
              </w:rPr>
            </w:pPr>
            <w:r w:rsidRPr="00D12B46">
              <w:rPr>
                <w:b/>
                <w:bCs/>
                <w:color w:val="000000"/>
              </w:rPr>
              <w:t>Immediate Net Zero Application</w:t>
            </w:r>
          </w:p>
        </w:tc>
        <w:tc>
          <w:tcPr>
            <w:tcW w:w="1350" w:type="dxa"/>
            <w:tcBorders>
              <w:top w:val="nil"/>
              <w:left w:val="nil"/>
              <w:bottom w:val="single" w:sz="8" w:space="0" w:color="000000"/>
              <w:right w:val="single" w:sz="8" w:space="0" w:color="000000"/>
            </w:tcBorders>
            <w:shd w:val="clear" w:color="auto" w:fill="auto"/>
            <w:vAlign w:val="center"/>
            <w:hideMark/>
          </w:tcPr>
          <w:p w:rsidR="00D12B46" w:rsidRPr="00D12B46" w:rsidP="00D12B46" w14:paraId="06788CC3" w14:textId="77777777">
            <w:pPr>
              <w:overflowPunct/>
              <w:autoSpaceDE/>
              <w:autoSpaceDN/>
              <w:adjustRightInd/>
              <w:jc w:val="center"/>
              <w:textAlignment w:val="auto"/>
              <w:rPr>
                <w:color w:val="000000"/>
              </w:rPr>
            </w:pPr>
            <w:r w:rsidRPr="00D12B46">
              <w:rPr>
                <w:color w:val="000000"/>
              </w:rPr>
              <w:t>30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9BCDBCC" w14:textId="77777777">
            <w:pPr>
              <w:overflowPunct/>
              <w:autoSpaceDE/>
              <w:autoSpaceDN/>
              <w:adjustRightInd/>
              <w:jc w:val="center"/>
              <w:textAlignment w:val="auto"/>
              <w:rPr>
                <w:color w:val="000000"/>
              </w:rPr>
            </w:pPr>
            <w:r w:rsidRPr="00D12B46">
              <w:rPr>
                <w:color w:val="000000"/>
              </w:rPr>
              <w:t>1</w:t>
            </w:r>
          </w:p>
        </w:tc>
        <w:tc>
          <w:tcPr>
            <w:tcW w:w="1170" w:type="dxa"/>
            <w:tcBorders>
              <w:top w:val="nil"/>
              <w:left w:val="nil"/>
              <w:bottom w:val="single" w:sz="8" w:space="0" w:color="000000"/>
              <w:right w:val="single" w:sz="8" w:space="0" w:color="000000"/>
            </w:tcBorders>
            <w:shd w:val="clear" w:color="auto" w:fill="auto"/>
            <w:vAlign w:val="center"/>
            <w:hideMark/>
          </w:tcPr>
          <w:p w:rsidR="00D12B46" w:rsidRPr="00D12B46" w:rsidP="00D12B46" w14:paraId="3D48FB79" w14:textId="77777777">
            <w:pPr>
              <w:overflowPunct/>
              <w:autoSpaceDE/>
              <w:autoSpaceDN/>
              <w:adjustRightInd/>
              <w:jc w:val="center"/>
              <w:textAlignment w:val="auto"/>
              <w:rPr>
                <w:color w:val="000000"/>
              </w:rPr>
            </w:pPr>
            <w:r w:rsidRPr="00D12B46">
              <w:rPr>
                <w:color w:val="000000"/>
              </w:rPr>
              <w:t>30</w:t>
            </w:r>
          </w:p>
        </w:tc>
        <w:tc>
          <w:tcPr>
            <w:tcW w:w="1119" w:type="dxa"/>
            <w:tcBorders>
              <w:top w:val="nil"/>
              <w:left w:val="nil"/>
              <w:bottom w:val="single" w:sz="8" w:space="0" w:color="000000"/>
              <w:right w:val="single" w:sz="8" w:space="0" w:color="000000"/>
            </w:tcBorders>
            <w:shd w:val="clear" w:color="auto" w:fill="auto"/>
            <w:vAlign w:val="center"/>
            <w:hideMark/>
          </w:tcPr>
          <w:p w:rsidR="00D12B46" w:rsidRPr="00D12B46" w:rsidP="00D12B46" w14:paraId="33E42D0C" w14:textId="77777777">
            <w:pPr>
              <w:overflowPunct/>
              <w:autoSpaceDE/>
              <w:autoSpaceDN/>
              <w:adjustRightInd/>
              <w:jc w:val="center"/>
              <w:textAlignment w:val="auto"/>
              <w:rPr>
                <w:color w:val="000000"/>
              </w:rPr>
            </w:pPr>
            <w:r w:rsidRPr="00D12B46">
              <w:rPr>
                <w:color w:val="000000"/>
              </w:rPr>
              <w:t>3</w:t>
            </w:r>
          </w:p>
        </w:tc>
        <w:tc>
          <w:tcPr>
            <w:tcW w:w="1131" w:type="dxa"/>
            <w:tcBorders>
              <w:top w:val="nil"/>
              <w:left w:val="nil"/>
              <w:bottom w:val="single" w:sz="8" w:space="0" w:color="000000"/>
              <w:right w:val="single" w:sz="8" w:space="0" w:color="000000"/>
            </w:tcBorders>
            <w:shd w:val="clear" w:color="auto" w:fill="auto"/>
            <w:vAlign w:val="center"/>
            <w:hideMark/>
          </w:tcPr>
          <w:p w:rsidR="00D12B46" w:rsidRPr="00D12B46" w:rsidP="00D12B46" w14:paraId="53A0E1E7" w14:textId="77777777">
            <w:pPr>
              <w:overflowPunct/>
              <w:autoSpaceDE/>
              <w:autoSpaceDN/>
              <w:adjustRightInd/>
              <w:jc w:val="center"/>
              <w:textAlignment w:val="auto"/>
              <w:rPr>
                <w:color w:val="000000"/>
              </w:rPr>
            </w:pPr>
            <w:r w:rsidRPr="00D12B46">
              <w:rPr>
                <w:color w:val="000000"/>
              </w:rPr>
              <w:t>90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E072BC4" w14:textId="77777777">
            <w:pPr>
              <w:overflowPunct/>
              <w:autoSpaceDE/>
              <w:autoSpaceDN/>
              <w:adjustRightInd/>
              <w:jc w:val="center"/>
              <w:textAlignment w:val="auto"/>
              <w:rPr>
                <w:color w:val="000000"/>
              </w:rPr>
            </w:pPr>
            <w:r w:rsidRPr="00D12B46">
              <w:rPr>
                <w:color w:val="000000"/>
              </w:rPr>
              <w:t xml:space="preserve">$43 </w:t>
            </w:r>
          </w:p>
        </w:tc>
        <w:tc>
          <w:tcPr>
            <w:tcW w:w="126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426D7AB" w14:textId="77777777">
            <w:pPr>
              <w:overflowPunct/>
              <w:autoSpaceDE/>
              <w:autoSpaceDN/>
              <w:adjustRightInd/>
              <w:jc w:val="center"/>
              <w:textAlignment w:val="auto"/>
              <w:rPr>
                <w:color w:val="000000"/>
              </w:rPr>
            </w:pPr>
            <w:r w:rsidRPr="00D12B46">
              <w:rPr>
                <w:color w:val="000000"/>
              </w:rPr>
              <w:t xml:space="preserve">$3,870 </w:t>
            </w:r>
          </w:p>
        </w:tc>
      </w:tr>
      <w:tr w14:paraId="1F2B9B52" w14:textId="77777777" w:rsidTr="007E6DDF">
        <w:tblPrEx>
          <w:tblW w:w="10260" w:type="dxa"/>
          <w:tblInd w:w="558" w:type="dxa"/>
          <w:tblLook w:val="04A0"/>
        </w:tblPrEx>
        <w:trPr>
          <w:trHeight w:val="380"/>
        </w:trPr>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D12B46" w:rsidRPr="00D12B46" w:rsidP="00D12B46" w14:paraId="55A93B0E" w14:textId="77777777">
            <w:pPr>
              <w:overflowPunct/>
              <w:autoSpaceDE/>
              <w:autoSpaceDN/>
              <w:adjustRightInd/>
              <w:textAlignment w:val="auto"/>
              <w:rPr>
                <w:b/>
                <w:bCs/>
                <w:color w:val="000000"/>
              </w:rPr>
            </w:pPr>
            <w:r w:rsidRPr="00D12B46">
              <w:rPr>
                <w:b/>
                <w:bCs/>
                <w:color w:val="000000"/>
              </w:rPr>
              <w:t>Comprehensive Application</w:t>
            </w:r>
          </w:p>
        </w:tc>
        <w:tc>
          <w:tcPr>
            <w:tcW w:w="1350" w:type="dxa"/>
            <w:tcBorders>
              <w:top w:val="nil"/>
              <w:left w:val="nil"/>
              <w:bottom w:val="single" w:sz="8" w:space="0" w:color="000000"/>
              <w:right w:val="single" w:sz="8" w:space="0" w:color="000000"/>
            </w:tcBorders>
            <w:shd w:val="clear" w:color="auto" w:fill="auto"/>
            <w:vAlign w:val="center"/>
            <w:hideMark/>
          </w:tcPr>
          <w:p w:rsidR="00D12B46" w:rsidRPr="00D12B46" w:rsidP="00D12B46" w14:paraId="584B7ACD" w14:textId="77777777">
            <w:pPr>
              <w:overflowPunct/>
              <w:autoSpaceDE/>
              <w:autoSpaceDN/>
              <w:adjustRightInd/>
              <w:jc w:val="center"/>
              <w:textAlignment w:val="auto"/>
              <w:rPr>
                <w:color w:val="000000"/>
              </w:rPr>
            </w:pPr>
            <w:r w:rsidRPr="00D12B46">
              <w:rPr>
                <w:color w:val="000000"/>
              </w:rPr>
              <w:t>500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62B2E7D5" w14:textId="77777777">
            <w:pPr>
              <w:overflowPunct/>
              <w:autoSpaceDE/>
              <w:autoSpaceDN/>
              <w:adjustRightInd/>
              <w:jc w:val="center"/>
              <w:textAlignment w:val="auto"/>
              <w:rPr>
                <w:color w:val="000000"/>
              </w:rPr>
            </w:pPr>
            <w:r w:rsidRPr="00D12B46">
              <w:rPr>
                <w:color w:val="000000"/>
              </w:rPr>
              <w:t>1</w:t>
            </w:r>
          </w:p>
        </w:tc>
        <w:tc>
          <w:tcPr>
            <w:tcW w:w="1170" w:type="dxa"/>
            <w:tcBorders>
              <w:top w:val="nil"/>
              <w:left w:val="nil"/>
              <w:bottom w:val="single" w:sz="8" w:space="0" w:color="000000"/>
              <w:right w:val="single" w:sz="8" w:space="0" w:color="000000"/>
            </w:tcBorders>
            <w:shd w:val="clear" w:color="auto" w:fill="auto"/>
            <w:vAlign w:val="center"/>
            <w:hideMark/>
          </w:tcPr>
          <w:p w:rsidR="00D12B46" w:rsidRPr="00D12B46" w:rsidP="00D12B46" w14:paraId="0474BCA9" w14:textId="77777777">
            <w:pPr>
              <w:overflowPunct/>
              <w:autoSpaceDE/>
              <w:autoSpaceDN/>
              <w:adjustRightInd/>
              <w:jc w:val="center"/>
              <w:textAlignment w:val="auto"/>
              <w:rPr>
                <w:color w:val="000000"/>
              </w:rPr>
            </w:pPr>
            <w:r w:rsidRPr="00D12B46">
              <w:rPr>
                <w:color w:val="000000"/>
              </w:rPr>
              <w:t>500</w:t>
            </w:r>
          </w:p>
        </w:tc>
        <w:tc>
          <w:tcPr>
            <w:tcW w:w="1119" w:type="dxa"/>
            <w:tcBorders>
              <w:top w:val="nil"/>
              <w:left w:val="nil"/>
              <w:bottom w:val="single" w:sz="8" w:space="0" w:color="000000"/>
              <w:right w:val="single" w:sz="8" w:space="0" w:color="000000"/>
            </w:tcBorders>
            <w:shd w:val="clear" w:color="auto" w:fill="auto"/>
            <w:vAlign w:val="center"/>
            <w:hideMark/>
          </w:tcPr>
          <w:p w:rsidR="00D12B46" w:rsidRPr="00D12B46" w:rsidP="00D12B46" w14:paraId="0D76508D" w14:textId="77777777">
            <w:pPr>
              <w:overflowPunct/>
              <w:autoSpaceDE/>
              <w:autoSpaceDN/>
              <w:adjustRightInd/>
              <w:jc w:val="center"/>
              <w:textAlignment w:val="auto"/>
              <w:rPr>
                <w:color w:val="000000"/>
              </w:rPr>
            </w:pPr>
            <w:r w:rsidRPr="00D12B46">
              <w:rPr>
                <w:color w:val="000000"/>
              </w:rPr>
              <w:t>3</w:t>
            </w:r>
          </w:p>
        </w:tc>
        <w:tc>
          <w:tcPr>
            <w:tcW w:w="1131" w:type="dxa"/>
            <w:tcBorders>
              <w:top w:val="nil"/>
              <w:left w:val="nil"/>
              <w:bottom w:val="single" w:sz="8" w:space="0" w:color="000000"/>
              <w:right w:val="single" w:sz="8" w:space="0" w:color="000000"/>
            </w:tcBorders>
            <w:shd w:val="clear" w:color="auto" w:fill="auto"/>
            <w:vAlign w:val="center"/>
            <w:hideMark/>
          </w:tcPr>
          <w:p w:rsidR="00D12B46" w:rsidRPr="00D12B46" w:rsidP="00D12B46" w14:paraId="0EFCEAB2" w14:textId="77777777">
            <w:pPr>
              <w:overflowPunct/>
              <w:autoSpaceDE/>
              <w:autoSpaceDN/>
              <w:adjustRightInd/>
              <w:jc w:val="center"/>
              <w:textAlignment w:val="auto"/>
              <w:rPr>
                <w:color w:val="000000"/>
              </w:rPr>
            </w:pPr>
            <w:r w:rsidRPr="00D12B46">
              <w:rPr>
                <w:color w:val="000000"/>
              </w:rPr>
              <w:t>1,500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17C46E5B" w14:textId="77777777">
            <w:pPr>
              <w:overflowPunct/>
              <w:autoSpaceDE/>
              <w:autoSpaceDN/>
              <w:adjustRightInd/>
              <w:jc w:val="center"/>
              <w:textAlignment w:val="auto"/>
              <w:rPr>
                <w:color w:val="000000"/>
              </w:rPr>
            </w:pPr>
            <w:r w:rsidRPr="00D12B46">
              <w:rPr>
                <w:color w:val="000000"/>
              </w:rPr>
              <w:t xml:space="preserve">$43 </w:t>
            </w:r>
          </w:p>
        </w:tc>
        <w:tc>
          <w:tcPr>
            <w:tcW w:w="1260" w:type="dxa"/>
            <w:tcBorders>
              <w:top w:val="nil"/>
              <w:left w:val="nil"/>
              <w:bottom w:val="single" w:sz="8" w:space="0" w:color="000000"/>
              <w:right w:val="single" w:sz="8" w:space="0" w:color="000000"/>
            </w:tcBorders>
            <w:shd w:val="clear" w:color="auto" w:fill="auto"/>
            <w:vAlign w:val="center"/>
            <w:hideMark/>
          </w:tcPr>
          <w:p w:rsidR="00D12B46" w:rsidRPr="00D12B46" w:rsidP="00D12B46" w14:paraId="65CA5BAB" w14:textId="77777777">
            <w:pPr>
              <w:overflowPunct/>
              <w:autoSpaceDE/>
              <w:autoSpaceDN/>
              <w:adjustRightInd/>
              <w:jc w:val="center"/>
              <w:textAlignment w:val="auto"/>
              <w:rPr>
                <w:color w:val="000000"/>
              </w:rPr>
            </w:pPr>
            <w:r w:rsidRPr="00D12B46">
              <w:rPr>
                <w:color w:val="000000"/>
              </w:rPr>
              <w:t xml:space="preserve">$64,500 </w:t>
            </w:r>
          </w:p>
        </w:tc>
      </w:tr>
      <w:tr w14:paraId="3A8AF7EB" w14:textId="77777777" w:rsidTr="007E6DDF">
        <w:tblPrEx>
          <w:tblW w:w="10260" w:type="dxa"/>
          <w:tblInd w:w="558" w:type="dxa"/>
          <w:tblLook w:val="04A0"/>
        </w:tblPrEx>
        <w:trPr>
          <w:trHeight w:val="300"/>
        </w:trPr>
        <w:tc>
          <w:tcPr>
            <w:tcW w:w="2070" w:type="dxa"/>
            <w:tcBorders>
              <w:top w:val="nil"/>
              <w:left w:val="single" w:sz="8" w:space="0" w:color="000000"/>
              <w:bottom w:val="single" w:sz="8" w:space="0" w:color="000000"/>
              <w:right w:val="single" w:sz="8" w:space="0" w:color="000000"/>
            </w:tcBorders>
            <w:shd w:val="clear" w:color="auto" w:fill="auto"/>
            <w:vAlign w:val="center"/>
            <w:hideMark/>
          </w:tcPr>
          <w:p w:rsidR="00D12B46" w:rsidRPr="00D12B46" w:rsidP="00D12B46" w14:paraId="66F2575A" w14:textId="77777777">
            <w:pPr>
              <w:overflowPunct/>
              <w:autoSpaceDE/>
              <w:autoSpaceDN/>
              <w:adjustRightInd/>
              <w:textAlignment w:val="auto"/>
              <w:rPr>
                <w:color w:val="000000"/>
              </w:rPr>
            </w:pPr>
            <w:r w:rsidRPr="00D12B46">
              <w:rPr>
                <w:color w:val="000000"/>
              </w:rPr>
              <w:t>Total</w:t>
            </w:r>
          </w:p>
        </w:tc>
        <w:tc>
          <w:tcPr>
            <w:tcW w:w="1350" w:type="dxa"/>
            <w:tcBorders>
              <w:top w:val="nil"/>
              <w:left w:val="nil"/>
              <w:bottom w:val="single" w:sz="8" w:space="0" w:color="000000"/>
              <w:right w:val="single" w:sz="8" w:space="0" w:color="000000"/>
            </w:tcBorders>
            <w:shd w:val="clear" w:color="auto" w:fill="auto"/>
            <w:vAlign w:val="center"/>
            <w:hideMark/>
          </w:tcPr>
          <w:p w:rsidR="00D12B46" w:rsidRPr="00D12B46" w:rsidP="00D12B46" w14:paraId="7A0E0B3B" w14:textId="57771771">
            <w:pPr>
              <w:overflowPunct/>
              <w:autoSpaceDE/>
              <w:autoSpaceDN/>
              <w:adjustRightInd/>
              <w:jc w:val="center"/>
              <w:textAlignment w:val="auto"/>
              <w:rPr>
                <w:b/>
                <w:bCs/>
                <w:color w:val="000000"/>
              </w:rPr>
            </w:pPr>
            <w:r>
              <w:rPr>
                <w:b/>
                <w:bCs/>
                <w:noProof/>
                <w:color w:val="000000"/>
              </w:rPr>
              <w:t>680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07D1DA16" w14:textId="77777777">
            <w:pPr>
              <w:overflowPunct/>
              <w:autoSpaceDE/>
              <w:autoSpaceDN/>
              <w:adjustRightInd/>
              <w:jc w:val="center"/>
              <w:textAlignment w:val="auto"/>
              <w:rPr>
                <w:color w:val="000000"/>
              </w:rPr>
            </w:pPr>
            <w:r w:rsidRPr="00D12B46">
              <w:rPr>
                <w:color w:val="000000"/>
              </w:rPr>
              <w:t> </w:t>
            </w:r>
          </w:p>
        </w:tc>
        <w:tc>
          <w:tcPr>
            <w:tcW w:w="1170" w:type="dxa"/>
            <w:tcBorders>
              <w:top w:val="nil"/>
              <w:left w:val="nil"/>
              <w:bottom w:val="single" w:sz="8" w:space="0" w:color="000000"/>
              <w:right w:val="single" w:sz="8" w:space="0" w:color="000000"/>
            </w:tcBorders>
            <w:shd w:val="clear" w:color="auto" w:fill="auto"/>
            <w:vAlign w:val="center"/>
            <w:hideMark/>
          </w:tcPr>
          <w:p w:rsidR="00D12B46" w:rsidRPr="00D12B46" w:rsidP="00D12B46" w14:paraId="18A83704" w14:textId="24C345A8">
            <w:pPr>
              <w:overflowPunct/>
              <w:autoSpaceDE/>
              <w:autoSpaceDN/>
              <w:adjustRightInd/>
              <w:jc w:val="center"/>
              <w:textAlignment w:val="auto"/>
              <w:rPr>
                <w:b/>
                <w:bCs/>
                <w:color w:val="000000"/>
              </w:rPr>
            </w:pPr>
            <w:r>
              <w:rPr>
                <w:b/>
                <w:bCs/>
                <w:noProof/>
                <w:color w:val="000000"/>
              </w:rPr>
              <w:t>680</w:t>
            </w:r>
          </w:p>
        </w:tc>
        <w:tc>
          <w:tcPr>
            <w:tcW w:w="1119" w:type="dxa"/>
            <w:tcBorders>
              <w:top w:val="nil"/>
              <w:left w:val="nil"/>
              <w:bottom w:val="single" w:sz="8" w:space="0" w:color="000000"/>
              <w:right w:val="single" w:sz="8" w:space="0" w:color="000000"/>
            </w:tcBorders>
            <w:shd w:val="clear" w:color="auto" w:fill="auto"/>
            <w:vAlign w:val="center"/>
            <w:hideMark/>
          </w:tcPr>
          <w:p w:rsidR="00D12B46" w:rsidRPr="00D12B46" w:rsidP="00D12B46" w14:paraId="085350B3" w14:textId="77777777">
            <w:pPr>
              <w:overflowPunct/>
              <w:autoSpaceDE/>
              <w:autoSpaceDN/>
              <w:adjustRightInd/>
              <w:jc w:val="center"/>
              <w:textAlignment w:val="auto"/>
              <w:rPr>
                <w:color w:val="000000"/>
              </w:rPr>
            </w:pPr>
            <w:r w:rsidRPr="00D12B46">
              <w:rPr>
                <w:color w:val="000000"/>
              </w:rPr>
              <w:t> </w:t>
            </w:r>
          </w:p>
        </w:tc>
        <w:tc>
          <w:tcPr>
            <w:tcW w:w="1131" w:type="dxa"/>
            <w:tcBorders>
              <w:top w:val="nil"/>
              <w:left w:val="nil"/>
              <w:bottom w:val="single" w:sz="8" w:space="0" w:color="000000"/>
              <w:right w:val="single" w:sz="8" w:space="0" w:color="000000"/>
            </w:tcBorders>
            <w:shd w:val="clear" w:color="auto" w:fill="auto"/>
            <w:vAlign w:val="center"/>
            <w:hideMark/>
          </w:tcPr>
          <w:p w:rsidR="00D12B46" w:rsidRPr="00D12B46" w:rsidP="00D12B46" w14:paraId="7F4B9800" w14:textId="77777777">
            <w:pPr>
              <w:overflowPunct/>
              <w:autoSpaceDE/>
              <w:autoSpaceDN/>
              <w:adjustRightInd/>
              <w:jc w:val="center"/>
              <w:textAlignment w:val="auto"/>
              <w:rPr>
                <w:b/>
                <w:bCs/>
                <w:color w:val="000000"/>
              </w:rPr>
            </w:pPr>
            <w:r w:rsidRPr="00D12B46">
              <w:rPr>
                <w:b/>
                <w:bCs/>
                <w:noProof/>
                <w:color w:val="000000"/>
              </w:rPr>
              <w:t>2,040</w:t>
            </w:r>
          </w:p>
        </w:tc>
        <w:tc>
          <w:tcPr>
            <w:tcW w:w="1080" w:type="dxa"/>
            <w:tcBorders>
              <w:top w:val="nil"/>
              <w:left w:val="nil"/>
              <w:bottom w:val="single" w:sz="8" w:space="0" w:color="000000"/>
              <w:right w:val="single" w:sz="8" w:space="0" w:color="000000"/>
            </w:tcBorders>
            <w:shd w:val="clear" w:color="auto" w:fill="auto"/>
            <w:vAlign w:val="center"/>
            <w:hideMark/>
          </w:tcPr>
          <w:p w:rsidR="00D12B46" w:rsidRPr="00D12B46" w:rsidP="00D12B46" w14:paraId="121321F4" w14:textId="77777777">
            <w:pPr>
              <w:overflowPunct/>
              <w:autoSpaceDE/>
              <w:autoSpaceDN/>
              <w:adjustRightInd/>
              <w:jc w:val="center"/>
              <w:textAlignment w:val="auto"/>
              <w:rPr>
                <w:b/>
                <w:bCs/>
                <w:color w:val="000000"/>
              </w:rPr>
            </w:pPr>
            <w:r w:rsidRPr="00D12B46">
              <w:rPr>
                <w:b/>
                <w:bCs/>
                <w:color w:val="000000"/>
              </w:rPr>
              <w:t> </w:t>
            </w:r>
          </w:p>
        </w:tc>
        <w:tc>
          <w:tcPr>
            <w:tcW w:w="1260" w:type="dxa"/>
            <w:tcBorders>
              <w:top w:val="nil"/>
              <w:left w:val="nil"/>
              <w:bottom w:val="single" w:sz="8" w:space="0" w:color="000000"/>
              <w:right w:val="single" w:sz="8" w:space="0" w:color="000000"/>
            </w:tcBorders>
            <w:shd w:val="clear" w:color="auto" w:fill="auto"/>
            <w:vAlign w:val="center"/>
            <w:hideMark/>
          </w:tcPr>
          <w:p w:rsidR="00D12B46" w:rsidRPr="00D12B46" w:rsidP="00D12B46" w14:paraId="030A3B20" w14:textId="77777777">
            <w:pPr>
              <w:overflowPunct/>
              <w:autoSpaceDE/>
              <w:autoSpaceDN/>
              <w:adjustRightInd/>
              <w:jc w:val="center"/>
              <w:textAlignment w:val="auto"/>
              <w:rPr>
                <w:b/>
                <w:bCs/>
                <w:color w:val="000000"/>
              </w:rPr>
            </w:pPr>
            <w:r w:rsidRPr="00D12B46">
              <w:rPr>
                <w:b/>
                <w:bCs/>
                <w:color w:val="000000"/>
              </w:rPr>
              <w:t xml:space="preserve">$87,720 </w:t>
            </w:r>
          </w:p>
        </w:tc>
      </w:tr>
    </w:tbl>
    <w:p w:rsidR="00D12B46" w:rsidP="00D12B46" w14:paraId="11298A70" w14:textId="77777777">
      <w:pPr>
        <w:ind w:left="360"/>
        <w:rPr>
          <w:b/>
          <w:sz w:val="24"/>
          <w:szCs w:val="24"/>
        </w:rPr>
      </w:pPr>
    </w:p>
    <w:p w:rsidR="00B03063" w14:paraId="6A6C8890"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 xml:space="preserve">Explain the reasons for any program changes or adjustments reported in Items 13 or 14 of the OMB Form 83-I. </w:t>
      </w:r>
    </w:p>
    <w:p w:rsidR="00B03063" w14:paraId="60BFF432" w14:textId="77777777">
      <w:pPr>
        <w:rPr>
          <w:sz w:val="24"/>
          <w:szCs w:val="24"/>
        </w:rPr>
      </w:pPr>
    </w:p>
    <w:p w:rsidR="00B03063" w14:paraId="3F0813FB" w14:textId="77777777">
      <w:pPr>
        <w:rPr>
          <w:sz w:val="24"/>
          <w:szCs w:val="24"/>
        </w:rPr>
      </w:pPr>
      <w:r>
        <w:rPr>
          <w:sz w:val="24"/>
          <w:szCs w:val="24"/>
        </w:rPr>
        <w:tab/>
      </w:r>
      <w:r w:rsidRPr="006A2B11">
        <w:rPr>
          <w:sz w:val="24"/>
          <w:szCs w:val="24"/>
        </w:rPr>
        <w:t>Not applicable</w:t>
      </w:r>
      <w:r>
        <w:rPr>
          <w:sz w:val="24"/>
          <w:szCs w:val="24"/>
        </w:rPr>
        <w:t>.</w:t>
      </w:r>
    </w:p>
    <w:p w:rsidR="00B03063" w14:paraId="33F35AA7" w14:textId="77777777">
      <w:pPr>
        <w:pStyle w:val="BodyTextIndent2"/>
        <w:tabs>
          <w:tab w:val="left" w:pos="360"/>
        </w:tabs>
        <w:spacing w:line="240" w:lineRule="auto"/>
        <w:ind w:left="0"/>
        <w:rPr>
          <w:rFonts w:eastAsiaTheme="minorHAnsi"/>
          <w:szCs w:val="24"/>
        </w:rPr>
      </w:pPr>
    </w:p>
    <w:p w:rsidR="00B03063" w14:paraId="19E983AD"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03063" w14:paraId="2E6D3082" w14:textId="77777777">
      <w:pPr>
        <w:pStyle w:val="BodyTextIndent2"/>
        <w:tabs>
          <w:tab w:val="left" w:pos="360"/>
        </w:tabs>
        <w:spacing w:line="240" w:lineRule="auto"/>
        <w:ind w:left="0"/>
        <w:rPr>
          <w:szCs w:val="24"/>
        </w:rPr>
      </w:pPr>
      <w:r w:rsidRPr="006A2B11">
        <w:rPr>
          <w:szCs w:val="24"/>
        </w:rPr>
        <w:tab/>
      </w:r>
    </w:p>
    <w:p w:rsidR="00B03063" w14:paraId="2DEAA898" w14:textId="77777777">
      <w:pPr>
        <w:pStyle w:val="BodyTextIndent2"/>
        <w:tabs>
          <w:tab w:val="left" w:pos="360"/>
        </w:tabs>
        <w:spacing w:line="240" w:lineRule="auto"/>
        <w:ind w:left="0"/>
        <w:rPr>
          <w:sz w:val="24"/>
          <w:szCs w:val="24"/>
        </w:rPr>
      </w:pPr>
      <w:r>
        <w:rPr>
          <w:szCs w:val="24"/>
        </w:rPr>
        <w:tab/>
      </w:r>
      <w:r>
        <w:rPr>
          <w:szCs w:val="24"/>
        </w:rPr>
        <w:tab/>
      </w:r>
      <w:r w:rsidRPr="00355E1D">
        <w:rPr>
          <w:sz w:val="24"/>
          <w:szCs w:val="24"/>
        </w:rPr>
        <w:t xml:space="preserve">Information collection results will not be published. </w:t>
      </w:r>
    </w:p>
    <w:p w:rsidR="00B03063" w14:paraId="1E529FFE" w14:textId="77777777">
      <w:pPr>
        <w:rPr>
          <w:b/>
          <w:sz w:val="24"/>
          <w:szCs w:val="24"/>
        </w:rPr>
      </w:pPr>
    </w:p>
    <w:p w:rsidR="00B03063" w14:paraId="62D0A5C5" w14:textId="77777777">
      <w:pPr>
        <w:pStyle w:val="ListParagraph"/>
        <w:numPr>
          <w:ilvl w:val="0"/>
          <w:numId w:val="12"/>
        </w:numPr>
        <w:autoSpaceDE w:val="0"/>
        <w:autoSpaceDN w:val="0"/>
        <w:adjustRightInd w:val="0"/>
        <w:spacing w:after="0" w:line="240" w:lineRule="auto"/>
        <w:rPr>
          <w:rFonts w:ascii="Times New Roman" w:hAnsi="Times New Roman" w:cs="Times New Roman"/>
          <w:b/>
          <w:sz w:val="24"/>
          <w:szCs w:val="24"/>
        </w:rPr>
      </w:pPr>
      <w:r w:rsidRPr="00C94FA4">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B03063" w14:paraId="79744FE1" w14:textId="77777777">
      <w:pPr>
        <w:pStyle w:val="BodyTextIndent2"/>
        <w:tabs>
          <w:tab w:val="left" w:pos="360"/>
        </w:tabs>
        <w:spacing w:line="240" w:lineRule="auto"/>
        <w:ind w:left="0"/>
        <w:rPr>
          <w:szCs w:val="24"/>
        </w:rPr>
      </w:pPr>
    </w:p>
    <w:p w:rsidR="00B03063" w14:paraId="7E29585B" w14:textId="77777777">
      <w:pPr>
        <w:pStyle w:val="BodyTextIndent2"/>
        <w:tabs>
          <w:tab w:val="left" w:pos="360"/>
        </w:tabs>
        <w:spacing w:line="240" w:lineRule="auto"/>
        <w:ind w:left="0"/>
        <w:rPr>
          <w:sz w:val="24"/>
          <w:szCs w:val="24"/>
        </w:rPr>
      </w:pPr>
      <w:r>
        <w:rPr>
          <w:szCs w:val="24"/>
        </w:rPr>
        <w:tab/>
      </w:r>
      <w:r>
        <w:rPr>
          <w:szCs w:val="24"/>
        </w:rPr>
        <w:tab/>
      </w:r>
      <w:r w:rsidRPr="00355E1D">
        <w:rPr>
          <w:sz w:val="24"/>
          <w:szCs w:val="24"/>
        </w:rPr>
        <w:t>The OMB approval number and date will appear on the HUD-prescribed forms.</w:t>
      </w:r>
    </w:p>
    <w:p w:rsidR="00B03063" w14:paraId="132F9160" w14:textId="77777777">
      <w:pPr>
        <w:pStyle w:val="BodyTextIndent2"/>
        <w:tabs>
          <w:tab w:val="left" w:pos="360"/>
        </w:tabs>
        <w:spacing w:line="240" w:lineRule="auto"/>
        <w:ind w:left="0"/>
        <w:rPr>
          <w:szCs w:val="24"/>
        </w:rPr>
      </w:pPr>
    </w:p>
    <w:p w:rsidR="00B03063" w14:paraId="22E8BC29" w14:textId="77777777">
      <w:pPr>
        <w:pStyle w:val="BodyTextIndent2"/>
        <w:widowControl w:val="0"/>
        <w:numPr>
          <w:ilvl w:val="0"/>
          <w:numId w:val="12"/>
        </w:numPr>
        <w:tabs>
          <w:tab w:val="left" w:pos="-720"/>
          <w:tab w:val="left" w:pos="360"/>
        </w:tabs>
        <w:suppressAutoHyphens/>
        <w:spacing w:line="240" w:lineRule="auto"/>
        <w:rPr>
          <w:sz w:val="24"/>
          <w:szCs w:val="24"/>
        </w:rPr>
      </w:pPr>
      <w:r w:rsidRPr="00355E1D">
        <w:rPr>
          <w:b/>
          <w:sz w:val="24"/>
          <w:szCs w:val="24"/>
        </w:rPr>
        <w:t xml:space="preserve"> Explain each exception to the certification statement identified in Item 19, "Certification for Paperwork Reduction Act Submissions," of OMB Form 83-I.</w:t>
      </w:r>
    </w:p>
    <w:p w:rsidR="00B03063" w:rsidP="00F51AE8" w14:paraId="3E8DAB09" w14:textId="3DE892AF">
      <w:pPr>
        <w:pStyle w:val="BodyTextIndent2"/>
        <w:tabs>
          <w:tab w:val="left" w:pos="360"/>
        </w:tabs>
        <w:spacing w:line="240" w:lineRule="auto"/>
        <w:ind w:left="0"/>
        <w:rPr>
          <w:bCs/>
          <w:sz w:val="24"/>
          <w:szCs w:val="24"/>
        </w:rPr>
      </w:pPr>
      <w:r w:rsidRPr="00355E1D">
        <w:rPr>
          <w:sz w:val="24"/>
          <w:szCs w:val="24"/>
        </w:rPr>
        <w:tab/>
      </w:r>
      <w:r w:rsidRPr="00355E1D">
        <w:rPr>
          <w:bCs/>
          <w:sz w:val="24"/>
          <w:szCs w:val="24"/>
        </w:rPr>
        <w:tab/>
        <w:t>There are no exceptions to the certification statement.</w:t>
      </w:r>
    </w:p>
    <w:p w:rsidR="00B03063" w14:paraId="5BE748E4" w14:textId="77777777">
      <w:pPr>
        <w:pStyle w:val="BodyTextIndent2"/>
        <w:tabs>
          <w:tab w:val="left" w:pos="360"/>
        </w:tabs>
        <w:spacing w:line="240" w:lineRule="auto"/>
        <w:ind w:left="0"/>
        <w:rPr>
          <w:rFonts w:eastAsiaTheme="minorHAnsi"/>
          <w:sz w:val="24"/>
          <w:szCs w:val="24"/>
        </w:rPr>
      </w:pPr>
      <w:r w:rsidRPr="00355E1D">
        <w:rPr>
          <w:rFonts w:eastAsiaTheme="minorHAnsi"/>
          <w:sz w:val="24"/>
          <w:szCs w:val="24"/>
        </w:rPr>
        <w:tab/>
      </w:r>
    </w:p>
    <w:p w:rsidR="00B03063" w14:paraId="52E43DC0" w14:textId="77777777">
      <w:pPr>
        <w:pStyle w:val="BodyTextIndent2"/>
        <w:tabs>
          <w:tab w:val="left" w:pos="360"/>
        </w:tabs>
        <w:spacing w:line="240" w:lineRule="auto"/>
        <w:ind w:left="0"/>
        <w:rPr>
          <w:sz w:val="24"/>
          <w:szCs w:val="24"/>
        </w:rPr>
      </w:pPr>
      <w:r w:rsidRPr="00355E1D">
        <w:rPr>
          <w:b/>
          <w:sz w:val="24"/>
          <w:szCs w:val="24"/>
        </w:rPr>
        <w:tab/>
        <w:t xml:space="preserve">B. </w:t>
      </w:r>
      <w:r w:rsidRPr="00355E1D">
        <w:rPr>
          <w:b/>
          <w:sz w:val="24"/>
          <w:szCs w:val="24"/>
        </w:rPr>
        <w:tab/>
        <w:t>Collections of Information Employing Statistical Methods</w:t>
      </w:r>
    </w:p>
    <w:p w:rsidR="00B03063" w14:paraId="1921D04F" w14:textId="77777777">
      <w:pPr>
        <w:pStyle w:val="BodyTextIndent2"/>
        <w:tabs>
          <w:tab w:val="left" w:pos="360"/>
        </w:tabs>
        <w:spacing w:line="240" w:lineRule="auto"/>
        <w:ind w:left="0"/>
        <w:rPr>
          <w:sz w:val="24"/>
          <w:szCs w:val="24"/>
        </w:rPr>
      </w:pPr>
      <w:r w:rsidRPr="00355E1D">
        <w:rPr>
          <w:sz w:val="24"/>
          <w:szCs w:val="24"/>
        </w:rPr>
        <w:tab/>
      </w:r>
      <w:r w:rsidRPr="00355E1D">
        <w:rPr>
          <w:sz w:val="24"/>
          <w:szCs w:val="24"/>
        </w:rPr>
        <w:tab/>
        <w:t>There are no collections of information that employ statistical methods.</w:t>
      </w:r>
    </w:p>
    <w:p w:rsidR="00C53525" w:rsidRPr="00355E1D" w:rsidP="008105F1" w14:paraId="41412D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szCs w:val="24"/>
        </w:rPr>
      </w:pPr>
    </w:p>
    <w:sectPr w:rsidSect="005D38A5">
      <w:headerReference w:type="default" r:id="rId8"/>
      <w:footerReference w:type="default" r:id="rId9"/>
      <w:pgSz w:w="12240" w:h="15840" w:code="1"/>
      <w:pgMar w:top="475" w:right="720" w:bottom="720" w:left="605" w:header="475" w:footer="360" w:gutter="0"/>
      <w:cols w:space="480" w:equalWidth="0">
        <w:col w:w="107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7E49" w:rsidRPr="005D38A5" w:rsidP="00A951A0" w14:paraId="3804F997" w14:textId="01EC77F9">
    <w:pPr>
      <w:pStyle w:val="Footer"/>
      <w:tabs>
        <w:tab w:val="clear" w:pos="4320"/>
        <w:tab w:val="clear" w:pos="8640"/>
        <w:tab w:val="right" w:pos="10920"/>
      </w:tabs>
      <w:ind w:left="-115" w:right="-115"/>
      <w:rPr>
        <w:bCs/>
        <w:sz w:val="22"/>
        <w:szCs w:val="22"/>
      </w:rPr>
    </w:pPr>
    <w:r w:rsidRPr="00A951A0">
      <w:rPr>
        <w:bCs/>
        <w:sz w:val="18"/>
      </w:rPr>
      <w:t>Supporting Statement: The Green and Resilient Retrofit Program</w:t>
    </w:r>
    <w:r w:rsidR="005D38A5">
      <w:rPr>
        <w:bCs/>
        <w:sz w:val="18"/>
      </w:rPr>
      <w:t xml:space="preserve"> (GRRP</w:t>
    </w:r>
    <w:r w:rsidR="007D01DC">
      <w:rPr>
        <w:bCs/>
        <w:sz w:val="18"/>
      </w:rPr>
      <w:t>)</w:t>
    </w:r>
    <w:r w:rsidRPr="00A951A0">
      <w:rPr>
        <w:bCs/>
        <w:sz w:val="18"/>
      </w:rPr>
      <w:tab/>
    </w:r>
    <w:r w:rsidRPr="005D38A5">
      <w:rPr>
        <w:bCs/>
        <w:sz w:val="22"/>
        <w:szCs w:val="22"/>
      </w:rPr>
      <w:t xml:space="preserve">Page </w:t>
    </w:r>
    <w:r w:rsidRPr="005D38A5">
      <w:rPr>
        <w:bCs/>
        <w:sz w:val="22"/>
        <w:szCs w:val="22"/>
      </w:rPr>
      <w:fldChar w:fldCharType="begin"/>
    </w:r>
    <w:r w:rsidRPr="005D38A5">
      <w:rPr>
        <w:bCs/>
        <w:sz w:val="22"/>
        <w:szCs w:val="22"/>
      </w:rPr>
      <w:instrText xml:space="preserve"> PAGE  \* Arabic  \* MERGEFORMAT </w:instrText>
    </w:r>
    <w:r w:rsidRPr="005D38A5">
      <w:rPr>
        <w:bCs/>
        <w:sz w:val="22"/>
        <w:szCs w:val="22"/>
      </w:rPr>
      <w:fldChar w:fldCharType="separate"/>
    </w:r>
    <w:r w:rsidRPr="005D38A5">
      <w:rPr>
        <w:bCs/>
        <w:noProof/>
        <w:sz w:val="22"/>
        <w:szCs w:val="22"/>
      </w:rPr>
      <w:t>1</w:t>
    </w:r>
    <w:r w:rsidRPr="005D38A5">
      <w:rPr>
        <w:bCs/>
        <w:sz w:val="22"/>
        <w:szCs w:val="22"/>
      </w:rPr>
      <w:fldChar w:fldCharType="end"/>
    </w:r>
    <w:r w:rsidRPr="005D38A5">
      <w:rPr>
        <w:bCs/>
        <w:sz w:val="22"/>
        <w:szCs w:val="22"/>
      </w:rPr>
      <w:t xml:space="preserve"> of </w:t>
    </w:r>
    <w:r w:rsidRPr="005D38A5">
      <w:rPr>
        <w:bCs/>
        <w:sz w:val="22"/>
        <w:szCs w:val="22"/>
      </w:rPr>
      <w:fldChar w:fldCharType="begin"/>
    </w:r>
    <w:r w:rsidRPr="005D38A5">
      <w:rPr>
        <w:bCs/>
        <w:sz w:val="22"/>
        <w:szCs w:val="22"/>
      </w:rPr>
      <w:instrText xml:space="preserve"> NUMPAGES  \* Arabic  \* MERGEFORMAT </w:instrText>
    </w:r>
    <w:r w:rsidRPr="005D38A5">
      <w:rPr>
        <w:bCs/>
        <w:sz w:val="22"/>
        <w:szCs w:val="22"/>
      </w:rPr>
      <w:fldChar w:fldCharType="separate"/>
    </w:r>
    <w:r w:rsidRPr="005D38A5">
      <w:rPr>
        <w:bCs/>
        <w:noProof/>
        <w:sz w:val="22"/>
        <w:szCs w:val="22"/>
      </w:rPr>
      <w:t>2</w:t>
    </w:r>
    <w:r w:rsidRPr="005D38A5">
      <w:rPr>
        <w:bCs/>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8A5" w14:paraId="1C544F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568CB8A0"/>
    <w:lvl w:ilvl="0">
      <w:start w:val="0"/>
      <w:numFmt w:val="decimal"/>
      <w:lvlText w:val="*"/>
      <w:lvlJc w:val="left"/>
    </w:lvl>
  </w:abstractNum>
  <w:abstractNum w:abstractNumId="1">
    <w:nsid w:val="02E11C84"/>
    <w:multiLevelType w:val="hybridMultilevel"/>
    <w:tmpl w:val="CC64B8C4"/>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D3D1FB6"/>
    <w:multiLevelType w:val="hybridMultilevel"/>
    <w:tmpl w:val="7070E4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0EF56DE"/>
    <w:multiLevelType w:val="hybridMultilevel"/>
    <w:tmpl w:val="E9888C4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31173C"/>
    <w:multiLevelType w:val="hybridMultilevel"/>
    <w:tmpl w:val="8FDA3C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86D3549"/>
    <w:multiLevelType w:val="hybridMultilevel"/>
    <w:tmpl w:val="4998A0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20F874AB"/>
    <w:multiLevelType w:val="singleLevel"/>
    <w:tmpl w:val="13A63DBA"/>
    <w:lvl w:ilvl="0">
      <w:start w:val="18"/>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218D63FD"/>
    <w:multiLevelType w:val="hybridMultilevel"/>
    <w:tmpl w:val="E99C89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0">
    <w:nsid w:val="31926D09"/>
    <w:multiLevelType w:val="hybridMultilevel"/>
    <w:tmpl w:val="640EC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6C05C3"/>
    <w:multiLevelType w:val="hybridMultilevel"/>
    <w:tmpl w:val="EC5C19C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59D4701"/>
    <w:multiLevelType w:val="hybridMultilevel"/>
    <w:tmpl w:val="21FC1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7573A17"/>
    <w:multiLevelType w:val="hybridMultilevel"/>
    <w:tmpl w:val="B768AD7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5">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6">
    <w:nsid w:val="537749D7"/>
    <w:multiLevelType w:val="hybridMultilevel"/>
    <w:tmpl w:val="051425F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8">
    <w:nsid w:val="6383660E"/>
    <w:multiLevelType w:val="hybridMultilevel"/>
    <w:tmpl w:val="DB84ED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DA7EA3"/>
    <w:multiLevelType w:val="hybridMultilevel"/>
    <w:tmpl w:val="A6F230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55810AE"/>
    <w:multiLevelType w:val="hybridMultilevel"/>
    <w:tmpl w:val="35DC9F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66264D9"/>
    <w:multiLevelType w:val="hybridMultilevel"/>
    <w:tmpl w:val="6F96655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493983880">
    <w:abstractNumId w:val="12"/>
  </w:num>
  <w:num w:numId="2" w16cid:durableId="723992430">
    <w:abstractNumId w:val="14"/>
  </w:num>
  <w:num w:numId="3" w16cid:durableId="1312099120">
    <w:abstractNumId w:val="22"/>
  </w:num>
  <w:num w:numId="4" w16cid:durableId="1204098507">
    <w:abstractNumId w:val="6"/>
  </w:num>
  <w:num w:numId="5" w16cid:durableId="401757573">
    <w:abstractNumId w:val="9"/>
  </w:num>
  <w:num w:numId="6" w16cid:durableId="1522628370">
    <w:abstractNumId w:val="15"/>
  </w:num>
  <w:num w:numId="7" w16cid:durableId="1780640158">
    <w:abstractNumId w:val="1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8" w16cid:durableId="1963685160">
    <w:abstractNumId w:val="17"/>
  </w:num>
  <w:num w:numId="9" w16cid:durableId="1653631070">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0" w16cid:durableId="1923249887">
    <w:abstractNumId w:val="7"/>
  </w:num>
  <w:num w:numId="11" w16cid:durableId="1569850199">
    <w:abstractNumId w:val="18"/>
  </w:num>
  <w:num w:numId="12" w16cid:durableId="860750117">
    <w:abstractNumId w:val="3"/>
  </w:num>
  <w:num w:numId="13" w16cid:durableId="823618813">
    <w:abstractNumId w:val="20"/>
  </w:num>
  <w:num w:numId="14" w16cid:durableId="1720981544">
    <w:abstractNumId w:val="2"/>
  </w:num>
  <w:num w:numId="15" w16cid:durableId="317265769">
    <w:abstractNumId w:val="5"/>
  </w:num>
  <w:num w:numId="16" w16cid:durableId="135220338">
    <w:abstractNumId w:val="4"/>
  </w:num>
  <w:num w:numId="17" w16cid:durableId="1695306966">
    <w:abstractNumId w:val="13"/>
  </w:num>
  <w:num w:numId="18" w16cid:durableId="373314051">
    <w:abstractNumId w:val="13"/>
  </w:num>
  <w:num w:numId="19" w16cid:durableId="146173654">
    <w:abstractNumId w:val="19"/>
  </w:num>
  <w:num w:numId="20" w16cid:durableId="1721251072">
    <w:abstractNumId w:val="8"/>
  </w:num>
  <w:num w:numId="21" w16cid:durableId="732890541">
    <w:abstractNumId w:val="10"/>
  </w:num>
  <w:num w:numId="22" w16cid:durableId="1306157697">
    <w:abstractNumId w:val="16"/>
  </w:num>
  <w:num w:numId="23" w16cid:durableId="1334725733">
    <w:abstractNumId w:val="1"/>
  </w:num>
  <w:num w:numId="24" w16cid:durableId="497622922">
    <w:abstractNumId w:val="11"/>
  </w:num>
  <w:num w:numId="25" w16cid:durableId="9452302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73"/>
    <w:rsid w:val="00001DB8"/>
    <w:rsid w:val="00002F25"/>
    <w:rsid w:val="000032DC"/>
    <w:rsid w:val="00006173"/>
    <w:rsid w:val="00007881"/>
    <w:rsid w:val="00017471"/>
    <w:rsid w:val="00020DC4"/>
    <w:rsid w:val="00020F12"/>
    <w:rsid w:val="00021080"/>
    <w:rsid w:val="00021EE0"/>
    <w:rsid w:val="0002280B"/>
    <w:rsid w:val="0002470D"/>
    <w:rsid w:val="00035A2C"/>
    <w:rsid w:val="00035E89"/>
    <w:rsid w:val="00036B71"/>
    <w:rsid w:val="00036BC0"/>
    <w:rsid w:val="00040D58"/>
    <w:rsid w:val="00042650"/>
    <w:rsid w:val="00046F08"/>
    <w:rsid w:val="00050728"/>
    <w:rsid w:val="00057D38"/>
    <w:rsid w:val="00060BB8"/>
    <w:rsid w:val="000637C5"/>
    <w:rsid w:val="0006434C"/>
    <w:rsid w:val="000649C3"/>
    <w:rsid w:val="00065991"/>
    <w:rsid w:val="00071B5B"/>
    <w:rsid w:val="0007268D"/>
    <w:rsid w:val="000740FC"/>
    <w:rsid w:val="00080B58"/>
    <w:rsid w:val="00081A65"/>
    <w:rsid w:val="00096C30"/>
    <w:rsid w:val="000A007A"/>
    <w:rsid w:val="000A1587"/>
    <w:rsid w:val="000A1E4E"/>
    <w:rsid w:val="000A366D"/>
    <w:rsid w:val="000B2213"/>
    <w:rsid w:val="000B719B"/>
    <w:rsid w:val="000C11B4"/>
    <w:rsid w:val="000C2252"/>
    <w:rsid w:val="000C2671"/>
    <w:rsid w:val="000D0C92"/>
    <w:rsid w:val="000D2776"/>
    <w:rsid w:val="000D5C99"/>
    <w:rsid w:val="000D5F2A"/>
    <w:rsid w:val="000E3880"/>
    <w:rsid w:val="000E3B62"/>
    <w:rsid w:val="000E4C1A"/>
    <w:rsid w:val="000E72F1"/>
    <w:rsid w:val="000F3A1B"/>
    <w:rsid w:val="000F3F53"/>
    <w:rsid w:val="000F5F3B"/>
    <w:rsid w:val="000F61F9"/>
    <w:rsid w:val="000F7B48"/>
    <w:rsid w:val="00100C45"/>
    <w:rsid w:val="00101A30"/>
    <w:rsid w:val="0010626F"/>
    <w:rsid w:val="00110D82"/>
    <w:rsid w:val="00111F69"/>
    <w:rsid w:val="0011311C"/>
    <w:rsid w:val="00113BFB"/>
    <w:rsid w:val="00121AA1"/>
    <w:rsid w:val="00125DA1"/>
    <w:rsid w:val="00126214"/>
    <w:rsid w:val="0012724E"/>
    <w:rsid w:val="00130AA7"/>
    <w:rsid w:val="0014277F"/>
    <w:rsid w:val="00145DB2"/>
    <w:rsid w:val="0014640C"/>
    <w:rsid w:val="00146F87"/>
    <w:rsid w:val="0014773E"/>
    <w:rsid w:val="001504B0"/>
    <w:rsid w:val="00151D19"/>
    <w:rsid w:val="00152286"/>
    <w:rsid w:val="001539D2"/>
    <w:rsid w:val="0015777E"/>
    <w:rsid w:val="00163ED4"/>
    <w:rsid w:val="00165056"/>
    <w:rsid w:val="00167E49"/>
    <w:rsid w:val="00170B27"/>
    <w:rsid w:val="00170ED5"/>
    <w:rsid w:val="00176160"/>
    <w:rsid w:val="0017637B"/>
    <w:rsid w:val="00176D9D"/>
    <w:rsid w:val="00181FDC"/>
    <w:rsid w:val="001879A7"/>
    <w:rsid w:val="00196147"/>
    <w:rsid w:val="001A3613"/>
    <w:rsid w:val="001A65B9"/>
    <w:rsid w:val="001A7201"/>
    <w:rsid w:val="001B5404"/>
    <w:rsid w:val="001C1C09"/>
    <w:rsid w:val="001C3AC5"/>
    <w:rsid w:val="001C4B3E"/>
    <w:rsid w:val="001D27C7"/>
    <w:rsid w:val="001D2B79"/>
    <w:rsid w:val="001D55E0"/>
    <w:rsid w:val="001E1551"/>
    <w:rsid w:val="001E37DD"/>
    <w:rsid w:val="001E45D4"/>
    <w:rsid w:val="001E4E19"/>
    <w:rsid w:val="001E5743"/>
    <w:rsid w:val="001E582A"/>
    <w:rsid w:val="001F16CF"/>
    <w:rsid w:val="001F365B"/>
    <w:rsid w:val="00202971"/>
    <w:rsid w:val="00211328"/>
    <w:rsid w:val="0021395B"/>
    <w:rsid w:val="00220848"/>
    <w:rsid w:val="00223FA0"/>
    <w:rsid w:val="00227F2A"/>
    <w:rsid w:val="002312EB"/>
    <w:rsid w:val="00233E23"/>
    <w:rsid w:val="00244CF4"/>
    <w:rsid w:val="002468B2"/>
    <w:rsid w:val="00251C8B"/>
    <w:rsid w:val="00257F7D"/>
    <w:rsid w:val="00264372"/>
    <w:rsid w:val="002672EC"/>
    <w:rsid w:val="002713E8"/>
    <w:rsid w:val="002911BD"/>
    <w:rsid w:val="0029309E"/>
    <w:rsid w:val="0029391C"/>
    <w:rsid w:val="0029487C"/>
    <w:rsid w:val="00297166"/>
    <w:rsid w:val="002A23CC"/>
    <w:rsid w:val="002A255F"/>
    <w:rsid w:val="002A46D3"/>
    <w:rsid w:val="002A59AC"/>
    <w:rsid w:val="002A7DDB"/>
    <w:rsid w:val="002B0F59"/>
    <w:rsid w:val="002B2974"/>
    <w:rsid w:val="002B2D77"/>
    <w:rsid w:val="002C17A3"/>
    <w:rsid w:val="002C5B9B"/>
    <w:rsid w:val="002D2733"/>
    <w:rsid w:val="002D740A"/>
    <w:rsid w:val="002D74E5"/>
    <w:rsid w:val="002E148C"/>
    <w:rsid w:val="002E69A3"/>
    <w:rsid w:val="002F3FD1"/>
    <w:rsid w:val="002F4D59"/>
    <w:rsid w:val="002F6812"/>
    <w:rsid w:val="00301F4C"/>
    <w:rsid w:val="00302C8D"/>
    <w:rsid w:val="003031AD"/>
    <w:rsid w:val="00307259"/>
    <w:rsid w:val="00312366"/>
    <w:rsid w:val="0031489D"/>
    <w:rsid w:val="0031500B"/>
    <w:rsid w:val="003204DF"/>
    <w:rsid w:val="00322043"/>
    <w:rsid w:val="00325400"/>
    <w:rsid w:val="003256B2"/>
    <w:rsid w:val="00327CD1"/>
    <w:rsid w:val="00330D1B"/>
    <w:rsid w:val="003404BE"/>
    <w:rsid w:val="00341DA8"/>
    <w:rsid w:val="003442AF"/>
    <w:rsid w:val="00345FBD"/>
    <w:rsid w:val="00352400"/>
    <w:rsid w:val="0035345B"/>
    <w:rsid w:val="00355E1D"/>
    <w:rsid w:val="003577A2"/>
    <w:rsid w:val="00360D71"/>
    <w:rsid w:val="00361BB5"/>
    <w:rsid w:val="003631D0"/>
    <w:rsid w:val="00364BF3"/>
    <w:rsid w:val="00365B87"/>
    <w:rsid w:val="00366288"/>
    <w:rsid w:val="003730D3"/>
    <w:rsid w:val="00373C68"/>
    <w:rsid w:val="00383879"/>
    <w:rsid w:val="00384964"/>
    <w:rsid w:val="00385731"/>
    <w:rsid w:val="00393447"/>
    <w:rsid w:val="003A0163"/>
    <w:rsid w:val="003A0B68"/>
    <w:rsid w:val="003A6D17"/>
    <w:rsid w:val="003A7262"/>
    <w:rsid w:val="003B227A"/>
    <w:rsid w:val="003B3354"/>
    <w:rsid w:val="003B7431"/>
    <w:rsid w:val="003C1A25"/>
    <w:rsid w:val="003D1318"/>
    <w:rsid w:val="003E3205"/>
    <w:rsid w:val="003E4B2E"/>
    <w:rsid w:val="004031C4"/>
    <w:rsid w:val="00407D0D"/>
    <w:rsid w:val="00411910"/>
    <w:rsid w:val="004202C0"/>
    <w:rsid w:val="00422141"/>
    <w:rsid w:val="00424D5A"/>
    <w:rsid w:val="00425AAD"/>
    <w:rsid w:val="00426DF4"/>
    <w:rsid w:val="00430882"/>
    <w:rsid w:val="0043161A"/>
    <w:rsid w:val="0043335A"/>
    <w:rsid w:val="0043492C"/>
    <w:rsid w:val="00436B7B"/>
    <w:rsid w:val="0043780C"/>
    <w:rsid w:val="00441F7F"/>
    <w:rsid w:val="00442817"/>
    <w:rsid w:val="00444AF2"/>
    <w:rsid w:val="004507CA"/>
    <w:rsid w:val="00452236"/>
    <w:rsid w:val="00453D72"/>
    <w:rsid w:val="004547AD"/>
    <w:rsid w:val="00454B77"/>
    <w:rsid w:val="00456D3A"/>
    <w:rsid w:val="004571E4"/>
    <w:rsid w:val="00471A24"/>
    <w:rsid w:val="00475960"/>
    <w:rsid w:val="00475B5D"/>
    <w:rsid w:val="004765A3"/>
    <w:rsid w:val="00476BB5"/>
    <w:rsid w:val="0047714C"/>
    <w:rsid w:val="00477B77"/>
    <w:rsid w:val="00480CBB"/>
    <w:rsid w:val="00481322"/>
    <w:rsid w:val="0048334E"/>
    <w:rsid w:val="00487E53"/>
    <w:rsid w:val="00491DB6"/>
    <w:rsid w:val="004957BA"/>
    <w:rsid w:val="00497053"/>
    <w:rsid w:val="004A1124"/>
    <w:rsid w:val="004A113A"/>
    <w:rsid w:val="004A71FC"/>
    <w:rsid w:val="004A72BD"/>
    <w:rsid w:val="004B00D4"/>
    <w:rsid w:val="004B1DD9"/>
    <w:rsid w:val="004B40D0"/>
    <w:rsid w:val="004B414A"/>
    <w:rsid w:val="004C1013"/>
    <w:rsid w:val="004C3145"/>
    <w:rsid w:val="004C5D83"/>
    <w:rsid w:val="004C65A9"/>
    <w:rsid w:val="004E296C"/>
    <w:rsid w:val="004E39F3"/>
    <w:rsid w:val="004E7660"/>
    <w:rsid w:val="004F1592"/>
    <w:rsid w:val="004F2585"/>
    <w:rsid w:val="004F2EF2"/>
    <w:rsid w:val="004F42AC"/>
    <w:rsid w:val="004F52E7"/>
    <w:rsid w:val="00500082"/>
    <w:rsid w:val="005033D3"/>
    <w:rsid w:val="005149A5"/>
    <w:rsid w:val="00516314"/>
    <w:rsid w:val="005212D0"/>
    <w:rsid w:val="00524DB7"/>
    <w:rsid w:val="005345AC"/>
    <w:rsid w:val="005351CB"/>
    <w:rsid w:val="005400BA"/>
    <w:rsid w:val="00544F2C"/>
    <w:rsid w:val="0054796B"/>
    <w:rsid w:val="005508C9"/>
    <w:rsid w:val="00550B84"/>
    <w:rsid w:val="0055113B"/>
    <w:rsid w:val="00554CE0"/>
    <w:rsid w:val="0056076F"/>
    <w:rsid w:val="00561440"/>
    <w:rsid w:val="00565F51"/>
    <w:rsid w:val="005736B6"/>
    <w:rsid w:val="00580CBA"/>
    <w:rsid w:val="00585225"/>
    <w:rsid w:val="0059794F"/>
    <w:rsid w:val="00597FBE"/>
    <w:rsid w:val="005A1311"/>
    <w:rsid w:val="005A3D90"/>
    <w:rsid w:val="005A6EDF"/>
    <w:rsid w:val="005B0D9B"/>
    <w:rsid w:val="005B312E"/>
    <w:rsid w:val="005C188E"/>
    <w:rsid w:val="005D02C8"/>
    <w:rsid w:val="005D2254"/>
    <w:rsid w:val="005D38A5"/>
    <w:rsid w:val="005D4F05"/>
    <w:rsid w:val="005D5015"/>
    <w:rsid w:val="005D6E42"/>
    <w:rsid w:val="005E4523"/>
    <w:rsid w:val="005E5E5C"/>
    <w:rsid w:val="005E6D82"/>
    <w:rsid w:val="005F0761"/>
    <w:rsid w:val="005F13F4"/>
    <w:rsid w:val="005F437C"/>
    <w:rsid w:val="005F6E8B"/>
    <w:rsid w:val="006111B5"/>
    <w:rsid w:val="006179E1"/>
    <w:rsid w:val="00617CF3"/>
    <w:rsid w:val="0062113A"/>
    <w:rsid w:val="00621D82"/>
    <w:rsid w:val="00622F29"/>
    <w:rsid w:val="00623C0B"/>
    <w:rsid w:val="006256A6"/>
    <w:rsid w:val="00627526"/>
    <w:rsid w:val="0063083C"/>
    <w:rsid w:val="0063519A"/>
    <w:rsid w:val="00640730"/>
    <w:rsid w:val="00640AD2"/>
    <w:rsid w:val="00646810"/>
    <w:rsid w:val="00652C65"/>
    <w:rsid w:val="006571AF"/>
    <w:rsid w:val="00660E58"/>
    <w:rsid w:val="00662A62"/>
    <w:rsid w:val="00663A5A"/>
    <w:rsid w:val="00664FCB"/>
    <w:rsid w:val="00674D11"/>
    <w:rsid w:val="00675E59"/>
    <w:rsid w:val="00675F61"/>
    <w:rsid w:val="00680C3F"/>
    <w:rsid w:val="00682178"/>
    <w:rsid w:val="00683A93"/>
    <w:rsid w:val="00695070"/>
    <w:rsid w:val="006A2B11"/>
    <w:rsid w:val="006A71C9"/>
    <w:rsid w:val="006B176E"/>
    <w:rsid w:val="006B3636"/>
    <w:rsid w:val="006B5791"/>
    <w:rsid w:val="006B7DC4"/>
    <w:rsid w:val="006D278A"/>
    <w:rsid w:val="006E005C"/>
    <w:rsid w:val="006E3E14"/>
    <w:rsid w:val="006E5454"/>
    <w:rsid w:val="006F372E"/>
    <w:rsid w:val="006F6AE3"/>
    <w:rsid w:val="00700130"/>
    <w:rsid w:val="00702DF4"/>
    <w:rsid w:val="00703D4D"/>
    <w:rsid w:val="00711D81"/>
    <w:rsid w:val="007122D6"/>
    <w:rsid w:val="007168C1"/>
    <w:rsid w:val="0072229A"/>
    <w:rsid w:val="00724927"/>
    <w:rsid w:val="007323F9"/>
    <w:rsid w:val="00733566"/>
    <w:rsid w:val="007351AE"/>
    <w:rsid w:val="00736364"/>
    <w:rsid w:val="00737BDA"/>
    <w:rsid w:val="0074671D"/>
    <w:rsid w:val="007477EA"/>
    <w:rsid w:val="00750F66"/>
    <w:rsid w:val="00753E5F"/>
    <w:rsid w:val="00754396"/>
    <w:rsid w:val="00755087"/>
    <w:rsid w:val="00761C89"/>
    <w:rsid w:val="00762B40"/>
    <w:rsid w:val="00763730"/>
    <w:rsid w:val="007651B3"/>
    <w:rsid w:val="0076683E"/>
    <w:rsid w:val="00770BBC"/>
    <w:rsid w:val="00771E2A"/>
    <w:rsid w:val="0077529F"/>
    <w:rsid w:val="0077708A"/>
    <w:rsid w:val="007864E6"/>
    <w:rsid w:val="00787E1A"/>
    <w:rsid w:val="00792828"/>
    <w:rsid w:val="0079375C"/>
    <w:rsid w:val="00794403"/>
    <w:rsid w:val="007A1939"/>
    <w:rsid w:val="007A4A21"/>
    <w:rsid w:val="007B3354"/>
    <w:rsid w:val="007D01DC"/>
    <w:rsid w:val="007D2D51"/>
    <w:rsid w:val="007D3FD2"/>
    <w:rsid w:val="007E2CBD"/>
    <w:rsid w:val="007E5DE2"/>
    <w:rsid w:val="007E6DDF"/>
    <w:rsid w:val="007F0FCD"/>
    <w:rsid w:val="007F3808"/>
    <w:rsid w:val="007F3E59"/>
    <w:rsid w:val="007F5CFB"/>
    <w:rsid w:val="007F6304"/>
    <w:rsid w:val="00804AEC"/>
    <w:rsid w:val="008105F1"/>
    <w:rsid w:val="00820FBB"/>
    <w:rsid w:val="00822A3B"/>
    <w:rsid w:val="00824287"/>
    <w:rsid w:val="00830C98"/>
    <w:rsid w:val="00833F66"/>
    <w:rsid w:val="00841D10"/>
    <w:rsid w:val="0084203D"/>
    <w:rsid w:val="008463BC"/>
    <w:rsid w:val="00847A14"/>
    <w:rsid w:val="008509C2"/>
    <w:rsid w:val="008675A3"/>
    <w:rsid w:val="00870F9E"/>
    <w:rsid w:val="0087544D"/>
    <w:rsid w:val="00876FCC"/>
    <w:rsid w:val="00882C12"/>
    <w:rsid w:val="008852A0"/>
    <w:rsid w:val="00887EEE"/>
    <w:rsid w:val="00891FD7"/>
    <w:rsid w:val="00897172"/>
    <w:rsid w:val="008A4E9E"/>
    <w:rsid w:val="008A5135"/>
    <w:rsid w:val="008A6836"/>
    <w:rsid w:val="008B5750"/>
    <w:rsid w:val="008C079B"/>
    <w:rsid w:val="008C730E"/>
    <w:rsid w:val="008E46C1"/>
    <w:rsid w:val="008E5B03"/>
    <w:rsid w:val="008E6DFA"/>
    <w:rsid w:val="008F07DC"/>
    <w:rsid w:val="008F398B"/>
    <w:rsid w:val="008F4220"/>
    <w:rsid w:val="008F5A8C"/>
    <w:rsid w:val="008F6CAE"/>
    <w:rsid w:val="00901F8E"/>
    <w:rsid w:val="0090232B"/>
    <w:rsid w:val="00902441"/>
    <w:rsid w:val="00907830"/>
    <w:rsid w:val="009115FC"/>
    <w:rsid w:val="00912851"/>
    <w:rsid w:val="009138C1"/>
    <w:rsid w:val="00920978"/>
    <w:rsid w:val="009220EE"/>
    <w:rsid w:val="009221CA"/>
    <w:rsid w:val="00922409"/>
    <w:rsid w:val="009313D2"/>
    <w:rsid w:val="00931494"/>
    <w:rsid w:val="00932A53"/>
    <w:rsid w:val="00933686"/>
    <w:rsid w:val="009375E9"/>
    <w:rsid w:val="009375F6"/>
    <w:rsid w:val="00943E3B"/>
    <w:rsid w:val="00946A18"/>
    <w:rsid w:val="00947522"/>
    <w:rsid w:val="00954A66"/>
    <w:rsid w:val="00954D17"/>
    <w:rsid w:val="009600DA"/>
    <w:rsid w:val="00966A34"/>
    <w:rsid w:val="00971349"/>
    <w:rsid w:val="009717C9"/>
    <w:rsid w:val="00975753"/>
    <w:rsid w:val="00977DA3"/>
    <w:rsid w:val="0098353E"/>
    <w:rsid w:val="009857C5"/>
    <w:rsid w:val="00992361"/>
    <w:rsid w:val="009926C6"/>
    <w:rsid w:val="00994ACD"/>
    <w:rsid w:val="00997B81"/>
    <w:rsid w:val="009A1C38"/>
    <w:rsid w:val="009A4366"/>
    <w:rsid w:val="009A6DA8"/>
    <w:rsid w:val="009B0662"/>
    <w:rsid w:val="009B1581"/>
    <w:rsid w:val="009B3C5B"/>
    <w:rsid w:val="009B50A7"/>
    <w:rsid w:val="009C0DA3"/>
    <w:rsid w:val="009C28C4"/>
    <w:rsid w:val="009C392C"/>
    <w:rsid w:val="009D2667"/>
    <w:rsid w:val="009D2CE1"/>
    <w:rsid w:val="009D42DE"/>
    <w:rsid w:val="009D61C6"/>
    <w:rsid w:val="009E0255"/>
    <w:rsid w:val="009E08D8"/>
    <w:rsid w:val="009E23E3"/>
    <w:rsid w:val="009E4AE9"/>
    <w:rsid w:val="009F2DBB"/>
    <w:rsid w:val="00A02E98"/>
    <w:rsid w:val="00A02F2F"/>
    <w:rsid w:val="00A05A01"/>
    <w:rsid w:val="00A05F5D"/>
    <w:rsid w:val="00A1013A"/>
    <w:rsid w:val="00A15150"/>
    <w:rsid w:val="00A17A80"/>
    <w:rsid w:val="00A22F2C"/>
    <w:rsid w:val="00A32209"/>
    <w:rsid w:val="00A33D20"/>
    <w:rsid w:val="00A36C88"/>
    <w:rsid w:val="00A467B1"/>
    <w:rsid w:val="00A554B0"/>
    <w:rsid w:val="00A55E0F"/>
    <w:rsid w:val="00A61159"/>
    <w:rsid w:val="00A61FF6"/>
    <w:rsid w:val="00A6382C"/>
    <w:rsid w:val="00A648B0"/>
    <w:rsid w:val="00A72A2A"/>
    <w:rsid w:val="00A819F7"/>
    <w:rsid w:val="00A820F6"/>
    <w:rsid w:val="00A83822"/>
    <w:rsid w:val="00A83FF8"/>
    <w:rsid w:val="00A840C3"/>
    <w:rsid w:val="00A87835"/>
    <w:rsid w:val="00A924F3"/>
    <w:rsid w:val="00A9335D"/>
    <w:rsid w:val="00A951A0"/>
    <w:rsid w:val="00AA6AAC"/>
    <w:rsid w:val="00AA7F23"/>
    <w:rsid w:val="00AB06D1"/>
    <w:rsid w:val="00AB075C"/>
    <w:rsid w:val="00AB4D73"/>
    <w:rsid w:val="00AB6030"/>
    <w:rsid w:val="00AC1E30"/>
    <w:rsid w:val="00AC340A"/>
    <w:rsid w:val="00AC6CC2"/>
    <w:rsid w:val="00AC7F26"/>
    <w:rsid w:val="00AD2C12"/>
    <w:rsid w:val="00AD5E4D"/>
    <w:rsid w:val="00AE19A1"/>
    <w:rsid w:val="00AF010E"/>
    <w:rsid w:val="00AF01CE"/>
    <w:rsid w:val="00AF0279"/>
    <w:rsid w:val="00AF1897"/>
    <w:rsid w:val="00AF6E82"/>
    <w:rsid w:val="00AF7E7B"/>
    <w:rsid w:val="00B02F20"/>
    <w:rsid w:val="00B03063"/>
    <w:rsid w:val="00B05621"/>
    <w:rsid w:val="00B07D40"/>
    <w:rsid w:val="00B07FB2"/>
    <w:rsid w:val="00B103E7"/>
    <w:rsid w:val="00B11683"/>
    <w:rsid w:val="00B11D2F"/>
    <w:rsid w:val="00B20F06"/>
    <w:rsid w:val="00B218D9"/>
    <w:rsid w:val="00B2197E"/>
    <w:rsid w:val="00B31915"/>
    <w:rsid w:val="00B44208"/>
    <w:rsid w:val="00B45A63"/>
    <w:rsid w:val="00B46EB2"/>
    <w:rsid w:val="00B47679"/>
    <w:rsid w:val="00B52172"/>
    <w:rsid w:val="00B549E0"/>
    <w:rsid w:val="00B5554B"/>
    <w:rsid w:val="00B56AAA"/>
    <w:rsid w:val="00B60CC9"/>
    <w:rsid w:val="00B677B4"/>
    <w:rsid w:val="00B72B39"/>
    <w:rsid w:val="00B736B3"/>
    <w:rsid w:val="00B7474B"/>
    <w:rsid w:val="00B759B5"/>
    <w:rsid w:val="00B76AD1"/>
    <w:rsid w:val="00B83D31"/>
    <w:rsid w:val="00B90B11"/>
    <w:rsid w:val="00B91018"/>
    <w:rsid w:val="00BA29A3"/>
    <w:rsid w:val="00BA3446"/>
    <w:rsid w:val="00BA4F49"/>
    <w:rsid w:val="00BA62E9"/>
    <w:rsid w:val="00BA652E"/>
    <w:rsid w:val="00BA6F67"/>
    <w:rsid w:val="00BA72B9"/>
    <w:rsid w:val="00BA75AD"/>
    <w:rsid w:val="00BB7B17"/>
    <w:rsid w:val="00BC17E8"/>
    <w:rsid w:val="00BC1E24"/>
    <w:rsid w:val="00BC2063"/>
    <w:rsid w:val="00BC2611"/>
    <w:rsid w:val="00BC3AC9"/>
    <w:rsid w:val="00BC5FB8"/>
    <w:rsid w:val="00BC7F41"/>
    <w:rsid w:val="00BD0E27"/>
    <w:rsid w:val="00BD4226"/>
    <w:rsid w:val="00BD6145"/>
    <w:rsid w:val="00BE1995"/>
    <w:rsid w:val="00BE378C"/>
    <w:rsid w:val="00BF3B1A"/>
    <w:rsid w:val="00C01365"/>
    <w:rsid w:val="00C07670"/>
    <w:rsid w:val="00C07E69"/>
    <w:rsid w:val="00C1126B"/>
    <w:rsid w:val="00C11B7E"/>
    <w:rsid w:val="00C14346"/>
    <w:rsid w:val="00C21558"/>
    <w:rsid w:val="00C21DC4"/>
    <w:rsid w:val="00C22E23"/>
    <w:rsid w:val="00C310F3"/>
    <w:rsid w:val="00C34A62"/>
    <w:rsid w:val="00C408BC"/>
    <w:rsid w:val="00C4305A"/>
    <w:rsid w:val="00C44889"/>
    <w:rsid w:val="00C450CC"/>
    <w:rsid w:val="00C472DE"/>
    <w:rsid w:val="00C53286"/>
    <w:rsid w:val="00C53525"/>
    <w:rsid w:val="00C53C21"/>
    <w:rsid w:val="00C63B72"/>
    <w:rsid w:val="00C65998"/>
    <w:rsid w:val="00C66596"/>
    <w:rsid w:val="00C672AD"/>
    <w:rsid w:val="00C714A7"/>
    <w:rsid w:val="00C73462"/>
    <w:rsid w:val="00C74430"/>
    <w:rsid w:val="00C77025"/>
    <w:rsid w:val="00C773F0"/>
    <w:rsid w:val="00C81252"/>
    <w:rsid w:val="00C81448"/>
    <w:rsid w:val="00C8346B"/>
    <w:rsid w:val="00C87C22"/>
    <w:rsid w:val="00C93A01"/>
    <w:rsid w:val="00C94185"/>
    <w:rsid w:val="00C94FA4"/>
    <w:rsid w:val="00C9644C"/>
    <w:rsid w:val="00C97599"/>
    <w:rsid w:val="00CB0962"/>
    <w:rsid w:val="00CB2C47"/>
    <w:rsid w:val="00CB7682"/>
    <w:rsid w:val="00CC5EB8"/>
    <w:rsid w:val="00CC601B"/>
    <w:rsid w:val="00CD089B"/>
    <w:rsid w:val="00CD3735"/>
    <w:rsid w:val="00CD522A"/>
    <w:rsid w:val="00CD6116"/>
    <w:rsid w:val="00CE2600"/>
    <w:rsid w:val="00CE35BB"/>
    <w:rsid w:val="00CE3D5C"/>
    <w:rsid w:val="00CE421E"/>
    <w:rsid w:val="00CE6A2D"/>
    <w:rsid w:val="00CE7C86"/>
    <w:rsid w:val="00CF09BA"/>
    <w:rsid w:val="00CF688E"/>
    <w:rsid w:val="00D029EF"/>
    <w:rsid w:val="00D106DD"/>
    <w:rsid w:val="00D10AD7"/>
    <w:rsid w:val="00D12B46"/>
    <w:rsid w:val="00D12EC4"/>
    <w:rsid w:val="00D25676"/>
    <w:rsid w:val="00D257F4"/>
    <w:rsid w:val="00D2603A"/>
    <w:rsid w:val="00D3071E"/>
    <w:rsid w:val="00D33E93"/>
    <w:rsid w:val="00D41235"/>
    <w:rsid w:val="00D42CDD"/>
    <w:rsid w:val="00D44EA7"/>
    <w:rsid w:val="00D4606C"/>
    <w:rsid w:val="00D46D37"/>
    <w:rsid w:val="00D50C96"/>
    <w:rsid w:val="00D50E88"/>
    <w:rsid w:val="00D5565A"/>
    <w:rsid w:val="00D55928"/>
    <w:rsid w:val="00D56620"/>
    <w:rsid w:val="00D56774"/>
    <w:rsid w:val="00D56FFE"/>
    <w:rsid w:val="00D6626A"/>
    <w:rsid w:val="00D67061"/>
    <w:rsid w:val="00D7330A"/>
    <w:rsid w:val="00D746F6"/>
    <w:rsid w:val="00D82CD0"/>
    <w:rsid w:val="00D84477"/>
    <w:rsid w:val="00D84810"/>
    <w:rsid w:val="00D84F73"/>
    <w:rsid w:val="00D85879"/>
    <w:rsid w:val="00D9077C"/>
    <w:rsid w:val="00DA2FA8"/>
    <w:rsid w:val="00DA30D6"/>
    <w:rsid w:val="00DA7E2A"/>
    <w:rsid w:val="00DB7B62"/>
    <w:rsid w:val="00DC1D88"/>
    <w:rsid w:val="00DC29AD"/>
    <w:rsid w:val="00DC4166"/>
    <w:rsid w:val="00DD793A"/>
    <w:rsid w:val="00DE28EB"/>
    <w:rsid w:val="00DE74A6"/>
    <w:rsid w:val="00DF0E51"/>
    <w:rsid w:val="00DF7C52"/>
    <w:rsid w:val="00E0029E"/>
    <w:rsid w:val="00E023EB"/>
    <w:rsid w:val="00E03416"/>
    <w:rsid w:val="00E06E64"/>
    <w:rsid w:val="00E07F2E"/>
    <w:rsid w:val="00E12C04"/>
    <w:rsid w:val="00E135AF"/>
    <w:rsid w:val="00E135E0"/>
    <w:rsid w:val="00E164C7"/>
    <w:rsid w:val="00E178DB"/>
    <w:rsid w:val="00E23DA7"/>
    <w:rsid w:val="00E27CF0"/>
    <w:rsid w:val="00E30C75"/>
    <w:rsid w:val="00E35B82"/>
    <w:rsid w:val="00E42AB4"/>
    <w:rsid w:val="00E430F1"/>
    <w:rsid w:val="00E454DC"/>
    <w:rsid w:val="00E46EC8"/>
    <w:rsid w:val="00E54448"/>
    <w:rsid w:val="00E5548A"/>
    <w:rsid w:val="00E558EB"/>
    <w:rsid w:val="00E573AA"/>
    <w:rsid w:val="00E61D53"/>
    <w:rsid w:val="00E62BB6"/>
    <w:rsid w:val="00E65426"/>
    <w:rsid w:val="00E65D40"/>
    <w:rsid w:val="00E67448"/>
    <w:rsid w:val="00E73E85"/>
    <w:rsid w:val="00E75DEB"/>
    <w:rsid w:val="00E86992"/>
    <w:rsid w:val="00E93657"/>
    <w:rsid w:val="00E93C6E"/>
    <w:rsid w:val="00EA11B2"/>
    <w:rsid w:val="00EA18F1"/>
    <w:rsid w:val="00EA247C"/>
    <w:rsid w:val="00EA393D"/>
    <w:rsid w:val="00EA422B"/>
    <w:rsid w:val="00EB063D"/>
    <w:rsid w:val="00EB2F33"/>
    <w:rsid w:val="00EC0E5A"/>
    <w:rsid w:val="00EC5C62"/>
    <w:rsid w:val="00EC6219"/>
    <w:rsid w:val="00EF615A"/>
    <w:rsid w:val="00EF6678"/>
    <w:rsid w:val="00EF78D7"/>
    <w:rsid w:val="00F05AAF"/>
    <w:rsid w:val="00F11F7B"/>
    <w:rsid w:val="00F14695"/>
    <w:rsid w:val="00F15056"/>
    <w:rsid w:val="00F23D74"/>
    <w:rsid w:val="00F3063C"/>
    <w:rsid w:val="00F35577"/>
    <w:rsid w:val="00F4087D"/>
    <w:rsid w:val="00F453DC"/>
    <w:rsid w:val="00F51AE8"/>
    <w:rsid w:val="00F540C3"/>
    <w:rsid w:val="00F62394"/>
    <w:rsid w:val="00F6248B"/>
    <w:rsid w:val="00F670F5"/>
    <w:rsid w:val="00F80F97"/>
    <w:rsid w:val="00F81D81"/>
    <w:rsid w:val="00F83491"/>
    <w:rsid w:val="00F8355D"/>
    <w:rsid w:val="00F8386E"/>
    <w:rsid w:val="00F87B10"/>
    <w:rsid w:val="00F93DFF"/>
    <w:rsid w:val="00F96106"/>
    <w:rsid w:val="00FA2EFD"/>
    <w:rsid w:val="00FA393C"/>
    <w:rsid w:val="00FA6644"/>
    <w:rsid w:val="00FB5E80"/>
    <w:rsid w:val="00FB6470"/>
    <w:rsid w:val="00FB6DBF"/>
    <w:rsid w:val="00FC09FC"/>
    <w:rsid w:val="00FC5682"/>
    <w:rsid w:val="00FC7160"/>
    <w:rsid w:val="00FD1300"/>
    <w:rsid w:val="00FD4EA4"/>
    <w:rsid w:val="00FE0E68"/>
    <w:rsid w:val="00FE2AD7"/>
    <w:rsid w:val="00FE3BE4"/>
    <w:rsid w:val="00FE46AC"/>
    <w:rsid w:val="00FF06BA"/>
    <w:rsid w:val="00FF17B2"/>
    <w:rsid w:val="00FF1FD5"/>
    <w:rsid w:val="00FF396A"/>
    <w:rsid w:val="02C37D87"/>
    <w:rsid w:val="03B67853"/>
    <w:rsid w:val="08CB7EF4"/>
    <w:rsid w:val="09E9DB6D"/>
    <w:rsid w:val="0A9E7A9C"/>
    <w:rsid w:val="0A9E9D93"/>
    <w:rsid w:val="0B1518CD"/>
    <w:rsid w:val="0CC9C881"/>
    <w:rsid w:val="0DD513DE"/>
    <w:rsid w:val="0DFBE073"/>
    <w:rsid w:val="0E8AC584"/>
    <w:rsid w:val="0F73010C"/>
    <w:rsid w:val="128E073F"/>
    <w:rsid w:val="12D17C65"/>
    <w:rsid w:val="13A22A33"/>
    <w:rsid w:val="1501F48E"/>
    <w:rsid w:val="155BD2EC"/>
    <w:rsid w:val="19D565B1"/>
    <w:rsid w:val="1A543EED"/>
    <w:rsid w:val="1E146BBA"/>
    <w:rsid w:val="1E678C7D"/>
    <w:rsid w:val="228803B7"/>
    <w:rsid w:val="229D5C99"/>
    <w:rsid w:val="248145C1"/>
    <w:rsid w:val="26FE74A4"/>
    <w:rsid w:val="291D4277"/>
    <w:rsid w:val="2A2763F4"/>
    <w:rsid w:val="2B748B6E"/>
    <w:rsid w:val="2CF5F9EA"/>
    <w:rsid w:val="2D828216"/>
    <w:rsid w:val="2F349C63"/>
    <w:rsid w:val="2F5352AF"/>
    <w:rsid w:val="2F6340BB"/>
    <w:rsid w:val="310D439B"/>
    <w:rsid w:val="316FDF48"/>
    <w:rsid w:val="338130EA"/>
    <w:rsid w:val="339D2280"/>
    <w:rsid w:val="3488AC5C"/>
    <w:rsid w:val="377DD60B"/>
    <w:rsid w:val="3A6FE866"/>
    <w:rsid w:val="3A960556"/>
    <w:rsid w:val="3D43B935"/>
    <w:rsid w:val="3EE20972"/>
    <w:rsid w:val="40DD070B"/>
    <w:rsid w:val="41378169"/>
    <w:rsid w:val="4219873D"/>
    <w:rsid w:val="478D9A90"/>
    <w:rsid w:val="4A76F59F"/>
    <w:rsid w:val="4CA1F4B7"/>
    <w:rsid w:val="4CBDB42A"/>
    <w:rsid w:val="4D903D90"/>
    <w:rsid w:val="51507252"/>
    <w:rsid w:val="518CEF0D"/>
    <w:rsid w:val="52987423"/>
    <w:rsid w:val="529D33E7"/>
    <w:rsid w:val="53236DFA"/>
    <w:rsid w:val="53A9E0AD"/>
    <w:rsid w:val="54BF3E5B"/>
    <w:rsid w:val="558A9B09"/>
    <w:rsid w:val="575C427F"/>
    <w:rsid w:val="58F0BCB1"/>
    <w:rsid w:val="5A078902"/>
    <w:rsid w:val="5D8CB971"/>
    <w:rsid w:val="5DE0C64A"/>
    <w:rsid w:val="5E1AED64"/>
    <w:rsid w:val="5F79F0CA"/>
    <w:rsid w:val="606E1F66"/>
    <w:rsid w:val="61FA70A4"/>
    <w:rsid w:val="62323715"/>
    <w:rsid w:val="6361BE56"/>
    <w:rsid w:val="66DC283D"/>
    <w:rsid w:val="68007742"/>
    <w:rsid w:val="697CB24D"/>
    <w:rsid w:val="6A7C08F1"/>
    <w:rsid w:val="6A963171"/>
    <w:rsid w:val="6B0A568A"/>
    <w:rsid w:val="6BA04DBB"/>
    <w:rsid w:val="6C40BC40"/>
    <w:rsid w:val="6E5EEAC5"/>
    <w:rsid w:val="6E6B0994"/>
    <w:rsid w:val="6F858CC0"/>
    <w:rsid w:val="71935192"/>
    <w:rsid w:val="72F877CF"/>
    <w:rsid w:val="7441B00C"/>
    <w:rsid w:val="74E71FF7"/>
    <w:rsid w:val="74F822A7"/>
    <w:rsid w:val="7747C109"/>
    <w:rsid w:val="79F4D2A6"/>
    <w:rsid w:val="7AA62E60"/>
    <w:rsid w:val="7B562954"/>
    <w:rsid w:val="7B74E6AD"/>
    <w:rsid w:val="7E5E1F30"/>
    <w:rsid w:val="7E8DCA16"/>
    <w:rsid w:val="7F98BB38"/>
  </w:rsids>
  <w:docVars>
    <w:docVar w:name="_AMO_XmlVersion" w:val="Empty"/>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4DF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uiPriority w:val="59"/>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355E1D"/>
    <w:pPr>
      <w:spacing w:after="120" w:line="480" w:lineRule="auto"/>
      <w:ind w:left="360"/>
    </w:pPr>
  </w:style>
  <w:style w:type="character" w:customStyle="1" w:styleId="BodyTextIndent2Char">
    <w:name w:val="Body Text Indent 2 Char"/>
    <w:basedOn w:val="DefaultParagraphFont"/>
    <w:link w:val="BodyTextIndent2"/>
    <w:rsid w:val="00355E1D"/>
  </w:style>
  <w:style w:type="paragraph" w:styleId="ListParagraph">
    <w:name w:val="List Paragraph"/>
    <w:basedOn w:val="Normal"/>
    <w:uiPriority w:val="99"/>
    <w:qFormat/>
    <w:rsid w:val="00355E1D"/>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NoSpacing">
    <w:name w:val="No Spacing"/>
    <w:uiPriority w:val="1"/>
    <w:qFormat/>
    <w:rsid w:val="00355E1D"/>
    <w:rPr>
      <w:rFonts w:asciiTheme="minorHAnsi" w:eastAsiaTheme="minorHAnsi" w:hAnsiTheme="minorHAnsi" w:cstheme="minorBidi"/>
      <w:sz w:val="22"/>
      <w:szCs w:val="22"/>
    </w:rPr>
  </w:style>
  <w:style w:type="paragraph" w:styleId="NormalWeb">
    <w:name w:val="Normal (Web)"/>
    <w:basedOn w:val="Normal"/>
    <w:uiPriority w:val="99"/>
    <w:unhideWhenUsed/>
    <w:rsid w:val="00355E1D"/>
    <w:pPr>
      <w:overflowPunct/>
      <w:autoSpaceDE/>
      <w:autoSpaceDN/>
      <w:adjustRightInd/>
      <w:spacing w:before="100" w:beforeAutospacing="1" w:after="100" w:afterAutospacing="1"/>
      <w:textAlignment w:val="auto"/>
    </w:pPr>
    <w:rPr>
      <w:sz w:val="24"/>
      <w:szCs w:val="24"/>
    </w:rPr>
  </w:style>
  <w:style w:type="paragraph" w:styleId="FootnoteText">
    <w:name w:val="footnote text"/>
    <w:basedOn w:val="Normal"/>
    <w:link w:val="FootnoteTextChar"/>
    <w:uiPriority w:val="99"/>
    <w:unhideWhenUsed/>
    <w:rsid w:val="00355E1D"/>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355E1D"/>
    <w:rPr>
      <w:rFonts w:asciiTheme="minorHAnsi" w:eastAsiaTheme="minorHAnsi" w:hAnsiTheme="minorHAnsi" w:cstheme="minorBidi"/>
    </w:rPr>
  </w:style>
  <w:style w:type="character" w:styleId="FootnoteReference">
    <w:name w:val="footnote reference"/>
    <w:basedOn w:val="DefaultParagraphFont"/>
    <w:uiPriority w:val="99"/>
    <w:unhideWhenUsed/>
    <w:rsid w:val="00355E1D"/>
    <w:rPr>
      <w:vertAlign w:val="superscript"/>
    </w:rPr>
  </w:style>
  <w:style w:type="character" w:styleId="CommentReference">
    <w:name w:val="annotation reference"/>
    <w:basedOn w:val="DefaultParagraphFont"/>
    <w:rsid w:val="0059794F"/>
    <w:rPr>
      <w:sz w:val="16"/>
      <w:szCs w:val="16"/>
    </w:rPr>
  </w:style>
  <w:style w:type="paragraph" w:styleId="CommentText">
    <w:name w:val="annotation text"/>
    <w:basedOn w:val="Normal"/>
    <w:link w:val="CommentTextChar"/>
    <w:rsid w:val="0059794F"/>
  </w:style>
  <w:style w:type="character" w:customStyle="1" w:styleId="CommentTextChar">
    <w:name w:val="Comment Text Char"/>
    <w:basedOn w:val="DefaultParagraphFont"/>
    <w:link w:val="CommentText"/>
    <w:rsid w:val="0059794F"/>
  </w:style>
  <w:style w:type="paragraph" w:styleId="CommentSubject">
    <w:name w:val="annotation subject"/>
    <w:basedOn w:val="CommentText"/>
    <w:next w:val="CommentText"/>
    <w:link w:val="CommentSubjectChar"/>
    <w:rsid w:val="0059794F"/>
    <w:rPr>
      <w:b/>
      <w:bCs/>
    </w:rPr>
  </w:style>
  <w:style w:type="character" w:customStyle="1" w:styleId="CommentSubjectChar">
    <w:name w:val="Comment Subject Char"/>
    <w:basedOn w:val="CommentTextChar"/>
    <w:link w:val="CommentSubject"/>
    <w:rsid w:val="0059794F"/>
    <w:rPr>
      <w:b/>
      <w:bCs/>
    </w:rPr>
  </w:style>
  <w:style w:type="paragraph" w:styleId="Revision">
    <w:name w:val="Revision"/>
    <w:hidden/>
    <w:uiPriority w:val="99"/>
    <w:semiHidden/>
    <w:rsid w:val="00946A18"/>
  </w:style>
  <w:style w:type="character" w:customStyle="1" w:styleId="normaltextrun">
    <w:name w:val="normaltextrun"/>
    <w:basedOn w:val="DefaultParagraphFont"/>
    <w:rsid w:val="00946A18"/>
  </w:style>
  <w:style w:type="character" w:customStyle="1" w:styleId="eop">
    <w:name w:val="eop"/>
    <w:basedOn w:val="DefaultParagraphFont"/>
    <w:rsid w:val="00946A18"/>
  </w:style>
  <w:style w:type="character" w:styleId="Hyperlink">
    <w:name w:val="Hyperlink"/>
    <w:basedOn w:val="DefaultParagraphFont"/>
    <w:unhideWhenUsed/>
    <w:rsid w:val="002D74E5"/>
    <w:rPr>
      <w:color w:val="0000FF" w:themeColor="hyperlink"/>
      <w:u w:val="single"/>
    </w:rPr>
  </w:style>
  <w:style w:type="character" w:styleId="UnresolvedMention">
    <w:name w:val="Unresolved Mention"/>
    <w:basedOn w:val="DefaultParagraphFont"/>
    <w:uiPriority w:val="99"/>
    <w:semiHidden/>
    <w:unhideWhenUsed/>
    <w:rsid w:val="002D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96A32C4E4C6C43B0F755EBDD3BCDA0" ma:contentTypeVersion="9" ma:contentTypeDescription="Create a new document." ma:contentTypeScope="" ma:versionID="88e6fa94554000f5a091f0e49331cd64">
  <xsd:schema xmlns:xsd="http://www.w3.org/2001/XMLSchema" xmlns:xs="http://www.w3.org/2001/XMLSchema" xmlns:p="http://schemas.microsoft.com/office/2006/metadata/properties" xmlns:ns2="f5bbe74d-7946-46c1-98be-7730228547fd" xmlns:ns3="cec312f8-7b80-458f-8bc9-039c8f3e65b1" targetNamespace="http://schemas.microsoft.com/office/2006/metadata/properties" ma:root="true" ma:fieldsID="c37599d3dd51d79a724c473c95b71e69" ns2:_="" ns3:_="">
    <xsd:import namespace="f5bbe74d-7946-46c1-98be-7730228547fd"/>
    <xsd:import namespace="cec312f8-7b80-458f-8bc9-039c8f3e65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e74d-7946-46c1-98be-7730228547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c312f8-7b80-458f-8bc9-039c8f3e65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ec312f8-7b80-458f-8bc9-039c8f3e65b1">
      <UserInfo>
        <DisplayName>Lavy, William A</DisplayName>
        <AccountId>19</AccountId>
        <AccountType/>
      </UserInfo>
      <UserInfo>
        <DisplayName>Poremsky, Madison L</DisplayName>
        <AccountId>49</AccountId>
        <AccountType/>
      </UserInfo>
      <UserInfo>
        <DisplayName>Jackson, Katonia L</DisplayName>
        <AccountId>65</AccountId>
        <AccountType/>
      </UserInfo>
    </SharedWithUsers>
  </documentManagement>
</p:properties>
</file>

<file path=customXml/itemProps1.xml><?xml version="1.0" encoding="utf-8"?>
<ds:datastoreItem xmlns:ds="http://schemas.openxmlformats.org/officeDocument/2006/customXml" ds:itemID="{4B1908D6-EA72-459B-980D-88F8169E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e74d-7946-46c1-98be-7730228547fd"/>
    <ds:schemaRef ds:uri="cec312f8-7b80-458f-8bc9-039c8f3e6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CC7EB3-8C85-429E-BAC7-F6FC6D201399}">
  <ds:schemaRefs>
    <ds:schemaRef ds:uri="http://schemas.microsoft.com/sharepoint/v3/contenttype/forms"/>
  </ds:schemaRefs>
</ds:datastoreItem>
</file>

<file path=customXml/itemProps3.xml><?xml version="1.0" encoding="utf-8"?>
<ds:datastoreItem xmlns:ds="http://schemas.openxmlformats.org/officeDocument/2006/customXml" ds:itemID="{24B9C1CE-16C6-4EB1-8E21-B7465D5D36D2}">
  <ds:schemaRefs>
    <ds:schemaRef ds:uri="http://schemas.openxmlformats.org/officeDocument/2006/bibliography"/>
  </ds:schemaRefs>
</ds:datastoreItem>
</file>

<file path=customXml/itemProps4.xml><?xml version="1.0" encoding="utf-8"?>
<ds:datastoreItem xmlns:ds="http://schemas.openxmlformats.org/officeDocument/2006/customXml" ds:itemID="{CDAFD791-94C1-4ADC-90E2-EDB7031DC8A7}">
  <ds:schemaRefs>
    <ds:schemaRef ds:uri="http://schemas.microsoft.com/office/2006/metadata/properties"/>
    <ds:schemaRef ds:uri="http://schemas.microsoft.com/office/infopath/2007/PartnerControls"/>
    <ds:schemaRef ds:uri="cec312f8-7b80-458f-8bc9-039c8f3e65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2023-02-01T12:10:00Z</dcterms:created>
  <dcterms:modified xsi:type="dcterms:W3CDTF">2023-02-01T12:10:00Z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0x0101002A96A32C4E4C6C43B0F755EBDD3BCDA0</vt:lpwstr>
  </property>
  <property fmtid="{D5CDD505-2E9C-101B-9397-08002B2CF9AE}" pid="4" name="Order">
    <vt:r8>1600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NewReviewCycle">
    <vt:lpwstr/>
  </property>
</Properties>
</file>