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5D1E" w:rsidP="00595D1E" w14:paraId="6C962741" w14:textId="77777777">
      <w:pPr>
        <w:jc w:val="center"/>
        <w:rPr>
          <w:b/>
        </w:rPr>
      </w:pPr>
    </w:p>
    <w:p w:rsidR="00595D1E" w:rsidP="00595D1E" w14:paraId="576CD57C" w14:textId="77777777">
      <w:pPr>
        <w:jc w:val="center"/>
        <w:rPr>
          <w:b/>
        </w:rPr>
      </w:pPr>
    </w:p>
    <w:p w:rsidR="00595D1E" w:rsidP="00595D1E" w14:paraId="0546CD0B" w14:textId="77777777">
      <w:pPr>
        <w:jc w:val="center"/>
        <w:rPr>
          <w:b/>
        </w:rPr>
      </w:pPr>
    </w:p>
    <w:p w:rsidR="00595D1E" w:rsidP="00595D1E" w14:paraId="0834CE0E" w14:textId="77777777">
      <w:pPr>
        <w:jc w:val="center"/>
        <w:rPr>
          <w:b/>
        </w:rPr>
      </w:pPr>
    </w:p>
    <w:p w:rsidR="00595D1E" w:rsidRPr="002B193F" w:rsidP="002B193F" w14:paraId="26C86427" w14:textId="5B1D0789">
      <w:pPr>
        <w:spacing w:after="0"/>
        <w:jc w:val="center"/>
        <w:rPr>
          <w:sz w:val="36"/>
          <w:szCs w:val="36"/>
        </w:rPr>
      </w:pPr>
      <w:r w:rsidRPr="002B193F">
        <w:rPr>
          <w:sz w:val="36"/>
          <w:szCs w:val="36"/>
        </w:rPr>
        <w:t xml:space="preserve">Mini </w:t>
      </w:r>
      <w:r w:rsidRPr="002B193F">
        <w:rPr>
          <w:sz w:val="36"/>
          <w:szCs w:val="36"/>
        </w:rPr>
        <w:t>Supporting Statement A</w:t>
      </w:r>
    </w:p>
    <w:p w:rsidR="00FF1D87" w:rsidRPr="002B193F" w:rsidP="002B193F" w14:paraId="35B9FD64" w14:textId="4BF2FF8D">
      <w:pPr>
        <w:jc w:val="center"/>
      </w:pPr>
      <w:r>
        <w:rPr>
          <w:sz w:val="28"/>
        </w:rPr>
        <w:t xml:space="preserve">Request for Approval under the </w:t>
      </w:r>
      <w:r w:rsidRPr="00F06866">
        <w:rPr>
          <w:sz w:val="28"/>
        </w:rPr>
        <w:t xml:space="preserve">“Generic Clearance </w:t>
      </w:r>
      <w:r>
        <w:rPr>
          <w:sz w:val="28"/>
        </w:rPr>
        <w:t>for NIH Citizen Science and Crowdsourcing Projects</w:t>
      </w:r>
      <w:r w:rsidRPr="00F06866">
        <w:rPr>
          <w:sz w:val="28"/>
        </w:rPr>
        <w:t>”</w:t>
      </w:r>
    </w:p>
    <w:p w:rsidR="008529CC" w:rsidRPr="002B193F" w:rsidP="002B193F" w14:paraId="2AEA7B97" w14:textId="5CEDA090">
      <w:pPr>
        <w:jc w:val="center"/>
        <w:rPr>
          <w:sz w:val="32"/>
          <w:szCs w:val="32"/>
        </w:rPr>
      </w:pPr>
      <w:r>
        <w:rPr>
          <w:sz w:val="32"/>
          <w:szCs w:val="32"/>
        </w:rPr>
        <w:t xml:space="preserve">NEI </w:t>
      </w:r>
      <w:r w:rsidRPr="007A0C14">
        <w:rPr>
          <w:sz w:val="32"/>
          <w:szCs w:val="32"/>
        </w:rPr>
        <w:t xml:space="preserve">Diversity, Equity, Inclusion and Accessibility </w:t>
      </w:r>
      <w:r>
        <w:rPr>
          <w:sz w:val="32"/>
          <w:szCs w:val="32"/>
        </w:rPr>
        <w:t xml:space="preserve">(DEIA) </w:t>
      </w:r>
      <w:r w:rsidRPr="007A0C14">
        <w:rPr>
          <w:sz w:val="32"/>
          <w:szCs w:val="32"/>
        </w:rPr>
        <w:t xml:space="preserve">Strategic Plan </w:t>
      </w:r>
    </w:p>
    <w:p w:rsidR="00CB4C39" w:rsidRPr="002B193F" w:rsidP="002B193F" w14:paraId="51AB3D6E" w14:textId="7C0EBC1A">
      <w:pPr>
        <w:jc w:val="center"/>
        <w:rPr>
          <w:sz w:val="32"/>
          <w:szCs w:val="32"/>
        </w:rPr>
      </w:pPr>
      <w:r w:rsidRPr="002B193F">
        <w:rPr>
          <w:sz w:val="32"/>
          <w:szCs w:val="32"/>
        </w:rPr>
        <w:t>OMB#</w:t>
      </w:r>
      <w:r w:rsidR="00A2740D">
        <w:rPr>
          <w:sz w:val="32"/>
          <w:szCs w:val="32"/>
        </w:rPr>
        <w:t xml:space="preserve"> 0925-0766, exp., 04/2023</w:t>
      </w:r>
    </w:p>
    <w:p w:rsidR="006529C8" w:rsidRPr="002B193F" w:rsidP="006529C8" w14:paraId="4E27182D" w14:textId="22B446A0">
      <w:pPr>
        <w:jc w:val="center"/>
        <w:rPr>
          <w:sz w:val="32"/>
          <w:szCs w:val="32"/>
        </w:rPr>
      </w:pPr>
      <w:r w:rsidRPr="002B193F">
        <w:rPr>
          <w:sz w:val="32"/>
          <w:szCs w:val="32"/>
        </w:rPr>
        <w:t>Date</w:t>
      </w:r>
      <w:r>
        <w:rPr>
          <w:sz w:val="32"/>
          <w:szCs w:val="32"/>
        </w:rPr>
        <w:t xml:space="preserve"> – September 2</w:t>
      </w:r>
      <w:r w:rsidR="000B2967">
        <w:rPr>
          <w:sz w:val="32"/>
          <w:szCs w:val="32"/>
        </w:rPr>
        <w:t>3</w:t>
      </w:r>
      <w:r>
        <w:rPr>
          <w:sz w:val="32"/>
          <w:szCs w:val="32"/>
        </w:rPr>
        <w:t>, 2022</w:t>
      </w:r>
    </w:p>
    <w:p w:rsidR="00595D1E" w:rsidRPr="002B193F" w14:paraId="19A1A239" w14:textId="77777777">
      <w:pPr>
        <w:jc w:val="center"/>
      </w:pPr>
    </w:p>
    <w:p w:rsidR="00595D1E" w:rsidRPr="002B193F" w14:paraId="68D92751" w14:textId="77777777">
      <w:pPr>
        <w:jc w:val="center"/>
      </w:pPr>
    </w:p>
    <w:p w:rsidR="00FF1D87" w:rsidRPr="002B193F" w14:paraId="39D3F73C" w14:textId="77777777">
      <w:pPr>
        <w:jc w:val="center"/>
      </w:pPr>
    </w:p>
    <w:p w:rsidR="00FF1D87" w:rsidP="00175FFD" w14:paraId="09FB6999" w14:textId="77777777">
      <w:pPr>
        <w:spacing w:after="0"/>
        <w:rPr>
          <w:b/>
        </w:rPr>
      </w:pPr>
      <w:r w:rsidRPr="002B193F">
        <w:rPr>
          <w:sz w:val="32"/>
          <w:szCs w:val="32"/>
        </w:rPr>
        <w:t>Contact Information</w:t>
      </w:r>
      <w:r>
        <w:rPr>
          <w:b/>
        </w:rPr>
        <w:t xml:space="preserve">    </w:t>
      </w:r>
    </w:p>
    <w:p w:rsidR="007D3181" w:rsidP="00175FFD" w14:paraId="163A73A3" w14:textId="448E03E9">
      <w:pPr>
        <w:spacing w:after="0"/>
        <w:rPr>
          <w:b/>
        </w:rPr>
      </w:pPr>
      <w:r>
        <w:rPr>
          <w:b/>
        </w:rPr>
        <w:t>NIH/Program Official</w:t>
      </w:r>
    </w:p>
    <w:p w:rsidR="00696F7C" w:rsidRPr="00696F7C" w:rsidP="00696F7C" w14:paraId="418B516B" w14:textId="54532E58">
      <w:pPr>
        <w:spacing w:after="0" w:line="240" w:lineRule="auto"/>
        <w:rPr>
          <w:rFonts w:eastAsiaTheme="minorEastAsia"/>
          <w:noProof/>
        </w:rPr>
      </w:pPr>
      <w:r w:rsidRPr="00696F7C">
        <w:rPr>
          <w:rFonts w:eastAsiaTheme="minorEastAsia"/>
          <w:noProof/>
        </w:rPr>
        <w:t xml:space="preserve">Lilly A. Sadler, Senior Management Analyst </w:t>
      </w:r>
    </w:p>
    <w:p w:rsidR="00696F7C" w:rsidRPr="00696F7C" w:rsidP="00696F7C" w14:paraId="18BF4393" w14:textId="77777777">
      <w:pPr>
        <w:spacing w:after="0" w:line="240" w:lineRule="auto"/>
        <w:rPr>
          <w:rFonts w:eastAsiaTheme="minorEastAsia"/>
          <w:noProof/>
        </w:rPr>
      </w:pPr>
      <w:r w:rsidRPr="00696F7C">
        <w:rPr>
          <w:rFonts w:eastAsiaTheme="minorEastAsia"/>
          <w:noProof/>
        </w:rPr>
        <w:t>Executive Office, National Eye Institute</w:t>
      </w:r>
    </w:p>
    <w:p w:rsidR="00696F7C" w:rsidRPr="00696F7C" w:rsidP="00696F7C" w14:paraId="7C901FBD" w14:textId="77777777">
      <w:pPr>
        <w:spacing w:after="0" w:line="240" w:lineRule="auto"/>
        <w:rPr>
          <w:rFonts w:eastAsiaTheme="minorEastAsia"/>
          <w:noProof/>
        </w:rPr>
      </w:pPr>
      <w:r w:rsidRPr="00696F7C">
        <w:rPr>
          <w:rFonts w:eastAsiaTheme="minorEastAsia"/>
          <w:noProof/>
        </w:rPr>
        <w:t>Phone: 301-451-8007</w:t>
      </w:r>
    </w:p>
    <w:p w:rsidR="00696F7C" w:rsidRPr="00696F7C" w:rsidP="00696F7C" w14:paraId="401E7E7C" w14:textId="77777777">
      <w:pPr>
        <w:spacing w:after="0" w:line="240" w:lineRule="auto"/>
        <w:rPr>
          <w:rFonts w:eastAsiaTheme="minorEastAsia"/>
          <w:noProof/>
        </w:rPr>
      </w:pPr>
      <w:r w:rsidRPr="00696F7C">
        <w:rPr>
          <w:rFonts w:eastAsiaTheme="minorEastAsia"/>
          <w:noProof/>
        </w:rPr>
        <w:t>Mobile: 301-204-9956</w:t>
      </w:r>
    </w:p>
    <w:p w:rsidR="007D3181" w:rsidRPr="00696F7C" w:rsidP="007D3181" w14:paraId="6659B2FE" w14:textId="358E8C84">
      <w:pPr>
        <w:spacing w:after="0"/>
      </w:pPr>
      <w:r w:rsidRPr="00696F7C">
        <w:t>Lilly.sadler@nih.gov</w:t>
      </w:r>
    </w:p>
    <w:p w:rsidR="007D3181" w:rsidP="007D3181" w14:paraId="4931D80D" w14:textId="183A41A4">
      <w:pPr>
        <w:spacing w:after="0"/>
        <w:rPr>
          <w:b/>
        </w:rPr>
      </w:pPr>
    </w:p>
    <w:p w:rsidR="007D3181" w:rsidP="007D3181" w14:paraId="0DF4FF08" w14:textId="77777777">
      <w:pPr>
        <w:spacing w:after="0"/>
        <w:rPr>
          <w:b/>
        </w:rPr>
      </w:pPr>
    </w:p>
    <w:p w:rsidR="007D3181" w:rsidRPr="006F7AFA" w:rsidP="007D3181" w14:paraId="6EE94548" w14:textId="77777777">
      <w:pPr>
        <w:rPr>
          <w:rFonts w:ascii="Times New Roman" w:hAnsi="Times New Roman" w:cs="Times New Roman"/>
          <w:b/>
          <w:sz w:val="24"/>
          <w:szCs w:val="24"/>
        </w:rPr>
      </w:pPr>
      <w:r w:rsidRPr="006F7AFA">
        <w:rPr>
          <w:rFonts w:ascii="Times New Roman" w:hAnsi="Times New Roman" w:cs="Times New Roman"/>
          <w:b/>
          <w:sz w:val="24"/>
          <w:szCs w:val="24"/>
        </w:rPr>
        <w:t>TYPE OF COLLECTION:</w:t>
      </w:r>
      <w:r w:rsidRPr="006F7AFA">
        <w:rPr>
          <w:rFonts w:ascii="Times New Roman" w:hAnsi="Times New Roman" w:cs="Times New Roman"/>
          <w:sz w:val="24"/>
          <w:szCs w:val="24"/>
        </w:rPr>
        <w:t xml:space="preserve"> (Check one)</w:t>
      </w:r>
    </w:p>
    <w:p w:rsidR="007D3181" w:rsidRPr="006F7AFA" w:rsidP="007D3181" w14:paraId="0613CB1A" w14:textId="77777777">
      <w:pPr>
        <w:pStyle w:val="BodyTextIndent"/>
        <w:tabs>
          <w:tab w:val="left" w:pos="360"/>
        </w:tabs>
        <w:ind w:left="0"/>
        <w:rPr>
          <w:bCs/>
          <w:sz w:val="24"/>
          <w:szCs w:val="24"/>
        </w:rPr>
      </w:pPr>
    </w:p>
    <w:p w:rsidR="007D3181" w:rsidRPr="006F7AFA" w:rsidP="007D3181" w14:paraId="4063664F" w14:textId="77777777">
      <w:pPr>
        <w:pStyle w:val="BodyTextIndent"/>
        <w:tabs>
          <w:tab w:val="left" w:pos="360"/>
        </w:tabs>
        <w:ind w:left="0"/>
        <w:rPr>
          <w:bCs/>
          <w:sz w:val="24"/>
          <w:szCs w:val="24"/>
        </w:rPr>
      </w:pPr>
      <w:r w:rsidRPr="006F7AFA">
        <w:rPr>
          <w:bCs/>
          <w:sz w:val="24"/>
          <w:szCs w:val="24"/>
        </w:rPr>
        <w:t>[ ]</w:t>
      </w:r>
      <w:r w:rsidRPr="006F7AFA">
        <w:rPr>
          <w:bCs/>
          <w:sz w:val="24"/>
          <w:szCs w:val="24"/>
        </w:rPr>
        <w:t xml:space="preserve"> Data Catalogue</w:t>
      </w:r>
      <w:r w:rsidRPr="006F7AFA">
        <w:rPr>
          <w:bCs/>
          <w:sz w:val="24"/>
          <w:szCs w:val="24"/>
        </w:rPr>
        <w:tab/>
        <w:t xml:space="preserve"> </w:t>
      </w:r>
      <w:r w:rsidRPr="006F7AFA">
        <w:rPr>
          <w:bCs/>
          <w:sz w:val="24"/>
          <w:szCs w:val="24"/>
        </w:rPr>
        <w:tab/>
      </w:r>
      <w:r w:rsidRPr="006F7AFA">
        <w:rPr>
          <w:bCs/>
          <w:sz w:val="24"/>
          <w:szCs w:val="24"/>
        </w:rPr>
        <w:tab/>
      </w:r>
      <w:r w:rsidRPr="006F7AFA">
        <w:rPr>
          <w:bCs/>
          <w:sz w:val="24"/>
          <w:szCs w:val="24"/>
        </w:rPr>
        <w:tab/>
      </w:r>
      <w:r w:rsidRPr="006F7AFA">
        <w:rPr>
          <w:bCs/>
          <w:sz w:val="24"/>
          <w:szCs w:val="24"/>
        </w:rPr>
        <w:tab/>
        <w:t>[ ] Repository of Tools and Best Practices</w:t>
      </w:r>
    </w:p>
    <w:p w:rsidR="007D3181" w:rsidRPr="006F7AFA" w:rsidP="007D3181" w14:paraId="4058B193" w14:textId="77777777">
      <w:pPr>
        <w:pStyle w:val="BodyTextIndent"/>
        <w:tabs>
          <w:tab w:val="left" w:pos="360"/>
        </w:tabs>
        <w:ind w:left="0"/>
        <w:rPr>
          <w:bCs/>
          <w:sz w:val="24"/>
          <w:szCs w:val="24"/>
        </w:rPr>
      </w:pPr>
      <w:r w:rsidRPr="006F7AFA">
        <w:rPr>
          <w:bCs/>
          <w:sz w:val="24"/>
          <w:szCs w:val="24"/>
        </w:rPr>
        <w:t>[ ]</w:t>
      </w:r>
      <w:r w:rsidRPr="006F7AFA">
        <w:rPr>
          <w:bCs/>
          <w:sz w:val="24"/>
          <w:szCs w:val="24"/>
        </w:rPr>
        <w:t xml:space="preserve"> </w:t>
      </w:r>
      <w:r w:rsidRPr="006F7AFA">
        <w:rPr>
          <w:bCs/>
          <w:sz w:val="24"/>
          <w:szCs w:val="24"/>
        </w:rPr>
        <w:tab/>
        <w:t>Recommendations of scientific reviewers</w:t>
      </w:r>
      <w:r w:rsidRPr="006F7AFA">
        <w:rPr>
          <w:bCs/>
          <w:sz w:val="24"/>
          <w:szCs w:val="24"/>
        </w:rPr>
        <w:tab/>
        <w:t>[ ] Resources</w:t>
      </w:r>
    </w:p>
    <w:p w:rsidR="007D3181" w:rsidRPr="006F7AFA" w:rsidP="007D3181" w14:paraId="25A13C2E" w14:textId="21CCB023">
      <w:pPr>
        <w:pStyle w:val="BodyTextIndent"/>
        <w:tabs>
          <w:tab w:val="left" w:pos="360"/>
        </w:tabs>
        <w:ind w:left="0"/>
        <w:rPr>
          <w:bCs/>
          <w:sz w:val="24"/>
          <w:szCs w:val="24"/>
        </w:rPr>
      </w:pPr>
      <w:r w:rsidRPr="006F7AFA">
        <w:rPr>
          <w:bCs/>
          <w:sz w:val="24"/>
          <w:szCs w:val="24"/>
        </w:rPr>
        <w:t>[ ]</w:t>
      </w:r>
      <w:r w:rsidRPr="006F7AFA">
        <w:rPr>
          <w:bCs/>
          <w:sz w:val="24"/>
          <w:szCs w:val="24"/>
        </w:rPr>
        <w:t xml:space="preserve"> Call for Nominations</w:t>
      </w:r>
      <w:r w:rsidRPr="006F7AFA">
        <w:rPr>
          <w:bCs/>
          <w:sz w:val="24"/>
          <w:szCs w:val="24"/>
        </w:rPr>
        <w:tab/>
      </w:r>
      <w:r w:rsidRPr="006F7AFA">
        <w:rPr>
          <w:bCs/>
          <w:sz w:val="24"/>
          <w:szCs w:val="24"/>
        </w:rPr>
        <w:tab/>
      </w:r>
      <w:r w:rsidRPr="006F7AFA">
        <w:rPr>
          <w:bCs/>
          <w:sz w:val="24"/>
          <w:szCs w:val="24"/>
        </w:rPr>
        <w:tab/>
      </w:r>
      <w:r w:rsidRPr="006F7AFA">
        <w:rPr>
          <w:bCs/>
          <w:sz w:val="24"/>
          <w:szCs w:val="24"/>
        </w:rPr>
        <w:tab/>
        <w:t xml:space="preserve">[ </w:t>
      </w:r>
      <w:r w:rsidR="00696F7C">
        <w:rPr>
          <w:bCs/>
          <w:sz w:val="24"/>
          <w:szCs w:val="24"/>
        </w:rPr>
        <w:t>x</w:t>
      </w:r>
      <w:r w:rsidRPr="006F7AFA">
        <w:rPr>
          <w:bCs/>
          <w:sz w:val="24"/>
          <w:szCs w:val="24"/>
        </w:rPr>
        <w:t>] Other:</w:t>
      </w:r>
      <w:r w:rsidRPr="006F7AFA">
        <w:rPr>
          <w:bCs/>
          <w:sz w:val="24"/>
          <w:szCs w:val="24"/>
          <w:u w:val="single"/>
        </w:rPr>
        <w:t xml:space="preserve"> ___</w:t>
      </w:r>
      <w:r w:rsidR="00696F7C">
        <w:rPr>
          <w:bCs/>
          <w:sz w:val="24"/>
          <w:szCs w:val="24"/>
          <w:u w:val="single"/>
        </w:rPr>
        <w:t>Feedback</w:t>
      </w:r>
      <w:r w:rsidRPr="006F7AFA">
        <w:rPr>
          <w:bCs/>
          <w:sz w:val="24"/>
          <w:szCs w:val="24"/>
          <w:u w:val="single"/>
        </w:rPr>
        <w:t>____</w:t>
      </w:r>
      <w:r w:rsidRPr="006F7AFA">
        <w:rPr>
          <w:bCs/>
          <w:sz w:val="24"/>
          <w:szCs w:val="24"/>
          <w:u w:val="single"/>
        </w:rPr>
        <w:tab/>
      </w:r>
    </w:p>
    <w:p w:rsidR="007D3181" w:rsidP="007D3181" w14:paraId="358E7A24" w14:textId="77777777">
      <w:pPr>
        <w:pStyle w:val="Header"/>
      </w:pPr>
    </w:p>
    <w:p w:rsidR="00595D1E" w:rsidRPr="00113647" w:rsidP="007D3181" w14:paraId="0C65252C" w14:textId="5B73037D">
      <w:pPr>
        <w:spacing w:after="0"/>
        <w:rPr>
          <w:b/>
        </w:rPr>
      </w:pPr>
      <w:r w:rsidRPr="00113647">
        <w:rPr>
          <w:b/>
        </w:rPr>
        <w:br w:type="page"/>
      </w:r>
    </w:p>
    <w:p w:rsidR="00DB27F3" w:rsidRPr="00113647" w:rsidP="008716F6" w14:paraId="1F4FBF3C" w14:textId="1C97BFCC">
      <w:pPr>
        <w:spacing w:after="20"/>
        <w:jc w:val="center"/>
        <w:rPr>
          <w:b/>
        </w:rPr>
      </w:pPr>
      <w:r>
        <w:rPr>
          <w:b/>
        </w:rPr>
        <w:t xml:space="preserve">Mini </w:t>
      </w:r>
      <w:r w:rsidRPr="00113647" w:rsidR="008716F6">
        <w:rPr>
          <w:b/>
        </w:rPr>
        <w:t>Supporting Statement</w:t>
      </w:r>
      <w:r w:rsidR="008529CC">
        <w:rPr>
          <w:b/>
        </w:rPr>
        <w:t xml:space="preserve"> A</w:t>
      </w:r>
    </w:p>
    <w:p w:rsidR="008716F6" w:rsidP="008716F6" w14:paraId="1541B169" w14:textId="77777777">
      <w:pPr>
        <w:spacing w:after="20"/>
      </w:pPr>
    </w:p>
    <w:p w:rsidR="008716F6" w:rsidRPr="006270A6" w:rsidP="008716F6" w14:paraId="143FC5B1" w14:textId="77777777">
      <w:pPr>
        <w:spacing w:after="20"/>
        <w:rPr>
          <w:b/>
        </w:rPr>
      </w:pPr>
      <w:r w:rsidRPr="006270A6">
        <w:rPr>
          <w:b/>
        </w:rPr>
        <w:t>A.1 Circumstances Making the Collection of Information Necessary</w:t>
      </w:r>
    </w:p>
    <w:p w:rsidR="00960AAD" w:rsidRPr="006270A6" w:rsidP="00003BE1" w14:paraId="772B03FB" w14:textId="77777777">
      <w:pPr>
        <w:spacing w:after="20"/>
      </w:pPr>
    </w:p>
    <w:p w:rsidR="00696F7C" w:rsidRPr="006270A6" w:rsidP="00003BE1" w14:paraId="6C76FFB0" w14:textId="042EE070">
      <w:pPr>
        <w:spacing w:after="20"/>
      </w:pPr>
      <w:r w:rsidRPr="006270A6">
        <w:t xml:space="preserve">The National Eye Institute is inviting NEI </w:t>
      </w:r>
      <w:r w:rsidRPr="006270A6" w:rsidR="00960AAD">
        <w:t>stakeholders</w:t>
      </w:r>
      <w:r w:rsidRPr="006270A6">
        <w:t xml:space="preserve"> to review </w:t>
      </w:r>
      <w:r w:rsidRPr="006270A6" w:rsidR="00960AAD">
        <w:t xml:space="preserve">the NEI </w:t>
      </w:r>
      <w:r w:rsidRPr="006270A6" w:rsidR="00960AAD">
        <w:rPr>
          <w:rFonts w:eastAsia="Times New Roman" w:cstheme="minorHAnsi"/>
        </w:rPr>
        <w:t xml:space="preserve">Diversity, Equity, Inclusion and Accessibility (DEIA) Strategic Plan </w:t>
      </w:r>
      <w:r w:rsidRPr="006270A6">
        <w:t xml:space="preserve">and take the accompanying survey to offer </w:t>
      </w:r>
      <w:r w:rsidRPr="006270A6">
        <w:rPr>
          <w:rFonts w:eastAsia="Times New Roman" w:cstheme="minorHAnsi"/>
        </w:rPr>
        <w:t xml:space="preserve">feedback, ideas, and reflections. </w:t>
      </w:r>
    </w:p>
    <w:p w:rsidR="00003BE1" w:rsidRPr="006270A6" w:rsidP="008716F6" w14:paraId="3C715BB9" w14:textId="77777777">
      <w:pPr>
        <w:spacing w:after="20"/>
      </w:pPr>
    </w:p>
    <w:p w:rsidR="00960AAD" w:rsidRPr="006270A6" w:rsidP="008716F6" w14:paraId="0EEF514A" w14:textId="2F11CAB6">
      <w:pPr>
        <w:spacing w:after="20"/>
        <w:rPr>
          <w:b/>
        </w:rPr>
      </w:pPr>
      <w:r w:rsidRPr="006270A6">
        <w:rPr>
          <w:b/>
        </w:rPr>
        <w:t>A.2 Purpose and Use of the Information Collection</w:t>
      </w:r>
    </w:p>
    <w:p w:rsidR="005C053D" w:rsidRPr="006270A6" w:rsidP="008716F6" w14:paraId="589A772A" w14:textId="77777777">
      <w:pPr>
        <w:spacing w:after="20"/>
        <w:rPr>
          <w:b/>
        </w:rPr>
      </w:pPr>
    </w:p>
    <w:p w:rsidR="00960AAD" w:rsidRPr="006270A6" w:rsidP="00960AAD" w14:paraId="5C580E8B" w14:textId="723F26E5">
      <w:pPr>
        <w:widowControl w:val="0"/>
        <w:spacing w:after="0" w:line="240" w:lineRule="auto"/>
      </w:pPr>
      <w:r w:rsidRPr="006270A6">
        <w:t>The focus is on promoting wide engagement in understanding the priorities of the NEI DEIA Strategic Plan and gathering input from the widest array of NEI stakeholders. During this phase, NEI will Introduce the DEIA Strategic Plan “preview” to NEI staff, create several mechanisms to capture, review and respond to staff feedback. Taking a strategic and thoughtful approach over the next several months will be critical in getting the necessary buy-in and engagement for implementation of the strategic plan</w:t>
      </w:r>
      <w:r w:rsidRPr="006270A6" w:rsidR="005C053D">
        <w:t xml:space="preserve"> by NEI Senior Leadership and the NEI DEIA Council. </w:t>
      </w:r>
    </w:p>
    <w:p w:rsidR="00003BE1" w:rsidRPr="006270A6" w:rsidP="008716F6" w14:paraId="2488079D" w14:textId="77777777">
      <w:pPr>
        <w:spacing w:after="20"/>
      </w:pPr>
    </w:p>
    <w:p w:rsidR="00AA59DF" w:rsidRPr="000B2967" w:rsidP="008716F6" w14:paraId="6B830C91" w14:textId="593ACC85">
      <w:pPr>
        <w:spacing w:after="20"/>
        <w:rPr>
          <w:b/>
        </w:rPr>
      </w:pPr>
      <w:r w:rsidRPr="006270A6">
        <w:rPr>
          <w:b/>
        </w:rPr>
        <w:t>A.3 Use of Information Technology to Reduce Burden</w:t>
      </w:r>
    </w:p>
    <w:p w:rsidR="000B2967" w:rsidP="00DB6DF4" w14:paraId="1EC72749" w14:textId="77777777">
      <w:pPr>
        <w:spacing w:after="0" w:line="240" w:lineRule="auto"/>
        <w:rPr>
          <w:rFonts w:cstheme="minorHAnsi"/>
        </w:rPr>
      </w:pPr>
    </w:p>
    <w:p w:rsidR="000B2967" w:rsidP="00DB6DF4" w14:paraId="7E9963DC" w14:textId="1A0EDB6B">
      <w:pPr>
        <w:spacing w:after="0" w:line="240" w:lineRule="auto"/>
        <w:rPr>
          <w:rFonts w:cstheme="minorHAnsi"/>
        </w:rPr>
      </w:pPr>
      <w:r>
        <w:rPr>
          <w:rFonts w:cstheme="minorHAnsi"/>
        </w:rPr>
        <w:t xml:space="preserve">HHS Privacy Impact Assessment (PIA) for Survey Monkey </w:t>
      </w:r>
    </w:p>
    <w:p w:rsidR="000B2967" w:rsidP="00DB6DF4" w14:paraId="4C2F11FF" w14:textId="43F43B2B">
      <w:pPr>
        <w:spacing w:after="0" w:line="240" w:lineRule="auto"/>
      </w:pPr>
      <w:r>
        <w:t>TPWA Unique Identifier: T-5919681-488370</w:t>
      </w:r>
    </w:p>
    <w:p w:rsidR="000B2967" w:rsidRPr="006270A6" w:rsidP="00DB6DF4" w14:paraId="0B8EAA0E" w14:textId="77777777">
      <w:pPr>
        <w:spacing w:after="0" w:line="240" w:lineRule="auto"/>
        <w:rPr>
          <w:rFonts w:cstheme="minorHAnsi"/>
        </w:rPr>
      </w:pPr>
    </w:p>
    <w:p w:rsidR="004C7969" w:rsidRPr="000B2967" w:rsidP="00DB6DF4" w14:paraId="0EB5A3AC" w14:textId="0F4422B5">
      <w:pPr>
        <w:spacing w:after="0" w:line="240" w:lineRule="auto"/>
        <w:rPr>
          <w:rFonts w:cstheme="minorHAnsi"/>
        </w:rPr>
      </w:pPr>
      <w:r w:rsidRPr="006270A6">
        <w:rPr>
          <w:rFonts w:cstheme="minorHAnsi"/>
        </w:rPr>
        <w:t xml:space="preserve">The collection of this information involves the use of the software tool Survey Monkey, which allows for electronic submission of responses. This tool will reduce the burden of time for stakeholders </w:t>
      </w:r>
      <w:r w:rsidRPr="006270A6">
        <w:rPr>
          <w:rFonts w:cstheme="minorHAnsi"/>
        </w:rPr>
        <w:t>and also</w:t>
      </w:r>
      <w:r w:rsidRPr="006270A6">
        <w:rPr>
          <w:rFonts w:cstheme="minorHAnsi"/>
        </w:rPr>
        <w:t xml:space="preserve"> the analysis of the data given that it is aggregated and summarized. </w:t>
      </w:r>
      <w:r w:rsidRPr="006270A6">
        <w:rPr>
          <w:rFonts w:eastAsia="Times New Roman" w:cstheme="minorHAnsi"/>
        </w:rPr>
        <w:t xml:space="preserve">SurveyMonkey.com is a company that offers powerful web-based survey solutions so organizations of all sizes can gain the insights they need to make more informed decisions.  It enables users to create their own web-survey, collect responses and analyze results using free (e.g., basic) and enhanced paid products and services (e.g., select, gold and platinum).  It is used by survey creators (people who create and conduct surveys online) and survey respondents (people who answer those surveys).  It allows a user to design a survey using several question formats (e.g., multiple choice, true/false, open-ended) and color palettes, e-mail and track respondents and export data into SAS/SPSS programs for more complex analysis.  </w:t>
      </w:r>
    </w:p>
    <w:p w:rsidR="00003BE1" w:rsidRPr="000B2967" w:rsidP="000B2967" w14:paraId="08E95EDA" w14:textId="7B1E8EDC">
      <w:pPr>
        <w:spacing w:after="0" w:line="240" w:lineRule="auto"/>
        <w:rPr>
          <w:rFonts w:eastAsia="Times New Roman" w:cstheme="minorHAnsi"/>
        </w:rPr>
      </w:pPr>
      <w:r w:rsidRPr="006270A6">
        <w:rPr>
          <w:rFonts w:eastAsia="Times New Roman" w:cstheme="minorHAnsi"/>
        </w:rPr>
        <w:t xml:space="preserve">  </w:t>
      </w:r>
    </w:p>
    <w:p w:rsidR="008716F6" w:rsidRPr="006270A6" w:rsidP="008716F6" w14:paraId="16F7BD87" w14:textId="77777777">
      <w:pPr>
        <w:spacing w:after="20"/>
        <w:rPr>
          <w:b/>
        </w:rPr>
      </w:pPr>
      <w:r w:rsidRPr="006270A6">
        <w:rPr>
          <w:b/>
        </w:rPr>
        <w:t>A.4 Efforts to Identify Duplication</w:t>
      </w:r>
    </w:p>
    <w:p w:rsidR="00DB6DF4" w:rsidRPr="006270A6" w:rsidP="008716F6" w14:paraId="34D44F9B" w14:textId="4FFEC367">
      <w:pPr>
        <w:spacing w:after="20"/>
      </w:pPr>
    </w:p>
    <w:p w:rsidR="00DB6DF4" w:rsidRPr="006270A6" w:rsidP="00DB6DF4" w14:paraId="7B9B14F1" w14:textId="432347DA">
      <w:r w:rsidRPr="006270A6">
        <w:t>By default, Multiple Responses in Survey Monkey is turned off for collectors, meaning the survey allows only one response per browser or email address. When Multiple Responses is off and someone tries to take the survey again using the same browser, they'll see a message that they already took the survey.</w:t>
      </w:r>
    </w:p>
    <w:p w:rsidR="00003BE1" w:rsidRPr="006270A6" w:rsidP="008716F6" w14:paraId="50116A33" w14:textId="77777777">
      <w:pPr>
        <w:spacing w:after="20"/>
        <w:rPr>
          <w:b/>
        </w:rPr>
      </w:pPr>
    </w:p>
    <w:p w:rsidR="008716F6" w:rsidRPr="006270A6" w:rsidP="008716F6" w14:paraId="2CEE54B9" w14:textId="77777777">
      <w:pPr>
        <w:spacing w:after="20"/>
        <w:rPr>
          <w:b/>
        </w:rPr>
      </w:pPr>
      <w:r w:rsidRPr="006270A6">
        <w:rPr>
          <w:b/>
        </w:rPr>
        <w:t>A.5 Impact on Small Businesses or Other Small Entities</w:t>
      </w:r>
    </w:p>
    <w:p w:rsidR="008716F6" w:rsidRPr="006270A6" w:rsidP="008716F6" w14:paraId="4E350690" w14:textId="77777777">
      <w:pPr>
        <w:spacing w:after="20"/>
      </w:pPr>
      <w:r w:rsidRPr="006270A6">
        <w:t>N/A</w:t>
      </w:r>
    </w:p>
    <w:p w:rsidR="008716F6" w:rsidRPr="006270A6" w:rsidP="008716F6" w14:paraId="6349957B" w14:textId="77777777">
      <w:pPr>
        <w:spacing w:after="20"/>
      </w:pPr>
    </w:p>
    <w:p w:rsidR="008716F6" w:rsidRPr="006270A6" w:rsidP="008716F6" w14:paraId="18F8815A" w14:textId="77777777">
      <w:pPr>
        <w:spacing w:after="20"/>
        <w:rPr>
          <w:b/>
        </w:rPr>
      </w:pPr>
      <w:r w:rsidRPr="006270A6">
        <w:rPr>
          <w:b/>
        </w:rPr>
        <w:t>A.6 Consequences of Collecting the Information Less Frequently</w:t>
      </w:r>
    </w:p>
    <w:p w:rsidR="006529C8" w:rsidRPr="006270A6" w:rsidP="008716F6" w14:paraId="44F7BB5D" w14:textId="6EDBC68F">
      <w:pPr>
        <w:spacing w:after="20"/>
      </w:pPr>
    </w:p>
    <w:p w:rsidR="006529C8" w:rsidRPr="006270A6" w:rsidP="006529C8" w14:paraId="5B0DBD13" w14:textId="19D4A77B">
      <w:pPr>
        <w:spacing w:after="0" w:line="240" w:lineRule="auto"/>
        <w:rPr>
          <w:rFonts w:eastAsia="Times New Roman" w:cstheme="minorHAnsi"/>
        </w:rPr>
      </w:pPr>
      <w:r w:rsidRPr="006270A6">
        <w:rPr>
          <w:rFonts w:eastAsia="Times New Roman" w:cstheme="minorHAnsi"/>
        </w:rPr>
        <w:t xml:space="preserve">Prioritizing Diversity, Equity, Inclusion and Accessibility (DEIA) matters because it is “people work” and critical for building a culture where every person feels seen, heard, and valued. DEIA generates intentional strategies to </w:t>
      </w:r>
      <w:r w:rsidRPr="006270A6">
        <w:rPr>
          <w:rFonts w:eastAsia="Times New Roman" w:cstheme="minorHAnsi"/>
        </w:rPr>
        <w:t xml:space="preserve">bring forth and amplify voices so we can be more inclusive, more respectful, and increase everyone’s sense of dignity and belonging. DEIA means creating environments for all our staff members where everyone has ample opportunity for growth and development. </w:t>
      </w:r>
    </w:p>
    <w:p w:rsidR="004B3C21" w:rsidRPr="00113647" w:rsidP="008716F6" w14:paraId="4BF9546C" w14:textId="77777777">
      <w:pPr>
        <w:spacing w:after="20"/>
      </w:pPr>
    </w:p>
    <w:p w:rsidR="008716F6" w:rsidRPr="00113647" w:rsidP="008716F6" w14:paraId="3FB59BB3" w14:textId="77777777">
      <w:pPr>
        <w:spacing w:after="20"/>
        <w:rPr>
          <w:b/>
        </w:rPr>
      </w:pPr>
      <w:r w:rsidRPr="00113647">
        <w:rPr>
          <w:b/>
        </w:rPr>
        <w:t>A.7 Special Circumstances Relating to the Guidelines of 5 CFR 1320.5</w:t>
      </w:r>
    </w:p>
    <w:p w:rsidR="004B3C21" w:rsidP="008716F6" w14:paraId="54F24C88" w14:textId="77777777">
      <w:pPr>
        <w:spacing w:after="20"/>
      </w:pPr>
    </w:p>
    <w:p w:rsidR="008716F6" w:rsidRPr="00113647" w:rsidP="008716F6" w14:paraId="3522E670" w14:textId="6E6EE1BC">
      <w:pPr>
        <w:spacing w:after="20"/>
      </w:pPr>
      <w:r w:rsidRPr="00113647">
        <w:t>This survey will be implemented in a manner that fully complies with 5 C.F.R. 1320.5.</w:t>
      </w:r>
      <w:r w:rsidR="004B3C21">
        <w:t xml:space="preserve"> *Standard text*</w:t>
      </w:r>
    </w:p>
    <w:p w:rsidR="008716F6" w:rsidRPr="00113647" w:rsidP="008716F6" w14:paraId="16EF2A4F" w14:textId="77777777">
      <w:pPr>
        <w:spacing w:after="20"/>
      </w:pPr>
    </w:p>
    <w:p w:rsidR="008716F6" w:rsidRPr="00113647" w:rsidP="008716F6" w14:paraId="7036E772" w14:textId="77777777">
      <w:pPr>
        <w:spacing w:after="20"/>
        <w:rPr>
          <w:b/>
        </w:rPr>
      </w:pPr>
      <w:r w:rsidRPr="00113647">
        <w:rPr>
          <w:b/>
        </w:rPr>
        <w:t>A.8 Comments in Response to the Federal Register Notice and Efforts to Consult Outside Agency</w:t>
      </w:r>
    </w:p>
    <w:p w:rsidR="008716F6" w:rsidRPr="00113647" w:rsidP="008716F6" w14:paraId="0559FCF3" w14:textId="77777777">
      <w:pPr>
        <w:spacing w:after="20"/>
      </w:pPr>
      <w:r w:rsidRPr="00113647">
        <w:t>N/A</w:t>
      </w:r>
    </w:p>
    <w:p w:rsidR="008716F6" w:rsidRPr="00113647" w:rsidP="008716F6" w14:paraId="6849A58E" w14:textId="77777777">
      <w:pPr>
        <w:spacing w:after="20"/>
      </w:pPr>
    </w:p>
    <w:p w:rsidR="008716F6" w:rsidP="008716F6" w14:paraId="6C612A06" w14:textId="77777777">
      <w:pPr>
        <w:spacing w:after="20"/>
        <w:rPr>
          <w:b/>
        </w:rPr>
      </w:pPr>
      <w:r w:rsidRPr="00113647">
        <w:rPr>
          <w:b/>
        </w:rPr>
        <w:t xml:space="preserve">A.9 </w:t>
      </w:r>
      <w:r w:rsidRPr="00113647" w:rsidR="00477A8E">
        <w:rPr>
          <w:b/>
        </w:rPr>
        <w:t>Explanation of Any Payment of Gift to Respondents</w:t>
      </w:r>
    </w:p>
    <w:p w:rsidR="00DB6DF4" w:rsidP="008716F6" w14:paraId="2B84C322" w14:textId="1F3EC8E5">
      <w:pPr>
        <w:spacing w:after="20"/>
      </w:pPr>
    </w:p>
    <w:p w:rsidR="00DB6DF4" w:rsidRPr="006270A6" w:rsidP="008716F6" w14:paraId="46ADAEFD" w14:textId="290CED3B">
      <w:pPr>
        <w:spacing w:after="20"/>
      </w:pPr>
      <w:r w:rsidRPr="006270A6">
        <w:t>N/A</w:t>
      </w:r>
    </w:p>
    <w:p w:rsidR="004B3C21" w:rsidRPr="006270A6" w:rsidP="008716F6" w14:paraId="4873BA4C" w14:textId="77777777">
      <w:pPr>
        <w:spacing w:after="20"/>
      </w:pPr>
    </w:p>
    <w:p w:rsidR="00DB6DF4" w:rsidRPr="006270A6" w:rsidP="004B3C21" w14:paraId="67E2B5AB" w14:textId="7A33C474">
      <w:pPr>
        <w:spacing w:after="20"/>
        <w:rPr>
          <w:b/>
        </w:rPr>
      </w:pPr>
      <w:r w:rsidRPr="006270A6">
        <w:rPr>
          <w:b/>
        </w:rPr>
        <w:t>A.10 Assurance of Confidentiality Provided to Respondents</w:t>
      </w:r>
    </w:p>
    <w:p w:rsidR="00DB6DF4" w:rsidRPr="006270A6" w:rsidP="004B3C21" w14:paraId="2F0496A5" w14:textId="77777777">
      <w:pPr>
        <w:spacing w:after="20"/>
        <w:rPr>
          <w:b/>
        </w:rPr>
      </w:pPr>
    </w:p>
    <w:p w:rsidR="00DB6DF4" w:rsidRPr="006270A6" w:rsidP="008716F6" w14:paraId="1F687865" w14:textId="5E13FF32">
      <w:pPr>
        <w:spacing w:after="20"/>
      </w:pPr>
      <w:r w:rsidRPr="006270A6">
        <w:t xml:space="preserve">Private to the extent permitted by law and Personally Identifiable Information (PII) will not be collected. </w:t>
      </w:r>
    </w:p>
    <w:p w:rsidR="004B3C21" w:rsidRPr="006270A6" w:rsidP="008716F6" w14:paraId="760329D5" w14:textId="77777777">
      <w:pPr>
        <w:spacing w:after="20"/>
        <w:rPr>
          <w:b/>
        </w:rPr>
      </w:pPr>
    </w:p>
    <w:p w:rsidR="001D2741" w:rsidRPr="006270A6" w:rsidP="008716F6" w14:paraId="0810AD11" w14:textId="77777777">
      <w:pPr>
        <w:spacing w:after="20"/>
        <w:rPr>
          <w:b/>
        </w:rPr>
      </w:pPr>
      <w:r w:rsidRPr="006270A6">
        <w:rPr>
          <w:b/>
        </w:rPr>
        <w:t>A.11 Justification for Sensitive Questions</w:t>
      </w:r>
    </w:p>
    <w:p w:rsidR="004B3C21" w:rsidRPr="006270A6" w:rsidP="008716F6" w14:paraId="55E84668" w14:textId="77777777">
      <w:pPr>
        <w:spacing w:after="20"/>
      </w:pPr>
    </w:p>
    <w:p w:rsidR="00063927" w:rsidRPr="006270A6" w:rsidP="008716F6" w14:paraId="0F82A8CB" w14:textId="39583454">
      <w:pPr>
        <w:spacing w:after="20"/>
      </w:pPr>
      <w:r w:rsidRPr="006270A6">
        <w:t>N/A</w:t>
      </w:r>
    </w:p>
    <w:p w:rsidR="00063927" w:rsidP="008716F6" w14:paraId="389E8650" w14:textId="77777777">
      <w:pPr>
        <w:spacing w:after="20"/>
      </w:pPr>
    </w:p>
    <w:p w:rsidR="00907E64" w:rsidP="00907E64" w14:paraId="4F307C57" w14:textId="77777777">
      <w:pPr>
        <w:spacing w:after="20"/>
        <w:rPr>
          <w:b/>
        </w:rPr>
      </w:pPr>
      <w:r w:rsidRPr="00B6738F">
        <w:rPr>
          <w:b/>
        </w:rPr>
        <w:t>A.12.1</w:t>
      </w:r>
      <w:r w:rsidRPr="00B6738F">
        <w:rPr>
          <w:b/>
        </w:rPr>
        <w:tab/>
        <w:t>Estimated Annualized Burden Hours</w:t>
      </w:r>
    </w:p>
    <w:p w:rsidR="00907E64" w:rsidRPr="00907E64" w:rsidP="00907E64" w14:paraId="4A4A3DC3" w14:textId="77777777">
      <w:pPr>
        <w:spacing w:after="20"/>
        <w:rPr>
          <w:b/>
        </w:rPr>
      </w:pPr>
    </w:p>
    <w:p w:rsidR="00063927" w:rsidP="008716F6" w14:paraId="7346E0D7" w14:textId="4D610473">
      <w:pPr>
        <w:spacing w:after="20"/>
      </w:pPr>
      <w:r w:rsidRPr="00942DB8">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63927" w:rsidRPr="00113647" w:rsidP="008716F6" w14:paraId="012C970A" w14:textId="26AB02B9">
      <w:pPr>
        <w:spacing w:after="20"/>
      </w:pPr>
      <w:r>
        <w:t xml:space="preserve">  </w:t>
      </w:r>
    </w:p>
    <w:p w:rsidR="001D2741" w:rsidRPr="00113647" w:rsidP="008716F6" w14:paraId="6B78A939" w14:textId="77777777">
      <w:pPr>
        <w:spacing w:after="20"/>
      </w:pPr>
    </w:p>
    <w:p w:rsidR="002F3354" w:rsidP="006529C8" w14:paraId="04F8B5B4" w14:textId="408F75AB">
      <w:pPr>
        <w:spacing w:after="20"/>
        <w:rPr>
          <w:b/>
        </w:rPr>
      </w:pPr>
      <w:r>
        <w:rPr>
          <w:b/>
        </w:rPr>
        <w:t xml:space="preserve">                                             </w:t>
      </w:r>
      <w:r w:rsidRPr="00113647" w:rsidR="001D2741">
        <w:rPr>
          <w:b/>
        </w:rPr>
        <w:t>A.12</w:t>
      </w:r>
      <w:r w:rsidR="00AF01AD">
        <w:rPr>
          <w:b/>
        </w:rPr>
        <w:t>-1</w:t>
      </w:r>
      <w:r w:rsidRPr="00113647" w:rsidR="001D2741">
        <w:rPr>
          <w:b/>
        </w:rPr>
        <w:t xml:space="preserve"> Estimate</w:t>
      </w:r>
      <w:r>
        <w:rPr>
          <w:b/>
        </w:rPr>
        <w:t>d Annualized Burden Hours</w:t>
      </w:r>
    </w:p>
    <w:p w:rsidR="002F3354" w:rsidP="008716F6" w14:paraId="6ECF8F3F" w14:textId="77777777">
      <w:pPr>
        <w:spacing w:after="20"/>
        <w:rPr>
          <w:b/>
        </w:rPr>
      </w:pPr>
    </w:p>
    <w:tbl>
      <w:tblPr>
        <w:tblW w:w="10170" w:type="dxa"/>
        <w:tblInd w:w="-369" w:type="dxa"/>
        <w:tblLayout w:type="fixed"/>
        <w:tblCellMar>
          <w:left w:w="102" w:type="dxa"/>
          <w:right w:w="102" w:type="dxa"/>
        </w:tblCellMar>
        <w:tblLook w:val="0000"/>
      </w:tblPr>
      <w:tblGrid>
        <w:gridCol w:w="2790"/>
        <w:gridCol w:w="2169"/>
        <w:gridCol w:w="1710"/>
        <w:gridCol w:w="1431"/>
        <w:gridCol w:w="2070"/>
      </w:tblGrid>
      <w:tr w14:paraId="78281B44" w14:textId="77777777" w:rsidTr="00C705EC">
        <w:tblPrEx>
          <w:tblW w:w="10170" w:type="dxa"/>
          <w:tblInd w:w="-369" w:type="dxa"/>
          <w:tblLayout w:type="fixed"/>
          <w:tblCellMar>
            <w:left w:w="102" w:type="dxa"/>
            <w:right w:w="102" w:type="dxa"/>
          </w:tblCellMar>
          <w:tblLook w:val="0000"/>
        </w:tblPrEx>
        <w:tc>
          <w:tcPr>
            <w:tcW w:w="2790" w:type="dxa"/>
            <w:tcBorders>
              <w:top w:val="single" w:sz="7" w:space="0" w:color="000000"/>
              <w:left w:val="single" w:sz="7" w:space="0" w:color="000000"/>
              <w:bottom w:val="single" w:sz="6" w:space="0" w:color="FFFFFF"/>
              <w:right w:val="single" w:sz="6" w:space="0" w:color="FFFFFF"/>
            </w:tcBorders>
          </w:tcPr>
          <w:p w:rsidR="00CB2332" w:rsidRPr="003E5E88" w:rsidP="00C705EC" w14:paraId="15371568" w14:textId="77777777">
            <w:pPr>
              <w:rPr>
                <w:rFonts w:ascii="Times New Roman" w:hAnsi="Times New Roman" w:cs="Times New Roman"/>
                <w:sz w:val="24"/>
                <w:szCs w:val="24"/>
              </w:rPr>
            </w:pPr>
          </w:p>
          <w:p w:rsidR="00CB2332" w:rsidRPr="003E5E88" w:rsidP="00C705EC" w14:paraId="7D3CF378"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Type of Collection</w:t>
            </w:r>
          </w:p>
        </w:tc>
        <w:tc>
          <w:tcPr>
            <w:tcW w:w="2169" w:type="dxa"/>
            <w:tcBorders>
              <w:top w:val="single" w:sz="7" w:space="0" w:color="000000"/>
              <w:left w:val="single" w:sz="7" w:space="0" w:color="000000"/>
              <w:bottom w:val="single" w:sz="6" w:space="0" w:color="FFFFFF"/>
              <w:right w:val="single" w:sz="6" w:space="0" w:color="FFFFFF"/>
            </w:tcBorders>
          </w:tcPr>
          <w:p w:rsidR="00CB2332" w:rsidRPr="003E5E88" w:rsidP="00C705EC" w14:paraId="265547BE"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p w:rsidR="00CB2332" w:rsidRPr="003E5E88" w:rsidP="00C705EC" w14:paraId="30AE1552"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CB2332" w:rsidRPr="003E5E88" w:rsidP="00C705EC" w14:paraId="2174C7B4"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No. of Responses per Respondent</w:t>
            </w:r>
          </w:p>
        </w:tc>
        <w:tc>
          <w:tcPr>
            <w:tcW w:w="1431" w:type="dxa"/>
            <w:tcBorders>
              <w:top w:val="single" w:sz="7" w:space="0" w:color="000000"/>
              <w:left w:val="single" w:sz="7" w:space="0" w:color="000000"/>
              <w:bottom w:val="single" w:sz="6" w:space="0" w:color="FFFFFF"/>
              <w:right w:val="single" w:sz="6" w:space="0" w:color="FFFFFF"/>
            </w:tcBorders>
          </w:tcPr>
          <w:p w:rsidR="00CB2332" w:rsidRPr="003E5E88" w:rsidP="00C705EC" w14:paraId="181E00DC"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Time per Response (in hours)</w:t>
            </w:r>
          </w:p>
        </w:tc>
        <w:tc>
          <w:tcPr>
            <w:tcW w:w="2070" w:type="dxa"/>
            <w:tcBorders>
              <w:top w:val="single" w:sz="7" w:space="0" w:color="000000"/>
              <w:left w:val="single" w:sz="7" w:space="0" w:color="000000"/>
              <w:bottom w:val="single" w:sz="6" w:space="0" w:color="FFFFFF"/>
              <w:right w:val="single" w:sz="7" w:space="0" w:color="000000"/>
            </w:tcBorders>
          </w:tcPr>
          <w:p w:rsidR="00CB2332" w:rsidRPr="003E5E88" w:rsidP="00C705EC" w14:paraId="5213C1CD" w14:textId="77777777">
            <w:pPr>
              <w:rPr>
                <w:rFonts w:ascii="Times New Roman" w:hAnsi="Times New Roman" w:cs="Times New Roman"/>
                <w:sz w:val="24"/>
                <w:szCs w:val="24"/>
              </w:rPr>
            </w:pPr>
          </w:p>
          <w:p w:rsidR="00CB2332" w:rsidRPr="003E5E88" w:rsidP="00C705EC" w14:paraId="5AFEB30F" w14:textId="77777777">
            <w:pPr>
              <w:tabs>
                <w:tab w:val="left" w:pos="-1080"/>
                <w:tab w:val="left" w:pos="-720"/>
                <w:tab w:val="left" w:pos="0"/>
                <w:tab w:val="left" w:pos="450"/>
                <w:tab w:val="left" w:pos="720"/>
                <w:tab w:val="left" w:pos="2160"/>
              </w:tabs>
              <w:rPr>
                <w:rFonts w:ascii="Times New Roman" w:hAnsi="Times New Roman" w:cs="Times New Roman"/>
                <w:sz w:val="24"/>
                <w:szCs w:val="24"/>
              </w:rPr>
            </w:pPr>
            <w:r w:rsidRPr="003E5E88">
              <w:rPr>
                <w:rFonts w:ascii="Times New Roman" w:hAnsi="Times New Roman" w:cs="Times New Roman"/>
                <w:sz w:val="24"/>
                <w:szCs w:val="24"/>
              </w:rPr>
              <w:t xml:space="preserve">    Total Hours</w:t>
            </w:r>
          </w:p>
        </w:tc>
      </w:tr>
      <w:tr w14:paraId="40164AF1" w14:textId="77777777" w:rsidTr="00C705EC">
        <w:tblPrEx>
          <w:tblW w:w="10170" w:type="dxa"/>
          <w:tblInd w:w="-369" w:type="dxa"/>
          <w:tblLayout w:type="fixed"/>
          <w:tblCellMar>
            <w:left w:w="102" w:type="dxa"/>
            <w:right w:w="102" w:type="dxa"/>
          </w:tblCellMar>
          <w:tblLook w:val="0000"/>
        </w:tblPrEx>
        <w:tc>
          <w:tcPr>
            <w:tcW w:w="2790" w:type="dxa"/>
            <w:tcBorders>
              <w:top w:val="single" w:sz="7" w:space="0" w:color="000000"/>
              <w:left w:val="single" w:sz="7" w:space="0" w:color="000000"/>
              <w:bottom w:val="single" w:sz="7" w:space="0" w:color="000000"/>
              <w:right w:val="single" w:sz="6" w:space="0" w:color="FFFFFF"/>
            </w:tcBorders>
            <w:vAlign w:val="center"/>
          </w:tcPr>
          <w:p w:rsidR="00CB2332" w:rsidRPr="003E5E88" w:rsidP="00C705EC" w14:paraId="35AAF138" w14:textId="6FEF38DF">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 xml:space="preserve">Individual Feedback </w:t>
            </w:r>
          </w:p>
        </w:tc>
        <w:tc>
          <w:tcPr>
            <w:tcW w:w="2169" w:type="dxa"/>
            <w:tcBorders>
              <w:top w:val="single" w:sz="7" w:space="0" w:color="000000"/>
              <w:left w:val="single" w:sz="7" w:space="0" w:color="000000"/>
              <w:bottom w:val="single" w:sz="7" w:space="0" w:color="000000"/>
              <w:right w:val="single" w:sz="6" w:space="0" w:color="FFFFFF"/>
            </w:tcBorders>
            <w:vAlign w:val="center"/>
          </w:tcPr>
          <w:p w:rsidR="00CB2332" w:rsidRPr="003E5E88" w:rsidP="00C705EC" w14:paraId="79F4D25F" w14:textId="554A48DD">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285</w:t>
            </w:r>
          </w:p>
        </w:tc>
        <w:tc>
          <w:tcPr>
            <w:tcW w:w="1710" w:type="dxa"/>
            <w:tcBorders>
              <w:top w:val="single" w:sz="7" w:space="0" w:color="000000"/>
              <w:left w:val="single" w:sz="7" w:space="0" w:color="000000"/>
              <w:bottom w:val="single" w:sz="7" w:space="0" w:color="000000"/>
              <w:right w:val="single" w:sz="6" w:space="0" w:color="FFFFFF"/>
            </w:tcBorders>
            <w:vAlign w:val="center"/>
          </w:tcPr>
          <w:p w:rsidR="00CB2332" w:rsidRPr="003E5E88" w:rsidP="00C705EC" w14:paraId="40378F55"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sidRPr="003E5E88">
              <w:rPr>
                <w:rFonts w:ascii="Times New Roman" w:hAnsi="Times New Roman" w:cs="Times New Roman"/>
                <w:sz w:val="24"/>
                <w:szCs w:val="24"/>
              </w:rPr>
              <w:t>1</w:t>
            </w:r>
          </w:p>
        </w:tc>
        <w:tc>
          <w:tcPr>
            <w:tcW w:w="1431" w:type="dxa"/>
            <w:tcBorders>
              <w:top w:val="single" w:sz="7" w:space="0" w:color="000000"/>
              <w:left w:val="single" w:sz="7" w:space="0" w:color="000000"/>
              <w:bottom w:val="single" w:sz="7" w:space="0" w:color="000000"/>
              <w:right w:val="single" w:sz="6" w:space="0" w:color="FFFFFF"/>
            </w:tcBorders>
            <w:vAlign w:val="center"/>
          </w:tcPr>
          <w:p w:rsidR="00CB2332" w:rsidRPr="003E5E88" w:rsidP="00C705EC" w14:paraId="2E827D6E" w14:textId="1A387EB3">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30/60</w:t>
            </w:r>
          </w:p>
          <w:p w:rsidR="00CB2332" w:rsidRPr="003E5E88" w:rsidP="00C705EC" w14:paraId="5F12BEB9" w14:textId="77777777">
            <w:pPr>
              <w:tabs>
                <w:tab w:val="left" w:pos="-1080"/>
                <w:tab w:val="left" w:pos="-720"/>
                <w:tab w:val="left" w:pos="0"/>
                <w:tab w:val="left" w:pos="450"/>
                <w:tab w:val="left" w:pos="720"/>
                <w:tab w:val="left" w:pos="2160"/>
              </w:tabs>
              <w:jc w:val="cente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CB2332" w:rsidRPr="003E5E88" w:rsidP="00C705EC" w14:paraId="6D2BB045" w14:textId="12503FE9">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143</w:t>
            </w:r>
          </w:p>
        </w:tc>
      </w:tr>
      <w:tr w14:paraId="4D46B0E1" w14:textId="77777777" w:rsidTr="00C705EC">
        <w:tblPrEx>
          <w:tblW w:w="10170" w:type="dxa"/>
          <w:tblInd w:w="-369" w:type="dxa"/>
          <w:tblLayout w:type="fixed"/>
          <w:tblCellMar>
            <w:left w:w="102" w:type="dxa"/>
            <w:right w:w="102" w:type="dxa"/>
          </w:tblCellMar>
          <w:tblLook w:val="0000"/>
        </w:tblPrEx>
        <w:trPr>
          <w:trHeight w:val="415"/>
        </w:trPr>
        <w:tc>
          <w:tcPr>
            <w:tcW w:w="2790" w:type="dxa"/>
            <w:tcBorders>
              <w:top w:val="single" w:sz="7" w:space="0" w:color="000000"/>
              <w:left w:val="single" w:sz="7" w:space="0" w:color="000000"/>
              <w:bottom w:val="single" w:sz="7" w:space="0" w:color="000000"/>
              <w:right w:val="single" w:sz="6" w:space="0" w:color="FFFFFF"/>
            </w:tcBorders>
            <w:vAlign w:val="center"/>
          </w:tcPr>
          <w:p w:rsidR="00CB2332" w:rsidRPr="003E5E88" w:rsidP="00C705EC" w14:paraId="318CB060" w14:textId="77777777">
            <w:pPr>
              <w:rPr>
                <w:rFonts w:ascii="Times New Roman" w:hAnsi="Times New Roman" w:cs="Times New Roman"/>
                <w:sz w:val="24"/>
                <w:szCs w:val="24"/>
              </w:rPr>
            </w:pPr>
            <w:r w:rsidRPr="003E5E88">
              <w:rPr>
                <w:rFonts w:ascii="Times New Roman" w:hAnsi="Times New Roman" w:cs="Times New Roman"/>
                <w:sz w:val="24"/>
                <w:szCs w:val="24"/>
              </w:rPr>
              <w:t>Total</w:t>
            </w:r>
          </w:p>
        </w:tc>
        <w:tc>
          <w:tcPr>
            <w:tcW w:w="2169" w:type="dxa"/>
            <w:tcBorders>
              <w:top w:val="single" w:sz="7" w:space="0" w:color="000000"/>
              <w:left w:val="single" w:sz="7" w:space="0" w:color="000000"/>
              <w:bottom w:val="single" w:sz="7" w:space="0" w:color="000000"/>
              <w:right w:val="single" w:sz="6" w:space="0" w:color="FFFFFF"/>
            </w:tcBorders>
            <w:vAlign w:val="center"/>
          </w:tcPr>
          <w:p w:rsidR="00CB2332" w:rsidRPr="003E5E88" w:rsidP="00C705EC" w14:paraId="7D571076" w14:textId="77777777">
            <w:pPr>
              <w:jc w:val="center"/>
              <w:rPr>
                <w:rFonts w:ascii="Times New Roman" w:hAnsi="Times New Roman" w:cs="Times New Roman"/>
                <w:sz w:val="24"/>
                <w:szCs w:val="24"/>
              </w:rPr>
            </w:pPr>
          </w:p>
        </w:tc>
        <w:tc>
          <w:tcPr>
            <w:tcW w:w="1710" w:type="dxa"/>
            <w:tcBorders>
              <w:top w:val="single" w:sz="7" w:space="0" w:color="000000"/>
              <w:left w:val="single" w:sz="7" w:space="0" w:color="000000"/>
              <w:bottom w:val="single" w:sz="7" w:space="0" w:color="000000"/>
              <w:right w:val="single" w:sz="6" w:space="0" w:color="FFFFFF"/>
            </w:tcBorders>
            <w:vAlign w:val="center"/>
          </w:tcPr>
          <w:p w:rsidR="00CB2332" w:rsidRPr="003E5E88" w:rsidP="00C705EC" w14:paraId="101F8AE9" w14:textId="63FF6880">
            <w:pPr>
              <w:jc w:val="center"/>
              <w:rPr>
                <w:rFonts w:ascii="Times New Roman" w:hAnsi="Times New Roman" w:cs="Times New Roman"/>
                <w:sz w:val="24"/>
                <w:szCs w:val="24"/>
              </w:rPr>
            </w:pPr>
            <w:r>
              <w:rPr>
                <w:rFonts w:ascii="Times New Roman" w:hAnsi="Times New Roman" w:cs="Times New Roman"/>
                <w:sz w:val="24"/>
                <w:szCs w:val="24"/>
              </w:rPr>
              <w:t>285</w:t>
            </w:r>
          </w:p>
        </w:tc>
        <w:tc>
          <w:tcPr>
            <w:tcW w:w="1431" w:type="dxa"/>
            <w:tcBorders>
              <w:top w:val="single" w:sz="7" w:space="0" w:color="000000"/>
              <w:left w:val="single" w:sz="7" w:space="0" w:color="000000"/>
              <w:bottom w:val="single" w:sz="7" w:space="0" w:color="000000"/>
              <w:right w:val="single" w:sz="6" w:space="0" w:color="FFFFFF"/>
            </w:tcBorders>
            <w:vAlign w:val="center"/>
          </w:tcPr>
          <w:p w:rsidR="00CB2332" w:rsidRPr="003E5E88" w:rsidP="00C705EC" w14:paraId="2520D2DB" w14:textId="77777777">
            <w:pPr>
              <w:jc w:val="center"/>
              <w:rPr>
                <w:rFonts w:ascii="Times New Roman" w:hAnsi="Times New Roman" w:cs="Times New Roman"/>
                <w:sz w:val="24"/>
                <w:szCs w:val="24"/>
              </w:rPr>
            </w:pPr>
          </w:p>
        </w:tc>
        <w:tc>
          <w:tcPr>
            <w:tcW w:w="2070" w:type="dxa"/>
            <w:tcBorders>
              <w:top w:val="single" w:sz="7" w:space="0" w:color="000000"/>
              <w:left w:val="single" w:sz="7" w:space="0" w:color="000000"/>
              <w:bottom w:val="single" w:sz="7" w:space="0" w:color="000000"/>
              <w:right w:val="single" w:sz="7" w:space="0" w:color="000000"/>
            </w:tcBorders>
            <w:vAlign w:val="center"/>
          </w:tcPr>
          <w:p w:rsidR="00CB2332" w:rsidRPr="003E5E88" w:rsidP="00C705EC" w14:paraId="7745D699" w14:textId="6AF7C6FE">
            <w:pPr>
              <w:tabs>
                <w:tab w:val="left" w:pos="-1080"/>
                <w:tab w:val="left" w:pos="-720"/>
                <w:tab w:val="left" w:pos="0"/>
                <w:tab w:val="left" w:pos="450"/>
                <w:tab w:val="left" w:pos="720"/>
                <w:tab w:val="left" w:pos="2160"/>
              </w:tabs>
              <w:jc w:val="center"/>
              <w:rPr>
                <w:rFonts w:ascii="Times New Roman" w:hAnsi="Times New Roman" w:cs="Times New Roman"/>
                <w:sz w:val="24"/>
                <w:szCs w:val="24"/>
              </w:rPr>
            </w:pPr>
            <w:r>
              <w:rPr>
                <w:rFonts w:ascii="Times New Roman" w:hAnsi="Times New Roman" w:cs="Times New Roman"/>
                <w:sz w:val="24"/>
                <w:szCs w:val="24"/>
              </w:rPr>
              <w:t>143</w:t>
            </w:r>
          </w:p>
        </w:tc>
      </w:tr>
    </w:tbl>
    <w:p w:rsidR="00907E64" w:rsidP="008716F6" w14:paraId="1D304D70" w14:textId="77777777">
      <w:pPr>
        <w:spacing w:after="20"/>
        <w:rPr>
          <w:b/>
        </w:rPr>
      </w:pPr>
    </w:p>
    <w:p w:rsidR="00907E64" w:rsidRPr="00907E64" w:rsidP="00907E64" w14:paraId="51E868DE" w14:textId="77777777">
      <w:pPr>
        <w:spacing w:after="20"/>
        <w:rPr>
          <w:b/>
        </w:rPr>
      </w:pPr>
      <w:r w:rsidRPr="00907E64">
        <w:rPr>
          <w:b/>
        </w:rPr>
        <w:t>A.12-2</w:t>
      </w:r>
      <w:r w:rsidRPr="00907E64">
        <w:rPr>
          <w:b/>
        </w:rPr>
        <w:tab/>
        <w:t>ANNUALIZED COST TO RESPONDENTS</w:t>
      </w:r>
    </w:p>
    <w:p w:rsidR="00907E64" w:rsidRPr="00907E64" w:rsidP="00907E64" w14:paraId="5C0BDE52" w14:textId="77777777">
      <w:pPr>
        <w:spacing w:after="20"/>
        <w:rPr>
          <w:b/>
        </w:rPr>
      </w:pPr>
    </w:p>
    <w:p w:rsidR="00907E64" w:rsidRPr="00942DB8" w:rsidP="00907E64" w14:paraId="6117953B" w14:textId="036C1288">
      <w:pPr>
        <w:spacing w:after="20"/>
      </w:pPr>
      <w:r w:rsidRPr="00942DB8">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t>A.</w:t>
      </w:r>
      <w:r w:rsidRPr="00942DB8">
        <w:t>14.</w:t>
      </w:r>
    </w:p>
    <w:p w:rsidR="001D2741" w:rsidP="008716F6" w14:paraId="0F00F2FD" w14:textId="70CBF2AA">
      <w:pPr>
        <w:spacing w:after="20"/>
        <w:rPr>
          <w:b/>
        </w:rPr>
      </w:pPr>
    </w:p>
    <w:p w:rsidR="002F3354" w:rsidP="008716F6" w14:paraId="693EA7B4" w14:textId="5B2966A8">
      <w:pPr>
        <w:spacing w:after="20"/>
      </w:pPr>
      <w:r>
        <w:t xml:space="preserve">                                                </w:t>
      </w:r>
      <w:r w:rsidRPr="00EB77CC" w:rsidR="00AF01AD">
        <w:t>A.12-2</w:t>
      </w:r>
      <w:r w:rsidRPr="00EB77CC">
        <w:t xml:space="preserve"> </w:t>
      </w:r>
      <w:r>
        <w:t>Annualized Cost to the Respondents</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1995"/>
        <w:gridCol w:w="2342"/>
        <w:gridCol w:w="2121"/>
      </w:tblGrid>
      <w:tr w14:paraId="0A150753" w14:textId="77777777" w:rsidTr="00CB2332">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CB2332" w:rsidRPr="003E5E88" w:rsidP="00C705EC" w14:paraId="0A5C47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Type of Respondents</w:t>
            </w:r>
          </w:p>
        </w:tc>
        <w:tc>
          <w:tcPr>
            <w:tcW w:w="1995" w:type="dxa"/>
            <w:tcBorders>
              <w:top w:val="single" w:sz="4" w:space="0" w:color="auto"/>
              <w:left w:val="single" w:sz="4" w:space="0" w:color="auto"/>
              <w:bottom w:val="single" w:sz="4" w:space="0" w:color="auto"/>
              <w:right w:val="single" w:sz="4" w:space="0" w:color="auto"/>
            </w:tcBorders>
            <w:hideMark/>
          </w:tcPr>
          <w:p w:rsidR="00CB2332" w:rsidRPr="003E5E88" w:rsidP="00C705EC" w14:paraId="1141FBA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Total Annual Burden Hours</w:t>
            </w:r>
          </w:p>
        </w:tc>
        <w:tc>
          <w:tcPr>
            <w:tcW w:w="2342" w:type="dxa"/>
            <w:tcBorders>
              <w:top w:val="single" w:sz="4" w:space="0" w:color="auto"/>
              <w:left w:val="single" w:sz="4" w:space="0" w:color="auto"/>
              <w:bottom w:val="single" w:sz="4" w:space="0" w:color="auto"/>
              <w:right w:val="single" w:sz="4" w:space="0" w:color="auto"/>
            </w:tcBorders>
            <w:hideMark/>
          </w:tcPr>
          <w:p w:rsidR="00CB2332" w:rsidRPr="003E5E88" w:rsidP="00C705EC" w14:paraId="2B608B4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CB2332" w:rsidRPr="003E5E88" w:rsidP="00C705EC" w14:paraId="31CC6A4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sz w:val="24"/>
                <w:szCs w:val="24"/>
              </w:rPr>
              <w:t>Respondent Cost</w:t>
            </w:r>
          </w:p>
        </w:tc>
      </w:tr>
      <w:tr w14:paraId="704C824E" w14:textId="77777777" w:rsidTr="00B6738F">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CB2332" w:rsidRPr="003E5E88" w:rsidP="00C705EC" w14:paraId="63C6A8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p w:rsidR="00CB2332" w:rsidRPr="003E5E88" w:rsidP="00C705EC" w14:paraId="572C1369" w14:textId="131930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Feedback </w:t>
            </w:r>
          </w:p>
        </w:tc>
        <w:tc>
          <w:tcPr>
            <w:tcW w:w="1995" w:type="dxa"/>
            <w:tcBorders>
              <w:top w:val="single" w:sz="4" w:space="0" w:color="auto"/>
              <w:left w:val="single" w:sz="4" w:space="0" w:color="auto"/>
              <w:bottom w:val="single" w:sz="4" w:space="0" w:color="auto"/>
              <w:right w:val="single" w:sz="4" w:space="0" w:color="auto"/>
            </w:tcBorders>
            <w:vAlign w:val="center"/>
            <w:hideMark/>
          </w:tcPr>
          <w:p w:rsidR="00CB2332" w:rsidRPr="003E5E88" w:rsidP="00C705EC" w14:paraId="50F189CC" w14:textId="0D99D3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2342" w:type="dxa"/>
            <w:tcBorders>
              <w:top w:val="single" w:sz="4" w:space="0" w:color="auto"/>
              <w:left w:val="single" w:sz="4" w:space="0" w:color="auto"/>
              <w:bottom w:val="single" w:sz="4" w:space="0" w:color="auto"/>
              <w:right w:val="single" w:sz="4" w:space="0" w:color="auto"/>
            </w:tcBorders>
            <w:vAlign w:val="center"/>
            <w:hideMark/>
          </w:tcPr>
          <w:p w:rsidR="00CB2332" w:rsidRPr="003E5E88" w:rsidP="00C705EC" w14:paraId="5D402B1A" w14:textId="5D512A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38.31</w:t>
            </w:r>
          </w:p>
        </w:tc>
        <w:tc>
          <w:tcPr>
            <w:tcW w:w="2121" w:type="dxa"/>
            <w:tcBorders>
              <w:top w:val="single" w:sz="4" w:space="0" w:color="auto"/>
              <w:left w:val="single" w:sz="4" w:space="0" w:color="auto"/>
              <w:bottom w:val="single" w:sz="4" w:space="0" w:color="auto"/>
              <w:right w:val="single" w:sz="4" w:space="0" w:color="auto"/>
            </w:tcBorders>
            <w:vAlign w:val="center"/>
          </w:tcPr>
          <w:p w:rsidR="00CB2332" w:rsidRPr="003E5E88" w:rsidP="00C705EC" w14:paraId="09B49889" w14:textId="06770D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$5,478.33</w:t>
            </w:r>
          </w:p>
        </w:tc>
      </w:tr>
      <w:tr w14:paraId="3AC8F4DC" w14:textId="77777777" w:rsidTr="00CB2332">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CB2332" w:rsidRPr="003E5E88" w:rsidP="00C705EC" w14:paraId="6B7434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3E5E88">
              <w:rPr>
                <w:rFonts w:ascii="Times New Roman" w:eastAsia="Times New Roman" w:hAnsi="Times New Roman" w:cs="Times New Roman"/>
                <w:b/>
                <w:sz w:val="24"/>
                <w:szCs w:val="24"/>
              </w:rPr>
              <w:t>TOTAL</w:t>
            </w:r>
          </w:p>
        </w:tc>
        <w:tc>
          <w:tcPr>
            <w:tcW w:w="1995" w:type="dxa"/>
            <w:tcBorders>
              <w:top w:val="single" w:sz="4" w:space="0" w:color="auto"/>
              <w:left w:val="single" w:sz="4" w:space="0" w:color="auto"/>
              <w:bottom w:val="single" w:sz="4" w:space="0" w:color="auto"/>
              <w:right w:val="single" w:sz="4" w:space="0" w:color="auto"/>
            </w:tcBorders>
            <w:vAlign w:val="center"/>
          </w:tcPr>
          <w:p w:rsidR="00CB2332" w:rsidRPr="003E5E88" w:rsidP="00C705EC" w14:paraId="63FC3725" w14:textId="09454F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2342" w:type="dxa"/>
            <w:tcBorders>
              <w:top w:val="single" w:sz="4" w:space="0" w:color="auto"/>
              <w:left w:val="single" w:sz="4" w:space="0" w:color="auto"/>
              <w:bottom w:val="single" w:sz="4" w:space="0" w:color="auto"/>
              <w:right w:val="single" w:sz="4" w:space="0" w:color="auto"/>
            </w:tcBorders>
            <w:shd w:val="pct25" w:color="auto" w:fill="auto"/>
            <w:vAlign w:val="center"/>
          </w:tcPr>
          <w:p w:rsidR="00CB2332" w:rsidRPr="003E5E88" w:rsidP="00C705EC" w14:paraId="5DDC81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rsidR="00CB2332" w:rsidRPr="003E5E88" w:rsidP="00C705EC" w14:paraId="6F62C268" w14:textId="16FBB5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$5,478.33</w:t>
            </w:r>
          </w:p>
        </w:tc>
      </w:tr>
    </w:tbl>
    <w:p w:rsidR="00AF01AD" w:rsidP="00B6738F" w14:paraId="10875F72" w14:textId="27A3AE43">
      <w:r w:rsidRPr="00BC088C">
        <w:t xml:space="preserve">      </w:t>
      </w:r>
      <w:r w:rsidRPr="00336D39">
        <w:t xml:space="preserve"> </w:t>
      </w:r>
      <w:r>
        <w:t>*</w:t>
      </w:r>
      <w:r w:rsidR="00B6738F">
        <w:t xml:space="preserve">*Cite source per bls.gov if applicable </w:t>
      </w:r>
      <w:hyperlink r:id="rId5" w:history="1">
        <w:r w:rsidRPr="00DC189D" w:rsidR="00B6738F">
          <w:rPr>
            <w:rStyle w:val="Hyperlink"/>
            <w:bCs/>
          </w:rPr>
          <w:t>https://www.bls.gov/oes/current/oes_nat.htm</w:t>
        </w:r>
      </w:hyperlink>
      <w:r w:rsidRPr="00DC189D" w:rsidR="00B6738F">
        <w:rPr>
          <w:bCs/>
        </w:rPr>
        <w:t>.</w:t>
      </w:r>
    </w:p>
    <w:p w:rsidR="008716F6" w:rsidRPr="00113647" w:rsidP="008716F6" w14:paraId="4BE9B609" w14:textId="77777777">
      <w:pPr>
        <w:spacing w:after="20"/>
        <w:rPr>
          <w:b/>
        </w:rPr>
      </w:pPr>
      <w:r w:rsidRPr="00113647">
        <w:rPr>
          <w:b/>
        </w:rPr>
        <w:t>A.13 Estimate of Other Total Annual Cost Burden to Respondents or Record Keepers</w:t>
      </w:r>
      <w:r w:rsidRPr="00113647">
        <w:rPr>
          <w:b/>
        </w:rPr>
        <w:tab/>
      </w:r>
    </w:p>
    <w:p w:rsidR="002C4725" w:rsidP="008716F6" w14:paraId="03B43F67" w14:textId="77777777">
      <w:pPr>
        <w:spacing w:after="20"/>
      </w:pPr>
    </w:p>
    <w:p w:rsidR="00713CF8" w:rsidRPr="00113647" w:rsidP="008716F6" w14:paraId="5FF9596D" w14:textId="5A8D78BF">
      <w:pPr>
        <w:spacing w:after="20"/>
      </w:pPr>
      <w:r w:rsidRPr="002C4725">
        <w:t>Provide an estimate of the total annual cost burden to respondents or record-keepers resulting from the collection of information.</w:t>
      </w:r>
    </w:p>
    <w:p w:rsidR="00713CF8" w:rsidRPr="00113647" w:rsidP="008716F6" w14:paraId="7BE8827C" w14:textId="77777777">
      <w:pPr>
        <w:spacing w:after="20"/>
      </w:pPr>
    </w:p>
    <w:p w:rsidR="00713CF8" w:rsidRPr="00113647" w:rsidP="008716F6" w14:paraId="21E2D1B9" w14:textId="77777777">
      <w:pPr>
        <w:spacing w:after="20"/>
        <w:rPr>
          <w:b/>
        </w:rPr>
      </w:pPr>
      <w:r w:rsidRPr="00113647">
        <w:rPr>
          <w:b/>
        </w:rPr>
        <w:t>A.14 Annualized Cost to the Federal Government</w:t>
      </w:r>
    </w:p>
    <w:p w:rsidR="002C4725" w:rsidP="008716F6" w14:paraId="07CA0306" w14:textId="77777777">
      <w:pPr>
        <w:spacing w:after="20"/>
      </w:pPr>
    </w:p>
    <w:p w:rsidR="00713CF8" w:rsidRPr="00113647" w:rsidP="008716F6" w14:paraId="159477A8" w14:textId="005E2336">
      <w:pPr>
        <w:spacing w:after="20"/>
      </w:pPr>
      <w:r w:rsidRPr="002C4725">
        <w:t xml:space="preserve">Provide estimates of annualized cost to the Federal government.  </w:t>
      </w:r>
      <w:r w:rsidR="00740F9D">
        <w:t>This includes</w:t>
      </w:r>
      <w:r>
        <w:t xml:space="preserve"> FTE and contract cost. </w:t>
      </w:r>
    </w:p>
    <w:p w:rsidR="00BB7115" w:rsidRPr="00BB7115" w:rsidP="00BB7115" w14:paraId="1E58FB74" w14:textId="77777777">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tblPr>
      <w:tblGrid>
        <w:gridCol w:w="2733"/>
        <w:gridCol w:w="1440"/>
        <w:gridCol w:w="1260"/>
        <w:gridCol w:w="1363"/>
        <w:gridCol w:w="1363"/>
        <w:gridCol w:w="1363"/>
      </w:tblGrid>
      <w:tr w14:paraId="096717E1" w14:textId="77777777" w:rsidTr="002B193F">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B7115" w:rsidRPr="00BB7115" w:rsidP="00BB7115" w14:paraId="56B34391" w14:textId="77777777">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i/>
                <w:sz w:val="24"/>
                <w:szCs w:val="24"/>
              </w:rPr>
              <w:t xml:space="preserve"> </w:t>
            </w:r>
            <w:r w:rsidRPr="00BB7115">
              <w:rPr>
                <w:rFonts w:ascii="Times New Roman" w:eastAsia="Times New Roman" w:hAnsi="Times New Roman" w:cs="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BB7115" w:rsidRPr="00BB7115" w:rsidP="00BB7115" w14:paraId="3633F4E2" w14:textId="77777777">
            <w:pPr>
              <w:spacing w:after="0" w:line="240" w:lineRule="auto"/>
              <w:jc w:val="center"/>
              <w:rPr>
                <w:rFonts w:ascii="Times New Roman" w:eastAsia="Calibri" w:hAnsi="Times New Roman" w:cs="Times New Roman"/>
                <w:b/>
                <w:bCs/>
                <w:color w:val="1F497D"/>
              </w:rPr>
            </w:pPr>
          </w:p>
          <w:p w:rsidR="00BB7115" w:rsidRPr="00BB7115" w:rsidP="00BB7115" w14:paraId="02464877" w14:textId="77777777">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B7115" w:rsidRPr="00BB7115" w:rsidP="00BB7115" w14:paraId="5D569FD9" w14:textId="6A67F4B1">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Salary</w:t>
            </w:r>
            <w:r w:rsidR="00350296">
              <w:rPr>
                <w:rFonts w:ascii="Times New Roman" w:eastAsia="Times New Roman" w:hAnsi="Times New Roman" w:cs="Times New Roman"/>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B7115" w:rsidRPr="00BB7115" w:rsidP="00BB7115" w14:paraId="5F3F1E86" w14:textId="77777777">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BB7115" w:rsidRPr="00BB7115" w:rsidP="00BB7115" w14:paraId="1382F198" w14:textId="77777777">
            <w:pPr>
              <w:spacing w:after="0" w:line="240" w:lineRule="auto"/>
              <w:jc w:val="center"/>
              <w:rPr>
                <w:rFonts w:ascii="Times New Roman" w:eastAsia="Times New Roman" w:hAnsi="Times New Roman" w:cs="Times New Roman"/>
                <w:b/>
                <w:bCs/>
              </w:rPr>
            </w:pPr>
            <w:r w:rsidRPr="00BB7115">
              <w:rPr>
                <w:rFonts w:ascii="Times New Roman" w:eastAsia="Times New Roman" w:hAnsi="Times New Roman" w:cs="Times New Roman"/>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BB7115" w:rsidRPr="00BB7115" w:rsidP="00BB7115" w14:paraId="217B11D0" w14:textId="70EE689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Total </w:t>
            </w:r>
            <w:r w:rsidR="005E2D23">
              <w:rPr>
                <w:rFonts w:ascii="Times New Roman" w:eastAsia="Times New Roman" w:hAnsi="Times New Roman" w:cs="Times New Roman"/>
                <w:b/>
                <w:bCs/>
              </w:rPr>
              <w:t>C</w:t>
            </w:r>
            <w:r w:rsidRPr="00BB7115">
              <w:rPr>
                <w:rFonts w:ascii="Times New Roman" w:eastAsia="Times New Roman" w:hAnsi="Times New Roman" w:cs="Times New Roman"/>
                <w:b/>
                <w:bCs/>
              </w:rPr>
              <w:t>ost to Gov’t</w:t>
            </w:r>
          </w:p>
        </w:tc>
      </w:tr>
      <w:tr w14:paraId="4D0E63F7"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530BD8DF" w14:textId="77777777">
            <w:pPr>
              <w:spacing w:after="0" w:line="240" w:lineRule="auto"/>
              <w:rPr>
                <w:rFonts w:ascii="Times New Roman" w:eastAsia="Calibri" w:hAnsi="Times New Roman" w:cs="Times New Roman"/>
                <w:b/>
                <w:color w:val="000000"/>
                <w:highlight w:val="yellow"/>
              </w:rPr>
            </w:pPr>
            <w:r w:rsidRPr="00BB7115">
              <w:rPr>
                <w:rFonts w:ascii="Times New Roman" w:eastAsia="Calibri" w:hAnsi="Times New Roman" w:cs="Times New Roman"/>
                <w:b/>
                <w:color w:val="000000"/>
              </w:rPr>
              <w:t>Federal Oversight</w:t>
            </w:r>
          </w:p>
        </w:tc>
        <w:tc>
          <w:tcPr>
            <w:tcW w:w="1440" w:type="dxa"/>
            <w:tcBorders>
              <w:top w:val="nil"/>
              <w:left w:val="nil"/>
              <w:bottom w:val="single" w:sz="8" w:space="0" w:color="auto"/>
              <w:right w:val="single" w:sz="8" w:space="0" w:color="auto"/>
            </w:tcBorders>
          </w:tcPr>
          <w:p w:rsidR="00BB7115" w:rsidRPr="00BB7115" w:rsidP="00BB7115" w14:paraId="088BBD74" w14:textId="77777777">
            <w:pPr>
              <w:spacing w:after="0" w:line="240" w:lineRule="auto"/>
              <w:jc w:val="right"/>
              <w:rPr>
                <w:rFonts w:ascii="Times New Roman" w:eastAsia="Calibri" w:hAnsi="Times New Roman" w:cs="Times New Roman"/>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73EFC7D4"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50D2152A"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682BD8F"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00AECD80" w14:textId="77777777">
            <w:pPr>
              <w:spacing w:after="0" w:line="240" w:lineRule="auto"/>
              <w:rPr>
                <w:rFonts w:ascii="Times New Roman" w:eastAsia="Times New Roman" w:hAnsi="Times New Roman" w:cs="Times New Roman"/>
              </w:rPr>
            </w:pPr>
          </w:p>
        </w:tc>
      </w:tr>
      <w:tr w14:paraId="15A7D586"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B6AFA" w:rsidRPr="00BB7115" w:rsidP="00AB6AFA" w14:paraId="3C1DEAFA" w14:textId="4A0605A6">
            <w:pPr>
              <w:spacing w:after="0" w:line="240" w:lineRule="auto"/>
              <w:rPr>
                <w:rFonts w:ascii="Times New Roman" w:eastAsia="Calibri" w:hAnsi="Times New Roman" w:cs="Times New Roman"/>
              </w:rPr>
            </w:pPr>
            <w:r>
              <w:t>Management Analyst</w:t>
            </w:r>
          </w:p>
        </w:tc>
        <w:tc>
          <w:tcPr>
            <w:tcW w:w="1440" w:type="dxa"/>
            <w:tcBorders>
              <w:top w:val="nil"/>
              <w:left w:val="nil"/>
              <w:bottom w:val="single" w:sz="8" w:space="0" w:color="auto"/>
              <w:right w:val="single" w:sz="8" w:space="0" w:color="auto"/>
            </w:tcBorders>
          </w:tcPr>
          <w:p w:rsidR="00AB6AFA" w:rsidRPr="00BB7115" w:rsidP="00AB6AFA" w14:paraId="62CC3B81" w14:textId="641388E5">
            <w:pPr>
              <w:spacing w:after="0" w:line="240" w:lineRule="auto"/>
              <w:rPr>
                <w:rFonts w:ascii="Times New Roman" w:eastAsia="Calibri" w:hAnsi="Times New Roman" w:cs="Times New Roman"/>
              </w:rPr>
            </w:pPr>
            <w:r>
              <w:t>14/5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B6AFA" w:rsidRPr="00BB7115" w:rsidP="00AB6AFA" w14:paraId="5013B707" w14:textId="5C779FFE">
            <w:pPr>
              <w:spacing w:after="0" w:line="240" w:lineRule="auto"/>
              <w:rPr>
                <w:rFonts w:ascii="Times New Roman" w:eastAsia="Calibri" w:hAnsi="Times New Roman" w:cs="Times New Roman"/>
              </w:rPr>
            </w:pPr>
            <w:r>
              <w:t>$143,064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B6AFA" w:rsidRPr="00BB7115" w:rsidP="00AB6AFA" w14:paraId="1F61685A" w14:textId="7441B534">
            <w:pPr>
              <w:spacing w:after="0" w:line="240" w:lineRule="auto"/>
              <w:rPr>
                <w:rFonts w:ascii="Times New Roman" w:eastAsia="Calibri" w:hAnsi="Times New Roman" w:cs="Times New Roman"/>
              </w:rPr>
            </w:pPr>
            <w:r>
              <w:t>0.5%</w:t>
            </w:r>
          </w:p>
        </w:tc>
        <w:tc>
          <w:tcPr>
            <w:tcW w:w="1363" w:type="dxa"/>
            <w:tcBorders>
              <w:top w:val="nil"/>
              <w:left w:val="nil"/>
              <w:bottom w:val="single" w:sz="8" w:space="0" w:color="auto"/>
              <w:right w:val="single" w:sz="8" w:space="0" w:color="auto"/>
            </w:tcBorders>
            <w:shd w:val="clear" w:color="auto" w:fill="BFBFBF" w:themeFill="background1" w:themeFillShade="BF"/>
          </w:tcPr>
          <w:p w:rsidR="00AB6AFA" w:rsidRPr="00BB7115" w:rsidP="00AB6AFA" w14:paraId="76ED123E"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AB6AFA" w:rsidRPr="00BB7115" w:rsidP="00AB6AFA" w14:paraId="7FE1D4A6" w14:textId="5E7A7E9B">
            <w:pPr>
              <w:spacing w:after="0" w:line="240" w:lineRule="auto"/>
              <w:rPr>
                <w:rFonts w:ascii="Times New Roman" w:eastAsia="Times New Roman" w:hAnsi="Times New Roman" w:cs="Times New Roman"/>
              </w:rPr>
            </w:pPr>
            <w:r>
              <w:t>$600.00</w:t>
            </w:r>
          </w:p>
        </w:tc>
      </w:tr>
      <w:tr w14:paraId="5A0FB1C1"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2B73AD6" w14:textId="77777777">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rsidR="00BB7115" w:rsidRPr="00BB7115" w:rsidP="00BB7115" w14:paraId="2A5916AF"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36C8037A" w14:textId="77777777">
            <w:pPr>
              <w:spacing w:after="0" w:line="240" w:lineRule="auto"/>
              <w:jc w:val="both"/>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323A393C"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7EB28B6F"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229C1CF5" w14:textId="77777777">
            <w:pPr>
              <w:spacing w:after="0" w:line="240" w:lineRule="auto"/>
              <w:rPr>
                <w:rFonts w:ascii="Times New Roman" w:eastAsia="Times New Roman" w:hAnsi="Times New Roman" w:cs="Times New Roman"/>
              </w:rPr>
            </w:pPr>
          </w:p>
        </w:tc>
      </w:tr>
      <w:tr w14:paraId="37771A3F"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27230F48" w14:textId="77777777">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rsidR="00BB7115" w:rsidRPr="00BB7115" w:rsidP="00BB7115" w14:paraId="070E12A7"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41EE4DCF"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E2BE06D"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44DBAD2"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504E2A1" w14:textId="77777777">
            <w:pPr>
              <w:spacing w:after="0" w:line="240" w:lineRule="auto"/>
              <w:rPr>
                <w:rFonts w:ascii="Times New Roman" w:eastAsia="Times New Roman" w:hAnsi="Times New Roman" w:cs="Times New Roman"/>
              </w:rPr>
            </w:pPr>
          </w:p>
        </w:tc>
      </w:tr>
      <w:tr w14:paraId="6DD40117"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F36C1F8" w14:textId="4552206F">
            <w:pPr>
              <w:spacing w:after="0" w:line="240" w:lineRule="auto"/>
              <w:rPr>
                <w:rFonts w:ascii="Times New Roman" w:eastAsia="Calibri" w:hAnsi="Times New Roman" w:cs="Times New Roman"/>
                <w:b/>
              </w:rPr>
            </w:pPr>
            <w:r>
              <w:rPr>
                <w:rFonts w:ascii="Times New Roman" w:eastAsia="Calibri" w:hAnsi="Times New Roman" w:cs="Times New Roman"/>
                <w:b/>
              </w:rPr>
              <w:t>Contractor C</w:t>
            </w:r>
            <w:r w:rsidRPr="00BB7115">
              <w:rPr>
                <w:rFonts w:ascii="Times New Roman" w:eastAsia="Calibri" w:hAnsi="Times New Roman" w:cs="Times New Roman"/>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2BC3431"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292B0143"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71DC296D"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262E1C62"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20390BA" w14:textId="53D9A3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$0.00 </w:t>
            </w:r>
          </w:p>
        </w:tc>
      </w:tr>
      <w:tr w14:paraId="13F779D5"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793AC12B" w14:textId="77777777">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rsidR="00BB7115" w:rsidRPr="00BB7115" w:rsidP="00BB7115" w14:paraId="5E118B86"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2228C16"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2652439"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D2B7EB0"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68A819ED" w14:textId="77777777">
            <w:pPr>
              <w:spacing w:after="0" w:line="240" w:lineRule="auto"/>
              <w:rPr>
                <w:rFonts w:ascii="Times New Roman" w:eastAsia="Times New Roman" w:hAnsi="Times New Roman" w:cs="Times New Roman"/>
              </w:rPr>
            </w:pPr>
          </w:p>
        </w:tc>
      </w:tr>
      <w:tr w14:paraId="3B56D005"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2B193F" w:rsidP="00BB7115" w14:paraId="1809A6F7" w14:textId="41D09FBC">
            <w:pPr>
              <w:spacing w:after="0" w:line="240" w:lineRule="auto"/>
              <w:rPr>
                <w:rFonts w:ascii="Times New Roman" w:eastAsia="Calibri" w:hAnsi="Times New Roman" w:cs="Times New Roman"/>
                <w:b/>
                <w:color w:val="000000" w:themeColor="text1"/>
              </w:rPr>
            </w:pPr>
            <w:r w:rsidRPr="002B193F">
              <w:rPr>
                <w:rFonts w:ascii="Times New Roman" w:eastAsia="Calibri" w:hAnsi="Times New Roman" w:cs="Times New Roman"/>
                <w:b/>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45570941"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370ACCF1"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34651A95"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5B9A896"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E854FE4" w14:textId="7942885A">
            <w:pPr>
              <w:spacing w:after="0" w:line="240" w:lineRule="auto"/>
              <w:rPr>
                <w:rFonts w:ascii="Times New Roman" w:eastAsia="Times New Roman" w:hAnsi="Times New Roman" w:cs="Times New Roman"/>
              </w:rPr>
            </w:pPr>
            <w:r>
              <w:rPr>
                <w:rFonts w:ascii="Times New Roman" w:eastAsia="Times New Roman" w:hAnsi="Times New Roman" w:cs="Times New Roman"/>
              </w:rPr>
              <w:t>$0.00</w:t>
            </w:r>
          </w:p>
        </w:tc>
      </w:tr>
      <w:tr w14:paraId="7E218B70"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2B193F" w:rsidP="00BB7115" w14:paraId="0C7722C4" w14:textId="36DF236F">
            <w:pPr>
              <w:spacing w:after="0" w:line="240" w:lineRule="auto"/>
              <w:rPr>
                <w:rFonts w:ascii="Times New Roman" w:eastAsia="Calibri" w:hAnsi="Times New Roman" w:cs="Times New Roman"/>
                <w:b/>
                <w:color w:val="000000" w:themeColor="text1"/>
                <w:highlight w:val="yellow"/>
              </w:rPr>
            </w:pPr>
            <w:r w:rsidRPr="002B193F">
              <w:rPr>
                <w:rFonts w:ascii="Times New Roman" w:eastAsia="Calibri" w:hAnsi="Times New Roman" w:cs="Times New Roman"/>
                <w:b/>
                <w:color w:val="000000" w:themeColor="text1"/>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517D6F9A" w14:textId="77777777">
            <w:pPr>
              <w:spacing w:after="0" w:line="240" w:lineRule="auto"/>
              <w:rPr>
                <w:rFonts w:ascii="Times New Roman" w:eastAsia="Calibri" w:hAnsi="Times New Roman" w:cs="Times New Roman"/>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542F3BD7"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3317793A"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69282E9"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DB4DA24" w14:textId="1A926B13">
            <w:pPr>
              <w:spacing w:after="0" w:line="240" w:lineRule="auto"/>
              <w:rPr>
                <w:rFonts w:ascii="Times New Roman" w:eastAsia="Calibri" w:hAnsi="Times New Roman" w:cs="Times New Roman"/>
              </w:rPr>
            </w:pPr>
            <w:r>
              <w:rPr>
                <w:rFonts w:ascii="Times New Roman" w:eastAsia="Calibri" w:hAnsi="Times New Roman" w:cs="Times New Roman"/>
              </w:rPr>
              <w:t>$600.00</w:t>
            </w:r>
          </w:p>
        </w:tc>
      </w:tr>
      <w:tr w14:paraId="68B41476"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115" w:rsidRPr="00BB7115" w:rsidP="00BB7115" w14:paraId="67EF4B42" w14:textId="77777777">
            <w:pPr>
              <w:spacing w:after="0" w:line="240" w:lineRule="auto"/>
              <w:rPr>
                <w:rFonts w:ascii="Times New Roman" w:eastAsia="Calibri" w:hAnsi="Times New Roman" w:cs="Times New Roman"/>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622721AE"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BB7115" w:rsidRPr="00BB7115" w:rsidP="00BB7115" w14:paraId="1243EFF9"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5359DC2D" w14:textId="77777777">
            <w:pPr>
              <w:spacing w:after="0" w:line="240" w:lineRule="auto"/>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39609772" w14:textId="77777777">
            <w:pPr>
              <w:spacing w:after="0" w:line="240" w:lineRule="auto"/>
              <w:rPr>
                <w:rFonts w:ascii="Times New Roman" w:eastAsia="Times New Roman" w:hAnsi="Times New Roman" w:cs="Times New Roman"/>
                <w:b/>
              </w:rPr>
            </w:pPr>
          </w:p>
        </w:tc>
        <w:tc>
          <w:tcPr>
            <w:tcW w:w="1363" w:type="dxa"/>
            <w:tcBorders>
              <w:top w:val="nil"/>
              <w:left w:val="nil"/>
              <w:bottom w:val="single" w:sz="8" w:space="0" w:color="auto"/>
              <w:right w:val="single" w:sz="8" w:space="0" w:color="auto"/>
            </w:tcBorders>
          </w:tcPr>
          <w:p w:rsidR="00BB7115" w:rsidRPr="00BB7115" w:rsidP="00BB7115" w14:paraId="499EB5DF" w14:textId="77777777">
            <w:pPr>
              <w:spacing w:after="0" w:line="240" w:lineRule="auto"/>
              <w:rPr>
                <w:rFonts w:ascii="Times New Roman" w:eastAsia="Times New Roman" w:hAnsi="Times New Roman" w:cs="Times New Roman"/>
                <w:b/>
              </w:rPr>
            </w:pPr>
          </w:p>
        </w:tc>
      </w:tr>
      <w:tr w14:paraId="0273A64C"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115" w:rsidRPr="00BB7115" w:rsidP="00BB7115" w14:paraId="5F81D4A6" w14:textId="77777777">
            <w:pPr>
              <w:spacing w:after="0" w:line="240" w:lineRule="auto"/>
              <w:rPr>
                <w:rFonts w:ascii="Times New Roman" w:eastAsia="Times New Roman" w:hAnsi="Times New Roman" w:cs="Times New Roman"/>
                <w:sz w:val="20"/>
                <w:szCs w:val="20"/>
              </w:rPr>
            </w:pPr>
          </w:p>
        </w:tc>
        <w:tc>
          <w:tcPr>
            <w:tcW w:w="1440" w:type="dxa"/>
            <w:tcBorders>
              <w:top w:val="nil"/>
              <w:left w:val="nil"/>
              <w:bottom w:val="single" w:sz="8" w:space="0" w:color="auto"/>
              <w:right w:val="single" w:sz="8" w:space="0" w:color="auto"/>
            </w:tcBorders>
          </w:tcPr>
          <w:p w:rsidR="00BB7115" w:rsidRPr="00BB7115" w:rsidP="00BB7115" w14:paraId="12C7BFB8" w14:textId="77777777">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115" w:rsidRPr="00BB7115" w:rsidP="00BB7115" w14:paraId="1412C067" w14:textId="77777777">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115" w:rsidRPr="00BB7115" w:rsidP="00BB7115" w14:paraId="2E6BD8A1" w14:textId="77777777">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rsidR="00BB7115" w:rsidRPr="00BB7115" w:rsidP="00BB7115" w14:paraId="7A626E94" w14:textId="77777777">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rsidR="00BB7115" w:rsidRPr="00BB7115" w:rsidP="00BB7115" w14:paraId="2D3918A8" w14:textId="77777777">
            <w:pPr>
              <w:spacing w:after="0" w:line="240" w:lineRule="auto"/>
              <w:rPr>
                <w:rFonts w:ascii="Times New Roman" w:eastAsia="Times New Roman" w:hAnsi="Times New Roman" w:cs="Times New Roman"/>
                <w:sz w:val="20"/>
                <w:szCs w:val="20"/>
              </w:rPr>
            </w:pPr>
          </w:p>
        </w:tc>
      </w:tr>
    </w:tbl>
    <w:p w:rsidR="00713CF8" w:rsidRPr="00087F0E" w:rsidP="00087F0E" w14:paraId="7BBF2C83" w14:textId="6067A9DD">
      <w:pPr>
        <w:spacing w:after="0" w:line="240" w:lineRule="auto"/>
        <w:rPr>
          <w:rFonts w:eastAsia="Times New Roman" w:cstheme="minorHAnsi"/>
          <w:sz w:val="20"/>
          <w:szCs w:val="20"/>
        </w:rPr>
      </w:pPr>
      <w:r>
        <w:t>*</w:t>
      </w:r>
      <w:r w:rsidRPr="009747F4">
        <w:rPr>
          <w:sz w:val="18"/>
          <w:szCs w:val="18"/>
        </w:rPr>
        <w:t>the</w:t>
      </w:r>
      <w:r>
        <w:t xml:space="preserve"> </w:t>
      </w:r>
      <w:r w:rsidRPr="009747F4">
        <w:rPr>
          <w:sz w:val="18"/>
          <w:szCs w:val="18"/>
        </w:rPr>
        <w:t>Salary in table above is cited from</w:t>
      </w:r>
      <w:r>
        <w:t xml:space="preserve"> </w:t>
      </w:r>
      <w:hyperlink r:id="rId6" w:history="1">
        <w:r w:rsidRPr="00087F0E" w:rsidR="00087F0E">
          <w:rPr>
            <w:rStyle w:val="Hyperlink"/>
            <w:sz w:val="18"/>
            <w:szCs w:val="18"/>
          </w:rPr>
          <w:t>https://www.opm.gov/policy-data-oversight/pay-leave/salaries-wages/2022/general-schedule</w:t>
        </w:r>
      </w:hyperlink>
      <w:r w:rsidRPr="00087F0E" w:rsidR="00087F0E">
        <w:rPr>
          <w:sz w:val="18"/>
          <w:szCs w:val="18"/>
        </w:rPr>
        <w:t xml:space="preserve">  </w:t>
      </w:r>
      <w:r w:rsidRPr="00087F0E" w:rsidR="005E2D23">
        <w:rPr>
          <w:rFonts w:eastAsia="Times New Roman" w:cstheme="minorHAnsi"/>
          <w:sz w:val="20"/>
          <w:szCs w:val="20"/>
        </w:rPr>
        <w:t>At a minimum ther</w:t>
      </w:r>
      <w:r w:rsidRPr="00087F0E" w:rsidR="00BB7115">
        <w:rPr>
          <w:rFonts w:eastAsia="Times New Roman" w:cstheme="minorHAnsi"/>
          <w:sz w:val="20"/>
          <w:szCs w:val="20"/>
        </w:rPr>
        <w:t xml:space="preserve">e should be federal oversight costs. Fill others </w:t>
      </w:r>
      <w:r w:rsidRPr="00087F0E" w:rsidR="005E2D23">
        <w:rPr>
          <w:rFonts w:eastAsia="Times New Roman" w:cstheme="minorHAnsi"/>
          <w:sz w:val="20"/>
          <w:szCs w:val="20"/>
        </w:rPr>
        <w:t>as</w:t>
      </w:r>
      <w:r w:rsidRPr="00087F0E" w:rsidR="00BB7115">
        <w:rPr>
          <w:rFonts w:eastAsia="Times New Roman" w:cstheme="minorHAnsi"/>
          <w:sz w:val="20"/>
          <w:szCs w:val="20"/>
        </w:rPr>
        <w:t xml:space="preserve"> applicable.</w:t>
      </w:r>
    </w:p>
    <w:p w:rsidR="005E2D23" w:rsidRPr="00087F0E" w:rsidP="00BB7115" w14:paraId="34055835" w14:textId="6329977A">
      <w:pPr>
        <w:spacing w:after="20"/>
        <w:rPr>
          <w:rFonts w:eastAsia="Times New Roman" w:cstheme="minorHAnsi"/>
          <w:sz w:val="20"/>
          <w:szCs w:val="20"/>
        </w:rPr>
      </w:pPr>
      <w:r w:rsidRPr="00087F0E">
        <w:rPr>
          <w:rFonts w:eastAsia="Times New Roman" w:cstheme="minorHAnsi"/>
          <w:sz w:val="20"/>
          <w:szCs w:val="20"/>
        </w:rPr>
        <w:t xml:space="preserve">Highlighted shaded areas are exempt from data entry. </w:t>
      </w:r>
    </w:p>
    <w:p w:rsidR="00BB7115" w:rsidRPr="00113647" w:rsidP="00BB7115" w14:paraId="5B948273" w14:textId="77777777">
      <w:pPr>
        <w:spacing w:after="20"/>
      </w:pPr>
    </w:p>
    <w:p w:rsidR="00713CF8" w:rsidRPr="00113647" w:rsidP="008716F6" w14:paraId="701B9E8A" w14:textId="77777777">
      <w:pPr>
        <w:spacing w:after="20"/>
        <w:rPr>
          <w:b/>
        </w:rPr>
      </w:pPr>
      <w:r w:rsidRPr="00113647">
        <w:rPr>
          <w:b/>
        </w:rPr>
        <w:t>A.15 Explanation for Program Changes or Adjustments</w:t>
      </w:r>
    </w:p>
    <w:p w:rsidR="00713CF8" w:rsidRPr="00113647" w:rsidP="008716F6" w14:paraId="6E9E0532" w14:textId="77777777">
      <w:pPr>
        <w:spacing w:after="20"/>
      </w:pPr>
      <w:r w:rsidRPr="00113647">
        <w:t>N/A</w:t>
      </w:r>
    </w:p>
    <w:p w:rsidR="00713CF8" w:rsidRPr="00113647" w:rsidP="008716F6" w14:paraId="3F3A531D" w14:textId="77777777">
      <w:pPr>
        <w:spacing w:after="20"/>
      </w:pPr>
    </w:p>
    <w:p w:rsidR="006270A6" w:rsidP="008716F6" w14:paraId="533DACAC" w14:textId="5E97AFAE">
      <w:pPr>
        <w:spacing w:after="20"/>
        <w:rPr>
          <w:b/>
        </w:rPr>
      </w:pPr>
      <w:r w:rsidRPr="006270A6">
        <w:rPr>
          <w:b/>
        </w:rPr>
        <w:t>A.16 Plans for Tabulation and Publication and Project Time Schedule</w:t>
      </w:r>
    </w:p>
    <w:p w:rsidR="006270A6" w:rsidRPr="006270A6" w:rsidP="008716F6" w14:paraId="7C3B933A" w14:textId="77777777">
      <w:pPr>
        <w:spacing w:after="20"/>
        <w:rPr>
          <w:b/>
        </w:rPr>
      </w:pPr>
    </w:p>
    <w:p w:rsidR="006270A6" w:rsidP="008716F6" w14:paraId="6A9A15B6" w14:textId="4DB1372A">
      <w:pPr>
        <w:spacing w:after="20"/>
      </w:pPr>
      <w:r>
        <w:t>N/A</w:t>
      </w:r>
    </w:p>
    <w:p w:rsidR="002C4725" w:rsidRPr="00113647" w:rsidP="008716F6" w14:paraId="7C364AFF" w14:textId="77777777">
      <w:pPr>
        <w:spacing w:after="20"/>
      </w:pPr>
    </w:p>
    <w:p w:rsidR="00713CF8" w:rsidRPr="00113647" w:rsidP="008716F6" w14:paraId="6E544D17" w14:textId="77777777">
      <w:pPr>
        <w:spacing w:after="20"/>
        <w:rPr>
          <w:b/>
        </w:rPr>
      </w:pPr>
      <w:r w:rsidRPr="00113647">
        <w:rPr>
          <w:b/>
        </w:rPr>
        <w:t>A.17 Reason(s) Display of OMB Expiration Date is Inappropriate</w:t>
      </w:r>
    </w:p>
    <w:p w:rsidR="00713CF8" w:rsidRPr="00113647" w:rsidP="008716F6" w14:paraId="331E5FB8" w14:textId="4D1D29F9">
      <w:pPr>
        <w:spacing w:after="20"/>
      </w:pPr>
      <w:r w:rsidRPr="00113647">
        <w:t>We are not requesting an exemption to the display of the OMB Expiration date.</w:t>
      </w:r>
      <w:r w:rsidR="002C4725">
        <w:t xml:space="preserve"> *standard text*</w:t>
      </w:r>
    </w:p>
    <w:p w:rsidR="00713CF8" w:rsidRPr="00113647" w:rsidP="008716F6" w14:paraId="2F4AF321" w14:textId="77777777">
      <w:pPr>
        <w:spacing w:after="20"/>
      </w:pPr>
    </w:p>
    <w:p w:rsidR="00713CF8" w:rsidRPr="00113647" w:rsidP="00713CF8" w14:paraId="695E184B" w14:textId="77777777">
      <w:pPr>
        <w:spacing w:after="20"/>
        <w:rPr>
          <w:b/>
        </w:rPr>
      </w:pPr>
      <w:r w:rsidRPr="00113647">
        <w:rPr>
          <w:b/>
        </w:rPr>
        <w:t>A.18 Exceptions to Certification for Paperwork Reduction Act Submissions</w:t>
      </w:r>
    </w:p>
    <w:p w:rsidR="00990709" w:rsidRPr="00ED1560" w:rsidP="00713CF8" w14:paraId="0F6F72BA" w14:textId="2955CA1B">
      <w:pPr>
        <w:spacing w:after="20"/>
        <w:rPr>
          <w:sz w:val="24"/>
          <w:szCs w:val="24"/>
        </w:rPr>
      </w:pPr>
      <w:r w:rsidRPr="00113647">
        <w:t>This survey will comply with the requirements in 5 CFR 1320.9.</w:t>
      </w:r>
      <w:r>
        <w:t xml:space="preserve"> </w:t>
      </w:r>
      <w:r w:rsidR="002C4725">
        <w:t>*standard text*</w:t>
      </w:r>
      <w:r w:rsidRPr="00990709">
        <w:rPr>
          <w:sz w:val="24"/>
          <w:szCs w:val="24"/>
        </w:rPr>
        <w:tab/>
      </w:r>
      <w:r w:rsidRPr="00990709">
        <w:rPr>
          <w:sz w:val="24"/>
          <w:szCs w:val="24"/>
        </w:rPr>
        <w:tab/>
      </w:r>
    </w:p>
    <w:sectPr w:rsidSect="00F4290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0A5887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E4C" w14:paraId="479CA1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54915B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2119FE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5C7C6675" w14:textId="2E6B1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F9C" w14:paraId="5181EF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start w:val="1"/>
      <w:numFmt w:val="bullet"/>
      <w:lvlText w:val=""/>
      <w:lvlJc w:val="left"/>
      <w:pPr>
        <w:ind w:left="1710" w:hanging="360"/>
      </w:pPr>
      <w:rPr>
        <w:rFonts w:ascii="Symbol" w:eastAsia="SimSun" w:hAnsi="Symbol" w:cstheme="minorBidi"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5B43AB"/>
    <w:multiLevelType w:val="hybridMultilevel"/>
    <w:tmpl w:val="D8CEFCE2"/>
    <w:lvl w:ilvl="0">
      <w:start w:val="1"/>
      <w:numFmt w:val="bullet"/>
      <w:lvlText w:val=""/>
      <w:lvlJc w:val="left"/>
      <w:pPr>
        <w:ind w:left="720" w:hanging="360"/>
      </w:pPr>
      <w:rPr>
        <w:rFonts w:ascii="Symbol" w:eastAsia="SimSu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57A71"/>
    <w:rsid w:val="00057C98"/>
    <w:rsid w:val="00063927"/>
    <w:rsid w:val="00063DC1"/>
    <w:rsid w:val="00087F0E"/>
    <w:rsid w:val="000A796F"/>
    <w:rsid w:val="000B2967"/>
    <w:rsid w:val="000B4C09"/>
    <w:rsid w:val="000D35DA"/>
    <w:rsid w:val="000F528B"/>
    <w:rsid w:val="000F5528"/>
    <w:rsid w:val="00113647"/>
    <w:rsid w:val="00113D5F"/>
    <w:rsid w:val="001435DE"/>
    <w:rsid w:val="0016069E"/>
    <w:rsid w:val="00175FFD"/>
    <w:rsid w:val="00185105"/>
    <w:rsid w:val="001B3C5E"/>
    <w:rsid w:val="001C1DC2"/>
    <w:rsid w:val="001D2741"/>
    <w:rsid w:val="001E3759"/>
    <w:rsid w:val="00206552"/>
    <w:rsid w:val="002065DB"/>
    <w:rsid w:val="0021543C"/>
    <w:rsid w:val="00236DA8"/>
    <w:rsid w:val="00242F5D"/>
    <w:rsid w:val="002727A9"/>
    <w:rsid w:val="00273125"/>
    <w:rsid w:val="00273E4C"/>
    <w:rsid w:val="0029112F"/>
    <w:rsid w:val="002B193F"/>
    <w:rsid w:val="002B5AA8"/>
    <w:rsid w:val="002C1D97"/>
    <w:rsid w:val="002C4725"/>
    <w:rsid w:val="002F3354"/>
    <w:rsid w:val="00330E82"/>
    <w:rsid w:val="00336D39"/>
    <w:rsid w:val="00350296"/>
    <w:rsid w:val="00382B75"/>
    <w:rsid w:val="003918F4"/>
    <w:rsid w:val="00395820"/>
    <w:rsid w:val="003A14DC"/>
    <w:rsid w:val="003A7F7F"/>
    <w:rsid w:val="003D32E2"/>
    <w:rsid w:val="003D43B1"/>
    <w:rsid w:val="003E5E88"/>
    <w:rsid w:val="0040282E"/>
    <w:rsid w:val="00413459"/>
    <w:rsid w:val="00427A1F"/>
    <w:rsid w:val="004409C0"/>
    <w:rsid w:val="00446BA0"/>
    <w:rsid w:val="0046633D"/>
    <w:rsid w:val="00477A8E"/>
    <w:rsid w:val="004B3C21"/>
    <w:rsid w:val="004C7969"/>
    <w:rsid w:val="004D2AD6"/>
    <w:rsid w:val="00506DA7"/>
    <w:rsid w:val="00534B5A"/>
    <w:rsid w:val="00547CA8"/>
    <w:rsid w:val="00551B2D"/>
    <w:rsid w:val="005676C6"/>
    <w:rsid w:val="00573BAB"/>
    <w:rsid w:val="005868BD"/>
    <w:rsid w:val="00586D7F"/>
    <w:rsid w:val="00595D1E"/>
    <w:rsid w:val="005B5E5B"/>
    <w:rsid w:val="005C053D"/>
    <w:rsid w:val="005E2D23"/>
    <w:rsid w:val="00626A3E"/>
    <w:rsid w:val="006270A6"/>
    <w:rsid w:val="006529C8"/>
    <w:rsid w:val="00671310"/>
    <w:rsid w:val="006854FC"/>
    <w:rsid w:val="00687733"/>
    <w:rsid w:val="0069025C"/>
    <w:rsid w:val="00693A83"/>
    <w:rsid w:val="00695204"/>
    <w:rsid w:val="00696F7C"/>
    <w:rsid w:val="006B2ACE"/>
    <w:rsid w:val="006F3226"/>
    <w:rsid w:val="006F7AFA"/>
    <w:rsid w:val="00713CF8"/>
    <w:rsid w:val="00740F9D"/>
    <w:rsid w:val="00741F60"/>
    <w:rsid w:val="00762CFB"/>
    <w:rsid w:val="0079784E"/>
    <w:rsid w:val="007A0C14"/>
    <w:rsid w:val="007B6FBB"/>
    <w:rsid w:val="007D19AD"/>
    <w:rsid w:val="007D3181"/>
    <w:rsid w:val="007D66AD"/>
    <w:rsid w:val="007F5A32"/>
    <w:rsid w:val="008113F2"/>
    <w:rsid w:val="00816C32"/>
    <w:rsid w:val="008529CC"/>
    <w:rsid w:val="008716F6"/>
    <w:rsid w:val="0087173D"/>
    <w:rsid w:val="00897D34"/>
    <w:rsid w:val="008D12B2"/>
    <w:rsid w:val="008D6113"/>
    <w:rsid w:val="00907E64"/>
    <w:rsid w:val="00942DB8"/>
    <w:rsid w:val="00944ABD"/>
    <w:rsid w:val="00953B2E"/>
    <w:rsid w:val="00960AAD"/>
    <w:rsid w:val="00974140"/>
    <w:rsid w:val="009747F4"/>
    <w:rsid w:val="00990709"/>
    <w:rsid w:val="009F4546"/>
    <w:rsid w:val="00A24DA1"/>
    <w:rsid w:val="00A2740D"/>
    <w:rsid w:val="00A61F11"/>
    <w:rsid w:val="00A622DA"/>
    <w:rsid w:val="00A74631"/>
    <w:rsid w:val="00A75A5C"/>
    <w:rsid w:val="00AA355D"/>
    <w:rsid w:val="00AA59DF"/>
    <w:rsid w:val="00AB60E0"/>
    <w:rsid w:val="00AB6AFA"/>
    <w:rsid w:val="00AC113B"/>
    <w:rsid w:val="00AD7BAB"/>
    <w:rsid w:val="00AF01AD"/>
    <w:rsid w:val="00B20D87"/>
    <w:rsid w:val="00B575BB"/>
    <w:rsid w:val="00B6738F"/>
    <w:rsid w:val="00B732AC"/>
    <w:rsid w:val="00B97CC8"/>
    <w:rsid w:val="00BA4F9C"/>
    <w:rsid w:val="00BB14C2"/>
    <w:rsid w:val="00BB41D9"/>
    <w:rsid w:val="00BB7115"/>
    <w:rsid w:val="00BC088C"/>
    <w:rsid w:val="00BE135A"/>
    <w:rsid w:val="00BE197D"/>
    <w:rsid w:val="00C0501F"/>
    <w:rsid w:val="00C465FF"/>
    <w:rsid w:val="00C705EC"/>
    <w:rsid w:val="00C95821"/>
    <w:rsid w:val="00CB2332"/>
    <w:rsid w:val="00CB4C39"/>
    <w:rsid w:val="00CC32B1"/>
    <w:rsid w:val="00CF1726"/>
    <w:rsid w:val="00D31D73"/>
    <w:rsid w:val="00D45A58"/>
    <w:rsid w:val="00D605CF"/>
    <w:rsid w:val="00D6099F"/>
    <w:rsid w:val="00D72137"/>
    <w:rsid w:val="00DB27F3"/>
    <w:rsid w:val="00DB6DF4"/>
    <w:rsid w:val="00DC189D"/>
    <w:rsid w:val="00DE3A7C"/>
    <w:rsid w:val="00DF6124"/>
    <w:rsid w:val="00E13104"/>
    <w:rsid w:val="00E33992"/>
    <w:rsid w:val="00E46078"/>
    <w:rsid w:val="00E712FF"/>
    <w:rsid w:val="00EA2B21"/>
    <w:rsid w:val="00EB437A"/>
    <w:rsid w:val="00EB77CC"/>
    <w:rsid w:val="00EC1392"/>
    <w:rsid w:val="00EC499E"/>
    <w:rsid w:val="00ED1560"/>
    <w:rsid w:val="00ED4628"/>
    <w:rsid w:val="00F0448C"/>
    <w:rsid w:val="00F06866"/>
    <w:rsid w:val="00F4290D"/>
    <w:rsid w:val="00F45BD9"/>
    <w:rsid w:val="00FB481F"/>
    <w:rsid w:val="00FC3BAD"/>
    <w:rsid w:val="00FF1D87"/>
    <w:rsid w:val="00FF67E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45DBAE6"/>
  <w15:docId w15:val="{8E7E3D1B-6B66-47D8-849B-55BA884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7F3"/>
  </w:style>
  <w:style w:type="paragraph" w:styleId="Heading3">
    <w:name w:val="heading 3"/>
    <w:basedOn w:val="Normal"/>
    <w:link w:val="Heading3Char"/>
    <w:uiPriority w:val="9"/>
    <w:qFormat/>
    <w:rsid w:val="00DB6D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 w:type="character" w:styleId="UnresolvedMention">
    <w:name w:val="Unresolved Mention"/>
    <w:basedOn w:val="DefaultParagraphFont"/>
    <w:uiPriority w:val="99"/>
    <w:semiHidden/>
    <w:unhideWhenUsed/>
    <w:rsid w:val="002B5AA8"/>
    <w:rPr>
      <w:color w:val="605E5C"/>
      <w:shd w:val="clear" w:color="auto" w:fill="E1DFDD"/>
    </w:rPr>
  </w:style>
  <w:style w:type="character" w:customStyle="1" w:styleId="Heading3Char">
    <w:name w:val="Heading 3 Char"/>
    <w:basedOn w:val="DefaultParagraphFont"/>
    <w:link w:val="Heading3"/>
    <w:uiPriority w:val="9"/>
    <w:rsid w:val="00DB6DF4"/>
    <w:rPr>
      <w:rFonts w:ascii="Times New Roman" w:eastAsia="Times New Roman" w:hAnsi="Times New Roman" w:cs="Times New Roman"/>
      <w:b/>
      <w:bCs/>
      <w:sz w:val="27"/>
      <w:szCs w:val="27"/>
    </w:rPr>
  </w:style>
  <w:style w:type="paragraph" w:customStyle="1" w:styleId="smhelp-background-0-2-128">
    <w:name w:val="smhelp-background-0-2-128"/>
    <w:basedOn w:val="Normal"/>
    <w:rsid w:val="00DB6D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2022/general-schedule"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317A-41E7-406D-A87F-AD37590A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3</cp:revision>
  <cp:lastPrinted>2010-02-17T12:08:00Z</cp:lastPrinted>
  <dcterms:created xsi:type="dcterms:W3CDTF">2022-09-27T21:02:00Z</dcterms:created>
  <dcterms:modified xsi:type="dcterms:W3CDTF">2022-09-28T19:48:00Z</dcterms:modified>
</cp:coreProperties>
</file>