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08A" w:rsidP="00F06866" w:rsidRDefault="00EE37F5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Pr="009239AA" w:rsidR="00E50293" w:rsidP="00434E33" w:rsidRDefault="005A7C5D" w14:paraId="771867AD" w14:textId="54A3073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C66CA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C13023" w:rsidR="004D56AD">
        <w:rPr>
          <w:rFonts w:cstheme="minorHAnsi"/>
          <w:b/>
          <w:bCs/>
        </w:rPr>
        <w:t xml:space="preserve">Nomination to Serve on Advisory and Peer Review Activities for the National </w:t>
      </w:r>
      <w:r w:rsidR="001434FD">
        <w:rPr>
          <w:rFonts w:cstheme="minorHAnsi"/>
          <w:b/>
          <w:bCs/>
        </w:rPr>
        <w:t>Institute of General Medical Sciences (NIGMS)</w:t>
      </w:r>
    </w:p>
    <w:p w:rsidR="005E714A" w:rsidRDefault="005E714A" w14:paraId="7E4E3CB3" w14:textId="77777777"/>
    <w:p w:rsidR="001B0AAA" w:rsidRDefault="00F15956" w14:paraId="10AD0DCF" w14:textId="191BB7CE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C13023" w:rsidR="004D56AD" w:rsidP="152B75A6" w:rsidRDefault="000649E6" w14:paraId="12846121" w14:textId="2586963B">
      <w:pPr>
        <w:spacing w:after="120" w:line="300" w:lineRule="auto"/>
        <w:rPr>
          <w:rFonts w:cstheme="minorBidi"/>
        </w:rPr>
      </w:pPr>
      <w:r w:rsidRPr="152B75A6">
        <w:rPr>
          <w:rFonts w:cstheme="minorBidi"/>
        </w:rPr>
        <w:t>NIGMS</w:t>
      </w:r>
      <w:r w:rsidRPr="152B75A6" w:rsidR="004D56AD">
        <w:rPr>
          <w:rFonts w:cstheme="minorBidi"/>
        </w:rPr>
        <w:t xml:space="preserve"> seeks self-nomination of individuals with appropriate expertise to participate on advisory and peer review activities including Special Emphasis Panels</w:t>
      </w:r>
      <w:r w:rsidRPr="152B75A6">
        <w:rPr>
          <w:rFonts w:cstheme="minorBidi"/>
        </w:rPr>
        <w:t>.</w:t>
      </w:r>
      <w:r w:rsidRPr="152B75A6" w:rsidR="004D56AD">
        <w:rPr>
          <w:rFonts w:cstheme="minorBidi"/>
        </w:rPr>
        <w:t xml:space="preserve">  The purpose is to collect information for agency internal use to improve scientific practices and/or assist in scientific reviews.</w:t>
      </w:r>
    </w:p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D3A01F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 w14:paraId="0B414700" w14:textId="77777777"/>
    <w:p w:rsidR="00434E33" w:rsidRDefault="00927162" w14:paraId="53F6A91A" w14:textId="49B850AF">
      <w:r w:rsidRPr="00906487">
        <w:t>The respondents may be persons from academia, industry, other governmental organizations, nongovernmental organizations, public</w:t>
      </w:r>
    </w:p>
    <w:p w:rsidR="00E26329" w:rsidRDefault="00E26329" w14:paraId="0AD177E0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764FF938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</w:t>
      </w:r>
      <w:r w:rsidR="00D401EE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Recommendations of scientific reviewers</w:t>
      </w:r>
      <w:r w:rsidR="00DB608A">
        <w:rPr>
          <w:bCs/>
          <w:sz w:val="24"/>
        </w:rPr>
        <w:tab/>
      </w:r>
      <w:r w:rsidR="00D401EE">
        <w:rPr>
          <w:bCs/>
          <w:sz w:val="24"/>
        </w:rPr>
        <w:tab/>
      </w:r>
      <w:r w:rsidR="00DB608A">
        <w:rPr>
          <w:bCs/>
          <w:sz w:val="24"/>
        </w:rPr>
        <w:t>[ ] Resources</w:t>
      </w:r>
    </w:p>
    <w:p w:rsidRPr="00F06866" w:rsidR="00F06866" w:rsidP="0096108F" w:rsidRDefault="00935ADA" w14:paraId="3A23215E" w14:textId="0394418D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</w:t>
      </w:r>
      <w:proofErr w:type="gramStart"/>
      <w:r w:rsidR="00E9302A">
        <w:rPr>
          <w:bCs/>
          <w:sz w:val="24"/>
        </w:rPr>
        <w:t xml:space="preserve">X </w:t>
      </w:r>
      <w:r w:rsidR="006D5F47">
        <w:rPr>
          <w:bCs/>
          <w:sz w:val="24"/>
        </w:rPr>
        <w:t>]</w:t>
      </w:r>
      <w:proofErr w:type="gramEnd"/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Pr="00241E7B" w:rsidR="00241E7B" w:rsidP="00241E7B" w:rsidRDefault="00241E7B" w14:paraId="3B755681" w14:textId="77777777">
      <w:pPr>
        <w:pStyle w:val="ListParagraph"/>
        <w:numPr>
          <w:ilvl w:val="0"/>
          <w:numId w:val="14"/>
        </w:numPr>
      </w:pPr>
      <w:r w:rsidRPr="00241E7B"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3F279A" w14:textId="77777777"/>
    <w:p w:rsidR="009C13B9" w:rsidP="009C13B9" w:rsidRDefault="009C13B9" w14:paraId="52DF1569" w14:textId="3025ADB7">
      <w:proofErr w:type="gramStart"/>
      <w:r>
        <w:t>Name:_</w:t>
      </w:r>
      <w:proofErr w:type="gramEnd"/>
      <w:r w:rsidRPr="004D56AD" w:rsidR="004D56AD">
        <w:rPr>
          <w:u w:val="single"/>
        </w:rPr>
        <w:t xml:space="preserve"> </w:t>
      </w:r>
      <w:r w:rsidR="00383527">
        <w:rPr>
          <w:u w:val="single"/>
        </w:rPr>
        <w:t>Stephanie Constant, Ph.D.</w:t>
      </w:r>
      <w:r w:rsidR="004D56AD">
        <w:t xml:space="preserve"> </w:t>
      </w:r>
      <w:r>
        <w:t>_</w:t>
      </w:r>
    </w:p>
    <w:p w:rsidR="009C13B9" w:rsidP="009C13B9" w:rsidRDefault="009C13B9" w14:paraId="53454E83" w14:textId="77777777">
      <w:pPr>
        <w:pStyle w:val="ListParagraph"/>
        <w:ind w:left="360"/>
      </w:pPr>
    </w:p>
    <w:p w:rsidR="009C13B9" w:rsidP="009C13B9" w:rsidRDefault="009C13B9" w14:paraId="24E1CA9D" w14:textId="77777777">
      <w:r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3BDC04D" w14:textId="4E28BC6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proofErr w:type="gramStart"/>
      <w:r w:rsidR="004D56AD">
        <w:t>X</w:t>
      </w:r>
      <w:r w:rsidR="009239AA">
        <w:t xml:space="preserve"> ]</w:t>
      </w:r>
      <w:proofErr w:type="gramEnd"/>
      <w:r w:rsidR="009239AA">
        <w:t xml:space="preserve"> Yes  [ ]  No </w:t>
      </w:r>
    </w:p>
    <w:p w:rsidR="00C86E91" w:rsidP="00C86E91" w:rsidRDefault="009C13B9" w14:paraId="7186FCEC" w14:textId="0BCF98E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</w:t>
      </w:r>
      <w:proofErr w:type="gramStart"/>
      <w:r w:rsidR="004D56AD">
        <w:t>X</w:t>
      </w:r>
      <w:r w:rsidR="009239AA">
        <w:t xml:space="preserve">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62A1D75A" w14:textId="36298A38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</w:t>
      </w:r>
      <w:proofErr w:type="gramStart"/>
      <w:r w:rsidR="004D56AD">
        <w:t>X</w:t>
      </w:r>
      <w:r>
        <w:t xml:space="preserve"> ]</w:t>
      </w:r>
      <w:proofErr w:type="gramEnd"/>
      <w:r>
        <w:t xml:space="preserve"> Yes  [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72A857F0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4D56AD">
        <w:t>X</w:t>
      </w:r>
      <w:r>
        <w:t xml:space="preserve"> ] No  </w:t>
      </w:r>
    </w:p>
    <w:p w:rsidR="004D6E14" w:rsidRDefault="004D6E14" w14:paraId="19254812" w14:textId="77777777">
      <w:pPr>
        <w:rPr>
          <w:b/>
        </w:rPr>
      </w:pPr>
    </w:p>
    <w:p w:rsidRPr="00BC676D" w:rsidR="005E714A" w:rsidP="00C86E91" w:rsidRDefault="003668D6" w14:paraId="384A9DB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987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890"/>
        <w:gridCol w:w="2430"/>
        <w:gridCol w:w="1710"/>
        <w:gridCol w:w="1620"/>
      </w:tblGrid>
      <w:tr w:rsidR="003668D6" w:rsidTr="00C15E7E" w14:paraId="43D8EEDC" w14:textId="77777777">
        <w:trPr>
          <w:trHeight w:val="274"/>
        </w:trPr>
        <w:tc>
          <w:tcPr>
            <w:tcW w:w="2227" w:type="dxa"/>
          </w:tcPr>
          <w:p w:rsidRPr="002D26E2" w:rsidR="003668D6" w:rsidP="00C8488C" w:rsidRDefault="003668D6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Pr="002D26E2" w:rsidR="003668D6" w:rsidP="00843796" w:rsidRDefault="003668D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:rsidRPr="002D26E2" w:rsidR="003668D6" w:rsidP="00843796" w:rsidRDefault="003668D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10" w:type="dxa"/>
          </w:tcPr>
          <w:p w:rsidR="003668D6" w:rsidP="00843796" w:rsidRDefault="003668D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993698B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620" w:type="dxa"/>
          </w:tcPr>
          <w:p w:rsidR="003668D6" w:rsidP="00843796" w:rsidRDefault="003668D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FC2F70" w:rsidTr="00CB70D4" w14:paraId="51A1D550" w14:textId="77777777">
        <w:trPr>
          <w:trHeight w:val="274"/>
        </w:trPr>
        <w:tc>
          <w:tcPr>
            <w:tcW w:w="2227" w:type="dxa"/>
            <w:vAlign w:val="center"/>
          </w:tcPr>
          <w:p w:rsidRPr="00FC2F70" w:rsidR="00FC2F70" w:rsidP="00FC2F70" w:rsidRDefault="008D1C0B" w14:paraId="027E0DC1" w14:textId="1AB710BD">
            <w:r>
              <w:rPr>
                <w:rFonts w:cstheme="minorHAnsi"/>
              </w:rPr>
              <w:t xml:space="preserve">Private Sector </w:t>
            </w:r>
          </w:p>
        </w:tc>
        <w:tc>
          <w:tcPr>
            <w:tcW w:w="1890" w:type="dxa"/>
            <w:vAlign w:val="center"/>
          </w:tcPr>
          <w:p w:rsidR="00FC2F70" w:rsidP="00FC2F70" w:rsidRDefault="00FC2E3E" w14:paraId="38E259CA" w14:textId="563A53A1">
            <w:r>
              <w:rPr>
                <w:rFonts w:cstheme="minorHAnsi"/>
              </w:rPr>
              <w:t>1</w:t>
            </w:r>
            <w:r w:rsidRPr="00C13023" w:rsidR="00FC2F70">
              <w:rPr>
                <w:rFonts w:cstheme="minorHAnsi"/>
              </w:rPr>
              <w:t>00</w:t>
            </w:r>
          </w:p>
        </w:tc>
        <w:tc>
          <w:tcPr>
            <w:tcW w:w="2430" w:type="dxa"/>
            <w:vAlign w:val="center"/>
          </w:tcPr>
          <w:p w:rsidR="00FC2F70" w:rsidP="00FC2F70" w:rsidRDefault="00FC2F70" w14:paraId="5E9B6875" w14:textId="4C5CC309">
            <w:r w:rsidRPr="00C13023">
              <w:rPr>
                <w:rFonts w:cstheme="minorHAnsi"/>
              </w:rPr>
              <w:t>1</w:t>
            </w:r>
          </w:p>
        </w:tc>
        <w:tc>
          <w:tcPr>
            <w:tcW w:w="1710" w:type="dxa"/>
            <w:vAlign w:val="center"/>
          </w:tcPr>
          <w:p w:rsidR="00FC2F70" w:rsidP="00FC2F70" w:rsidRDefault="00DE2EAB" w14:paraId="0B034BB1" w14:textId="20504DCC">
            <w:r>
              <w:rPr>
                <w:rFonts w:cstheme="minorHAnsi"/>
              </w:rPr>
              <w:t>6/60</w:t>
            </w:r>
          </w:p>
        </w:tc>
        <w:tc>
          <w:tcPr>
            <w:tcW w:w="1620" w:type="dxa"/>
            <w:vAlign w:val="center"/>
          </w:tcPr>
          <w:p w:rsidR="00FC2F70" w:rsidP="00FC2F70" w:rsidRDefault="00FC2E3E" w14:paraId="187B6A18" w14:textId="1A22BFCF">
            <w:r>
              <w:rPr>
                <w:rFonts w:cstheme="minorHAnsi"/>
              </w:rPr>
              <w:t>10</w:t>
            </w:r>
          </w:p>
        </w:tc>
      </w:tr>
      <w:tr w:rsidR="00FC2F70" w:rsidTr="00CB70D4" w14:paraId="40D619CD" w14:textId="77777777">
        <w:trPr>
          <w:trHeight w:val="289"/>
        </w:trPr>
        <w:tc>
          <w:tcPr>
            <w:tcW w:w="2227" w:type="dxa"/>
            <w:vAlign w:val="center"/>
          </w:tcPr>
          <w:p w:rsidRPr="002D26E2" w:rsidR="00FC2F70" w:rsidP="00FC2F70" w:rsidRDefault="00FC2F70" w14:paraId="4881398D" w14:textId="4566737E">
            <w:pPr>
              <w:rPr>
                <w:b/>
              </w:rPr>
            </w:pPr>
            <w:r w:rsidRPr="00C13023">
              <w:rPr>
                <w:rFonts w:cstheme="minorHAnsi"/>
              </w:rPr>
              <w:t>Total</w:t>
            </w:r>
          </w:p>
        </w:tc>
        <w:tc>
          <w:tcPr>
            <w:tcW w:w="1890" w:type="dxa"/>
            <w:vAlign w:val="center"/>
          </w:tcPr>
          <w:p w:rsidRPr="002D26E2" w:rsidR="00FC2F70" w:rsidP="00FC2F70" w:rsidRDefault="00FC2F70" w14:paraId="2089A7BF" w14:textId="7DA006F7">
            <w:pPr>
              <w:rPr>
                <w:b/>
              </w:rPr>
            </w:pPr>
          </w:p>
        </w:tc>
        <w:tc>
          <w:tcPr>
            <w:tcW w:w="2430" w:type="dxa"/>
            <w:vAlign w:val="center"/>
          </w:tcPr>
          <w:p w:rsidR="00FC2F70" w:rsidP="00FC2F70" w:rsidRDefault="00FC2E3E" w14:paraId="5BF515D7" w14:textId="16832105">
            <w:r>
              <w:rPr>
                <w:rFonts w:cstheme="minorHAnsi"/>
              </w:rPr>
              <w:t>100</w:t>
            </w:r>
          </w:p>
        </w:tc>
        <w:tc>
          <w:tcPr>
            <w:tcW w:w="1710" w:type="dxa"/>
            <w:vAlign w:val="center"/>
          </w:tcPr>
          <w:p w:rsidR="00FC2F70" w:rsidP="00FC2F70" w:rsidRDefault="00FC2F70" w14:paraId="6453AF92" w14:textId="77777777"/>
        </w:tc>
        <w:tc>
          <w:tcPr>
            <w:tcW w:w="1620" w:type="dxa"/>
            <w:vAlign w:val="center"/>
          </w:tcPr>
          <w:p w:rsidRPr="002D26E2" w:rsidR="00FC2F70" w:rsidP="00FC2F70" w:rsidRDefault="00FC2E3E" w14:paraId="79836567" w14:textId="22586BFB">
            <w:pPr>
              <w:rPr>
                <w:b/>
              </w:rPr>
            </w:pPr>
            <w:r>
              <w:rPr>
                <w:rFonts w:cstheme="minorHAnsi"/>
              </w:rPr>
              <w:t>10</w:t>
            </w:r>
          </w:p>
        </w:tc>
      </w:tr>
    </w:tbl>
    <w:p w:rsidR="00F3170F" w:rsidP="00F3170F" w:rsidRDefault="00F3170F" w14:paraId="70A8B133" w14:textId="6182A878"/>
    <w:p w:rsidRPr="00866F8A" w:rsidR="0078286A" w:rsidP="00F3170F" w:rsidRDefault="0078286A" w14:paraId="6C85EDEA" w14:textId="69747782">
      <w:pPr>
        <w:rPr>
          <w:b/>
          <w:bCs/>
        </w:rPr>
      </w:pPr>
      <w:r w:rsidRPr="00866F8A">
        <w:rPr>
          <w:b/>
          <w:bCs/>
        </w:rPr>
        <w:t>COST TO RESPONDENT</w:t>
      </w:r>
    </w:p>
    <w:p w:rsidRPr="009A036B" w:rsidR="0078286A" w:rsidP="009A036B" w:rsidRDefault="0078286A" w14:paraId="50BA3346" w14:textId="21876035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6277B5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FC2F70" w:rsidTr="003B12F5" w14:paraId="7A33F4A1" w14:textId="77777777">
        <w:trPr>
          <w:trHeight w:val="274"/>
        </w:trPr>
        <w:tc>
          <w:tcPr>
            <w:tcW w:w="2790" w:type="dxa"/>
            <w:vAlign w:val="center"/>
          </w:tcPr>
          <w:p w:rsidRPr="009A036B" w:rsidR="00FC2F70" w:rsidP="00FC2F70" w:rsidRDefault="008D1C0B" w14:paraId="7CAB1FAD" w14:textId="2E529EE5">
            <w:r>
              <w:rPr>
                <w:rFonts w:cstheme="minorHAnsi"/>
              </w:rPr>
              <w:t xml:space="preserve">Private Sector </w:t>
            </w:r>
          </w:p>
        </w:tc>
        <w:tc>
          <w:tcPr>
            <w:tcW w:w="2250" w:type="dxa"/>
            <w:vAlign w:val="center"/>
          </w:tcPr>
          <w:p w:rsidRPr="009A036B" w:rsidR="00FC2F70" w:rsidP="00FC2F70" w:rsidRDefault="00FC2E3E" w14:paraId="4BEB3AC4" w14:textId="093686DF">
            <w:r>
              <w:rPr>
                <w:rFonts w:cstheme="minorHAnsi"/>
              </w:rPr>
              <w:t>1</w:t>
            </w:r>
            <w:r w:rsidRPr="00C13023" w:rsidR="00FC2F70">
              <w:rPr>
                <w:rFonts w:cstheme="minorHAnsi"/>
              </w:rPr>
              <w:t>0</w:t>
            </w:r>
          </w:p>
        </w:tc>
        <w:tc>
          <w:tcPr>
            <w:tcW w:w="2520" w:type="dxa"/>
            <w:vAlign w:val="center"/>
          </w:tcPr>
          <w:p w:rsidRPr="009A036B" w:rsidR="00FC2F70" w:rsidP="00FC2F70" w:rsidRDefault="00FC2F70" w14:paraId="1A3A420E" w14:textId="6FE4BFA5">
            <w:r w:rsidRPr="00C13023">
              <w:rPr>
                <w:rFonts w:cstheme="minorHAnsi"/>
              </w:rPr>
              <w:t>$4</w:t>
            </w:r>
            <w:r w:rsidR="004925B7">
              <w:rPr>
                <w:rFonts w:cstheme="minorHAnsi"/>
              </w:rPr>
              <w:t>5.82</w:t>
            </w:r>
          </w:p>
        </w:tc>
        <w:tc>
          <w:tcPr>
            <w:tcW w:w="1620" w:type="dxa"/>
            <w:vAlign w:val="center"/>
          </w:tcPr>
          <w:p w:rsidRPr="009A036B" w:rsidR="00FC2F70" w:rsidP="00FC2F70" w:rsidRDefault="00FC2F70" w14:paraId="4804C630" w14:textId="212934F8">
            <w:r w:rsidRPr="00C13023">
              <w:rPr>
                <w:rFonts w:cstheme="minorHAnsi"/>
              </w:rPr>
              <w:t>$</w:t>
            </w:r>
            <w:r w:rsidR="00D409F0">
              <w:rPr>
                <w:rFonts w:cstheme="minorHAnsi"/>
              </w:rPr>
              <w:t>458</w:t>
            </w:r>
            <w:r>
              <w:rPr>
                <w:rFonts w:cstheme="minorHAnsi"/>
              </w:rPr>
              <w:t>.20</w:t>
            </w:r>
          </w:p>
        </w:tc>
      </w:tr>
      <w:tr w:rsidRPr="009A036B" w:rsidR="00FC2F70" w:rsidTr="003B12F5" w14:paraId="1707AB8A" w14:textId="77777777">
        <w:trPr>
          <w:trHeight w:val="289"/>
        </w:trPr>
        <w:tc>
          <w:tcPr>
            <w:tcW w:w="2790" w:type="dxa"/>
          </w:tcPr>
          <w:p w:rsidRPr="009A036B" w:rsidR="00FC2F70" w:rsidP="00FC2F70" w:rsidRDefault="00FC2F70" w14:paraId="363CB27C" w14:textId="339C53DA">
            <w:pPr>
              <w:rPr>
                <w:b/>
              </w:rPr>
            </w:pPr>
            <w:r w:rsidRPr="00C13023">
              <w:rPr>
                <w:rFonts w:cstheme="minorHAnsi"/>
                <w:b/>
              </w:rPr>
              <w:t>TOTAL</w:t>
            </w:r>
          </w:p>
        </w:tc>
        <w:tc>
          <w:tcPr>
            <w:tcW w:w="2250" w:type="dxa"/>
            <w:vAlign w:val="center"/>
          </w:tcPr>
          <w:p w:rsidRPr="009A036B" w:rsidR="00FC2F70" w:rsidP="00FC2F70" w:rsidRDefault="00FC2F70" w14:paraId="51980B66" w14:textId="02BF3DFE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:rsidRPr="009A036B" w:rsidR="00FC2F70" w:rsidP="00FC2F70" w:rsidRDefault="00FC2F70" w14:paraId="50FA256A" w14:textId="77777777"/>
        </w:tc>
        <w:tc>
          <w:tcPr>
            <w:tcW w:w="1620" w:type="dxa"/>
            <w:vAlign w:val="center"/>
          </w:tcPr>
          <w:p w:rsidRPr="009A036B" w:rsidR="00FC2F70" w:rsidP="00FC2F70" w:rsidRDefault="00FC2F70" w14:paraId="277A39C9" w14:textId="6A9A23C6">
            <w:r w:rsidRPr="00C13023">
              <w:rPr>
                <w:rFonts w:cstheme="minorHAnsi"/>
              </w:rPr>
              <w:t>$</w:t>
            </w:r>
            <w:r w:rsidR="00D409F0">
              <w:rPr>
                <w:rFonts w:cstheme="minorHAnsi"/>
              </w:rPr>
              <w:t>458</w:t>
            </w:r>
            <w:r>
              <w:rPr>
                <w:rFonts w:cstheme="minorHAnsi"/>
              </w:rPr>
              <w:t>.20</w:t>
            </w:r>
          </w:p>
        </w:tc>
      </w:tr>
    </w:tbl>
    <w:p w:rsidRPr="009A036B" w:rsidR="009A036B" w:rsidP="009A036B" w:rsidRDefault="009A036B" w14:paraId="1C4C869B" w14:textId="77777777"/>
    <w:p w:rsidRPr="00A64377" w:rsidR="00FC2F70" w:rsidP="00FC2F70" w:rsidRDefault="00CA2010" w14:paraId="44B43177" w14:textId="77777777">
      <w:pPr>
        <w:pStyle w:val="EndnoteText"/>
        <w:rPr>
          <w:rFonts w:cstheme="minorHAnsi"/>
          <w:sz w:val="22"/>
          <w:szCs w:val="22"/>
        </w:rPr>
      </w:pPr>
      <w:r>
        <w:t>*</w:t>
      </w:r>
      <w:r w:rsidRPr="00A64377" w:rsidR="00FC2F70">
        <w:rPr>
          <w:rFonts w:cstheme="minorHAnsi"/>
          <w:sz w:val="22"/>
          <w:szCs w:val="22"/>
        </w:rPr>
        <w:t xml:space="preserve">* </w:t>
      </w:r>
      <w:hyperlink w:history="1" r:id="rId8">
        <w:r w:rsidRPr="00A64377" w:rsidR="00FC2F70">
          <w:rPr>
            <w:rStyle w:val="Hyperlink"/>
            <w:rFonts w:cstheme="minorHAnsi"/>
            <w:i/>
            <w:iCs/>
            <w:sz w:val="22"/>
            <w:szCs w:val="22"/>
          </w:rPr>
          <w:t>https://www.bls.gov/ooh/life-physical-and-social-science/medical-scientists.htm</w:t>
        </w:r>
      </w:hyperlink>
      <w:r w:rsidRPr="00A64377" w:rsidR="00FC2F70">
        <w:rPr>
          <w:rStyle w:val="Hyperlink"/>
          <w:rFonts w:cstheme="minorHAnsi"/>
          <w:i/>
          <w:iCs/>
          <w:sz w:val="22"/>
          <w:szCs w:val="22"/>
        </w:rPr>
        <w:t xml:space="preserve">; </w:t>
      </w:r>
      <w:hyperlink w:history="1" r:id="rId9">
        <w:r w:rsidRPr="00A64377" w:rsidR="00FC2F70">
          <w:rPr>
            <w:rStyle w:val="Hyperlink"/>
            <w:rFonts w:cstheme="minorHAnsi"/>
            <w:i/>
            <w:iCs/>
            <w:sz w:val="22"/>
            <w:szCs w:val="22"/>
          </w:rPr>
          <w:t>https://www.bls.gov/oes/current/oes251053.htm</w:t>
        </w:r>
      </w:hyperlink>
    </w:p>
    <w:p w:rsidR="009A036B" w:rsidP="00F3170F" w:rsidRDefault="009A036B" w14:paraId="7F3DCA9C" w14:textId="4FDA79DC"/>
    <w:p w:rsidR="005E714A" w:rsidRDefault="001C39F7" w14:paraId="164B5F94" w14:textId="5CAA4CCF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B71728" w:rsidR="00FC2F70">
        <w:rPr>
          <w:rFonts w:cstheme="minorHAnsi"/>
          <w:u w:val="single"/>
        </w:rPr>
        <w:t>$</w:t>
      </w:r>
      <w:r w:rsidR="00B71728">
        <w:rPr>
          <w:rFonts w:cstheme="minorHAnsi"/>
          <w:u w:val="single"/>
        </w:rPr>
        <w:t>14,777.36</w:t>
      </w:r>
    </w:p>
    <w:p w:rsidR="00B71728" w:rsidP="009A036B" w:rsidRDefault="009A036B" w14:paraId="5420F2CA" w14:textId="77777777">
      <w:pPr>
        <w:rPr>
          <w:b/>
        </w:rPr>
      </w:pPr>
      <w:r>
        <w:rPr>
          <w:b/>
        </w:rPr>
        <w:t xml:space="preserve"> </w:t>
      </w:r>
    </w:p>
    <w:tbl>
      <w:tblPr>
        <w:tblW w:w="99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194"/>
        <w:gridCol w:w="2054"/>
        <w:gridCol w:w="1363"/>
        <w:gridCol w:w="1154"/>
        <w:gridCol w:w="1448"/>
      </w:tblGrid>
      <w:tr w:rsidRPr="00C13023" w:rsidR="00B71728" w:rsidTr="003A64C4" w14:paraId="6ED2E6B2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B71728" w:rsidP="003A64C4" w:rsidRDefault="00B71728" w14:paraId="0F0F099A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bookmarkStart w:name="_Hlk69382218" w:id="0"/>
            <w:r w:rsidRPr="00C13023">
              <w:rPr>
                <w:rFonts w:cstheme="minorHAnsi"/>
                <w:b/>
                <w:bCs/>
              </w:rPr>
              <w:t>Staff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C13023" w:rsidR="00B71728" w:rsidP="003A64C4" w:rsidRDefault="00B71728" w14:paraId="4EF000BB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</w:p>
          <w:p w:rsidRPr="00C13023" w:rsidR="00B71728" w:rsidP="003A64C4" w:rsidRDefault="00B71728" w14:paraId="6858F114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Grade/Step</w:t>
            </w:r>
          </w:p>
        </w:tc>
        <w:tc>
          <w:tcPr>
            <w:tcW w:w="2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B71728" w:rsidP="003A64C4" w:rsidRDefault="00B71728" w14:paraId="372582BA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Salary*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B71728" w:rsidP="003A64C4" w:rsidRDefault="00B71728" w14:paraId="3514FA14" w14:textId="77777777">
            <w:pPr>
              <w:keepNext/>
              <w:keepLines/>
              <w:spacing w:after="120" w:line="300" w:lineRule="auto"/>
              <w:jc w:val="center"/>
              <w:rPr>
                <w:rFonts w:eastAsia="Calibri"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 xml:space="preserve">% </w:t>
            </w:r>
            <w:proofErr w:type="gramStart"/>
            <w:r w:rsidRPr="00C13023">
              <w:rPr>
                <w:rFonts w:cstheme="minorHAnsi"/>
                <w:b/>
                <w:bCs/>
              </w:rPr>
              <w:t>of</w:t>
            </w:r>
            <w:proofErr w:type="gramEnd"/>
            <w:r w:rsidRPr="00C13023">
              <w:rPr>
                <w:rFonts w:cstheme="minorHAnsi"/>
                <w:b/>
                <w:bCs/>
              </w:rPr>
              <w:t xml:space="preserve"> Effort</w:t>
            </w:r>
          </w:p>
        </w:tc>
        <w:tc>
          <w:tcPr>
            <w:tcW w:w="11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13023" w:rsidR="00B71728" w:rsidP="003A64C4" w:rsidRDefault="00B71728" w14:paraId="00CAA950" w14:textId="77777777">
            <w:pPr>
              <w:keepNext/>
              <w:keepLines/>
              <w:spacing w:after="120" w:line="300" w:lineRule="auto"/>
              <w:jc w:val="center"/>
              <w:rPr>
                <w:rFonts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Fringe (if applicable)</w:t>
            </w:r>
          </w:p>
        </w:tc>
        <w:tc>
          <w:tcPr>
            <w:tcW w:w="1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13023" w:rsidR="00B71728" w:rsidP="003A64C4" w:rsidRDefault="00B71728" w14:paraId="79CDFF95" w14:textId="77777777">
            <w:pPr>
              <w:keepNext/>
              <w:keepLines/>
              <w:spacing w:after="120" w:line="300" w:lineRule="auto"/>
              <w:jc w:val="center"/>
              <w:rPr>
                <w:rFonts w:cstheme="minorHAnsi"/>
                <w:b/>
                <w:bCs/>
              </w:rPr>
            </w:pPr>
            <w:r w:rsidRPr="00C13023">
              <w:rPr>
                <w:rFonts w:cstheme="minorHAnsi"/>
                <w:b/>
                <w:bCs/>
              </w:rPr>
              <w:t>Total Cost to Gov’t</w:t>
            </w:r>
          </w:p>
        </w:tc>
      </w:tr>
      <w:tr w:rsidRPr="00C13023" w:rsidR="00B71728" w:rsidTr="003A64C4" w14:paraId="0970584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2BE931E0" w14:textId="77777777">
            <w:pPr>
              <w:spacing w:after="120" w:line="300" w:lineRule="auto"/>
              <w:rPr>
                <w:rFonts w:eastAsia="Calibri" w:cstheme="minorHAnsi"/>
                <w:b/>
                <w:highlight w:val="yellow"/>
              </w:rPr>
            </w:pPr>
            <w:r w:rsidRPr="00C13023">
              <w:rPr>
                <w:rFonts w:eastAsia="Calibri" w:cstheme="minorHAnsi"/>
                <w:b/>
              </w:rPr>
              <w:t>Federal Oversight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2C2B37EA" w14:textId="77777777">
            <w:pPr>
              <w:spacing w:after="120" w:line="300" w:lineRule="auto"/>
              <w:jc w:val="right"/>
              <w:rPr>
                <w:rFonts w:eastAsia="Calibri" w:cstheme="minorHAnsi"/>
                <w:highlight w:val="yellow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110CE82C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3733A37F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B71728" w:rsidP="003A64C4" w:rsidRDefault="00B71728" w14:paraId="53140BDD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4317F720" w14:textId="77777777">
            <w:pPr>
              <w:spacing w:after="120" w:line="300" w:lineRule="auto"/>
              <w:rPr>
                <w:rFonts w:cstheme="minorHAnsi"/>
              </w:rPr>
            </w:pPr>
          </w:p>
        </w:tc>
      </w:tr>
      <w:tr w:rsidRPr="00C13023" w:rsidR="00B71728" w:rsidTr="003A64C4" w14:paraId="7F4D035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35F83500" w14:textId="77777777">
            <w:pPr>
              <w:spacing w:after="120" w:line="30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IT Project Manager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78620F" w:rsidR="00B71728" w:rsidP="003A64C4" w:rsidRDefault="00B71728" w14:paraId="0E160F3A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78620F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3</w:t>
            </w:r>
            <w:r w:rsidRPr="0078620F">
              <w:rPr>
                <w:rFonts w:eastAsia="Calibri" w:cstheme="minorHAnsi"/>
              </w:rPr>
              <w:t>/</w:t>
            </w:r>
            <w:r>
              <w:rPr>
                <w:rFonts w:eastAsia="Calibri" w:cstheme="minorHAnsi"/>
              </w:rPr>
              <w:t>10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8620F" w:rsidR="00B71728" w:rsidP="003A64C4" w:rsidRDefault="00B71728" w14:paraId="7F52EFD2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78620F">
              <w:rPr>
                <w:rFonts w:eastAsia="Calibri" w:cstheme="minorHAnsi"/>
              </w:rPr>
              <w:t>$</w:t>
            </w:r>
            <w:r>
              <w:rPr>
                <w:rFonts w:eastAsia="Calibri" w:cstheme="minorHAnsi"/>
              </w:rPr>
              <w:t>138</w:t>
            </w:r>
            <w:r w:rsidRPr="0078620F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>868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78620F" w:rsidR="00B71728" w:rsidP="003A64C4" w:rsidRDefault="00B71728" w14:paraId="2BC73DA2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78620F">
              <w:rPr>
                <w:rFonts w:eastAsia="Calibri" w:cstheme="minorHAnsi"/>
              </w:rPr>
              <w:t>2%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vAlign w:val="center"/>
          </w:tcPr>
          <w:p w:rsidRPr="00DE43C0" w:rsidR="00B71728" w:rsidP="003A64C4" w:rsidRDefault="00B71728" w14:paraId="15942A86" w14:textId="77777777">
            <w:pPr>
              <w:spacing w:after="120" w:line="30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E43C0" w:rsidR="00B71728" w:rsidP="003A64C4" w:rsidRDefault="00B71728" w14:paraId="703012C5" w14:textId="77777777">
            <w:pPr>
              <w:spacing w:after="120" w:line="300" w:lineRule="auto"/>
              <w:jc w:val="center"/>
              <w:rPr>
                <w:rFonts w:cstheme="minorHAnsi"/>
                <w:highlight w:val="yellow"/>
              </w:rPr>
            </w:pPr>
            <w:r w:rsidRPr="0078620F">
              <w:rPr>
                <w:rFonts w:cstheme="minorHAnsi"/>
              </w:rPr>
              <w:t>$</w:t>
            </w:r>
            <w:r w:rsidRPr="009B40F7">
              <w:rPr>
                <w:rFonts w:cstheme="minorHAnsi"/>
              </w:rPr>
              <w:t>2,777.36</w:t>
            </w:r>
          </w:p>
        </w:tc>
      </w:tr>
      <w:tr w:rsidRPr="00C13023" w:rsidR="00B71728" w:rsidTr="003A64C4" w14:paraId="19F1256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48859FC8" w14:textId="77777777">
            <w:pPr>
              <w:spacing w:after="120" w:line="300" w:lineRule="auto"/>
              <w:rPr>
                <w:rFonts w:eastAsia="Calibri" w:cstheme="minorHAnsi"/>
                <w:b/>
              </w:rPr>
            </w:pPr>
            <w:r w:rsidRPr="00C13023">
              <w:rPr>
                <w:rFonts w:eastAsia="Calibri" w:cstheme="minorHAnsi"/>
                <w:b/>
              </w:rPr>
              <w:t>Contractor Cost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B71728" w:rsidP="003A64C4" w:rsidRDefault="00B71728" w14:paraId="494F95A5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0D2CBA8E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07FD8460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23CBFF7D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6415231E" w14:textId="77777777">
            <w:pPr>
              <w:spacing w:after="120" w:line="300" w:lineRule="auto"/>
              <w:rPr>
                <w:rFonts w:cstheme="minorHAnsi"/>
              </w:rPr>
            </w:pPr>
          </w:p>
        </w:tc>
      </w:tr>
      <w:bookmarkEnd w:id="0"/>
      <w:tr w:rsidRPr="00C13023" w:rsidR="00B71728" w:rsidTr="003A64C4" w14:paraId="3EC401B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13023" w:rsidR="00B71728" w:rsidP="003A64C4" w:rsidRDefault="00B71728" w14:paraId="533451F5" w14:textId="77777777">
            <w:pPr>
              <w:spacing w:after="120" w:line="30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SharePoint Administrator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13023" w:rsidR="00B71728" w:rsidP="003A64C4" w:rsidRDefault="00B71728" w14:paraId="1938FBAC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N/A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13023" w:rsidR="00B71728" w:rsidP="003A64C4" w:rsidRDefault="00B71728" w14:paraId="3A1BBCE4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C13023" w:rsidR="00B71728" w:rsidP="003A64C4" w:rsidRDefault="00B71728" w14:paraId="552A54A3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13023" w:rsidR="00B71728" w:rsidP="003A64C4" w:rsidRDefault="00B71728" w14:paraId="53FDDAF0" w14:textId="77777777">
            <w:pPr>
              <w:spacing w:after="12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C13023" w:rsidR="00B71728" w:rsidP="003A64C4" w:rsidRDefault="00B71728" w14:paraId="4CC50E57" w14:textId="77777777">
            <w:pPr>
              <w:spacing w:after="12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$4,000</w:t>
            </w:r>
          </w:p>
        </w:tc>
      </w:tr>
      <w:tr w:rsidRPr="00C13023" w:rsidR="00B71728" w:rsidTr="003A64C4" w14:paraId="07C79F6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00818DDD" w14:textId="77777777">
            <w:pPr>
              <w:spacing w:after="120" w:line="30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SharePoint Developer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052C115C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143858">
              <w:rPr>
                <w:rFonts w:eastAsia="Calibri" w:cstheme="minorHAnsi"/>
              </w:rPr>
              <w:t>N/A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13023" w:rsidR="00B71728" w:rsidP="003A64C4" w:rsidRDefault="00B71728" w14:paraId="06A2A123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143858">
              <w:rPr>
                <w:rFonts w:eastAsia="Calibri" w:cstheme="minorHAnsi"/>
              </w:rP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280C68DB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7F1F6968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731BACF8" w14:textId="77777777">
            <w:pPr>
              <w:spacing w:after="12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$3,000</w:t>
            </w:r>
          </w:p>
        </w:tc>
      </w:tr>
      <w:tr w:rsidRPr="00C13023" w:rsidR="00B71728" w:rsidTr="003A64C4" w14:paraId="6D17C0B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8620F" w:rsidR="00B71728" w:rsidP="003A64C4" w:rsidRDefault="00B71728" w14:paraId="103B0F42" w14:textId="77777777">
            <w:pPr>
              <w:spacing w:after="120" w:line="300" w:lineRule="auto"/>
              <w:rPr>
                <w:rFonts w:eastAsia="Calibri" w:cstheme="minorHAnsi"/>
              </w:rPr>
            </w:pPr>
            <w:r w:rsidRPr="0078620F">
              <w:rPr>
                <w:rFonts w:eastAsia="Calibri" w:cstheme="minorHAnsi"/>
              </w:rPr>
              <w:t>Business Analyst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13023" w:rsidR="00B71728" w:rsidP="003A64C4" w:rsidRDefault="00B71728" w14:paraId="44C50C7A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143858">
              <w:rPr>
                <w:rFonts w:eastAsia="Calibri" w:cstheme="minorHAnsi"/>
              </w:rPr>
              <w:t>N/A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13023" w:rsidR="00B71728" w:rsidP="003A64C4" w:rsidRDefault="00B71728" w14:paraId="567C7252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143858">
              <w:rPr>
                <w:rFonts w:eastAsia="Calibri" w:cstheme="minorHAnsi"/>
              </w:rP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7F3A90FF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13023" w:rsidR="00B71728" w:rsidP="003A64C4" w:rsidRDefault="00B71728" w14:paraId="04D98558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27DD3A71" w14:textId="77777777">
            <w:pPr>
              <w:spacing w:after="12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$1,000</w:t>
            </w:r>
          </w:p>
        </w:tc>
      </w:tr>
      <w:tr w:rsidRPr="00C13023" w:rsidR="00B71728" w:rsidTr="003A64C4" w14:paraId="137902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8620F" w:rsidR="00B71728" w:rsidP="003A64C4" w:rsidRDefault="00B71728" w14:paraId="4349FBA3" w14:textId="77777777">
            <w:pPr>
              <w:spacing w:after="120" w:line="300" w:lineRule="auto"/>
              <w:rPr>
                <w:rFonts w:eastAsia="Calibri" w:cstheme="minorHAnsi"/>
              </w:rPr>
            </w:pPr>
            <w:r w:rsidRPr="0078620F">
              <w:rPr>
                <w:rFonts w:eastAsia="Calibri" w:cstheme="minorHAnsi"/>
              </w:rPr>
              <w:t>Security Analyst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13023" w:rsidR="00B71728" w:rsidP="003A64C4" w:rsidRDefault="00B71728" w14:paraId="08476220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143858">
              <w:rPr>
                <w:rFonts w:eastAsia="Calibri" w:cstheme="minorHAnsi"/>
              </w:rPr>
              <w:t>N/A</w:t>
            </w: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C13023" w:rsidR="00B71728" w:rsidP="003A64C4" w:rsidRDefault="00B71728" w14:paraId="358C2B29" w14:textId="77777777">
            <w:pPr>
              <w:spacing w:after="120" w:line="300" w:lineRule="auto"/>
              <w:jc w:val="center"/>
              <w:rPr>
                <w:rFonts w:eastAsia="Calibri" w:cstheme="minorHAnsi"/>
              </w:rPr>
            </w:pPr>
            <w:r w:rsidRPr="00143858">
              <w:rPr>
                <w:rFonts w:eastAsia="Calibri" w:cstheme="minorHAnsi"/>
              </w:rP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5D608CF3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C13023" w:rsidR="00B71728" w:rsidP="003A64C4" w:rsidRDefault="00B71728" w14:paraId="5C0C23F0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58CB89F9" w14:textId="77777777">
            <w:pPr>
              <w:spacing w:after="12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$4,000</w:t>
            </w:r>
          </w:p>
        </w:tc>
      </w:tr>
      <w:tr w:rsidRPr="00C13023" w:rsidR="00B71728" w:rsidTr="003A64C4" w14:paraId="1DAF8FB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246F4687" w14:textId="77777777">
            <w:pPr>
              <w:spacing w:after="120" w:line="300" w:lineRule="auto"/>
              <w:rPr>
                <w:rFonts w:eastAsia="Calibri" w:cstheme="minorHAnsi"/>
                <w:b/>
              </w:rPr>
            </w:pPr>
            <w:r w:rsidRPr="00C13023">
              <w:rPr>
                <w:rFonts w:eastAsia="Calibri" w:cstheme="minorHAnsi"/>
                <w:b/>
              </w:rPr>
              <w:t>Travel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B71728" w:rsidP="003A64C4" w:rsidRDefault="00B71728" w14:paraId="5BF18102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5AEF0D01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1FD2D30E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B71728" w:rsidP="003A64C4" w:rsidRDefault="00B71728" w14:paraId="75F784F1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33B40EFB" w14:textId="77777777">
            <w:pPr>
              <w:spacing w:after="120" w:line="300" w:lineRule="auto"/>
              <w:rPr>
                <w:rFonts w:cstheme="minorHAnsi"/>
              </w:rPr>
            </w:pPr>
          </w:p>
        </w:tc>
      </w:tr>
      <w:tr w:rsidRPr="00C13023" w:rsidR="00B71728" w:rsidTr="003A64C4" w14:paraId="03B0C18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73296C31" w14:textId="77777777">
            <w:pPr>
              <w:spacing w:after="120" w:line="300" w:lineRule="auto"/>
              <w:rPr>
                <w:rFonts w:eastAsia="Calibri" w:cstheme="minorHAnsi"/>
                <w:b/>
                <w:highlight w:val="yellow"/>
              </w:rPr>
            </w:pPr>
            <w:r w:rsidRPr="00C13023">
              <w:rPr>
                <w:rFonts w:eastAsia="Calibri" w:cstheme="minorHAnsi"/>
                <w:b/>
              </w:rPr>
              <w:t>Other Cost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B71728" w:rsidP="003A64C4" w:rsidRDefault="00B71728" w14:paraId="172898A7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0B74F418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20C503C1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B71728" w:rsidP="003A64C4" w:rsidRDefault="00B71728" w14:paraId="412DBE15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12E20399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</w:tr>
      <w:tr w:rsidRPr="00C13023" w:rsidR="00B71728" w:rsidTr="003A64C4" w14:paraId="129AEB1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B71728" w:rsidP="003A64C4" w:rsidRDefault="00B71728" w14:paraId="2EFC18D4" w14:textId="77777777">
            <w:pPr>
              <w:spacing w:after="120" w:line="300" w:lineRule="auto"/>
              <w:rPr>
                <w:rFonts w:eastAsia="Calibri" w:cstheme="minorHAnsi"/>
                <w:bCs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B71728" w:rsidP="003A64C4" w:rsidRDefault="00B71728" w14:paraId="185141E1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B71728" w:rsidP="003A64C4" w:rsidRDefault="00B71728" w14:paraId="00590572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C13023" w:rsidR="00B71728" w:rsidP="003A64C4" w:rsidRDefault="00B71728" w14:paraId="72329C6F" w14:textId="77777777">
            <w:pPr>
              <w:spacing w:after="120" w:line="300" w:lineRule="auto"/>
              <w:rPr>
                <w:rFonts w:eastAsia="Calibri" w:cstheme="minorHAnsi"/>
                <w:b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C13023" w:rsidR="00B71728" w:rsidP="003A64C4" w:rsidRDefault="00B71728" w14:paraId="1AA84D1B" w14:textId="77777777">
            <w:pPr>
              <w:spacing w:after="120" w:line="300" w:lineRule="auto"/>
              <w:rPr>
                <w:rFonts w:cstheme="minorHAnsi"/>
                <w:b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45A2D38F" w14:textId="77777777">
            <w:pPr>
              <w:spacing w:after="120" w:line="300" w:lineRule="auto"/>
              <w:rPr>
                <w:rFonts w:cstheme="minorHAnsi"/>
                <w:b/>
              </w:rPr>
            </w:pPr>
          </w:p>
        </w:tc>
      </w:tr>
      <w:tr w:rsidRPr="00C13023" w:rsidR="00B71728" w:rsidTr="003A64C4" w14:paraId="115600B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B71728" w:rsidP="003A64C4" w:rsidRDefault="00B71728" w14:paraId="5C3AB364" w14:textId="77777777">
            <w:pPr>
              <w:spacing w:after="120" w:line="300" w:lineRule="auto"/>
              <w:rPr>
                <w:rFonts w:cstheme="minorHAnsi"/>
              </w:rPr>
            </w:pPr>
            <w:r w:rsidRPr="00A64377">
              <w:rPr>
                <w:rFonts w:cstheme="minorHAnsi"/>
                <w:b/>
              </w:rPr>
              <w:t>Total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C13023" w:rsidR="00B71728" w:rsidP="003A64C4" w:rsidRDefault="00B71728" w14:paraId="5300E6D5" w14:textId="77777777">
            <w:pPr>
              <w:spacing w:after="120" w:line="300" w:lineRule="auto"/>
              <w:rPr>
                <w:rFonts w:eastAsia="Calibri" w:cstheme="minorHAnsi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B71728" w:rsidP="003A64C4" w:rsidRDefault="00B71728" w14:paraId="64A45B9C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C13023" w:rsidR="00B71728" w:rsidP="003A64C4" w:rsidRDefault="00B71728" w14:paraId="105B4E89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8620F" w:rsidR="00B71728" w:rsidP="003A64C4" w:rsidRDefault="00B71728" w14:paraId="19E08F99" w14:textId="77777777">
            <w:pPr>
              <w:spacing w:after="120" w:line="300" w:lineRule="auto"/>
              <w:rPr>
                <w:rFonts w:cstheme="minorHAnsi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78620F" w:rsidR="00B71728" w:rsidP="003A64C4" w:rsidRDefault="00B71728" w14:paraId="56F1B267" w14:textId="77777777">
            <w:pPr>
              <w:spacing w:after="120" w:line="300" w:lineRule="auto"/>
              <w:jc w:val="center"/>
              <w:rPr>
                <w:rFonts w:cstheme="minorHAnsi"/>
              </w:rPr>
            </w:pPr>
            <w:r w:rsidRPr="0078620F">
              <w:rPr>
                <w:rFonts w:cstheme="minorHAnsi"/>
              </w:rPr>
              <w:t>$</w:t>
            </w:r>
            <w:r w:rsidRPr="009B40F7">
              <w:rPr>
                <w:rFonts w:cstheme="minorHAnsi"/>
              </w:rPr>
              <w:t>14,777.36</w:t>
            </w:r>
          </w:p>
        </w:tc>
      </w:tr>
    </w:tbl>
    <w:p w:rsidRPr="009A036B" w:rsidR="009A036B" w:rsidP="009A036B" w:rsidRDefault="009A036B" w14:paraId="649E7DF1" w14:textId="5905F1FA">
      <w:r>
        <w:rPr>
          <w:b/>
        </w:rPr>
        <w:t xml:space="preserve">                        </w:t>
      </w:r>
    </w:p>
    <w:p w:rsidRPr="009A036B" w:rsidR="009A036B" w:rsidP="009A036B" w:rsidRDefault="009A036B" w14:paraId="2F526F57" w14:textId="77777777"/>
    <w:p w:rsidRPr="00DE2EAB" w:rsidR="00FC2F70" w:rsidP="00FC2F70" w:rsidRDefault="00FC2F70" w14:paraId="01C3BD2B" w14:textId="5579CC02">
      <w:pPr>
        <w:spacing w:after="120" w:line="300" w:lineRule="auto"/>
        <w:rPr>
          <w:rFonts w:cstheme="minorHAnsi"/>
          <w:sz w:val="18"/>
          <w:szCs w:val="18"/>
        </w:rPr>
      </w:pPr>
      <w:r w:rsidRPr="00DE2EAB">
        <w:rPr>
          <w:rFonts w:cstheme="minorHAnsi"/>
          <w:sz w:val="18"/>
          <w:szCs w:val="18"/>
        </w:rPr>
        <w:lastRenderedPageBreak/>
        <w:t>*</w:t>
      </w:r>
      <w:proofErr w:type="gramStart"/>
      <w:r w:rsidRPr="00DE2EAB">
        <w:rPr>
          <w:rFonts w:cstheme="minorHAnsi"/>
          <w:sz w:val="18"/>
          <w:szCs w:val="18"/>
        </w:rPr>
        <w:t>the</w:t>
      </w:r>
      <w:proofErr w:type="gramEnd"/>
      <w:r w:rsidRPr="00DE2EAB">
        <w:rPr>
          <w:rFonts w:cstheme="minorHAnsi"/>
          <w:sz w:val="18"/>
          <w:szCs w:val="18"/>
        </w:rPr>
        <w:t xml:space="preserve"> Salary in table above is cited</w:t>
      </w:r>
      <w:r w:rsidRPr="00DE2EAB" w:rsidR="000D3AF0">
        <w:rPr>
          <w:sz w:val="18"/>
          <w:szCs w:val="18"/>
        </w:rPr>
        <w:t xml:space="preserve"> </w:t>
      </w:r>
      <w:hyperlink w:history="1" r:id="rId10">
        <w:r w:rsidRPr="00DE2EAB" w:rsidR="00CF6B66">
          <w:rPr>
            <w:rStyle w:val="Hyperlink"/>
            <w:sz w:val="18"/>
            <w:szCs w:val="18"/>
          </w:rPr>
          <w:t>https://www.opm.gov/policy-data-oversight/pay-leave/salaries-wages/salary-tables/22Tables/html/DCB.aspx</w:t>
        </w:r>
      </w:hyperlink>
      <w:r w:rsidRPr="00DE2EAB" w:rsidR="00CF6B66">
        <w:rPr>
          <w:sz w:val="18"/>
          <w:szCs w:val="18"/>
        </w:rPr>
        <w:t xml:space="preserve"> </w:t>
      </w:r>
    </w:p>
    <w:p w:rsidR="00ED6492" w:rsidRDefault="00ED6492" w14:paraId="0B5C9F16" w14:textId="77777777">
      <w:pPr>
        <w:rPr>
          <w:b/>
          <w:bCs/>
          <w:u w:val="single"/>
        </w:rPr>
      </w:pPr>
    </w:p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445E7AB0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 w:rsidRPr="007840A3">
        <w:t>[ ]</w:t>
      </w:r>
      <w:proofErr w:type="gramEnd"/>
      <w:r w:rsidRPr="007840A3">
        <w:t xml:space="preserve"> Yes</w:t>
      </w:r>
      <w:r w:rsidRPr="007840A3">
        <w:tab/>
        <w:t>[</w:t>
      </w:r>
      <w:r w:rsidRPr="007840A3" w:rsidR="00A8331A">
        <w:t>X</w:t>
      </w:r>
      <w:r w:rsidRPr="007840A3">
        <w:t>] No</w:t>
      </w:r>
    </w:p>
    <w:p w:rsidR="00636621" w:rsidP="00636621" w:rsidRDefault="00636621" w14:paraId="38A88F38" w14:textId="77777777">
      <w:pPr>
        <w:pStyle w:val="ListParagraph"/>
      </w:pPr>
    </w:p>
    <w:p w:rsidR="00636621" w:rsidP="00A8331A" w:rsidRDefault="00636621" w14:paraId="358B318F" w14:textId="77777777">
      <w:pPr>
        <w:spacing w:after="240"/>
      </w:pPr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E48500C" w14:textId="2E73E337">
      <w:pPr>
        <w:ind w:left="720"/>
      </w:pPr>
      <w:r>
        <w:t xml:space="preserve">[ </w:t>
      </w:r>
      <w:proofErr w:type="gramStart"/>
      <w:r w:rsidR="00FC2F70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857180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04197B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F6612C8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09EB718E" w14:textId="2EE06DED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FC2F70">
        <w:t>X</w:t>
      </w:r>
      <w:r>
        <w:t xml:space="preserve"> 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="005E714A" w:rsidP="00F24CFC" w:rsidRDefault="005E714A" w14:paraId="5354A140" w14:textId="77777777">
      <w:pPr>
        <w:tabs>
          <w:tab w:val="left" w:pos="5670"/>
        </w:tabs>
        <w:suppressAutoHyphens/>
      </w:pPr>
    </w:p>
    <w:sectPr w:rsidR="005E714A" w:rsidSect="00194A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DBF51" w14:textId="77777777" w:rsidR="004955B3" w:rsidRDefault="004955B3">
      <w:r>
        <w:separator/>
      </w:r>
    </w:p>
  </w:endnote>
  <w:endnote w:type="continuationSeparator" w:id="0">
    <w:p w14:paraId="41C0DC2B" w14:textId="77777777" w:rsidR="004955B3" w:rsidRDefault="0049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BFDE8" w14:textId="77777777" w:rsidR="004955B3" w:rsidRDefault="004955B3">
      <w:r>
        <w:separator/>
      </w:r>
    </w:p>
  </w:footnote>
  <w:footnote w:type="continuationSeparator" w:id="0">
    <w:p w14:paraId="23DD153F" w14:textId="77777777" w:rsidR="004955B3" w:rsidRDefault="00495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C773" w14:textId="488B4DC4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897D23"/>
    <w:multiLevelType w:val="hybridMultilevel"/>
    <w:tmpl w:val="1ADCD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64BF7"/>
    <w:multiLevelType w:val="hybridMultilevel"/>
    <w:tmpl w:val="169223C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2EA6"/>
    <w:rsid w:val="00023A57"/>
    <w:rsid w:val="00024296"/>
    <w:rsid w:val="00047A64"/>
    <w:rsid w:val="000649E6"/>
    <w:rsid w:val="00067329"/>
    <w:rsid w:val="000722CE"/>
    <w:rsid w:val="000913EC"/>
    <w:rsid w:val="000B2838"/>
    <w:rsid w:val="000D3AF0"/>
    <w:rsid w:val="000D44CA"/>
    <w:rsid w:val="000E200B"/>
    <w:rsid w:val="000F68BE"/>
    <w:rsid w:val="00113A81"/>
    <w:rsid w:val="001434FD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1E31FF"/>
    <w:rsid w:val="001E4F44"/>
    <w:rsid w:val="00237B48"/>
    <w:rsid w:val="00241E7B"/>
    <w:rsid w:val="0024521E"/>
    <w:rsid w:val="00263C3D"/>
    <w:rsid w:val="00271F72"/>
    <w:rsid w:val="00274D0B"/>
    <w:rsid w:val="00284110"/>
    <w:rsid w:val="002B1498"/>
    <w:rsid w:val="002B3C95"/>
    <w:rsid w:val="002B46B0"/>
    <w:rsid w:val="002D0B92"/>
    <w:rsid w:val="002D26E2"/>
    <w:rsid w:val="002D74B4"/>
    <w:rsid w:val="002E48F5"/>
    <w:rsid w:val="0036124E"/>
    <w:rsid w:val="003668D6"/>
    <w:rsid w:val="003756C2"/>
    <w:rsid w:val="00383527"/>
    <w:rsid w:val="003932D1"/>
    <w:rsid w:val="003960BB"/>
    <w:rsid w:val="003A7074"/>
    <w:rsid w:val="003B5350"/>
    <w:rsid w:val="003D5BBE"/>
    <w:rsid w:val="003E3C61"/>
    <w:rsid w:val="003F1C5B"/>
    <w:rsid w:val="004147CC"/>
    <w:rsid w:val="00420E91"/>
    <w:rsid w:val="00431EB1"/>
    <w:rsid w:val="00434E33"/>
    <w:rsid w:val="00441434"/>
    <w:rsid w:val="0045264C"/>
    <w:rsid w:val="00477FDB"/>
    <w:rsid w:val="0048415B"/>
    <w:rsid w:val="004876EC"/>
    <w:rsid w:val="004925B7"/>
    <w:rsid w:val="004955B3"/>
    <w:rsid w:val="004A44F3"/>
    <w:rsid w:val="004A499E"/>
    <w:rsid w:val="004B1EB8"/>
    <w:rsid w:val="004D56AD"/>
    <w:rsid w:val="004D5EE4"/>
    <w:rsid w:val="004D6E14"/>
    <w:rsid w:val="005009B0"/>
    <w:rsid w:val="005602C1"/>
    <w:rsid w:val="00581EEB"/>
    <w:rsid w:val="005A1006"/>
    <w:rsid w:val="005A772A"/>
    <w:rsid w:val="005A7749"/>
    <w:rsid w:val="005A7C5D"/>
    <w:rsid w:val="005E0CE6"/>
    <w:rsid w:val="005E5B53"/>
    <w:rsid w:val="005E714A"/>
    <w:rsid w:val="006140A0"/>
    <w:rsid w:val="00633F74"/>
    <w:rsid w:val="00636329"/>
    <w:rsid w:val="00636621"/>
    <w:rsid w:val="006409B1"/>
    <w:rsid w:val="00642B49"/>
    <w:rsid w:val="006832D9"/>
    <w:rsid w:val="00686301"/>
    <w:rsid w:val="0069403B"/>
    <w:rsid w:val="006B7B34"/>
    <w:rsid w:val="006D5F47"/>
    <w:rsid w:val="006F277E"/>
    <w:rsid w:val="006F3DDE"/>
    <w:rsid w:val="00704678"/>
    <w:rsid w:val="00711EFC"/>
    <w:rsid w:val="007304E5"/>
    <w:rsid w:val="007425E7"/>
    <w:rsid w:val="00760AD4"/>
    <w:rsid w:val="00766D95"/>
    <w:rsid w:val="0077703F"/>
    <w:rsid w:val="0078286A"/>
    <w:rsid w:val="007840A3"/>
    <w:rsid w:val="007D6FF6"/>
    <w:rsid w:val="007F2A72"/>
    <w:rsid w:val="00802607"/>
    <w:rsid w:val="008101A5"/>
    <w:rsid w:val="00811789"/>
    <w:rsid w:val="00822664"/>
    <w:rsid w:val="00843796"/>
    <w:rsid w:val="0085116A"/>
    <w:rsid w:val="00866F8A"/>
    <w:rsid w:val="00887320"/>
    <w:rsid w:val="00895229"/>
    <w:rsid w:val="008D1C0B"/>
    <w:rsid w:val="008D28B9"/>
    <w:rsid w:val="008E7827"/>
    <w:rsid w:val="008F0203"/>
    <w:rsid w:val="008F50D4"/>
    <w:rsid w:val="009225E4"/>
    <w:rsid w:val="009239AA"/>
    <w:rsid w:val="00927162"/>
    <w:rsid w:val="00935ADA"/>
    <w:rsid w:val="00946B6C"/>
    <w:rsid w:val="00955A71"/>
    <w:rsid w:val="0096108F"/>
    <w:rsid w:val="009A036B"/>
    <w:rsid w:val="009C13B9"/>
    <w:rsid w:val="009C540E"/>
    <w:rsid w:val="009D01A2"/>
    <w:rsid w:val="009F03B0"/>
    <w:rsid w:val="009F5923"/>
    <w:rsid w:val="00A229F1"/>
    <w:rsid w:val="00A403BB"/>
    <w:rsid w:val="00A50F89"/>
    <w:rsid w:val="00A674DF"/>
    <w:rsid w:val="00A8331A"/>
    <w:rsid w:val="00A83AA6"/>
    <w:rsid w:val="00AC60E8"/>
    <w:rsid w:val="00AE14B1"/>
    <w:rsid w:val="00AE1809"/>
    <w:rsid w:val="00AF0E40"/>
    <w:rsid w:val="00B1396E"/>
    <w:rsid w:val="00B2002B"/>
    <w:rsid w:val="00B52170"/>
    <w:rsid w:val="00B605E0"/>
    <w:rsid w:val="00B63B5A"/>
    <w:rsid w:val="00B71728"/>
    <w:rsid w:val="00B80D76"/>
    <w:rsid w:val="00BA2105"/>
    <w:rsid w:val="00BA7E06"/>
    <w:rsid w:val="00BB43B5"/>
    <w:rsid w:val="00BB6219"/>
    <w:rsid w:val="00BC676D"/>
    <w:rsid w:val="00BD290F"/>
    <w:rsid w:val="00BF6223"/>
    <w:rsid w:val="00BF7CDF"/>
    <w:rsid w:val="00C14CC4"/>
    <w:rsid w:val="00C15E7E"/>
    <w:rsid w:val="00C33C52"/>
    <w:rsid w:val="00C40D8B"/>
    <w:rsid w:val="00C8407A"/>
    <w:rsid w:val="00C8488C"/>
    <w:rsid w:val="00C86E91"/>
    <w:rsid w:val="00CA19A3"/>
    <w:rsid w:val="00CA1B4E"/>
    <w:rsid w:val="00CA2010"/>
    <w:rsid w:val="00CA2650"/>
    <w:rsid w:val="00CB1078"/>
    <w:rsid w:val="00CC6FAF"/>
    <w:rsid w:val="00CD3F0A"/>
    <w:rsid w:val="00CF6B66"/>
    <w:rsid w:val="00D16CFB"/>
    <w:rsid w:val="00D24698"/>
    <w:rsid w:val="00D401EE"/>
    <w:rsid w:val="00D409F0"/>
    <w:rsid w:val="00D61B59"/>
    <w:rsid w:val="00D6383F"/>
    <w:rsid w:val="00D662C8"/>
    <w:rsid w:val="00DB4A58"/>
    <w:rsid w:val="00DB59D0"/>
    <w:rsid w:val="00DB608A"/>
    <w:rsid w:val="00DC33D3"/>
    <w:rsid w:val="00DC64D3"/>
    <w:rsid w:val="00DE2EAB"/>
    <w:rsid w:val="00DE43C0"/>
    <w:rsid w:val="00DF1D96"/>
    <w:rsid w:val="00E26329"/>
    <w:rsid w:val="00E40B50"/>
    <w:rsid w:val="00E431EE"/>
    <w:rsid w:val="00E50293"/>
    <w:rsid w:val="00E65FFC"/>
    <w:rsid w:val="00E670E2"/>
    <w:rsid w:val="00E80951"/>
    <w:rsid w:val="00E86CC6"/>
    <w:rsid w:val="00E9302A"/>
    <w:rsid w:val="00EB3CE1"/>
    <w:rsid w:val="00EB56B3"/>
    <w:rsid w:val="00ED2B83"/>
    <w:rsid w:val="00ED6492"/>
    <w:rsid w:val="00EE37F5"/>
    <w:rsid w:val="00EF055C"/>
    <w:rsid w:val="00EF2095"/>
    <w:rsid w:val="00F03CE8"/>
    <w:rsid w:val="00F06866"/>
    <w:rsid w:val="00F104AA"/>
    <w:rsid w:val="00F15956"/>
    <w:rsid w:val="00F24CFC"/>
    <w:rsid w:val="00F3170F"/>
    <w:rsid w:val="00F55AE3"/>
    <w:rsid w:val="00F86109"/>
    <w:rsid w:val="00F94D8C"/>
    <w:rsid w:val="00F976B0"/>
    <w:rsid w:val="00FA6DE7"/>
    <w:rsid w:val="00FC0A8E"/>
    <w:rsid w:val="00FC2E3E"/>
    <w:rsid w:val="00FC2F70"/>
    <w:rsid w:val="00FE2FA6"/>
    <w:rsid w:val="00FE3DF2"/>
    <w:rsid w:val="152B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paragraph" w:customStyle="1" w:styleId="Default">
    <w:name w:val="Default"/>
    <w:rsid w:val="004D56A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C2F70"/>
    <w:rPr>
      <w:rFonts w:asciiTheme="minorHAnsi" w:eastAsia="SimSun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2F70"/>
    <w:rPr>
      <w:rFonts w:asciiTheme="minorHAnsi" w:eastAsia="SimSun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FC2F7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FC2F70"/>
    <w:rPr>
      <w:rFonts w:asciiTheme="minorHAnsi" w:eastAsia="SimSun" w:hAnsiTheme="minorHAnsi"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C2F70"/>
    <w:rPr>
      <w:rFonts w:asciiTheme="minorHAnsi" w:eastAsia="SimSun" w:hAnsiTheme="minorHAnsi" w:cstheme="minorBidi"/>
    </w:rPr>
  </w:style>
  <w:style w:type="paragraph" w:styleId="Revision">
    <w:name w:val="Revision"/>
    <w:hidden/>
    <w:uiPriority w:val="99"/>
    <w:semiHidden/>
    <w:rsid w:val="005A774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D3A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oh/life-physical-and-social-science/medical-scientists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opm.gov/policy-data-oversight/pay-leave/salaries-wages/salary-tables/22Tables/html/DCB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s.gov/oes/current/oes251053.ht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5F63-48D3-40C8-BB6A-DF4EBA646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2022-08-15T21:29:00Z</dcterms:created>
  <dcterms:modified xsi:type="dcterms:W3CDTF">2022-08-15T21:29:00Z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