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08A" w:rsidP="00F06866" w:rsidRDefault="00EE37F5"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rsidRDefault="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Pr="009239AA" w:rsidR="00E50293" w:rsidP="00434E33" w:rsidRDefault="005A7C5D" w14:paraId="771867AD" w14:textId="6398D6D3">
      <w:pPr>
        <w:rPr>
          <w:b/>
        </w:rPr>
      </w:pPr>
      <w:r>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997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r w:rsidR="001765B2">
        <w:t>2022</w:t>
      </w:r>
      <w:r w:rsidR="00F26A2E">
        <w:t xml:space="preserve"> Best Pharmaceuticals for Children Act (</w:t>
      </w:r>
      <w:r w:rsidR="001765B2">
        <w:t>BPCA</w:t>
      </w:r>
      <w:r w:rsidR="00F26A2E">
        <w:t>)</w:t>
      </w:r>
      <w:r w:rsidR="001765B2">
        <w:t xml:space="preserve"> Prioritization</w:t>
      </w:r>
      <w:r w:rsidR="00F26A2E">
        <w:t xml:space="preserve"> Nomination Form</w:t>
      </w:r>
    </w:p>
    <w:p w:rsidR="005E714A" w:rsidRDefault="005E714A" w14:paraId="7E4E3CB3" w14:textId="77777777"/>
    <w:p w:rsidR="001B0AAA" w:rsidP="00ED42F4" w:rsidRDefault="00F15956" w14:paraId="7BE09264" w14:textId="4932AA5D">
      <w:pPr>
        <w:rPr>
          <w:b/>
        </w:rPr>
      </w:pPr>
      <w:r>
        <w:rPr>
          <w:b/>
        </w:rPr>
        <w:t>PURPOSE</w:t>
      </w:r>
      <w:r w:rsidRPr="009239AA">
        <w:rPr>
          <w:b/>
        </w:rPr>
        <w:t>:</w:t>
      </w:r>
      <w:r w:rsidRPr="009239AA" w:rsidR="00C14CC4">
        <w:rPr>
          <w:b/>
        </w:rPr>
        <w:t xml:space="preserve">  </w:t>
      </w:r>
      <w:r w:rsidRPr="00ED42F4" w:rsidR="00ED42F4">
        <w:rPr>
          <w:bCs/>
        </w:rPr>
        <w:t>NIH, in consultation with the U.S. Food and Drug Administration (FDA) and experts in pediatric research, is mandated to</w:t>
      </w:r>
      <w:r w:rsidR="00355544">
        <w:rPr>
          <w:bCs/>
        </w:rPr>
        <w:t xml:space="preserve"> </w:t>
      </w:r>
      <w:r w:rsidR="0071311D">
        <w:rPr>
          <w:bCs/>
        </w:rPr>
        <w:t>d</w:t>
      </w:r>
      <w:r w:rsidRPr="00ED42F4" w:rsidR="00ED42F4">
        <w:rPr>
          <w:bCs/>
        </w:rPr>
        <w:t>evelop and publish a priority list of needs in pediatric therapeutics, including drugs or indications that require study, and update this list every 3 years.</w:t>
      </w:r>
      <w:r w:rsidR="0094056B">
        <w:rPr>
          <w:bCs/>
        </w:rPr>
        <w:t xml:space="preserve"> </w:t>
      </w:r>
      <w:r w:rsidRPr="00ED42F4" w:rsidR="00ED42F4">
        <w:rPr>
          <w:bCs/>
        </w:rPr>
        <w:t>As part of the prioritization process, NICHD solicits nominations from BPCA stakeholders to be considered for priority areas for the following year. These nominations are reviewed, scored, and tiered by expert volunteers.</w:t>
      </w:r>
      <w:r w:rsidR="00A142B9">
        <w:rPr>
          <w:bCs/>
        </w:rPr>
        <w:t xml:space="preserve"> </w:t>
      </w:r>
      <w:r w:rsidR="001D645B">
        <w:rPr>
          <w:bCs/>
        </w:rPr>
        <w:t>This year, NIH will also be</w:t>
      </w:r>
      <w:r w:rsidR="008E3FA4">
        <w:rPr>
          <w:bCs/>
        </w:rPr>
        <w:t xml:space="preserve"> collecting feedback on areas for </w:t>
      </w:r>
      <w:r w:rsidR="000158CB">
        <w:rPr>
          <w:bCs/>
        </w:rPr>
        <w:t>continued discussion and collaboration.</w:t>
      </w:r>
      <w:r w:rsidR="00A142B9">
        <w:rPr>
          <w:bCs/>
        </w:rPr>
        <w:t xml:space="preserve"> </w:t>
      </w:r>
      <w:r w:rsidR="00282BEF">
        <w:rPr>
          <w:bCs/>
        </w:rPr>
        <w:t>A</w:t>
      </w:r>
      <w:r w:rsidR="000B6B0C">
        <w:rPr>
          <w:bCs/>
        </w:rPr>
        <w:t xml:space="preserve">n online form has been created in Survey Monkey to </w:t>
      </w:r>
      <w:r w:rsidR="000158CB">
        <w:rPr>
          <w:bCs/>
        </w:rPr>
        <w:t xml:space="preserve">collect </w:t>
      </w:r>
      <w:r w:rsidR="00273906">
        <w:rPr>
          <w:bCs/>
        </w:rPr>
        <w:t xml:space="preserve">both </w:t>
      </w:r>
      <w:r w:rsidR="000158CB">
        <w:rPr>
          <w:bCs/>
        </w:rPr>
        <w:t xml:space="preserve">nominations </w:t>
      </w:r>
      <w:r w:rsidR="00273906">
        <w:rPr>
          <w:bCs/>
        </w:rPr>
        <w:t>and</w:t>
      </w:r>
      <w:r w:rsidR="000158CB">
        <w:rPr>
          <w:bCs/>
        </w:rPr>
        <w:t xml:space="preserve"> input on areas for future discussion.</w:t>
      </w:r>
    </w:p>
    <w:p w:rsidR="00C8488C" w:rsidP="00434E33" w:rsidRDefault="00C8488C" w14:paraId="715CFA04" w14:textId="77777777">
      <w:pPr>
        <w:pStyle w:val="Header"/>
        <w:tabs>
          <w:tab w:val="clear" w:pos="4320"/>
          <w:tab w:val="clear" w:pos="8640"/>
        </w:tabs>
        <w:rPr>
          <w:b/>
        </w:rPr>
      </w:pPr>
    </w:p>
    <w:p w:rsidR="00C8488C" w:rsidP="00434E33" w:rsidRDefault="00C8488C" w14:paraId="16F056AE" w14:textId="77777777">
      <w:pPr>
        <w:pStyle w:val="Header"/>
        <w:tabs>
          <w:tab w:val="clear" w:pos="4320"/>
          <w:tab w:val="clear" w:pos="8640"/>
        </w:tabs>
        <w:rPr>
          <w:b/>
        </w:rPr>
      </w:pPr>
    </w:p>
    <w:p w:rsidRPr="00434E33" w:rsidR="00434E33" w:rsidP="00434E33" w:rsidRDefault="00434E33" w14:paraId="1D3A01FE" w14:textId="5986ABE9">
      <w:pPr>
        <w:pStyle w:val="Header"/>
        <w:tabs>
          <w:tab w:val="clear" w:pos="4320"/>
          <w:tab w:val="clear" w:pos="8640"/>
        </w:tabs>
        <w:rPr>
          <w:i/>
          <w:snapToGrid/>
        </w:rPr>
      </w:pPr>
      <w:r w:rsidRPr="00434E33">
        <w:rPr>
          <w:b/>
        </w:rPr>
        <w:t>DESCRIPTION OF RESPONDENTS</w:t>
      </w:r>
      <w:r>
        <w:t xml:space="preserve">: </w:t>
      </w:r>
      <w:r w:rsidR="005C622D">
        <w:t xml:space="preserve">Responses will be solicited via RFI. </w:t>
      </w:r>
      <w:r w:rsidR="00321AFC">
        <w:t xml:space="preserve">The RFI is open to the public and anyone may submit a nomination. </w:t>
      </w:r>
      <w:r w:rsidR="00223232">
        <w:t xml:space="preserve">An email will be sent to </w:t>
      </w:r>
      <w:r w:rsidR="00273906">
        <w:rPr>
          <w:bCs/>
        </w:rPr>
        <w:t>BPCA stakeholders</w:t>
      </w:r>
      <w:r w:rsidR="00120423">
        <w:rPr>
          <w:bCs/>
        </w:rPr>
        <w:t xml:space="preserve"> including researchers from academia, hospitals, industry, NIH, and FDA</w:t>
      </w:r>
      <w:r w:rsidR="00223232">
        <w:rPr>
          <w:bCs/>
        </w:rPr>
        <w:t xml:space="preserve"> notifying them of the</w:t>
      </w:r>
      <w:r w:rsidR="0087563F">
        <w:rPr>
          <w:bCs/>
        </w:rPr>
        <w:t xml:space="preserve"> RFI</w:t>
      </w:r>
      <w:r w:rsidR="00FB0E53">
        <w:rPr>
          <w:bCs/>
        </w:rPr>
        <w:t xml:space="preserve">. Recipients of this email </w:t>
      </w:r>
      <w:r w:rsidR="00A51A43">
        <w:rPr>
          <w:bCs/>
        </w:rPr>
        <w:t>are expected to be the core group of respondents</w:t>
      </w:r>
      <w:r w:rsidR="00752544">
        <w:rPr>
          <w:bCs/>
        </w:rPr>
        <w:t>.</w:t>
      </w:r>
      <w:r w:rsidR="003644B7">
        <w:rPr>
          <w:bCs/>
        </w:rPr>
        <w:t xml:space="preserve"> Participants may respond to the survey as many times as they</w:t>
      </w:r>
      <w:r w:rsidR="008A45B2">
        <w:rPr>
          <w:bCs/>
        </w:rPr>
        <w:t xml:space="preserve"> woul</w:t>
      </w:r>
      <w:r w:rsidR="003644B7">
        <w:rPr>
          <w:bCs/>
        </w:rPr>
        <w:t>d like.</w:t>
      </w:r>
      <w:r w:rsidR="008A45B2">
        <w:rPr>
          <w:bCs/>
        </w:rPr>
        <w:t xml:space="preserve"> We anticipate an average of </w:t>
      </w:r>
      <w:r w:rsidR="000F069B">
        <w:rPr>
          <w:bCs/>
        </w:rPr>
        <w:t>2-3</w:t>
      </w:r>
      <w:r w:rsidR="008A45B2">
        <w:rPr>
          <w:bCs/>
        </w:rPr>
        <w:t xml:space="preserve"> </w:t>
      </w:r>
      <w:r w:rsidR="00C37A84">
        <w:rPr>
          <w:bCs/>
        </w:rPr>
        <w:t>submissions</w:t>
      </w:r>
      <w:r w:rsidR="008A45B2">
        <w:rPr>
          <w:bCs/>
        </w:rPr>
        <w:t xml:space="preserve"> per </w:t>
      </w:r>
      <w:r w:rsidR="00C37A84">
        <w:rPr>
          <w:bCs/>
        </w:rPr>
        <w:t>respondent</w:t>
      </w:r>
      <w:r w:rsidR="008A45B2">
        <w:rPr>
          <w:bCs/>
        </w:rPr>
        <w:t>.</w:t>
      </w:r>
    </w:p>
    <w:p w:rsidR="00E26329" w:rsidRDefault="00E26329" w14:paraId="38C22350" w14:textId="77777777">
      <w:pPr>
        <w:rPr>
          <w:b/>
        </w:rPr>
      </w:pPr>
    </w:p>
    <w:p w:rsidR="00E26329" w:rsidRDefault="00E26329" w14:paraId="0AD177E0" w14:textId="77777777">
      <w:pPr>
        <w:rPr>
          <w:b/>
        </w:rPr>
      </w:pPr>
    </w:p>
    <w:p w:rsidRPr="00F06866" w:rsidR="00F06866" w:rsidRDefault="00F06866" w14:paraId="20F08E9D" w14:textId="77777777">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6BA463DD">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DB608A">
        <w:rPr>
          <w:bCs/>
          <w:sz w:val="24"/>
        </w:rPr>
        <w:t>Recommendations of scientific reviewers</w:t>
      </w:r>
      <w:r w:rsidR="0040699E">
        <w:rPr>
          <w:bCs/>
          <w:sz w:val="24"/>
        </w:rPr>
        <w:tab/>
      </w:r>
      <w:r w:rsidR="00DB608A">
        <w:rPr>
          <w:bCs/>
          <w:sz w:val="24"/>
        </w:rPr>
        <w:tab/>
        <w:t>[</w:t>
      </w:r>
      <w:r w:rsidR="00120423">
        <w:rPr>
          <w:bCs/>
          <w:sz w:val="24"/>
        </w:rPr>
        <w:t xml:space="preserve"> </w:t>
      </w:r>
      <w:r w:rsidR="00DB608A">
        <w:rPr>
          <w:bCs/>
          <w:sz w:val="24"/>
        </w:rPr>
        <w:t>] Resources</w:t>
      </w:r>
    </w:p>
    <w:p w:rsidRPr="00F06866" w:rsidR="00F06866" w:rsidP="0096108F" w:rsidRDefault="00935ADA" w14:paraId="3A23215E" w14:textId="3C38D732">
      <w:pPr>
        <w:pStyle w:val="BodyTextIndent"/>
        <w:tabs>
          <w:tab w:val="left" w:pos="360"/>
        </w:tabs>
        <w:ind w:left="0"/>
        <w:rPr>
          <w:bCs/>
          <w:sz w:val="24"/>
        </w:rPr>
      </w:pPr>
      <w:r>
        <w:rPr>
          <w:bCs/>
          <w:sz w:val="24"/>
        </w:rPr>
        <w:t>[</w:t>
      </w:r>
      <w:r w:rsidR="00120423">
        <w:rPr>
          <w:bCs/>
          <w:sz w:val="24"/>
        </w:rPr>
        <w:t>X</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proofErr w:type="gramStart"/>
      <w:r w:rsidRPr="00F06866" w:rsidR="00F06866">
        <w:rPr>
          <w:bCs/>
          <w:sz w:val="24"/>
        </w:rPr>
        <w:t>[</w:t>
      </w:r>
      <w:r w:rsidR="00F06866">
        <w:rPr>
          <w:bCs/>
          <w:sz w:val="24"/>
        </w:rPr>
        <w:t xml:space="preserve"> </w:t>
      </w:r>
      <w:r w:rsidRPr="00F06866" w:rsidR="00F06866">
        <w:rPr>
          <w:bCs/>
          <w:sz w:val="24"/>
        </w:rPr>
        <w:t>]</w:t>
      </w:r>
      <w:proofErr w:type="gramEnd"/>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0C3E664" w14:textId="77777777">
      <w:pPr>
        <w:pStyle w:val="Header"/>
        <w:tabs>
          <w:tab w:val="clear" w:pos="4320"/>
          <w:tab w:val="clear" w:pos="8640"/>
        </w:tabs>
      </w:pPr>
    </w:p>
    <w:p w:rsidR="00CA2650" w:rsidRDefault="00441434" w14:paraId="266A8E6E" w14:textId="77777777">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Pr="00A142B9" w:rsidR="009C13B9" w:rsidP="009C13B9" w:rsidRDefault="009C13B9" w14:paraId="52DF1569" w14:textId="45559833">
      <w:pPr>
        <w:rPr>
          <w:lang w:val="es-ES"/>
        </w:rPr>
      </w:pPr>
      <w:proofErr w:type="spellStart"/>
      <w:proofErr w:type="gramStart"/>
      <w:r w:rsidRPr="00A142B9">
        <w:rPr>
          <w:lang w:val="es-ES"/>
        </w:rPr>
        <w:t>Name</w:t>
      </w:r>
      <w:proofErr w:type="spellEnd"/>
      <w:r w:rsidRPr="00A142B9">
        <w:rPr>
          <w:lang w:val="es-ES"/>
        </w:rPr>
        <w:t>:_</w:t>
      </w:r>
      <w:proofErr w:type="spellStart"/>
      <w:proofErr w:type="gramEnd"/>
      <w:r w:rsidRPr="00A142B9" w:rsidR="00D32CFC">
        <w:rPr>
          <w:u w:val="single"/>
          <w:lang w:val="es-ES"/>
        </w:rPr>
        <w:t>Perdita</w:t>
      </w:r>
      <w:proofErr w:type="spellEnd"/>
      <w:r w:rsidRPr="00A142B9" w:rsidR="00D32CFC">
        <w:rPr>
          <w:u w:val="single"/>
          <w:lang w:val="es-ES"/>
        </w:rPr>
        <w:t xml:space="preserve"> Taylor-Zapata, MD</w:t>
      </w:r>
      <w:r w:rsidRPr="00A142B9">
        <w:rPr>
          <w:lang w:val="es-ES"/>
        </w:rPr>
        <w:t>_______________________________________________</w:t>
      </w:r>
    </w:p>
    <w:p w:rsidRPr="00A142B9" w:rsidR="009C13B9" w:rsidP="009C13B9" w:rsidRDefault="009C13B9" w14:paraId="53454E83" w14:textId="77777777">
      <w:pPr>
        <w:pStyle w:val="ListParagraph"/>
        <w:ind w:left="360"/>
        <w:rPr>
          <w:lang w:val="es-ES"/>
        </w:rPr>
      </w:pPr>
    </w:p>
    <w:p w:rsidR="009C13B9" w:rsidP="009C13B9" w:rsidRDefault="009C13B9" w14:paraId="24E1CA9D" w14:textId="41321C92">
      <w:r>
        <w:t>To assist review, please provide answers to the following question</w:t>
      </w:r>
      <w:r w:rsidR="005220A3">
        <w:t>s</w:t>
      </w:r>
      <w:r>
        <w:t>:</w:t>
      </w:r>
    </w:p>
    <w:p w:rsidR="009C13B9" w:rsidP="009C13B9" w:rsidRDefault="009C13B9" w14:paraId="0526A668" w14:textId="77777777">
      <w:pPr>
        <w:pStyle w:val="ListParagraph"/>
        <w:ind w:left="360"/>
      </w:pPr>
    </w:p>
    <w:p w:rsidRPr="00C86E91" w:rsidR="009C13B9" w:rsidP="00C86E91" w:rsidRDefault="00C86E91" w14:paraId="36CA8E31" w14:textId="77777777">
      <w:pPr>
        <w:rPr>
          <w:b/>
        </w:rPr>
      </w:pPr>
      <w:r w:rsidRPr="00C86E91">
        <w:rPr>
          <w:b/>
        </w:rPr>
        <w:t>Personally Identifiable Information:</w:t>
      </w:r>
    </w:p>
    <w:p w:rsidR="00C86E91" w:rsidP="00C86E91" w:rsidRDefault="009C13B9" w14:paraId="13BDC04D" w14:textId="23B96013">
      <w:pPr>
        <w:pStyle w:val="ListParagraph"/>
        <w:numPr>
          <w:ilvl w:val="0"/>
          <w:numId w:val="18"/>
        </w:numPr>
      </w:pPr>
      <w:r>
        <w:t>Is</w:t>
      </w:r>
      <w:r w:rsidR="00237B48">
        <w:t xml:space="preserve"> personally identifiable information (PII) collected</w:t>
      </w:r>
      <w:r>
        <w:t xml:space="preserve">?  </w:t>
      </w:r>
      <w:r w:rsidR="009239AA">
        <w:t>[</w:t>
      </w:r>
      <w:r w:rsidR="00D32CFC">
        <w:t>X</w:t>
      </w:r>
      <w:r w:rsidR="009239AA">
        <w:t xml:space="preserve">] </w:t>
      </w:r>
      <w:proofErr w:type="gramStart"/>
      <w:r w:rsidR="009239AA">
        <w:t>Yes  [</w:t>
      </w:r>
      <w:proofErr w:type="gramEnd"/>
      <w:r w:rsidR="009239AA">
        <w:t xml:space="preserve"> ]  No </w:t>
      </w:r>
    </w:p>
    <w:p w:rsidRPr="00281DA5" w:rsidR="00C86E91" w:rsidP="00C86E91" w:rsidRDefault="009C13B9" w14:paraId="7186FCEC" w14:textId="6B3E1D54">
      <w:pPr>
        <w:pStyle w:val="ListParagraph"/>
        <w:numPr>
          <w:ilvl w:val="0"/>
          <w:numId w:val="18"/>
        </w:numPr>
      </w:pPr>
      <w:r w:rsidRPr="00281DA5">
        <w:lastRenderedPageBreak/>
        <w:t xml:space="preserve">If </w:t>
      </w:r>
      <w:proofErr w:type="gramStart"/>
      <w:r w:rsidRPr="00281DA5" w:rsidR="009239AA">
        <w:t>Yes</w:t>
      </w:r>
      <w:proofErr w:type="gramEnd"/>
      <w:r w:rsidRPr="00281DA5" w:rsidR="009239AA">
        <w:t>,</w:t>
      </w:r>
      <w:r w:rsidRPr="00281DA5">
        <w:t xml:space="preserve"> </w:t>
      </w:r>
      <w:r w:rsidRPr="00281DA5" w:rsidR="009239AA">
        <w:t>is the information that will be collected included in records that are subject to the Privacy Act of 1974?   [</w:t>
      </w:r>
      <w:r w:rsidRPr="00281DA5" w:rsidR="00281DA5">
        <w:t>X</w:t>
      </w:r>
      <w:r w:rsidRPr="00281DA5" w:rsidR="009239AA">
        <w:t xml:space="preserve">] Yes </w:t>
      </w:r>
      <w:proofErr w:type="gramStart"/>
      <w:r w:rsidRPr="00281DA5" w:rsidR="009239AA">
        <w:t>[  ]</w:t>
      </w:r>
      <w:proofErr w:type="gramEnd"/>
      <w:r w:rsidRPr="00281DA5" w:rsidR="009239AA">
        <w:t xml:space="preserve"> No</w:t>
      </w:r>
      <w:r w:rsidRPr="00281DA5" w:rsidR="00C86E91">
        <w:t xml:space="preserve">   </w:t>
      </w:r>
    </w:p>
    <w:p w:rsidRPr="00281DA5" w:rsidR="00C86E91" w:rsidP="00C86E91" w:rsidRDefault="00C86E91" w14:paraId="62A1D75A" w14:textId="74B8E96B">
      <w:pPr>
        <w:pStyle w:val="ListParagraph"/>
        <w:numPr>
          <w:ilvl w:val="0"/>
          <w:numId w:val="18"/>
        </w:numPr>
      </w:pPr>
      <w:r w:rsidRPr="00281DA5">
        <w:t>If Applicable, has a System or Records Notice been published?  [</w:t>
      </w:r>
      <w:r w:rsidRPr="00281DA5" w:rsidR="00281DA5">
        <w:t>X</w:t>
      </w:r>
      <w:r w:rsidRPr="00281DA5">
        <w:t xml:space="preserve">] </w:t>
      </w:r>
      <w:proofErr w:type="gramStart"/>
      <w:r w:rsidRPr="00281DA5">
        <w:t>Yes  [</w:t>
      </w:r>
      <w:proofErr w:type="gramEnd"/>
      <w:r w:rsidRPr="00281DA5">
        <w:t xml:space="preserve">  ] No</w:t>
      </w:r>
    </w:p>
    <w:p w:rsidR="00633F74" w:rsidP="00633F74" w:rsidRDefault="00633F74" w14:paraId="75CF8E01" w14:textId="77777777">
      <w:pPr>
        <w:pStyle w:val="ListParagraph"/>
        <w:ind w:left="360"/>
      </w:pPr>
    </w:p>
    <w:p w:rsidRPr="00C86E91" w:rsidR="00C86E91" w:rsidP="00C86E91" w:rsidRDefault="00CB1078" w14:paraId="3687B54C" w14:textId="77777777">
      <w:pPr>
        <w:pStyle w:val="ListParagraph"/>
        <w:ind w:left="0"/>
        <w:rPr>
          <w:b/>
        </w:rPr>
      </w:pPr>
      <w:r>
        <w:rPr>
          <w:b/>
        </w:rPr>
        <w:t>Gifts or Payments</w:t>
      </w:r>
      <w:r w:rsidR="00C86E91">
        <w:rPr>
          <w:b/>
        </w:rPr>
        <w:t>:</w:t>
      </w:r>
    </w:p>
    <w:p w:rsidR="00C86E91" w:rsidP="00C86E91" w:rsidRDefault="00C86E91" w14:paraId="0F43050C" w14:textId="59DD78A0">
      <w:r>
        <w:t xml:space="preserve">Is an incentive (e.g., money or reimbursement of expenses, token of appreciation) provided to participants?  </w:t>
      </w:r>
      <w:proofErr w:type="gramStart"/>
      <w:r>
        <w:t>[  ]</w:t>
      </w:r>
      <w:proofErr w:type="gramEnd"/>
      <w:r>
        <w:t xml:space="preserve"> Yes [</w:t>
      </w:r>
      <w:r w:rsidR="00D32CFC">
        <w:t>X</w:t>
      </w:r>
      <w:r>
        <w:t xml:space="preserve">] No  </w:t>
      </w:r>
    </w:p>
    <w:p w:rsidR="004D6E14" w:rsidRDefault="004D6E14" w14:paraId="19254812" w14:textId="77777777">
      <w:pPr>
        <w:rPr>
          <w:b/>
        </w:rPr>
      </w:pPr>
    </w:p>
    <w:p w:rsidR="00F24CFC" w:rsidRDefault="00F24CFC" w14:paraId="464AA28C" w14:textId="77777777">
      <w:pPr>
        <w:rPr>
          <w:b/>
        </w:rPr>
      </w:pPr>
    </w:p>
    <w:p w:rsidRPr="00BC676D" w:rsidR="005E714A" w:rsidP="00C86E91" w:rsidRDefault="003668D6" w14:paraId="384A9DB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190580F" w14:textId="77777777">
      <w:pPr>
        <w:keepNext/>
        <w:keepLines/>
        <w:rPr>
          <w:b/>
        </w:rPr>
      </w:pPr>
    </w:p>
    <w:tbl>
      <w:tblPr>
        <w:tblW w:w="104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047"/>
        <w:gridCol w:w="1620"/>
        <w:gridCol w:w="1710"/>
      </w:tblGrid>
      <w:tr w:rsidR="003668D6" w:rsidTr="00282BEF" w14:paraId="43D8EEDC" w14:textId="77777777">
        <w:trPr>
          <w:trHeight w:val="274"/>
        </w:trPr>
        <w:tc>
          <w:tcPr>
            <w:tcW w:w="2790" w:type="dxa"/>
          </w:tcPr>
          <w:p w:rsidRPr="002D26E2" w:rsidR="003668D6" w:rsidP="00C8488C" w:rsidRDefault="003668D6" w14:paraId="398EF93D" w14:textId="77777777">
            <w:pPr>
              <w:rPr>
                <w:b/>
              </w:rPr>
            </w:pPr>
            <w:r w:rsidRPr="002D26E2">
              <w:rPr>
                <w:b/>
              </w:rPr>
              <w:t xml:space="preserve">Category of Respondent </w:t>
            </w:r>
          </w:p>
        </w:tc>
        <w:tc>
          <w:tcPr>
            <w:tcW w:w="2250" w:type="dxa"/>
          </w:tcPr>
          <w:p w:rsidRPr="002D26E2" w:rsidR="003668D6" w:rsidP="00843796" w:rsidRDefault="003668D6" w14:paraId="3CFC5F12" w14:textId="77777777">
            <w:pPr>
              <w:rPr>
                <w:b/>
              </w:rPr>
            </w:pPr>
            <w:r w:rsidRPr="002D26E2">
              <w:rPr>
                <w:b/>
              </w:rPr>
              <w:t>No. of Respondents</w:t>
            </w:r>
          </w:p>
        </w:tc>
        <w:tc>
          <w:tcPr>
            <w:tcW w:w="2047" w:type="dxa"/>
          </w:tcPr>
          <w:p w:rsidRPr="002D26E2" w:rsidR="003668D6" w:rsidP="00843796" w:rsidRDefault="003668D6" w14:paraId="38D7FB13" w14:textId="77777777">
            <w:pPr>
              <w:rPr>
                <w:b/>
              </w:rPr>
            </w:pPr>
            <w:r>
              <w:rPr>
                <w:b/>
              </w:rPr>
              <w:t xml:space="preserve">No. of Responses per Respondent </w:t>
            </w:r>
          </w:p>
        </w:tc>
        <w:tc>
          <w:tcPr>
            <w:tcW w:w="1620" w:type="dxa"/>
          </w:tcPr>
          <w:p w:rsidR="003668D6" w:rsidP="00843796" w:rsidRDefault="003668D6" w14:paraId="50C7D0F5" w14:textId="77777777">
            <w:pPr>
              <w:rPr>
                <w:b/>
              </w:rPr>
            </w:pPr>
            <w:r>
              <w:rPr>
                <w:b/>
              </w:rPr>
              <w:t xml:space="preserve">Time per </w:t>
            </w:r>
          </w:p>
          <w:p w:rsidR="003668D6" w:rsidP="00843796" w:rsidRDefault="003668D6" w14:paraId="1CA824AB" w14:textId="77777777">
            <w:pPr>
              <w:rPr>
                <w:b/>
              </w:rPr>
            </w:pPr>
            <w:r>
              <w:rPr>
                <w:b/>
              </w:rPr>
              <w:t xml:space="preserve">Response </w:t>
            </w:r>
          </w:p>
          <w:p w:rsidRPr="002D26E2" w:rsidR="003668D6" w:rsidP="00843796" w:rsidRDefault="003668D6" w14:paraId="7993698B" w14:textId="77777777">
            <w:pPr>
              <w:rPr>
                <w:b/>
              </w:rPr>
            </w:pPr>
            <w:r>
              <w:rPr>
                <w:b/>
              </w:rPr>
              <w:t>(</w:t>
            </w:r>
            <w:proofErr w:type="gramStart"/>
            <w:r>
              <w:rPr>
                <w:b/>
              </w:rPr>
              <w:t>in</w:t>
            </w:r>
            <w:proofErr w:type="gramEnd"/>
            <w:r>
              <w:rPr>
                <w:b/>
              </w:rPr>
              <w:t xml:space="preserve"> hours) </w:t>
            </w:r>
          </w:p>
        </w:tc>
        <w:tc>
          <w:tcPr>
            <w:tcW w:w="1710" w:type="dxa"/>
          </w:tcPr>
          <w:p w:rsidR="003668D6" w:rsidP="00843796" w:rsidRDefault="003668D6" w14:paraId="2744E6E5" w14:textId="77777777">
            <w:pPr>
              <w:rPr>
                <w:b/>
              </w:rPr>
            </w:pPr>
            <w:r>
              <w:rPr>
                <w:b/>
              </w:rPr>
              <w:t xml:space="preserve">Total </w:t>
            </w:r>
            <w:r w:rsidRPr="002D26E2">
              <w:rPr>
                <w:b/>
              </w:rPr>
              <w:t>Burden</w:t>
            </w:r>
          </w:p>
          <w:p w:rsidRPr="002D26E2" w:rsidR="003668D6" w:rsidP="00843796" w:rsidRDefault="003668D6" w14:paraId="195A9A2A" w14:textId="77777777">
            <w:pPr>
              <w:rPr>
                <w:b/>
              </w:rPr>
            </w:pPr>
            <w:r>
              <w:rPr>
                <w:b/>
              </w:rPr>
              <w:t xml:space="preserve">Hours </w:t>
            </w:r>
          </w:p>
        </w:tc>
      </w:tr>
      <w:tr w:rsidR="003668D6" w:rsidTr="00282BEF" w14:paraId="6C4086BE" w14:textId="77777777">
        <w:trPr>
          <w:trHeight w:val="260"/>
        </w:trPr>
        <w:tc>
          <w:tcPr>
            <w:tcW w:w="2790" w:type="dxa"/>
          </w:tcPr>
          <w:p w:rsidR="003668D6" w:rsidP="00843796" w:rsidRDefault="00AE64C3" w14:paraId="74505133" w14:textId="65FC9464">
            <w:r>
              <w:t>Private sector</w:t>
            </w:r>
          </w:p>
        </w:tc>
        <w:tc>
          <w:tcPr>
            <w:tcW w:w="2250" w:type="dxa"/>
          </w:tcPr>
          <w:p w:rsidR="003668D6" w:rsidP="00843796" w:rsidRDefault="000F069B" w14:paraId="48480537" w14:textId="604B8BB9">
            <w:r>
              <w:t>50</w:t>
            </w:r>
          </w:p>
        </w:tc>
        <w:tc>
          <w:tcPr>
            <w:tcW w:w="2047" w:type="dxa"/>
          </w:tcPr>
          <w:p w:rsidR="003668D6" w:rsidP="00843796" w:rsidRDefault="000F069B" w14:paraId="0DFCFA35" w14:textId="14706954">
            <w:r>
              <w:t>3</w:t>
            </w:r>
          </w:p>
        </w:tc>
        <w:tc>
          <w:tcPr>
            <w:tcW w:w="1620" w:type="dxa"/>
          </w:tcPr>
          <w:p w:rsidR="003668D6" w:rsidP="00843796" w:rsidRDefault="000F069B" w14:paraId="3D1773F5" w14:textId="769A23DC">
            <w:r>
              <w:t>1</w:t>
            </w:r>
            <w:r w:rsidR="009325FE">
              <w:t>5/60</w:t>
            </w:r>
          </w:p>
        </w:tc>
        <w:tc>
          <w:tcPr>
            <w:tcW w:w="1710" w:type="dxa"/>
          </w:tcPr>
          <w:p w:rsidR="003668D6" w:rsidP="00843796" w:rsidRDefault="0049049A" w14:paraId="47C85A64" w14:textId="22980531">
            <w:r>
              <w:t>38</w:t>
            </w:r>
          </w:p>
        </w:tc>
      </w:tr>
      <w:tr w:rsidR="003668D6" w:rsidTr="00282BEF" w14:paraId="51A1D550" w14:textId="77777777">
        <w:trPr>
          <w:trHeight w:val="274"/>
        </w:trPr>
        <w:tc>
          <w:tcPr>
            <w:tcW w:w="2790" w:type="dxa"/>
          </w:tcPr>
          <w:p w:rsidR="003668D6" w:rsidP="00843796" w:rsidRDefault="003668D6" w14:paraId="027E0DC1" w14:textId="77777777"/>
        </w:tc>
        <w:tc>
          <w:tcPr>
            <w:tcW w:w="2250" w:type="dxa"/>
          </w:tcPr>
          <w:p w:rsidR="003668D6" w:rsidP="00843796" w:rsidRDefault="003668D6" w14:paraId="38E259CA" w14:textId="77777777"/>
        </w:tc>
        <w:tc>
          <w:tcPr>
            <w:tcW w:w="2047" w:type="dxa"/>
          </w:tcPr>
          <w:p w:rsidR="003668D6" w:rsidP="00843796" w:rsidRDefault="003668D6" w14:paraId="5E9B6875" w14:textId="77777777"/>
        </w:tc>
        <w:tc>
          <w:tcPr>
            <w:tcW w:w="1620" w:type="dxa"/>
          </w:tcPr>
          <w:p w:rsidR="003668D6" w:rsidP="00843796" w:rsidRDefault="003668D6" w14:paraId="0B034BB1" w14:textId="77777777"/>
        </w:tc>
        <w:tc>
          <w:tcPr>
            <w:tcW w:w="1710" w:type="dxa"/>
          </w:tcPr>
          <w:p w:rsidR="003668D6" w:rsidP="00843796" w:rsidRDefault="003668D6" w14:paraId="187B6A18" w14:textId="77777777"/>
        </w:tc>
      </w:tr>
      <w:tr w:rsidR="003668D6" w:rsidTr="00282BEF" w14:paraId="40D619CD" w14:textId="77777777">
        <w:trPr>
          <w:trHeight w:val="289"/>
        </w:trPr>
        <w:tc>
          <w:tcPr>
            <w:tcW w:w="2790" w:type="dxa"/>
          </w:tcPr>
          <w:p w:rsidRPr="002D26E2" w:rsidR="003668D6" w:rsidP="00843796" w:rsidRDefault="003668D6" w14:paraId="4881398D" w14:textId="77777777">
            <w:pPr>
              <w:rPr>
                <w:b/>
              </w:rPr>
            </w:pPr>
            <w:r w:rsidRPr="002D26E2">
              <w:rPr>
                <w:b/>
              </w:rPr>
              <w:t>Totals</w:t>
            </w:r>
          </w:p>
        </w:tc>
        <w:tc>
          <w:tcPr>
            <w:tcW w:w="2250" w:type="dxa"/>
          </w:tcPr>
          <w:p w:rsidRPr="002D26E2" w:rsidR="003668D6" w:rsidP="00843796" w:rsidRDefault="00B920F7" w14:paraId="2089A7BF" w14:textId="0D1C3A27">
            <w:pPr>
              <w:rPr>
                <w:b/>
              </w:rPr>
            </w:pPr>
            <w:r>
              <w:rPr>
                <w:b/>
              </w:rPr>
              <w:t>50</w:t>
            </w:r>
          </w:p>
        </w:tc>
        <w:tc>
          <w:tcPr>
            <w:tcW w:w="2047" w:type="dxa"/>
          </w:tcPr>
          <w:p w:rsidRPr="00B920F7" w:rsidR="003668D6" w:rsidP="00843796" w:rsidRDefault="00B920F7" w14:paraId="5BF515D7" w14:textId="167FE3A6">
            <w:pPr>
              <w:rPr>
                <w:b/>
                <w:bCs/>
              </w:rPr>
            </w:pPr>
            <w:r w:rsidRPr="00B920F7">
              <w:rPr>
                <w:b/>
                <w:bCs/>
              </w:rPr>
              <w:t>150</w:t>
            </w:r>
          </w:p>
        </w:tc>
        <w:tc>
          <w:tcPr>
            <w:tcW w:w="1620" w:type="dxa"/>
          </w:tcPr>
          <w:p w:rsidR="003668D6" w:rsidP="00843796" w:rsidRDefault="003668D6" w14:paraId="6453AF92" w14:textId="77777777"/>
        </w:tc>
        <w:tc>
          <w:tcPr>
            <w:tcW w:w="1710" w:type="dxa"/>
          </w:tcPr>
          <w:p w:rsidRPr="002D26E2" w:rsidR="003668D6" w:rsidP="00843796" w:rsidRDefault="00AE64C3" w14:paraId="79836567" w14:textId="12764808">
            <w:pPr>
              <w:rPr>
                <w:b/>
              </w:rPr>
            </w:pPr>
            <w:r>
              <w:rPr>
                <w:b/>
              </w:rPr>
              <w:t>38</w:t>
            </w:r>
          </w:p>
        </w:tc>
      </w:tr>
    </w:tbl>
    <w:p w:rsidR="009A036B" w:rsidP="009A036B" w:rsidRDefault="009A036B" w14:paraId="12A2E8AB" w14:textId="0EEFAF2E">
      <w:pPr>
        <w:rPr>
          <w:b/>
        </w:rPr>
      </w:pPr>
    </w:p>
    <w:p w:rsidR="00B920F7" w:rsidP="009A036B" w:rsidRDefault="00B920F7" w14:paraId="1C20365A" w14:textId="7486B0DB">
      <w:pPr>
        <w:rPr>
          <w:b/>
        </w:rPr>
      </w:pPr>
      <w:r>
        <w:rPr>
          <w:b/>
        </w:rPr>
        <w:t>COST TO RESPONDENT</w:t>
      </w:r>
    </w:p>
    <w:p w:rsidRPr="009A036B" w:rsidR="00B920F7" w:rsidP="009A036B" w:rsidRDefault="00B920F7" w14:paraId="02C4874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6277B5B" w14:textId="77777777">
        <w:trPr>
          <w:trHeight w:val="274"/>
        </w:trPr>
        <w:tc>
          <w:tcPr>
            <w:tcW w:w="2790" w:type="dxa"/>
          </w:tcPr>
          <w:p w:rsidRPr="009A036B" w:rsidR="00CA2010" w:rsidP="00CA2010" w:rsidRDefault="00CA2010" w14:paraId="0EC49468" w14:textId="77777777">
            <w:pPr>
              <w:rPr>
                <w:b/>
              </w:rPr>
            </w:pPr>
            <w:r w:rsidRPr="009A036B">
              <w:rPr>
                <w:b/>
              </w:rPr>
              <w:t xml:space="preserve"> </w:t>
            </w:r>
            <w:r w:rsidRPr="00CA2010">
              <w:rPr>
                <w:b/>
              </w:rPr>
              <w:t>Category of Respondent</w:t>
            </w:r>
          </w:p>
          <w:p w:rsidRPr="009A036B" w:rsidR="00CA2010" w:rsidP="00CA2010" w:rsidRDefault="00CA2010" w14:paraId="267E1AAC" w14:textId="77777777">
            <w:pPr>
              <w:rPr>
                <w:b/>
              </w:rPr>
            </w:pPr>
          </w:p>
        </w:tc>
        <w:tc>
          <w:tcPr>
            <w:tcW w:w="2250" w:type="dxa"/>
          </w:tcPr>
          <w:p w:rsidRPr="00CA2010" w:rsidR="00CA2010" w:rsidP="00CA2010" w:rsidRDefault="00CA2010" w14:paraId="4ED1F780" w14:textId="77777777">
            <w:pPr>
              <w:rPr>
                <w:b/>
              </w:rPr>
            </w:pPr>
            <w:r w:rsidRPr="00CA2010">
              <w:rPr>
                <w:b/>
              </w:rPr>
              <w:t>Total Burden</w:t>
            </w:r>
          </w:p>
          <w:p w:rsidRPr="009A036B" w:rsidR="00CA2010" w:rsidP="00CA2010" w:rsidRDefault="00CA2010" w14:paraId="6810BA1F" w14:textId="77777777">
            <w:pPr>
              <w:rPr>
                <w:b/>
              </w:rPr>
            </w:pPr>
            <w:r w:rsidRPr="00CA2010">
              <w:rPr>
                <w:b/>
              </w:rPr>
              <w:t>Hours</w:t>
            </w:r>
          </w:p>
        </w:tc>
        <w:tc>
          <w:tcPr>
            <w:tcW w:w="2520" w:type="dxa"/>
          </w:tcPr>
          <w:p w:rsidRPr="009A036B" w:rsidR="00CA2010" w:rsidP="009A036B" w:rsidRDefault="00F94D8C" w14:paraId="64C1222F" w14:textId="77777777">
            <w:pPr>
              <w:rPr>
                <w:b/>
              </w:rPr>
            </w:pPr>
            <w:r>
              <w:rPr>
                <w:b/>
              </w:rPr>
              <w:t xml:space="preserve">Hourly </w:t>
            </w:r>
            <w:r w:rsidR="00CA2010">
              <w:rPr>
                <w:b/>
              </w:rPr>
              <w:t>Wage Rate*</w:t>
            </w:r>
          </w:p>
        </w:tc>
        <w:tc>
          <w:tcPr>
            <w:tcW w:w="1620" w:type="dxa"/>
          </w:tcPr>
          <w:p w:rsidRPr="009A036B" w:rsidR="00CA2010" w:rsidP="009A036B" w:rsidRDefault="00CA2010" w14:paraId="604946A1" w14:textId="77777777">
            <w:pPr>
              <w:rPr>
                <w:b/>
              </w:rPr>
            </w:pPr>
            <w:r>
              <w:rPr>
                <w:b/>
              </w:rPr>
              <w:t>Total Burden Cost</w:t>
            </w:r>
            <w:r w:rsidRPr="009A036B">
              <w:rPr>
                <w:b/>
              </w:rPr>
              <w:t xml:space="preserve"> </w:t>
            </w:r>
          </w:p>
        </w:tc>
      </w:tr>
      <w:tr w:rsidRPr="009A036B" w:rsidR="00CA2010" w:rsidTr="00CA2010" w14:paraId="43039D02" w14:textId="77777777">
        <w:trPr>
          <w:trHeight w:val="260"/>
        </w:trPr>
        <w:tc>
          <w:tcPr>
            <w:tcW w:w="2790" w:type="dxa"/>
          </w:tcPr>
          <w:p w:rsidRPr="009A036B" w:rsidR="00CA2010" w:rsidP="009A036B" w:rsidRDefault="00AE64C3" w14:paraId="63B44F56" w14:textId="4BB833C6">
            <w:r>
              <w:t>Private sector</w:t>
            </w:r>
          </w:p>
        </w:tc>
        <w:tc>
          <w:tcPr>
            <w:tcW w:w="2250" w:type="dxa"/>
          </w:tcPr>
          <w:p w:rsidRPr="009A036B" w:rsidR="00CA2010" w:rsidP="009A036B" w:rsidRDefault="0049049A" w14:paraId="17548B0F" w14:textId="0C14B4DE">
            <w:r>
              <w:t>38</w:t>
            </w:r>
          </w:p>
        </w:tc>
        <w:tc>
          <w:tcPr>
            <w:tcW w:w="2520" w:type="dxa"/>
          </w:tcPr>
          <w:p w:rsidRPr="009A036B" w:rsidR="00CA2010" w:rsidP="009A036B" w:rsidRDefault="00A666AB" w14:paraId="216778BF" w14:textId="326AE653">
            <w:r>
              <w:t>85.16</w:t>
            </w:r>
          </w:p>
        </w:tc>
        <w:tc>
          <w:tcPr>
            <w:tcW w:w="1620" w:type="dxa"/>
          </w:tcPr>
          <w:p w:rsidRPr="009A036B" w:rsidR="00CA2010" w:rsidP="009A036B" w:rsidRDefault="00220436" w14:paraId="198FF701" w14:textId="4A051941">
            <w:r>
              <w:t>$</w:t>
            </w:r>
            <w:r w:rsidR="000B115C">
              <w:t>3,</w:t>
            </w:r>
            <w:r w:rsidR="00625D75">
              <w:t>236.08</w:t>
            </w:r>
          </w:p>
        </w:tc>
      </w:tr>
      <w:tr w:rsidRPr="009A036B" w:rsidR="00CA2010" w:rsidTr="00CA2010" w14:paraId="7A33F4A1" w14:textId="77777777">
        <w:trPr>
          <w:trHeight w:val="274"/>
        </w:trPr>
        <w:tc>
          <w:tcPr>
            <w:tcW w:w="2790" w:type="dxa"/>
          </w:tcPr>
          <w:p w:rsidRPr="009A036B" w:rsidR="00CA2010" w:rsidP="009A036B" w:rsidRDefault="00CA2010" w14:paraId="7CAB1FAD" w14:textId="77777777"/>
        </w:tc>
        <w:tc>
          <w:tcPr>
            <w:tcW w:w="2250" w:type="dxa"/>
          </w:tcPr>
          <w:p w:rsidRPr="009A036B" w:rsidR="00CA2010" w:rsidP="009A036B" w:rsidRDefault="00CA2010" w14:paraId="4BEB3AC4" w14:textId="77777777"/>
        </w:tc>
        <w:tc>
          <w:tcPr>
            <w:tcW w:w="2520" w:type="dxa"/>
          </w:tcPr>
          <w:p w:rsidRPr="009A036B" w:rsidR="00CA2010" w:rsidP="009A036B" w:rsidRDefault="00CA2010" w14:paraId="1A3A420E" w14:textId="77777777"/>
        </w:tc>
        <w:tc>
          <w:tcPr>
            <w:tcW w:w="1620" w:type="dxa"/>
          </w:tcPr>
          <w:p w:rsidRPr="009A036B" w:rsidR="00CA2010" w:rsidP="009A036B" w:rsidRDefault="00CA2010" w14:paraId="4804C630" w14:textId="77777777"/>
        </w:tc>
      </w:tr>
      <w:tr w:rsidRPr="009A036B" w:rsidR="00CA2010" w:rsidTr="00CA2010" w14:paraId="1707AB8A" w14:textId="77777777">
        <w:trPr>
          <w:trHeight w:val="289"/>
        </w:trPr>
        <w:tc>
          <w:tcPr>
            <w:tcW w:w="2790" w:type="dxa"/>
          </w:tcPr>
          <w:p w:rsidRPr="009A036B" w:rsidR="00CA2010" w:rsidP="009A036B" w:rsidRDefault="00CA2010" w14:paraId="363CB27C" w14:textId="77777777">
            <w:pPr>
              <w:rPr>
                <w:b/>
              </w:rPr>
            </w:pPr>
            <w:r w:rsidRPr="009A036B">
              <w:rPr>
                <w:b/>
              </w:rPr>
              <w:t>Totals</w:t>
            </w:r>
          </w:p>
        </w:tc>
        <w:tc>
          <w:tcPr>
            <w:tcW w:w="2250" w:type="dxa"/>
          </w:tcPr>
          <w:p w:rsidRPr="009A036B" w:rsidR="00CA2010" w:rsidP="009A036B" w:rsidRDefault="00CA2010" w14:paraId="51980B66" w14:textId="77777777">
            <w:pPr>
              <w:rPr>
                <w:b/>
              </w:rPr>
            </w:pPr>
          </w:p>
        </w:tc>
        <w:tc>
          <w:tcPr>
            <w:tcW w:w="2520" w:type="dxa"/>
          </w:tcPr>
          <w:p w:rsidRPr="009A036B" w:rsidR="00CA2010" w:rsidP="009A036B" w:rsidRDefault="00CA2010" w14:paraId="50FA256A" w14:textId="77777777"/>
        </w:tc>
        <w:tc>
          <w:tcPr>
            <w:tcW w:w="1620" w:type="dxa"/>
          </w:tcPr>
          <w:p w:rsidRPr="009A036B" w:rsidR="00CA2010" w:rsidP="009A036B" w:rsidRDefault="00B920F7" w14:paraId="277A39C9" w14:textId="4A0E897C">
            <w:r>
              <w:t>3,236</w:t>
            </w:r>
            <w:r w:rsidR="00AE64C3">
              <w:t>.08</w:t>
            </w:r>
          </w:p>
        </w:tc>
      </w:tr>
    </w:tbl>
    <w:p w:rsidRPr="00DD1708" w:rsidR="009A036B" w:rsidP="00F3170F" w:rsidRDefault="00DD1708" w14:paraId="7F3DCA9C" w14:textId="6FB9BE02">
      <w:pPr>
        <w:rPr>
          <w:i/>
          <w:iCs/>
        </w:rPr>
      </w:pPr>
      <w:r w:rsidRPr="00DD1708">
        <w:rPr>
          <w:i/>
          <w:iCs/>
        </w:rPr>
        <w:t xml:space="preserve">* Citing median hourly wage for 29-1221 Pediatricians, General, May </w:t>
      </w:r>
      <w:r w:rsidR="00A666AB">
        <w:rPr>
          <w:i/>
          <w:iCs/>
        </w:rPr>
        <w:t>2020</w:t>
      </w:r>
      <w:r w:rsidRPr="00DD1708">
        <w:rPr>
          <w:i/>
          <w:iCs/>
        </w:rPr>
        <w:t xml:space="preserve">, </w:t>
      </w:r>
      <w:hyperlink w:history="1" r:id="rId11">
        <w:r w:rsidRPr="0065643C" w:rsidR="00CD6122">
          <w:rPr>
            <w:rStyle w:val="Hyperlink"/>
            <w:i/>
            <w:iCs/>
          </w:rPr>
          <w:t>https://www.bls.gov/oes/current/oes291221.htm</w:t>
        </w:r>
      </w:hyperlink>
      <w:r w:rsidR="00CD6122">
        <w:rPr>
          <w:i/>
          <w:iCs/>
        </w:rPr>
        <w:t xml:space="preserve"> </w:t>
      </w:r>
    </w:p>
    <w:p w:rsidR="00441434" w:rsidP="00F3170F" w:rsidRDefault="00441434" w14:paraId="0092AEDF" w14:textId="77777777"/>
    <w:p w:rsidR="005E714A" w:rsidRDefault="001C39F7" w14:paraId="164B5F94" w14:textId="7178B5B2">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B83F5A" w:rsidR="00BF6223">
        <w:rPr>
          <w:u w:val="single"/>
        </w:rPr>
        <w:t>_</w:t>
      </w:r>
      <w:r w:rsidRPr="00B83F5A" w:rsidR="00C86E91">
        <w:rPr>
          <w:u w:val="single"/>
        </w:rPr>
        <w:t>_</w:t>
      </w:r>
      <w:r w:rsidRPr="00B83F5A" w:rsidR="00B83F5A">
        <w:rPr>
          <w:u w:val="single"/>
        </w:rPr>
        <w:t>$</w:t>
      </w:r>
      <w:r w:rsidR="006C5202">
        <w:rPr>
          <w:u w:val="single"/>
        </w:rPr>
        <w:t>2,5</w:t>
      </w:r>
      <w:r w:rsidR="00A142B9">
        <w:rPr>
          <w:u w:val="single"/>
        </w:rPr>
        <w:t>89</w:t>
      </w:r>
      <w:r w:rsidR="006C5202">
        <w:rPr>
          <w:u w:val="single"/>
        </w:rPr>
        <w:t>.</w:t>
      </w:r>
      <w:r w:rsidR="00A142B9">
        <w:rPr>
          <w:u w:val="single"/>
        </w:rPr>
        <w:t>3</w:t>
      </w:r>
      <w:r w:rsidR="006C5202">
        <w:rPr>
          <w:u w:val="single"/>
        </w:rPr>
        <w:t>4</w:t>
      </w:r>
      <w:r w:rsidR="00C86E91">
        <w:t>_</w:t>
      </w:r>
    </w:p>
    <w:p w:rsidRPr="009A036B" w:rsidR="009A036B" w:rsidP="009A036B" w:rsidRDefault="009A036B" w14:paraId="649E7DF1" w14:textId="77777777">
      <w:r>
        <w:rPr>
          <w:b/>
        </w:rPr>
        <w:t xml:space="preserve">                         </w:t>
      </w:r>
    </w:p>
    <w:p w:rsidRPr="009A036B" w:rsidR="009A036B" w:rsidP="009A036B" w:rsidRDefault="009A036B" w14:paraId="2F526F5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2DEC57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886243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D290484" w14:textId="77777777">
            <w:pPr>
              <w:rPr>
                <w:b/>
                <w:bCs/>
              </w:rPr>
            </w:pPr>
          </w:p>
          <w:p w:rsidRPr="009A036B" w:rsidR="009A036B" w:rsidP="009A036B" w:rsidRDefault="009A036B" w14:paraId="499EF2F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1DB3A8D"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262311B"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C029248"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B293D9" w14:textId="77777777">
            <w:pPr>
              <w:rPr>
                <w:b/>
                <w:bCs/>
              </w:rPr>
            </w:pPr>
            <w:r w:rsidRPr="009A036B">
              <w:rPr>
                <w:b/>
                <w:bCs/>
              </w:rPr>
              <w:t>Total Cost to Gov’t</w:t>
            </w:r>
          </w:p>
        </w:tc>
      </w:tr>
      <w:tr w:rsidRPr="009A036B" w:rsidR="009A036B" w:rsidTr="009A036B" w14:paraId="5E7DB43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492D8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D649E1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10959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48A50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0EF6364" w14:textId="77777777"/>
        </w:tc>
        <w:tc>
          <w:tcPr>
            <w:tcW w:w="1363" w:type="dxa"/>
            <w:tcBorders>
              <w:top w:val="nil"/>
              <w:left w:val="nil"/>
              <w:bottom w:val="single" w:color="auto" w:sz="8" w:space="0"/>
              <w:right w:val="single" w:color="auto" w:sz="8" w:space="0"/>
            </w:tcBorders>
          </w:tcPr>
          <w:p w:rsidRPr="009A036B" w:rsidR="009A036B" w:rsidP="009A036B" w:rsidRDefault="009A036B" w14:paraId="2AC4E479" w14:textId="77777777"/>
        </w:tc>
      </w:tr>
      <w:tr w:rsidRPr="009A036B" w:rsidR="00BB4973" w:rsidTr="00D35A3C" w14:paraId="18D9997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A036B" w:rsidR="00BB4973" w:rsidP="00BB4973" w:rsidRDefault="00BB4973" w14:paraId="1777C660" w14:textId="0263CD88">
            <w:r w:rsidRPr="00FA705E">
              <w:t>Program Officer</w:t>
            </w:r>
          </w:p>
        </w:tc>
        <w:tc>
          <w:tcPr>
            <w:tcW w:w="1440" w:type="dxa"/>
            <w:tcBorders>
              <w:top w:val="nil"/>
              <w:left w:val="nil"/>
              <w:bottom w:val="single" w:color="auto" w:sz="8" w:space="0"/>
              <w:right w:val="single" w:color="auto" w:sz="8" w:space="0"/>
            </w:tcBorders>
          </w:tcPr>
          <w:p w:rsidRPr="009A036B" w:rsidR="00BB4973" w:rsidP="00BB4973" w:rsidRDefault="00BB4973" w14:paraId="69021848" w14:textId="49D0869D">
            <w:r w:rsidRPr="00FA705E">
              <w:t>GS-14, Step 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BB4973" w:rsidP="00BB4973" w:rsidRDefault="00BB4973" w14:paraId="106A5FF8" w14:textId="5C6D61E1">
            <w:r w:rsidRPr="00FA705E">
              <w:t>$</w:t>
            </w:r>
            <w:r w:rsidR="000958DA">
              <w:t>164,102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BB4973" w:rsidP="00BB4973" w:rsidRDefault="00BB4973" w14:paraId="5BF07074" w14:textId="4043C4EE">
            <w:r w:rsidRPr="00FA705E">
              <w:t>1%</w:t>
            </w:r>
          </w:p>
        </w:tc>
        <w:tc>
          <w:tcPr>
            <w:tcW w:w="1363" w:type="dxa"/>
            <w:tcBorders>
              <w:top w:val="nil"/>
              <w:left w:val="nil"/>
              <w:bottom w:val="single" w:color="auto" w:sz="8" w:space="0"/>
              <w:right w:val="single" w:color="auto" w:sz="8" w:space="0"/>
            </w:tcBorders>
            <w:shd w:val="clear" w:color="auto" w:fill="BFBFBF"/>
          </w:tcPr>
          <w:p w:rsidRPr="009A036B" w:rsidR="00BB4973" w:rsidP="00BB4973" w:rsidRDefault="00BB4973" w14:paraId="3216F74C" w14:textId="02E6A5A6">
            <w:r w:rsidRPr="00FA705E">
              <w:t>N/A</w:t>
            </w:r>
          </w:p>
        </w:tc>
        <w:tc>
          <w:tcPr>
            <w:tcW w:w="1363" w:type="dxa"/>
            <w:tcBorders>
              <w:top w:val="nil"/>
              <w:left w:val="nil"/>
              <w:bottom w:val="single" w:color="auto" w:sz="8" w:space="0"/>
              <w:right w:val="single" w:color="auto" w:sz="8" w:space="0"/>
            </w:tcBorders>
          </w:tcPr>
          <w:p w:rsidRPr="009A036B" w:rsidR="00BB4973" w:rsidP="00BB4973" w:rsidRDefault="00BB4973" w14:paraId="3619DA54" w14:textId="4AC0543A">
            <w:r w:rsidRPr="00FA705E">
              <w:t>$1</w:t>
            </w:r>
            <w:r w:rsidR="000958DA">
              <w:t>,641.02</w:t>
            </w:r>
          </w:p>
        </w:tc>
      </w:tr>
      <w:tr w:rsidRPr="009A036B" w:rsidR="009A036B" w:rsidTr="009A036B" w14:paraId="765CE0C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EE03E1E" w14:textId="77777777"/>
        </w:tc>
        <w:tc>
          <w:tcPr>
            <w:tcW w:w="1440" w:type="dxa"/>
            <w:tcBorders>
              <w:top w:val="nil"/>
              <w:left w:val="nil"/>
              <w:bottom w:val="single" w:color="auto" w:sz="8" w:space="0"/>
              <w:right w:val="single" w:color="auto" w:sz="8" w:space="0"/>
            </w:tcBorders>
          </w:tcPr>
          <w:p w:rsidRPr="009A036B" w:rsidR="009A036B" w:rsidP="009A036B" w:rsidRDefault="009A036B" w14:paraId="2BBBFC5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CC37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761AD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BEFD12A" w14:textId="77777777"/>
        </w:tc>
        <w:tc>
          <w:tcPr>
            <w:tcW w:w="1363" w:type="dxa"/>
            <w:tcBorders>
              <w:top w:val="nil"/>
              <w:left w:val="nil"/>
              <w:bottom w:val="single" w:color="auto" w:sz="8" w:space="0"/>
              <w:right w:val="single" w:color="auto" w:sz="8" w:space="0"/>
            </w:tcBorders>
          </w:tcPr>
          <w:p w:rsidRPr="009A036B" w:rsidR="009A036B" w:rsidP="009A036B" w:rsidRDefault="009A036B" w14:paraId="1A382129" w14:textId="77777777"/>
        </w:tc>
      </w:tr>
      <w:tr w:rsidRPr="009A036B" w:rsidR="009A036B" w:rsidTr="009A036B" w14:paraId="2C479B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4275B86" w14:textId="77777777"/>
        </w:tc>
        <w:tc>
          <w:tcPr>
            <w:tcW w:w="1440" w:type="dxa"/>
            <w:tcBorders>
              <w:top w:val="nil"/>
              <w:left w:val="nil"/>
              <w:bottom w:val="single" w:color="auto" w:sz="8" w:space="0"/>
              <w:right w:val="single" w:color="auto" w:sz="8" w:space="0"/>
            </w:tcBorders>
          </w:tcPr>
          <w:p w:rsidRPr="009A036B" w:rsidR="009A036B" w:rsidP="009A036B" w:rsidRDefault="009A036B" w14:paraId="54EF16F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51FD0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646E2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6E19C37" w14:textId="77777777"/>
        </w:tc>
        <w:tc>
          <w:tcPr>
            <w:tcW w:w="1363" w:type="dxa"/>
            <w:tcBorders>
              <w:top w:val="nil"/>
              <w:left w:val="nil"/>
              <w:bottom w:val="single" w:color="auto" w:sz="8" w:space="0"/>
              <w:right w:val="single" w:color="auto" w:sz="8" w:space="0"/>
            </w:tcBorders>
          </w:tcPr>
          <w:p w:rsidRPr="009A036B" w:rsidR="009A036B" w:rsidP="009A036B" w:rsidRDefault="009A036B" w14:paraId="5832B49C" w14:textId="77777777"/>
        </w:tc>
      </w:tr>
      <w:tr w:rsidRPr="009A036B" w:rsidR="009A036B" w:rsidTr="009A036B" w14:paraId="6B88E28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1A5EF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8B9858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934EC" w14:paraId="6044E33C" w14:textId="41CA199D">
            <w:r w:rsidRPr="00EB78A1">
              <w:t>$</w:t>
            </w:r>
            <w:r w:rsidRPr="00A142B9">
              <w:t>5</w:t>
            </w:r>
            <w:r w:rsidRPr="00A142B9" w:rsidR="00A142B9">
              <w:t>9</w:t>
            </w:r>
            <w:r w:rsidRPr="00A142B9" w:rsidR="00FF10A5">
              <w:t>.</w:t>
            </w:r>
            <w:r w:rsidR="00A142B9">
              <w:t>27</w:t>
            </w:r>
            <w:r w:rsidRPr="00EB78A1">
              <w:t xml:space="preserve">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3524F" w14:paraId="4DCE6869" w14:textId="768AA181">
            <w:r>
              <w:t>1</w:t>
            </w:r>
            <w:r w:rsidR="00633142">
              <w:t>6 hours</w:t>
            </w:r>
          </w:p>
        </w:tc>
        <w:tc>
          <w:tcPr>
            <w:tcW w:w="1363" w:type="dxa"/>
            <w:tcBorders>
              <w:top w:val="nil"/>
              <w:left w:val="nil"/>
              <w:bottom w:val="single" w:color="auto" w:sz="8" w:space="0"/>
              <w:right w:val="single" w:color="auto" w:sz="8" w:space="0"/>
            </w:tcBorders>
          </w:tcPr>
          <w:p w:rsidRPr="009A036B" w:rsidR="009A036B" w:rsidP="009A036B" w:rsidRDefault="009A036B" w14:paraId="02886867" w14:textId="77777777"/>
        </w:tc>
        <w:tc>
          <w:tcPr>
            <w:tcW w:w="1363" w:type="dxa"/>
            <w:tcBorders>
              <w:top w:val="nil"/>
              <w:left w:val="nil"/>
              <w:bottom w:val="single" w:color="auto" w:sz="8" w:space="0"/>
              <w:right w:val="single" w:color="auto" w:sz="8" w:space="0"/>
            </w:tcBorders>
          </w:tcPr>
          <w:p w:rsidRPr="009A036B" w:rsidR="009A036B" w:rsidP="009A036B" w:rsidRDefault="000013DC" w14:paraId="4619EC3E" w14:textId="5D87F4A4">
            <w:r>
              <w:t>$</w:t>
            </w:r>
            <w:r w:rsidR="007978FF">
              <w:t>9</w:t>
            </w:r>
            <w:r w:rsidR="00A142B9">
              <w:t>48</w:t>
            </w:r>
            <w:r w:rsidR="007978FF">
              <w:t>.</w:t>
            </w:r>
            <w:r w:rsidR="00A142B9">
              <w:t>3</w:t>
            </w:r>
            <w:r w:rsidR="007978FF">
              <w:t>2</w:t>
            </w:r>
          </w:p>
        </w:tc>
      </w:tr>
      <w:tr w:rsidRPr="009A036B" w:rsidR="009A036B" w:rsidTr="009A036B" w14:paraId="2EFDB6E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6794B5" w14:textId="77777777"/>
        </w:tc>
        <w:tc>
          <w:tcPr>
            <w:tcW w:w="1440" w:type="dxa"/>
            <w:tcBorders>
              <w:top w:val="nil"/>
              <w:left w:val="nil"/>
              <w:bottom w:val="single" w:color="auto" w:sz="8" w:space="0"/>
              <w:right w:val="single" w:color="auto" w:sz="8" w:space="0"/>
            </w:tcBorders>
          </w:tcPr>
          <w:p w:rsidRPr="009A036B" w:rsidR="009A036B" w:rsidP="009A036B" w:rsidRDefault="009A036B" w14:paraId="09C0D62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E5178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0C52D3B" w14:textId="77777777"/>
        </w:tc>
        <w:tc>
          <w:tcPr>
            <w:tcW w:w="1363" w:type="dxa"/>
            <w:tcBorders>
              <w:top w:val="nil"/>
              <w:left w:val="nil"/>
              <w:bottom w:val="single" w:color="auto" w:sz="8" w:space="0"/>
              <w:right w:val="single" w:color="auto" w:sz="8" w:space="0"/>
            </w:tcBorders>
          </w:tcPr>
          <w:p w:rsidRPr="009A036B" w:rsidR="009A036B" w:rsidP="009A036B" w:rsidRDefault="009A036B" w14:paraId="2764DBF8" w14:textId="77777777"/>
        </w:tc>
        <w:tc>
          <w:tcPr>
            <w:tcW w:w="1363" w:type="dxa"/>
            <w:tcBorders>
              <w:top w:val="nil"/>
              <w:left w:val="nil"/>
              <w:bottom w:val="single" w:color="auto" w:sz="8" w:space="0"/>
              <w:right w:val="single" w:color="auto" w:sz="8" w:space="0"/>
            </w:tcBorders>
          </w:tcPr>
          <w:p w:rsidRPr="009A036B" w:rsidR="009A036B" w:rsidP="009A036B" w:rsidRDefault="009A036B" w14:paraId="63578106" w14:textId="77777777"/>
        </w:tc>
      </w:tr>
      <w:tr w:rsidRPr="009A036B" w:rsidR="009A036B" w:rsidTr="009A036B" w14:paraId="012B44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5EBDD8"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BA5DFF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58DA7B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66754D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52FB691" w14:textId="77777777"/>
        </w:tc>
        <w:tc>
          <w:tcPr>
            <w:tcW w:w="1363" w:type="dxa"/>
            <w:tcBorders>
              <w:top w:val="nil"/>
              <w:left w:val="nil"/>
              <w:bottom w:val="single" w:color="auto" w:sz="8" w:space="0"/>
              <w:right w:val="single" w:color="auto" w:sz="8" w:space="0"/>
            </w:tcBorders>
          </w:tcPr>
          <w:p w:rsidRPr="009A036B" w:rsidR="009A036B" w:rsidP="009A036B" w:rsidRDefault="009A036B" w14:paraId="227BC46D" w14:textId="77777777"/>
        </w:tc>
      </w:tr>
      <w:tr w:rsidRPr="009A036B" w:rsidR="009A036B" w:rsidTr="009A036B" w14:paraId="4A76595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F8066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D19B8A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ECD454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3E72BC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688391B" w14:textId="77777777"/>
        </w:tc>
        <w:tc>
          <w:tcPr>
            <w:tcW w:w="1363" w:type="dxa"/>
            <w:tcBorders>
              <w:top w:val="nil"/>
              <w:left w:val="nil"/>
              <w:bottom w:val="single" w:color="auto" w:sz="8" w:space="0"/>
              <w:right w:val="single" w:color="auto" w:sz="8" w:space="0"/>
            </w:tcBorders>
          </w:tcPr>
          <w:p w:rsidRPr="009A036B" w:rsidR="009A036B" w:rsidP="009A036B" w:rsidRDefault="009A036B" w14:paraId="53038E49" w14:textId="77777777"/>
        </w:tc>
      </w:tr>
      <w:tr w:rsidRPr="009A036B" w:rsidR="009A036B" w:rsidTr="009A036B" w14:paraId="57A0FA2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94D4740"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4B33F6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B938A5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62EE91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0B228F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DDAA2B6" w14:textId="77777777">
            <w:pPr>
              <w:rPr>
                <w:b/>
              </w:rPr>
            </w:pPr>
          </w:p>
        </w:tc>
      </w:tr>
      <w:tr w:rsidRPr="009A036B" w:rsidR="009A036B" w:rsidTr="002E48F5" w14:paraId="5F5D27E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5AAA8C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F18B920"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282BF44"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CF067D9"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1DCCC900" w14:textId="77777777"/>
        </w:tc>
        <w:tc>
          <w:tcPr>
            <w:tcW w:w="1363" w:type="dxa"/>
            <w:tcBorders>
              <w:top w:val="nil"/>
              <w:left w:val="nil"/>
              <w:bottom w:val="single" w:color="auto" w:sz="8" w:space="0"/>
              <w:right w:val="single" w:color="auto" w:sz="8" w:space="0"/>
            </w:tcBorders>
          </w:tcPr>
          <w:p w:rsidRPr="009A036B" w:rsidR="009A036B" w:rsidP="009A036B" w:rsidRDefault="006C5202" w14:paraId="5447BE52" w14:textId="107331F6">
            <w:r>
              <w:t>$2,5</w:t>
            </w:r>
            <w:r w:rsidR="00A142B9">
              <w:t>89</w:t>
            </w:r>
            <w:r>
              <w:t>.</w:t>
            </w:r>
            <w:r w:rsidR="00A142B9">
              <w:t>3</w:t>
            </w:r>
            <w:r>
              <w:t>4</w:t>
            </w:r>
          </w:p>
        </w:tc>
      </w:tr>
    </w:tbl>
    <w:p w:rsidR="009A036B" w:rsidP="009A036B" w:rsidRDefault="002D74B4" w14:paraId="13D0BA23" w14:textId="0B3B4A38">
      <w:r>
        <w:lastRenderedPageBreak/>
        <w:t>*</w:t>
      </w:r>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12">
        <w:r w:rsidRPr="00800FEE" w:rsidR="00755FA5">
          <w:rPr>
            <w:rStyle w:val="Hyperlink"/>
            <w:sz w:val="18"/>
            <w:szCs w:val="18"/>
          </w:rPr>
          <w:t>https://www.opm.gov/policy-data-oversight/pay-leave/salaries-wages/salary-tables/pdf/2022/DCB.pdf</w:t>
        </w:r>
      </w:hyperlink>
    </w:p>
    <w:p w:rsidR="009A036B" w:rsidRDefault="009A036B" w14:paraId="498195CC" w14:textId="77777777">
      <w:pPr>
        <w:rPr>
          <w:b/>
        </w:rPr>
      </w:pPr>
    </w:p>
    <w:p w:rsidR="00ED6492" w:rsidRDefault="00ED6492" w14:paraId="0B5C9F16" w14:textId="77777777">
      <w:pPr>
        <w:rPr>
          <w:b/>
          <w:bCs/>
          <w:u w:val="single"/>
        </w:rPr>
      </w:pPr>
    </w:p>
    <w:p w:rsidR="0069403B" w:rsidP="00F06866" w:rsidRDefault="00ED6492" w14:paraId="7B4FB8A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731C3D4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C5DB5">
        <w:t>X</w:t>
      </w:r>
      <w:r>
        <w:t>] Yes</w:t>
      </w:r>
      <w:r>
        <w:tab/>
      </w:r>
      <w:proofErr w:type="gramStart"/>
      <w:r>
        <w:t>[ ]</w:t>
      </w:r>
      <w:proofErr w:type="gramEnd"/>
      <w:r>
        <w:t xml:space="preserve"> No</w:t>
      </w:r>
    </w:p>
    <w:p w:rsidR="00636621" w:rsidP="00636621" w:rsidRDefault="00636621" w14:paraId="38A88F38" w14:textId="77777777">
      <w:pPr>
        <w:pStyle w:val="ListParagraph"/>
      </w:pPr>
    </w:p>
    <w:p w:rsidR="00636621" w:rsidP="001B0AAA" w:rsidRDefault="00636621" w14:paraId="358B318F" w14:textId="1CDB9A10">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16053A" w:rsidP="001B0AAA" w:rsidRDefault="0016053A" w14:paraId="51066818" w14:textId="7DD44951"/>
    <w:p w:rsidR="0016053A" w:rsidP="00115C5D" w:rsidRDefault="00A55032" w14:paraId="540D9825" w14:textId="64FECD40">
      <w:pPr>
        <w:ind w:left="720"/>
      </w:pPr>
      <w:r>
        <w:t>An email will be sent to</w:t>
      </w:r>
      <w:r w:rsidR="00115C5D">
        <w:t xml:space="preserve"> </w:t>
      </w:r>
      <w:r w:rsidR="008442F0">
        <w:t>BPCA stakeholders involved with pediatric research, clinical care, or regulatory/federal oversight</w:t>
      </w:r>
      <w:r>
        <w:t xml:space="preserve"> who</w:t>
      </w:r>
      <w:r w:rsidR="008442F0">
        <w:t xml:space="preserve"> have been involved with the BPCA program, attended a BPCA Stakeholders Meeting, participated in a public assembly facilitated by BPCA</w:t>
      </w:r>
      <w:r w:rsidR="00800FEE">
        <w:t>, or requested to be notified of BPCA activities</w:t>
      </w:r>
      <w:r w:rsidR="00223232">
        <w:t>,</w:t>
      </w:r>
      <w:r w:rsidR="001A27AB">
        <w:t xml:space="preserve"> notifying them of the RFI and nomination form</w:t>
      </w:r>
      <w:r w:rsidR="00800FEE">
        <w:t>.</w:t>
      </w:r>
      <w:r w:rsidRPr="002153BB" w:rsidR="002153BB">
        <w:t xml:space="preserve"> </w:t>
      </w:r>
      <w:r w:rsidR="002153BB">
        <w:t>Responses are also open to the public.</w:t>
      </w:r>
    </w:p>
    <w:p w:rsidR="00A403BB" w:rsidP="00A403BB" w:rsidRDefault="00A403BB" w14:paraId="37F9091A" w14:textId="77777777">
      <w:pPr>
        <w:pStyle w:val="ListParagraph"/>
      </w:pPr>
    </w:p>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A403BB" w14:paraId="6E48500C" w14:textId="1296CB07">
      <w:pPr>
        <w:ind w:left="720"/>
      </w:pPr>
      <w:r>
        <w:t>[</w:t>
      </w:r>
      <w:r w:rsidR="00951B7A">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6733C69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857180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04197B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F6612C8" w14:textId="51C662B8">
      <w:pPr>
        <w:ind w:left="720"/>
      </w:pPr>
      <w:proofErr w:type="gramStart"/>
      <w:r>
        <w:t xml:space="preserve">[ </w:t>
      </w:r>
      <w:r w:rsidR="001B0AAA">
        <w:t xml:space="preserve"> </w:t>
      </w:r>
      <w:r>
        <w:t>]</w:t>
      </w:r>
      <w:proofErr w:type="gramEnd"/>
      <w:r>
        <w:t xml:space="preserve"> Other, Explain</w:t>
      </w:r>
    </w:p>
    <w:p w:rsidR="00651451" w:rsidP="001B0AAA" w:rsidRDefault="00651451" w14:paraId="42C6167E" w14:textId="77777777">
      <w:pPr>
        <w:ind w:left="720"/>
      </w:pPr>
    </w:p>
    <w:p w:rsidR="00F24CFC" w:rsidP="00F24CFC" w:rsidRDefault="00F24CFC" w14:paraId="09EB718E" w14:textId="7160A642">
      <w:pPr>
        <w:pStyle w:val="ListParagraph"/>
        <w:numPr>
          <w:ilvl w:val="0"/>
          <w:numId w:val="17"/>
        </w:numPr>
      </w:pPr>
      <w:r>
        <w:t xml:space="preserve">Will interviewers or facilitators be used?  </w:t>
      </w:r>
      <w:proofErr w:type="gramStart"/>
      <w:r>
        <w:t>[  ]</w:t>
      </w:r>
      <w:proofErr w:type="gramEnd"/>
      <w:r>
        <w:t xml:space="preserve"> Yes [</w:t>
      </w:r>
      <w:r w:rsidR="00951B7A">
        <w:t>X</w:t>
      </w:r>
      <w:r>
        <w:t>] No</w:t>
      </w:r>
    </w:p>
    <w:p w:rsidR="00F24CFC" w:rsidP="00F24CFC" w:rsidRDefault="00F24CFC" w14:paraId="28700178" w14:textId="77777777">
      <w:pPr>
        <w:pStyle w:val="ListParagraph"/>
        <w:ind w:left="360"/>
      </w:pPr>
      <w:r>
        <w:t xml:space="preserve"> </w:t>
      </w:r>
    </w:p>
    <w:p w:rsidR="005E714A" w:rsidP="00F24CFC" w:rsidRDefault="005E714A" w14:paraId="5354A140" w14:textId="77777777">
      <w:pPr>
        <w:tabs>
          <w:tab w:val="left" w:pos="5670"/>
        </w:tabs>
        <w:suppressAutoHyphens/>
      </w:pPr>
    </w:p>
    <w:sectPr w:rsidR="005E714A" w:rsidSect="005220A3">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85D2" w14:textId="77777777" w:rsidR="00B402D6" w:rsidRDefault="00B402D6">
      <w:r>
        <w:separator/>
      </w:r>
    </w:p>
  </w:endnote>
  <w:endnote w:type="continuationSeparator" w:id="0">
    <w:p w14:paraId="0A48B0FB" w14:textId="77777777" w:rsidR="00B402D6" w:rsidRDefault="00B4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A426" w14:textId="77777777" w:rsidR="00B402D6" w:rsidRDefault="00B402D6">
      <w:r>
        <w:separator/>
      </w:r>
    </w:p>
  </w:footnote>
  <w:footnote w:type="continuationSeparator" w:id="0">
    <w:p w14:paraId="75F5E3A8" w14:textId="77777777" w:rsidR="00B402D6" w:rsidRDefault="00B4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773" w14:textId="1D8F334B"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8B3"/>
    <w:rsid w:val="000013DC"/>
    <w:rsid w:val="000158CB"/>
    <w:rsid w:val="00023A57"/>
    <w:rsid w:val="00024296"/>
    <w:rsid w:val="00047A64"/>
    <w:rsid w:val="00067329"/>
    <w:rsid w:val="000722CE"/>
    <w:rsid w:val="000913EC"/>
    <w:rsid w:val="000958DA"/>
    <w:rsid w:val="000B115C"/>
    <w:rsid w:val="000B2838"/>
    <w:rsid w:val="000B6B0C"/>
    <w:rsid w:val="000D44CA"/>
    <w:rsid w:val="000D4BF5"/>
    <w:rsid w:val="000E200B"/>
    <w:rsid w:val="000E28F9"/>
    <w:rsid w:val="000F069B"/>
    <w:rsid w:val="000F68BE"/>
    <w:rsid w:val="00113A81"/>
    <w:rsid w:val="00115C5D"/>
    <w:rsid w:val="00120423"/>
    <w:rsid w:val="0016053A"/>
    <w:rsid w:val="00162F83"/>
    <w:rsid w:val="001765B2"/>
    <w:rsid w:val="00177AEA"/>
    <w:rsid w:val="001855D1"/>
    <w:rsid w:val="001927A4"/>
    <w:rsid w:val="001934EC"/>
    <w:rsid w:val="00194AC6"/>
    <w:rsid w:val="001A23B0"/>
    <w:rsid w:val="001A25CC"/>
    <w:rsid w:val="001A27AB"/>
    <w:rsid w:val="001B0AAA"/>
    <w:rsid w:val="001C39F7"/>
    <w:rsid w:val="001C5DB5"/>
    <w:rsid w:val="001D645B"/>
    <w:rsid w:val="001E4466"/>
    <w:rsid w:val="001E4F44"/>
    <w:rsid w:val="002153BB"/>
    <w:rsid w:val="00220436"/>
    <w:rsid w:val="00223232"/>
    <w:rsid w:val="00237B48"/>
    <w:rsid w:val="0024521E"/>
    <w:rsid w:val="002458DA"/>
    <w:rsid w:val="00261522"/>
    <w:rsid w:val="00263C3D"/>
    <w:rsid w:val="00273906"/>
    <w:rsid w:val="00274D0B"/>
    <w:rsid w:val="00281DA5"/>
    <w:rsid w:val="00282BEF"/>
    <w:rsid w:val="00284110"/>
    <w:rsid w:val="00293DFE"/>
    <w:rsid w:val="00295D3A"/>
    <w:rsid w:val="002960D4"/>
    <w:rsid w:val="002B1498"/>
    <w:rsid w:val="002B3C95"/>
    <w:rsid w:val="002B46B0"/>
    <w:rsid w:val="002D0B92"/>
    <w:rsid w:val="002D26E2"/>
    <w:rsid w:val="002D74B4"/>
    <w:rsid w:val="002E48F5"/>
    <w:rsid w:val="002F77E2"/>
    <w:rsid w:val="00321AFC"/>
    <w:rsid w:val="00325ACC"/>
    <w:rsid w:val="0033524F"/>
    <w:rsid w:val="00355544"/>
    <w:rsid w:val="003644B7"/>
    <w:rsid w:val="003668D6"/>
    <w:rsid w:val="00392724"/>
    <w:rsid w:val="003932D1"/>
    <w:rsid w:val="003960BB"/>
    <w:rsid w:val="003A7074"/>
    <w:rsid w:val="003B5350"/>
    <w:rsid w:val="003D5BBE"/>
    <w:rsid w:val="003E3C61"/>
    <w:rsid w:val="003F1C5B"/>
    <w:rsid w:val="0040699E"/>
    <w:rsid w:val="004147CC"/>
    <w:rsid w:val="00420E91"/>
    <w:rsid w:val="00430C4E"/>
    <w:rsid w:val="00431EB1"/>
    <w:rsid w:val="00434E33"/>
    <w:rsid w:val="00441434"/>
    <w:rsid w:val="0045264C"/>
    <w:rsid w:val="00462AD5"/>
    <w:rsid w:val="0048415B"/>
    <w:rsid w:val="004876EC"/>
    <w:rsid w:val="0049049A"/>
    <w:rsid w:val="004A44F3"/>
    <w:rsid w:val="004B1EB8"/>
    <w:rsid w:val="004C1012"/>
    <w:rsid w:val="004D6E14"/>
    <w:rsid w:val="005009B0"/>
    <w:rsid w:val="005220A3"/>
    <w:rsid w:val="005602C1"/>
    <w:rsid w:val="005677EE"/>
    <w:rsid w:val="005A1006"/>
    <w:rsid w:val="005A772A"/>
    <w:rsid w:val="005A7C5D"/>
    <w:rsid w:val="005C622D"/>
    <w:rsid w:val="005E714A"/>
    <w:rsid w:val="006140A0"/>
    <w:rsid w:val="00625D75"/>
    <w:rsid w:val="00633142"/>
    <w:rsid w:val="006332A8"/>
    <w:rsid w:val="00633F74"/>
    <w:rsid w:val="00636329"/>
    <w:rsid w:val="00636621"/>
    <w:rsid w:val="006409B1"/>
    <w:rsid w:val="00642B49"/>
    <w:rsid w:val="00644CDB"/>
    <w:rsid w:val="00651451"/>
    <w:rsid w:val="006832D9"/>
    <w:rsid w:val="00686301"/>
    <w:rsid w:val="006906ED"/>
    <w:rsid w:val="0069403B"/>
    <w:rsid w:val="006B7B34"/>
    <w:rsid w:val="006C5202"/>
    <w:rsid w:val="006D5F47"/>
    <w:rsid w:val="006D6B70"/>
    <w:rsid w:val="006F3DDE"/>
    <w:rsid w:val="00704678"/>
    <w:rsid w:val="007072AD"/>
    <w:rsid w:val="0071311D"/>
    <w:rsid w:val="0072370C"/>
    <w:rsid w:val="007304E5"/>
    <w:rsid w:val="00741E09"/>
    <w:rsid w:val="007425E7"/>
    <w:rsid w:val="00752544"/>
    <w:rsid w:val="00755FA5"/>
    <w:rsid w:val="00762ECE"/>
    <w:rsid w:val="00766D95"/>
    <w:rsid w:val="0077703F"/>
    <w:rsid w:val="00784C3C"/>
    <w:rsid w:val="007978FF"/>
    <w:rsid w:val="007B2248"/>
    <w:rsid w:val="007D0376"/>
    <w:rsid w:val="007E2FEB"/>
    <w:rsid w:val="007F2A72"/>
    <w:rsid w:val="00800FEE"/>
    <w:rsid w:val="00802607"/>
    <w:rsid w:val="008101A5"/>
    <w:rsid w:val="00811789"/>
    <w:rsid w:val="00822664"/>
    <w:rsid w:val="008232EA"/>
    <w:rsid w:val="00843796"/>
    <w:rsid w:val="008442F0"/>
    <w:rsid w:val="0085116A"/>
    <w:rsid w:val="0087563F"/>
    <w:rsid w:val="00887320"/>
    <w:rsid w:val="00895229"/>
    <w:rsid w:val="008A40F8"/>
    <w:rsid w:val="008A45B2"/>
    <w:rsid w:val="008E3FA4"/>
    <w:rsid w:val="008E7827"/>
    <w:rsid w:val="008F0203"/>
    <w:rsid w:val="008F50D4"/>
    <w:rsid w:val="009239AA"/>
    <w:rsid w:val="009325FE"/>
    <w:rsid w:val="00935ADA"/>
    <w:rsid w:val="0094056B"/>
    <w:rsid w:val="00946B6C"/>
    <w:rsid w:val="00951B7A"/>
    <w:rsid w:val="00955A71"/>
    <w:rsid w:val="0096108F"/>
    <w:rsid w:val="009A036B"/>
    <w:rsid w:val="009B251D"/>
    <w:rsid w:val="009C13B9"/>
    <w:rsid w:val="009D01A2"/>
    <w:rsid w:val="009F5923"/>
    <w:rsid w:val="00A142B9"/>
    <w:rsid w:val="00A229F1"/>
    <w:rsid w:val="00A25757"/>
    <w:rsid w:val="00A403BB"/>
    <w:rsid w:val="00A46868"/>
    <w:rsid w:val="00A50F89"/>
    <w:rsid w:val="00A51A43"/>
    <w:rsid w:val="00A55032"/>
    <w:rsid w:val="00A666AB"/>
    <w:rsid w:val="00A674DF"/>
    <w:rsid w:val="00A83AA6"/>
    <w:rsid w:val="00AC60E8"/>
    <w:rsid w:val="00AE14B1"/>
    <w:rsid w:val="00AE1809"/>
    <w:rsid w:val="00AE64C3"/>
    <w:rsid w:val="00B1396E"/>
    <w:rsid w:val="00B2002B"/>
    <w:rsid w:val="00B402D6"/>
    <w:rsid w:val="00B53825"/>
    <w:rsid w:val="00B605E0"/>
    <w:rsid w:val="00B63B5A"/>
    <w:rsid w:val="00B77156"/>
    <w:rsid w:val="00B80D76"/>
    <w:rsid w:val="00B83F5A"/>
    <w:rsid w:val="00B920F7"/>
    <w:rsid w:val="00BA1A6B"/>
    <w:rsid w:val="00BA2105"/>
    <w:rsid w:val="00BA7E06"/>
    <w:rsid w:val="00BB43B5"/>
    <w:rsid w:val="00BB4973"/>
    <w:rsid w:val="00BB6219"/>
    <w:rsid w:val="00BC676D"/>
    <w:rsid w:val="00BD290F"/>
    <w:rsid w:val="00BE7904"/>
    <w:rsid w:val="00BF6223"/>
    <w:rsid w:val="00C14CC4"/>
    <w:rsid w:val="00C33C52"/>
    <w:rsid w:val="00C37A84"/>
    <w:rsid w:val="00C40D8B"/>
    <w:rsid w:val="00C71F89"/>
    <w:rsid w:val="00C8407A"/>
    <w:rsid w:val="00C8488C"/>
    <w:rsid w:val="00C86E91"/>
    <w:rsid w:val="00CA19A3"/>
    <w:rsid w:val="00CA2010"/>
    <w:rsid w:val="00CA2650"/>
    <w:rsid w:val="00CB1078"/>
    <w:rsid w:val="00CB2389"/>
    <w:rsid w:val="00CC445F"/>
    <w:rsid w:val="00CC6FAF"/>
    <w:rsid w:val="00CD3F0A"/>
    <w:rsid w:val="00CD6122"/>
    <w:rsid w:val="00CE0CEC"/>
    <w:rsid w:val="00CE1CFF"/>
    <w:rsid w:val="00CF6EB9"/>
    <w:rsid w:val="00CF7E04"/>
    <w:rsid w:val="00D24698"/>
    <w:rsid w:val="00D32CFC"/>
    <w:rsid w:val="00D3759C"/>
    <w:rsid w:val="00D6383F"/>
    <w:rsid w:val="00D662C8"/>
    <w:rsid w:val="00D727EF"/>
    <w:rsid w:val="00DB4A58"/>
    <w:rsid w:val="00DB59D0"/>
    <w:rsid w:val="00DB608A"/>
    <w:rsid w:val="00DC33D3"/>
    <w:rsid w:val="00DC34D8"/>
    <w:rsid w:val="00DC64D3"/>
    <w:rsid w:val="00DD1708"/>
    <w:rsid w:val="00E078FA"/>
    <w:rsid w:val="00E26329"/>
    <w:rsid w:val="00E40B50"/>
    <w:rsid w:val="00E50293"/>
    <w:rsid w:val="00E65FFC"/>
    <w:rsid w:val="00E670E2"/>
    <w:rsid w:val="00E67D61"/>
    <w:rsid w:val="00E80951"/>
    <w:rsid w:val="00E86CC6"/>
    <w:rsid w:val="00EB56B3"/>
    <w:rsid w:val="00EB78A1"/>
    <w:rsid w:val="00ED42F4"/>
    <w:rsid w:val="00ED6492"/>
    <w:rsid w:val="00EE37F5"/>
    <w:rsid w:val="00EF2095"/>
    <w:rsid w:val="00F06866"/>
    <w:rsid w:val="00F15956"/>
    <w:rsid w:val="00F24CFC"/>
    <w:rsid w:val="00F26A2E"/>
    <w:rsid w:val="00F3170F"/>
    <w:rsid w:val="00F86109"/>
    <w:rsid w:val="00F94D8C"/>
    <w:rsid w:val="00F976B0"/>
    <w:rsid w:val="00FA6DE7"/>
    <w:rsid w:val="00FB0E53"/>
    <w:rsid w:val="00FC0A8E"/>
    <w:rsid w:val="00FE2FA6"/>
    <w:rsid w:val="00FE3DF2"/>
    <w:rsid w:val="00FF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75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81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DCB.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F0375-4718-4E29-B2AA-2F14ECC4B15D}">
  <ds:schemaRefs>
    <ds:schemaRef ds:uri="http://schemas.openxmlformats.org/officeDocument/2006/bibliography"/>
  </ds:schemaRefs>
</ds:datastoreItem>
</file>

<file path=customXml/itemProps2.xml><?xml version="1.0" encoding="utf-8"?>
<ds:datastoreItem xmlns:ds="http://schemas.openxmlformats.org/officeDocument/2006/customXml" ds:itemID="{FF8AF2A6-3DB4-4F56-8F83-EE30E7E9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DAF5-22C9-46F5-BDC5-543835F7EC05}">
  <ds:schemaRefs>
    <ds:schemaRef ds:uri="http://schemas.microsoft.com/sharepoint/v3/contenttype/forms"/>
  </ds:schemaRefs>
</ds:datastoreItem>
</file>

<file path=customXml/itemProps4.xml><?xml version="1.0" encoding="utf-8"?>
<ds:datastoreItem xmlns:ds="http://schemas.openxmlformats.org/officeDocument/2006/customXml" ds:itemID="{BAA8A911-BDA6-4BDF-B0BD-552FC1F0BF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5377</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2022-02-15T19:42:00Z</dcterms:created>
  <dcterms:modified xsi:type="dcterms:W3CDTF">2022-02-15T19:42:00Z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0x010100E784B9CC49B786428001CD4420FBBE9B</vt:lpwstr>
  </property>
</Properties>
</file>