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D1E" w:rsidP="00595D1E" w:rsidRDefault="00595D1E" w14:paraId="6C962741" w14:textId="77777777">
      <w:pPr>
        <w:jc w:val="center"/>
        <w:rPr>
          <w:b/>
        </w:rPr>
      </w:pPr>
    </w:p>
    <w:p w:rsidR="00595D1E" w:rsidP="00595D1E" w:rsidRDefault="00595D1E" w14:paraId="576CD57C" w14:textId="77777777">
      <w:pPr>
        <w:jc w:val="center"/>
        <w:rPr>
          <w:b/>
        </w:rPr>
      </w:pPr>
    </w:p>
    <w:p w:rsidR="00595D1E" w:rsidP="00595D1E" w:rsidRDefault="00595D1E" w14:paraId="0546CD0B" w14:textId="77777777">
      <w:pPr>
        <w:jc w:val="center"/>
        <w:rPr>
          <w:b/>
        </w:rPr>
      </w:pPr>
    </w:p>
    <w:p w:rsidR="00595D1E" w:rsidP="00595D1E" w:rsidRDefault="00595D1E" w14:paraId="0834CE0E" w14:textId="77777777">
      <w:pPr>
        <w:jc w:val="center"/>
        <w:rPr>
          <w:b/>
        </w:rPr>
      </w:pPr>
    </w:p>
    <w:p w:rsidRPr="008A0227" w:rsidR="00595D1E" w:rsidP="002B193F" w:rsidRDefault="00C0501F" w14:paraId="26C86427" w14:textId="5B1D0789">
      <w:pPr>
        <w:spacing w:after="0"/>
        <w:jc w:val="center"/>
        <w:rPr>
          <w:sz w:val="36"/>
          <w:szCs w:val="36"/>
        </w:rPr>
      </w:pPr>
      <w:r w:rsidRPr="002B193F">
        <w:rPr>
          <w:sz w:val="36"/>
          <w:szCs w:val="36"/>
        </w:rPr>
        <w:t xml:space="preserve">Mini </w:t>
      </w:r>
      <w:r w:rsidRPr="002B193F" w:rsidR="00595D1E">
        <w:rPr>
          <w:sz w:val="36"/>
          <w:szCs w:val="36"/>
        </w:rPr>
        <w:t xml:space="preserve">Supporting </w:t>
      </w:r>
      <w:r w:rsidRPr="008A0227" w:rsidR="00595D1E">
        <w:rPr>
          <w:sz w:val="36"/>
          <w:szCs w:val="36"/>
        </w:rPr>
        <w:t>Statement A</w:t>
      </w:r>
    </w:p>
    <w:p w:rsidRPr="008A0227" w:rsidR="00595D1E" w:rsidRDefault="00595D1E" w14:paraId="350D1354" w14:textId="77777777">
      <w:pPr>
        <w:jc w:val="center"/>
      </w:pPr>
    </w:p>
    <w:p w:rsidRPr="008A0227" w:rsidR="00FF1D87" w:rsidP="002B193F" w:rsidRDefault="00FF1D87" w14:paraId="35B9FD64" w14:textId="77777777">
      <w:pPr>
        <w:jc w:val="center"/>
      </w:pPr>
    </w:p>
    <w:p w:rsidRPr="008A0227" w:rsidR="00284008" w:rsidP="002B193F" w:rsidRDefault="0029401E" w14:paraId="3EAE7864" w14:textId="431A3FE1">
      <w:pPr>
        <w:jc w:val="center"/>
        <w:rPr>
          <w:sz w:val="32"/>
          <w:szCs w:val="32"/>
        </w:rPr>
      </w:pPr>
      <w:r w:rsidRPr="0029401E">
        <w:rPr>
          <w:sz w:val="32"/>
          <w:szCs w:val="32"/>
        </w:rPr>
        <w:t xml:space="preserve">Chronic obstructive pulmonary disease </w:t>
      </w:r>
      <w:r w:rsidRPr="008A0227" w:rsidR="00284008">
        <w:rPr>
          <w:sz w:val="32"/>
          <w:szCs w:val="32"/>
        </w:rPr>
        <w:t xml:space="preserve">National Action Plan </w:t>
      </w:r>
    </w:p>
    <w:p w:rsidRPr="008A0227" w:rsidR="00003BE1" w:rsidP="002B193F" w:rsidRDefault="00284008" w14:paraId="46ABD34C" w14:textId="2230A173">
      <w:pPr>
        <w:jc w:val="center"/>
        <w:rPr>
          <w:sz w:val="32"/>
          <w:szCs w:val="32"/>
        </w:rPr>
      </w:pPr>
      <w:r w:rsidRPr="008A0227">
        <w:rPr>
          <w:sz w:val="32"/>
          <w:szCs w:val="32"/>
        </w:rPr>
        <w:t>Tracking System — Preliminary Model</w:t>
      </w:r>
    </w:p>
    <w:p w:rsidRPr="008A0227" w:rsidR="00CB4C39" w:rsidP="002B193F" w:rsidRDefault="00003BE1" w14:paraId="51AB3D6E" w14:textId="1308B12E">
      <w:pPr>
        <w:jc w:val="center"/>
        <w:rPr>
          <w:sz w:val="32"/>
          <w:szCs w:val="32"/>
        </w:rPr>
      </w:pPr>
      <w:r w:rsidRPr="008A0227">
        <w:rPr>
          <w:sz w:val="32"/>
          <w:szCs w:val="32"/>
        </w:rPr>
        <w:t>OMB#</w:t>
      </w:r>
      <w:r w:rsidRPr="008A0227" w:rsidR="00CE5E1F">
        <w:rPr>
          <w:sz w:val="32"/>
          <w:szCs w:val="32"/>
        </w:rPr>
        <w:t xml:space="preserve"> 0925-0766</w:t>
      </w:r>
    </w:p>
    <w:p w:rsidRPr="008A0227" w:rsidR="00CE5E1F" w:rsidP="002B193F" w:rsidRDefault="00CE5E1F" w14:paraId="4F81E795" w14:textId="189A0A8D">
      <w:pPr>
        <w:jc w:val="center"/>
        <w:rPr>
          <w:sz w:val="32"/>
          <w:szCs w:val="32"/>
        </w:rPr>
      </w:pPr>
      <w:r w:rsidRPr="008A0227">
        <w:rPr>
          <w:sz w:val="32"/>
          <w:szCs w:val="32"/>
        </w:rPr>
        <w:t>Exp. 4/30/2023</w:t>
      </w:r>
    </w:p>
    <w:p w:rsidRPr="008A0227" w:rsidR="00595D1E" w:rsidP="002B193F" w:rsidRDefault="008529CC" w14:paraId="5D943427" w14:textId="654EDE05">
      <w:pPr>
        <w:jc w:val="center"/>
        <w:rPr>
          <w:sz w:val="32"/>
          <w:szCs w:val="32"/>
        </w:rPr>
      </w:pPr>
      <w:r w:rsidRPr="008A0227">
        <w:rPr>
          <w:sz w:val="32"/>
          <w:szCs w:val="32"/>
        </w:rPr>
        <w:t>Date</w:t>
      </w:r>
      <w:r w:rsidRPr="008A0227" w:rsidR="00CE5E1F">
        <w:rPr>
          <w:sz w:val="32"/>
          <w:szCs w:val="32"/>
        </w:rPr>
        <w:t>: 4/16/2020</w:t>
      </w:r>
    </w:p>
    <w:p w:rsidRPr="008A0227" w:rsidR="00595D1E" w:rsidRDefault="00595D1E" w14:paraId="19A1A239" w14:textId="77777777">
      <w:pPr>
        <w:jc w:val="center"/>
      </w:pPr>
    </w:p>
    <w:p w:rsidRPr="008A0227" w:rsidR="00595D1E" w:rsidRDefault="00595D1E" w14:paraId="68D92751" w14:textId="77777777">
      <w:pPr>
        <w:jc w:val="center"/>
      </w:pPr>
    </w:p>
    <w:p w:rsidRPr="008A0227" w:rsidR="00FF1D87" w:rsidRDefault="00FF1D87" w14:paraId="39D3F73C" w14:textId="77777777">
      <w:pPr>
        <w:jc w:val="center"/>
      </w:pPr>
    </w:p>
    <w:p w:rsidRPr="008A0227" w:rsidR="00FF1D87" w:rsidP="00175FFD" w:rsidRDefault="008529CC" w14:paraId="09FB6999" w14:textId="77777777">
      <w:pPr>
        <w:spacing w:after="0"/>
        <w:rPr>
          <w:b/>
        </w:rPr>
      </w:pPr>
      <w:r w:rsidRPr="008A0227">
        <w:rPr>
          <w:sz w:val="32"/>
          <w:szCs w:val="32"/>
        </w:rPr>
        <w:t>Contact Information</w:t>
      </w:r>
      <w:r w:rsidRPr="008A0227">
        <w:rPr>
          <w:b/>
        </w:rPr>
        <w:t xml:space="preserve">    </w:t>
      </w:r>
    </w:p>
    <w:p w:rsidRPr="008A0227" w:rsidR="007D3181" w:rsidP="00175FFD" w:rsidRDefault="00CE5E1F" w14:paraId="163A73A3" w14:textId="7FE1D98F">
      <w:pPr>
        <w:spacing w:after="0"/>
        <w:rPr>
          <w:b/>
        </w:rPr>
      </w:pPr>
      <w:r w:rsidRPr="008A0227">
        <w:rPr>
          <w:b/>
        </w:rPr>
        <w:t>Neyal Ammary-Risch</w:t>
      </w:r>
    </w:p>
    <w:p w:rsidRPr="008A0227" w:rsidR="00CE5E1F" w:rsidP="00175FFD" w:rsidRDefault="00CE5E1F" w14:paraId="2CCBADBD" w14:textId="1C2518F1">
      <w:pPr>
        <w:spacing w:after="0"/>
        <w:rPr>
          <w:b/>
        </w:rPr>
      </w:pPr>
      <w:r w:rsidRPr="008A0227">
        <w:rPr>
          <w:b/>
        </w:rPr>
        <w:t>301-496-3072</w:t>
      </w:r>
    </w:p>
    <w:p w:rsidRPr="008A0227" w:rsidR="007D3181" w:rsidP="007D3181" w:rsidRDefault="007D3181" w14:paraId="6659B2FE" w14:textId="25C9C907">
      <w:pPr>
        <w:spacing w:after="0"/>
        <w:rPr>
          <w:b/>
        </w:rPr>
      </w:pPr>
    </w:p>
    <w:p w:rsidRPr="008A0227" w:rsidR="007D3181" w:rsidP="007D3181" w:rsidRDefault="007D3181" w14:paraId="4931D80D" w14:textId="183A41A4">
      <w:pPr>
        <w:spacing w:after="0"/>
        <w:rPr>
          <w:b/>
        </w:rPr>
      </w:pPr>
    </w:p>
    <w:p w:rsidRPr="008A0227" w:rsidR="007D3181" w:rsidP="007D3181" w:rsidRDefault="007D3181" w14:paraId="0DF4FF08" w14:textId="77777777">
      <w:pPr>
        <w:spacing w:after="0"/>
        <w:rPr>
          <w:b/>
        </w:rPr>
      </w:pPr>
    </w:p>
    <w:p w:rsidRPr="008A0227" w:rsidR="007D3181" w:rsidP="007D3181" w:rsidRDefault="007D3181" w14:paraId="6EE94548" w14:textId="77777777">
      <w:pPr>
        <w:rPr>
          <w:rFonts w:ascii="Times New Roman" w:hAnsi="Times New Roman" w:cs="Times New Roman"/>
          <w:b/>
          <w:sz w:val="24"/>
          <w:szCs w:val="24"/>
        </w:rPr>
      </w:pPr>
      <w:r w:rsidRPr="008A0227">
        <w:rPr>
          <w:rFonts w:ascii="Times New Roman" w:hAnsi="Times New Roman" w:cs="Times New Roman"/>
          <w:b/>
          <w:sz w:val="24"/>
          <w:szCs w:val="24"/>
        </w:rPr>
        <w:t>TYPE OF COLLECTION:</w:t>
      </w:r>
      <w:r w:rsidRPr="008A0227">
        <w:rPr>
          <w:rFonts w:ascii="Times New Roman" w:hAnsi="Times New Roman" w:cs="Times New Roman"/>
          <w:sz w:val="24"/>
          <w:szCs w:val="24"/>
        </w:rPr>
        <w:t xml:space="preserve"> (Check one)</w:t>
      </w:r>
    </w:p>
    <w:p w:rsidRPr="008A0227" w:rsidR="007D3181" w:rsidP="007D3181" w:rsidRDefault="007D3181" w14:paraId="0613CB1A" w14:textId="77777777">
      <w:pPr>
        <w:pStyle w:val="BodyTextIndent"/>
        <w:tabs>
          <w:tab w:val="left" w:pos="360"/>
        </w:tabs>
        <w:ind w:left="0"/>
        <w:rPr>
          <w:bCs/>
          <w:sz w:val="24"/>
          <w:szCs w:val="24"/>
        </w:rPr>
      </w:pPr>
    </w:p>
    <w:p w:rsidRPr="008A0227" w:rsidR="007D3181" w:rsidP="007D3181" w:rsidRDefault="007D3181" w14:paraId="4063664F" w14:textId="77777777">
      <w:pPr>
        <w:pStyle w:val="BodyTextIndent"/>
        <w:tabs>
          <w:tab w:val="left" w:pos="360"/>
        </w:tabs>
        <w:ind w:left="0"/>
        <w:rPr>
          <w:bCs/>
          <w:sz w:val="24"/>
          <w:szCs w:val="24"/>
        </w:rPr>
      </w:pPr>
      <w:proofErr w:type="gramStart"/>
      <w:r w:rsidRPr="008A0227">
        <w:rPr>
          <w:bCs/>
          <w:sz w:val="24"/>
          <w:szCs w:val="24"/>
        </w:rPr>
        <w:t>[ ]</w:t>
      </w:r>
      <w:proofErr w:type="gramEnd"/>
      <w:r w:rsidRPr="008A0227">
        <w:rPr>
          <w:bCs/>
          <w:sz w:val="24"/>
          <w:szCs w:val="24"/>
        </w:rPr>
        <w:t xml:space="preserve"> Data Catalogue</w:t>
      </w:r>
      <w:r w:rsidRPr="008A0227">
        <w:rPr>
          <w:bCs/>
          <w:sz w:val="24"/>
          <w:szCs w:val="24"/>
        </w:rPr>
        <w:tab/>
        <w:t xml:space="preserve"> </w:t>
      </w:r>
      <w:r w:rsidRPr="008A0227">
        <w:rPr>
          <w:bCs/>
          <w:sz w:val="24"/>
          <w:szCs w:val="24"/>
        </w:rPr>
        <w:tab/>
      </w:r>
      <w:r w:rsidRPr="008A0227">
        <w:rPr>
          <w:bCs/>
          <w:sz w:val="24"/>
          <w:szCs w:val="24"/>
        </w:rPr>
        <w:tab/>
      </w:r>
      <w:r w:rsidRPr="008A0227">
        <w:rPr>
          <w:bCs/>
          <w:sz w:val="24"/>
          <w:szCs w:val="24"/>
        </w:rPr>
        <w:tab/>
      </w:r>
      <w:r w:rsidRPr="008A0227">
        <w:rPr>
          <w:bCs/>
          <w:sz w:val="24"/>
          <w:szCs w:val="24"/>
        </w:rPr>
        <w:tab/>
        <w:t>[ ] Repository of Tools and Best Practices</w:t>
      </w:r>
    </w:p>
    <w:p w:rsidRPr="008A0227" w:rsidR="007D3181" w:rsidP="007D3181" w:rsidRDefault="007D3181" w14:paraId="4058B193" w14:textId="16644D92">
      <w:pPr>
        <w:pStyle w:val="BodyTextIndent"/>
        <w:tabs>
          <w:tab w:val="left" w:pos="360"/>
        </w:tabs>
        <w:ind w:left="0"/>
        <w:rPr>
          <w:bCs/>
          <w:sz w:val="24"/>
          <w:szCs w:val="24"/>
        </w:rPr>
      </w:pPr>
      <w:proofErr w:type="gramStart"/>
      <w:r w:rsidRPr="008A0227">
        <w:rPr>
          <w:bCs/>
          <w:sz w:val="24"/>
          <w:szCs w:val="24"/>
        </w:rPr>
        <w:t>[ ]</w:t>
      </w:r>
      <w:proofErr w:type="gramEnd"/>
      <w:r w:rsidRPr="008A0227">
        <w:rPr>
          <w:bCs/>
          <w:sz w:val="24"/>
          <w:szCs w:val="24"/>
        </w:rPr>
        <w:t xml:space="preserve"> </w:t>
      </w:r>
      <w:r w:rsidRPr="008A0227">
        <w:rPr>
          <w:bCs/>
          <w:sz w:val="24"/>
          <w:szCs w:val="24"/>
        </w:rPr>
        <w:tab/>
        <w:t>Recommendations of scientific reviewers</w:t>
      </w:r>
      <w:r w:rsidRPr="008A0227">
        <w:rPr>
          <w:bCs/>
          <w:sz w:val="24"/>
          <w:szCs w:val="24"/>
        </w:rPr>
        <w:tab/>
        <w:t>[</w:t>
      </w:r>
      <w:r w:rsidRPr="008A0227" w:rsidR="00CE5E1F">
        <w:rPr>
          <w:bCs/>
          <w:sz w:val="24"/>
          <w:szCs w:val="24"/>
        </w:rPr>
        <w:t>X</w:t>
      </w:r>
      <w:r w:rsidRPr="008A0227">
        <w:rPr>
          <w:bCs/>
          <w:sz w:val="24"/>
          <w:szCs w:val="24"/>
        </w:rPr>
        <w:t>] Resources</w:t>
      </w:r>
    </w:p>
    <w:p w:rsidRPr="008A0227" w:rsidR="007D3181" w:rsidP="007D3181" w:rsidRDefault="007D3181" w14:paraId="25A13C2E" w14:textId="77777777">
      <w:pPr>
        <w:pStyle w:val="BodyTextIndent"/>
        <w:tabs>
          <w:tab w:val="left" w:pos="360"/>
        </w:tabs>
        <w:ind w:left="0"/>
        <w:rPr>
          <w:bCs/>
          <w:sz w:val="24"/>
          <w:szCs w:val="24"/>
        </w:rPr>
      </w:pPr>
      <w:proofErr w:type="gramStart"/>
      <w:r w:rsidRPr="008A0227">
        <w:rPr>
          <w:bCs/>
          <w:sz w:val="24"/>
          <w:szCs w:val="24"/>
        </w:rPr>
        <w:t>[ ]</w:t>
      </w:r>
      <w:proofErr w:type="gramEnd"/>
      <w:r w:rsidRPr="008A0227">
        <w:rPr>
          <w:bCs/>
          <w:sz w:val="24"/>
          <w:szCs w:val="24"/>
        </w:rPr>
        <w:t xml:space="preserve"> Call for Nominations</w:t>
      </w:r>
      <w:r w:rsidRPr="008A0227">
        <w:rPr>
          <w:bCs/>
          <w:sz w:val="24"/>
          <w:szCs w:val="24"/>
        </w:rPr>
        <w:tab/>
      </w:r>
      <w:r w:rsidRPr="008A0227">
        <w:rPr>
          <w:bCs/>
          <w:sz w:val="24"/>
          <w:szCs w:val="24"/>
        </w:rPr>
        <w:tab/>
      </w:r>
      <w:r w:rsidRPr="008A0227">
        <w:rPr>
          <w:bCs/>
          <w:sz w:val="24"/>
          <w:szCs w:val="24"/>
        </w:rPr>
        <w:tab/>
      </w:r>
      <w:r w:rsidRPr="008A0227">
        <w:rPr>
          <w:bCs/>
          <w:sz w:val="24"/>
          <w:szCs w:val="24"/>
        </w:rPr>
        <w:tab/>
        <w:t>[ ] Other:</w:t>
      </w:r>
      <w:r w:rsidRPr="008A0227">
        <w:rPr>
          <w:bCs/>
          <w:sz w:val="24"/>
          <w:szCs w:val="24"/>
          <w:u w:val="single"/>
        </w:rPr>
        <w:t xml:space="preserve"> ______________________</w:t>
      </w:r>
      <w:r w:rsidRPr="008A0227">
        <w:rPr>
          <w:bCs/>
          <w:sz w:val="24"/>
          <w:szCs w:val="24"/>
          <w:u w:val="single"/>
        </w:rPr>
        <w:tab/>
      </w:r>
      <w:r w:rsidRPr="008A0227">
        <w:rPr>
          <w:bCs/>
          <w:sz w:val="24"/>
          <w:szCs w:val="24"/>
          <w:u w:val="single"/>
        </w:rPr>
        <w:tab/>
      </w:r>
    </w:p>
    <w:p w:rsidRPr="008A0227" w:rsidR="007D3181" w:rsidP="007D3181" w:rsidRDefault="007D3181" w14:paraId="358E7A24" w14:textId="77777777">
      <w:pPr>
        <w:pStyle w:val="Header"/>
      </w:pPr>
    </w:p>
    <w:p w:rsidRPr="008A0227" w:rsidR="00595D1E" w:rsidP="007D3181" w:rsidRDefault="00595D1E" w14:paraId="0C65252C" w14:textId="5B73037D">
      <w:pPr>
        <w:spacing w:after="0"/>
        <w:rPr>
          <w:b/>
        </w:rPr>
      </w:pPr>
      <w:r w:rsidRPr="008A0227">
        <w:rPr>
          <w:b/>
        </w:rPr>
        <w:br w:type="page"/>
      </w:r>
    </w:p>
    <w:p w:rsidRPr="008A0227" w:rsidR="00DB27F3" w:rsidP="008716F6" w:rsidRDefault="00AF01AD" w14:paraId="1F4FBF3C" w14:textId="1C97BFCC">
      <w:pPr>
        <w:spacing w:after="20"/>
        <w:jc w:val="center"/>
        <w:rPr>
          <w:b/>
        </w:rPr>
      </w:pPr>
      <w:r w:rsidRPr="008A0227">
        <w:rPr>
          <w:b/>
        </w:rPr>
        <w:lastRenderedPageBreak/>
        <w:t xml:space="preserve">Mini </w:t>
      </w:r>
      <w:r w:rsidRPr="008A0227" w:rsidR="008716F6">
        <w:rPr>
          <w:b/>
        </w:rPr>
        <w:t>Supporting Statement</w:t>
      </w:r>
      <w:r w:rsidRPr="008A0227" w:rsidR="008529CC">
        <w:rPr>
          <w:b/>
        </w:rPr>
        <w:t xml:space="preserve"> A</w:t>
      </w:r>
    </w:p>
    <w:p w:rsidRPr="008A0227" w:rsidR="008716F6" w:rsidP="008716F6" w:rsidRDefault="008716F6" w14:paraId="1541B169" w14:textId="77777777">
      <w:pPr>
        <w:spacing w:after="20"/>
      </w:pPr>
    </w:p>
    <w:p w:rsidR="00003BE1" w:rsidP="008716F6" w:rsidRDefault="008716F6" w14:paraId="1650FFC8" w14:textId="33DAC78F">
      <w:pPr>
        <w:spacing w:after="20"/>
        <w:rPr>
          <w:b/>
        </w:rPr>
      </w:pPr>
      <w:r w:rsidRPr="008A0227">
        <w:rPr>
          <w:b/>
        </w:rPr>
        <w:t>A.1 Circumstances Making the Collection of Information Necessary</w:t>
      </w:r>
    </w:p>
    <w:p w:rsidRPr="008A0227" w:rsidR="0033116F" w:rsidP="008716F6" w:rsidRDefault="0033116F" w14:paraId="6B267C28" w14:textId="77777777">
      <w:pPr>
        <w:spacing w:after="20"/>
        <w:rPr>
          <w:b/>
        </w:rPr>
      </w:pPr>
    </w:p>
    <w:p w:rsidRPr="008A0227" w:rsidR="00267304" w:rsidP="00003BE1" w:rsidRDefault="00267304" w14:paraId="17907D55" w14:textId="76EAEC8F">
      <w:pPr>
        <w:spacing w:after="20"/>
      </w:pPr>
      <w:r w:rsidRPr="008A0227">
        <w:t>This information collection will be a tracking system for a public-accessible data resource on</w:t>
      </w:r>
      <w:r w:rsidRPr="008A0227" w:rsidR="00787810">
        <w:t xml:space="preserve"> implementation activities in support of the </w:t>
      </w:r>
      <w:r w:rsidRPr="0029401E" w:rsidR="0029401E">
        <w:t xml:space="preserve">Chronic obstructive pulmonary disease </w:t>
      </w:r>
      <w:r w:rsidR="0029401E">
        <w:t>(</w:t>
      </w:r>
      <w:r w:rsidRPr="008A0227">
        <w:t>COPD</w:t>
      </w:r>
      <w:r w:rsidR="0029401E">
        <w:t>)</w:t>
      </w:r>
      <w:r w:rsidRPr="008A0227" w:rsidR="00787810">
        <w:t xml:space="preserve"> National Action Plan. </w:t>
      </w:r>
      <w:r w:rsidRPr="008A0227">
        <w:t xml:space="preserve"> </w:t>
      </w:r>
      <w:r w:rsidRPr="008A0227" w:rsidR="00423130">
        <w:t xml:space="preserve"> COPD is a leading cause of death and disability in the United States. At the request of Congress, t</w:t>
      </w:r>
      <w:r w:rsidRPr="008A0227" w:rsidR="009E3506">
        <w:t>he COPD National Action Plan was developed to address the burden of the disease</w:t>
      </w:r>
      <w:r w:rsidRPr="008A0227" w:rsidR="00423130">
        <w:t xml:space="preserve"> and serve as a guide to organizations around the country to plan and implement activities, outreach, and research related to COPD.  </w:t>
      </w:r>
    </w:p>
    <w:p w:rsidRPr="008A0227" w:rsidR="00003BE1" w:rsidP="008716F6" w:rsidRDefault="00003BE1" w14:paraId="3C715BB9" w14:textId="77777777">
      <w:pPr>
        <w:spacing w:after="20"/>
      </w:pPr>
    </w:p>
    <w:p w:rsidRPr="008A0227" w:rsidR="008716F6" w:rsidP="008716F6" w:rsidRDefault="008716F6" w14:paraId="43F9EB3F" w14:textId="77777777">
      <w:pPr>
        <w:spacing w:after="20"/>
        <w:rPr>
          <w:b/>
        </w:rPr>
      </w:pPr>
      <w:r w:rsidRPr="008A0227">
        <w:rPr>
          <w:b/>
        </w:rPr>
        <w:t>A.2 Purpose and Use of the Information Collection</w:t>
      </w:r>
    </w:p>
    <w:p w:rsidRPr="008A0227" w:rsidR="00003BE1" w:rsidP="008716F6" w:rsidRDefault="00003BE1" w14:paraId="2DC941B1" w14:textId="77777777">
      <w:pPr>
        <w:spacing w:after="20"/>
        <w:rPr>
          <w:b/>
        </w:rPr>
      </w:pPr>
    </w:p>
    <w:p w:rsidRPr="008A0227" w:rsidR="00B86394" w:rsidP="008716F6" w:rsidRDefault="00E171AD" w14:paraId="3BD75865" w14:textId="6EBA6353">
      <w:pPr>
        <w:spacing w:after="20"/>
      </w:pPr>
      <w:r w:rsidRPr="008A0227">
        <w:t xml:space="preserve">The COPD National Action Plan was launched as the first-ever national framework to address chronic obstructive pulmonary disease. It was developed by the federal government in collaboration with key stakeholders including health care providers, nonprofit organizations, advocacy groups, policymakers, industry, researchers, patients, and caregivers. The purpose of this data collection is to build a central database where all stakeholders could enter and access information on activities that are being conducted to meet the Action Plan’s five goals: </w:t>
      </w:r>
    </w:p>
    <w:p w:rsidRPr="008A0227" w:rsidR="00B86394" w:rsidP="008716F6" w:rsidRDefault="00B86394" w14:paraId="401E5CFB" w14:textId="77777777">
      <w:pPr>
        <w:spacing w:after="20"/>
      </w:pPr>
    </w:p>
    <w:p w:rsidRPr="008A0227" w:rsidR="00B86394" w:rsidP="00B86394" w:rsidRDefault="00B86394" w14:paraId="3C7EDD6A" w14:textId="77777777">
      <w:pPr>
        <w:spacing w:after="20"/>
      </w:pPr>
      <w:r w:rsidRPr="008A0227">
        <w:t>1: Empower people with COPD, their families, and caregivers to recognize and reduce the burden of COPD.</w:t>
      </w:r>
    </w:p>
    <w:p w:rsidRPr="008A0227" w:rsidR="00B86394" w:rsidP="00B86394" w:rsidRDefault="00B86394" w14:paraId="6A00F323" w14:textId="77777777">
      <w:pPr>
        <w:spacing w:after="20"/>
      </w:pPr>
      <w:r w:rsidRPr="008A0227">
        <w:t>2: Improve the prevention, diagnosis, treatment, and management of COPD by improving the quality of care delivered across the health care continuum.</w:t>
      </w:r>
    </w:p>
    <w:p w:rsidRPr="008A0227" w:rsidR="00B86394" w:rsidP="00B86394" w:rsidRDefault="00B86394" w14:paraId="417C786E" w14:textId="77777777">
      <w:pPr>
        <w:spacing w:after="20"/>
      </w:pPr>
      <w:r w:rsidRPr="008A0227">
        <w:t>3: Collect, analyze, report, and disseminate COPD-related public health data that drive change and track progress.</w:t>
      </w:r>
    </w:p>
    <w:p w:rsidRPr="008A0227" w:rsidR="00B86394" w:rsidP="00B86394" w:rsidRDefault="00B86394" w14:paraId="5F24F152" w14:textId="77777777">
      <w:pPr>
        <w:spacing w:after="20"/>
      </w:pPr>
      <w:r w:rsidRPr="008A0227">
        <w:t>4: Increase and sustain research to better understand the prevention, pathogenesis, diagnosis, treatment, and management of COPD.</w:t>
      </w:r>
    </w:p>
    <w:p w:rsidRPr="008A0227" w:rsidR="00B86394" w:rsidP="00B86394" w:rsidRDefault="00B86394" w14:paraId="3CD3CAAA" w14:textId="274ABD11">
      <w:pPr>
        <w:spacing w:after="20"/>
      </w:pPr>
      <w:r w:rsidRPr="008A0227">
        <w:t>5: Translate national policy, educational, and program recommendations into research and public health care actions.</w:t>
      </w:r>
    </w:p>
    <w:p w:rsidRPr="008A0227" w:rsidR="00003BE1" w:rsidP="008716F6" w:rsidRDefault="00003BE1" w14:paraId="2488079D" w14:textId="6467BF86">
      <w:pPr>
        <w:spacing w:after="20"/>
      </w:pPr>
    </w:p>
    <w:p w:rsidRPr="008A0227" w:rsidR="00E171AD" w:rsidP="008716F6" w:rsidRDefault="00E171AD" w14:paraId="7B2B6B97" w14:textId="3BD3917D">
      <w:pPr>
        <w:spacing w:after="20"/>
      </w:pPr>
      <w:r w:rsidRPr="008A0227">
        <w:t xml:space="preserve">This gathering of </w:t>
      </w:r>
      <w:r w:rsidRPr="008A0227" w:rsidR="00423130">
        <w:t xml:space="preserve">data on implementation activities </w:t>
      </w:r>
      <w:r w:rsidRPr="008A0227">
        <w:t xml:space="preserve">would provide a central source of information to </w:t>
      </w:r>
      <w:r w:rsidRPr="008A0227" w:rsidR="00423130">
        <w:t>track</w:t>
      </w:r>
      <w:r w:rsidRPr="008A0227">
        <w:t xml:space="preserve"> how the National Action Plan is moving forward</w:t>
      </w:r>
      <w:r w:rsidRPr="008A0227" w:rsidR="00423130">
        <w:t>. Collecting this data will allow the government to more easily answer requests from Congress and other stakeholders about implementation activities that have been conducted</w:t>
      </w:r>
      <w:r w:rsidRPr="008A0227" w:rsidR="00D06EEF">
        <w:t xml:space="preserve"> and to track progress towards meeting its goals and objectives. </w:t>
      </w:r>
    </w:p>
    <w:p w:rsidRPr="008A0227" w:rsidR="00E171AD" w:rsidP="008716F6" w:rsidRDefault="00E171AD" w14:paraId="54575DE7" w14:textId="77777777">
      <w:pPr>
        <w:spacing w:after="20"/>
      </w:pPr>
    </w:p>
    <w:p w:rsidRPr="008A0227" w:rsidR="008716F6" w:rsidP="008716F6" w:rsidRDefault="008716F6" w14:paraId="1F9019D4" w14:textId="77777777">
      <w:pPr>
        <w:spacing w:after="20"/>
        <w:rPr>
          <w:b/>
        </w:rPr>
      </w:pPr>
      <w:r w:rsidRPr="008A0227">
        <w:rPr>
          <w:b/>
        </w:rPr>
        <w:t>A.3 Use of Information Technology to Reduce Burden</w:t>
      </w:r>
    </w:p>
    <w:p w:rsidRPr="008A0227" w:rsidR="00003BE1" w:rsidP="008716F6" w:rsidRDefault="00003BE1" w14:paraId="04FB8AD2" w14:textId="77777777">
      <w:pPr>
        <w:spacing w:after="20"/>
        <w:rPr>
          <w:b/>
        </w:rPr>
      </w:pPr>
    </w:p>
    <w:p w:rsidR="00A35AD7" w:rsidP="00A35AD7" w:rsidRDefault="00A35AD7" w14:paraId="0B0EF0AD" w14:textId="1093E91F">
      <w:pPr>
        <w:spacing w:after="20"/>
        <w:rPr>
          <w:rFonts w:ascii="Calibri" w:hAnsi="Calibri" w:eastAsia="Times New Roman" w:cs="Calibri"/>
          <w:color w:val="000000"/>
        </w:rPr>
      </w:pPr>
      <w:r>
        <w:rPr>
          <w:rFonts w:ascii="Calibri" w:hAnsi="Calibri" w:eastAsia="Times New Roman" w:cs="Calibri"/>
          <w:color w:val="000000"/>
        </w:rPr>
        <w:t>No software will be purchased. NHLBI will be using Drupal, which is an open-source platform, for building all aspects:</w:t>
      </w:r>
    </w:p>
    <w:p w:rsidRPr="00EF288D" w:rsidR="00A35AD7" w:rsidP="00A35AD7" w:rsidRDefault="00A35AD7" w14:paraId="5733C1F0" w14:textId="77777777">
      <w:pPr>
        <w:pStyle w:val="ListParagraph"/>
        <w:numPr>
          <w:ilvl w:val="0"/>
          <w:numId w:val="6"/>
        </w:numPr>
        <w:spacing w:after="20" w:line="240" w:lineRule="auto"/>
        <w:rPr>
          <w:rFonts w:ascii="Calibri" w:hAnsi="Calibri" w:eastAsia="Times New Roman" w:cs="Calibri"/>
          <w:color w:val="000000"/>
        </w:rPr>
      </w:pPr>
      <w:r w:rsidRPr="00EF288D">
        <w:rPr>
          <w:rFonts w:ascii="Calibri" w:hAnsi="Calibri" w:eastAsia="Times New Roman" w:cs="Calibri"/>
          <w:color w:val="000000"/>
        </w:rPr>
        <w:t>Public-facing home page</w:t>
      </w:r>
    </w:p>
    <w:p w:rsidR="00A35AD7" w:rsidP="00A35AD7" w:rsidRDefault="00A35AD7" w14:paraId="77A3EAA7" w14:textId="77777777">
      <w:pPr>
        <w:pStyle w:val="ListParagraph"/>
        <w:numPr>
          <w:ilvl w:val="0"/>
          <w:numId w:val="6"/>
        </w:numPr>
        <w:spacing w:after="20" w:line="240" w:lineRule="auto"/>
        <w:rPr>
          <w:rFonts w:ascii="Calibri" w:hAnsi="Calibri" w:eastAsia="Times New Roman" w:cs="Calibri"/>
          <w:color w:val="000000"/>
        </w:rPr>
      </w:pPr>
      <w:r w:rsidRPr="00EF288D">
        <w:rPr>
          <w:rFonts w:ascii="Calibri" w:hAnsi="Calibri" w:eastAsia="Times New Roman" w:cs="Calibri"/>
          <w:color w:val="000000"/>
        </w:rPr>
        <w:t xml:space="preserve">Password-protected </w:t>
      </w:r>
      <w:r>
        <w:rPr>
          <w:rFonts w:ascii="Calibri" w:hAnsi="Calibri" w:eastAsia="Times New Roman" w:cs="Calibri"/>
          <w:color w:val="000000"/>
        </w:rPr>
        <w:t xml:space="preserve">accounts for </w:t>
      </w:r>
      <w:r w:rsidRPr="00EF288D">
        <w:rPr>
          <w:rFonts w:ascii="Calibri" w:hAnsi="Calibri" w:eastAsia="Times New Roman" w:cs="Calibri"/>
          <w:color w:val="000000"/>
        </w:rPr>
        <w:t>data collection</w:t>
      </w:r>
      <w:r>
        <w:rPr>
          <w:rFonts w:ascii="Calibri" w:hAnsi="Calibri" w:eastAsia="Times New Roman" w:cs="Calibri"/>
          <w:color w:val="000000"/>
        </w:rPr>
        <w:t>/editing interface</w:t>
      </w:r>
    </w:p>
    <w:p w:rsidRPr="00EF288D" w:rsidR="00A35AD7" w:rsidP="00A35AD7" w:rsidRDefault="00A35AD7" w14:paraId="666DFA08" w14:textId="77777777">
      <w:pPr>
        <w:pStyle w:val="ListParagraph"/>
        <w:numPr>
          <w:ilvl w:val="0"/>
          <w:numId w:val="6"/>
        </w:numPr>
        <w:spacing w:after="20" w:line="240" w:lineRule="auto"/>
        <w:rPr>
          <w:rFonts w:ascii="Calibri" w:hAnsi="Calibri" w:eastAsia="Times New Roman" w:cs="Calibri"/>
          <w:color w:val="000000"/>
        </w:rPr>
      </w:pPr>
      <w:r>
        <w:rPr>
          <w:rFonts w:ascii="Calibri" w:hAnsi="Calibri" w:eastAsia="Times New Roman" w:cs="Calibri"/>
          <w:color w:val="000000"/>
        </w:rPr>
        <w:t>Account-only access to view contact information</w:t>
      </w:r>
    </w:p>
    <w:p w:rsidRPr="00EF288D" w:rsidR="00A35AD7" w:rsidP="00A35AD7" w:rsidRDefault="00A35AD7" w14:paraId="241DFE5E" w14:textId="77777777">
      <w:pPr>
        <w:pStyle w:val="ListParagraph"/>
        <w:numPr>
          <w:ilvl w:val="0"/>
          <w:numId w:val="6"/>
        </w:numPr>
        <w:spacing w:after="20" w:line="240" w:lineRule="auto"/>
        <w:rPr>
          <w:rFonts w:ascii="Calibri" w:hAnsi="Calibri" w:eastAsia="Times New Roman" w:cs="Calibri"/>
          <w:color w:val="000000"/>
        </w:rPr>
      </w:pPr>
      <w:r>
        <w:rPr>
          <w:rFonts w:ascii="Calibri" w:hAnsi="Calibri" w:eastAsia="Times New Roman" w:cs="Calibri"/>
          <w:color w:val="000000"/>
        </w:rPr>
        <w:t>Public facing d</w:t>
      </w:r>
      <w:r w:rsidRPr="00EF288D">
        <w:rPr>
          <w:rFonts w:ascii="Calibri" w:hAnsi="Calibri" w:eastAsia="Times New Roman" w:cs="Calibri"/>
          <w:color w:val="000000"/>
        </w:rPr>
        <w:t xml:space="preserve">ata visualization </w:t>
      </w:r>
      <w:r>
        <w:rPr>
          <w:rFonts w:ascii="Calibri" w:hAnsi="Calibri" w:eastAsia="Times New Roman" w:cs="Calibri"/>
          <w:color w:val="000000"/>
        </w:rPr>
        <w:t>of aggregate numbers and links to individual organizations’ descriptive narratives</w:t>
      </w:r>
    </w:p>
    <w:p w:rsidRPr="00EF288D" w:rsidR="00A35AD7" w:rsidP="00A35AD7" w:rsidRDefault="00A35AD7" w14:paraId="2DB4207C" w14:textId="77777777">
      <w:pPr>
        <w:spacing w:after="20"/>
        <w:rPr>
          <w:rFonts w:ascii="Calibri" w:hAnsi="Calibri" w:eastAsia="Times New Roman" w:cs="Calibri"/>
          <w:color w:val="000000"/>
        </w:rPr>
      </w:pPr>
    </w:p>
    <w:p w:rsidRPr="00EF288D" w:rsidR="00A35AD7" w:rsidP="00A35AD7" w:rsidRDefault="00A35AD7" w14:paraId="724F01B2" w14:textId="77777777">
      <w:pPr>
        <w:spacing w:after="20"/>
        <w:rPr>
          <w:rFonts w:ascii="Calibri" w:hAnsi="Calibri" w:eastAsia="Times New Roman" w:cs="Calibri"/>
          <w:color w:val="000000"/>
        </w:rPr>
      </w:pPr>
      <w:r w:rsidRPr="00EF288D">
        <w:rPr>
          <w:rFonts w:ascii="Calibri" w:hAnsi="Calibri" w:eastAsia="Times New Roman" w:cs="Calibri"/>
          <w:color w:val="000000"/>
        </w:rPr>
        <w:lastRenderedPageBreak/>
        <w:t>Th</w:t>
      </w:r>
      <w:r>
        <w:rPr>
          <w:rFonts w:ascii="Calibri" w:hAnsi="Calibri" w:eastAsia="Times New Roman" w:cs="Calibri"/>
          <w:color w:val="000000"/>
        </w:rPr>
        <w:t>e</w:t>
      </w:r>
      <w:r w:rsidRPr="00EF288D">
        <w:rPr>
          <w:rFonts w:ascii="Calibri" w:hAnsi="Calibri" w:eastAsia="Times New Roman" w:cs="Calibri"/>
          <w:color w:val="000000"/>
        </w:rPr>
        <w:t xml:space="preserve"> collection </w:t>
      </w:r>
      <w:r>
        <w:rPr>
          <w:rFonts w:ascii="Calibri" w:hAnsi="Calibri" w:eastAsia="Times New Roman" w:cs="Calibri"/>
          <w:color w:val="000000"/>
        </w:rPr>
        <w:t xml:space="preserve">form </w:t>
      </w:r>
      <w:r w:rsidRPr="00EF288D">
        <w:rPr>
          <w:rFonts w:ascii="Calibri" w:hAnsi="Calibri" w:eastAsia="Times New Roman" w:cs="Calibri"/>
          <w:color w:val="000000"/>
        </w:rPr>
        <w:t xml:space="preserve">will </w:t>
      </w:r>
      <w:r>
        <w:rPr>
          <w:rFonts w:ascii="Calibri" w:hAnsi="Calibri" w:eastAsia="Times New Roman" w:cs="Calibri"/>
          <w:color w:val="000000"/>
        </w:rPr>
        <w:t>be hosted</w:t>
      </w:r>
      <w:r w:rsidRPr="00EF288D">
        <w:rPr>
          <w:rFonts w:ascii="Calibri" w:hAnsi="Calibri" w:eastAsia="Times New Roman" w:cs="Calibri"/>
          <w:color w:val="000000"/>
        </w:rPr>
        <w:t xml:space="preserve"> on NIH servers. Organizations wishing to input </w:t>
      </w:r>
      <w:r>
        <w:rPr>
          <w:rFonts w:ascii="Calibri" w:hAnsi="Calibri" w:eastAsia="Times New Roman" w:cs="Calibri"/>
          <w:color w:val="000000"/>
        </w:rPr>
        <w:t xml:space="preserve">or update their </w:t>
      </w:r>
      <w:r w:rsidRPr="00EF288D">
        <w:rPr>
          <w:rFonts w:ascii="Calibri" w:hAnsi="Calibri" w:eastAsia="Times New Roman" w:cs="Calibri"/>
          <w:color w:val="000000"/>
        </w:rPr>
        <w:t>data will have to register for an account to use the database</w:t>
      </w:r>
      <w:r>
        <w:rPr>
          <w:rFonts w:ascii="Calibri" w:hAnsi="Calibri" w:eastAsia="Times New Roman" w:cs="Calibri"/>
          <w:color w:val="000000"/>
        </w:rPr>
        <w:t xml:space="preserve"> and to see other organization contact information.</w:t>
      </w:r>
    </w:p>
    <w:p w:rsidRPr="008A0227" w:rsidR="00003BE1" w:rsidP="008716F6" w:rsidRDefault="00003BE1" w14:paraId="08E95EDA" w14:textId="77777777">
      <w:pPr>
        <w:spacing w:after="20"/>
      </w:pPr>
    </w:p>
    <w:p w:rsidRPr="008A0227" w:rsidR="008716F6" w:rsidP="008716F6" w:rsidRDefault="008716F6" w14:paraId="16F7BD87" w14:textId="77777777">
      <w:pPr>
        <w:spacing w:after="20"/>
        <w:rPr>
          <w:b/>
        </w:rPr>
      </w:pPr>
      <w:r w:rsidRPr="008A0227">
        <w:rPr>
          <w:b/>
        </w:rPr>
        <w:t>A.4 Efforts to Identify Duplication</w:t>
      </w:r>
    </w:p>
    <w:p w:rsidRPr="008A0227" w:rsidR="00FC6E2E" w:rsidP="008716F6" w:rsidRDefault="00FC6E2E" w14:paraId="3A975EEC" w14:textId="5C2156DE">
      <w:pPr>
        <w:spacing w:after="20"/>
      </w:pPr>
    </w:p>
    <w:p w:rsidRPr="008A0227" w:rsidR="00FC6E2E" w:rsidP="008716F6" w:rsidRDefault="00FC6E2E" w14:paraId="060E5D9E" w14:textId="7F81633B">
      <w:pPr>
        <w:spacing w:after="20"/>
        <w:rPr>
          <w:b/>
        </w:rPr>
      </w:pPr>
      <w:r w:rsidRPr="008A0227">
        <w:t>To date there is no comparable central database to collect COPD</w:t>
      </w:r>
      <w:r w:rsidRPr="008A0227" w:rsidR="008800C1">
        <w:t xml:space="preserve"> National Action Plan</w:t>
      </w:r>
      <w:r w:rsidRPr="008A0227">
        <w:t xml:space="preserve"> data and track </w:t>
      </w:r>
      <w:r w:rsidRPr="008A0227" w:rsidR="008800C1">
        <w:t>progress towards its goals</w:t>
      </w:r>
      <w:r w:rsidRPr="008A0227" w:rsidR="00D06EEF">
        <w:t xml:space="preserve"> and objectives</w:t>
      </w:r>
      <w:r w:rsidRPr="008A0227">
        <w:t>.</w:t>
      </w:r>
    </w:p>
    <w:p w:rsidRPr="008A0227" w:rsidR="00003BE1" w:rsidP="008716F6" w:rsidRDefault="00003BE1" w14:paraId="50116A33" w14:textId="77777777">
      <w:pPr>
        <w:spacing w:after="20"/>
        <w:rPr>
          <w:b/>
        </w:rPr>
      </w:pPr>
    </w:p>
    <w:p w:rsidRPr="008A0227" w:rsidR="008716F6" w:rsidP="008716F6" w:rsidRDefault="008716F6" w14:paraId="2CEE54B9" w14:textId="77777777">
      <w:pPr>
        <w:spacing w:after="20"/>
        <w:rPr>
          <w:b/>
        </w:rPr>
      </w:pPr>
      <w:r w:rsidRPr="008A0227">
        <w:rPr>
          <w:b/>
        </w:rPr>
        <w:t>A.5 Impact on Small Businesses or Other Small Entities</w:t>
      </w:r>
    </w:p>
    <w:p w:rsidRPr="008A0227" w:rsidR="008716F6" w:rsidP="008716F6" w:rsidRDefault="008716F6" w14:paraId="4E350690" w14:textId="77777777">
      <w:pPr>
        <w:spacing w:after="20"/>
      </w:pPr>
      <w:r w:rsidRPr="008A0227">
        <w:t>N/A</w:t>
      </w:r>
    </w:p>
    <w:p w:rsidRPr="008A0227" w:rsidR="008716F6" w:rsidP="008716F6" w:rsidRDefault="008716F6" w14:paraId="6349957B" w14:textId="77777777">
      <w:pPr>
        <w:spacing w:after="20"/>
      </w:pPr>
    </w:p>
    <w:p w:rsidRPr="008A0227" w:rsidR="008716F6" w:rsidP="008716F6" w:rsidRDefault="008716F6" w14:paraId="18F8815A" w14:textId="77777777">
      <w:pPr>
        <w:spacing w:after="20"/>
        <w:rPr>
          <w:b/>
        </w:rPr>
      </w:pPr>
      <w:r w:rsidRPr="008A0227">
        <w:rPr>
          <w:b/>
        </w:rPr>
        <w:t>A.6 Consequences of Collecting the Information Less Frequently</w:t>
      </w:r>
    </w:p>
    <w:p w:rsidRPr="008A0227" w:rsidR="004B3C21" w:rsidP="008716F6" w:rsidRDefault="004B3C21" w14:paraId="60F5E8D6" w14:textId="77777777">
      <w:pPr>
        <w:spacing w:after="20"/>
        <w:rPr>
          <w:b/>
        </w:rPr>
      </w:pPr>
    </w:p>
    <w:p w:rsidRPr="008A0227" w:rsidR="00FC6E2E" w:rsidP="008716F6" w:rsidRDefault="00D06EEF" w14:paraId="77403FE0" w14:textId="21C8C6D8">
      <w:pPr>
        <w:spacing w:after="20"/>
      </w:pPr>
      <w:r w:rsidRPr="008A0227">
        <w:t xml:space="preserve">Once developed, respondents will be able to access the tracking tool from the COPD National Action Plan webpage at copd.nih.gov. There will be a link to the tool and organizations can access the tool anytime they have data to input or to generate progress reports. It is anticipated that organizations would use the tool on a quarterly basis to record their implementation activities. </w:t>
      </w:r>
    </w:p>
    <w:p w:rsidRPr="008A0227" w:rsidR="004B3C21" w:rsidP="008716F6" w:rsidRDefault="004B3C21" w14:paraId="4BF9546C" w14:textId="77777777">
      <w:pPr>
        <w:spacing w:after="20"/>
      </w:pPr>
    </w:p>
    <w:p w:rsidRPr="008A0227" w:rsidR="008716F6" w:rsidP="008716F6" w:rsidRDefault="008716F6" w14:paraId="3FB59BB3" w14:textId="77777777">
      <w:pPr>
        <w:spacing w:after="20"/>
        <w:rPr>
          <w:b/>
        </w:rPr>
      </w:pPr>
      <w:r w:rsidRPr="008A0227">
        <w:rPr>
          <w:b/>
        </w:rPr>
        <w:t>A.7 Special Circumstances Relating to the Guidelines of 5 CFR 1320.5</w:t>
      </w:r>
    </w:p>
    <w:p w:rsidRPr="008A0227" w:rsidR="004B3C21" w:rsidP="008716F6" w:rsidRDefault="004B3C21" w14:paraId="54F24C88" w14:textId="77777777">
      <w:pPr>
        <w:spacing w:after="20"/>
      </w:pPr>
    </w:p>
    <w:p w:rsidRPr="008A0227" w:rsidR="008716F6" w:rsidP="008716F6" w:rsidRDefault="008716F6" w14:paraId="3522E670" w14:textId="6E6EE1BC">
      <w:pPr>
        <w:spacing w:after="20"/>
      </w:pPr>
      <w:r w:rsidRPr="008A0227">
        <w:t>This survey will be implemented in a manner that fully complies with 5 C.F.R. 1320.5.</w:t>
      </w:r>
      <w:r w:rsidRPr="008A0227" w:rsidR="004B3C21">
        <w:t xml:space="preserve"> *Standard text*</w:t>
      </w:r>
    </w:p>
    <w:p w:rsidRPr="008A0227" w:rsidR="008716F6" w:rsidP="008716F6" w:rsidRDefault="008716F6" w14:paraId="16EF2A4F" w14:textId="77777777">
      <w:pPr>
        <w:spacing w:after="20"/>
      </w:pPr>
    </w:p>
    <w:p w:rsidRPr="008A0227" w:rsidR="008716F6" w:rsidP="008716F6" w:rsidRDefault="008716F6" w14:paraId="7036E772" w14:textId="77777777">
      <w:pPr>
        <w:spacing w:after="20"/>
        <w:rPr>
          <w:b/>
        </w:rPr>
      </w:pPr>
      <w:r w:rsidRPr="008A0227">
        <w:rPr>
          <w:b/>
        </w:rPr>
        <w:t>A.8 Comments in Response to the Federal Register Notice and Efforts to Consult Outside Agency</w:t>
      </w:r>
    </w:p>
    <w:p w:rsidRPr="008A0227" w:rsidR="008716F6" w:rsidP="008716F6" w:rsidRDefault="008716F6" w14:paraId="0559FCF3" w14:textId="77777777">
      <w:pPr>
        <w:spacing w:after="20"/>
      </w:pPr>
      <w:r w:rsidRPr="008A0227">
        <w:t>N/A</w:t>
      </w:r>
    </w:p>
    <w:p w:rsidRPr="008A0227" w:rsidR="008716F6" w:rsidP="008716F6" w:rsidRDefault="008716F6" w14:paraId="6849A58E" w14:textId="77777777">
      <w:pPr>
        <w:spacing w:after="20"/>
      </w:pPr>
    </w:p>
    <w:p w:rsidRPr="008A0227" w:rsidR="008716F6" w:rsidP="008716F6" w:rsidRDefault="008716F6" w14:paraId="6C612A06" w14:textId="77777777">
      <w:pPr>
        <w:spacing w:after="20"/>
        <w:rPr>
          <w:b/>
        </w:rPr>
      </w:pPr>
      <w:r w:rsidRPr="008A0227">
        <w:rPr>
          <w:b/>
        </w:rPr>
        <w:t xml:space="preserve">A.9 </w:t>
      </w:r>
      <w:r w:rsidRPr="008A0227" w:rsidR="00477A8E">
        <w:rPr>
          <w:b/>
        </w:rPr>
        <w:t>Explanation of Any Payment of Gift to Respondents</w:t>
      </w:r>
    </w:p>
    <w:p w:rsidRPr="008A0227" w:rsidR="004B3C21" w:rsidP="008716F6" w:rsidRDefault="004B3C21" w14:paraId="682EA02B" w14:textId="77777777">
      <w:pPr>
        <w:spacing w:after="20"/>
        <w:rPr>
          <w:b/>
        </w:rPr>
      </w:pPr>
    </w:p>
    <w:p w:rsidRPr="008A0227" w:rsidR="00FC6E2E" w:rsidP="008716F6" w:rsidRDefault="00FC6E2E" w14:paraId="73A7DBED" w14:textId="454EDC51">
      <w:pPr>
        <w:spacing w:after="20"/>
      </w:pPr>
      <w:r w:rsidRPr="008A0227">
        <w:t>There will be no gifts or compensation to respondents.</w:t>
      </w:r>
    </w:p>
    <w:p w:rsidRPr="008A0227" w:rsidR="004B3C21" w:rsidP="008716F6" w:rsidRDefault="004B3C21" w14:paraId="4873BA4C" w14:textId="77777777">
      <w:pPr>
        <w:spacing w:after="20"/>
      </w:pPr>
    </w:p>
    <w:p w:rsidRPr="008A0227" w:rsidR="00477A8E" w:rsidP="008716F6" w:rsidRDefault="00477A8E" w14:paraId="25384F79" w14:textId="77777777">
      <w:pPr>
        <w:spacing w:after="20"/>
        <w:rPr>
          <w:b/>
        </w:rPr>
      </w:pPr>
      <w:r w:rsidRPr="008A0227">
        <w:rPr>
          <w:b/>
        </w:rPr>
        <w:t>A.10 Assurance of Confidentiality Provided to Respondents</w:t>
      </w:r>
    </w:p>
    <w:p w:rsidRPr="008A0227" w:rsidR="004B3C21" w:rsidP="004B3C21" w:rsidRDefault="004B3C21" w14:paraId="79BA36CE" w14:textId="77777777">
      <w:pPr>
        <w:spacing w:after="20"/>
      </w:pPr>
    </w:p>
    <w:p w:rsidR="00A35AD7" w:rsidP="00A35AD7" w:rsidRDefault="00A35AD7" w14:paraId="246EF3D5" w14:textId="3D5690AD">
      <w:pPr>
        <w:spacing w:after="20"/>
        <w:rPr>
          <w:rFonts w:ascii="Calibri" w:hAnsi="Calibri" w:eastAsia="Times New Roman" w:cs="Calibri"/>
          <w:color w:val="000000"/>
        </w:rPr>
      </w:pPr>
      <w:r w:rsidRPr="00EF288D">
        <w:rPr>
          <w:rFonts w:ascii="Calibri" w:hAnsi="Calibri" w:eastAsia="Times New Roman" w:cs="Calibri"/>
          <w:color w:val="000000"/>
        </w:rPr>
        <w:t>Private to the extent permitted by law.</w:t>
      </w:r>
      <w:r>
        <w:rPr>
          <w:rFonts w:ascii="Calibri" w:hAnsi="Calibri" w:eastAsia="Times New Roman" w:cs="Calibri"/>
          <w:color w:val="000000"/>
        </w:rPr>
        <w:t xml:space="preserve"> We will collect information with the following parameters:</w:t>
      </w:r>
    </w:p>
    <w:p w:rsidR="00A35AD7" w:rsidP="00A35AD7" w:rsidRDefault="00A35AD7" w14:paraId="4F8CEC4C" w14:textId="77777777">
      <w:pPr>
        <w:pStyle w:val="ListParagraph"/>
        <w:numPr>
          <w:ilvl w:val="0"/>
          <w:numId w:val="7"/>
        </w:numPr>
        <w:spacing w:after="20" w:line="240" w:lineRule="auto"/>
        <w:rPr>
          <w:rFonts w:ascii="Calibri" w:hAnsi="Calibri" w:eastAsia="Times New Roman" w:cs="Calibri"/>
          <w:color w:val="000000"/>
        </w:rPr>
      </w:pPr>
      <w:r>
        <w:rPr>
          <w:rFonts w:ascii="Calibri" w:hAnsi="Calibri" w:eastAsia="Times New Roman" w:cs="Calibri"/>
          <w:color w:val="000000"/>
        </w:rPr>
        <w:t>O</w:t>
      </w:r>
      <w:r w:rsidRPr="009F2FBE">
        <w:rPr>
          <w:rFonts w:ascii="Calibri" w:hAnsi="Calibri" w:eastAsia="Times New Roman" w:cs="Calibri"/>
          <w:color w:val="000000"/>
        </w:rPr>
        <w:t>rganization</w:t>
      </w:r>
      <w:r>
        <w:rPr>
          <w:rFonts w:ascii="Calibri" w:hAnsi="Calibri" w:eastAsia="Times New Roman" w:cs="Calibri"/>
          <w:color w:val="000000"/>
        </w:rPr>
        <w:t xml:space="preserve"> name,</w:t>
      </w:r>
      <w:r w:rsidRPr="009F2FBE">
        <w:rPr>
          <w:rFonts w:ascii="Calibri" w:hAnsi="Calibri" w:eastAsia="Times New Roman" w:cs="Calibri"/>
          <w:color w:val="000000"/>
        </w:rPr>
        <w:t xml:space="preserve"> </w:t>
      </w:r>
      <w:r>
        <w:rPr>
          <w:rFonts w:ascii="Calibri" w:hAnsi="Calibri" w:eastAsia="Times New Roman" w:cs="Calibri"/>
          <w:color w:val="000000"/>
        </w:rPr>
        <w:t>c</w:t>
      </w:r>
      <w:r w:rsidRPr="009F2FBE">
        <w:rPr>
          <w:rFonts w:ascii="Calibri" w:hAnsi="Calibri" w:eastAsia="Times New Roman" w:cs="Calibri"/>
          <w:color w:val="000000"/>
        </w:rPr>
        <w:t>ontact name</w:t>
      </w:r>
      <w:r>
        <w:rPr>
          <w:rFonts w:ascii="Calibri" w:hAnsi="Calibri" w:eastAsia="Times New Roman" w:cs="Calibri"/>
          <w:color w:val="000000"/>
        </w:rPr>
        <w:t>,</w:t>
      </w:r>
      <w:r w:rsidRPr="009F2FBE">
        <w:rPr>
          <w:rFonts w:ascii="Calibri" w:hAnsi="Calibri" w:eastAsia="Times New Roman" w:cs="Calibri"/>
          <w:color w:val="000000"/>
        </w:rPr>
        <w:t xml:space="preserve"> and </w:t>
      </w:r>
      <w:r>
        <w:rPr>
          <w:rFonts w:ascii="Calibri" w:hAnsi="Calibri" w:eastAsia="Times New Roman" w:cs="Calibri"/>
          <w:color w:val="000000"/>
        </w:rPr>
        <w:t xml:space="preserve">contact </w:t>
      </w:r>
      <w:r w:rsidRPr="009F2FBE">
        <w:rPr>
          <w:rFonts w:ascii="Calibri" w:hAnsi="Calibri" w:eastAsia="Times New Roman" w:cs="Calibri"/>
          <w:color w:val="000000"/>
        </w:rPr>
        <w:t>email will be collected so that data can be verified and updated as needed.</w:t>
      </w:r>
    </w:p>
    <w:p w:rsidRPr="009F2FBE" w:rsidR="00A35AD7" w:rsidP="00A35AD7" w:rsidRDefault="00A35AD7" w14:paraId="6C52091B" w14:textId="77777777">
      <w:pPr>
        <w:pStyle w:val="ListParagraph"/>
        <w:numPr>
          <w:ilvl w:val="0"/>
          <w:numId w:val="7"/>
        </w:numPr>
        <w:spacing w:after="20" w:line="240" w:lineRule="auto"/>
        <w:rPr>
          <w:rFonts w:ascii="Calibri" w:hAnsi="Calibri" w:eastAsia="Times New Roman" w:cs="Calibri"/>
          <w:color w:val="000000"/>
        </w:rPr>
      </w:pPr>
      <w:r>
        <w:rPr>
          <w:rFonts w:ascii="Calibri" w:hAnsi="Calibri" w:eastAsia="Times New Roman" w:cs="Calibri"/>
          <w:color w:val="000000"/>
        </w:rPr>
        <w:t>Organization name will be public.</w:t>
      </w:r>
    </w:p>
    <w:p w:rsidRPr="009F2FBE" w:rsidR="00A35AD7" w:rsidP="00A35AD7" w:rsidRDefault="00A35AD7" w14:paraId="2234476C" w14:textId="77777777">
      <w:pPr>
        <w:pStyle w:val="ListParagraph"/>
        <w:numPr>
          <w:ilvl w:val="0"/>
          <w:numId w:val="7"/>
        </w:numPr>
        <w:spacing w:after="20" w:line="240" w:lineRule="auto"/>
        <w:rPr>
          <w:rFonts w:ascii="Calibri" w:hAnsi="Calibri" w:eastAsia="Times New Roman" w:cs="Calibri"/>
          <w:color w:val="000000"/>
        </w:rPr>
      </w:pPr>
      <w:r w:rsidRPr="009F2FBE">
        <w:rPr>
          <w:rFonts w:ascii="Calibri" w:hAnsi="Calibri" w:eastAsia="Times New Roman" w:cs="Calibri"/>
          <w:color w:val="000000"/>
        </w:rPr>
        <w:t xml:space="preserve">Contact name and email will be </w:t>
      </w:r>
      <w:r>
        <w:rPr>
          <w:rFonts w:ascii="Calibri" w:hAnsi="Calibri" w:eastAsia="Times New Roman" w:cs="Calibri"/>
          <w:color w:val="000000"/>
        </w:rPr>
        <w:t>available for other account holders</w:t>
      </w:r>
      <w:r w:rsidRPr="009F2FBE">
        <w:rPr>
          <w:rFonts w:ascii="Calibri" w:hAnsi="Calibri" w:eastAsia="Times New Roman" w:cs="Calibri"/>
          <w:color w:val="000000"/>
        </w:rPr>
        <w:t xml:space="preserve"> on the website so that other organizations can reach out.</w:t>
      </w:r>
    </w:p>
    <w:p w:rsidRPr="009F2FBE" w:rsidR="00A35AD7" w:rsidP="00A35AD7" w:rsidRDefault="00A35AD7" w14:paraId="4AA4C264" w14:textId="77777777">
      <w:pPr>
        <w:pStyle w:val="ListParagraph"/>
        <w:numPr>
          <w:ilvl w:val="0"/>
          <w:numId w:val="7"/>
        </w:numPr>
        <w:spacing w:after="20" w:line="240" w:lineRule="auto"/>
        <w:rPr>
          <w:rFonts w:ascii="Calibri" w:hAnsi="Calibri" w:eastAsia="Times New Roman" w:cs="Calibri"/>
          <w:color w:val="000000"/>
        </w:rPr>
      </w:pPr>
      <w:r w:rsidRPr="009F2FBE">
        <w:rPr>
          <w:rFonts w:ascii="Calibri" w:hAnsi="Calibri" w:eastAsia="Times New Roman" w:cs="Calibri"/>
          <w:color w:val="000000"/>
        </w:rPr>
        <w:t>Only business-related contact information will be shared, not personal contact information. Organizations can choose whose contact name to provide.</w:t>
      </w:r>
    </w:p>
    <w:p w:rsidRPr="008A0227" w:rsidR="004B3C21" w:rsidP="004B3C21" w:rsidRDefault="004B3C21" w14:paraId="45F5B1DC" w14:textId="1FF47975">
      <w:pPr>
        <w:spacing w:after="20"/>
      </w:pPr>
    </w:p>
    <w:p w:rsidR="004B3C21" w:rsidP="004B3C21" w:rsidRDefault="004B3C21" w14:paraId="7DB51145" w14:textId="3CF909A6">
      <w:pPr>
        <w:spacing w:after="20"/>
      </w:pPr>
    </w:p>
    <w:p w:rsidR="00A35AD7" w:rsidP="004B3C21" w:rsidRDefault="00A35AD7" w14:paraId="38F4061D" w14:textId="049B5417">
      <w:pPr>
        <w:spacing w:after="20"/>
      </w:pPr>
    </w:p>
    <w:p w:rsidRPr="008A0227" w:rsidR="00A35AD7" w:rsidP="004B3C21" w:rsidRDefault="00A35AD7" w14:paraId="55F5A9C1" w14:textId="77777777">
      <w:pPr>
        <w:spacing w:after="20"/>
      </w:pPr>
    </w:p>
    <w:p w:rsidRPr="008A0227" w:rsidR="001D2741" w:rsidP="008716F6" w:rsidRDefault="001D2741" w14:paraId="0810AD11" w14:textId="0252CF55">
      <w:pPr>
        <w:spacing w:after="20"/>
        <w:rPr>
          <w:b/>
        </w:rPr>
      </w:pPr>
      <w:r w:rsidRPr="008A0227">
        <w:rPr>
          <w:b/>
        </w:rPr>
        <w:lastRenderedPageBreak/>
        <w:t>A.11 Justification for Sensitive Questions</w:t>
      </w:r>
    </w:p>
    <w:p w:rsidRPr="008A0227" w:rsidR="004B3C21" w:rsidP="008716F6" w:rsidRDefault="004B3C21" w14:paraId="55E84668" w14:textId="77777777">
      <w:pPr>
        <w:spacing w:after="20"/>
      </w:pPr>
    </w:p>
    <w:p w:rsidRPr="008A0227" w:rsidR="00FC6E2E" w:rsidP="008716F6" w:rsidRDefault="00FC6E2E" w14:paraId="4FBC138A" w14:textId="27838F26">
      <w:pPr>
        <w:spacing w:after="20"/>
      </w:pPr>
      <w:r w:rsidRPr="008A0227">
        <w:t>There will be no question</w:t>
      </w:r>
      <w:r w:rsidRPr="008A0227" w:rsidR="00D01F05">
        <w:t>s</w:t>
      </w:r>
      <w:r w:rsidRPr="008A0227">
        <w:t xml:space="preserve"> considered to have a sensitive nature.</w:t>
      </w:r>
    </w:p>
    <w:p w:rsidRPr="008A0227" w:rsidR="00063927" w:rsidP="008716F6" w:rsidRDefault="00063927" w14:paraId="389E8650" w14:textId="77777777">
      <w:pPr>
        <w:spacing w:after="20"/>
      </w:pPr>
    </w:p>
    <w:p w:rsidR="00907E64" w:rsidP="00907E64" w:rsidRDefault="00907E64" w14:paraId="4F307C57" w14:textId="171F62EA">
      <w:pPr>
        <w:spacing w:after="20"/>
        <w:rPr>
          <w:b/>
        </w:rPr>
      </w:pPr>
      <w:r w:rsidRPr="008A0227">
        <w:rPr>
          <w:b/>
        </w:rPr>
        <w:t>A.12.1</w:t>
      </w:r>
      <w:r w:rsidRPr="008A0227">
        <w:rPr>
          <w:b/>
        </w:rPr>
        <w:tab/>
        <w:t>Estimated Annualized Burden Hours</w:t>
      </w:r>
    </w:p>
    <w:p w:rsidRPr="008A0227" w:rsidR="001B638B" w:rsidP="00907E64" w:rsidRDefault="001B638B" w14:paraId="2A22574B" w14:textId="77777777">
      <w:pPr>
        <w:spacing w:after="20"/>
        <w:rPr>
          <w:b/>
        </w:rPr>
      </w:pPr>
    </w:p>
    <w:p w:rsidRPr="001B638B" w:rsidR="005F6ADB" w:rsidP="00907E64" w:rsidRDefault="001B638B" w14:paraId="1271E802" w14:textId="1F813EA8">
      <w:pPr>
        <w:spacing w:after="20"/>
        <w:rPr>
          <w:bCs/>
        </w:rPr>
      </w:pPr>
      <w:r w:rsidRPr="001B638B">
        <w:rPr>
          <w:bCs/>
        </w:rPr>
        <w:t xml:space="preserve">The estimates of respondent burden </w:t>
      </w:r>
      <w:proofErr w:type="gramStart"/>
      <w:r w:rsidRPr="001B638B">
        <w:rPr>
          <w:bCs/>
        </w:rPr>
        <w:t>is</w:t>
      </w:r>
      <w:proofErr w:type="gramEnd"/>
      <w:r w:rsidRPr="001B638B">
        <w:rPr>
          <w:bCs/>
        </w:rPr>
        <w:t xml:space="preserve"> presented in Table A.12.1 covers</w:t>
      </w:r>
      <w:r>
        <w:rPr>
          <w:bCs/>
        </w:rPr>
        <w:t xml:space="preserve"> 1</w:t>
      </w:r>
      <w:r w:rsidRPr="001B638B">
        <w:rPr>
          <w:bCs/>
        </w:rPr>
        <w:t>-year period</w:t>
      </w:r>
      <w:r>
        <w:rPr>
          <w:bCs/>
        </w:rPr>
        <w:t>, and includes 2 respondent categories</w:t>
      </w:r>
      <w:r w:rsidR="00C35EC5">
        <w:rPr>
          <w:bCs/>
        </w:rPr>
        <w:t xml:space="preserve">. </w:t>
      </w:r>
      <w:r w:rsidRPr="00C35EC5" w:rsidR="00C35EC5">
        <w:rPr>
          <w:bCs/>
        </w:rPr>
        <w:t>Respondents will be a mix of stakeholders interested in COPD including nonprofits, for profits, and government organizations. They may choose to participate in entering information into the tracking tool at their leisure but will be encouraged to do so quarterly</w:t>
      </w:r>
      <w:r w:rsidRPr="001B638B">
        <w:rPr>
          <w:bCs/>
        </w:rPr>
        <w:t xml:space="preserve">.  </w:t>
      </w:r>
    </w:p>
    <w:p w:rsidRPr="008A0227" w:rsidR="00063927" w:rsidP="008716F6" w:rsidRDefault="00063927" w14:paraId="1A13A6F4" w14:textId="77777777">
      <w:pPr>
        <w:spacing w:after="20"/>
      </w:pPr>
    </w:p>
    <w:p w:rsidRPr="008A0227" w:rsidR="002F3354" w:rsidP="008716F6" w:rsidRDefault="002F3354" w14:paraId="04F8B5B4" w14:textId="1EAC86F3">
      <w:pPr>
        <w:spacing w:after="20"/>
        <w:rPr>
          <w:b/>
        </w:rPr>
      </w:pPr>
      <w:r w:rsidRPr="008A0227">
        <w:rPr>
          <w:b/>
        </w:rPr>
        <w:t xml:space="preserve"> </w:t>
      </w:r>
      <w:r w:rsidR="001B638B">
        <w:rPr>
          <w:b/>
        </w:rPr>
        <w:tab/>
      </w:r>
      <w:r w:rsidRPr="008A0227" w:rsidR="001D2741">
        <w:rPr>
          <w:b/>
        </w:rPr>
        <w:t>A.12</w:t>
      </w:r>
      <w:r w:rsidRPr="008A0227" w:rsidR="00AF01AD">
        <w:rPr>
          <w:b/>
        </w:rPr>
        <w:t>-1</w:t>
      </w:r>
      <w:r w:rsidRPr="008A0227" w:rsidR="001D2741">
        <w:rPr>
          <w:b/>
        </w:rPr>
        <w:t xml:space="preserve"> Estimate</w:t>
      </w:r>
      <w:r w:rsidRPr="008A0227">
        <w:rPr>
          <w:b/>
        </w:rPr>
        <w:t>d Annualized Burden Hours</w:t>
      </w:r>
    </w:p>
    <w:p w:rsidRPr="008A0227" w:rsidR="002F3354" w:rsidP="008716F6" w:rsidRDefault="002F3354" w14:paraId="6ECF8F3F" w14:textId="77777777">
      <w:pPr>
        <w:spacing w:after="20"/>
        <w:rPr>
          <w:b/>
        </w:rPr>
      </w:pPr>
    </w:p>
    <w:p w:rsidRPr="008A0227" w:rsidR="002F3354" w:rsidP="008716F6" w:rsidRDefault="002F3354" w14:paraId="2BB74B11" w14:textId="77777777">
      <w:pPr>
        <w:spacing w:after="20"/>
        <w:rPr>
          <w:b/>
        </w:rPr>
      </w:pPr>
    </w:p>
    <w:tbl>
      <w:tblPr>
        <w:tblW w:w="8562" w:type="dxa"/>
        <w:jc w:val="center"/>
        <w:tblLayout w:type="fixed"/>
        <w:tblCellMar>
          <w:left w:w="100" w:type="dxa"/>
          <w:right w:w="100" w:type="dxa"/>
        </w:tblCellMar>
        <w:tblLook w:val="0000" w:firstRow="0" w:lastRow="0" w:firstColumn="0" w:lastColumn="0" w:noHBand="0" w:noVBand="0"/>
      </w:tblPr>
      <w:tblGrid>
        <w:gridCol w:w="1491"/>
        <w:gridCol w:w="1440"/>
        <w:gridCol w:w="1592"/>
        <w:gridCol w:w="1578"/>
        <w:gridCol w:w="1315"/>
        <w:gridCol w:w="1146"/>
      </w:tblGrid>
      <w:tr w:rsidRPr="008A0227" w:rsidR="008A0227" w:rsidTr="00EB77CC" w14:paraId="4B4132F0" w14:textId="77777777">
        <w:trPr>
          <w:cantSplit/>
          <w:trHeight w:val="372"/>
          <w:jc w:val="center"/>
        </w:trPr>
        <w:tc>
          <w:tcPr>
            <w:tcW w:w="1491" w:type="dxa"/>
            <w:tcBorders>
              <w:top w:val="single" w:color="auto" w:sz="6" w:space="0"/>
              <w:left w:val="single" w:color="auto" w:sz="6" w:space="0"/>
            </w:tcBorders>
          </w:tcPr>
          <w:p w:rsidRPr="008A0227" w:rsidR="002F3354" w:rsidP="00F32C96" w:rsidRDefault="002F3354" w14:paraId="20A14C8E" w14:textId="77777777">
            <w:pPr>
              <w:rPr>
                <w:sz w:val="24"/>
                <w:szCs w:val="24"/>
              </w:rPr>
            </w:pPr>
            <w:r w:rsidRPr="008A0227">
              <w:rPr>
                <w:sz w:val="24"/>
                <w:szCs w:val="24"/>
              </w:rPr>
              <w:t xml:space="preserve">Form Name </w:t>
            </w:r>
          </w:p>
        </w:tc>
        <w:tc>
          <w:tcPr>
            <w:tcW w:w="1440" w:type="dxa"/>
            <w:tcBorders>
              <w:top w:val="single" w:color="auto" w:sz="6" w:space="0"/>
              <w:left w:val="single" w:color="auto" w:sz="6" w:space="0"/>
            </w:tcBorders>
          </w:tcPr>
          <w:p w:rsidRPr="008A0227" w:rsidR="002F3354" w:rsidP="00F32C96" w:rsidRDefault="002F3354" w14:paraId="6702A6CB" w14:textId="24EBF52A">
            <w:pPr>
              <w:rPr>
                <w:sz w:val="24"/>
                <w:szCs w:val="24"/>
              </w:rPr>
            </w:pPr>
            <w:r w:rsidRPr="008A0227">
              <w:rPr>
                <w:sz w:val="24"/>
                <w:szCs w:val="24"/>
              </w:rPr>
              <w:t>Type of Respondent</w:t>
            </w:r>
          </w:p>
        </w:tc>
        <w:tc>
          <w:tcPr>
            <w:tcW w:w="1592" w:type="dxa"/>
            <w:tcBorders>
              <w:top w:val="single" w:color="auto" w:sz="6" w:space="0"/>
              <w:left w:val="single" w:color="auto" w:sz="6" w:space="0"/>
            </w:tcBorders>
          </w:tcPr>
          <w:p w:rsidRPr="008A0227" w:rsidR="002F3354" w:rsidP="00F32C96" w:rsidRDefault="002F3354" w14:paraId="1B16D57A" w14:textId="0B292341">
            <w:pPr>
              <w:rPr>
                <w:sz w:val="24"/>
                <w:szCs w:val="24"/>
              </w:rPr>
            </w:pPr>
            <w:r w:rsidRPr="008A0227">
              <w:rPr>
                <w:sz w:val="24"/>
                <w:szCs w:val="24"/>
              </w:rPr>
              <w:t>Number of Respondents</w:t>
            </w:r>
          </w:p>
        </w:tc>
        <w:tc>
          <w:tcPr>
            <w:tcW w:w="1578" w:type="dxa"/>
            <w:tcBorders>
              <w:top w:val="single" w:color="auto" w:sz="6" w:space="0"/>
              <w:left w:val="single" w:color="auto" w:sz="6" w:space="0"/>
            </w:tcBorders>
          </w:tcPr>
          <w:p w:rsidRPr="008A0227" w:rsidR="002F3354" w:rsidP="00F32C96" w:rsidRDefault="002F3354" w14:paraId="56087991" w14:textId="77777777">
            <w:pPr>
              <w:rPr>
                <w:sz w:val="24"/>
                <w:szCs w:val="24"/>
              </w:rPr>
            </w:pPr>
            <w:r w:rsidRPr="008A0227">
              <w:rPr>
                <w:sz w:val="24"/>
                <w:szCs w:val="24"/>
              </w:rPr>
              <w:t>Number of Responses per Respondent</w:t>
            </w:r>
          </w:p>
        </w:tc>
        <w:tc>
          <w:tcPr>
            <w:tcW w:w="1315" w:type="dxa"/>
            <w:tcBorders>
              <w:top w:val="single" w:color="auto" w:sz="6" w:space="0"/>
              <w:left w:val="single" w:color="auto" w:sz="6" w:space="0"/>
            </w:tcBorders>
          </w:tcPr>
          <w:p w:rsidRPr="008A0227" w:rsidR="002F3354" w:rsidP="00F32C96" w:rsidRDefault="002F3354" w14:paraId="1E2C9E1F" w14:textId="77777777">
            <w:pPr>
              <w:rPr>
                <w:sz w:val="24"/>
                <w:szCs w:val="24"/>
              </w:rPr>
            </w:pPr>
            <w:r w:rsidRPr="008A0227">
              <w:rPr>
                <w:sz w:val="24"/>
                <w:szCs w:val="24"/>
              </w:rPr>
              <w:t xml:space="preserve">Average </w:t>
            </w:r>
            <w:proofErr w:type="gramStart"/>
            <w:r w:rsidRPr="008A0227">
              <w:rPr>
                <w:sz w:val="24"/>
                <w:szCs w:val="24"/>
              </w:rPr>
              <w:t>Burden  Per</w:t>
            </w:r>
            <w:proofErr w:type="gramEnd"/>
            <w:r w:rsidRPr="008A0227">
              <w:rPr>
                <w:sz w:val="24"/>
                <w:szCs w:val="24"/>
              </w:rPr>
              <w:t xml:space="preserve"> Response </w:t>
            </w:r>
          </w:p>
          <w:p w:rsidRPr="008A0227" w:rsidR="002F3354" w:rsidP="00F32C96" w:rsidRDefault="002F3354" w14:paraId="30BADB10" w14:textId="77777777">
            <w:pPr>
              <w:rPr>
                <w:sz w:val="24"/>
                <w:szCs w:val="24"/>
              </w:rPr>
            </w:pPr>
            <w:r w:rsidRPr="008A0227">
              <w:rPr>
                <w:sz w:val="24"/>
                <w:szCs w:val="24"/>
              </w:rPr>
              <w:t xml:space="preserve">(in hours) </w:t>
            </w:r>
          </w:p>
        </w:tc>
        <w:tc>
          <w:tcPr>
            <w:tcW w:w="1146" w:type="dxa"/>
            <w:tcBorders>
              <w:top w:val="single" w:color="auto" w:sz="6" w:space="0"/>
              <w:left w:val="single" w:color="auto" w:sz="6" w:space="0"/>
              <w:right w:val="single" w:color="auto" w:sz="6" w:space="0"/>
            </w:tcBorders>
          </w:tcPr>
          <w:p w:rsidRPr="008A0227" w:rsidR="002F3354" w:rsidP="00F32C96" w:rsidRDefault="002F3354" w14:paraId="0B72B973" w14:textId="77777777">
            <w:pPr>
              <w:rPr>
                <w:sz w:val="24"/>
                <w:szCs w:val="24"/>
              </w:rPr>
            </w:pPr>
            <w:r w:rsidRPr="008A0227">
              <w:rPr>
                <w:sz w:val="24"/>
                <w:szCs w:val="24"/>
              </w:rPr>
              <w:t xml:space="preserve">Total </w:t>
            </w:r>
            <w:proofErr w:type="gramStart"/>
            <w:r w:rsidRPr="008A0227">
              <w:rPr>
                <w:sz w:val="24"/>
                <w:szCs w:val="24"/>
              </w:rPr>
              <w:t>Annual  Burden</w:t>
            </w:r>
            <w:proofErr w:type="gramEnd"/>
            <w:r w:rsidRPr="008A0227">
              <w:rPr>
                <w:sz w:val="24"/>
                <w:szCs w:val="24"/>
              </w:rPr>
              <w:t xml:space="preserve"> Hour </w:t>
            </w:r>
          </w:p>
        </w:tc>
      </w:tr>
      <w:tr w:rsidRPr="008A0227" w:rsidR="008A0227" w:rsidTr="00EB77CC" w14:paraId="21F89ABE" w14:textId="77777777">
        <w:trPr>
          <w:cantSplit/>
          <w:trHeight w:val="372"/>
          <w:jc w:val="center"/>
        </w:trPr>
        <w:tc>
          <w:tcPr>
            <w:tcW w:w="1491" w:type="dxa"/>
            <w:tcBorders>
              <w:top w:val="single" w:color="auto" w:sz="6" w:space="0"/>
              <w:left w:val="single" w:color="auto" w:sz="6" w:space="0"/>
            </w:tcBorders>
          </w:tcPr>
          <w:p w:rsidRPr="008A0227" w:rsidR="002F3354" w:rsidP="00F32C96" w:rsidRDefault="002F3354" w14:paraId="1F4C09F1" w14:textId="491D02E3">
            <w:pPr>
              <w:rPr>
                <w:sz w:val="24"/>
                <w:szCs w:val="24"/>
              </w:rPr>
            </w:pPr>
            <w:r w:rsidRPr="008A0227">
              <w:rPr>
                <w:sz w:val="24"/>
                <w:szCs w:val="24"/>
              </w:rPr>
              <w:t>A</w:t>
            </w:r>
            <w:r w:rsidRPr="008A0227" w:rsidR="00D06EEF">
              <w:rPr>
                <w:sz w:val="24"/>
                <w:szCs w:val="24"/>
              </w:rPr>
              <w:t xml:space="preserve"> COPD National Action Plan Tracking System</w:t>
            </w:r>
          </w:p>
        </w:tc>
        <w:tc>
          <w:tcPr>
            <w:tcW w:w="1440" w:type="dxa"/>
            <w:tcBorders>
              <w:top w:val="single" w:color="auto" w:sz="6" w:space="0"/>
              <w:left w:val="single" w:color="auto" w:sz="6" w:space="0"/>
            </w:tcBorders>
          </w:tcPr>
          <w:p w:rsidRPr="008A0227" w:rsidR="002F3354" w:rsidP="00F32C96" w:rsidRDefault="00C52BD2" w14:paraId="4326137B" w14:textId="27847BD2">
            <w:pPr>
              <w:rPr>
                <w:sz w:val="24"/>
                <w:szCs w:val="24"/>
              </w:rPr>
            </w:pPr>
            <w:r w:rsidRPr="008A0227">
              <w:rPr>
                <w:sz w:val="24"/>
                <w:szCs w:val="24"/>
              </w:rPr>
              <w:t>P</w:t>
            </w:r>
            <w:r w:rsidR="00A66687">
              <w:rPr>
                <w:sz w:val="24"/>
                <w:szCs w:val="24"/>
              </w:rPr>
              <w:t>rivate Sector</w:t>
            </w:r>
            <w:r w:rsidRPr="008A0227">
              <w:rPr>
                <w:sz w:val="24"/>
                <w:szCs w:val="24"/>
              </w:rPr>
              <w:t xml:space="preserve"> </w:t>
            </w:r>
          </w:p>
        </w:tc>
        <w:tc>
          <w:tcPr>
            <w:tcW w:w="1592" w:type="dxa"/>
            <w:tcBorders>
              <w:top w:val="single" w:color="auto" w:sz="6" w:space="0"/>
              <w:left w:val="single" w:color="auto" w:sz="6" w:space="0"/>
            </w:tcBorders>
          </w:tcPr>
          <w:p w:rsidRPr="008A0227" w:rsidR="002F3354" w:rsidP="00F32C96" w:rsidRDefault="00C52BD2" w14:paraId="26C6209D" w14:textId="6B41A68A">
            <w:pPr>
              <w:jc w:val="center"/>
              <w:rPr>
                <w:sz w:val="24"/>
                <w:szCs w:val="24"/>
              </w:rPr>
            </w:pPr>
            <w:r w:rsidRPr="008A0227">
              <w:rPr>
                <w:sz w:val="24"/>
                <w:szCs w:val="24"/>
              </w:rPr>
              <w:t>2</w:t>
            </w:r>
            <w:r w:rsidR="00A66687">
              <w:rPr>
                <w:sz w:val="24"/>
                <w:szCs w:val="24"/>
              </w:rPr>
              <w:t>0</w:t>
            </w:r>
          </w:p>
        </w:tc>
        <w:tc>
          <w:tcPr>
            <w:tcW w:w="1578" w:type="dxa"/>
            <w:tcBorders>
              <w:top w:val="single" w:color="auto" w:sz="6" w:space="0"/>
              <w:left w:val="single" w:color="auto" w:sz="6" w:space="0"/>
            </w:tcBorders>
          </w:tcPr>
          <w:p w:rsidRPr="008A0227" w:rsidR="002F3354" w:rsidP="00F32C96" w:rsidRDefault="00D06EEF" w14:paraId="19DDF317" w14:textId="6C277196">
            <w:pPr>
              <w:jc w:val="center"/>
              <w:rPr>
                <w:sz w:val="24"/>
                <w:szCs w:val="24"/>
              </w:rPr>
            </w:pPr>
            <w:r w:rsidRPr="008A0227">
              <w:rPr>
                <w:sz w:val="24"/>
                <w:szCs w:val="24"/>
              </w:rPr>
              <w:t>4</w:t>
            </w:r>
          </w:p>
        </w:tc>
        <w:tc>
          <w:tcPr>
            <w:tcW w:w="1315" w:type="dxa"/>
            <w:tcBorders>
              <w:top w:val="single" w:color="auto" w:sz="6" w:space="0"/>
              <w:left w:val="single" w:color="auto" w:sz="6" w:space="0"/>
            </w:tcBorders>
          </w:tcPr>
          <w:p w:rsidRPr="008A0227" w:rsidR="002F3354" w:rsidP="00F32C96" w:rsidRDefault="008F5A77" w14:paraId="72C37AD7" w14:textId="138C085F">
            <w:pPr>
              <w:jc w:val="center"/>
              <w:rPr>
                <w:sz w:val="24"/>
                <w:szCs w:val="24"/>
              </w:rPr>
            </w:pPr>
            <w:r>
              <w:rPr>
                <w:sz w:val="24"/>
                <w:szCs w:val="24"/>
              </w:rPr>
              <w:t>1</w:t>
            </w:r>
          </w:p>
        </w:tc>
        <w:tc>
          <w:tcPr>
            <w:tcW w:w="1146" w:type="dxa"/>
            <w:tcBorders>
              <w:top w:val="single" w:color="auto" w:sz="6" w:space="0"/>
              <w:left w:val="single" w:color="auto" w:sz="6" w:space="0"/>
              <w:right w:val="single" w:color="auto" w:sz="6" w:space="0"/>
            </w:tcBorders>
          </w:tcPr>
          <w:p w:rsidRPr="008A0227" w:rsidR="002F3354" w:rsidP="00F32C96" w:rsidRDefault="00A66687" w14:paraId="504C80DE" w14:textId="17C344DF">
            <w:pPr>
              <w:jc w:val="center"/>
              <w:rPr>
                <w:sz w:val="24"/>
                <w:szCs w:val="24"/>
              </w:rPr>
            </w:pPr>
            <w:r>
              <w:rPr>
                <w:sz w:val="24"/>
                <w:szCs w:val="24"/>
              </w:rPr>
              <w:t>80</w:t>
            </w:r>
          </w:p>
        </w:tc>
      </w:tr>
      <w:tr w:rsidRPr="008A0227" w:rsidR="00A66687" w:rsidTr="00EB77CC" w14:paraId="06384194" w14:textId="77777777">
        <w:trPr>
          <w:cantSplit/>
          <w:trHeight w:val="372"/>
          <w:jc w:val="center"/>
        </w:trPr>
        <w:tc>
          <w:tcPr>
            <w:tcW w:w="1491" w:type="dxa"/>
            <w:tcBorders>
              <w:top w:val="single" w:color="auto" w:sz="6" w:space="0"/>
              <w:left w:val="single" w:color="auto" w:sz="6" w:space="0"/>
            </w:tcBorders>
          </w:tcPr>
          <w:p w:rsidRPr="008A0227" w:rsidR="00A66687" w:rsidP="00F32C96" w:rsidRDefault="00A66687" w14:paraId="49069D72" w14:textId="29193A29">
            <w:pPr>
              <w:rPr>
                <w:sz w:val="24"/>
                <w:szCs w:val="24"/>
              </w:rPr>
            </w:pPr>
            <w:r w:rsidRPr="00A66687">
              <w:rPr>
                <w:sz w:val="24"/>
                <w:szCs w:val="24"/>
              </w:rPr>
              <w:t>A COPD National Action Plan Tracking System</w:t>
            </w:r>
          </w:p>
        </w:tc>
        <w:tc>
          <w:tcPr>
            <w:tcW w:w="1440" w:type="dxa"/>
            <w:tcBorders>
              <w:top w:val="single" w:color="auto" w:sz="6" w:space="0"/>
              <w:left w:val="single" w:color="auto" w:sz="6" w:space="0"/>
            </w:tcBorders>
          </w:tcPr>
          <w:p w:rsidRPr="008A0227" w:rsidR="00A66687" w:rsidP="00F32C96" w:rsidRDefault="00A66687" w14:paraId="1DD30BF6" w14:textId="4A3E1298">
            <w:pPr>
              <w:rPr>
                <w:sz w:val="24"/>
                <w:szCs w:val="24"/>
              </w:rPr>
            </w:pPr>
            <w:r>
              <w:rPr>
                <w:sz w:val="24"/>
                <w:szCs w:val="24"/>
              </w:rPr>
              <w:t>Federal Government</w:t>
            </w:r>
          </w:p>
        </w:tc>
        <w:tc>
          <w:tcPr>
            <w:tcW w:w="1592" w:type="dxa"/>
            <w:tcBorders>
              <w:top w:val="single" w:color="auto" w:sz="6" w:space="0"/>
              <w:left w:val="single" w:color="auto" w:sz="6" w:space="0"/>
            </w:tcBorders>
          </w:tcPr>
          <w:p w:rsidRPr="008A0227" w:rsidR="00A66687" w:rsidP="00F32C96" w:rsidRDefault="00A66687" w14:paraId="447EA546" w14:textId="509EE542">
            <w:pPr>
              <w:jc w:val="center"/>
              <w:rPr>
                <w:sz w:val="24"/>
                <w:szCs w:val="24"/>
              </w:rPr>
            </w:pPr>
            <w:r>
              <w:rPr>
                <w:sz w:val="24"/>
                <w:szCs w:val="24"/>
              </w:rPr>
              <w:t>5</w:t>
            </w:r>
          </w:p>
        </w:tc>
        <w:tc>
          <w:tcPr>
            <w:tcW w:w="1578" w:type="dxa"/>
            <w:tcBorders>
              <w:top w:val="single" w:color="auto" w:sz="6" w:space="0"/>
              <w:left w:val="single" w:color="auto" w:sz="6" w:space="0"/>
            </w:tcBorders>
          </w:tcPr>
          <w:p w:rsidRPr="008A0227" w:rsidR="00A66687" w:rsidP="00F32C96" w:rsidRDefault="00A66687" w14:paraId="49973E27" w14:textId="3935DD34">
            <w:pPr>
              <w:jc w:val="center"/>
              <w:rPr>
                <w:sz w:val="24"/>
                <w:szCs w:val="24"/>
              </w:rPr>
            </w:pPr>
            <w:r>
              <w:rPr>
                <w:sz w:val="24"/>
                <w:szCs w:val="24"/>
              </w:rPr>
              <w:t>4</w:t>
            </w:r>
          </w:p>
        </w:tc>
        <w:tc>
          <w:tcPr>
            <w:tcW w:w="1315" w:type="dxa"/>
            <w:tcBorders>
              <w:top w:val="single" w:color="auto" w:sz="6" w:space="0"/>
              <w:left w:val="single" w:color="auto" w:sz="6" w:space="0"/>
            </w:tcBorders>
          </w:tcPr>
          <w:p w:rsidR="00A66687" w:rsidP="00F32C96" w:rsidRDefault="00A66687" w14:paraId="4A384232" w14:textId="6273E496">
            <w:pPr>
              <w:jc w:val="center"/>
              <w:rPr>
                <w:sz w:val="24"/>
                <w:szCs w:val="24"/>
              </w:rPr>
            </w:pPr>
            <w:r>
              <w:rPr>
                <w:sz w:val="24"/>
                <w:szCs w:val="24"/>
              </w:rPr>
              <w:t>1</w:t>
            </w:r>
          </w:p>
        </w:tc>
        <w:tc>
          <w:tcPr>
            <w:tcW w:w="1146" w:type="dxa"/>
            <w:tcBorders>
              <w:top w:val="single" w:color="auto" w:sz="6" w:space="0"/>
              <w:left w:val="single" w:color="auto" w:sz="6" w:space="0"/>
              <w:right w:val="single" w:color="auto" w:sz="6" w:space="0"/>
            </w:tcBorders>
          </w:tcPr>
          <w:p w:rsidRPr="008A0227" w:rsidR="00A66687" w:rsidP="00F32C96" w:rsidRDefault="00A66687" w14:paraId="6B5064CF" w14:textId="3153CD0A">
            <w:pPr>
              <w:jc w:val="center"/>
              <w:rPr>
                <w:sz w:val="24"/>
                <w:szCs w:val="24"/>
              </w:rPr>
            </w:pPr>
            <w:r>
              <w:rPr>
                <w:sz w:val="24"/>
                <w:szCs w:val="24"/>
              </w:rPr>
              <w:t>20</w:t>
            </w:r>
          </w:p>
        </w:tc>
      </w:tr>
      <w:tr w:rsidRPr="008A0227" w:rsidR="001B3C5E" w:rsidTr="00EB77CC" w14:paraId="4AF72C46" w14:textId="77777777">
        <w:trPr>
          <w:cantSplit/>
          <w:trHeight w:val="372"/>
          <w:jc w:val="center"/>
        </w:trPr>
        <w:tc>
          <w:tcPr>
            <w:tcW w:w="1491" w:type="dxa"/>
            <w:tcBorders>
              <w:top w:val="single" w:color="auto" w:sz="6" w:space="0"/>
              <w:left w:val="single" w:color="auto" w:sz="6" w:space="0"/>
              <w:bottom w:val="single" w:color="auto" w:sz="4" w:space="0"/>
            </w:tcBorders>
          </w:tcPr>
          <w:p w:rsidRPr="008A0227" w:rsidR="001B3C5E" w:rsidP="00F32C96" w:rsidRDefault="001B3C5E" w14:paraId="4C80555D" w14:textId="076A670E">
            <w:pPr>
              <w:rPr>
                <w:sz w:val="24"/>
                <w:szCs w:val="24"/>
              </w:rPr>
            </w:pPr>
            <w:r w:rsidRPr="008A0227">
              <w:rPr>
                <w:sz w:val="24"/>
                <w:szCs w:val="24"/>
              </w:rPr>
              <w:t>Total</w:t>
            </w:r>
          </w:p>
        </w:tc>
        <w:tc>
          <w:tcPr>
            <w:tcW w:w="1440" w:type="dxa"/>
            <w:tcBorders>
              <w:top w:val="single" w:color="auto" w:sz="6" w:space="0"/>
              <w:left w:val="single" w:color="auto" w:sz="6" w:space="0"/>
              <w:bottom w:val="single" w:color="auto" w:sz="4" w:space="0"/>
            </w:tcBorders>
          </w:tcPr>
          <w:p w:rsidRPr="008A0227" w:rsidR="001B3C5E" w:rsidP="00F32C96" w:rsidRDefault="001B3C5E" w14:paraId="7257B915" w14:textId="77777777">
            <w:pPr>
              <w:rPr>
                <w:sz w:val="24"/>
                <w:szCs w:val="24"/>
              </w:rPr>
            </w:pPr>
          </w:p>
        </w:tc>
        <w:tc>
          <w:tcPr>
            <w:tcW w:w="1592" w:type="dxa"/>
            <w:tcBorders>
              <w:top w:val="single" w:color="auto" w:sz="6" w:space="0"/>
              <w:left w:val="single" w:color="auto" w:sz="6" w:space="0"/>
              <w:bottom w:val="single" w:color="auto" w:sz="4" w:space="0"/>
            </w:tcBorders>
          </w:tcPr>
          <w:p w:rsidRPr="008A0227" w:rsidR="001B3C5E" w:rsidP="001B3C5E" w:rsidRDefault="00D50B73" w14:paraId="2A6454D7" w14:textId="06B83418">
            <w:pPr>
              <w:jc w:val="center"/>
              <w:rPr>
                <w:sz w:val="24"/>
                <w:szCs w:val="24"/>
              </w:rPr>
            </w:pPr>
            <w:r>
              <w:rPr>
                <w:sz w:val="24"/>
                <w:szCs w:val="24"/>
              </w:rPr>
              <w:t>25</w:t>
            </w:r>
          </w:p>
        </w:tc>
        <w:tc>
          <w:tcPr>
            <w:tcW w:w="1578" w:type="dxa"/>
            <w:tcBorders>
              <w:top w:val="single" w:color="auto" w:sz="6" w:space="0"/>
              <w:left w:val="single" w:color="auto" w:sz="6" w:space="0"/>
              <w:bottom w:val="single" w:color="auto" w:sz="4" w:space="0"/>
            </w:tcBorders>
          </w:tcPr>
          <w:p w:rsidRPr="008A0227" w:rsidR="001B3C5E" w:rsidP="00F32C96" w:rsidRDefault="008F5A77" w14:paraId="66177978" w14:textId="7E15C613">
            <w:pPr>
              <w:jc w:val="center"/>
              <w:rPr>
                <w:sz w:val="24"/>
                <w:szCs w:val="24"/>
              </w:rPr>
            </w:pPr>
            <w:r>
              <w:rPr>
                <w:sz w:val="24"/>
                <w:szCs w:val="24"/>
              </w:rPr>
              <w:t>100</w:t>
            </w:r>
          </w:p>
        </w:tc>
        <w:tc>
          <w:tcPr>
            <w:tcW w:w="1315" w:type="dxa"/>
            <w:tcBorders>
              <w:top w:val="single" w:color="auto" w:sz="6" w:space="0"/>
              <w:left w:val="single" w:color="auto" w:sz="6" w:space="0"/>
              <w:bottom w:val="single" w:color="auto" w:sz="4" w:space="0"/>
            </w:tcBorders>
          </w:tcPr>
          <w:p w:rsidRPr="008A0227" w:rsidR="001B3C5E" w:rsidP="00F32C96" w:rsidRDefault="001B3C5E" w14:paraId="2D9BE7BB" w14:textId="72F09E72">
            <w:pPr>
              <w:jc w:val="center"/>
              <w:rPr>
                <w:sz w:val="24"/>
                <w:szCs w:val="24"/>
              </w:rPr>
            </w:pPr>
            <w:bookmarkStart w:name="_GoBack" w:id="0"/>
            <w:bookmarkEnd w:id="0"/>
          </w:p>
        </w:tc>
        <w:tc>
          <w:tcPr>
            <w:tcW w:w="1146" w:type="dxa"/>
            <w:tcBorders>
              <w:top w:val="single" w:color="auto" w:sz="6" w:space="0"/>
              <w:left w:val="single" w:color="auto" w:sz="6" w:space="0"/>
              <w:bottom w:val="single" w:color="auto" w:sz="4" w:space="0"/>
              <w:right w:val="single" w:color="auto" w:sz="6" w:space="0"/>
            </w:tcBorders>
          </w:tcPr>
          <w:p w:rsidRPr="008A0227" w:rsidR="001B3C5E" w:rsidP="00F32C96" w:rsidRDefault="00D50B73" w14:paraId="5115C36E" w14:textId="4E6BB0C1">
            <w:pPr>
              <w:jc w:val="center"/>
              <w:rPr>
                <w:sz w:val="24"/>
                <w:szCs w:val="24"/>
              </w:rPr>
            </w:pPr>
            <w:r>
              <w:rPr>
                <w:sz w:val="24"/>
                <w:szCs w:val="24"/>
              </w:rPr>
              <w:t>100</w:t>
            </w:r>
          </w:p>
        </w:tc>
      </w:tr>
    </w:tbl>
    <w:p w:rsidRPr="008A0227" w:rsidR="002F3354" w:rsidP="008716F6" w:rsidRDefault="002F3354" w14:paraId="3FAEFB6A" w14:textId="77777777">
      <w:pPr>
        <w:spacing w:after="20"/>
        <w:rPr>
          <w:b/>
        </w:rPr>
      </w:pPr>
    </w:p>
    <w:p w:rsidRPr="008A0227" w:rsidR="00907E64" w:rsidP="008716F6" w:rsidRDefault="00907E64" w14:paraId="1D304D70" w14:textId="77777777">
      <w:pPr>
        <w:spacing w:after="20"/>
        <w:rPr>
          <w:b/>
        </w:rPr>
      </w:pPr>
    </w:p>
    <w:p w:rsidR="00DD6653" w:rsidP="00907E64" w:rsidRDefault="00DD6653" w14:paraId="41BF2D36" w14:textId="77777777">
      <w:pPr>
        <w:spacing w:after="20"/>
        <w:rPr>
          <w:b/>
        </w:rPr>
      </w:pPr>
    </w:p>
    <w:p w:rsidR="00DD6653" w:rsidP="00907E64" w:rsidRDefault="00DD6653" w14:paraId="6506CE56" w14:textId="77777777">
      <w:pPr>
        <w:spacing w:after="20"/>
        <w:rPr>
          <w:b/>
        </w:rPr>
      </w:pPr>
    </w:p>
    <w:p w:rsidR="00DD6653" w:rsidP="00907E64" w:rsidRDefault="00DD6653" w14:paraId="52BC9D95" w14:textId="77777777">
      <w:pPr>
        <w:spacing w:after="20"/>
        <w:rPr>
          <w:b/>
        </w:rPr>
      </w:pPr>
    </w:p>
    <w:p w:rsidR="00DD6653" w:rsidP="00907E64" w:rsidRDefault="00DD6653" w14:paraId="0790C650" w14:textId="77777777">
      <w:pPr>
        <w:spacing w:after="20"/>
        <w:rPr>
          <w:b/>
        </w:rPr>
      </w:pPr>
    </w:p>
    <w:p w:rsidR="00DD6653" w:rsidP="00907E64" w:rsidRDefault="00DD6653" w14:paraId="2C6BAAC7" w14:textId="77777777">
      <w:pPr>
        <w:spacing w:after="20"/>
        <w:rPr>
          <w:b/>
        </w:rPr>
      </w:pPr>
    </w:p>
    <w:p w:rsidR="00DD6653" w:rsidP="00907E64" w:rsidRDefault="00DD6653" w14:paraId="7F7B9EAC" w14:textId="77777777">
      <w:pPr>
        <w:spacing w:after="20"/>
        <w:rPr>
          <w:b/>
        </w:rPr>
      </w:pPr>
    </w:p>
    <w:p w:rsidR="00DD6653" w:rsidP="00907E64" w:rsidRDefault="00DD6653" w14:paraId="7428B235" w14:textId="77777777">
      <w:pPr>
        <w:spacing w:after="20"/>
        <w:rPr>
          <w:b/>
        </w:rPr>
      </w:pPr>
    </w:p>
    <w:p w:rsidR="00DD6653" w:rsidP="00907E64" w:rsidRDefault="00DD6653" w14:paraId="1759F1CF" w14:textId="77777777">
      <w:pPr>
        <w:spacing w:after="20"/>
        <w:rPr>
          <w:b/>
        </w:rPr>
      </w:pPr>
    </w:p>
    <w:p w:rsidRPr="008A0227" w:rsidR="00907E64" w:rsidP="00907E64" w:rsidRDefault="00907E64" w14:paraId="51E868DE" w14:textId="58498401">
      <w:pPr>
        <w:spacing w:after="20"/>
        <w:rPr>
          <w:b/>
        </w:rPr>
      </w:pPr>
      <w:r w:rsidRPr="008A0227">
        <w:rPr>
          <w:b/>
        </w:rPr>
        <w:t>A.12-2</w:t>
      </w:r>
      <w:r w:rsidRPr="008A0227">
        <w:rPr>
          <w:b/>
        </w:rPr>
        <w:tab/>
        <w:t>ANNUALIZED COST TO RESPONDENTS</w:t>
      </w:r>
    </w:p>
    <w:p w:rsidRPr="008A0227" w:rsidR="00907E64" w:rsidP="00907E64" w:rsidRDefault="00907E64" w14:paraId="5C0BDE52" w14:textId="77777777">
      <w:pPr>
        <w:spacing w:after="20"/>
        <w:rPr>
          <w:b/>
        </w:rPr>
      </w:pPr>
    </w:p>
    <w:p w:rsidRPr="008A0227" w:rsidR="002F3354" w:rsidP="008716F6" w:rsidRDefault="002F3354" w14:paraId="693EA7B4" w14:textId="5B2966A8">
      <w:pPr>
        <w:spacing w:after="20"/>
      </w:pPr>
      <w:r w:rsidRPr="008A0227">
        <w:t xml:space="preserve">                                                </w:t>
      </w:r>
      <w:r w:rsidRPr="008A0227" w:rsidR="00AF01AD">
        <w:t>A.12-2</w:t>
      </w:r>
      <w:r w:rsidRPr="008A0227">
        <w:t xml:space="preserve"> Annualized Cost to the Respondents</w:t>
      </w:r>
    </w:p>
    <w:p w:rsidRPr="008A0227" w:rsidR="002F3354" w:rsidP="008716F6" w:rsidRDefault="002F3354" w14:paraId="603E5961" w14:textId="77777777">
      <w:pPr>
        <w:spacing w:after="20"/>
      </w:pPr>
    </w:p>
    <w:tbl>
      <w:tblPr>
        <w:tblW w:w="7669" w:type="dxa"/>
        <w:jc w:val="center"/>
        <w:tblLayout w:type="fixed"/>
        <w:tblCellMar>
          <w:left w:w="100" w:type="dxa"/>
          <w:right w:w="100" w:type="dxa"/>
        </w:tblCellMar>
        <w:tblLook w:val="0000" w:firstRow="0" w:lastRow="0" w:firstColumn="0" w:lastColumn="0" w:noHBand="0" w:noVBand="0"/>
      </w:tblPr>
      <w:tblGrid>
        <w:gridCol w:w="2353"/>
        <w:gridCol w:w="1575"/>
        <w:gridCol w:w="1707"/>
        <w:gridCol w:w="2034"/>
      </w:tblGrid>
      <w:tr w:rsidRPr="008A0227" w:rsidR="008A0227" w:rsidTr="00BC088C" w14:paraId="7A2015CD" w14:textId="77777777">
        <w:trPr>
          <w:cantSplit/>
          <w:trHeight w:val="372"/>
          <w:jc w:val="center"/>
        </w:trPr>
        <w:tc>
          <w:tcPr>
            <w:tcW w:w="2353" w:type="dxa"/>
            <w:tcBorders>
              <w:top w:val="single" w:color="auto" w:sz="6" w:space="0"/>
              <w:left w:val="single" w:color="auto" w:sz="6" w:space="0"/>
            </w:tcBorders>
          </w:tcPr>
          <w:p w:rsidRPr="008A0227" w:rsidR="00BC088C" w:rsidP="00F32C96" w:rsidRDefault="00BC088C" w14:paraId="22B88AB6" w14:textId="22D61807">
            <w:pPr>
              <w:rPr>
                <w:sz w:val="24"/>
                <w:szCs w:val="24"/>
              </w:rPr>
            </w:pPr>
            <w:r w:rsidRPr="008A0227">
              <w:rPr>
                <w:sz w:val="24"/>
                <w:szCs w:val="24"/>
              </w:rPr>
              <w:t xml:space="preserve">Type of Respondent  </w:t>
            </w:r>
          </w:p>
        </w:tc>
        <w:tc>
          <w:tcPr>
            <w:tcW w:w="1575" w:type="dxa"/>
            <w:tcBorders>
              <w:top w:val="single" w:color="auto" w:sz="6" w:space="0"/>
              <w:left w:val="single" w:color="auto" w:sz="6" w:space="0"/>
            </w:tcBorders>
          </w:tcPr>
          <w:p w:rsidRPr="008A0227" w:rsidR="00BC088C" w:rsidP="003D32E2" w:rsidRDefault="00BC088C" w14:paraId="50782538" w14:textId="591E5933">
            <w:pPr>
              <w:rPr>
                <w:sz w:val="24"/>
                <w:szCs w:val="24"/>
              </w:rPr>
            </w:pPr>
            <w:r w:rsidRPr="008A0227">
              <w:rPr>
                <w:sz w:val="24"/>
                <w:szCs w:val="24"/>
              </w:rPr>
              <w:t>Total Annual Burden Hours</w:t>
            </w:r>
          </w:p>
        </w:tc>
        <w:tc>
          <w:tcPr>
            <w:tcW w:w="1707" w:type="dxa"/>
            <w:tcBorders>
              <w:top w:val="single" w:color="auto" w:sz="6" w:space="0"/>
              <w:left w:val="single" w:color="auto" w:sz="6" w:space="0"/>
            </w:tcBorders>
          </w:tcPr>
          <w:p w:rsidRPr="008A0227" w:rsidR="00BC088C" w:rsidP="00EB77CC" w:rsidRDefault="00BC088C" w14:paraId="15FE8BBD" w14:textId="7059E1C9">
            <w:pPr>
              <w:rPr>
                <w:sz w:val="24"/>
                <w:szCs w:val="24"/>
              </w:rPr>
            </w:pPr>
            <w:r w:rsidRPr="008A0227">
              <w:rPr>
                <w:sz w:val="24"/>
                <w:szCs w:val="24"/>
              </w:rPr>
              <w:t xml:space="preserve"> Wage Rate*</w:t>
            </w:r>
          </w:p>
        </w:tc>
        <w:tc>
          <w:tcPr>
            <w:tcW w:w="2034" w:type="dxa"/>
            <w:tcBorders>
              <w:top w:val="single" w:color="auto" w:sz="6" w:space="0"/>
              <w:left w:val="single" w:color="auto" w:sz="6" w:space="0"/>
              <w:right w:val="single" w:color="auto" w:sz="6" w:space="0"/>
            </w:tcBorders>
          </w:tcPr>
          <w:p w:rsidRPr="008A0227" w:rsidR="00BC088C" w:rsidP="00F32C96" w:rsidRDefault="00BC088C" w14:paraId="61439E63" w14:textId="7014BFEA">
            <w:pPr>
              <w:rPr>
                <w:sz w:val="24"/>
                <w:szCs w:val="24"/>
              </w:rPr>
            </w:pPr>
            <w:r w:rsidRPr="008A0227">
              <w:rPr>
                <w:sz w:val="24"/>
                <w:szCs w:val="24"/>
              </w:rPr>
              <w:t>Respondent Cost</w:t>
            </w:r>
          </w:p>
        </w:tc>
      </w:tr>
      <w:tr w:rsidRPr="008A0227" w:rsidR="008A0227" w:rsidTr="00BC088C" w14:paraId="3B190F1E" w14:textId="77777777">
        <w:trPr>
          <w:cantSplit/>
          <w:trHeight w:val="372"/>
          <w:jc w:val="center"/>
        </w:trPr>
        <w:tc>
          <w:tcPr>
            <w:tcW w:w="2353" w:type="dxa"/>
            <w:tcBorders>
              <w:top w:val="single" w:color="auto" w:sz="6" w:space="0"/>
              <w:left w:val="single" w:color="auto" w:sz="6" w:space="0"/>
            </w:tcBorders>
          </w:tcPr>
          <w:p w:rsidRPr="008A0227" w:rsidR="00BC088C" w:rsidP="00F32C96" w:rsidRDefault="00A66687" w14:paraId="3BF15182" w14:textId="2F58D376">
            <w:pPr>
              <w:rPr>
                <w:sz w:val="24"/>
                <w:szCs w:val="24"/>
              </w:rPr>
            </w:pPr>
            <w:r>
              <w:rPr>
                <w:sz w:val="24"/>
                <w:szCs w:val="24"/>
              </w:rPr>
              <w:t>Private Sector</w:t>
            </w:r>
            <w:r w:rsidRPr="008A0227" w:rsidR="00CE5E1F">
              <w:rPr>
                <w:sz w:val="24"/>
                <w:szCs w:val="24"/>
              </w:rPr>
              <w:t xml:space="preserve"> </w:t>
            </w:r>
          </w:p>
        </w:tc>
        <w:tc>
          <w:tcPr>
            <w:tcW w:w="1575" w:type="dxa"/>
            <w:tcBorders>
              <w:top w:val="single" w:color="auto" w:sz="6" w:space="0"/>
              <w:left w:val="single" w:color="auto" w:sz="6" w:space="0"/>
            </w:tcBorders>
          </w:tcPr>
          <w:p w:rsidRPr="008A0227" w:rsidR="00BC088C" w:rsidP="00F32C96" w:rsidRDefault="00DD6653" w14:paraId="0A98D1AA" w14:textId="0E6D8D38">
            <w:pPr>
              <w:jc w:val="center"/>
              <w:rPr>
                <w:sz w:val="24"/>
                <w:szCs w:val="24"/>
              </w:rPr>
            </w:pPr>
            <w:r>
              <w:rPr>
                <w:sz w:val="24"/>
                <w:szCs w:val="24"/>
              </w:rPr>
              <w:t>80</w:t>
            </w:r>
          </w:p>
        </w:tc>
        <w:tc>
          <w:tcPr>
            <w:tcW w:w="1707" w:type="dxa"/>
            <w:tcBorders>
              <w:top w:val="single" w:color="auto" w:sz="6" w:space="0"/>
              <w:left w:val="single" w:color="auto" w:sz="6" w:space="0"/>
            </w:tcBorders>
          </w:tcPr>
          <w:p w:rsidRPr="008A0227" w:rsidR="00BC088C" w:rsidP="00F32C96" w:rsidRDefault="00CE5E1F" w14:paraId="23B00D20" w14:textId="5E2F756A">
            <w:pPr>
              <w:jc w:val="center"/>
              <w:rPr>
                <w:sz w:val="24"/>
                <w:szCs w:val="24"/>
              </w:rPr>
            </w:pPr>
            <w:r w:rsidRPr="008A0227">
              <w:rPr>
                <w:sz w:val="24"/>
                <w:szCs w:val="24"/>
              </w:rPr>
              <w:t>$</w:t>
            </w:r>
            <w:r w:rsidR="003F7B2E">
              <w:rPr>
                <w:sz w:val="24"/>
                <w:szCs w:val="24"/>
              </w:rPr>
              <w:t>27</w:t>
            </w:r>
          </w:p>
        </w:tc>
        <w:tc>
          <w:tcPr>
            <w:tcW w:w="2034" w:type="dxa"/>
            <w:tcBorders>
              <w:top w:val="single" w:color="auto" w:sz="6" w:space="0"/>
              <w:left w:val="single" w:color="auto" w:sz="6" w:space="0"/>
              <w:right w:val="single" w:color="auto" w:sz="6" w:space="0"/>
            </w:tcBorders>
          </w:tcPr>
          <w:p w:rsidRPr="008A0227" w:rsidR="00BC088C" w:rsidP="00EB77CC" w:rsidRDefault="00CE5E1F" w14:paraId="33F4381A" w14:textId="366DF8F6">
            <w:pPr>
              <w:rPr>
                <w:sz w:val="24"/>
                <w:szCs w:val="24"/>
              </w:rPr>
            </w:pPr>
            <w:r w:rsidRPr="008A0227">
              <w:rPr>
                <w:sz w:val="24"/>
                <w:szCs w:val="24"/>
              </w:rPr>
              <w:t xml:space="preserve">           </w:t>
            </w:r>
            <w:r w:rsidR="003F7B2E">
              <w:rPr>
                <w:sz w:val="24"/>
                <w:szCs w:val="24"/>
              </w:rPr>
              <w:t>$2,160</w:t>
            </w:r>
          </w:p>
        </w:tc>
      </w:tr>
      <w:tr w:rsidRPr="008A0227" w:rsidR="00A66687" w:rsidTr="00BC088C" w14:paraId="74291671" w14:textId="77777777">
        <w:trPr>
          <w:cantSplit/>
          <w:trHeight w:val="372"/>
          <w:jc w:val="center"/>
        </w:trPr>
        <w:tc>
          <w:tcPr>
            <w:tcW w:w="2353" w:type="dxa"/>
            <w:tcBorders>
              <w:top w:val="single" w:color="auto" w:sz="6" w:space="0"/>
              <w:left w:val="single" w:color="auto" w:sz="6" w:space="0"/>
            </w:tcBorders>
          </w:tcPr>
          <w:p w:rsidRPr="008A0227" w:rsidR="00A66687" w:rsidP="00F32C96" w:rsidRDefault="00A66687" w14:paraId="359F0469" w14:textId="2840FE3B">
            <w:pPr>
              <w:rPr>
                <w:sz w:val="24"/>
                <w:szCs w:val="24"/>
              </w:rPr>
            </w:pPr>
            <w:r>
              <w:rPr>
                <w:sz w:val="24"/>
                <w:szCs w:val="24"/>
              </w:rPr>
              <w:t>Federal Government</w:t>
            </w:r>
          </w:p>
        </w:tc>
        <w:tc>
          <w:tcPr>
            <w:tcW w:w="1575" w:type="dxa"/>
            <w:tcBorders>
              <w:top w:val="single" w:color="auto" w:sz="6" w:space="0"/>
              <w:left w:val="single" w:color="auto" w:sz="6" w:space="0"/>
            </w:tcBorders>
          </w:tcPr>
          <w:p w:rsidRPr="008A0227" w:rsidR="00A66687" w:rsidP="00F32C96" w:rsidRDefault="00DD6653" w14:paraId="30790D48" w14:textId="7D30E4E1">
            <w:pPr>
              <w:jc w:val="center"/>
              <w:rPr>
                <w:sz w:val="24"/>
                <w:szCs w:val="24"/>
              </w:rPr>
            </w:pPr>
            <w:r>
              <w:rPr>
                <w:sz w:val="24"/>
                <w:szCs w:val="24"/>
              </w:rPr>
              <w:t>20</w:t>
            </w:r>
          </w:p>
        </w:tc>
        <w:tc>
          <w:tcPr>
            <w:tcW w:w="1707" w:type="dxa"/>
            <w:tcBorders>
              <w:top w:val="single" w:color="auto" w:sz="6" w:space="0"/>
              <w:left w:val="single" w:color="auto" w:sz="6" w:space="0"/>
            </w:tcBorders>
          </w:tcPr>
          <w:p w:rsidRPr="008A0227" w:rsidR="00A66687" w:rsidP="00F32C96" w:rsidRDefault="00DD6653" w14:paraId="2EFF5488" w14:textId="29C2E94B">
            <w:pPr>
              <w:jc w:val="center"/>
              <w:rPr>
                <w:sz w:val="24"/>
                <w:szCs w:val="24"/>
              </w:rPr>
            </w:pPr>
            <w:r>
              <w:rPr>
                <w:sz w:val="24"/>
                <w:szCs w:val="24"/>
              </w:rPr>
              <w:t>$32</w:t>
            </w:r>
          </w:p>
        </w:tc>
        <w:tc>
          <w:tcPr>
            <w:tcW w:w="2034" w:type="dxa"/>
            <w:tcBorders>
              <w:top w:val="single" w:color="auto" w:sz="6" w:space="0"/>
              <w:left w:val="single" w:color="auto" w:sz="6" w:space="0"/>
              <w:right w:val="single" w:color="auto" w:sz="6" w:space="0"/>
            </w:tcBorders>
          </w:tcPr>
          <w:p w:rsidRPr="008A0227" w:rsidR="00A66687" w:rsidP="00EB77CC" w:rsidRDefault="00DD6653" w14:paraId="145AA2ED" w14:textId="66D9D62E">
            <w:pPr>
              <w:rPr>
                <w:sz w:val="24"/>
                <w:szCs w:val="24"/>
              </w:rPr>
            </w:pPr>
            <w:r>
              <w:rPr>
                <w:sz w:val="24"/>
                <w:szCs w:val="24"/>
              </w:rPr>
              <w:t xml:space="preserve">               $640</w:t>
            </w:r>
          </w:p>
        </w:tc>
      </w:tr>
      <w:tr w:rsidRPr="008A0227" w:rsidR="008A0227" w:rsidTr="00BC088C" w14:paraId="25A718A6" w14:textId="77777777">
        <w:trPr>
          <w:cantSplit/>
          <w:trHeight w:val="372"/>
          <w:jc w:val="center"/>
        </w:trPr>
        <w:tc>
          <w:tcPr>
            <w:tcW w:w="2353" w:type="dxa"/>
            <w:tcBorders>
              <w:top w:val="single" w:color="auto" w:sz="6" w:space="0"/>
              <w:left w:val="single" w:color="auto" w:sz="6" w:space="0"/>
              <w:bottom w:val="single" w:color="auto" w:sz="4" w:space="0"/>
            </w:tcBorders>
          </w:tcPr>
          <w:p w:rsidRPr="008A0227" w:rsidR="00BC088C" w:rsidP="00F32C96" w:rsidRDefault="00BC088C" w14:paraId="2B04BF7D" w14:textId="20F4F3BC">
            <w:pPr>
              <w:rPr>
                <w:b/>
                <w:sz w:val="24"/>
                <w:szCs w:val="24"/>
              </w:rPr>
            </w:pPr>
            <w:r w:rsidRPr="008A0227">
              <w:rPr>
                <w:b/>
                <w:sz w:val="24"/>
                <w:szCs w:val="24"/>
              </w:rPr>
              <w:t>TOTAL</w:t>
            </w:r>
          </w:p>
        </w:tc>
        <w:tc>
          <w:tcPr>
            <w:tcW w:w="1575" w:type="dxa"/>
            <w:tcBorders>
              <w:top w:val="single" w:color="auto" w:sz="6" w:space="0"/>
              <w:left w:val="single" w:color="auto" w:sz="6" w:space="0"/>
              <w:bottom w:val="single" w:color="auto" w:sz="4" w:space="0"/>
            </w:tcBorders>
          </w:tcPr>
          <w:p w:rsidRPr="008A0227" w:rsidR="00BC088C" w:rsidDel="00BC088C" w:rsidP="00F32C96" w:rsidRDefault="00BC088C" w14:paraId="7032E211" w14:textId="61225A39">
            <w:pPr>
              <w:jc w:val="center"/>
              <w:rPr>
                <w:sz w:val="24"/>
                <w:szCs w:val="24"/>
              </w:rPr>
            </w:pPr>
          </w:p>
        </w:tc>
        <w:tc>
          <w:tcPr>
            <w:tcW w:w="1707" w:type="dxa"/>
            <w:tcBorders>
              <w:top w:val="single" w:color="auto" w:sz="6" w:space="0"/>
              <w:left w:val="single" w:color="auto" w:sz="6" w:space="0"/>
              <w:bottom w:val="single" w:color="auto" w:sz="4" w:space="0"/>
            </w:tcBorders>
          </w:tcPr>
          <w:p w:rsidRPr="008A0227" w:rsidR="00BC088C" w:rsidP="00EB77CC" w:rsidRDefault="00BC088C" w14:paraId="6B17A733" w14:textId="77777777">
            <w:pPr>
              <w:rPr>
                <w:sz w:val="24"/>
                <w:szCs w:val="24"/>
              </w:rPr>
            </w:pPr>
          </w:p>
        </w:tc>
        <w:tc>
          <w:tcPr>
            <w:tcW w:w="2034" w:type="dxa"/>
            <w:tcBorders>
              <w:top w:val="single" w:color="auto" w:sz="6" w:space="0"/>
              <w:left w:val="single" w:color="auto" w:sz="6" w:space="0"/>
              <w:bottom w:val="single" w:color="auto" w:sz="4" w:space="0"/>
              <w:right w:val="single" w:color="auto" w:sz="6" w:space="0"/>
            </w:tcBorders>
          </w:tcPr>
          <w:p w:rsidRPr="008A0227" w:rsidR="00BC088C" w:rsidP="00F32C96" w:rsidRDefault="003F7B2E" w14:paraId="057647A4" w14:textId="666401B0">
            <w:pPr>
              <w:jc w:val="center"/>
              <w:rPr>
                <w:sz w:val="24"/>
                <w:szCs w:val="24"/>
              </w:rPr>
            </w:pPr>
            <w:r>
              <w:rPr>
                <w:sz w:val="24"/>
                <w:szCs w:val="24"/>
              </w:rPr>
              <w:t>$2,800</w:t>
            </w:r>
          </w:p>
        </w:tc>
      </w:tr>
    </w:tbl>
    <w:p w:rsidRPr="008A0227" w:rsidR="00336D39" w:rsidP="002D3BFF" w:rsidRDefault="00336D39" w14:paraId="4E1E1CEC" w14:textId="6BC01CD3">
      <w:pPr>
        <w:ind w:left="1200"/>
      </w:pPr>
      <w:r w:rsidRPr="008A0227">
        <w:t>*</w:t>
      </w:r>
      <w:r w:rsidR="00A13F0C">
        <w:t>Source</w:t>
      </w:r>
      <w:r w:rsidR="00B51807">
        <w:t xml:space="preserve">:  </w:t>
      </w:r>
      <w:proofErr w:type="gramStart"/>
      <w:r w:rsidRPr="00B51807" w:rsidR="00B51807">
        <w:t>https://www.bls.gov/oes/2019/may/oes_nat.htm#19-0000</w:t>
      </w:r>
      <w:r w:rsidR="00B51807">
        <w:t xml:space="preserve"> </w:t>
      </w:r>
      <w:r w:rsidR="00A13F0C">
        <w:t xml:space="preserve"> </w:t>
      </w:r>
      <w:r w:rsidRPr="002D3BFF" w:rsidR="002D3BFF">
        <w:t>29</w:t>
      </w:r>
      <w:proofErr w:type="gramEnd"/>
      <w:r w:rsidRPr="002D3BFF" w:rsidR="002D3BFF">
        <w:t>-9000</w:t>
      </w:r>
      <w:r w:rsidR="00B51807">
        <w:t xml:space="preserve"> </w:t>
      </w:r>
      <w:r w:rsidR="002D3BFF">
        <w:t xml:space="preserve">: </w:t>
      </w:r>
      <w:r w:rsidRPr="002D3BFF" w:rsidR="002D3BFF">
        <w:t>Other Healthcare Practitioners and Technical Occupations</w:t>
      </w:r>
    </w:p>
    <w:p w:rsidRPr="008A0227" w:rsidR="00AF01AD" w:rsidP="00BC088C" w:rsidRDefault="00AF01AD" w14:paraId="7DC13B3C" w14:textId="2D3E1F3B">
      <w:pPr>
        <w:spacing w:after="20"/>
      </w:pPr>
    </w:p>
    <w:p w:rsidRPr="008A0227" w:rsidR="008716F6" w:rsidP="008716F6" w:rsidRDefault="00713CF8" w14:paraId="4BE9B609" w14:textId="77777777">
      <w:pPr>
        <w:spacing w:after="20"/>
        <w:rPr>
          <w:b/>
        </w:rPr>
      </w:pPr>
      <w:r w:rsidRPr="008A0227">
        <w:rPr>
          <w:b/>
        </w:rPr>
        <w:t>A.13 Estimate of Other Total Annual Cost Burden to Respondents or Record Keepers</w:t>
      </w:r>
      <w:r w:rsidRPr="008A0227">
        <w:rPr>
          <w:b/>
        </w:rPr>
        <w:tab/>
      </w:r>
    </w:p>
    <w:p w:rsidRPr="008A0227" w:rsidR="002C4725" w:rsidP="008716F6" w:rsidRDefault="002C4725" w14:paraId="03B43F67" w14:textId="77777777">
      <w:pPr>
        <w:spacing w:after="20"/>
      </w:pPr>
    </w:p>
    <w:p w:rsidRPr="008A0227" w:rsidR="00713CF8" w:rsidP="008716F6" w:rsidRDefault="002D29FF" w14:paraId="5FF9596D" w14:textId="27C29E9A">
      <w:pPr>
        <w:spacing w:after="20"/>
      </w:pPr>
      <w:r>
        <w:t>There will be no</w:t>
      </w:r>
      <w:r w:rsidRPr="008A0227" w:rsidR="002C4725">
        <w:t xml:space="preserve"> cost burden to respondents or record-keepers resulting from th</w:t>
      </w:r>
      <w:r>
        <w:t>is</w:t>
      </w:r>
      <w:r w:rsidRPr="008A0227" w:rsidR="002C4725">
        <w:t xml:space="preserve"> collection of information.</w:t>
      </w:r>
    </w:p>
    <w:p w:rsidRPr="008A0227" w:rsidR="00713CF8" w:rsidP="008716F6" w:rsidRDefault="00713CF8" w14:paraId="7BE8827C" w14:textId="77777777">
      <w:pPr>
        <w:spacing w:after="20"/>
      </w:pPr>
    </w:p>
    <w:p w:rsidR="00713CF8" w:rsidP="008716F6" w:rsidRDefault="00713CF8" w14:paraId="21E2D1B9" w14:textId="124E4F6B">
      <w:pPr>
        <w:spacing w:after="20"/>
        <w:rPr>
          <w:b/>
        </w:rPr>
      </w:pPr>
      <w:r w:rsidRPr="008A0227">
        <w:rPr>
          <w:b/>
        </w:rPr>
        <w:t>A.14 Annualized Cost to the Federal Government</w:t>
      </w:r>
    </w:p>
    <w:p w:rsidR="008F5A77" w:rsidP="008716F6" w:rsidRDefault="008F5A77" w14:paraId="614982C0" w14:textId="5C29F982">
      <w:pPr>
        <w:spacing w:after="20"/>
        <w:rPr>
          <w:b/>
        </w:rPr>
      </w:pPr>
    </w:p>
    <w:p w:rsidRPr="008F5A77" w:rsidR="008F5A77" w:rsidP="008F5A77" w:rsidRDefault="008F5A77" w14:paraId="3D4CEC3A" w14:textId="7AC174ED">
      <w:pPr>
        <w:spacing w:after="20"/>
        <w:rPr>
          <w:bCs/>
        </w:rPr>
      </w:pPr>
      <w:r w:rsidRPr="008F5A77">
        <w:rPr>
          <w:bCs/>
        </w:rPr>
        <w:t xml:space="preserve">The </w:t>
      </w:r>
      <w:r>
        <w:rPr>
          <w:bCs/>
        </w:rPr>
        <w:t xml:space="preserve">information gained from this public-accessible data resource will be handled by an employee in the Office of </w:t>
      </w:r>
      <w:r w:rsidR="00D154BF">
        <w:rPr>
          <w:bCs/>
        </w:rPr>
        <w:t xml:space="preserve">Science Policy, Engagement, Education, and Communications </w:t>
      </w:r>
      <w:r w:rsidR="000545D9">
        <w:rPr>
          <w:bCs/>
        </w:rPr>
        <w:t>at</w:t>
      </w:r>
      <w:r>
        <w:rPr>
          <w:bCs/>
        </w:rPr>
        <w:t xml:space="preserve"> NHLBI, information below. There will also be </w:t>
      </w:r>
      <w:proofErr w:type="gramStart"/>
      <w:r>
        <w:rPr>
          <w:bCs/>
        </w:rPr>
        <w:t>a</w:t>
      </w:r>
      <w:r w:rsidR="00D154BF">
        <w:rPr>
          <w:bCs/>
        </w:rPr>
        <w:t xml:space="preserve"> an</w:t>
      </w:r>
      <w:proofErr w:type="gramEnd"/>
      <w:r w:rsidR="00D154BF">
        <w:rPr>
          <w:bCs/>
        </w:rPr>
        <w:t xml:space="preserve"> initial</w:t>
      </w:r>
      <w:r>
        <w:rPr>
          <w:bCs/>
        </w:rPr>
        <w:t xml:space="preserve"> cost </w:t>
      </w:r>
      <w:r w:rsidR="00D154BF">
        <w:rPr>
          <w:bCs/>
        </w:rPr>
        <w:t xml:space="preserve">for the software and development and customization of the tracking system </w:t>
      </w:r>
      <w:r>
        <w:rPr>
          <w:bCs/>
        </w:rPr>
        <w:t>to capture the data that will be submitted</w:t>
      </w:r>
      <w:r w:rsidR="000545D9">
        <w:rPr>
          <w:bCs/>
        </w:rPr>
        <w:t xml:space="preserve"> by stakeholders</w:t>
      </w:r>
      <w:r>
        <w:rPr>
          <w:bCs/>
        </w:rPr>
        <w:t xml:space="preserve">. </w:t>
      </w:r>
      <w:r w:rsidR="00D154BF">
        <w:rPr>
          <w:bCs/>
        </w:rPr>
        <w:t>T</w:t>
      </w:r>
      <w:r>
        <w:rPr>
          <w:bCs/>
        </w:rPr>
        <w:t>he</w:t>
      </w:r>
      <w:r w:rsidR="00956434">
        <w:rPr>
          <w:bCs/>
        </w:rPr>
        <w:t xml:space="preserve"> initial</w:t>
      </w:r>
      <w:r w:rsidRPr="008F5A77">
        <w:rPr>
          <w:bCs/>
        </w:rPr>
        <w:t xml:space="preserve"> cost to the U.S. Government for information collection is </w:t>
      </w:r>
      <w:r w:rsidRPr="005E4BB3" w:rsidR="005E4BB3">
        <w:rPr>
          <w:bCs/>
        </w:rPr>
        <w:t>$81,415.34</w:t>
      </w:r>
      <w:r w:rsidR="005E4BB3">
        <w:rPr>
          <w:bCs/>
        </w:rPr>
        <w:t xml:space="preserve"> </w:t>
      </w:r>
      <w:r w:rsidR="00956434">
        <w:rPr>
          <w:bCs/>
        </w:rPr>
        <w:t>for the first year</w:t>
      </w:r>
      <w:r w:rsidRPr="008F5A77">
        <w:rPr>
          <w:bCs/>
        </w:rPr>
        <w:t>.</w:t>
      </w:r>
      <w:r w:rsidR="00956434">
        <w:rPr>
          <w:bCs/>
        </w:rPr>
        <w:t xml:space="preserve">  For subsequent years, the cost will only be that of the NIH employee which will be $1,415.34.</w:t>
      </w:r>
    </w:p>
    <w:p w:rsidRPr="008A0227" w:rsidR="00BB7115" w:rsidP="00BB7115" w:rsidRDefault="00BB7115" w14:paraId="1E58FB74" w14:textId="77777777">
      <w:pPr>
        <w:widowControl w:val="0"/>
        <w:adjustRightInd w:val="0"/>
        <w:snapToGrid w:val="0"/>
        <w:spacing w:after="0" w:line="240" w:lineRule="auto"/>
        <w:jc w:val="both"/>
        <w:rPr>
          <w:rFonts w:ascii="Times New Roman" w:hAnsi="Times New Roman" w:eastAsia="Times New Roman" w:cs="Times New Roman"/>
          <w:sz w:val="24"/>
          <w:szCs w:val="24"/>
        </w:rPr>
      </w:pPr>
    </w:p>
    <w:tbl>
      <w:tblPr>
        <w:tblW w:w="9522" w:type="dxa"/>
        <w:tblCellMar>
          <w:left w:w="0" w:type="dxa"/>
          <w:right w:w="0" w:type="dxa"/>
        </w:tblCellMar>
        <w:tblLook w:val="04A0" w:firstRow="1" w:lastRow="0" w:firstColumn="1" w:lastColumn="0" w:noHBand="0" w:noVBand="1"/>
      </w:tblPr>
      <w:tblGrid>
        <w:gridCol w:w="2733"/>
        <w:gridCol w:w="1421"/>
        <w:gridCol w:w="1316"/>
        <w:gridCol w:w="1363"/>
        <w:gridCol w:w="1346"/>
        <w:gridCol w:w="1343"/>
      </w:tblGrid>
      <w:tr w:rsidRPr="008A0227" w:rsidR="008A0227" w:rsidTr="002B193F" w14:paraId="096717E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8A0227" w:rsidR="00BB7115" w:rsidP="00BB7115" w:rsidRDefault="00BB7115" w14:paraId="56B34391" w14:textId="77777777">
            <w:pPr>
              <w:spacing w:after="0" w:line="240" w:lineRule="auto"/>
              <w:jc w:val="center"/>
              <w:rPr>
                <w:rFonts w:ascii="Times New Roman" w:hAnsi="Times New Roman" w:eastAsia="Calibri" w:cs="Times New Roman"/>
                <w:b/>
                <w:bCs/>
              </w:rPr>
            </w:pPr>
            <w:r w:rsidRPr="008A0227">
              <w:rPr>
                <w:rFonts w:ascii="Times New Roman" w:hAnsi="Times New Roman" w:eastAsia="Times New Roman" w:cs="Times New Roman"/>
                <w:i/>
                <w:sz w:val="24"/>
                <w:szCs w:val="24"/>
              </w:rPr>
              <w:t xml:space="preserve"> </w:t>
            </w:r>
            <w:r w:rsidRPr="008A0227">
              <w:rPr>
                <w:rFonts w:ascii="Times New Roman" w:hAnsi="Times New Roman" w:eastAsia="Times New Roman" w:cs="Times New Roman"/>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8A0227" w:rsidR="00BB7115" w:rsidP="00BB7115" w:rsidRDefault="00BB7115" w14:paraId="3633F4E2" w14:textId="77777777">
            <w:pPr>
              <w:spacing w:after="0" w:line="240" w:lineRule="auto"/>
              <w:jc w:val="center"/>
              <w:rPr>
                <w:rFonts w:ascii="Times New Roman" w:hAnsi="Times New Roman" w:eastAsia="Calibri" w:cs="Times New Roman"/>
                <w:b/>
                <w:bCs/>
              </w:rPr>
            </w:pPr>
          </w:p>
          <w:p w:rsidRPr="008A0227" w:rsidR="00BB7115" w:rsidP="00BB7115" w:rsidRDefault="00BB7115" w14:paraId="02464877" w14:textId="77777777">
            <w:pPr>
              <w:spacing w:after="0" w:line="240" w:lineRule="auto"/>
              <w:jc w:val="center"/>
              <w:rPr>
                <w:rFonts w:ascii="Times New Roman" w:hAnsi="Times New Roman" w:eastAsia="Calibri" w:cs="Times New Roman"/>
                <w:b/>
                <w:bCs/>
              </w:rPr>
            </w:pPr>
            <w:r w:rsidRPr="008A0227">
              <w:rPr>
                <w:rFonts w:ascii="Times New Roman" w:hAnsi="Times New Roman" w:eastAsia="Times New Roman" w:cs="Times New Roman"/>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8A0227" w:rsidR="00BB7115" w:rsidP="00BB7115" w:rsidRDefault="00BB7115" w14:paraId="5D569FD9" w14:textId="6A67F4B1">
            <w:pPr>
              <w:spacing w:after="0" w:line="240" w:lineRule="auto"/>
              <w:jc w:val="center"/>
              <w:rPr>
                <w:rFonts w:ascii="Times New Roman" w:hAnsi="Times New Roman" w:eastAsia="Calibri" w:cs="Times New Roman"/>
                <w:b/>
                <w:bCs/>
              </w:rPr>
            </w:pPr>
            <w:r w:rsidRPr="008A0227">
              <w:rPr>
                <w:rFonts w:ascii="Times New Roman" w:hAnsi="Times New Roman" w:eastAsia="Times New Roman" w:cs="Times New Roman"/>
                <w:b/>
                <w:bCs/>
              </w:rPr>
              <w:t>Salary</w:t>
            </w:r>
            <w:r w:rsidRPr="008A0227" w:rsidR="00350296">
              <w:rPr>
                <w:rFonts w:ascii="Times New Roman" w:hAnsi="Times New Roman" w:eastAsia="Times New Roman" w:cs="Times New Roman"/>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8A0227" w:rsidR="00BB7115" w:rsidP="00BB7115" w:rsidRDefault="00BB7115" w14:paraId="5F3F1E86" w14:textId="77777777">
            <w:pPr>
              <w:spacing w:after="0" w:line="240" w:lineRule="auto"/>
              <w:jc w:val="center"/>
              <w:rPr>
                <w:rFonts w:ascii="Times New Roman" w:hAnsi="Times New Roman" w:eastAsia="Calibri" w:cs="Times New Roman"/>
                <w:b/>
                <w:bCs/>
              </w:rPr>
            </w:pPr>
            <w:r w:rsidRPr="008A0227">
              <w:rPr>
                <w:rFonts w:ascii="Times New Roman" w:hAnsi="Times New Roman" w:eastAsia="Times New Roman" w:cs="Times New Roman"/>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8A0227" w:rsidR="00BB7115" w:rsidP="00BB7115" w:rsidRDefault="00BB7115" w14:paraId="1382F198" w14:textId="77777777">
            <w:pPr>
              <w:spacing w:after="0" w:line="240" w:lineRule="auto"/>
              <w:jc w:val="center"/>
              <w:rPr>
                <w:rFonts w:ascii="Times New Roman" w:hAnsi="Times New Roman" w:eastAsia="Times New Roman" w:cs="Times New Roman"/>
                <w:b/>
                <w:bCs/>
              </w:rPr>
            </w:pPr>
            <w:r w:rsidRPr="008A0227">
              <w:rPr>
                <w:rFonts w:ascii="Times New Roman" w:hAnsi="Times New Roman" w:eastAsia="Times New Roman" w:cs="Times New Roman"/>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8A0227" w:rsidR="00BB7115" w:rsidP="00BB7115" w:rsidRDefault="00AF01AD" w14:paraId="217B11D0" w14:textId="70EE6895">
            <w:pPr>
              <w:spacing w:after="0" w:line="240" w:lineRule="auto"/>
              <w:jc w:val="center"/>
              <w:rPr>
                <w:rFonts w:ascii="Times New Roman" w:hAnsi="Times New Roman" w:eastAsia="Times New Roman" w:cs="Times New Roman"/>
                <w:b/>
                <w:bCs/>
              </w:rPr>
            </w:pPr>
            <w:r w:rsidRPr="008A0227">
              <w:rPr>
                <w:rFonts w:ascii="Times New Roman" w:hAnsi="Times New Roman" w:eastAsia="Times New Roman" w:cs="Times New Roman"/>
                <w:b/>
                <w:bCs/>
              </w:rPr>
              <w:t xml:space="preserve">Total </w:t>
            </w:r>
            <w:r w:rsidRPr="008A0227" w:rsidR="005E2D23">
              <w:rPr>
                <w:rFonts w:ascii="Times New Roman" w:hAnsi="Times New Roman" w:eastAsia="Times New Roman" w:cs="Times New Roman"/>
                <w:b/>
                <w:bCs/>
              </w:rPr>
              <w:t>C</w:t>
            </w:r>
            <w:r w:rsidRPr="008A0227" w:rsidR="00BB7115">
              <w:rPr>
                <w:rFonts w:ascii="Times New Roman" w:hAnsi="Times New Roman" w:eastAsia="Times New Roman" w:cs="Times New Roman"/>
                <w:b/>
                <w:bCs/>
              </w:rPr>
              <w:t>ost to Gov’t</w:t>
            </w:r>
          </w:p>
        </w:tc>
      </w:tr>
      <w:tr w:rsidRPr="008A0227" w:rsidR="008A0227" w:rsidTr="002B193F" w14:paraId="4D0E63F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530BD8DF" w14:textId="77777777">
            <w:pPr>
              <w:spacing w:after="0" w:line="240" w:lineRule="auto"/>
              <w:rPr>
                <w:rFonts w:ascii="Times New Roman" w:hAnsi="Times New Roman" w:eastAsia="Calibri" w:cs="Times New Roman"/>
                <w:b/>
                <w:highlight w:val="yellow"/>
              </w:rPr>
            </w:pPr>
            <w:r w:rsidRPr="008A0227">
              <w:rPr>
                <w:rFonts w:ascii="Times New Roman" w:hAnsi="Times New Roman" w:eastAsia="Calibri" w:cs="Times New Roman"/>
                <w:b/>
              </w:rPr>
              <w:t>Federal Oversight</w:t>
            </w:r>
          </w:p>
        </w:tc>
        <w:tc>
          <w:tcPr>
            <w:tcW w:w="1440" w:type="dxa"/>
            <w:tcBorders>
              <w:top w:val="nil"/>
              <w:left w:val="nil"/>
              <w:bottom w:val="single" w:color="auto" w:sz="8" w:space="0"/>
              <w:right w:val="single" w:color="auto" w:sz="8" w:space="0"/>
            </w:tcBorders>
          </w:tcPr>
          <w:p w:rsidRPr="008A0227" w:rsidR="00BB7115" w:rsidP="00BB7115" w:rsidRDefault="00BB7115" w14:paraId="088BBD74" w14:textId="77777777">
            <w:pPr>
              <w:spacing w:after="0" w:line="240" w:lineRule="auto"/>
              <w:jc w:val="right"/>
              <w:rPr>
                <w:rFonts w:ascii="Times New Roman" w:hAnsi="Times New Roman" w:eastAsia="Calibri" w:cs="Times New Roman"/>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73EFC7D4"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50D2152A"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8A0227" w:rsidR="00BB7115" w:rsidP="00BB7115" w:rsidRDefault="00BB7115" w14:paraId="2682BD8F"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8A0227" w:rsidR="00BB7115" w:rsidP="00BB7115" w:rsidRDefault="00BB7115" w14:paraId="00AECD80" w14:textId="77777777">
            <w:pPr>
              <w:spacing w:after="0" w:line="240" w:lineRule="auto"/>
              <w:rPr>
                <w:rFonts w:ascii="Times New Roman" w:hAnsi="Times New Roman" w:eastAsia="Times New Roman" w:cs="Times New Roman"/>
              </w:rPr>
            </w:pPr>
          </w:p>
        </w:tc>
      </w:tr>
      <w:tr w:rsidRPr="008A0227" w:rsidR="008A0227" w:rsidTr="002B193F" w14:paraId="15A7D5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D06EEF" w14:paraId="3C1DEAFA" w14:textId="5094AC28">
            <w:pPr>
              <w:spacing w:after="0" w:line="240" w:lineRule="auto"/>
              <w:rPr>
                <w:rFonts w:ascii="Times New Roman" w:hAnsi="Times New Roman" w:eastAsia="Calibri" w:cs="Times New Roman"/>
              </w:rPr>
            </w:pPr>
            <w:r w:rsidRPr="008A0227">
              <w:rPr>
                <w:rFonts w:ascii="Times New Roman" w:hAnsi="Times New Roman" w:eastAsia="Calibri" w:cs="Times New Roman"/>
              </w:rPr>
              <w:t>Lead Public Health Analyst</w:t>
            </w:r>
          </w:p>
        </w:tc>
        <w:tc>
          <w:tcPr>
            <w:tcW w:w="1440" w:type="dxa"/>
            <w:tcBorders>
              <w:top w:val="nil"/>
              <w:left w:val="nil"/>
              <w:bottom w:val="single" w:color="auto" w:sz="8" w:space="0"/>
              <w:right w:val="single" w:color="auto" w:sz="8" w:space="0"/>
            </w:tcBorders>
          </w:tcPr>
          <w:p w:rsidRPr="008A0227" w:rsidR="00BB7115" w:rsidP="00BB7115" w:rsidRDefault="00D06EEF" w14:paraId="62CC3B81" w14:textId="12E9457C">
            <w:pPr>
              <w:spacing w:after="0" w:line="240" w:lineRule="auto"/>
              <w:rPr>
                <w:rFonts w:ascii="Times New Roman" w:hAnsi="Times New Roman" w:eastAsia="Calibri" w:cs="Times New Roman"/>
              </w:rPr>
            </w:pPr>
            <w:r w:rsidRPr="008A0227">
              <w:rPr>
                <w:rFonts w:ascii="Times New Roman" w:hAnsi="Times New Roman" w:eastAsia="Calibri" w:cs="Times New Roman"/>
              </w:rPr>
              <w:t>GS</w:t>
            </w:r>
            <w:r w:rsidRPr="008A0227" w:rsidR="00B87B41">
              <w:rPr>
                <w:rFonts w:ascii="Times New Roman" w:hAnsi="Times New Roman" w:eastAsia="Calibri" w:cs="Times New Roman"/>
              </w:rPr>
              <w:t>-</w:t>
            </w:r>
            <w:r w:rsidRPr="008A0227">
              <w:rPr>
                <w:rFonts w:ascii="Times New Roman" w:hAnsi="Times New Roman" w:eastAsia="Calibri" w:cs="Times New Roman"/>
              </w:rPr>
              <w:t>14-6</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D6797B" w14:paraId="5013B707" w14:textId="1CE433EB">
            <w:pPr>
              <w:spacing w:after="0" w:line="240" w:lineRule="auto"/>
              <w:rPr>
                <w:rFonts w:ascii="Times New Roman" w:hAnsi="Times New Roman" w:eastAsia="Calibri" w:cs="Times New Roman"/>
              </w:rPr>
            </w:pPr>
            <w:r w:rsidRPr="008A0227">
              <w:rPr>
                <w:rFonts w:ascii="Times New Roman" w:hAnsi="Times New Roman" w:eastAsia="Calibri" w:cs="Times New Roman"/>
              </w:rPr>
              <w:t>$141,534.00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D6797B" w14:paraId="1F61685A" w14:textId="3FD3C0F6">
            <w:pPr>
              <w:spacing w:after="0" w:line="240" w:lineRule="auto"/>
              <w:rPr>
                <w:rFonts w:ascii="Times New Roman" w:hAnsi="Times New Roman" w:eastAsia="Calibri" w:cs="Times New Roman"/>
              </w:rPr>
            </w:pPr>
            <w:r w:rsidRPr="008A0227">
              <w:rPr>
                <w:rFonts w:ascii="Times New Roman" w:hAnsi="Times New Roman" w:eastAsia="Calibri" w:cs="Times New Roman"/>
              </w:rPr>
              <w:t>1%</w:t>
            </w:r>
          </w:p>
        </w:tc>
        <w:tc>
          <w:tcPr>
            <w:tcW w:w="1363" w:type="dxa"/>
            <w:tcBorders>
              <w:top w:val="nil"/>
              <w:left w:val="nil"/>
              <w:bottom w:val="single" w:color="auto" w:sz="8" w:space="0"/>
              <w:right w:val="single" w:color="auto" w:sz="8" w:space="0"/>
            </w:tcBorders>
            <w:shd w:val="clear" w:color="auto" w:fill="BFBFBF" w:themeFill="background1" w:themeFillShade="BF"/>
          </w:tcPr>
          <w:p w:rsidRPr="008A0227" w:rsidR="00BB7115" w:rsidP="00BB7115" w:rsidRDefault="00BB7115" w14:paraId="76ED123E"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8A0227" w:rsidR="00BB7115" w:rsidP="00BB7115" w:rsidRDefault="00D6797B" w14:paraId="7FE1D4A6" w14:textId="145F7B30">
            <w:pPr>
              <w:spacing w:after="0" w:line="240" w:lineRule="auto"/>
              <w:rPr>
                <w:rFonts w:ascii="Times New Roman" w:hAnsi="Times New Roman" w:eastAsia="Times New Roman" w:cs="Times New Roman"/>
              </w:rPr>
            </w:pPr>
            <w:r w:rsidRPr="008A0227">
              <w:rPr>
                <w:rFonts w:ascii="Times New Roman" w:hAnsi="Times New Roman" w:eastAsia="Times New Roman" w:cs="Times New Roman"/>
              </w:rPr>
              <w:t>$1,415.34</w:t>
            </w:r>
          </w:p>
        </w:tc>
      </w:tr>
      <w:tr w:rsidRPr="008A0227" w:rsidR="008A0227" w:rsidTr="002B193F" w14:paraId="5A0FB1C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62B73AD6"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8A0227" w:rsidR="00BB7115" w:rsidP="00BB7115" w:rsidRDefault="00BB7115" w14:paraId="2A5916AF"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36C8037A" w14:textId="77777777">
            <w:pPr>
              <w:spacing w:after="0" w:line="240" w:lineRule="auto"/>
              <w:jc w:val="both"/>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323A393C"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8A0227" w:rsidR="00BB7115" w:rsidP="00BB7115" w:rsidRDefault="00BB7115" w14:paraId="7EB28B6F"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8A0227" w:rsidR="00BB7115" w:rsidP="00BB7115" w:rsidRDefault="00BB7115" w14:paraId="229C1CF5" w14:textId="77777777">
            <w:pPr>
              <w:spacing w:after="0" w:line="240" w:lineRule="auto"/>
              <w:rPr>
                <w:rFonts w:ascii="Times New Roman" w:hAnsi="Times New Roman" w:eastAsia="Times New Roman" w:cs="Times New Roman"/>
              </w:rPr>
            </w:pPr>
          </w:p>
        </w:tc>
      </w:tr>
      <w:tr w:rsidRPr="008A0227" w:rsidR="008A0227" w:rsidTr="002B193F" w14:paraId="37771A3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27230F48"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8A0227" w:rsidR="00BB7115" w:rsidP="00BB7115" w:rsidRDefault="00BB7115" w14:paraId="070E12A7"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41EE4DCF"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6E2BE06D"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8A0227" w:rsidR="00BB7115" w:rsidP="00BB7115" w:rsidRDefault="00BB7115" w14:paraId="244DBAD2"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8A0227" w:rsidR="00BB7115" w:rsidP="00BB7115" w:rsidRDefault="00BB7115" w14:paraId="5504E2A1" w14:textId="77777777">
            <w:pPr>
              <w:spacing w:after="0" w:line="240" w:lineRule="auto"/>
              <w:rPr>
                <w:rFonts w:ascii="Times New Roman" w:hAnsi="Times New Roman" w:eastAsia="Times New Roman" w:cs="Times New Roman"/>
              </w:rPr>
            </w:pPr>
          </w:p>
        </w:tc>
      </w:tr>
      <w:tr w:rsidRPr="008A0227" w:rsidR="008A0227" w:rsidTr="002B193F" w14:paraId="6DD4011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5E2D23" w14:paraId="6F36C1F8" w14:textId="4552206F">
            <w:pPr>
              <w:spacing w:after="0" w:line="240" w:lineRule="auto"/>
              <w:rPr>
                <w:rFonts w:ascii="Times New Roman" w:hAnsi="Times New Roman" w:eastAsia="Calibri" w:cs="Times New Roman"/>
                <w:b/>
              </w:rPr>
            </w:pPr>
            <w:r w:rsidRPr="008A0227">
              <w:rPr>
                <w:rFonts w:ascii="Times New Roman" w:hAnsi="Times New Roman" w:eastAsia="Calibri" w:cs="Times New Roman"/>
                <w:b/>
              </w:rPr>
              <w:t>Contractor C</w:t>
            </w:r>
            <w:r w:rsidRPr="008A0227" w:rsidR="00BB7115">
              <w:rPr>
                <w:rFonts w:ascii="Times New Roman" w:hAnsi="Times New Roman" w:eastAsia="Calibri" w:cs="Times New Roman"/>
                <w:b/>
              </w:rPr>
              <w:t>ost</w:t>
            </w:r>
          </w:p>
        </w:tc>
        <w:tc>
          <w:tcPr>
            <w:tcW w:w="1440" w:type="dxa"/>
            <w:tcBorders>
              <w:top w:val="nil"/>
              <w:left w:val="nil"/>
              <w:bottom w:val="single" w:color="auto" w:sz="8" w:space="0"/>
              <w:right w:val="single" w:color="auto" w:sz="8" w:space="0"/>
            </w:tcBorders>
            <w:shd w:val="clear" w:color="auto" w:fill="BFBFBF" w:themeFill="background1" w:themeFillShade="BF"/>
          </w:tcPr>
          <w:p w:rsidRPr="008A0227" w:rsidR="00BB7115" w:rsidP="00BB7115" w:rsidRDefault="00BB7115" w14:paraId="22BC343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292B0143"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71DC296D"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8A0227" w:rsidR="00BB7115" w:rsidP="00BB7115" w:rsidRDefault="00BB7115" w14:paraId="262E1C62"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8A0227" w:rsidR="00BB7115" w:rsidP="00BB7115" w:rsidRDefault="00BB7115" w14:paraId="520390BA" w14:textId="77777777">
            <w:pPr>
              <w:spacing w:after="0" w:line="240" w:lineRule="auto"/>
              <w:rPr>
                <w:rFonts w:ascii="Times New Roman" w:hAnsi="Times New Roman" w:eastAsia="Times New Roman" w:cs="Times New Roman"/>
              </w:rPr>
            </w:pPr>
          </w:p>
        </w:tc>
      </w:tr>
      <w:tr w:rsidRPr="008A0227" w:rsidR="008A0227" w:rsidTr="002B193F" w14:paraId="13F779D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C22B1B" w14:paraId="793AC12B" w14:textId="6978D2F2">
            <w:pPr>
              <w:spacing w:after="0" w:line="240" w:lineRule="auto"/>
              <w:rPr>
                <w:rFonts w:ascii="Times New Roman" w:hAnsi="Times New Roman" w:eastAsia="Calibri" w:cs="Times New Roman"/>
              </w:rPr>
            </w:pPr>
            <w:r w:rsidRPr="008A0227">
              <w:rPr>
                <w:rFonts w:ascii="Times New Roman" w:hAnsi="Times New Roman" w:eastAsia="Calibri" w:cs="Times New Roman"/>
              </w:rPr>
              <w:t>Software License cost</w:t>
            </w:r>
          </w:p>
        </w:tc>
        <w:tc>
          <w:tcPr>
            <w:tcW w:w="1440" w:type="dxa"/>
            <w:tcBorders>
              <w:top w:val="nil"/>
              <w:left w:val="nil"/>
              <w:bottom w:val="single" w:color="auto" w:sz="8" w:space="0"/>
              <w:right w:val="single" w:color="auto" w:sz="8" w:space="0"/>
            </w:tcBorders>
          </w:tcPr>
          <w:p w:rsidRPr="008A0227" w:rsidR="00BB7115" w:rsidP="00BB7115" w:rsidRDefault="00BB7115" w14:paraId="5E118B86"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62228C16"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BB7115" w14:paraId="62652439"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8A0227" w:rsidR="00BB7115" w:rsidP="00BB7115" w:rsidRDefault="00BB7115" w14:paraId="5D2B7EB0"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8A0227" w:rsidR="00BB7115" w:rsidP="00BB7115" w:rsidRDefault="00C22B1B" w14:paraId="68A819ED" w14:textId="5B837233">
            <w:pPr>
              <w:spacing w:after="0" w:line="240" w:lineRule="auto"/>
              <w:rPr>
                <w:rFonts w:ascii="Times New Roman" w:hAnsi="Times New Roman" w:eastAsia="Times New Roman" w:cs="Times New Roman"/>
              </w:rPr>
            </w:pPr>
            <w:r w:rsidRPr="008A0227">
              <w:rPr>
                <w:rFonts w:ascii="Times New Roman" w:hAnsi="Times New Roman" w:eastAsia="Times New Roman" w:cs="Times New Roman"/>
              </w:rPr>
              <w:t>$5</w:t>
            </w:r>
            <w:r w:rsidR="008F5A77">
              <w:rPr>
                <w:rFonts w:ascii="Times New Roman" w:hAnsi="Times New Roman" w:eastAsia="Times New Roman" w:cs="Times New Roman"/>
              </w:rPr>
              <w:t>,</w:t>
            </w:r>
            <w:r w:rsidRPr="008A0227">
              <w:rPr>
                <w:rFonts w:ascii="Times New Roman" w:hAnsi="Times New Roman" w:eastAsia="Times New Roman" w:cs="Times New Roman"/>
              </w:rPr>
              <w:t>000.00</w:t>
            </w:r>
          </w:p>
        </w:tc>
      </w:tr>
      <w:tr w:rsidRPr="008A0227" w:rsidR="008A0227" w:rsidTr="002B193F" w14:paraId="6EE95C3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A0227" w:rsidR="00C22B1B" w:rsidP="00BB7115" w:rsidRDefault="00C22B1B" w14:paraId="0DEDF156" w14:textId="5CC0F7CD">
            <w:pPr>
              <w:spacing w:after="0" w:line="240" w:lineRule="auto"/>
              <w:rPr>
                <w:rFonts w:ascii="Times New Roman" w:hAnsi="Times New Roman" w:eastAsia="Calibri" w:cs="Times New Roman"/>
              </w:rPr>
            </w:pPr>
            <w:r w:rsidRPr="008A0227">
              <w:rPr>
                <w:rFonts w:ascii="Times New Roman" w:hAnsi="Times New Roman" w:eastAsia="Calibri" w:cs="Times New Roman"/>
              </w:rPr>
              <w:t xml:space="preserve">Labor Hours for Development and </w:t>
            </w:r>
            <w:r w:rsidRPr="008A0227">
              <w:rPr>
                <w:rFonts w:ascii="Times New Roman" w:hAnsi="Times New Roman" w:eastAsia="Calibri" w:cs="Times New Roman"/>
              </w:rPr>
              <w:lastRenderedPageBreak/>
              <w:t>Customization of Tracking Sy</w:t>
            </w:r>
            <w:r w:rsidR="008F5A77">
              <w:rPr>
                <w:rFonts w:ascii="Times New Roman" w:hAnsi="Times New Roman" w:eastAsia="Calibri" w:cs="Times New Roman"/>
              </w:rPr>
              <w:t>s</w:t>
            </w:r>
            <w:r w:rsidRPr="008A0227">
              <w:rPr>
                <w:rFonts w:ascii="Times New Roman" w:hAnsi="Times New Roman" w:eastAsia="Calibri" w:cs="Times New Roman"/>
              </w:rPr>
              <w:t xml:space="preserve">tem </w:t>
            </w:r>
          </w:p>
        </w:tc>
        <w:tc>
          <w:tcPr>
            <w:tcW w:w="1440" w:type="dxa"/>
            <w:tcBorders>
              <w:top w:val="nil"/>
              <w:left w:val="nil"/>
              <w:bottom w:val="single" w:color="auto" w:sz="8" w:space="0"/>
              <w:right w:val="single" w:color="auto" w:sz="8" w:space="0"/>
            </w:tcBorders>
          </w:tcPr>
          <w:p w:rsidRPr="008A0227" w:rsidR="00C22B1B" w:rsidP="00BB7115" w:rsidRDefault="00C22B1B" w14:paraId="7C5027FC"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C22B1B" w:rsidP="00BB7115" w:rsidRDefault="00C22B1B" w14:paraId="2A1AF425"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A0227" w:rsidR="00C22B1B" w:rsidP="00BB7115" w:rsidRDefault="00C22B1B" w14:paraId="6715042F"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8A0227" w:rsidR="00C22B1B" w:rsidP="00BB7115" w:rsidRDefault="00C22B1B" w14:paraId="2C4E69A0"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8A0227" w:rsidR="00C22B1B" w:rsidP="00BB7115" w:rsidRDefault="00C22B1B" w14:paraId="5736DDD7" w14:textId="7A9AAA34">
            <w:pPr>
              <w:spacing w:after="0" w:line="240" w:lineRule="auto"/>
              <w:rPr>
                <w:rFonts w:ascii="Times New Roman" w:hAnsi="Times New Roman" w:eastAsia="Times New Roman" w:cs="Times New Roman"/>
              </w:rPr>
            </w:pPr>
            <w:r w:rsidRPr="008A0227">
              <w:rPr>
                <w:rFonts w:ascii="Times New Roman" w:hAnsi="Times New Roman" w:eastAsia="Times New Roman" w:cs="Times New Roman"/>
              </w:rPr>
              <w:t xml:space="preserve">$75,000.00 </w:t>
            </w:r>
          </w:p>
        </w:tc>
      </w:tr>
      <w:tr w:rsidRPr="008A0227" w:rsidR="008A0227" w:rsidTr="002B193F" w14:paraId="3B56D00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5E2D23" w14:paraId="1809A6F7" w14:textId="41D09FBC">
            <w:pPr>
              <w:spacing w:after="0" w:line="240" w:lineRule="auto"/>
              <w:rPr>
                <w:rFonts w:ascii="Times New Roman" w:hAnsi="Times New Roman" w:eastAsia="Calibri" w:cs="Times New Roman"/>
                <w:b/>
              </w:rPr>
            </w:pPr>
            <w:r w:rsidRPr="008A0227">
              <w:rPr>
                <w:rFonts w:ascii="Times New Roman" w:hAnsi="Times New Roman" w:eastAsia="Calibri" w:cs="Times New Roman"/>
                <w:b/>
              </w:rPr>
              <w:t>Travel</w:t>
            </w:r>
          </w:p>
        </w:tc>
        <w:tc>
          <w:tcPr>
            <w:tcW w:w="1440" w:type="dxa"/>
            <w:tcBorders>
              <w:top w:val="nil"/>
              <w:left w:val="nil"/>
              <w:bottom w:val="single" w:color="auto" w:sz="8" w:space="0"/>
              <w:right w:val="single" w:color="auto" w:sz="8" w:space="0"/>
            </w:tcBorders>
            <w:shd w:val="clear" w:color="auto" w:fill="BFBFBF" w:themeFill="background1" w:themeFillShade="BF"/>
          </w:tcPr>
          <w:p w:rsidRPr="008A0227" w:rsidR="00BB7115" w:rsidP="00BB7115" w:rsidRDefault="00BB7115" w14:paraId="4557094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8A0227" w:rsidR="00BB7115" w:rsidP="00BB7115" w:rsidRDefault="00BB7115" w14:paraId="370ACCF1"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8A0227" w:rsidR="00BB7115" w:rsidP="00BB7115" w:rsidRDefault="00BB7115" w14:paraId="34651A95"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8A0227" w:rsidR="00BB7115" w:rsidP="00BB7115" w:rsidRDefault="00BB7115" w14:paraId="25B9A896"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8A0227" w:rsidR="00BB7115" w:rsidP="00BB7115" w:rsidRDefault="00BB7115" w14:paraId="5E854FE4" w14:textId="77777777">
            <w:pPr>
              <w:spacing w:after="0" w:line="240" w:lineRule="auto"/>
              <w:rPr>
                <w:rFonts w:ascii="Times New Roman" w:hAnsi="Times New Roman" w:eastAsia="Times New Roman" w:cs="Times New Roman"/>
              </w:rPr>
            </w:pPr>
          </w:p>
        </w:tc>
      </w:tr>
      <w:tr w:rsidRPr="008A0227" w:rsidR="008A0227" w:rsidTr="002B193F" w14:paraId="7E218B7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A0227" w:rsidR="00BB7115" w:rsidP="00BB7115" w:rsidRDefault="005E2D23" w14:paraId="0C7722C4" w14:textId="36DF236F">
            <w:pPr>
              <w:spacing w:after="0" w:line="240" w:lineRule="auto"/>
              <w:rPr>
                <w:rFonts w:ascii="Times New Roman" w:hAnsi="Times New Roman" w:eastAsia="Calibri" w:cs="Times New Roman"/>
                <w:b/>
                <w:highlight w:val="yellow"/>
              </w:rPr>
            </w:pPr>
            <w:r w:rsidRPr="008A0227">
              <w:rPr>
                <w:rFonts w:ascii="Times New Roman" w:hAnsi="Times New Roman" w:eastAsia="Calibri" w:cs="Times New Roman"/>
                <w:b/>
              </w:rPr>
              <w:t>Other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8A0227" w:rsidR="00BB7115" w:rsidP="00BB7115" w:rsidRDefault="00BB7115" w14:paraId="517D6F9A"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8A0227" w:rsidR="00BB7115" w:rsidP="00BB7115" w:rsidRDefault="00BB7115" w14:paraId="542F3BD7"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8A0227" w:rsidR="00BB7115" w:rsidP="00BB7115" w:rsidRDefault="00BB7115" w14:paraId="3317793A"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8A0227" w:rsidR="00BB7115" w:rsidP="00BB7115" w:rsidRDefault="00BB7115" w14:paraId="269282E9"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8A0227" w:rsidR="00BB7115" w:rsidP="00BB7115" w:rsidRDefault="00BB7115" w14:paraId="5DB4DA24" w14:textId="77777777">
            <w:pPr>
              <w:spacing w:after="0" w:line="240" w:lineRule="auto"/>
              <w:rPr>
                <w:rFonts w:ascii="Times New Roman" w:hAnsi="Times New Roman" w:eastAsia="Calibri" w:cs="Times New Roman"/>
              </w:rPr>
            </w:pPr>
          </w:p>
        </w:tc>
      </w:tr>
      <w:tr w:rsidRPr="008A0227" w:rsidR="008A0227" w:rsidTr="002B193F" w14:paraId="68B4147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A0227" w:rsidR="00BB7115" w:rsidP="00BB7115" w:rsidRDefault="00BB7115" w14:paraId="67EF4B42" w14:textId="77777777">
            <w:pPr>
              <w:spacing w:after="0" w:line="240" w:lineRule="auto"/>
              <w:rPr>
                <w:rFonts w:ascii="Times New Roman" w:hAnsi="Times New Roman" w:eastAsia="Calibri" w:cs="Times New Roman"/>
                <w:bCs/>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8A0227" w:rsidR="00BB7115" w:rsidP="00BB7115" w:rsidRDefault="00BB7115" w14:paraId="622721AE"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8A0227" w:rsidR="00BB7115" w:rsidP="00BB7115" w:rsidRDefault="00BB7115" w14:paraId="1243EFF9"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8A0227" w:rsidR="00BB7115" w:rsidP="00BB7115" w:rsidRDefault="00BB7115" w14:paraId="5359DC2D" w14:textId="77777777">
            <w:pPr>
              <w:spacing w:after="0" w:line="240" w:lineRule="auto"/>
              <w:rPr>
                <w:rFonts w:ascii="Times New Roman" w:hAnsi="Times New Roman" w:eastAsia="Calibri" w:cs="Times New Roman"/>
                <w:b/>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8A0227" w:rsidR="00BB7115" w:rsidP="00BB7115" w:rsidRDefault="00BB7115" w14:paraId="39609772" w14:textId="77777777">
            <w:pPr>
              <w:spacing w:after="0" w:line="240" w:lineRule="auto"/>
              <w:rPr>
                <w:rFonts w:ascii="Times New Roman" w:hAnsi="Times New Roman" w:eastAsia="Times New Roman" w:cs="Times New Roman"/>
                <w:b/>
              </w:rPr>
            </w:pPr>
          </w:p>
        </w:tc>
        <w:tc>
          <w:tcPr>
            <w:tcW w:w="1363" w:type="dxa"/>
            <w:tcBorders>
              <w:top w:val="nil"/>
              <w:left w:val="nil"/>
              <w:bottom w:val="single" w:color="auto" w:sz="8" w:space="0"/>
              <w:right w:val="single" w:color="auto" w:sz="8" w:space="0"/>
            </w:tcBorders>
          </w:tcPr>
          <w:p w:rsidRPr="008A0227" w:rsidR="00BB7115" w:rsidP="00BB7115" w:rsidRDefault="00BB7115" w14:paraId="499EB5DF" w14:textId="77777777">
            <w:pPr>
              <w:spacing w:after="0" w:line="240" w:lineRule="auto"/>
              <w:rPr>
                <w:rFonts w:ascii="Times New Roman" w:hAnsi="Times New Roman" w:eastAsia="Times New Roman" w:cs="Times New Roman"/>
                <w:b/>
              </w:rPr>
            </w:pPr>
          </w:p>
        </w:tc>
      </w:tr>
      <w:tr w:rsidRPr="008A0227" w:rsidR="008A0227" w:rsidTr="002B193F" w14:paraId="0273A64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F6ADB" w:rsidR="00BB7115" w:rsidP="00BB7115" w:rsidRDefault="005F6ADB" w14:paraId="5F81D4A6" w14:textId="3CF97882">
            <w:pPr>
              <w:spacing w:after="0" w:line="240" w:lineRule="auto"/>
              <w:rPr>
                <w:rFonts w:ascii="Times New Roman" w:hAnsi="Times New Roman" w:eastAsia="Times New Roman" w:cs="Times New Roman"/>
                <w:b/>
                <w:bCs/>
                <w:sz w:val="20"/>
                <w:szCs w:val="20"/>
              </w:rPr>
            </w:pPr>
            <w:r w:rsidRPr="005F6ADB">
              <w:rPr>
                <w:rFonts w:ascii="Times New Roman" w:hAnsi="Times New Roman" w:eastAsia="Times New Roman" w:cs="Times New Roman"/>
                <w:b/>
                <w:bCs/>
                <w:sz w:val="20"/>
                <w:szCs w:val="20"/>
              </w:rPr>
              <w:t>TOTAL</w:t>
            </w:r>
          </w:p>
        </w:tc>
        <w:tc>
          <w:tcPr>
            <w:tcW w:w="1440" w:type="dxa"/>
            <w:tcBorders>
              <w:top w:val="nil"/>
              <w:left w:val="nil"/>
              <w:bottom w:val="single" w:color="auto" w:sz="8" w:space="0"/>
              <w:right w:val="single" w:color="auto" w:sz="8" w:space="0"/>
            </w:tcBorders>
          </w:tcPr>
          <w:p w:rsidRPr="008A0227" w:rsidR="00BB7115" w:rsidP="00BB7115" w:rsidRDefault="00BB7115" w14:paraId="12C7BFB8" w14:textId="77777777">
            <w:pPr>
              <w:spacing w:after="0" w:line="240" w:lineRule="auto"/>
              <w:rPr>
                <w:rFonts w:ascii="Times New Roman" w:hAnsi="Times New Roman" w:eastAsia="Calibri"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A0227" w:rsidR="00BB7115" w:rsidP="00BB7115" w:rsidRDefault="00BB7115" w14:paraId="1412C067"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A0227" w:rsidR="00BB7115" w:rsidP="00BB7115" w:rsidRDefault="00BB7115" w14:paraId="2E6BD8A1"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8A0227" w:rsidR="00BB7115" w:rsidP="00BB7115" w:rsidRDefault="00BB7115" w14:paraId="7A626E94"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8A0227" w:rsidR="00BB7115" w:rsidP="00BB7115" w:rsidRDefault="008F5A77" w14:paraId="2D3918A8" w14:textId="1551A56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$81,415.34</w:t>
            </w:r>
          </w:p>
        </w:tc>
      </w:tr>
    </w:tbl>
    <w:p w:rsidRPr="008A0227" w:rsidR="00BB7115" w:rsidP="00BB7115" w:rsidRDefault="000F528B" w14:paraId="29BF6D1B" w14:textId="2C070399">
      <w:pPr>
        <w:spacing w:after="0" w:line="240" w:lineRule="auto"/>
        <w:rPr>
          <w:rFonts w:ascii="Times New Roman" w:hAnsi="Times New Roman" w:eastAsia="Times New Roman" w:cs="Times New Roman"/>
          <w:sz w:val="24"/>
          <w:szCs w:val="24"/>
        </w:rPr>
      </w:pPr>
      <w:r w:rsidRPr="008A0227">
        <w:t>*</w:t>
      </w:r>
      <w:r w:rsidRPr="008A0227">
        <w:rPr>
          <w:sz w:val="18"/>
          <w:szCs w:val="18"/>
        </w:rPr>
        <w:t>the</w:t>
      </w:r>
      <w:r w:rsidRPr="008A0227">
        <w:t xml:space="preserve"> </w:t>
      </w:r>
      <w:r w:rsidRPr="008A0227">
        <w:rPr>
          <w:sz w:val="18"/>
          <w:szCs w:val="18"/>
        </w:rPr>
        <w:t>Salary in table above is cited from</w:t>
      </w:r>
      <w:hyperlink w:history="1" r:id="rId8">
        <w:r w:rsidRPr="00D05389" w:rsidR="00D154BF">
          <w:rPr>
            <w:rStyle w:val="Hyperlink"/>
            <w:sz w:val="18"/>
            <w:szCs w:val="18"/>
          </w:rPr>
          <w:t>https://www.opm.gov/policy-data-oversight/pay-leave/salaries-wages/salary-tables/pdf/2020/DCB.pdf</w:t>
        </w:r>
      </w:hyperlink>
      <w:r w:rsidR="00D154BF">
        <w:rPr>
          <w:sz w:val="18"/>
          <w:szCs w:val="18"/>
        </w:rPr>
        <w:t xml:space="preserve"> </w:t>
      </w:r>
    </w:p>
    <w:p w:rsidR="00BB7115" w:rsidP="00BB7115" w:rsidRDefault="00BB7115" w14:paraId="5B948273" w14:textId="1F96FC65">
      <w:pPr>
        <w:spacing w:after="20"/>
      </w:pPr>
    </w:p>
    <w:p w:rsidRPr="008A0227" w:rsidR="001B638B" w:rsidP="00BB7115" w:rsidRDefault="001B638B" w14:paraId="7E5D6D7A" w14:textId="77777777">
      <w:pPr>
        <w:spacing w:after="20"/>
      </w:pPr>
    </w:p>
    <w:p w:rsidRPr="008A0227" w:rsidR="00713CF8" w:rsidP="008716F6" w:rsidRDefault="00713CF8" w14:paraId="701B9E8A" w14:textId="77777777">
      <w:pPr>
        <w:spacing w:after="20"/>
        <w:rPr>
          <w:b/>
        </w:rPr>
      </w:pPr>
      <w:r w:rsidRPr="008A0227">
        <w:rPr>
          <w:b/>
        </w:rPr>
        <w:t>A.15 Explanation for Program Changes or Adjustments</w:t>
      </w:r>
    </w:p>
    <w:p w:rsidRPr="008A0227" w:rsidR="00713CF8" w:rsidP="008716F6" w:rsidRDefault="00713CF8" w14:paraId="6E9E0532" w14:textId="77777777">
      <w:pPr>
        <w:spacing w:after="20"/>
      </w:pPr>
      <w:r w:rsidRPr="008A0227">
        <w:t>N/A</w:t>
      </w:r>
    </w:p>
    <w:p w:rsidR="000545D9" w:rsidP="008716F6" w:rsidRDefault="000545D9" w14:paraId="3D5400F9" w14:textId="77777777">
      <w:pPr>
        <w:spacing w:after="20"/>
        <w:rPr>
          <w:b/>
        </w:rPr>
      </w:pPr>
    </w:p>
    <w:p w:rsidRPr="008A0227" w:rsidR="00713CF8" w:rsidP="008716F6" w:rsidRDefault="00713CF8" w14:paraId="3B93546E" w14:textId="2421BCC8">
      <w:pPr>
        <w:spacing w:after="20"/>
        <w:rPr>
          <w:b/>
        </w:rPr>
      </w:pPr>
      <w:r w:rsidRPr="008A0227">
        <w:rPr>
          <w:b/>
        </w:rPr>
        <w:t>A.16 Plans for Tabulation and Publication and Project Time Schedule</w:t>
      </w:r>
    </w:p>
    <w:p w:rsidRPr="008A0227" w:rsidR="00713CF8" w:rsidP="008716F6" w:rsidRDefault="00713CF8" w14:paraId="05FA4C78" w14:textId="77777777">
      <w:pPr>
        <w:spacing w:after="20"/>
      </w:pPr>
    </w:p>
    <w:p w:rsidRPr="008A0227" w:rsidR="002C4725" w:rsidP="00A35AD7" w:rsidRDefault="00A35AD7" w14:paraId="7C364AFF" w14:textId="4C88CEA5">
      <w:r>
        <w:t>There are currently no plans for the in</w:t>
      </w:r>
      <w:r w:rsidRPr="008A0227" w:rsidR="00FC6E2E">
        <w:t xml:space="preserve">formation gathered from this request </w:t>
      </w:r>
      <w:r>
        <w:t>to be</w:t>
      </w:r>
      <w:r w:rsidRPr="008A0227" w:rsidR="00FC6E2E">
        <w:t xml:space="preserve"> published.</w:t>
      </w:r>
      <w:r>
        <w:t xml:space="preserve"> Development will take 8-10 weeks, starting from the time the supporting contractor is granted access to the NIH servers. We hope to have the project complete by mid-July 2020. </w:t>
      </w:r>
    </w:p>
    <w:p w:rsidRPr="008A0227" w:rsidR="00713CF8" w:rsidP="008716F6" w:rsidRDefault="00713CF8" w14:paraId="6E544D17" w14:textId="77777777">
      <w:pPr>
        <w:spacing w:after="20"/>
        <w:rPr>
          <w:b/>
        </w:rPr>
      </w:pPr>
      <w:r w:rsidRPr="008A0227">
        <w:rPr>
          <w:b/>
        </w:rPr>
        <w:t>A.17 Reason(s) Display of OMB Expiration Date is Inappropriate</w:t>
      </w:r>
    </w:p>
    <w:p w:rsidRPr="008A0227" w:rsidR="00713CF8" w:rsidP="008716F6" w:rsidRDefault="00713CF8" w14:paraId="331E5FB8" w14:textId="4D1D29F9">
      <w:pPr>
        <w:spacing w:after="20"/>
      </w:pPr>
      <w:r w:rsidRPr="008A0227">
        <w:t>We are not requesting an exemption to the display of the OMB Expiration date.</w:t>
      </w:r>
      <w:r w:rsidRPr="008A0227" w:rsidR="002C4725">
        <w:t xml:space="preserve"> *standard text*</w:t>
      </w:r>
    </w:p>
    <w:p w:rsidRPr="008A0227" w:rsidR="00713CF8" w:rsidP="008716F6" w:rsidRDefault="00713CF8" w14:paraId="2F4AF321" w14:textId="77777777">
      <w:pPr>
        <w:spacing w:after="20"/>
      </w:pPr>
    </w:p>
    <w:p w:rsidRPr="008A0227" w:rsidR="00713CF8" w:rsidP="00713CF8" w:rsidRDefault="00713CF8" w14:paraId="695E184B" w14:textId="77777777">
      <w:pPr>
        <w:spacing w:after="20"/>
        <w:rPr>
          <w:b/>
        </w:rPr>
      </w:pPr>
      <w:r w:rsidRPr="008A0227">
        <w:rPr>
          <w:b/>
        </w:rPr>
        <w:t>A.18 Exceptions to Certification for Paperwork Reduction Act Submissions</w:t>
      </w:r>
    </w:p>
    <w:p w:rsidRPr="008A0227" w:rsidR="00990709" w:rsidP="00713CF8" w:rsidRDefault="0087173D" w14:paraId="0F6F72BA" w14:textId="2955CA1B">
      <w:pPr>
        <w:spacing w:after="20"/>
        <w:rPr>
          <w:sz w:val="24"/>
          <w:szCs w:val="24"/>
        </w:rPr>
      </w:pPr>
      <w:r w:rsidRPr="008A0227">
        <w:t>This survey will comply with the requirements in 5 CFR 1320.9.</w:t>
      </w:r>
      <w:r w:rsidRPr="008A0227" w:rsidR="00990709">
        <w:t xml:space="preserve"> </w:t>
      </w:r>
      <w:r w:rsidRPr="008A0227" w:rsidR="002C4725">
        <w:t>*standard text*</w:t>
      </w:r>
      <w:r w:rsidRPr="008A0227" w:rsidR="00990709">
        <w:rPr>
          <w:sz w:val="24"/>
          <w:szCs w:val="24"/>
        </w:rPr>
        <w:tab/>
      </w:r>
      <w:r w:rsidRPr="008A0227" w:rsidR="00990709">
        <w:rPr>
          <w:sz w:val="24"/>
          <w:szCs w:val="24"/>
        </w:rPr>
        <w:tab/>
      </w:r>
    </w:p>
    <w:sectPr w:rsidRPr="008A0227" w:rsidR="00990709" w:rsidSect="00F4290D">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97242" w14:textId="77777777" w:rsidR="00DA7ED3" w:rsidRDefault="00DA7ED3" w:rsidP="005676C6">
      <w:pPr>
        <w:spacing w:after="0" w:line="240" w:lineRule="auto"/>
      </w:pPr>
      <w:r>
        <w:separator/>
      </w:r>
    </w:p>
  </w:endnote>
  <w:endnote w:type="continuationSeparator" w:id="0">
    <w:p w14:paraId="0EA7ABD4" w14:textId="77777777" w:rsidR="00DA7ED3" w:rsidRDefault="00DA7ED3"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873A" w14:textId="77777777" w:rsidR="00BA4F9C" w:rsidRDefault="00BA4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A13D" w14:textId="77777777" w:rsidR="00273E4C" w:rsidRDefault="00273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5B40" w14:textId="77777777" w:rsidR="00BA4F9C" w:rsidRDefault="00BA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D2E72" w14:textId="77777777" w:rsidR="00DA7ED3" w:rsidRDefault="00DA7ED3" w:rsidP="005676C6">
      <w:pPr>
        <w:spacing w:after="0" w:line="240" w:lineRule="auto"/>
      </w:pPr>
      <w:r>
        <w:separator/>
      </w:r>
    </w:p>
  </w:footnote>
  <w:footnote w:type="continuationSeparator" w:id="0">
    <w:p w14:paraId="42EE8787" w14:textId="77777777" w:rsidR="00DA7ED3" w:rsidRDefault="00DA7ED3" w:rsidP="0056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FE95" w14:textId="77777777" w:rsidR="00BA4F9C" w:rsidRDefault="00BA4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6675" w14:textId="7499D94D" w:rsidR="00BA4F9C" w:rsidRDefault="00BA4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EFD3" w14:textId="77777777" w:rsidR="00BA4F9C" w:rsidRDefault="00BA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3ECA0B61"/>
    <w:multiLevelType w:val="hybridMultilevel"/>
    <w:tmpl w:val="72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9F3353"/>
    <w:multiLevelType w:val="hybridMultilevel"/>
    <w:tmpl w:val="7208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BE1"/>
    <w:rsid w:val="000545D9"/>
    <w:rsid w:val="00057A71"/>
    <w:rsid w:val="00057C98"/>
    <w:rsid w:val="00063927"/>
    <w:rsid w:val="00063DC1"/>
    <w:rsid w:val="000A796F"/>
    <w:rsid w:val="000B4C09"/>
    <w:rsid w:val="000D35DA"/>
    <w:rsid w:val="000E2C79"/>
    <w:rsid w:val="000F528B"/>
    <w:rsid w:val="00113647"/>
    <w:rsid w:val="00113D5F"/>
    <w:rsid w:val="0012539B"/>
    <w:rsid w:val="00133875"/>
    <w:rsid w:val="001435DE"/>
    <w:rsid w:val="0016069E"/>
    <w:rsid w:val="00175FFD"/>
    <w:rsid w:val="00185105"/>
    <w:rsid w:val="0019597C"/>
    <w:rsid w:val="001B3C5E"/>
    <w:rsid w:val="001B638B"/>
    <w:rsid w:val="001C1DC2"/>
    <w:rsid w:val="001D2741"/>
    <w:rsid w:val="001D3390"/>
    <w:rsid w:val="001E3759"/>
    <w:rsid w:val="001F37CE"/>
    <w:rsid w:val="002065DB"/>
    <w:rsid w:val="0021543C"/>
    <w:rsid w:val="00236DA8"/>
    <w:rsid w:val="00246121"/>
    <w:rsid w:val="00267304"/>
    <w:rsid w:val="002727A9"/>
    <w:rsid w:val="00273125"/>
    <w:rsid w:val="00273E4C"/>
    <w:rsid w:val="00284008"/>
    <w:rsid w:val="0029112F"/>
    <w:rsid w:val="0029401E"/>
    <w:rsid w:val="002B193F"/>
    <w:rsid w:val="002C1D97"/>
    <w:rsid w:val="002C4250"/>
    <w:rsid w:val="002C4725"/>
    <w:rsid w:val="002D29FF"/>
    <w:rsid w:val="002D3BFF"/>
    <w:rsid w:val="002F3354"/>
    <w:rsid w:val="00330E82"/>
    <w:rsid w:val="0033116F"/>
    <w:rsid w:val="00336D39"/>
    <w:rsid w:val="00337DC3"/>
    <w:rsid w:val="00350296"/>
    <w:rsid w:val="0036575A"/>
    <w:rsid w:val="00367B88"/>
    <w:rsid w:val="00382B75"/>
    <w:rsid w:val="00395820"/>
    <w:rsid w:val="003A14DC"/>
    <w:rsid w:val="003A7F7F"/>
    <w:rsid w:val="003C1DD9"/>
    <w:rsid w:val="003D32E2"/>
    <w:rsid w:val="003D43B1"/>
    <w:rsid w:val="003F0739"/>
    <w:rsid w:val="003F7B2E"/>
    <w:rsid w:val="0040282E"/>
    <w:rsid w:val="00413459"/>
    <w:rsid w:val="00423130"/>
    <w:rsid w:val="004409C0"/>
    <w:rsid w:val="00446BA0"/>
    <w:rsid w:val="004579AD"/>
    <w:rsid w:val="0046633D"/>
    <w:rsid w:val="00477A8E"/>
    <w:rsid w:val="004B3C21"/>
    <w:rsid w:val="004D2AD6"/>
    <w:rsid w:val="004D53E5"/>
    <w:rsid w:val="004F29C5"/>
    <w:rsid w:val="00505A3E"/>
    <w:rsid w:val="00506DA7"/>
    <w:rsid w:val="005300D1"/>
    <w:rsid w:val="00534B5A"/>
    <w:rsid w:val="00547CA8"/>
    <w:rsid w:val="00551B2D"/>
    <w:rsid w:val="005676C6"/>
    <w:rsid w:val="00573BAB"/>
    <w:rsid w:val="005868BD"/>
    <w:rsid w:val="00586D7F"/>
    <w:rsid w:val="00595D1E"/>
    <w:rsid w:val="005B5E5B"/>
    <w:rsid w:val="005E2D23"/>
    <w:rsid w:val="005E4BB3"/>
    <w:rsid w:val="005F6ADB"/>
    <w:rsid w:val="00626A3E"/>
    <w:rsid w:val="00640D18"/>
    <w:rsid w:val="00671016"/>
    <w:rsid w:val="006854FC"/>
    <w:rsid w:val="00687733"/>
    <w:rsid w:val="0069025C"/>
    <w:rsid w:val="00693A83"/>
    <w:rsid w:val="00695204"/>
    <w:rsid w:val="006A5586"/>
    <w:rsid w:val="006B2ACE"/>
    <w:rsid w:val="006F3226"/>
    <w:rsid w:val="006F428D"/>
    <w:rsid w:val="006F439A"/>
    <w:rsid w:val="006F7AFA"/>
    <w:rsid w:val="00713CF8"/>
    <w:rsid w:val="00740F9D"/>
    <w:rsid w:val="00741F60"/>
    <w:rsid w:val="00762CFB"/>
    <w:rsid w:val="00787810"/>
    <w:rsid w:val="0079458E"/>
    <w:rsid w:val="0079784E"/>
    <w:rsid w:val="007B6FBB"/>
    <w:rsid w:val="007D19AD"/>
    <w:rsid w:val="007D3181"/>
    <w:rsid w:val="007D66AD"/>
    <w:rsid w:val="007E445B"/>
    <w:rsid w:val="007F5A32"/>
    <w:rsid w:val="00816C32"/>
    <w:rsid w:val="008529CC"/>
    <w:rsid w:val="008716F6"/>
    <w:rsid w:val="0087173D"/>
    <w:rsid w:val="008800C1"/>
    <w:rsid w:val="00897D34"/>
    <w:rsid w:val="008A0227"/>
    <w:rsid w:val="008D12B2"/>
    <w:rsid w:val="008D6113"/>
    <w:rsid w:val="008F1FDC"/>
    <w:rsid w:val="008F5A77"/>
    <w:rsid w:val="0090219E"/>
    <w:rsid w:val="00907978"/>
    <w:rsid w:val="00907E64"/>
    <w:rsid w:val="00942DB8"/>
    <w:rsid w:val="00944ABD"/>
    <w:rsid w:val="00953B2E"/>
    <w:rsid w:val="00956434"/>
    <w:rsid w:val="00974140"/>
    <w:rsid w:val="00990709"/>
    <w:rsid w:val="009A3889"/>
    <w:rsid w:val="009B47D8"/>
    <w:rsid w:val="009E3506"/>
    <w:rsid w:val="009F4546"/>
    <w:rsid w:val="00A13F0C"/>
    <w:rsid w:val="00A24DA1"/>
    <w:rsid w:val="00A35AD7"/>
    <w:rsid w:val="00A61F11"/>
    <w:rsid w:val="00A622DA"/>
    <w:rsid w:val="00A66687"/>
    <w:rsid w:val="00A74631"/>
    <w:rsid w:val="00A75A5C"/>
    <w:rsid w:val="00AA355D"/>
    <w:rsid w:val="00AB60E0"/>
    <w:rsid w:val="00AC113B"/>
    <w:rsid w:val="00AD7BAB"/>
    <w:rsid w:val="00AF01AD"/>
    <w:rsid w:val="00B20D87"/>
    <w:rsid w:val="00B51807"/>
    <w:rsid w:val="00B56A63"/>
    <w:rsid w:val="00B575BB"/>
    <w:rsid w:val="00B732AC"/>
    <w:rsid w:val="00B86394"/>
    <w:rsid w:val="00B87B41"/>
    <w:rsid w:val="00B93DE5"/>
    <w:rsid w:val="00B97CC8"/>
    <w:rsid w:val="00BA4F9C"/>
    <w:rsid w:val="00BB14C2"/>
    <w:rsid w:val="00BB26FB"/>
    <w:rsid w:val="00BB41D9"/>
    <w:rsid w:val="00BB7115"/>
    <w:rsid w:val="00BC088C"/>
    <w:rsid w:val="00BE135A"/>
    <w:rsid w:val="00BE197D"/>
    <w:rsid w:val="00C0501F"/>
    <w:rsid w:val="00C1419F"/>
    <w:rsid w:val="00C22B1B"/>
    <w:rsid w:val="00C35EC5"/>
    <w:rsid w:val="00C44483"/>
    <w:rsid w:val="00C465FF"/>
    <w:rsid w:val="00C52BD2"/>
    <w:rsid w:val="00C95821"/>
    <w:rsid w:val="00CB4C39"/>
    <w:rsid w:val="00CC32B1"/>
    <w:rsid w:val="00CD7447"/>
    <w:rsid w:val="00CE5E1F"/>
    <w:rsid w:val="00CF1726"/>
    <w:rsid w:val="00D01F05"/>
    <w:rsid w:val="00D06EEF"/>
    <w:rsid w:val="00D154BF"/>
    <w:rsid w:val="00D31D73"/>
    <w:rsid w:val="00D45A58"/>
    <w:rsid w:val="00D50B73"/>
    <w:rsid w:val="00D605CF"/>
    <w:rsid w:val="00D6099F"/>
    <w:rsid w:val="00D6797B"/>
    <w:rsid w:val="00D72137"/>
    <w:rsid w:val="00DA7ED3"/>
    <w:rsid w:val="00DB27F3"/>
    <w:rsid w:val="00DD6653"/>
    <w:rsid w:val="00DE183E"/>
    <w:rsid w:val="00DE3A7C"/>
    <w:rsid w:val="00DF6124"/>
    <w:rsid w:val="00E13104"/>
    <w:rsid w:val="00E171AD"/>
    <w:rsid w:val="00E22675"/>
    <w:rsid w:val="00E33992"/>
    <w:rsid w:val="00E46078"/>
    <w:rsid w:val="00E712FF"/>
    <w:rsid w:val="00E75257"/>
    <w:rsid w:val="00EB437A"/>
    <w:rsid w:val="00EB77CC"/>
    <w:rsid w:val="00EC499E"/>
    <w:rsid w:val="00ED1560"/>
    <w:rsid w:val="00ED4628"/>
    <w:rsid w:val="00EF7AEA"/>
    <w:rsid w:val="00F0448C"/>
    <w:rsid w:val="00F4290D"/>
    <w:rsid w:val="00F45BD9"/>
    <w:rsid w:val="00FB481F"/>
    <w:rsid w:val="00FC2D0D"/>
    <w:rsid w:val="00FC3BAD"/>
    <w:rsid w:val="00FC58E7"/>
    <w:rsid w:val="00FC6E2E"/>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DBAE6"/>
  <w15:docId w15:val="{8E7E3D1B-6B66-47D8-849B-55BA8845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BodyTextIndent">
    <w:name w:val="Body Text Indent"/>
    <w:basedOn w:val="Normal"/>
    <w:link w:val="BodyTextIndentChar"/>
    <w:rsid w:val="007D3181"/>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D3181"/>
    <w:rPr>
      <w:rFonts w:ascii="Times New Roman" w:eastAsia="Times New Roman" w:hAnsi="Times New Roman" w:cs="Times New Roman"/>
      <w:sz w:val="20"/>
      <w:szCs w:val="20"/>
      <w:lang w:eastAsia="zh-CN"/>
    </w:rPr>
  </w:style>
  <w:style w:type="paragraph" w:styleId="Revision">
    <w:name w:val="Revision"/>
    <w:hidden/>
    <w:uiPriority w:val="99"/>
    <w:semiHidden/>
    <w:rsid w:val="00640D18"/>
    <w:pPr>
      <w:spacing w:after="0" w:line="240" w:lineRule="auto"/>
    </w:pPr>
  </w:style>
  <w:style w:type="character" w:styleId="UnresolvedMention">
    <w:name w:val="Unresolved Mention"/>
    <w:basedOn w:val="DefaultParagraphFont"/>
    <w:uiPriority w:val="99"/>
    <w:semiHidden/>
    <w:unhideWhenUsed/>
    <w:rsid w:val="00B51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F48F1-208D-4E1B-841C-4B64F10C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Currie, Mikia (NIH/OD) [E]</cp:lastModifiedBy>
  <cp:revision>3</cp:revision>
  <cp:lastPrinted>2010-02-17T12:08:00Z</cp:lastPrinted>
  <dcterms:created xsi:type="dcterms:W3CDTF">2020-05-06T16:47:00Z</dcterms:created>
  <dcterms:modified xsi:type="dcterms:W3CDTF">2020-05-06T16:47:00Z</dcterms:modified>
</cp:coreProperties>
</file>