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7C8A" w:rsidRPr="00002933" w:rsidP="000B1FF1" w14:paraId="0BFA3F90" w14:textId="4E05A366">
      <w:pPr>
        <w:jc w:val="center"/>
        <w:rPr>
          <w:rFonts w:eastAsia="Calibri"/>
        </w:rPr>
      </w:pPr>
      <w:r w:rsidRPr="00002933">
        <w:rPr>
          <w:rFonts w:eastAsia="Calibri"/>
        </w:rPr>
        <w:t xml:space="preserve">UNITED STATES FOOD </w:t>
      </w:r>
      <w:r>
        <w:rPr>
          <w:rFonts w:eastAsia="Calibri"/>
        </w:rPr>
        <w:t xml:space="preserve">&amp; </w:t>
      </w:r>
      <w:r w:rsidRPr="00002933">
        <w:rPr>
          <w:rFonts w:eastAsia="Calibri"/>
        </w:rPr>
        <w:t>DRUG ADMINISTRATION</w:t>
      </w:r>
    </w:p>
    <w:p w:rsidR="00357C8A" w:rsidRPr="00002933" w:rsidP="000B1FF1" w14:paraId="1A653056" w14:textId="77777777">
      <w:pPr>
        <w:jc w:val="center"/>
        <w:rPr>
          <w:rFonts w:eastAsia="Calibri"/>
        </w:rPr>
      </w:pPr>
    </w:p>
    <w:p w:rsidR="00357C8A" w:rsidRPr="0096589F" w:rsidP="000B1FF1" w14:paraId="36FC0F7C" w14:textId="647A6AC1">
      <w:pPr>
        <w:jc w:val="center"/>
        <w:rPr>
          <w:rFonts w:eastAsia="Calibri"/>
          <w:b/>
          <w:bCs/>
        </w:rPr>
      </w:pPr>
      <w:r w:rsidRPr="0096589F">
        <w:rPr>
          <w:rFonts w:eastAsia="Calibri"/>
          <w:b/>
          <w:bCs/>
        </w:rPr>
        <w:t>Electronic Products</w:t>
      </w:r>
      <w:r w:rsidRPr="0096589F" w:rsidR="00DB3DC4">
        <w:rPr>
          <w:rFonts w:eastAsia="Calibri"/>
          <w:b/>
          <w:bCs/>
        </w:rPr>
        <w:t xml:space="preserve"> Requirements</w:t>
      </w:r>
    </w:p>
    <w:p w:rsidR="00357C8A" w:rsidRPr="00002933" w:rsidP="000B1FF1" w14:paraId="7EEAE362" w14:textId="77777777">
      <w:pPr>
        <w:jc w:val="center"/>
        <w:rPr>
          <w:rFonts w:eastAsia="Calibri"/>
        </w:rPr>
      </w:pPr>
    </w:p>
    <w:p w:rsidR="00357C8A" w:rsidRPr="007B444E" w:rsidP="000B1FF1" w14:paraId="1422108E" w14:textId="48D1C9AD">
      <w:pPr>
        <w:jc w:val="center"/>
        <w:rPr>
          <w:rFonts w:eastAsia="Calibri"/>
          <w:u w:val="single"/>
        </w:rPr>
      </w:pPr>
      <w:r w:rsidRPr="007B444E">
        <w:rPr>
          <w:rFonts w:eastAsia="Calibri"/>
          <w:u w:val="single"/>
        </w:rPr>
        <w:t>OMB Control No. 0910-</w:t>
      </w:r>
      <w:r w:rsidRPr="007B444E" w:rsidR="00165B91">
        <w:rPr>
          <w:rFonts w:eastAsia="Calibri"/>
          <w:u w:val="single"/>
        </w:rPr>
        <w:t>0025</w:t>
      </w:r>
      <w:r w:rsidRPr="007B444E" w:rsidR="007B444E">
        <w:rPr>
          <w:rFonts w:eastAsia="Calibri"/>
          <w:u w:val="single"/>
        </w:rPr>
        <w:t xml:space="preserve"> – Revision</w:t>
      </w:r>
    </w:p>
    <w:p w:rsidR="0096589F" w:rsidP="000B1FF1" w14:paraId="2368BBB0" w14:textId="77777777">
      <w:pPr>
        <w:jc w:val="center"/>
      </w:pPr>
    </w:p>
    <w:p w:rsidR="00165B91" w:rsidRPr="00002933" w:rsidP="000B1FF1" w14:paraId="79E1C510" w14:textId="6252F408">
      <w:pPr>
        <w:jc w:val="center"/>
        <w:rPr>
          <w:rFonts w:eastAsia="Calibri"/>
        </w:rPr>
      </w:pPr>
      <w:r w:rsidRPr="00002933">
        <w:t>RIN-0910-AH65</w:t>
      </w:r>
    </w:p>
    <w:p w:rsidR="00357C8A" w:rsidRPr="00002933" w:rsidP="000B1FF1" w14:paraId="655200D4" w14:textId="12609AFD">
      <w:pPr>
        <w:jc w:val="center"/>
        <w:rPr>
          <w:rFonts w:eastAsia="Calibri"/>
        </w:rPr>
      </w:pPr>
    </w:p>
    <w:p w:rsidR="0096589F" w:rsidP="0096589F" w14:paraId="48C6951E" w14:textId="298B5BF1">
      <w:pPr>
        <w:jc w:val="center"/>
        <w:rPr>
          <w:rFonts w:eastAsia="Calibri"/>
        </w:rPr>
      </w:pPr>
      <w:r w:rsidRPr="00002933">
        <w:rPr>
          <w:rFonts w:eastAsia="Calibri"/>
        </w:rPr>
        <w:t>SUPPORTING STATEMENT</w:t>
      </w:r>
    </w:p>
    <w:p w:rsidR="0096589F" w:rsidP="000B1FF1" w14:paraId="6DFC3EA2" w14:textId="77777777">
      <w:pPr>
        <w:rPr>
          <w:rFonts w:eastAsia="Calibri"/>
        </w:rPr>
      </w:pPr>
    </w:p>
    <w:p w:rsidR="00357C8A" w:rsidRPr="00002933" w:rsidP="000B1FF1" w14:paraId="15F6B556" w14:textId="055376AB">
      <w:pPr>
        <w:rPr>
          <w:rFonts w:eastAsia="Calibri"/>
        </w:rPr>
      </w:pPr>
      <w:r w:rsidRPr="007B444E">
        <w:rPr>
          <w:rFonts w:eastAsia="Calibri"/>
          <w:b/>
          <w:bCs/>
        </w:rPr>
        <w:t>Part A – Justification:</w:t>
      </w:r>
    </w:p>
    <w:p w:rsidR="000D79CC" w:rsidRPr="00002933" w:rsidP="000B1FF1" w14:paraId="00086AB6" w14:textId="77777777">
      <w:pPr>
        <w:rPr>
          <w:rFonts w:eastAsia="Calibri"/>
        </w:rPr>
      </w:pPr>
    </w:p>
    <w:p w:rsidR="00357C8A" w:rsidRPr="00002933" w:rsidP="000B1FF1" w14:paraId="5DF27F30" w14:textId="77777777">
      <w:pPr>
        <w:numPr>
          <w:ilvl w:val="0"/>
          <w:numId w:val="6"/>
        </w:numPr>
        <w:rPr>
          <w:rFonts w:eastAsia="Calibri"/>
        </w:rPr>
      </w:pPr>
      <w:r w:rsidRPr="00002933">
        <w:rPr>
          <w:rFonts w:eastAsia="Calibri"/>
          <w:u w:val="single"/>
        </w:rPr>
        <w:t>Circumstances Making the Collection of Information Necessary</w:t>
      </w:r>
    </w:p>
    <w:p w:rsidR="00EE63BA" w:rsidP="000B1FF1" w14:paraId="615EFD79" w14:textId="77777777">
      <w:pPr>
        <w:rPr>
          <w:rFonts w:eastAsia="Calibri"/>
        </w:rPr>
      </w:pPr>
    </w:p>
    <w:p w:rsidR="00830C3A" w:rsidRPr="00BB58B5" w:rsidP="000B1FF1" w14:paraId="07C2F990" w14:textId="1ADC1B41">
      <w:r w:rsidRPr="00002933">
        <w:rPr>
          <w:rFonts w:eastAsia="Calibri"/>
        </w:rPr>
        <w:t xml:space="preserve">This information collection supports Food and Drug Administration (FDA, us or we) </w:t>
      </w:r>
      <w:r w:rsidR="00EE63BA">
        <w:rPr>
          <w:rFonts w:eastAsia="Calibri"/>
        </w:rPr>
        <w:t>rulemaking.</w:t>
      </w:r>
      <w:r w:rsidR="00375CC8">
        <w:rPr>
          <w:rFonts w:eastAsia="Calibri"/>
        </w:rPr>
        <w:t xml:space="preserve">  </w:t>
      </w:r>
      <w:r w:rsidR="00EE63BA">
        <w:rPr>
          <w:rFonts w:eastAsia="Calibri"/>
        </w:rPr>
        <w:t>In the f</w:t>
      </w:r>
      <w:r w:rsidRPr="00652821" w:rsidR="00A9397F">
        <w:rPr>
          <w:rFonts w:eastAsia="Calibri"/>
        </w:rPr>
        <w:t>inal rule, “</w:t>
      </w:r>
      <w:r w:rsidRPr="00652821" w:rsidR="00A9397F">
        <w:rPr>
          <w:i/>
          <w:iCs/>
        </w:rPr>
        <w:t>Radiological Health Regulations; Amendments to Records and Reports for Radiation Emitting Electronic Products; Amendments to Performance Standards for Diagnostic X-ray, Laser and Ultrasonic Products</w:t>
      </w:r>
      <w:r w:rsidR="00EE63BA">
        <w:rPr>
          <w:i/>
          <w:iCs/>
        </w:rPr>
        <w:t>,</w:t>
      </w:r>
      <w:r w:rsidRPr="00652821" w:rsidR="00A9397F">
        <w:rPr>
          <w:rFonts w:eastAsia="Calibri"/>
        </w:rPr>
        <w:t>”</w:t>
      </w:r>
      <w:r w:rsidR="00EE63BA">
        <w:rPr>
          <w:rFonts w:eastAsia="Calibri"/>
        </w:rPr>
        <w:t xml:space="preserve"> </w:t>
      </w:r>
      <w:r w:rsidRPr="00652821" w:rsidR="008D0D7F">
        <w:rPr>
          <w:rFonts w:eastAsia="Calibri"/>
        </w:rPr>
        <w:t>FDA is amending and repealing parts of the radiological health regulations</w:t>
      </w:r>
      <w:r w:rsidR="00D101F1">
        <w:rPr>
          <w:rFonts w:eastAsia="Calibri"/>
        </w:rPr>
        <w:t xml:space="preserve"> it administers</w:t>
      </w:r>
      <w:r w:rsidRPr="00652821" w:rsidR="008D0D7F">
        <w:rPr>
          <w:rFonts w:eastAsia="Calibri"/>
        </w:rPr>
        <w:t>.</w:t>
      </w:r>
      <w:r w:rsidR="00C61E09">
        <w:rPr>
          <w:rFonts w:eastAsia="Calibri"/>
        </w:rPr>
        <w:t xml:space="preserve">  </w:t>
      </w:r>
      <w:r w:rsidRPr="00652821" w:rsidR="000A0FD4">
        <w:rPr>
          <w:bCs/>
        </w:rPr>
        <w:t>FDA is issuing this final rule under the device and general administrative provisions of the Federal Food, Drug, and Cosmetic Act (FD&amp;C Act) (21 U.S.C. 321, 351, 352, 360, 360e-360j, 360hh-360ss, 371, 374, and 381).</w:t>
      </w:r>
      <w:r w:rsidR="00BB58B5">
        <w:rPr>
          <w:bCs/>
        </w:rPr>
        <w:t xml:space="preserve">  </w:t>
      </w:r>
      <w:r w:rsidRPr="00830C3A">
        <w:rPr>
          <w:bCs/>
        </w:rPr>
        <w:t xml:space="preserve">Many of the requirements in our radiological health regulations are over 30 years old.  As described in </w:t>
      </w:r>
      <w:r w:rsidR="000523FC">
        <w:rPr>
          <w:bCs/>
        </w:rPr>
        <w:t xml:space="preserve">the </w:t>
      </w:r>
      <w:r w:rsidRPr="00830C3A">
        <w:rPr>
          <w:bCs/>
        </w:rPr>
        <w:t>proposed rule (84 FR 12147, April 1, 2019)</w:t>
      </w:r>
      <w:r w:rsidR="000523FC">
        <w:rPr>
          <w:bCs/>
        </w:rPr>
        <w:t xml:space="preserve">, </w:t>
      </w:r>
      <w:r w:rsidRPr="00830C3A">
        <w:rPr>
          <w:bCs/>
        </w:rPr>
        <w:t>the final rule amends and repeals certain radiological health regulations to reduce regulatory requirements that are outdated and duplicative.  Specifically, th</w:t>
      </w:r>
      <w:r w:rsidR="006A7879">
        <w:rPr>
          <w:bCs/>
        </w:rPr>
        <w:t>e</w:t>
      </w:r>
      <w:r w:rsidRPr="00830C3A">
        <w:rPr>
          <w:bCs/>
        </w:rPr>
        <w:t xml:space="preserve"> final rule amends parts of the radiological health regulations covering recommendations for radiation protection during medical procedures, certain records and reporting for electronic products, applications for variances, and performance standards for diagnostic x-ray systems and their major components, laser products, and ultrasonic therapy products while still assuring the public health and safety is protected against harmful exposure to radiation emitting electronic products and medical devices.</w:t>
      </w:r>
    </w:p>
    <w:p w:rsidR="006A7879" w:rsidRPr="00830C3A" w:rsidP="000B1FF1" w14:paraId="363EA261" w14:textId="77777777">
      <w:pPr>
        <w:rPr>
          <w:bCs/>
        </w:rPr>
      </w:pPr>
    </w:p>
    <w:p w:rsidR="000A0FD4" w:rsidRPr="00652821" w:rsidP="000B1FF1" w14:paraId="3FCB2431" w14:textId="1309E349">
      <w:pPr>
        <w:rPr>
          <w:rFonts w:eastAsia="Calibri"/>
        </w:rPr>
      </w:pPr>
      <w:r w:rsidRPr="00A012CB">
        <w:rPr>
          <w:bCs/>
        </w:rPr>
        <w:t>FDA is responsible for protecting and promoting public health regarding electronic product radiation from medical devices (such as x-rays and mammograms) and electronic products (such as baggage x-rays for security, laser pointers, Ultraviolet tanning, and cell phones).</w:t>
      </w:r>
      <w:r w:rsidR="007B444E">
        <w:rPr>
          <w:bCs/>
        </w:rPr>
        <w:t xml:space="preserve">  </w:t>
      </w:r>
      <w:r w:rsidRPr="00A012CB">
        <w:rPr>
          <w:bCs/>
        </w:rPr>
        <w:t>Voluntary consensus standards regarding safety and essential performance have been developed and continually improved to increase the safety of these devices (sections 514(c) and 531-542 of the FD&amp;C Act).</w:t>
      </w:r>
      <w:r w:rsidR="004576EC">
        <w:rPr>
          <w:bCs/>
        </w:rPr>
        <w:t xml:space="preserve">  We believe </w:t>
      </w:r>
      <w:r w:rsidRPr="00A012CB">
        <w:rPr>
          <w:bCs/>
        </w:rPr>
        <w:t>radiation emitting medical devices and electronic products that comply with Federal standards provide a reasonable assurance of safety and effectiveness when properly used by trained personnel, and concern has shifted to minimizing improper uses.</w:t>
      </w:r>
    </w:p>
    <w:p w:rsidR="00BE107C" w:rsidRPr="00652821" w:rsidP="000B1FF1" w14:paraId="6F38476F" w14:textId="77777777">
      <w:pPr>
        <w:rPr>
          <w:rFonts w:eastAsia="Calibri"/>
        </w:rPr>
      </w:pPr>
    </w:p>
    <w:p w:rsidR="00357C8A" w:rsidRPr="00652821" w:rsidP="000B1FF1" w14:paraId="5E07FC69" w14:textId="11487B5A">
      <w:pPr>
        <w:rPr>
          <w:rFonts w:eastAsia="Calibri"/>
        </w:rPr>
      </w:pPr>
      <w:r>
        <w:rPr>
          <w:rFonts w:eastAsia="Calibri"/>
        </w:rPr>
        <w:t xml:space="preserve">We therefore </w:t>
      </w:r>
      <w:r w:rsidR="00A75C87">
        <w:rPr>
          <w:rFonts w:eastAsia="Calibri"/>
        </w:rPr>
        <w:t xml:space="preserve">request </w:t>
      </w:r>
      <w:r w:rsidRPr="00652821" w:rsidR="008D0D7F">
        <w:rPr>
          <w:rFonts w:eastAsia="Calibri"/>
        </w:rPr>
        <w:t xml:space="preserve">approval for </w:t>
      </w:r>
      <w:r>
        <w:rPr>
          <w:rFonts w:eastAsia="Calibri"/>
        </w:rPr>
        <w:t xml:space="preserve">the information collection provisions </w:t>
      </w:r>
      <w:r w:rsidR="004576EC">
        <w:rPr>
          <w:rFonts w:eastAsia="Calibri"/>
        </w:rPr>
        <w:t>associated with our electronic products regulations</w:t>
      </w:r>
      <w:r w:rsidR="00A75C87">
        <w:rPr>
          <w:rFonts w:eastAsia="Calibri"/>
        </w:rPr>
        <w:t xml:space="preserve">, </w:t>
      </w:r>
      <w:r w:rsidR="00A51C8C">
        <w:rPr>
          <w:rFonts w:eastAsia="Calibri"/>
        </w:rPr>
        <w:t xml:space="preserve">included </w:t>
      </w:r>
      <w:r w:rsidR="001C3DD8">
        <w:rPr>
          <w:rFonts w:eastAsia="Calibri"/>
        </w:rPr>
        <w:t xml:space="preserve">in </w:t>
      </w:r>
      <w:r w:rsidR="00A51C8C">
        <w:rPr>
          <w:rFonts w:eastAsia="Calibri"/>
        </w:rPr>
        <w:t xml:space="preserve">the </w:t>
      </w:r>
      <w:r w:rsidR="001C3DD8">
        <w:rPr>
          <w:rFonts w:eastAsia="Calibri"/>
        </w:rPr>
        <w:t>applicable forms</w:t>
      </w:r>
      <w:r w:rsidR="004576EC">
        <w:rPr>
          <w:rFonts w:eastAsia="Calibri"/>
        </w:rPr>
        <w:t>, as amended by the final rule</w:t>
      </w:r>
      <w:r w:rsidR="00A75C87">
        <w:rPr>
          <w:rFonts w:eastAsia="Calibri"/>
        </w:rPr>
        <w:t>,</w:t>
      </w:r>
      <w:r w:rsidR="004576EC">
        <w:rPr>
          <w:rFonts w:eastAsia="Calibri"/>
        </w:rPr>
        <w:t xml:space="preserve"> and </w:t>
      </w:r>
      <w:r w:rsidR="00A75C87">
        <w:rPr>
          <w:rFonts w:eastAsia="Calibri"/>
        </w:rPr>
        <w:t xml:space="preserve">as </w:t>
      </w:r>
      <w:r w:rsidR="004576EC">
        <w:rPr>
          <w:rFonts w:eastAsia="Calibri"/>
        </w:rPr>
        <w:t>discussed in this supporting statement.</w:t>
      </w:r>
    </w:p>
    <w:p w:rsidR="00A9397F" w:rsidRPr="00652821" w:rsidP="000B1FF1" w14:paraId="736B2A39" w14:textId="77777777">
      <w:pPr>
        <w:rPr>
          <w:rFonts w:eastAsia="Calibri"/>
          <w:color w:val="FF0000"/>
        </w:rPr>
      </w:pPr>
    </w:p>
    <w:p w:rsidR="00E945E5" w14:paraId="291ED260" w14:textId="77777777">
      <w:pPr>
        <w:rPr>
          <w:rFonts w:eastAsia="Calibri"/>
          <w:u w:val="single"/>
        </w:rPr>
      </w:pPr>
      <w:r>
        <w:rPr>
          <w:rFonts w:eastAsia="Calibri"/>
          <w:u w:val="single"/>
        </w:rPr>
        <w:br w:type="page"/>
      </w:r>
    </w:p>
    <w:p w:rsidR="00357C8A" w:rsidRPr="00002933" w:rsidP="000B1FF1" w14:paraId="713FC3FD" w14:textId="2514C6E4">
      <w:pPr>
        <w:numPr>
          <w:ilvl w:val="0"/>
          <w:numId w:val="6"/>
        </w:numPr>
        <w:rPr>
          <w:rFonts w:eastAsia="Calibri"/>
          <w:u w:val="single"/>
        </w:rPr>
      </w:pPr>
      <w:r w:rsidRPr="00002933">
        <w:rPr>
          <w:rFonts w:eastAsia="Calibri"/>
          <w:u w:val="single"/>
        </w:rPr>
        <w:t xml:space="preserve">Purpose and Use of the Information Collection </w:t>
      </w:r>
    </w:p>
    <w:p w:rsidR="00EE63BA" w:rsidP="000B1FF1" w14:paraId="452E3C64" w14:textId="77777777">
      <w:pPr>
        <w:rPr>
          <w:rFonts w:eastAsia="Calibri"/>
        </w:rPr>
      </w:pPr>
    </w:p>
    <w:p w:rsidR="00AA6995" w:rsidP="000B1FF1" w14:paraId="6EC62A9D" w14:textId="61E46E25">
      <w:pPr>
        <w:rPr>
          <w:rFonts w:eastAsia="Calibri"/>
        </w:rPr>
      </w:pPr>
      <w:r>
        <w:rPr>
          <w:rFonts w:eastAsia="Calibri"/>
        </w:rPr>
        <w:t>R</w:t>
      </w:r>
      <w:r w:rsidRPr="00002933" w:rsidR="00BE107C">
        <w:rPr>
          <w:rFonts w:eastAsia="Calibri"/>
        </w:rPr>
        <w:t xml:space="preserve">espondents </w:t>
      </w:r>
      <w:r w:rsidR="00BD2566">
        <w:rPr>
          <w:rFonts w:eastAsia="Calibri"/>
        </w:rPr>
        <w:t xml:space="preserve">to the </w:t>
      </w:r>
      <w:r w:rsidRPr="00002933" w:rsidR="00BE107C">
        <w:rPr>
          <w:rFonts w:eastAsia="Calibri"/>
        </w:rPr>
        <w:t>information collection are from the private sector; businesses for profit</w:t>
      </w:r>
      <w:r w:rsidR="004E108D">
        <w:rPr>
          <w:rFonts w:eastAsia="Calibri"/>
        </w:rPr>
        <w:t xml:space="preserve">. </w:t>
      </w:r>
      <w:r w:rsidR="00BD2566">
        <w:rPr>
          <w:rFonts w:eastAsia="Calibri"/>
        </w:rPr>
        <w:t xml:space="preserve"> </w:t>
      </w:r>
      <w:r w:rsidR="006B3038">
        <w:rPr>
          <w:rFonts w:eastAsia="Calibri"/>
        </w:rPr>
        <w:t xml:space="preserve">We use the information collection to determine compliance with statutory and regulatory </w:t>
      </w:r>
      <w:r w:rsidR="00AE32C7">
        <w:rPr>
          <w:rFonts w:eastAsia="Calibri"/>
        </w:rPr>
        <w:t>requirements</w:t>
      </w:r>
      <w:r w:rsidR="00DE6444">
        <w:rPr>
          <w:rFonts w:eastAsia="Calibri"/>
        </w:rPr>
        <w:t xml:space="preserve"> and </w:t>
      </w:r>
      <w:r w:rsidR="00203BA7">
        <w:rPr>
          <w:rFonts w:eastAsia="Calibri"/>
        </w:rPr>
        <w:t xml:space="preserve">adherence to </w:t>
      </w:r>
      <w:r w:rsidR="00DE6444">
        <w:rPr>
          <w:rFonts w:eastAsia="Calibri"/>
        </w:rPr>
        <w:t>performance standards</w:t>
      </w:r>
      <w:r w:rsidR="00AE32C7">
        <w:rPr>
          <w:rFonts w:eastAsia="Calibri"/>
        </w:rPr>
        <w:t>.  Information including records and r</w:t>
      </w:r>
      <w:r w:rsidRPr="00002933" w:rsidR="00BE107C">
        <w:rPr>
          <w:rFonts w:eastAsia="Calibri"/>
        </w:rPr>
        <w:t>eports are reviewed by FDA to determine product safety, conformance with performance standards, and adequacy of quality control testing.  Potential and actual problems are resolved with individual firm</w:t>
      </w:r>
      <w:r w:rsidR="00F21595">
        <w:rPr>
          <w:rFonts w:eastAsia="Calibri"/>
        </w:rPr>
        <w:t xml:space="preserve">s </w:t>
      </w:r>
      <w:r w:rsidR="00E1537D">
        <w:rPr>
          <w:rFonts w:eastAsia="Calibri"/>
        </w:rPr>
        <w:t>through follow-up information collection</w:t>
      </w:r>
      <w:r w:rsidRPr="00002933" w:rsidR="00BE107C">
        <w:rPr>
          <w:rFonts w:eastAsia="Calibri"/>
        </w:rPr>
        <w:t xml:space="preserve">. </w:t>
      </w:r>
      <w:r>
        <w:rPr>
          <w:rFonts w:eastAsia="Calibri"/>
        </w:rPr>
        <w:t xml:space="preserve">We </w:t>
      </w:r>
      <w:r w:rsidR="00731AFB">
        <w:rPr>
          <w:rFonts w:eastAsia="Calibri"/>
        </w:rPr>
        <w:t xml:space="preserve">discuss these activities on our website at </w:t>
      </w:r>
      <w:hyperlink r:id="rId6" w:history="1">
        <w:r w:rsidRPr="00AA6995">
          <w:rPr>
            <w:rStyle w:val="Hyperlink"/>
            <w:rFonts w:eastAsia="Calibri"/>
          </w:rPr>
          <w:t>Radiation Emitting Electronic Products</w:t>
        </w:r>
      </w:hyperlink>
      <w:r w:rsidR="00731AFB">
        <w:rPr>
          <w:rFonts w:eastAsia="Calibri"/>
        </w:rPr>
        <w:t>.</w:t>
      </w:r>
    </w:p>
    <w:p w:rsidR="00AA6995" w:rsidRPr="00002933" w:rsidP="000B1FF1" w14:paraId="7B5230B4" w14:textId="77777777">
      <w:pPr>
        <w:rPr>
          <w:rFonts w:eastAsia="Calibri"/>
        </w:rPr>
      </w:pPr>
    </w:p>
    <w:p w:rsidR="00357C8A" w:rsidRPr="00002933" w:rsidP="000B1FF1" w14:paraId="599671CC" w14:textId="77777777">
      <w:pPr>
        <w:keepNext/>
        <w:numPr>
          <w:ilvl w:val="0"/>
          <w:numId w:val="6"/>
        </w:numPr>
        <w:rPr>
          <w:rFonts w:eastAsia="Calibri"/>
          <w:u w:val="single"/>
        </w:rPr>
      </w:pPr>
      <w:r w:rsidRPr="00002933">
        <w:rPr>
          <w:rFonts w:eastAsia="Calibri"/>
          <w:u w:val="single"/>
        </w:rPr>
        <w:t>Use of Improved Information Technology and Burden Reduction</w:t>
      </w:r>
    </w:p>
    <w:p w:rsidR="00EE63BA" w:rsidP="000B1FF1" w14:paraId="1F1277CF" w14:textId="77777777">
      <w:pPr>
        <w:rPr>
          <w:rFonts w:eastAsia="Calibri"/>
        </w:rPr>
      </w:pPr>
    </w:p>
    <w:p w:rsidR="00731AFB" w:rsidP="000B1FF1" w14:paraId="0E5CD788" w14:textId="77777777">
      <w:pPr>
        <w:rPr>
          <w:rFonts w:eastAsia="Calibri"/>
        </w:rPr>
      </w:pPr>
      <w:r>
        <w:rPr>
          <w:rFonts w:eastAsia="Calibri"/>
        </w:rPr>
        <w:t xml:space="preserve">The information collection is supported by the use of </w:t>
      </w:r>
      <w:r>
        <w:rPr>
          <w:rFonts w:eastAsia="Calibri"/>
        </w:rPr>
        <w:t>the following</w:t>
      </w:r>
      <w:r w:rsidRPr="00DE6444" w:rsidR="00DE6444">
        <w:rPr>
          <w:rFonts w:eastAsia="Calibri"/>
        </w:rPr>
        <w:t xml:space="preserve"> forms</w:t>
      </w:r>
      <w:r>
        <w:rPr>
          <w:rFonts w:eastAsia="Calibri"/>
        </w:rPr>
        <w:t>:</w:t>
      </w:r>
    </w:p>
    <w:p w:rsidR="00731AFB" w:rsidP="000B1FF1" w14:paraId="1A493D16" w14:textId="354EB207">
      <w:pPr>
        <w:rPr>
          <w:rFonts w:eastAsia="Calibri"/>
        </w:rPr>
      </w:pPr>
    </w:p>
    <w:p w:rsidR="006230EC" w:rsidRPr="006230EC" w:rsidP="006230EC" w14:paraId="00490D29" w14:textId="77777777">
      <w:pPr>
        <w:spacing w:after="160" w:line="259" w:lineRule="auto"/>
        <w:jc w:val="center"/>
        <w:rPr>
          <w:rFonts w:eastAsiaTheme="minorHAnsi"/>
          <w:u w:val="single"/>
        </w:rPr>
      </w:pPr>
      <w:r w:rsidRPr="006230EC">
        <w:rPr>
          <w:rFonts w:eastAsiaTheme="minorHAnsi"/>
          <w:u w:val="single"/>
        </w:rPr>
        <w:t>Table 1.  OMB Control No. 0910-0025:  Index of Forms</w:t>
      </w:r>
    </w:p>
    <w:tbl>
      <w:tblPr>
        <w:tblStyle w:val="TableGrid1"/>
        <w:tblW w:w="9535" w:type="dxa"/>
        <w:tblLook w:val="04A0"/>
      </w:tblPr>
      <w:tblGrid>
        <w:gridCol w:w="1885"/>
        <w:gridCol w:w="7650"/>
      </w:tblGrid>
      <w:tr w14:paraId="4772163F" w14:textId="77777777" w:rsidTr="00B73AEA">
        <w:tblPrEx>
          <w:tblW w:w="9535" w:type="dxa"/>
          <w:tblLook w:val="04A0"/>
        </w:tblPrEx>
        <w:trPr>
          <w:cantSplit/>
          <w:tblHeader/>
        </w:trPr>
        <w:tc>
          <w:tcPr>
            <w:tcW w:w="1885" w:type="dxa"/>
          </w:tcPr>
          <w:p w:rsidR="006230EC" w:rsidRPr="006230EC" w:rsidP="006230EC" w14:paraId="0D8A8203" w14:textId="77777777">
            <w:pPr>
              <w:jc w:val="center"/>
              <w:rPr>
                <w:rFonts w:ascii="Times New Roman" w:hAnsi="Times New Roman" w:cs="Times New Roman"/>
                <w:b/>
                <w:bCs/>
                <w:sz w:val="20"/>
                <w:szCs w:val="20"/>
              </w:rPr>
            </w:pPr>
            <w:r w:rsidRPr="006230EC">
              <w:rPr>
                <w:rFonts w:ascii="Times New Roman" w:hAnsi="Times New Roman" w:cs="Times New Roman"/>
                <w:b/>
                <w:bCs/>
                <w:sz w:val="20"/>
                <w:szCs w:val="20"/>
              </w:rPr>
              <w:t>AGENCY FORM NUMBER</w:t>
            </w:r>
          </w:p>
        </w:tc>
        <w:tc>
          <w:tcPr>
            <w:tcW w:w="7650" w:type="dxa"/>
          </w:tcPr>
          <w:p w:rsidR="006230EC" w:rsidRPr="006230EC" w:rsidP="006230EC" w14:paraId="15AA75B3" w14:textId="77777777">
            <w:pPr>
              <w:jc w:val="center"/>
              <w:rPr>
                <w:rFonts w:ascii="Times New Roman" w:hAnsi="Times New Roman" w:cs="Times New Roman"/>
                <w:b/>
                <w:bCs/>
                <w:sz w:val="22"/>
                <w:szCs w:val="22"/>
              </w:rPr>
            </w:pPr>
            <w:r w:rsidRPr="006230EC">
              <w:rPr>
                <w:rFonts w:ascii="Times New Roman" w:hAnsi="Times New Roman" w:cs="Times New Roman"/>
                <w:b/>
                <w:bCs/>
                <w:sz w:val="22"/>
                <w:szCs w:val="22"/>
              </w:rPr>
              <w:t>TITLE</w:t>
            </w:r>
          </w:p>
        </w:tc>
      </w:tr>
      <w:tr w14:paraId="757E84FB" w14:textId="77777777" w:rsidTr="0046792E">
        <w:tblPrEx>
          <w:tblW w:w="9535" w:type="dxa"/>
          <w:tblLook w:val="04A0"/>
        </w:tblPrEx>
        <w:trPr>
          <w:cantSplit/>
        </w:trPr>
        <w:tc>
          <w:tcPr>
            <w:tcW w:w="1885" w:type="dxa"/>
            <w:shd w:val="clear" w:color="auto" w:fill="FFCCCC"/>
          </w:tcPr>
          <w:p w:rsidR="006230EC" w:rsidRPr="006230EC" w:rsidP="006230EC" w14:paraId="7ECC4016" w14:textId="27FA1673">
            <w:pPr>
              <w:rPr>
                <w:rFonts w:ascii="Times New Roman" w:hAnsi="Times New Roman" w:cs="Times New Roman"/>
                <w:sz w:val="22"/>
                <w:szCs w:val="22"/>
              </w:rPr>
            </w:pPr>
            <w:r w:rsidRPr="006230EC">
              <w:rPr>
                <w:rFonts w:ascii="Times New Roman" w:hAnsi="Times New Roman" w:cs="Times New Roman"/>
                <w:sz w:val="22"/>
                <w:szCs w:val="22"/>
              </w:rPr>
              <w:t>FDA 2579</w:t>
            </w:r>
            <w:r>
              <w:rPr>
                <w:rStyle w:val="FootnoteReference"/>
                <w:rFonts w:ascii="Times New Roman" w:hAnsi="Times New Roman" w:cs="Times New Roman"/>
                <w:sz w:val="22"/>
                <w:szCs w:val="22"/>
              </w:rPr>
              <w:footnoteReference w:id="2"/>
            </w:r>
          </w:p>
        </w:tc>
        <w:tc>
          <w:tcPr>
            <w:tcW w:w="7650" w:type="dxa"/>
            <w:shd w:val="clear" w:color="auto" w:fill="FFCCCC"/>
          </w:tcPr>
          <w:p w:rsidR="006230EC" w:rsidRPr="006230EC" w:rsidP="006230EC" w14:paraId="7CC3902A" w14:textId="77777777">
            <w:pPr>
              <w:rPr>
                <w:rFonts w:ascii="Times New Roman" w:hAnsi="Times New Roman" w:cs="Times New Roman"/>
                <w:sz w:val="22"/>
                <w:szCs w:val="22"/>
              </w:rPr>
            </w:pPr>
            <w:r w:rsidRPr="006230EC">
              <w:rPr>
                <w:rFonts w:ascii="Times New Roman" w:hAnsi="Times New Roman" w:cs="Times New Roman"/>
                <w:sz w:val="22"/>
                <w:szCs w:val="22"/>
              </w:rPr>
              <w:t>Report of Assembly of Diagnostic X-ray System</w:t>
            </w:r>
          </w:p>
        </w:tc>
      </w:tr>
      <w:tr w14:paraId="4637C1D6" w14:textId="77777777" w:rsidTr="00B73AEA">
        <w:tblPrEx>
          <w:tblW w:w="9535" w:type="dxa"/>
          <w:tblLook w:val="04A0"/>
        </w:tblPrEx>
        <w:trPr>
          <w:cantSplit/>
        </w:trPr>
        <w:tc>
          <w:tcPr>
            <w:tcW w:w="1885" w:type="dxa"/>
          </w:tcPr>
          <w:p w:rsidR="006230EC" w:rsidRPr="006230EC" w:rsidP="006230EC" w14:paraId="11C0766A" w14:textId="77777777">
            <w:pPr>
              <w:rPr>
                <w:rFonts w:ascii="Times New Roman" w:hAnsi="Times New Roman" w:cs="Times New Roman"/>
                <w:sz w:val="22"/>
                <w:szCs w:val="22"/>
              </w:rPr>
            </w:pPr>
            <w:r w:rsidRPr="006230EC">
              <w:rPr>
                <w:rFonts w:ascii="Times New Roman" w:hAnsi="Times New Roman" w:cs="Times New Roman"/>
                <w:sz w:val="22"/>
                <w:szCs w:val="22"/>
              </w:rPr>
              <w:t>FDA 2767</w:t>
            </w:r>
          </w:p>
        </w:tc>
        <w:tc>
          <w:tcPr>
            <w:tcW w:w="7650" w:type="dxa"/>
          </w:tcPr>
          <w:p w:rsidR="006230EC" w:rsidRPr="006230EC" w:rsidP="006230EC" w14:paraId="1F8B8345" w14:textId="77777777">
            <w:pPr>
              <w:rPr>
                <w:rFonts w:ascii="Times New Roman" w:hAnsi="Times New Roman" w:cs="Times New Roman"/>
                <w:sz w:val="22"/>
                <w:szCs w:val="22"/>
              </w:rPr>
            </w:pPr>
            <w:r w:rsidRPr="006230EC">
              <w:rPr>
                <w:rFonts w:ascii="Times New Roman" w:hAnsi="Times New Roman" w:cs="Times New Roman"/>
                <w:sz w:val="22"/>
                <w:szCs w:val="22"/>
              </w:rPr>
              <w:t>Notice of Availability of Sample Electronic Product</w:t>
            </w:r>
          </w:p>
        </w:tc>
      </w:tr>
      <w:tr w14:paraId="628402B5" w14:textId="77777777" w:rsidTr="00B73AEA">
        <w:tblPrEx>
          <w:tblW w:w="9535" w:type="dxa"/>
          <w:tblLook w:val="04A0"/>
        </w:tblPrEx>
        <w:trPr>
          <w:cantSplit/>
        </w:trPr>
        <w:tc>
          <w:tcPr>
            <w:tcW w:w="1885" w:type="dxa"/>
          </w:tcPr>
          <w:p w:rsidR="006230EC" w:rsidRPr="006230EC" w:rsidP="006230EC" w14:paraId="64140B6D" w14:textId="77777777">
            <w:pPr>
              <w:rPr>
                <w:rFonts w:ascii="Times New Roman" w:hAnsi="Times New Roman" w:cs="Times New Roman"/>
                <w:sz w:val="22"/>
                <w:szCs w:val="22"/>
              </w:rPr>
            </w:pPr>
            <w:r w:rsidRPr="006230EC">
              <w:rPr>
                <w:rFonts w:ascii="Times New Roman" w:hAnsi="Times New Roman" w:cs="Times New Roman"/>
                <w:sz w:val="22"/>
                <w:szCs w:val="22"/>
              </w:rPr>
              <w:t>FDA 2877</w:t>
            </w:r>
          </w:p>
        </w:tc>
        <w:tc>
          <w:tcPr>
            <w:tcW w:w="7650" w:type="dxa"/>
          </w:tcPr>
          <w:p w:rsidR="006230EC" w:rsidRPr="006230EC" w:rsidP="006230EC" w14:paraId="700748E2" w14:textId="77777777">
            <w:pPr>
              <w:rPr>
                <w:rFonts w:ascii="Times New Roman" w:hAnsi="Times New Roman" w:cs="Times New Roman"/>
                <w:sz w:val="22"/>
                <w:szCs w:val="22"/>
              </w:rPr>
            </w:pPr>
            <w:r w:rsidRPr="006230EC">
              <w:rPr>
                <w:rFonts w:ascii="Times New Roman" w:hAnsi="Times New Roman" w:cs="Times New Roman"/>
                <w:sz w:val="22"/>
                <w:szCs w:val="22"/>
              </w:rPr>
              <w:t>Declaration for Imported Electronic Products Subject to Radiation Control Standards</w:t>
            </w:r>
          </w:p>
        </w:tc>
      </w:tr>
      <w:tr w14:paraId="11EFAB6F" w14:textId="77777777" w:rsidTr="00B73AEA">
        <w:tblPrEx>
          <w:tblW w:w="9535" w:type="dxa"/>
          <w:tblLook w:val="04A0"/>
        </w:tblPrEx>
        <w:trPr>
          <w:cantSplit/>
        </w:trPr>
        <w:tc>
          <w:tcPr>
            <w:tcW w:w="1885" w:type="dxa"/>
          </w:tcPr>
          <w:p w:rsidR="006230EC" w:rsidRPr="006230EC" w:rsidP="006230EC" w14:paraId="7D68B649" w14:textId="77777777">
            <w:pPr>
              <w:rPr>
                <w:rFonts w:ascii="Times New Roman" w:hAnsi="Times New Roman" w:cs="Times New Roman"/>
                <w:sz w:val="22"/>
                <w:szCs w:val="22"/>
              </w:rPr>
            </w:pPr>
            <w:r w:rsidRPr="006230EC">
              <w:rPr>
                <w:rFonts w:ascii="Times New Roman" w:hAnsi="Times New Roman" w:cs="Times New Roman"/>
                <w:sz w:val="22"/>
                <w:szCs w:val="22"/>
              </w:rPr>
              <w:t>FDA 3147</w:t>
            </w:r>
          </w:p>
        </w:tc>
        <w:tc>
          <w:tcPr>
            <w:tcW w:w="7650" w:type="dxa"/>
          </w:tcPr>
          <w:p w:rsidR="006230EC" w:rsidRPr="006230EC" w:rsidP="006230EC" w14:paraId="35261B3C" w14:textId="77777777">
            <w:pPr>
              <w:rPr>
                <w:rFonts w:ascii="Times New Roman" w:hAnsi="Times New Roman" w:cs="Times New Roman"/>
                <w:sz w:val="22"/>
                <w:szCs w:val="22"/>
              </w:rPr>
            </w:pPr>
            <w:r w:rsidRPr="006230EC">
              <w:rPr>
                <w:rFonts w:ascii="Times New Roman" w:hAnsi="Times New Roman" w:cs="Times New Roman"/>
                <w:sz w:val="22"/>
                <w:szCs w:val="22"/>
              </w:rPr>
              <w:t>Application for a Variance from 21 CFR 1040.11(c) for a Laser Light Show, Display, or Device</w:t>
            </w:r>
          </w:p>
        </w:tc>
      </w:tr>
      <w:tr w14:paraId="3977E1C3" w14:textId="77777777" w:rsidTr="00B73AEA">
        <w:tblPrEx>
          <w:tblW w:w="9535" w:type="dxa"/>
          <w:tblLook w:val="04A0"/>
        </w:tblPrEx>
        <w:trPr>
          <w:cantSplit/>
        </w:trPr>
        <w:tc>
          <w:tcPr>
            <w:tcW w:w="1885" w:type="dxa"/>
          </w:tcPr>
          <w:p w:rsidR="006230EC" w:rsidRPr="006230EC" w:rsidP="006230EC" w14:paraId="3290849C" w14:textId="77777777">
            <w:pPr>
              <w:rPr>
                <w:rFonts w:ascii="Times New Roman" w:hAnsi="Times New Roman" w:cs="Times New Roman"/>
                <w:sz w:val="22"/>
                <w:szCs w:val="22"/>
              </w:rPr>
            </w:pPr>
            <w:r w:rsidRPr="006230EC">
              <w:rPr>
                <w:rFonts w:ascii="Times New Roman" w:hAnsi="Times New Roman" w:cs="Times New Roman"/>
                <w:sz w:val="22"/>
                <w:szCs w:val="22"/>
              </w:rPr>
              <w:t>FDA 3628</w:t>
            </w:r>
          </w:p>
        </w:tc>
        <w:tc>
          <w:tcPr>
            <w:tcW w:w="7650" w:type="dxa"/>
          </w:tcPr>
          <w:p w:rsidR="006230EC" w:rsidRPr="006230EC" w:rsidP="006230EC" w14:paraId="6D3C32DB" w14:textId="77777777">
            <w:pPr>
              <w:rPr>
                <w:rFonts w:ascii="Times New Roman" w:hAnsi="Times New Roman" w:cs="Times New Roman"/>
                <w:sz w:val="22"/>
                <w:szCs w:val="22"/>
              </w:rPr>
            </w:pPr>
            <w:r w:rsidRPr="006230EC">
              <w:rPr>
                <w:rFonts w:ascii="Times New Roman" w:hAnsi="Times New Roman" w:cs="Times New Roman"/>
                <w:sz w:val="22"/>
                <w:szCs w:val="22"/>
              </w:rPr>
              <w:t>Reports on Radiation Safety Testing of Electronic Products (General)</w:t>
            </w:r>
          </w:p>
        </w:tc>
      </w:tr>
      <w:tr w14:paraId="5F7DC80C" w14:textId="77777777" w:rsidTr="00B73AEA">
        <w:tblPrEx>
          <w:tblW w:w="9535" w:type="dxa"/>
          <w:tblLook w:val="04A0"/>
        </w:tblPrEx>
        <w:trPr>
          <w:cantSplit/>
        </w:trPr>
        <w:tc>
          <w:tcPr>
            <w:tcW w:w="1885" w:type="dxa"/>
          </w:tcPr>
          <w:p w:rsidR="006230EC" w:rsidRPr="006230EC" w:rsidP="006230EC" w14:paraId="471CC663" w14:textId="77777777">
            <w:pPr>
              <w:rPr>
                <w:rFonts w:ascii="Times New Roman" w:hAnsi="Times New Roman" w:cs="Times New Roman"/>
                <w:sz w:val="22"/>
                <w:szCs w:val="22"/>
              </w:rPr>
            </w:pPr>
            <w:r w:rsidRPr="006230EC">
              <w:rPr>
                <w:rFonts w:ascii="Times New Roman" w:hAnsi="Times New Roman" w:cs="Times New Roman"/>
                <w:sz w:val="22"/>
                <w:szCs w:val="22"/>
              </w:rPr>
              <w:t>FDA 3629</w:t>
            </w:r>
          </w:p>
        </w:tc>
        <w:tc>
          <w:tcPr>
            <w:tcW w:w="7650" w:type="dxa"/>
          </w:tcPr>
          <w:p w:rsidR="006230EC" w:rsidRPr="006230EC" w:rsidP="006230EC" w14:paraId="35F3A7EC" w14:textId="77777777">
            <w:pPr>
              <w:rPr>
                <w:rFonts w:ascii="Times New Roman" w:hAnsi="Times New Roman" w:cs="Times New Roman"/>
                <w:sz w:val="22"/>
                <w:szCs w:val="22"/>
              </w:rPr>
            </w:pPr>
            <w:r w:rsidRPr="006230EC">
              <w:rPr>
                <w:rFonts w:ascii="Times New Roman" w:hAnsi="Times New Roman" w:cs="Times New Roman"/>
                <w:sz w:val="22"/>
                <w:szCs w:val="22"/>
              </w:rPr>
              <w:t>Abbreviated Report</w:t>
            </w:r>
          </w:p>
        </w:tc>
      </w:tr>
      <w:tr w14:paraId="204798C5" w14:textId="77777777" w:rsidTr="00B73AEA">
        <w:tblPrEx>
          <w:tblW w:w="9535" w:type="dxa"/>
          <w:tblLook w:val="04A0"/>
        </w:tblPrEx>
        <w:trPr>
          <w:cantSplit/>
        </w:trPr>
        <w:tc>
          <w:tcPr>
            <w:tcW w:w="1885" w:type="dxa"/>
          </w:tcPr>
          <w:p w:rsidR="006230EC" w:rsidRPr="006230EC" w:rsidP="006230EC" w14:paraId="777060DA" w14:textId="77777777">
            <w:pPr>
              <w:rPr>
                <w:rFonts w:ascii="Times New Roman" w:hAnsi="Times New Roman" w:cs="Times New Roman"/>
                <w:sz w:val="22"/>
                <w:szCs w:val="22"/>
              </w:rPr>
            </w:pPr>
            <w:r w:rsidRPr="006230EC">
              <w:rPr>
                <w:rFonts w:ascii="Times New Roman" w:hAnsi="Times New Roman" w:cs="Times New Roman"/>
                <w:sz w:val="22"/>
                <w:szCs w:val="22"/>
              </w:rPr>
              <w:t>FDA 3630</w:t>
            </w:r>
          </w:p>
        </w:tc>
        <w:tc>
          <w:tcPr>
            <w:tcW w:w="7650" w:type="dxa"/>
          </w:tcPr>
          <w:p w:rsidR="006230EC" w:rsidRPr="006230EC" w:rsidP="006230EC" w14:paraId="2D408C00" w14:textId="77777777">
            <w:pPr>
              <w:rPr>
                <w:rFonts w:ascii="Times New Roman" w:hAnsi="Times New Roman" w:cs="Times New Roman"/>
                <w:sz w:val="22"/>
                <w:szCs w:val="22"/>
              </w:rPr>
            </w:pPr>
            <w:r w:rsidRPr="006230EC">
              <w:rPr>
                <w:rFonts w:ascii="Times New Roman" w:hAnsi="Times New Roman" w:cs="Times New Roman"/>
                <w:sz w:val="22"/>
                <w:szCs w:val="22"/>
              </w:rPr>
              <w:t>Product Reports on Sunlamps and Sunlamp Products</w:t>
            </w:r>
          </w:p>
        </w:tc>
      </w:tr>
      <w:tr w14:paraId="722F3233" w14:textId="77777777" w:rsidTr="00B73AEA">
        <w:tblPrEx>
          <w:tblW w:w="9535" w:type="dxa"/>
          <w:tblLook w:val="04A0"/>
        </w:tblPrEx>
        <w:trPr>
          <w:cantSplit/>
        </w:trPr>
        <w:tc>
          <w:tcPr>
            <w:tcW w:w="1885" w:type="dxa"/>
          </w:tcPr>
          <w:p w:rsidR="006230EC" w:rsidRPr="006230EC" w:rsidP="006230EC" w14:paraId="75BC7CF4" w14:textId="77777777">
            <w:pPr>
              <w:rPr>
                <w:rFonts w:ascii="Times New Roman" w:hAnsi="Times New Roman" w:cs="Times New Roman"/>
                <w:sz w:val="22"/>
                <w:szCs w:val="22"/>
              </w:rPr>
            </w:pPr>
            <w:r w:rsidRPr="006230EC">
              <w:rPr>
                <w:rFonts w:ascii="Times New Roman" w:hAnsi="Times New Roman" w:cs="Times New Roman"/>
                <w:sz w:val="22"/>
                <w:szCs w:val="22"/>
              </w:rPr>
              <w:t>FDA 3631</w:t>
            </w:r>
          </w:p>
        </w:tc>
        <w:tc>
          <w:tcPr>
            <w:tcW w:w="7650" w:type="dxa"/>
          </w:tcPr>
          <w:p w:rsidR="006230EC" w:rsidRPr="006230EC" w:rsidP="006230EC" w14:paraId="5B12901B" w14:textId="77777777">
            <w:pPr>
              <w:rPr>
                <w:rFonts w:ascii="Times New Roman" w:hAnsi="Times New Roman" w:cs="Times New Roman"/>
                <w:sz w:val="22"/>
                <w:szCs w:val="22"/>
              </w:rPr>
            </w:pPr>
            <w:r w:rsidRPr="006230EC">
              <w:rPr>
                <w:rFonts w:ascii="Times New Roman" w:hAnsi="Times New Roman" w:cs="Times New Roman"/>
                <w:sz w:val="22"/>
                <w:szCs w:val="22"/>
              </w:rPr>
              <w:t>Annual Reports on Radiation Safety Testing of Sunlamp Products</w:t>
            </w:r>
          </w:p>
        </w:tc>
      </w:tr>
      <w:tr w14:paraId="5B1E8E84" w14:textId="77777777" w:rsidTr="00B73AEA">
        <w:tblPrEx>
          <w:tblW w:w="9535" w:type="dxa"/>
          <w:tblLook w:val="04A0"/>
        </w:tblPrEx>
        <w:trPr>
          <w:cantSplit/>
        </w:trPr>
        <w:tc>
          <w:tcPr>
            <w:tcW w:w="1885" w:type="dxa"/>
          </w:tcPr>
          <w:p w:rsidR="006230EC" w:rsidRPr="006230EC" w:rsidP="006230EC" w14:paraId="17A5B8EE" w14:textId="77777777">
            <w:pPr>
              <w:rPr>
                <w:rFonts w:ascii="Times New Roman" w:hAnsi="Times New Roman" w:cs="Times New Roman"/>
                <w:sz w:val="22"/>
                <w:szCs w:val="22"/>
              </w:rPr>
            </w:pPr>
            <w:r w:rsidRPr="006230EC">
              <w:rPr>
                <w:rFonts w:ascii="Times New Roman" w:hAnsi="Times New Roman" w:cs="Times New Roman"/>
                <w:sz w:val="22"/>
                <w:szCs w:val="22"/>
              </w:rPr>
              <w:t>FDA 3632</w:t>
            </w:r>
          </w:p>
        </w:tc>
        <w:tc>
          <w:tcPr>
            <w:tcW w:w="7650" w:type="dxa"/>
          </w:tcPr>
          <w:p w:rsidR="006230EC" w:rsidRPr="006230EC" w:rsidP="006230EC" w14:paraId="4BB4333D" w14:textId="77777777">
            <w:pPr>
              <w:rPr>
                <w:rFonts w:ascii="Times New Roman" w:hAnsi="Times New Roman" w:cs="Times New Roman"/>
                <w:sz w:val="22"/>
                <w:szCs w:val="22"/>
              </w:rPr>
            </w:pPr>
            <w:r w:rsidRPr="006230EC">
              <w:rPr>
                <w:rFonts w:ascii="Times New Roman" w:hAnsi="Times New Roman" w:cs="Times New Roman"/>
                <w:sz w:val="22"/>
                <w:szCs w:val="22"/>
              </w:rPr>
              <w:t>Product Reports for Lasers and Products Containing Lasers</w:t>
            </w:r>
          </w:p>
        </w:tc>
      </w:tr>
      <w:tr w14:paraId="37899E5A" w14:textId="77777777" w:rsidTr="00B73AEA">
        <w:tblPrEx>
          <w:tblW w:w="9535" w:type="dxa"/>
          <w:tblLook w:val="04A0"/>
        </w:tblPrEx>
        <w:trPr>
          <w:cantSplit/>
        </w:trPr>
        <w:tc>
          <w:tcPr>
            <w:tcW w:w="1885" w:type="dxa"/>
          </w:tcPr>
          <w:p w:rsidR="006230EC" w:rsidRPr="006230EC" w:rsidP="006230EC" w14:paraId="3E4E323F" w14:textId="77777777">
            <w:pPr>
              <w:rPr>
                <w:rFonts w:ascii="Times New Roman" w:hAnsi="Times New Roman" w:cs="Times New Roman"/>
                <w:sz w:val="22"/>
                <w:szCs w:val="22"/>
              </w:rPr>
            </w:pPr>
            <w:r w:rsidRPr="006230EC">
              <w:rPr>
                <w:rFonts w:ascii="Times New Roman" w:hAnsi="Times New Roman" w:cs="Times New Roman"/>
                <w:sz w:val="22"/>
                <w:szCs w:val="22"/>
              </w:rPr>
              <w:t>FDA 3633</w:t>
            </w:r>
          </w:p>
        </w:tc>
        <w:tc>
          <w:tcPr>
            <w:tcW w:w="7650" w:type="dxa"/>
          </w:tcPr>
          <w:p w:rsidR="006230EC" w:rsidRPr="006230EC" w:rsidP="006230EC" w14:paraId="58EA81FD" w14:textId="77777777">
            <w:pPr>
              <w:rPr>
                <w:rFonts w:ascii="Times New Roman" w:hAnsi="Times New Roman" w:cs="Times New Roman"/>
                <w:sz w:val="22"/>
                <w:szCs w:val="22"/>
              </w:rPr>
            </w:pPr>
            <w:r w:rsidRPr="006230EC">
              <w:rPr>
                <w:rFonts w:ascii="Times New Roman" w:hAnsi="Times New Roman" w:cs="Times New Roman"/>
                <w:sz w:val="22"/>
                <w:szCs w:val="22"/>
              </w:rPr>
              <w:t>General Variance Request</w:t>
            </w:r>
          </w:p>
        </w:tc>
      </w:tr>
      <w:tr w14:paraId="062958DE" w14:textId="77777777" w:rsidTr="00B73AEA">
        <w:tblPrEx>
          <w:tblW w:w="9535" w:type="dxa"/>
          <w:tblLook w:val="04A0"/>
        </w:tblPrEx>
        <w:trPr>
          <w:cantSplit/>
        </w:trPr>
        <w:tc>
          <w:tcPr>
            <w:tcW w:w="1885" w:type="dxa"/>
          </w:tcPr>
          <w:p w:rsidR="006230EC" w:rsidRPr="006230EC" w:rsidP="006230EC" w14:paraId="358CBB90" w14:textId="77777777">
            <w:pPr>
              <w:rPr>
                <w:rFonts w:ascii="Times New Roman" w:hAnsi="Times New Roman" w:cs="Times New Roman"/>
                <w:sz w:val="22"/>
                <w:szCs w:val="22"/>
              </w:rPr>
            </w:pPr>
            <w:r w:rsidRPr="006230EC">
              <w:rPr>
                <w:rFonts w:ascii="Times New Roman" w:hAnsi="Times New Roman" w:cs="Times New Roman"/>
                <w:sz w:val="22"/>
                <w:szCs w:val="22"/>
              </w:rPr>
              <w:t>FDA 3634</w:t>
            </w:r>
          </w:p>
        </w:tc>
        <w:tc>
          <w:tcPr>
            <w:tcW w:w="7650" w:type="dxa"/>
          </w:tcPr>
          <w:p w:rsidR="006230EC" w:rsidRPr="006230EC" w:rsidP="006230EC" w14:paraId="7304471F" w14:textId="77777777">
            <w:pPr>
              <w:rPr>
                <w:rFonts w:ascii="Times New Roman" w:hAnsi="Times New Roman" w:cs="Times New Roman"/>
                <w:sz w:val="22"/>
                <w:szCs w:val="22"/>
              </w:rPr>
            </w:pPr>
            <w:r w:rsidRPr="006230EC">
              <w:rPr>
                <w:rFonts w:ascii="Times New Roman" w:hAnsi="Times New Roman" w:cs="Times New Roman"/>
                <w:sz w:val="22"/>
                <w:szCs w:val="22"/>
              </w:rPr>
              <w:t>TV Annual Report</w:t>
            </w:r>
          </w:p>
        </w:tc>
      </w:tr>
      <w:tr w14:paraId="0C07B635" w14:textId="77777777" w:rsidTr="00B73AEA">
        <w:tblPrEx>
          <w:tblW w:w="9535" w:type="dxa"/>
          <w:tblLook w:val="04A0"/>
        </w:tblPrEx>
        <w:trPr>
          <w:cantSplit/>
        </w:trPr>
        <w:tc>
          <w:tcPr>
            <w:tcW w:w="1885" w:type="dxa"/>
          </w:tcPr>
          <w:p w:rsidR="006230EC" w:rsidRPr="006230EC" w:rsidP="006230EC" w14:paraId="7B42DFA3" w14:textId="77777777">
            <w:pPr>
              <w:rPr>
                <w:rFonts w:ascii="Times New Roman" w:hAnsi="Times New Roman" w:cs="Times New Roman"/>
                <w:sz w:val="22"/>
                <w:szCs w:val="22"/>
              </w:rPr>
            </w:pPr>
            <w:r w:rsidRPr="006230EC">
              <w:rPr>
                <w:rFonts w:ascii="Times New Roman" w:hAnsi="Times New Roman" w:cs="Times New Roman"/>
                <w:sz w:val="22"/>
                <w:szCs w:val="22"/>
              </w:rPr>
              <w:t>FDA 3635</w:t>
            </w:r>
          </w:p>
        </w:tc>
        <w:tc>
          <w:tcPr>
            <w:tcW w:w="7650" w:type="dxa"/>
          </w:tcPr>
          <w:p w:rsidR="006230EC" w:rsidRPr="006230EC" w:rsidP="006230EC" w14:paraId="4F8A69BF" w14:textId="77777777">
            <w:pPr>
              <w:rPr>
                <w:rFonts w:ascii="Times New Roman" w:hAnsi="Times New Roman" w:cs="Times New Roman"/>
                <w:sz w:val="22"/>
                <w:szCs w:val="22"/>
              </w:rPr>
            </w:pPr>
            <w:r w:rsidRPr="006230EC">
              <w:rPr>
                <w:rFonts w:ascii="Times New Roman" w:hAnsi="Times New Roman" w:cs="Times New Roman"/>
                <w:sz w:val="22"/>
                <w:szCs w:val="22"/>
              </w:rPr>
              <w:t>Laser Light Show Notification</w:t>
            </w:r>
          </w:p>
        </w:tc>
      </w:tr>
      <w:tr w14:paraId="4722E39E" w14:textId="77777777" w:rsidTr="00B73AEA">
        <w:tblPrEx>
          <w:tblW w:w="9535" w:type="dxa"/>
          <w:tblLook w:val="04A0"/>
        </w:tblPrEx>
        <w:trPr>
          <w:cantSplit/>
        </w:trPr>
        <w:tc>
          <w:tcPr>
            <w:tcW w:w="1885" w:type="dxa"/>
          </w:tcPr>
          <w:p w:rsidR="006230EC" w:rsidRPr="006230EC" w:rsidP="006230EC" w14:paraId="1EE5BF5C" w14:textId="77777777">
            <w:pPr>
              <w:rPr>
                <w:rFonts w:ascii="Times New Roman" w:hAnsi="Times New Roman" w:cs="Times New Roman"/>
                <w:sz w:val="22"/>
                <w:szCs w:val="22"/>
              </w:rPr>
            </w:pPr>
            <w:r w:rsidRPr="006230EC">
              <w:rPr>
                <w:rFonts w:ascii="Times New Roman" w:hAnsi="Times New Roman" w:cs="Times New Roman"/>
                <w:sz w:val="22"/>
                <w:szCs w:val="22"/>
              </w:rPr>
              <w:t>FDA 3636</w:t>
            </w:r>
          </w:p>
        </w:tc>
        <w:tc>
          <w:tcPr>
            <w:tcW w:w="7650" w:type="dxa"/>
          </w:tcPr>
          <w:p w:rsidR="006230EC" w:rsidRPr="006230EC" w:rsidP="006230EC" w14:paraId="6EEAF76C" w14:textId="77777777">
            <w:pPr>
              <w:rPr>
                <w:rFonts w:ascii="Times New Roman" w:hAnsi="Times New Roman" w:cs="Times New Roman"/>
                <w:sz w:val="22"/>
                <w:szCs w:val="22"/>
              </w:rPr>
            </w:pPr>
            <w:r w:rsidRPr="006230EC">
              <w:rPr>
                <w:rFonts w:ascii="Times New Roman" w:hAnsi="Times New Roman" w:cs="Times New Roman"/>
                <w:sz w:val="22"/>
                <w:szCs w:val="22"/>
              </w:rPr>
              <w:t>Annual Reports on Radiation Safety Testing of Laser and Laser Light Show Products</w:t>
            </w:r>
          </w:p>
        </w:tc>
      </w:tr>
      <w:tr w14:paraId="4F32CD56" w14:textId="77777777" w:rsidTr="00B73AEA">
        <w:tblPrEx>
          <w:tblW w:w="9535" w:type="dxa"/>
          <w:tblLook w:val="04A0"/>
        </w:tblPrEx>
        <w:trPr>
          <w:cantSplit/>
        </w:trPr>
        <w:tc>
          <w:tcPr>
            <w:tcW w:w="1885" w:type="dxa"/>
          </w:tcPr>
          <w:p w:rsidR="006230EC" w:rsidRPr="006230EC" w:rsidP="006230EC" w14:paraId="20830821" w14:textId="77777777">
            <w:pPr>
              <w:rPr>
                <w:rFonts w:ascii="Times New Roman" w:hAnsi="Times New Roman" w:cs="Times New Roman"/>
                <w:sz w:val="22"/>
                <w:szCs w:val="22"/>
              </w:rPr>
            </w:pPr>
            <w:r w:rsidRPr="006230EC">
              <w:rPr>
                <w:rFonts w:ascii="Times New Roman" w:hAnsi="Times New Roman" w:cs="Times New Roman"/>
                <w:sz w:val="22"/>
                <w:szCs w:val="22"/>
              </w:rPr>
              <w:t>FDA 3637</w:t>
            </w:r>
          </w:p>
        </w:tc>
        <w:tc>
          <w:tcPr>
            <w:tcW w:w="7650" w:type="dxa"/>
          </w:tcPr>
          <w:p w:rsidR="006230EC" w:rsidRPr="006230EC" w:rsidP="006230EC" w14:paraId="5DDBAAC2" w14:textId="77777777">
            <w:pPr>
              <w:rPr>
                <w:rFonts w:ascii="Times New Roman" w:hAnsi="Times New Roman" w:cs="Times New Roman"/>
                <w:sz w:val="22"/>
                <w:szCs w:val="22"/>
              </w:rPr>
            </w:pPr>
            <w:r w:rsidRPr="006230EC">
              <w:rPr>
                <w:rFonts w:ascii="Times New Roman" w:hAnsi="Times New Roman" w:cs="Times New Roman"/>
                <w:sz w:val="22"/>
                <w:szCs w:val="22"/>
              </w:rPr>
              <w:t>Laser Original Equipment Manufacture Report</w:t>
            </w:r>
          </w:p>
        </w:tc>
      </w:tr>
      <w:tr w14:paraId="48869F34" w14:textId="77777777" w:rsidTr="00B73AEA">
        <w:tblPrEx>
          <w:tblW w:w="9535" w:type="dxa"/>
          <w:tblLook w:val="04A0"/>
        </w:tblPrEx>
        <w:trPr>
          <w:cantSplit/>
        </w:trPr>
        <w:tc>
          <w:tcPr>
            <w:tcW w:w="1885" w:type="dxa"/>
          </w:tcPr>
          <w:p w:rsidR="006230EC" w:rsidRPr="006230EC" w:rsidP="006230EC" w14:paraId="6AFC358E" w14:textId="77777777">
            <w:pPr>
              <w:rPr>
                <w:rFonts w:ascii="Times New Roman" w:hAnsi="Times New Roman" w:cs="Times New Roman"/>
                <w:sz w:val="22"/>
                <w:szCs w:val="22"/>
              </w:rPr>
            </w:pPr>
            <w:r w:rsidRPr="006230EC">
              <w:rPr>
                <w:rFonts w:ascii="Times New Roman" w:hAnsi="Times New Roman" w:cs="Times New Roman"/>
                <w:sz w:val="22"/>
                <w:szCs w:val="22"/>
              </w:rPr>
              <w:t>FDA 3639</w:t>
            </w:r>
          </w:p>
        </w:tc>
        <w:tc>
          <w:tcPr>
            <w:tcW w:w="7650" w:type="dxa"/>
          </w:tcPr>
          <w:p w:rsidR="006230EC" w:rsidRPr="006230EC" w:rsidP="006230EC" w14:paraId="689F7634" w14:textId="77777777">
            <w:pPr>
              <w:rPr>
                <w:rFonts w:ascii="Times New Roman" w:hAnsi="Times New Roman" w:cs="Times New Roman"/>
                <w:sz w:val="22"/>
                <w:szCs w:val="22"/>
              </w:rPr>
            </w:pPr>
            <w:r w:rsidRPr="006230EC">
              <w:rPr>
                <w:rFonts w:ascii="Times New Roman" w:hAnsi="Times New Roman" w:cs="Times New Roman"/>
                <w:sz w:val="22"/>
                <w:szCs w:val="22"/>
              </w:rPr>
              <w:t>Cabinet X-ray System Reporting</w:t>
            </w:r>
          </w:p>
        </w:tc>
      </w:tr>
      <w:tr w14:paraId="4057EE61" w14:textId="77777777" w:rsidTr="00B73AEA">
        <w:tblPrEx>
          <w:tblW w:w="9535" w:type="dxa"/>
          <w:tblLook w:val="04A0"/>
        </w:tblPrEx>
        <w:trPr>
          <w:cantSplit/>
        </w:trPr>
        <w:tc>
          <w:tcPr>
            <w:tcW w:w="1885" w:type="dxa"/>
          </w:tcPr>
          <w:p w:rsidR="006230EC" w:rsidRPr="006230EC" w:rsidP="006230EC" w14:paraId="6F966076" w14:textId="77777777">
            <w:pPr>
              <w:rPr>
                <w:rFonts w:ascii="Times New Roman" w:hAnsi="Times New Roman" w:cs="Times New Roman"/>
                <w:sz w:val="22"/>
                <w:szCs w:val="22"/>
              </w:rPr>
            </w:pPr>
            <w:r w:rsidRPr="006230EC">
              <w:rPr>
                <w:rFonts w:ascii="Times New Roman" w:hAnsi="Times New Roman" w:cs="Times New Roman"/>
                <w:sz w:val="22"/>
                <w:szCs w:val="22"/>
              </w:rPr>
              <w:t>FDA 3640</w:t>
            </w:r>
          </w:p>
        </w:tc>
        <w:tc>
          <w:tcPr>
            <w:tcW w:w="7650" w:type="dxa"/>
          </w:tcPr>
          <w:p w:rsidR="006230EC" w:rsidRPr="006230EC" w:rsidP="006230EC" w14:paraId="76FF6F26" w14:textId="77777777">
            <w:pPr>
              <w:rPr>
                <w:rFonts w:ascii="Times New Roman" w:hAnsi="Times New Roman" w:cs="Times New Roman"/>
                <w:sz w:val="22"/>
                <w:szCs w:val="22"/>
              </w:rPr>
            </w:pPr>
            <w:r w:rsidRPr="006230EC">
              <w:rPr>
                <w:rFonts w:ascii="Times New Roman" w:hAnsi="Times New Roman" w:cs="Times New Roman"/>
                <w:sz w:val="22"/>
                <w:szCs w:val="22"/>
              </w:rPr>
              <w:t>Laser Light Shows and Displays</w:t>
            </w:r>
          </w:p>
        </w:tc>
      </w:tr>
      <w:tr w14:paraId="1EB4B14C" w14:textId="77777777" w:rsidTr="00B73AEA">
        <w:tblPrEx>
          <w:tblW w:w="9535" w:type="dxa"/>
          <w:tblLook w:val="04A0"/>
        </w:tblPrEx>
        <w:trPr>
          <w:cantSplit/>
        </w:trPr>
        <w:tc>
          <w:tcPr>
            <w:tcW w:w="1885" w:type="dxa"/>
          </w:tcPr>
          <w:p w:rsidR="006230EC" w:rsidRPr="006230EC" w:rsidP="006230EC" w14:paraId="0860D689" w14:textId="77777777">
            <w:pPr>
              <w:rPr>
                <w:rFonts w:ascii="Times New Roman" w:hAnsi="Times New Roman" w:cs="Times New Roman"/>
                <w:sz w:val="22"/>
                <w:szCs w:val="22"/>
              </w:rPr>
            </w:pPr>
            <w:r w:rsidRPr="006230EC">
              <w:rPr>
                <w:rFonts w:ascii="Times New Roman" w:hAnsi="Times New Roman" w:cs="Times New Roman"/>
                <w:sz w:val="22"/>
                <w:szCs w:val="22"/>
              </w:rPr>
              <w:t>FDA 3641</w:t>
            </w:r>
          </w:p>
        </w:tc>
        <w:tc>
          <w:tcPr>
            <w:tcW w:w="7650" w:type="dxa"/>
          </w:tcPr>
          <w:p w:rsidR="006230EC" w:rsidRPr="006230EC" w:rsidP="006230EC" w14:paraId="0612EA57" w14:textId="77777777">
            <w:pPr>
              <w:rPr>
                <w:rFonts w:ascii="Times New Roman" w:hAnsi="Times New Roman" w:cs="Times New Roman"/>
                <w:sz w:val="22"/>
                <w:szCs w:val="22"/>
              </w:rPr>
            </w:pPr>
            <w:r w:rsidRPr="006230EC">
              <w:rPr>
                <w:rFonts w:ascii="Times New Roman" w:hAnsi="Times New Roman" w:cs="Times New Roman"/>
                <w:sz w:val="22"/>
                <w:szCs w:val="22"/>
              </w:rPr>
              <w:t>Cabinet X-Ray Annual Report</w:t>
            </w:r>
          </w:p>
        </w:tc>
      </w:tr>
      <w:tr w14:paraId="4072B9B4" w14:textId="77777777" w:rsidTr="00B73AEA">
        <w:tblPrEx>
          <w:tblW w:w="9535" w:type="dxa"/>
          <w:tblLook w:val="04A0"/>
        </w:tblPrEx>
        <w:trPr>
          <w:cantSplit/>
        </w:trPr>
        <w:tc>
          <w:tcPr>
            <w:tcW w:w="1885" w:type="dxa"/>
          </w:tcPr>
          <w:p w:rsidR="006230EC" w:rsidRPr="006230EC" w:rsidP="006230EC" w14:paraId="1502721A" w14:textId="77777777">
            <w:pPr>
              <w:rPr>
                <w:rFonts w:ascii="Times New Roman" w:hAnsi="Times New Roman" w:cs="Times New Roman"/>
                <w:sz w:val="22"/>
                <w:szCs w:val="22"/>
              </w:rPr>
            </w:pPr>
            <w:r w:rsidRPr="006230EC">
              <w:rPr>
                <w:rFonts w:ascii="Times New Roman" w:hAnsi="Times New Roman" w:cs="Times New Roman"/>
                <w:sz w:val="22"/>
                <w:szCs w:val="22"/>
              </w:rPr>
              <w:t>FDA 3642</w:t>
            </w:r>
          </w:p>
        </w:tc>
        <w:tc>
          <w:tcPr>
            <w:tcW w:w="7650" w:type="dxa"/>
          </w:tcPr>
          <w:p w:rsidR="006230EC" w:rsidRPr="006230EC" w:rsidP="006230EC" w14:paraId="19DFF97C" w14:textId="77777777">
            <w:pPr>
              <w:rPr>
                <w:rFonts w:ascii="Times New Roman" w:hAnsi="Times New Roman" w:cs="Times New Roman"/>
                <w:sz w:val="22"/>
                <w:szCs w:val="22"/>
              </w:rPr>
            </w:pPr>
            <w:r w:rsidRPr="006230EC">
              <w:rPr>
                <w:rFonts w:ascii="Times New Roman" w:hAnsi="Times New Roman" w:cs="Times New Roman"/>
                <w:sz w:val="22"/>
                <w:szCs w:val="22"/>
              </w:rPr>
              <w:t>General Correspondence Report for CDRH Electronic Submissions</w:t>
            </w:r>
          </w:p>
        </w:tc>
      </w:tr>
      <w:tr w14:paraId="11B9A4E1" w14:textId="77777777" w:rsidTr="00B73AEA">
        <w:tblPrEx>
          <w:tblW w:w="9535" w:type="dxa"/>
          <w:tblLook w:val="04A0"/>
        </w:tblPrEx>
        <w:trPr>
          <w:cantSplit/>
        </w:trPr>
        <w:tc>
          <w:tcPr>
            <w:tcW w:w="1885" w:type="dxa"/>
          </w:tcPr>
          <w:p w:rsidR="006230EC" w:rsidRPr="006230EC" w:rsidP="006230EC" w14:paraId="0C4AF5F3" w14:textId="77777777">
            <w:pPr>
              <w:rPr>
                <w:rFonts w:ascii="Times New Roman" w:hAnsi="Times New Roman" w:cs="Times New Roman"/>
                <w:sz w:val="22"/>
                <w:szCs w:val="22"/>
              </w:rPr>
            </w:pPr>
            <w:r w:rsidRPr="006230EC">
              <w:rPr>
                <w:rFonts w:ascii="Times New Roman" w:hAnsi="Times New Roman" w:cs="Times New Roman"/>
                <w:sz w:val="22"/>
                <w:szCs w:val="22"/>
              </w:rPr>
              <w:t>FDA 3643</w:t>
            </w:r>
          </w:p>
        </w:tc>
        <w:tc>
          <w:tcPr>
            <w:tcW w:w="7650" w:type="dxa"/>
          </w:tcPr>
          <w:p w:rsidR="006230EC" w:rsidRPr="006230EC" w:rsidP="006230EC" w14:paraId="32CA30A9" w14:textId="77777777">
            <w:pPr>
              <w:rPr>
                <w:rFonts w:ascii="Times New Roman" w:hAnsi="Times New Roman" w:cs="Times New Roman"/>
                <w:sz w:val="22"/>
                <w:szCs w:val="22"/>
              </w:rPr>
            </w:pPr>
            <w:r w:rsidRPr="006230EC">
              <w:rPr>
                <w:rFonts w:ascii="Times New Roman" w:hAnsi="Times New Roman" w:cs="Times New Roman"/>
                <w:sz w:val="22"/>
                <w:szCs w:val="22"/>
              </w:rPr>
              <w:t>Microwave Oven Products Annual Report</w:t>
            </w:r>
          </w:p>
        </w:tc>
      </w:tr>
      <w:tr w14:paraId="6A802274" w14:textId="77777777" w:rsidTr="00207C00">
        <w:tblPrEx>
          <w:tblW w:w="9535" w:type="dxa"/>
          <w:tblLook w:val="04A0"/>
        </w:tblPrEx>
        <w:trPr>
          <w:cantSplit/>
        </w:trPr>
        <w:tc>
          <w:tcPr>
            <w:tcW w:w="1885" w:type="dxa"/>
            <w:shd w:val="clear" w:color="auto" w:fill="FFCCCC"/>
          </w:tcPr>
          <w:p w:rsidR="006230EC" w:rsidRPr="006230EC" w:rsidP="006230EC" w14:paraId="19F70B48" w14:textId="6D0F0D59">
            <w:pPr>
              <w:rPr>
                <w:rFonts w:ascii="Times New Roman" w:hAnsi="Times New Roman" w:cs="Times New Roman"/>
                <w:sz w:val="22"/>
                <w:szCs w:val="22"/>
              </w:rPr>
            </w:pPr>
            <w:r w:rsidRPr="006230EC">
              <w:rPr>
                <w:rFonts w:ascii="Times New Roman" w:hAnsi="Times New Roman" w:cs="Times New Roman"/>
                <w:sz w:val="22"/>
                <w:szCs w:val="22"/>
              </w:rPr>
              <w:t>FDA 3646</w:t>
            </w:r>
            <w:r>
              <w:rPr>
                <w:rStyle w:val="FootnoteReference"/>
                <w:rFonts w:ascii="Times New Roman" w:hAnsi="Times New Roman" w:cs="Times New Roman"/>
                <w:sz w:val="22"/>
                <w:szCs w:val="22"/>
              </w:rPr>
              <w:footnoteReference w:id="3"/>
            </w:r>
          </w:p>
        </w:tc>
        <w:tc>
          <w:tcPr>
            <w:tcW w:w="7650" w:type="dxa"/>
            <w:shd w:val="clear" w:color="auto" w:fill="FFCCCC"/>
          </w:tcPr>
          <w:p w:rsidR="006230EC" w:rsidRPr="006230EC" w:rsidP="006230EC" w14:paraId="35787DD5" w14:textId="77777777">
            <w:pPr>
              <w:rPr>
                <w:rFonts w:ascii="Times New Roman" w:hAnsi="Times New Roman" w:cs="Times New Roman"/>
                <w:sz w:val="22"/>
                <w:szCs w:val="22"/>
              </w:rPr>
            </w:pPr>
            <w:r w:rsidRPr="006230EC">
              <w:rPr>
                <w:rFonts w:ascii="Times New Roman" w:hAnsi="Times New Roman" w:cs="Times New Roman"/>
                <w:sz w:val="22"/>
                <w:szCs w:val="22"/>
              </w:rPr>
              <w:t>Mercury Vapor Lamp Products Radiation Safety Report</w:t>
            </w:r>
          </w:p>
        </w:tc>
      </w:tr>
      <w:tr w14:paraId="4124B2DC" w14:textId="77777777" w:rsidTr="00B73AEA">
        <w:tblPrEx>
          <w:tblW w:w="9535" w:type="dxa"/>
          <w:tblLook w:val="04A0"/>
        </w:tblPrEx>
        <w:trPr>
          <w:cantSplit/>
        </w:trPr>
        <w:tc>
          <w:tcPr>
            <w:tcW w:w="1885" w:type="dxa"/>
          </w:tcPr>
          <w:p w:rsidR="006230EC" w:rsidRPr="006230EC" w:rsidP="006230EC" w14:paraId="50B6A052" w14:textId="77777777">
            <w:pPr>
              <w:rPr>
                <w:rFonts w:ascii="Times New Roman" w:hAnsi="Times New Roman" w:cs="Times New Roman"/>
                <w:sz w:val="22"/>
                <w:szCs w:val="22"/>
              </w:rPr>
            </w:pPr>
            <w:r w:rsidRPr="006230EC">
              <w:rPr>
                <w:rFonts w:ascii="Times New Roman" w:hAnsi="Times New Roman" w:cs="Times New Roman"/>
                <w:sz w:val="22"/>
                <w:szCs w:val="22"/>
              </w:rPr>
              <w:t>FDA 3649</w:t>
            </w:r>
          </w:p>
        </w:tc>
        <w:tc>
          <w:tcPr>
            <w:tcW w:w="7650" w:type="dxa"/>
          </w:tcPr>
          <w:p w:rsidR="006230EC" w:rsidRPr="006230EC" w:rsidP="006230EC" w14:paraId="09313E03" w14:textId="77777777">
            <w:pPr>
              <w:rPr>
                <w:rFonts w:ascii="Times New Roman" w:hAnsi="Times New Roman" w:cs="Times New Roman"/>
                <w:sz w:val="22"/>
                <w:szCs w:val="22"/>
              </w:rPr>
            </w:pPr>
            <w:r w:rsidRPr="006230EC">
              <w:rPr>
                <w:rFonts w:ascii="Times New Roman" w:hAnsi="Times New Roman" w:cs="Times New Roman"/>
                <w:sz w:val="22"/>
                <w:szCs w:val="22"/>
              </w:rPr>
              <w:t>Accidental Radiation Occurrence Report</w:t>
            </w:r>
          </w:p>
        </w:tc>
      </w:tr>
      <w:tr w14:paraId="5F433377" w14:textId="77777777" w:rsidTr="00B73AEA">
        <w:tblPrEx>
          <w:tblW w:w="9535" w:type="dxa"/>
          <w:tblLook w:val="04A0"/>
        </w:tblPrEx>
        <w:trPr>
          <w:cantSplit/>
        </w:trPr>
        <w:tc>
          <w:tcPr>
            <w:tcW w:w="1885" w:type="dxa"/>
          </w:tcPr>
          <w:p w:rsidR="006230EC" w:rsidRPr="006230EC" w:rsidP="006230EC" w14:paraId="37EE7D7C" w14:textId="77777777">
            <w:pPr>
              <w:rPr>
                <w:rFonts w:ascii="Times New Roman" w:hAnsi="Times New Roman" w:cs="Times New Roman"/>
                <w:sz w:val="22"/>
                <w:szCs w:val="22"/>
              </w:rPr>
            </w:pPr>
            <w:r w:rsidRPr="006230EC">
              <w:rPr>
                <w:rFonts w:ascii="Times New Roman" w:hAnsi="Times New Roman" w:cs="Times New Roman"/>
                <w:sz w:val="22"/>
                <w:szCs w:val="22"/>
              </w:rPr>
              <w:t>FDA 3659</w:t>
            </w:r>
          </w:p>
        </w:tc>
        <w:tc>
          <w:tcPr>
            <w:tcW w:w="7650" w:type="dxa"/>
          </w:tcPr>
          <w:p w:rsidR="006230EC" w:rsidRPr="006230EC" w:rsidP="006230EC" w14:paraId="5350D689" w14:textId="77777777">
            <w:pPr>
              <w:rPr>
                <w:rFonts w:ascii="Times New Roman" w:hAnsi="Times New Roman" w:cs="Times New Roman"/>
                <w:sz w:val="22"/>
                <w:szCs w:val="22"/>
              </w:rPr>
            </w:pPr>
            <w:r w:rsidRPr="006230EC">
              <w:rPr>
                <w:rFonts w:ascii="Times New Roman" w:hAnsi="Times New Roman" w:cs="Times New Roman"/>
                <w:sz w:val="22"/>
                <w:szCs w:val="22"/>
              </w:rPr>
              <w:t>TV Product Report</w:t>
            </w:r>
          </w:p>
        </w:tc>
      </w:tr>
      <w:tr w14:paraId="6AC1BF61" w14:textId="77777777" w:rsidTr="00B73AEA">
        <w:tblPrEx>
          <w:tblW w:w="9535" w:type="dxa"/>
          <w:tblLook w:val="04A0"/>
        </w:tblPrEx>
        <w:trPr>
          <w:cantSplit/>
        </w:trPr>
        <w:tc>
          <w:tcPr>
            <w:tcW w:w="1885" w:type="dxa"/>
          </w:tcPr>
          <w:p w:rsidR="006230EC" w:rsidRPr="006230EC" w:rsidP="006230EC" w14:paraId="301A3313" w14:textId="77777777">
            <w:pPr>
              <w:rPr>
                <w:rFonts w:ascii="Times New Roman" w:hAnsi="Times New Roman" w:cs="Times New Roman"/>
                <w:sz w:val="22"/>
                <w:szCs w:val="22"/>
              </w:rPr>
            </w:pPr>
            <w:r w:rsidRPr="006230EC">
              <w:rPr>
                <w:rFonts w:ascii="Times New Roman" w:hAnsi="Times New Roman" w:cs="Times New Roman"/>
                <w:sz w:val="22"/>
                <w:szCs w:val="22"/>
              </w:rPr>
              <w:t xml:space="preserve">FDA 3660 </w:t>
            </w:r>
          </w:p>
        </w:tc>
        <w:tc>
          <w:tcPr>
            <w:tcW w:w="7650" w:type="dxa"/>
          </w:tcPr>
          <w:p w:rsidR="006230EC" w:rsidRPr="006230EC" w:rsidP="006230EC" w14:paraId="78262761" w14:textId="77777777">
            <w:pPr>
              <w:rPr>
                <w:rFonts w:ascii="Times New Roman" w:hAnsi="Times New Roman" w:cs="Times New Roman"/>
                <w:sz w:val="22"/>
                <w:szCs w:val="22"/>
              </w:rPr>
            </w:pPr>
            <w:r w:rsidRPr="006230EC">
              <w:rPr>
                <w:rFonts w:ascii="Times New Roman" w:eastAsia="Calibri" w:hAnsi="Times New Roman" w:cs="Times New Roman"/>
                <w:sz w:val="22"/>
                <w:szCs w:val="22"/>
              </w:rPr>
              <w:t>Reports on Radiation Safety</w:t>
            </w:r>
            <w:r w:rsidRPr="006230EC">
              <w:rPr>
                <w:rFonts w:ascii="Times New Roman" w:hAnsi="Times New Roman" w:cs="Times New Roman"/>
                <w:sz w:val="22"/>
                <w:szCs w:val="22"/>
              </w:rPr>
              <w:t xml:space="preserve"> of Microwave Ovens</w:t>
            </w:r>
          </w:p>
        </w:tc>
      </w:tr>
      <w:tr w14:paraId="15DD314E" w14:textId="77777777" w:rsidTr="00B73AEA">
        <w:tblPrEx>
          <w:tblW w:w="9535" w:type="dxa"/>
          <w:tblLook w:val="04A0"/>
        </w:tblPrEx>
        <w:trPr>
          <w:cantSplit/>
        </w:trPr>
        <w:tc>
          <w:tcPr>
            <w:tcW w:w="1885" w:type="dxa"/>
          </w:tcPr>
          <w:p w:rsidR="006230EC" w:rsidRPr="006230EC" w:rsidP="006230EC" w14:paraId="25D7D1EB" w14:textId="77777777">
            <w:pPr>
              <w:rPr>
                <w:rFonts w:ascii="Times New Roman" w:hAnsi="Times New Roman" w:cs="Times New Roman"/>
                <w:sz w:val="22"/>
                <w:szCs w:val="22"/>
              </w:rPr>
            </w:pPr>
            <w:r w:rsidRPr="006230EC">
              <w:rPr>
                <w:rFonts w:ascii="Times New Roman" w:hAnsi="Times New Roman" w:cs="Times New Roman"/>
                <w:sz w:val="22"/>
                <w:szCs w:val="22"/>
              </w:rPr>
              <w:t>FDA 3663</w:t>
            </w:r>
          </w:p>
        </w:tc>
        <w:tc>
          <w:tcPr>
            <w:tcW w:w="7650" w:type="dxa"/>
          </w:tcPr>
          <w:p w:rsidR="006230EC" w:rsidRPr="006230EC" w:rsidP="006230EC" w14:paraId="639CEA81" w14:textId="77777777">
            <w:pPr>
              <w:rPr>
                <w:rFonts w:ascii="Times New Roman" w:hAnsi="Times New Roman" w:cs="Times New Roman"/>
                <w:sz w:val="22"/>
                <w:szCs w:val="22"/>
              </w:rPr>
            </w:pPr>
            <w:r w:rsidRPr="006230EC">
              <w:rPr>
                <w:rFonts w:ascii="Times New Roman" w:hAnsi="Times New Roman" w:cs="Times New Roman"/>
                <w:sz w:val="22"/>
                <w:szCs w:val="22"/>
              </w:rPr>
              <w:t>Abbreviated Reports on Radiation Safety for Microwave Products (Other than Microwave Ovens)</w:t>
            </w:r>
          </w:p>
        </w:tc>
      </w:tr>
      <w:tr w14:paraId="404A50BD" w14:textId="77777777" w:rsidTr="00B73AEA">
        <w:tblPrEx>
          <w:tblW w:w="9535" w:type="dxa"/>
          <w:tblLook w:val="04A0"/>
        </w:tblPrEx>
        <w:trPr>
          <w:cantSplit/>
        </w:trPr>
        <w:tc>
          <w:tcPr>
            <w:tcW w:w="1885" w:type="dxa"/>
          </w:tcPr>
          <w:p w:rsidR="006230EC" w:rsidRPr="006230EC" w:rsidP="006230EC" w14:paraId="61B93A07" w14:textId="77777777">
            <w:pPr>
              <w:rPr>
                <w:rFonts w:ascii="Times New Roman" w:hAnsi="Times New Roman" w:cs="Times New Roman"/>
                <w:sz w:val="22"/>
                <w:szCs w:val="22"/>
              </w:rPr>
            </w:pPr>
            <w:r w:rsidRPr="006230EC">
              <w:rPr>
                <w:rFonts w:ascii="Times New Roman" w:hAnsi="Times New Roman" w:cs="Times New Roman"/>
                <w:sz w:val="22"/>
                <w:szCs w:val="22"/>
              </w:rPr>
              <w:t>FDA 3759</w:t>
            </w:r>
          </w:p>
        </w:tc>
        <w:tc>
          <w:tcPr>
            <w:tcW w:w="7650" w:type="dxa"/>
          </w:tcPr>
          <w:p w:rsidR="006230EC" w:rsidRPr="006230EC" w:rsidP="006230EC" w14:paraId="19F3FD54" w14:textId="77777777">
            <w:pPr>
              <w:rPr>
                <w:rFonts w:ascii="Times New Roman" w:hAnsi="Times New Roman" w:cs="Times New Roman"/>
                <w:sz w:val="22"/>
                <w:szCs w:val="22"/>
              </w:rPr>
            </w:pPr>
            <w:r w:rsidRPr="006230EC">
              <w:rPr>
                <w:rFonts w:ascii="Times New Roman" w:hAnsi="Times New Roman" w:cs="Times New Roman"/>
                <w:sz w:val="22"/>
                <w:szCs w:val="22"/>
              </w:rPr>
              <w:t>Abbreviated Reports on Radiation Safety of Non-Medical Ultrasonic Products</w:t>
            </w:r>
          </w:p>
        </w:tc>
      </w:tr>
      <w:tr w14:paraId="1C290B36" w14:textId="77777777" w:rsidTr="00B73AEA">
        <w:tblPrEx>
          <w:tblW w:w="9535" w:type="dxa"/>
          <w:tblLook w:val="04A0"/>
        </w:tblPrEx>
        <w:trPr>
          <w:cantSplit/>
        </w:trPr>
        <w:tc>
          <w:tcPr>
            <w:tcW w:w="1885" w:type="dxa"/>
          </w:tcPr>
          <w:p w:rsidR="006230EC" w:rsidRPr="006230EC" w:rsidP="006230EC" w14:paraId="7E083899" w14:textId="77777777">
            <w:pPr>
              <w:rPr>
                <w:rFonts w:ascii="Times New Roman" w:hAnsi="Times New Roman" w:cs="Times New Roman"/>
                <w:sz w:val="22"/>
                <w:szCs w:val="22"/>
              </w:rPr>
            </w:pPr>
            <w:r w:rsidRPr="006230EC">
              <w:rPr>
                <w:rFonts w:ascii="Times New Roman" w:hAnsi="Times New Roman" w:cs="Times New Roman"/>
                <w:sz w:val="22"/>
                <w:szCs w:val="22"/>
              </w:rPr>
              <w:t>FDA 3760</w:t>
            </w:r>
          </w:p>
        </w:tc>
        <w:tc>
          <w:tcPr>
            <w:tcW w:w="7650" w:type="dxa"/>
          </w:tcPr>
          <w:p w:rsidR="006230EC" w:rsidRPr="006230EC" w:rsidP="006230EC" w14:paraId="1C7052E6" w14:textId="77777777">
            <w:pPr>
              <w:rPr>
                <w:rFonts w:ascii="Times New Roman" w:hAnsi="Times New Roman" w:cs="Times New Roman"/>
                <w:sz w:val="22"/>
                <w:szCs w:val="22"/>
              </w:rPr>
            </w:pPr>
            <w:r w:rsidRPr="006230EC">
              <w:rPr>
                <w:rFonts w:ascii="Times New Roman" w:hAnsi="Times New Roman" w:cs="Times New Roman"/>
                <w:sz w:val="22"/>
                <w:szCs w:val="22"/>
              </w:rPr>
              <w:t>Product Reports for Medical Ultrasound Products</w:t>
            </w:r>
          </w:p>
        </w:tc>
      </w:tr>
      <w:tr w14:paraId="083D00DB" w14:textId="77777777" w:rsidTr="00B73AEA">
        <w:tblPrEx>
          <w:tblW w:w="9535" w:type="dxa"/>
          <w:tblLook w:val="04A0"/>
        </w:tblPrEx>
        <w:trPr>
          <w:cantSplit/>
        </w:trPr>
        <w:tc>
          <w:tcPr>
            <w:tcW w:w="1885" w:type="dxa"/>
          </w:tcPr>
          <w:p w:rsidR="006230EC" w:rsidRPr="006230EC" w:rsidP="006230EC" w14:paraId="6D9FDF4C" w14:textId="77777777">
            <w:pPr>
              <w:rPr>
                <w:rFonts w:ascii="Times New Roman" w:hAnsi="Times New Roman" w:cs="Times New Roman"/>
                <w:sz w:val="22"/>
                <w:szCs w:val="22"/>
              </w:rPr>
            </w:pPr>
            <w:r w:rsidRPr="006230EC">
              <w:rPr>
                <w:rFonts w:ascii="Times New Roman" w:hAnsi="Times New Roman" w:cs="Times New Roman"/>
                <w:sz w:val="22"/>
                <w:szCs w:val="22"/>
              </w:rPr>
              <w:t>FDA 3801</w:t>
            </w:r>
          </w:p>
        </w:tc>
        <w:tc>
          <w:tcPr>
            <w:tcW w:w="7650" w:type="dxa"/>
          </w:tcPr>
          <w:p w:rsidR="006230EC" w:rsidRPr="006230EC" w:rsidP="006230EC" w14:paraId="294647CB" w14:textId="77777777">
            <w:pPr>
              <w:rPr>
                <w:rFonts w:ascii="Times New Roman" w:hAnsi="Times New Roman" w:cs="Times New Roman"/>
                <w:sz w:val="22"/>
                <w:szCs w:val="22"/>
              </w:rPr>
            </w:pPr>
            <w:r w:rsidRPr="006230EC">
              <w:rPr>
                <w:rFonts w:ascii="Times New Roman" w:hAnsi="Times New Roman" w:cs="Times New Roman"/>
                <w:sz w:val="22"/>
                <w:szCs w:val="22"/>
              </w:rPr>
              <w:t>Initial Reports and Model Change Reports on Medical Ultraviolet Lamps and Products Containing Such Lamps</w:t>
            </w:r>
          </w:p>
        </w:tc>
      </w:tr>
      <w:tr w14:paraId="335BF3F3" w14:textId="77777777" w:rsidTr="00B73AEA">
        <w:tblPrEx>
          <w:tblW w:w="9535" w:type="dxa"/>
          <w:tblLook w:val="04A0"/>
        </w:tblPrEx>
        <w:trPr>
          <w:cantSplit/>
        </w:trPr>
        <w:tc>
          <w:tcPr>
            <w:tcW w:w="1885" w:type="dxa"/>
          </w:tcPr>
          <w:p w:rsidR="006230EC" w:rsidRPr="006230EC" w:rsidP="006230EC" w14:paraId="27567753" w14:textId="77777777">
            <w:pPr>
              <w:rPr>
                <w:rFonts w:ascii="Times New Roman" w:hAnsi="Times New Roman" w:cs="Times New Roman"/>
                <w:sz w:val="22"/>
                <w:szCs w:val="22"/>
              </w:rPr>
            </w:pPr>
            <w:r w:rsidRPr="006230EC">
              <w:rPr>
                <w:rFonts w:ascii="Times New Roman" w:hAnsi="Times New Roman" w:cs="Times New Roman"/>
                <w:sz w:val="22"/>
                <w:szCs w:val="22"/>
              </w:rPr>
              <w:t>FDA 4004</w:t>
            </w:r>
          </w:p>
        </w:tc>
        <w:tc>
          <w:tcPr>
            <w:tcW w:w="7650" w:type="dxa"/>
          </w:tcPr>
          <w:p w:rsidR="006230EC" w:rsidRPr="006230EC" w:rsidP="006230EC" w14:paraId="3B2C739C" w14:textId="77777777">
            <w:pPr>
              <w:rPr>
                <w:rFonts w:ascii="Times New Roman" w:hAnsi="Times New Roman" w:cs="Times New Roman"/>
                <w:sz w:val="22"/>
                <w:szCs w:val="22"/>
              </w:rPr>
            </w:pPr>
            <w:r w:rsidRPr="006230EC">
              <w:rPr>
                <w:rFonts w:ascii="Times New Roman" w:hAnsi="Times New Roman" w:cs="Times New Roman"/>
                <w:sz w:val="22"/>
                <w:szCs w:val="22"/>
              </w:rPr>
              <w:t>Abbreviated Reports of Microwave and RF Emitting Electronic Products Intended for Medical Use</w:t>
            </w:r>
          </w:p>
        </w:tc>
      </w:tr>
    </w:tbl>
    <w:p w:rsidR="00513B15" w:rsidP="000B1FF1" w14:paraId="08253496" w14:textId="77777777">
      <w:pPr>
        <w:rPr>
          <w:rFonts w:eastAsia="Calibri"/>
        </w:rPr>
      </w:pPr>
    </w:p>
    <w:p w:rsidR="00BE107C" w:rsidRPr="00002933" w:rsidP="000B1FF1" w14:paraId="613C6D66" w14:textId="33DD23A3">
      <w:pPr>
        <w:rPr>
          <w:rFonts w:eastAsia="Calibri"/>
        </w:rPr>
      </w:pPr>
      <w:r>
        <w:rPr>
          <w:rFonts w:eastAsia="Calibri"/>
        </w:rPr>
        <w:t>The forms</w:t>
      </w:r>
      <w:r w:rsidR="00595336">
        <w:rPr>
          <w:rFonts w:eastAsia="Calibri"/>
        </w:rPr>
        <w:t xml:space="preserve"> are developed </w:t>
      </w:r>
      <w:r w:rsidR="00357C92">
        <w:rPr>
          <w:rFonts w:eastAsia="Calibri"/>
        </w:rPr>
        <w:t xml:space="preserve">in portable document format (pdf) </w:t>
      </w:r>
      <w:r w:rsidR="00595336">
        <w:rPr>
          <w:rFonts w:eastAsia="Calibri"/>
        </w:rPr>
        <w:t xml:space="preserve">intended </w:t>
      </w:r>
      <w:r w:rsidRPr="00DE6444" w:rsidR="00DE6444">
        <w:rPr>
          <w:rFonts w:eastAsia="Calibri"/>
        </w:rPr>
        <w:t>to facilitate the uniform submission of information by respondents.</w:t>
      </w:r>
      <w:r w:rsidR="003B4F78">
        <w:rPr>
          <w:rFonts w:eastAsia="Calibri"/>
        </w:rPr>
        <w:t xml:space="preserve">  </w:t>
      </w:r>
      <w:r w:rsidR="00F44FA3">
        <w:rPr>
          <w:rFonts w:eastAsia="Calibri"/>
        </w:rPr>
        <w:t xml:space="preserve">Although certain </w:t>
      </w:r>
      <w:r w:rsidR="008D27B8">
        <w:rPr>
          <w:rFonts w:eastAsia="Calibri"/>
        </w:rPr>
        <w:t xml:space="preserve">submissions </w:t>
      </w:r>
      <w:r w:rsidR="00653DE8">
        <w:rPr>
          <w:rFonts w:eastAsia="Calibri"/>
        </w:rPr>
        <w:t xml:space="preserve">continue to be accepted in a </w:t>
      </w:r>
      <w:r w:rsidR="00F44FA3">
        <w:rPr>
          <w:rFonts w:eastAsia="Calibri"/>
        </w:rPr>
        <w:t xml:space="preserve">paper-based </w:t>
      </w:r>
      <w:r w:rsidR="00653DE8">
        <w:rPr>
          <w:rFonts w:eastAsia="Calibri"/>
        </w:rPr>
        <w:t xml:space="preserve">format, most forms are </w:t>
      </w:r>
      <w:r w:rsidR="00A0594B">
        <w:rPr>
          <w:rFonts w:eastAsia="Calibri"/>
        </w:rPr>
        <w:t xml:space="preserve">completed and </w:t>
      </w:r>
      <w:r w:rsidR="00E84696">
        <w:rPr>
          <w:rFonts w:eastAsia="Calibri"/>
        </w:rPr>
        <w:t xml:space="preserve">submitted </w:t>
      </w:r>
      <w:r w:rsidR="00A0594B">
        <w:rPr>
          <w:rFonts w:eastAsia="Calibri"/>
        </w:rPr>
        <w:t xml:space="preserve">electronically </w:t>
      </w:r>
      <w:r w:rsidR="00E84696">
        <w:rPr>
          <w:rFonts w:eastAsia="Calibri"/>
        </w:rPr>
        <w:t xml:space="preserve">through established </w:t>
      </w:r>
      <w:r w:rsidR="00653DE8">
        <w:rPr>
          <w:rFonts w:eastAsia="Calibri"/>
        </w:rPr>
        <w:t>FDA IT</w:t>
      </w:r>
      <w:r w:rsidR="004B4C32">
        <w:rPr>
          <w:rFonts w:eastAsia="Calibri"/>
        </w:rPr>
        <w:t xml:space="preserve"> systems, including systems administered by our Center for Devices and Radiological </w:t>
      </w:r>
      <w:r w:rsidR="00A67127">
        <w:rPr>
          <w:rFonts w:eastAsia="Calibri"/>
        </w:rPr>
        <w:t>Health</w:t>
      </w:r>
      <w:r w:rsidR="004B4C32">
        <w:rPr>
          <w:rFonts w:eastAsia="Calibri"/>
        </w:rPr>
        <w:t xml:space="preserve"> (CDRH</w:t>
      </w:r>
      <w:r w:rsidR="004A5928">
        <w:rPr>
          <w:rFonts w:eastAsia="Calibri"/>
        </w:rPr>
        <w:t xml:space="preserve">) specifically maintained to support information collection associated with electronic </w:t>
      </w:r>
      <w:r w:rsidR="00A632AE">
        <w:rPr>
          <w:rFonts w:eastAsia="Calibri"/>
        </w:rPr>
        <w:t>products requirements</w:t>
      </w:r>
      <w:r w:rsidR="00E84696">
        <w:rPr>
          <w:rFonts w:eastAsia="Calibri"/>
        </w:rPr>
        <w:t>.</w:t>
      </w:r>
      <w:r w:rsidR="00EA0737">
        <w:rPr>
          <w:rFonts w:eastAsia="Calibri"/>
        </w:rPr>
        <w:t xml:space="preserve">  </w:t>
      </w:r>
      <w:r w:rsidR="00EE63BA">
        <w:rPr>
          <w:rFonts w:eastAsia="Calibri"/>
        </w:rPr>
        <w:t xml:space="preserve">We </w:t>
      </w:r>
      <w:r w:rsidRPr="00002933">
        <w:rPr>
          <w:rFonts w:eastAsia="Calibri"/>
        </w:rPr>
        <w:t xml:space="preserve">encourage electronic filing </w:t>
      </w:r>
      <w:r w:rsidR="00EA0737">
        <w:rPr>
          <w:rFonts w:eastAsia="Calibri"/>
        </w:rPr>
        <w:t xml:space="preserve">using </w:t>
      </w:r>
      <w:r w:rsidRPr="00002933">
        <w:rPr>
          <w:rFonts w:eastAsia="Calibri"/>
        </w:rPr>
        <w:t>FDA</w:t>
      </w:r>
      <w:r w:rsidR="00EA0737">
        <w:rPr>
          <w:rFonts w:eastAsia="Calibri"/>
        </w:rPr>
        <w:t>’s</w:t>
      </w:r>
      <w:r w:rsidRPr="00002933">
        <w:rPr>
          <w:rFonts w:eastAsia="Calibri"/>
        </w:rPr>
        <w:t xml:space="preserve"> Electronic Submissions Gateway (FDA ESG)</w:t>
      </w:r>
      <w:r w:rsidR="00E45BF0">
        <w:rPr>
          <w:rFonts w:eastAsia="Calibri"/>
        </w:rPr>
        <w:t>, which allows</w:t>
      </w:r>
      <w:r w:rsidRPr="00002933">
        <w:rPr>
          <w:rFonts w:eastAsia="Calibri"/>
        </w:rPr>
        <w:t xml:space="preserve"> manufacturers to create </w:t>
      </w:r>
      <w:r w:rsidR="00E45BF0">
        <w:rPr>
          <w:rFonts w:eastAsia="Calibri"/>
        </w:rPr>
        <w:t xml:space="preserve">accounts and submit files </w:t>
      </w:r>
      <w:r w:rsidRPr="00002933">
        <w:rPr>
          <w:rFonts w:eastAsia="Calibri"/>
        </w:rPr>
        <w:t>using the CDRH eSubmitter software application</w:t>
      </w:r>
      <w:r w:rsidR="00E45BF0">
        <w:rPr>
          <w:rFonts w:eastAsia="Calibri"/>
        </w:rPr>
        <w:t>.</w:t>
      </w:r>
      <w:r w:rsidR="00B065D9">
        <w:rPr>
          <w:rFonts w:eastAsia="Calibri"/>
        </w:rPr>
        <w:t xml:space="preserve">  Additionally, CDRH has developed and maintains </w:t>
      </w:r>
      <w:r w:rsidR="00451351">
        <w:rPr>
          <w:rFonts w:eastAsia="Calibri"/>
        </w:rPr>
        <w:t xml:space="preserve">a </w:t>
      </w:r>
      <w:r w:rsidRPr="00002933">
        <w:rPr>
          <w:rFonts w:eastAsia="Calibri"/>
        </w:rPr>
        <w:t>voluntary</w:t>
      </w:r>
      <w:r w:rsidR="00A11C3A">
        <w:rPr>
          <w:rFonts w:eastAsia="Calibri"/>
        </w:rPr>
        <w:t xml:space="preserve"> </w:t>
      </w:r>
      <w:r w:rsidRPr="00002933">
        <w:rPr>
          <w:rFonts w:eastAsia="Calibri"/>
        </w:rPr>
        <w:t>electronic submission (eSubmitter)</w:t>
      </w:r>
      <w:r w:rsidR="00A11C3A">
        <w:rPr>
          <w:rFonts w:eastAsia="Calibri"/>
        </w:rPr>
        <w:t xml:space="preserve"> </w:t>
      </w:r>
      <w:r w:rsidR="00640C46">
        <w:rPr>
          <w:rFonts w:eastAsia="Calibri"/>
        </w:rPr>
        <w:t xml:space="preserve">mechanism </w:t>
      </w:r>
      <w:r w:rsidRPr="00002933">
        <w:rPr>
          <w:rFonts w:eastAsia="Calibri"/>
        </w:rPr>
        <w:t xml:space="preserve">to automatically edit-check for errors in online submissions, ensure data integrity, and allow FDA staff to </w:t>
      </w:r>
      <w:r w:rsidR="00BA708E">
        <w:rPr>
          <w:rFonts w:eastAsia="Calibri"/>
        </w:rPr>
        <w:t xml:space="preserve">review information </w:t>
      </w:r>
      <w:r w:rsidRPr="00002933">
        <w:rPr>
          <w:rFonts w:eastAsia="Calibri"/>
        </w:rPr>
        <w:t>with greater</w:t>
      </w:r>
      <w:r w:rsidR="00BA708E">
        <w:rPr>
          <w:rFonts w:eastAsia="Calibri"/>
        </w:rPr>
        <w:t xml:space="preserve"> efficiency</w:t>
      </w:r>
      <w:r w:rsidRPr="00002933">
        <w:rPr>
          <w:rFonts w:eastAsia="Calibri"/>
        </w:rPr>
        <w:t>.</w:t>
      </w:r>
      <w:r w:rsidR="00D91620">
        <w:rPr>
          <w:rFonts w:eastAsia="Calibri"/>
        </w:rPr>
        <w:t xml:space="preserve">  We believe the </w:t>
      </w:r>
      <w:r w:rsidRPr="00002933">
        <w:rPr>
          <w:rFonts w:eastAsia="Calibri"/>
        </w:rPr>
        <w:t>software reduces the number of supplements needed, and provides data often missing from paper</w:t>
      </w:r>
      <w:r w:rsidR="00731F37">
        <w:rPr>
          <w:rFonts w:eastAsia="Calibri"/>
        </w:rPr>
        <w:t xml:space="preserve">-based </w:t>
      </w:r>
      <w:r w:rsidRPr="00002933">
        <w:rPr>
          <w:rFonts w:eastAsia="Calibri"/>
        </w:rPr>
        <w:t>submissions.</w:t>
      </w:r>
      <w:r w:rsidR="00D37732">
        <w:rPr>
          <w:rFonts w:eastAsia="Calibri"/>
        </w:rPr>
        <w:t xml:space="preserve">  The forms are also supported by instruction</w:t>
      </w:r>
      <w:r w:rsidR="00153721">
        <w:rPr>
          <w:rFonts w:eastAsia="Calibri"/>
        </w:rPr>
        <w:t>al</w:t>
      </w:r>
      <w:r w:rsidR="00D37732">
        <w:rPr>
          <w:rFonts w:eastAsia="Calibri"/>
        </w:rPr>
        <w:t xml:space="preserve"> </w:t>
      </w:r>
      <w:r w:rsidR="00A7203E">
        <w:rPr>
          <w:rFonts w:eastAsia="Calibri"/>
        </w:rPr>
        <w:t xml:space="preserve">information and recommendations </w:t>
      </w:r>
      <w:r w:rsidR="00D37732">
        <w:rPr>
          <w:rFonts w:eastAsia="Calibri"/>
        </w:rPr>
        <w:t xml:space="preserve">found </w:t>
      </w:r>
      <w:r w:rsidR="00153721">
        <w:rPr>
          <w:rFonts w:eastAsia="Calibri"/>
        </w:rPr>
        <w:t xml:space="preserve">in submission guides and </w:t>
      </w:r>
      <w:r w:rsidR="00A7203E">
        <w:rPr>
          <w:rFonts w:eastAsia="Calibri"/>
        </w:rPr>
        <w:t xml:space="preserve">applicable </w:t>
      </w:r>
      <w:r w:rsidR="00153721">
        <w:rPr>
          <w:rFonts w:eastAsia="Calibri"/>
        </w:rPr>
        <w:t>guidance documents.</w:t>
      </w:r>
    </w:p>
    <w:p w:rsidR="00002933" w:rsidRPr="00002933" w:rsidP="000B1FF1" w14:paraId="37895B90" w14:textId="77777777">
      <w:pPr>
        <w:rPr>
          <w:rFonts w:eastAsia="Calibri"/>
        </w:rPr>
      </w:pPr>
    </w:p>
    <w:p w:rsidR="00357C8A" w:rsidRPr="00002933" w:rsidP="000B1FF1" w14:paraId="2B8A6421" w14:textId="77777777">
      <w:pPr>
        <w:numPr>
          <w:ilvl w:val="0"/>
          <w:numId w:val="6"/>
        </w:numPr>
        <w:rPr>
          <w:rFonts w:eastAsia="Calibri"/>
        </w:rPr>
      </w:pPr>
      <w:r w:rsidRPr="00002933">
        <w:rPr>
          <w:rFonts w:eastAsia="Calibri"/>
          <w:u w:val="single"/>
        </w:rPr>
        <w:t xml:space="preserve">Efforts to Identify Duplication and Use of Similar Information </w:t>
      </w:r>
    </w:p>
    <w:p w:rsidR="00EE63BA" w:rsidP="000B1FF1" w14:paraId="7A475293" w14:textId="77777777"/>
    <w:p w:rsidR="00BE107C" w:rsidP="000B1FF1" w14:paraId="772FFE08" w14:textId="3316388D">
      <w:r>
        <w:t xml:space="preserve">We are </w:t>
      </w:r>
      <w:r w:rsidR="006C1307">
        <w:t>unaware</w:t>
      </w:r>
      <w:r>
        <w:t xml:space="preserve"> of </w:t>
      </w:r>
      <w:r w:rsidR="006C1307">
        <w:t>duplicative</w:t>
      </w:r>
      <w:r>
        <w:t xml:space="preserve"> information collection.</w:t>
      </w:r>
    </w:p>
    <w:p w:rsidR="00002933" w:rsidRPr="00002933" w:rsidP="000B1FF1" w14:paraId="07317404" w14:textId="77777777"/>
    <w:p w:rsidR="00357C8A" w:rsidRPr="00002933" w:rsidP="000B1FF1" w14:paraId="0F3C81B7" w14:textId="77777777">
      <w:pPr>
        <w:keepNext/>
        <w:numPr>
          <w:ilvl w:val="0"/>
          <w:numId w:val="6"/>
        </w:numPr>
        <w:rPr>
          <w:rFonts w:eastAsia="Calibri"/>
        </w:rPr>
      </w:pPr>
      <w:r w:rsidRPr="00002933">
        <w:rPr>
          <w:rFonts w:eastAsia="Calibri"/>
          <w:u w:val="single"/>
        </w:rPr>
        <w:t>Impact on Small Businesses or Other Small Entities</w:t>
      </w:r>
    </w:p>
    <w:p w:rsidR="008A1D14" w:rsidP="000B1FF1" w14:paraId="6119AB1A" w14:textId="77777777">
      <w:pPr>
        <w:rPr>
          <w:rFonts w:eastAsia="Calibri"/>
        </w:rPr>
      </w:pPr>
    </w:p>
    <w:p w:rsidR="00BE107C" w:rsidRPr="00002933" w:rsidP="000B1FF1" w14:paraId="1F490F2B" w14:textId="1F95653F">
      <w:pPr>
        <w:rPr>
          <w:rFonts w:eastAsia="Calibri"/>
        </w:rPr>
      </w:pPr>
      <w:r>
        <w:rPr>
          <w:rFonts w:eastAsia="Calibri"/>
        </w:rPr>
        <w:t>The information collection poses n</w:t>
      </w:r>
      <w:r w:rsidR="008A1D14">
        <w:rPr>
          <w:rFonts w:eastAsia="Calibri"/>
        </w:rPr>
        <w:t xml:space="preserve">o undue burden  on small entities.  </w:t>
      </w:r>
      <w:r w:rsidRPr="00002933">
        <w:rPr>
          <w:rFonts w:eastAsia="Calibri"/>
        </w:rPr>
        <w:t>We estimate 22 percent of respondents are small businesses (manufacturers, importers</w:t>
      </w:r>
      <w:r w:rsidRPr="00002933" w:rsidR="007C28AD">
        <w:rPr>
          <w:rFonts w:eastAsia="Calibri"/>
        </w:rPr>
        <w:t>,</w:t>
      </w:r>
      <w:r w:rsidRPr="00002933">
        <w:rPr>
          <w:rFonts w:eastAsia="Calibri"/>
        </w:rPr>
        <w:t xml:space="preserve"> and assemblers of electronic products). </w:t>
      </w:r>
    </w:p>
    <w:p w:rsidR="00002933" w:rsidRPr="00002933" w:rsidP="000B1FF1" w14:paraId="4043AAD0" w14:textId="77777777">
      <w:pPr>
        <w:rPr>
          <w:rFonts w:eastAsia="Calibri"/>
        </w:rPr>
      </w:pPr>
    </w:p>
    <w:p w:rsidR="00357C8A" w:rsidRPr="00002933" w:rsidP="000B1FF1" w14:paraId="7EFCB6EA" w14:textId="77777777">
      <w:pPr>
        <w:numPr>
          <w:ilvl w:val="0"/>
          <w:numId w:val="6"/>
        </w:numPr>
        <w:rPr>
          <w:rFonts w:eastAsia="Calibri"/>
          <w:u w:val="single"/>
        </w:rPr>
      </w:pPr>
      <w:r w:rsidRPr="00002933">
        <w:rPr>
          <w:rFonts w:eastAsia="Calibri"/>
          <w:u w:val="single"/>
        </w:rPr>
        <w:t>Consequences of Collecting the Information Less Frequently</w:t>
      </w:r>
    </w:p>
    <w:p w:rsidR="008A1D14" w:rsidP="000B1FF1" w14:paraId="44E43F2D" w14:textId="77777777">
      <w:pPr>
        <w:rPr>
          <w:rFonts w:eastAsia="Calibri"/>
        </w:rPr>
      </w:pPr>
    </w:p>
    <w:p w:rsidR="00002933" w:rsidP="000B1FF1" w14:paraId="2DDA27F3" w14:textId="21CBE00E">
      <w:pPr>
        <w:rPr>
          <w:rFonts w:eastAsia="Calibri"/>
        </w:rPr>
      </w:pPr>
      <w:r>
        <w:rPr>
          <w:rFonts w:eastAsia="Calibri"/>
        </w:rPr>
        <w:t>The information collection schedule is consistent with statutory and regulatory requirements.</w:t>
      </w:r>
    </w:p>
    <w:p w:rsidR="00002933" w:rsidRPr="00002933" w:rsidP="000B1FF1" w14:paraId="73A14963" w14:textId="77777777">
      <w:pPr>
        <w:rPr>
          <w:rFonts w:eastAsia="Calibri"/>
        </w:rPr>
      </w:pPr>
    </w:p>
    <w:p w:rsidR="00357C8A" w:rsidRPr="00002933" w:rsidP="000B1FF1" w14:paraId="0D89545A" w14:textId="77777777">
      <w:pPr>
        <w:numPr>
          <w:ilvl w:val="0"/>
          <w:numId w:val="6"/>
        </w:numPr>
        <w:rPr>
          <w:rFonts w:eastAsia="Calibri"/>
        </w:rPr>
      </w:pPr>
      <w:r w:rsidRPr="00002933">
        <w:rPr>
          <w:rFonts w:eastAsia="Calibri"/>
          <w:u w:val="single"/>
        </w:rPr>
        <w:t>Special Circumstances Relating to the Guidelines of 5 CFR 1320.5</w:t>
      </w:r>
    </w:p>
    <w:p w:rsidR="008A1D14" w:rsidP="000B1FF1" w14:paraId="49E1968B" w14:textId="77777777">
      <w:pPr>
        <w:rPr>
          <w:rFonts w:eastAsia="Calibri"/>
        </w:rPr>
      </w:pPr>
    </w:p>
    <w:p w:rsidR="00BE107C" w:rsidRPr="00002933" w:rsidP="000B1FF1" w14:paraId="6875BE0F" w14:textId="3E451A6E">
      <w:pPr>
        <w:rPr>
          <w:rFonts w:eastAsia="Calibri"/>
        </w:rPr>
      </w:pPr>
      <w:r w:rsidRPr="004E7F3B">
        <w:rPr>
          <w:rFonts w:eastAsia="Calibri"/>
        </w:rPr>
        <w:t xml:space="preserve">Requiring respondents to report information to the agency more often than </w:t>
      </w:r>
      <w:r>
        <w:rPr>
          <w:rFonts w:eastAsia="Calibri"/>
        </w:rPr>
        <w:t>quarterly is necessary in instances of accidental radiation occurrences that are associated with a death or serious injury (21 CFR 1002.20).</w:t>
      </w:r>
      <w:r w:rsidRPr="00002933">
        <w:rPr>
          <w:rFonts w:eastAsia="Calibri"/>
        </w:rPr>
        <w:t xml:space="preserve"> </w:t>
      </w:r>
      <w:r w:rsidR="00006927">
        <w:rPr>
          <w:rFonts w:eastAsia="Calibri"/>
        </w:rPr>
        <w:t xml:space="preserve"> </w:t>
      </w:r>
      <w:r>
        <w:rPr>
          <w:rFonts w:eastAsia="Calibri"/>
        </w:rPr>
        <w:t>I</w:t>
      </w:r>
      <w:r w:rsidRPr="00002933">
        <w:rPr>
          <w:rFonts w:eastAsia="Calibri"/>
        </w:rPr>
        <w:t xml:space="preserve">mmediate health hazards require immediate action and reporting must be prompt.  If FDA and the affected industry or firm did not have access to this information, equipment </w:t>
      </w:r>
      <w:r w:rsidRPr="00002933" w:rsidR="007C28AD">
        <w:rPr>
          <w:rFonts w:eastAsia="Calibri"/>
        </w:rPr>
        <w:t>might</w:t>
      </w:r>
      <w:r w:rsidRPr="00002933">
        <w:rPr>
          <w:rFonts w:eastAsia="Calibri"/>
        </w:rPr>
        <w:t xml:space="preserve"> not be located quickly when a particular product or system is suspected of causing harm. </w:t>
      </w:r>
      <w:r w:rsidR="00CA0AC7">
        <w:rPr>
          <w:rFonts w:eastAsia="Calibri"/>
        </w:rPr>
        <w:t xml:space="preserve"> </w:t>
      </w:r>
      <w:r w:rsidRPr="00002933" w:rsidR="004A16C7">
        <w:rPr>
          <w:rFonts w:eastAsia="Calibri"/>
        </w:rPr>
        <w:t xml:space="preserve">These records are needed </w:t>
      </w:r>
      <w:r w:rsidR="004A16C7">
        <w:rPr>
          <w:rFonts w:eastAsia="Calibri"/>
        </w:rPr>
        <w:t>to protect the public from immediate health hazards</w:t>
      </w:r>
      <w:r w:rsidRPr="00002933" w:rsidR="004A16C7">
        <w:rPr>
          <w:rFonts w:eastAsia="Calibri"/>
        </w:rPr>
        <w:t xml:space="preserve">, and therefore are considered records pertaining to health which are not subject to the </w:t>
      </w:r>
      <w:r w:rsidR="004A16C7">
        <w:rPr>
          <w:rFonts w:eastAsia="Calibri"/>
        </w:rPr>
        <w:t>quarterly</w:t>
      </w:r>
      <w:r w:rsidRPr="00002933" w:rsidR="004A16C7">
        <w:rPr>
          <w:rFonts w:eastAsia="Calibri"/>
        </w:rPr>
        <w:t xml:space="preserve"> limit (5 CFR 1320.5(d)(2)(i)).</w:t>
      </w:r>
    </w:p>
    <w:p w:rsidR="00002933" w:rsidP="000B1FF1" w14:paraId="08093C97" w14:textId="77777777">
      <w:pPr>
        <w:rPr>
          <w:rFonts w:eastAsia="Calibri"/>
        </w:rPr>
      </w:pPr>
    </w:p>
    <w:p w:rsidR="00BE107C" w:rsidP="000B1FF1" w14:paraId="656618FC" w14:textId="0702F713">
      <w:pPr>
        <w:rPr>
          <w:rFonts w:eastAsia="Calibri"/>
        </w:rPr>
      </w:pPr>
      <w:r w:rsidRPr="00002933">
        <w:rPr>
          <w:rFonts w:eastAsia="Calibri"/>
        </w:rPr>
        <w:t>Over the past several years, recordkeeping requirements have been significantly reduced, but the timeframe for maintaining these records (5 years) remains the same.</w:t>
      </w:r>
      <w:r w:rsidR="00CA0AC7">
        <w:rPr>
          <w:rFonts w:eastAsia="Calibri"/>
        </w:rPr>
        <w:t xml:space="preserve">  </w:t>
      </w:r>
      <w:r w:rsidRPr="00002933" w:rsidR="00CA0AC7">
        <w:rPr>
          <w:rFonts w:eastAsia="Calibri"/>
        </w:rPr>
        <w:t>If an entire model line is determined to be defective, the firm must be able to locate other installations of the defective units to eliminate additional hazards.  Without this information, FDA’s protection of the public from significant health risks might be compromised.</w:t>
      </w:r>
      <w:r w:rsidRPr="00002933">
        <w:rPr>
          <w:rFonts w:eastAsia="Calibri"/>
        </w:rPr>
        <w:t xml:space="preserve"> These records are needed for significant risk products, and therefore are considered records pertaining to health which are not subject to the 3-year limit (5 CFR 1320.5(d)(2)(iv)).</w:t>
      </w:r>
    </w:p>
    <w:p w:rsidR="00002933" w:rsidRPr="00002933" w:rsidP="000B1FF1" w14:paraId="18D97B3A" w14:textId="77777777">
      <w:pPr>
        <w:rPr>
          <w:rFonts w:eastAsia="Calibri"/>
        </w:rPr>
      </w:pPr>
    </w:p>
    <w:p w:rsidR="00357C8A" w:rsidRPr="00002933" w:rsidP="000B1FF1" w14:paraId="6A592753" w14:textId="77777777">
      <w:pPr>
        <w:numPr>
          <w:ilvl w:val="0"/>
          <w:numId w:val="6"/>
        </w:numPr>
        <w:rPr>
          <w:rFonts w:eastAsia="Calibri"/>
        </w:rPr>
      </w:pPr>
      <w:r w:rsidRPr="00002933">
        <w:rPr>
          <w:rFonts w:eastAsia="Calibri"/>
          <w:u w:val="single"/>
        </w:rPr>
        <w:t>Comments in Response to the Federal Register Notice and Efforts to Consult Outside the Agency</w:t>
      </w:r>
    </w:p>
    <w:p w:rsidR="00264314" w:rsidP="000B1FF1" w14:paraId="28D6E60D" w14:textId="77777777">
      <w:pPr>
        <w:rPr>
          <w:rFonts w:eastAsia="Calibri"/>
        </w:rPr>
      </w:pPr>
    </w:p>
    <w:p w:rsidR="000A0FD4" w:rsidRPr="00002933" w:rsidP="000B1FF1" w14:paraId="1446B2F1" w14:textId="65DF7C75">
      <w:pPr>
        <w:rPr>
          <w:rFonts w:eastAsia="Calibri"/>
        </w:rPr>
      </w:pPr>
      <w:r>
        <w:rPr>
          <w:rFonts w:eastAsia="Calibri"/>
        </w:rPr>
        <w:t xml:space="preserve">In the </w:t>
      </w:r>
      <w:r w:rsidRPr="005C0764">
        <w:rPr>
          <w:rFonts w:eastAsia="Calibri"/>
          <w:i/>
          <w:iCs/>
        </w:rPr>
        <w:t>Federal Register</w:t>
      </w:r>
      <w:r>
        <w:rPr>
          <w:rFonts w:eastAsia="Calibri"/>
        </w:rPr>
        <w:t xml:space="preserve"> of </w:t>
      </w:r>
      <w:r w:rsidR="00B90407">
        <w:rPr>
          <w:rFonts w:eastAsia="Calibri"/>
        </w:rPr>
        <w:t>April 1, 2019 (84 FR 12147)</w:t>
      </w:r>
      <w:r>
        <w:rPr>
          <w:rFonts w:eastAsia="Calibri"/>
        </w:rPr>
        <w:t>, FDA published a notice of proposed rulemaking, including an analysis of the proposed information collection.</w:t>
      </w:r>
      <w:r w:rsidR="00242035">
        <w:rPr>
          <w:rFonts w:eastAsia="Calibri"/>
        </w:rPr>
        <w:t xml:space="preserve">  </w:t>
      </w:r>
      <w:r>
        <w:t xml:space="preserve">Our responses to </w:t>
      </w:r>
      <w:r w:rsidRPr="00002933" w:rsidR="00A875CD">
        <w:t xml:space="preserve">comments </w:t>
      </w:r>
      <w:r>
        <w:t xml:space="preserve">are included </w:t>
      </w:r>
      <w:r w:rsidRPr="00002933" w:rsidR="00A875CD">
        <w:t xml:space="preserve">in section V of the final rule, </w:t>
      </w:r>
      <w:r w:rsidRPr="00002933" w:rsidR="00A875CD">
        <w:rPr>
          <w:i/>
          <w:iCs/>
        </w:rPr>
        <w:t>Comments on the Proposed Rule and FDA Response</w:t>
      </w:r>
      <w:r w:rsidRPr="00002933" w:rsidR="00A875CD">
        <w:t xml:space="preserve">. </w:t>
      </w:r>
      <w:r>
        <w:t xml:space="preserve"> </w:t>
      </w:r>
      <w:r w:rsidRPr="00002933" w:rsidR="00A875CD">
        <w:t xml:space="preserve">We have made </w:t>
      </w:r>
      <w:r>
        <w:t xml:space="preserve">no </w:t>
      </w:r>
      <w:r w:rsidRPr="00002933" w:rsidR="00A875CD">
        <w:t xml:space="preserve">changes to the burden </w:t>
      </w:r>
      <w:r>
        <w:t>estimates found in our proposed</w:t>
      </w:r>
      <w:r w:rsidR="00490D0A">
        <w:t xml:space="preserve"> rule</w:t>
      </w:r>
      <w:r>
        <w:t xml:space="preserve"> </w:t>
      </w:r>
      <w:r w:rsidRPr="00002933" w:rsidR="00A875CD">
        <w:t xml:space="preserve">as a result of </w:t>
      </w:r>
      <w:r>
        <w:t xml:space="preserve">public </w:t>
      </w:r>
      <w:r w:rsidRPr="00002933" w:rsidR="00A875CD">
        <w:t>comments</w:t>
      </w:r>
      <w:r>
        <w:t xml:space="preserve"> received</w:t>
      </w:r>
      <w:r w:rsidRPr="00002933" w:rsidR="00A875CD">
        <w:t>.</w:t>
      </w:r>
    </w:p>
    <w:p w:rsidR="00002933" w:rsidRPr="00002933" w:rsidP="000B1FF1" w14:paraId="2447EDE7" w14:textId="07B0EE95">
      <w:pPr>
        <w:rPr>
          <w:rFonts w:eastAsia="Calibri"/>
        </w:rPr>
      </w:pPr>
    </w:p>
    <w:p w:rsidR="00357C8A" w:rsidRPr="00002933" w:rsidP="000B1FF1" w14:paraId="767E812B" w14:textId="77777777">
      <w:pPr>
        <w:keepNext/>
        <w:numPr>
          <w:ilvl w:val="0"/>
          <w:numId w:val="6"/>
        </w:numPr>
        <w:rPr>
          <w:rFonts w:eastAsia="Calibri"/>
        </w:rPr>
      </w:pPr>
      <w:r w:rsidRPr="00002933">
        <w:rPr>
          <w:rFonts w:eastAsia="Calibri"/>
          <w:u w:val="single"/>
        </w:rPr>
        <w:t>Explanation of Any Payment or Gift to Respondents</w:t>
      </w:r>
    </w:p>
    <w:p w:rsidR="00264314" w:rsidP="000B1FF1" w14:paraId="2208D140" w14:textId="77777777">
      <w:pPr>
        <w:rPr>
          <w:rFonts w:eastAsia="Calibri"/>
        </w:rPr>
      </w:pPr>
    </w:p>
    <w:p w:rsidR="00792947" w:rsidP="000B1FF1" w14:paraId="6E2E4F0C" w14:textId="745CAA93">
      <w:pPr>
        <w:rPr>
          <w:rFonts w:eastAsia="Calibri"/>
        </w:rPr>
      </w:pPr>
      <w:r w:rsidRPr="00002933">
        <w:rPr>
          <w:rFonts w:eastAsia="Calibri"/>
        </w:rPr>
        <w:t>There are no incentives, payments or gifts associated with this information collection.</w:t>
      </w:r>
    </w:p>
    <w:p w:rsidR="00002933" w:rsidRPr="00002933" w:rsidP="000B1FF1" w14:paraId="019B6617" w14:textId="77777777">
      <w:pPr>
        <w:rPr>
          <w:rFonts w:eastAsia="Calibri"/>
          <w:i/>
        </w:rPr>
      </w:pPr>
    </w:p>
    <w:p w:rsidR="00357C8A" w:rsidRPr="00002933" w:rsidP="000B1FF1" w14:paraId="41A83508" w14:textId="77777777">
      <w:pPr>
        <w:numPr>
          <w:ilvl w:val="0"/>
          <w:numId w:val="6"/>
        </w:numPr>
        <w:rPr>
          <w:rFonts w:eastAsia="Calibri"/>
        </w:rPr>
      </w:pPr>
      <w:r w:rsidRPr="00002933">
        <w:rPr>
          <w:rFonts w:eastAsia="Calibri"/>
          <w:u w:val="single"/>
        </w:rPr>
        <w:t>Assurance of Confidentiality Provided to Respondents</w:t>
      </w:r>
    </w:p>
    <w:p w:rsidR="00264314" w:rsidP="000B1FF1" w14:paraId="6D48574A" w14:textId="77777777">
      <w:pPr>
        <w:rPr>
          <w:rFonts w:eastAsia="Calibri"/>
        </w:rPr>
      </w:pPr>
    </w:p>
    <w:p w:rsidR="00264314" w:rsidRPr="00242035" w:rsidP="000B1FF1" w14:paraId="1DA28643" w14:textId="77777777">
      <w:pPr>
        <w:rPr>
          <w:rFonts w:eastAsia="Calibri"/>
          <w:i/>
          <w:iCs/>
        </w:rPr>
      </w:pPr>
      <w:r w:rsidRPr="00242035">
        <w:rPr>
          <w:rFonts w:eastAsia="Calibri"/>
          <w:i/>
          <w:iCs/>
        </w:rPr>
        <w:t>The Privacy Act of 1974</w:t>
      </w:r>
    </w:p>
    <w:p w:rsidR="00264314" w:rsidP="000B1FF1" w14:paraId="108CC581" w14:textId="77777777">
      <w:pPr>
        <w:rPr>
          <w:rFonts w:eastAsia="Calibri"/>
        </w:rPr>
      </w:pPr>
    </w:p>
    <w:p w:rsidR="008537E7" w:rsidP="000B1FF1" w14:paraId="0B0DEFD8" w14:textId="3D9065AD">
      <w:pPr>
        <w:rPr>
          <w:rFonts w:eastAsia="Calibri"/>
        </w:rPr>
      </w:pPr>
      <w:r w:rsidRPr="00002933">
        <w:rPr>
          <w:rFonts w:eastAsia="Calibri"/>
        </w:rPr>
        <w:t xml:space="preserve">In preparing this </w:t>
      </w:r>
      <w:r w:rsidR="00264314">
        <w:rPr>
          <w:rFonts w:eastAsia="Calibri"/>
        </w:rPr>
        <w:t>s</w:t>
      </w:r>
      <w:r w:rsidRPr="00002933">
        <w:rPr>
          <w:rFonts w:eastAsia="Calibri"/>
        </w:rPr>
        <w:t xml:space="preserve">upporting </w:t>
      </w:r>
      <w:r w:rsidR="00264314">
        <w:rPr>
          <w:rFonts w:eastAsia="Calibri"/>
        </w:rPr>
        <w:t>s</w:t>
      </w:r>
      <w:r w:rsidRPr="00002933">
        <w:rPr>
          <w:rFonts w:eastAsia="Calibri"/>
        </w:rPr>
        <w:t>tatement, we consulted with our Privacy Office to ensure appropriate handling of information collected.</w:t>
      </w:r>
      <w:r w:rsidR="00264314">
        <w:rPr>
          <w:rFonts w:eastAsia="Calibri"/>
        </w:rPr>
        <w:t xml:space="preserve">  Although the ICR </w:t>
      </w:r>
      <w:r w:rsidRPr="00002933">
        <w:rPr>
          <w:rFonts w:eastAsia="Calibri"/>
        </w:rPr>
        <w:t>collects personally identifiable information (PII)</w:t>
      </w:r>
      <w:r w:rsidR="008B4DA9">
        <w:rPr>
          <w:rFonts w:eastAsia="Calibri"/>
        </w:rPr>
        <w:t xml:space="preserve"> through the utilization of agency forms, </w:t>
      </w:r>
      <w:r w:rsidR="003341F1">
        <w:rPr>
          <w:rFonts w:eastAsia="Calibri"/>
        </w:rPr>
        <w:t xml:space="preserve">as </w:t>
      </w:r>
      <w:r w:rsidR="008B4DA9">
        <w:rPr>
          <w:rFonts w:eastAsia="Calibri"/>
        </w:rPr>
        <w:t>listed in Q-3 above</w:t>
      </w:r>
      <w:r w:rsidR="00225E5E">
        <w:rPr>
          <w:rFonts w:eastAsia="Calibri"/>
        </w:rPr>
        <w:t>, the data elements are</w:t>
      </w:r>
      <w:r w:rsidR="00264314">
        <w:rPr>
          <w:rFonts w:eastAsia="Calibri"/>
        </w:rPr>
        <w:t xml:space="preserve"> </w:t>
      </w:r>
      <w:r w:rsidRPr="00002933">
        <w:rPr>
          <w:rFonts w:eastAsia="Calibri"/>
        </w:rPr>
        <w:t xml:space="preserve">collected for business contact purposes only.  </w:t>
      </w:r>
      <w:r w:rsidR="004C1A14">
        <w:rPr>
          <w:rFonts w:eastAsia="Calibri"/>
        </w:rPr>
        <w:t xml:space="preserve">We have determined that the </w:t>
      </w:r>
      <w:r w:rsidRPr="00002933">
        <w:rPr>
          <w:rFonts w:eastAsia="Calibri"/>
        </w:rPr>
        <w:t xml:space="preserve">PII submitted </w:t>
      </w:r>
      <w:r w:rsidR="004C1A14">
        <w:rPr>
          <w:rFonts w:eastAsia="Calibri"/>
        </w:rPr>
        <w:t xml:space="preserve">through </w:t>
      </w:r>
      <w:r w:rsidRPr="00002933">
        <w:rPr>
          <w:rFonts w:eastAsia="Calibri"/>
        </w:rPr>
        <w:t xml:space="preserve">each </w:t>
      </w:r>
      <w:r w:rsidR="004C1A14">
        <w:rPr>
          <w:rFonts w:eastAsia="Calibri"/>
        </w:rPr>
        <w:t xml:space="preserve">of the respective forms is </w:t>
      </w:r>
      <w:r w:rsidRPr="00652821">
        <w:rPr>
          <w:rFonts w:eastAsia="Calibri"/>
        </w:rPr>
        <w:t xml:space="preserve">not subject to the Privacy Act of 1974 and the particular notice and other requirements of the </w:t>
      </w:r>
      <w:r w:rsidR="00743D39">
        <w:rPr>
          <w:rFonts w:eastAsia="Calibri"/>
        </w:rPr>
        <w:t xml:space="preserve">Privacy </w:t>
      </w:r>
      <w:r w:rsidRPr="00652821">
        <w:rPr>
          <w:rFonts w:eastAsia="Calibri"/>
        </w:rPr>
        <w:t>Act do not apply.</w:t>
      </w:r>
      <w:r w:rsidR="00FA1A53">
        <w:rPr>
          <w:rFonts w:eastAsia="Calibri"/>
        </w:rPr>
        <w:t xml:space="preserve">  </w:t>
      </w:r>
      <w:r w:rsidRPr="00652821">
        <w:rPr>
          <w:rFonts w:eastAsia="Calibri"/>
        </w:rPr>
        <w:t>Specifically, FDA does not use name or any other personal identifier to retrieve records from the information collected.  FDA also minimize</w:t>
      </w:r>
      <w:r w:rsidR="00FA1A53">
        <w:rPr>
          <w:rFonts w:eastAsia="Calibri"/>
        </w:rPr>
        <w:t xml:space="preserve">s </w:t>
      </w:r>
      <w:r w:rsidRPr="00652821">
        <w:rPr>
          <w:rFonts w:eastAsia="Calibri"/>
        </w:rPr>
        <w:t xml:space="preserve">the PII to be collected to protect the privacy of the individuals. </w:t>
      </w:r>
    </w:p>
    <w:p w:rsidR="00743D39" w:rsidP="000B1FF1" w14:paraId="26162D07" w14:textId="3BCA1E57">
      <w:pPr>
        <w:rPr>
          <w:rFonts w:eastAsia="Calibri"/>
        </w:rPr>
      </w:pPr>
    </w:p>
    <w:p w:rsidR="00743D39" w:rsidRPr="00A27101" w:rsidP="000B1FF1" w14:paraId="53FABD4E" w14:textId="1DB2C4F3">
      <w:pPr>
        <w:rPr>
          <w:rFonts w:eastAsia="Calibri"/>
          <w:i/>
          <w:iCs/>
        </w:rPr>
      </w:pPr>
      <w:r w:rsidRPr="00A27101">
        <w:rPr>
          <w:rFonts w:eastAsia="Calibri"/>
          <w:i/>
          <w:iCs/>
        </w:rPr>
        <w:t>Freedom of Information Act (FOIA)</w:t>
      </w:r>
    </w:p>
    <w:p w:rsidR="008537E7" w:rsidRPr="00652821" w:rsidP="000B1FF1" w14:paraId="30B6F01C" w14:textId="77777777">
      <w:pPr>
        <w:rPr>
          <w:rFonts w:eastAsia="Calibri"/>
        </w:rPr>
      </w:pPr>
      <w:r w:rsidRPr="00652821">
        <w:rPr>
          <w:rFonts w:eastAsia="Calibri"/>
        </w:rPr>
        <w:t xml:space="preserve"> </w:t>
      </w:r>
    </w:p>
    <w:p w:rsidR="00357C8A" w:rsidRPr="00652821" w:rsidP="000B1FF1" w14:paraId="75263650" w14:textId="6E3A58A5">
      <w:pPr>
        <w:rPr>
          <w:rFonts w:eastAsia="Calibri"/>
          <w:color w:val="FF0000"/>
        </w:rPr>
      </w:pPr>
      <w:r w:rsidRPr="00652821">
        <w:rPr>
          <w:rFonts w:eastAsia="Calibri"/>
        </w:rPr>
        <w:t xml:space="preserve">Section 537 of the FD&amp;C Act states that the Secretary shall not disclose any information which contains or relates to a trade secret or other matter referred to in section 1905 of Title 18 of the United States Code.  Information provided under this collection is handled in a manner to comply with this requirement and the FDA regulations implementing the Freedom of Information Act, 21 CFR part 20. </w:t>
      </w:r>
      <w:r w:rsidR="00743D39">
        <w:rPr>
          <w:rFonts w:eastAsia="Calibri"/>
        </w:rPr>
        <w:t xml:space="preserve"> </w:t>
      </w:r>
      <w:r w:rsidRPr="00652821">
        <w:rPr>
          <w:rFonts w:eastAsia="Calibri"/>
        </w:rPr>
        <w:t>All information provided will be protected from inappropriate disclosure.</w:t>
      </w:r>
    </w:p>
    <w:p w:rsidR="001075D3" w:rsidRPr="00652821" w:rsidP="000B1FF1" w14:paraId="55FE9A97" w14:textId="77777777">
      <w:pPr>
        <w:ind w:left="720"/>
      </w:pPr>
    </w:p>
    <w:p w:rsidR="00357C8A" w:rsidRPr="00002933" w:rsidP="000B1FF1" w14:paraId="237D72B1" w14:textId="354869DF">
      <w:pPr>
        <w:numPr>
          <w:ilvl w:val="0"/>
          <w:numId w:val="6"/>
        </w:numPr>
        <w:rPr>
          <w:rFonts w:eastAsia="Calibri"/>
        </w:rPr>
      </w:pPr>
      <w:r w:rsidRPr="00002933">
        <w:rPr>
          <w:rFonts w:eastAsia="Calibri"/>
          <w:u w:val="single"/>
        </w:rPr>
        <w:t>Justification for Sensitive Questions</w:t>
      </w:r>
    </w:p>
    <w:p w:rsidR="00743D39" w:rsidP="000B1FF1" w14:paraId="55474880" w14:textId="77777777">
      <w:pPr>
        <w:rPr>
          <w:rFonts w:eastAsia="Calibri"/>
          <w:iCs/>
        </w:rPr>
      </w:pPr>
    </w:p>
    <w:p w:rsidR="00A84225" w:rsidP="000B1FF1" w14:paraId="1EA5AFFE" w14:textId="4F679EE3">
      <w:pPr>
        <w:rPr>
          <w:rFonts w:eastAsia="Calibri"/>
          <w:iCs/>
        </w:rPr>
      </w:pPr>
      <w:r w:rsidRPr="00002933">
        <w:rPr>
          <w:rFonts w:eastAsia="Calibri"/>
          <w:iCs/>
        </w:rPr>
        <w:t>The collection of information does not involve sensitive questions.</w:t>
      </w:r>
    </w:p>
    <w:p w:rsidR="00002933" w:rsidRPr="00002933" w:rsidP="000B1FF1" w14:paraId="555D65E2" w14:textId="77777777">
      <w:pPr>
        <w:rPr>
          <w:rFonts w:eastAsia="Calibri"/>
          <w:iCs/>
          <w:color w:val="FF0000"/>
        </w:rPr>
      </w:pPr>
    </w:p>
    <w:p w:rsidR="00357C8A" w:rsidRPr="00002933" w:rsidP="000B1FF1" w14:paraId="7B1A7B4B" w14:textId="77777777">
      <w:pPr>
        <w:numPr>
          <w:ilvl w:val="0"/>
          <w:numId w:val="6"/>
        </w:numPr>
        <w:rPr>
          <w:rFonts w:eastAsia="Calibri"/>
          <w:u w:val="single"/>
        </w:rPr>
      </w:pPr>
      <w:r w:rsidRPr="00002933">
        <w:rPr>
          <w:rFonts w:eastAsia="Calibri"/>
          <w:u w:val="single"/>
        </w:rPr>
        <w:t>Estimates of Annualized Burden Hours and Cost</w:t>
      </w:r>
    </w:p>
    <w:p w:rsidR="00002933" w:rsidP="000B1FF1" w14:paraId="41F8F78A" w14:textId="77777777">
      <w:pPr>
        <w:ind w:left="360"/>
        <w:rPr>
          <w:rFonts w:eastAsia="Calibri"/>
        </w:rPr>
      </w:pPr>
    </w:p>
    <w:p w:rsidR="00357C8A" w:rsidRPr="00A27101" w:rsidP="000B1FF1" w14:paraId="073D3663" w14:textId="77777777">
      <w:pPr>
        <w:ind w:left="360"/>
        <w:rPr>
          <w:rFonts w:eastAsia="Calibri"/>
          <w:i/>
          <w:iCs/>
        </w:rPr>
      </w:pPr>
      <w:r w:rsidRPr="00A27101">
        <w:rPr>
          <w:rFonts w:eastAsia="Calibri"/>
          <w:i/>
          <w:iCs/>
        </w:rPr>
        <w:t>12a.  Annualized Hour Burden Estimate</w:t>
      </w:r>
    </w:p>
    <w:p w:rsidR="00856EAB" w:rsidP="00253694" w14:paraId="4176107D" w14:textId="77777777">
      <w:pPr>
        <w:rPr>
          <w:rFonts w:eastAsia="Calibri"/>
        </w:rPr>
      </w:pPr>
    </w:p>
    <w:p w:rsidR="00002933" w:rsidP="00253694" w14:paraId="0BD87067" w14:textId="52EF4D51">
      <w:pPr>
        <w:rPr>
          <w:rFonts w:eastAsia="Calibri"/>
        </w:rPr>
      </w:pPr>
      <w:r w:rsidRPr="00002933">
        <w:rPr>
          <w:rFonts w:eastAsia="Calibri"/>
        </w:rPr>
        <w:t xml:space="preserve">Respondents to this collection of information are electronic product manufacturers, importers, and assemblers.  </w:t>
      </w:r>
    </w:p>
    <w:p w:rsidR="00357C8A" w:rsidRPr="00002933" w:rsidP="000B1FF1" w14:paraId="095CD4FF" w14:textId="77777777">
      <w:pPr>
        <w:ind w:left="360"/>
        <w:rPr>
          <w:rFonts w:eastAsia="Calibri"/>
        </w:rPr>
      </w:pPr>
      <w:r w:rsidRPr="00002933">
        <w:rPr>
          <w:rFonts w:eastAsia="Calibr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621"/>
        <w:gridCol w:w="1529"/>
        <w:gridCol w:w="1350"/>
        <w:gridCol w:w="1080"/>
        <w:gridCol w:w="1080"/>
        <w:gridCol w:w="990"/>
      </w:tblGrid>
      <w:tr w14:paraId="18F7C89E" w14:textId="77777777" w:rsidTr="00BE2C3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jc w:val="center"/>
        </w:trPr>
        <w:tc>
          <w:tcPr>
            <w:tcW w:w="5000" w:type="pct"/>
            <w:gridSpan w:val="7"/>
            <w:tcBorders>
              <w:top w:val="nil"/>
              <w:left w:val="nil"/>
              <w:right w:val="nil"/>
            </w:tcBorders>
          </w:tcPr>
          <w:p w:rsidR="00A84225" w:rsidRPr="00F62BEF" w:rsidP="000B1FF1" w14:paraId="4963E93E" w14:textId="2743E200">
            <w:pPr>
              <w:keepNext/>
              <w:jc w:val="center"/>
              <w:rPr>
                <w:sz w:val="20"/>
                <w:szCs w:val="20"/>
              </w:rPr>
            </w:pPr>
            <w:r w:rsidRPr="00F62BEF">
              <w:rPr>
                <w:sz w:val="20"/>
                <w:szCs w:val="20"/>
              </w:rPr>
              <w:t xml:space="preserve">Table </w:t>
            </w:r>
            <w:r w:rsidRPr="00F62BEF" w:rsidR="00856EAB">
              <w:rPr>
                <w:sz w:val="20"/>
                <w:szCs w:val="20"/>
              </w:rPr>
              <w:t>2</w:t>
            </w:r>
            <w:r w:rsidRPr="00F62BEF">
              <w:rPr>
                <w:sz w:val="20"/>
                <w:szCs w:val="20"/>
              </w:rPr>
              <w:t>.--Estimated Annual Reporting Burden</w:t>
            </w:r>
            <w:r w:rsidRPr="00F62BEF" w:rsidR="0008681D">
              <w:rPr>
                <w:sz w:val="20"/>
                <w:szCs w:val="20"/>
                <w:vertAlign w:val="superscript"/>
              </w:rPr>
              <w:t>1</w:t>
            </w:r>
          </w:p>
        </w:tc>
      </w:tr>
      <w:tr w14:paraId="4CE128D7" w14:textId="77777777" w:rsidTr="00E50E6A">
        <w:tblPrEx>
          <w:tblW w:w="5000" w:type="pct"/>
          <w:jc w:val="center"/>
          <w:tblLayout w:type="fixed"/>
          <w:tblLook w:val="01E0"/>
        </w:tblPrEx>
        <w:trPr>
          <w:cantSplit/>
          <w:trHeight w:val="20"/>
          <w:tblHeader/>
          <w:jc w:val="center"/>
        </w:trPr>
        <w:tc>
          <w:tcPr>
            <w:tcW w:w="913" w:type="pct"/>
            <w:shd w:val="clear" w:color="auto" w:fill="auto"/>
          </w:tcPr>
          <w:p w:rsidR="00A84225" w:rsidRPr="00F62BEF" w:rsidP="000B1FF1" w14:paraId="74D807BF" w14:textId="77777777">
            <w:pPr>
              <w:keepNext/>
              <w:jc w:val="center"/>
              <w:rPr>
                <w:sz w:val="20"/>
                <w:szCs w:val="20"/>
              </w:rPr>
            </w:pPr>
            <w:r w:rsidRPr="00F62BEF">
              <w:rPr>
                <w:sz w:val="20"/>
                <w:szCs w:val="20"/>
              </w:rPr>
              <w:t>Activity/ 21 CFR Section</w:t>
            </w:r>
          </w:p>
        </w:tc>
        <w:tc>
          <w:tcPr>
            <w:tcW w:w="866" w:type="pct"/>
          </w:tcPr>
          <w:p w:rsidR="00A84225" w:rsidRPr="00F62BEF" w:rsidP="000B1FF1" w14:paraId="1EAE2CFD" w14:textId="77777777">
            <w:pPr>
              <w:keepNext/>
              <w:jc w:val="center"/>
              <w:rPr>
                <w:sz w:val="20"/>
                <w:szCs w:val="20"/>
              </w:rPr>
            </w:pPr>
            <w:r w:rsidRPr="00F62BEF">
              <w:rPr>
                <w:sz w:val="20"/>
                <w:szCs w:val="20"/>
              </w:rPr>
              <w:t>FDA Form</w:t>
            </w:r>
          </w:p>
        </w:tc>
        <w:tc>
          <w:tcPr>
            <w:tcW w:w="817" w:type="pct"/>
            <w:shd w:val="clear" w:color="auto" w:fill="auto"/>
          </w:tcPr>
          <w:p w:rsidR="00A84225" w:rsidRPr="00F62BEF" w:rsidP="000B1FF1" w14:paraId="1B00B077" w14:textId="77777777">
            <w:pPr>
              <w:keepNext/>
              <w:jc w:val="center"/>
              <w:rPr>
                <w:sz w:val="20"/>
                <w:szCs w:val="20"/>
              </w:rPr>
            </w:pPr>
            <w:r w:rsidRPr="00F62BEF">
              <w:rPr>
                <w:sz w:val="20"/>
                <w:szCs w:val="20"/>
              </w:rPr>
              <w:t>No. of Respondents</w:t>
            </w:r>
          </w:p>
        </w:tc>
        <w:tc>
          <w:tcPr>
            <w:tcW w:w="721" w:type="pct"/>
            <w:shd w:val="clear" w:color="auto" w:fill="auto"/>
          </w:tcPr>
          <w:p w:rsidR="00A84225" w:rsidRPr="00F62BEF" w:rsidP="000B1FF1" w14:paraId="047E94CF" w14:textId="77777777">
            <w:pPr>
              <w:keepNext/>
              <w:jc w:val="center"/>
              <w:rPr>
                <w:sz w:val="20"/>
                <w:szCs w:val="20"/>
              </w:rPr>
            </w:pPr>
            <w:r w:rsidRPr="00F62BEF">
              <w:rPr>
                <w:bCs/>
                <w:sz w:val="20"/>
                <w:szCs w:val="20"/>
              </w:rPr>
              <w:t>No. of Responses per Respondent</w:t>
            </w:r>
          </w:p>
        </w:tc>
        <w:tc>
          <w:tcPr>
            <w:tcW w:w="577" w:type="pct"/>
            <w:shd w:val="clear" w:color="auto" w:fill="auto"/>
          </w:tcPr>
          <w:p w:rsidR="00A84225" w:rsidRPr="00F62BEF" w:rsidP="000B1FF1" w14:paraId="071F78EF" w14:textId="77777777">
            <w:pPr>
              <w:keepNext/>
              <w:jc w:val="center"/>
              <w:rPr>
                <w:sz w:val="20"/>
                <w:szCs w:val="20"/>
              </w:rPr>
            </w:pPr>
            <w:r w:rsidRPr="00F62BEF">
              <w:rPr>
                <w:sz w:val="20"/>
                <w:szCs w:val="20"/>
              </w:rPr>
              <w:t>Total Annual Responses</w:t>
            </w:r>
          </w:p>
        </w:tc>
        <w:tc>
          <w:tcPr>
            <w:tcW w:w="577" w:type="pct"/>
            <w:shd w:val="clear" w:color="auto" w:fill="auto"/>
          </w:tcPr>
          <w:p w:rsidR="00A84225" w:rsidRPr="00F62BEF" w:rsidP="000B1FF1" w14:paraId="5D6F10FC" w14:textId="77777777">
            <w:pPr>
              <w:keepNext/>
              <w:jc w:val="center"/>
              <w:rPr>
                <w:sz w:val="20"/>
                <w:szCs w:val="20"/>
              </w:rPr>
            </w:pPr>
            <w:r w:rsidRPr="00F62BEF">
              <w:rPr>
                <w:bCs/>
                <w:sz w:val="20"/>
                <w:szCs w:val="20"/>
              </w:rPr>
              <w:t>Average Burden per Response</w:t>
            </w:r>
          </w:p>
        </w:tc>
        <w:tc>
          <w:tcPr>
            <w:tcW w:w="529" w:type="pct"/>
            <w:shd w:val="clear" w:color="auto" w:fill="auto"/>
          </w:tcPr>
          <w:p w:rsidR="00A84225" w:rsidRPr="00F62BEF" w:rsidP="000B1FF1" w14:paraId="08EB7B2D" w14:textId="77777777">
            <w:pPr>
              <w:keepNext/>
              <w:jc w:val="center"/>
              <w:rPr>
                <w:sz w:val="20"/>
                <w:szCs w:val="20"/>
              </w:rPr>
            </w:pPr>
            <w:r w:rsidRPr="00F62BEF">
              <w:rPr>
                <w:sz w:val="20"/>
                <w:szCs w:val="20"/>
              </w:rPr>
              <w:t>Total Hours</w:t>
            </w:r>
          </w:p>
        </w:tc>
      </w:tr>
      <w:tr w14:paraId="70CA904E"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74E8A27C" w14:textId="77777777">
            <w:pPr>
              <w:rPr>
                <w:sz w:val="20"/>
                <w:szCs w:val="20"/>
              </w:rPr>
            </w:pPr>
            <w:r w:rsidRPr="00F62BEF">
              <w:rPr>
                <w:sz w:val="20"/>
                <w:szCs w:val="20"/>
              </w:rPr>
              <w:t>Product reports—1002.10(a)-(k)</w:t>
            </w:r>
          </w:p>
        </w:tc>
        <w:tc>
          <w:tcPr>
            <w:tcW w:w="866" w:type="pct"/>
          </w:tcPr>
          <w:p w:rsidR="00A84225" w:rsidRPr="00F62BEF" w:rsidP="000B1FF1" w14:paraId="1BAE5BD8" w14:textId="77777777">
            <w:pPr>
              <w:rPr>
                <w:sz w:val="20"/>
                <w:szCs w:val="20"/>
              </w:rPr>
            </w:pPr>
            <w:r w:rsidRPr="00F62BEF">
              <w:rPr>
                <w:sz w:val="20"/>
                <w:szCs w:val="20"/>
              </w:rPr>
              <w:t>3639—Cabinet x-ray</w:t>
            </w:r>
          </w:p>
          <w:p w:rsidR="00A84225" w:rsidRPr="00F62BEF" w:rsidP="000B1FF1" w14:paraId="0B063D6C" w14:textId="77777777">
            <w:pPr>
              <w:rPr>
                <w:sz w:val="20"/>
                <w:szCs w:val="20"/>
              </w:rPr>
            </w:pPr>
            <w:r w:rsidRPr="00F62BEF">
              <w:rPr>
                <w:sz w:val="20"/>
                <w:szCs w:val="20"/>
              </w:rPr>
              <w:t>3632—Laser</w:t>
            </w:r>
          </w:p>
          <w:p w:rsidR="00A84225" w:rsidRPr="00F62BEF" w:rsidP="000B1FF1" w14:paraId="096F0472" w14:textId="77777777">
            <w:pPr>
              <w:rPr>
                <w:sz w:val="20"/>
                <w:szCs w:val="20"/>
              </w:rPr>
            </w:pPr>
            <w:r w:rsidRPr="00F62BEF">
              <w:rPr>
                <w:sz w:val="20"/>
                <w:szCs w:val="20"/>
              </w:rPr>
              <w:t>3640—Laser light show</w:t>
            </w:r>
          </w:p>
          <w:p w:rsidR="00A84225" w:rsidRPr="00F62BEF" w:rsidP="000B1FF1" w14:paraId="030A4356" w14:textId="77777777">
            <w:pPr>
              <w:rPr>
                <w:sz w:val="20"/>
                <w:szCs w:val="20"/>
              </w:rPr>
            </w:pPr>
            <w:r w:rsidRPr="00F62BEF">
              <w:rPr>
                <w:sz w:val="20"/>
                <w:szCs w:val="20"/>
              </w:rPr>
              <w:t>3630—Sunlamp</w:t>
            </w:r>
          </w:p>
          <w:p w:rsidR="00A84225" w:rsidRPr="00F62BEF" w:rsidP="000B1FF1" w14:paraId="3BC5FD61" w14:textId="77777777">
            <w:pPr>
              <w:rPr>
                <w:sz w:val="20"/>
                <w:szCs w:val="20"/>
              </w:rPr>
            </w:pPr>
            <w:r w:rsidRPr="00F62BEF">
              <w:rPr>
                <w:sz w:val="20"/>
                <w:szCs w:val="20"/>
              </w:rPr>
              <w:t>3659—TV</w:t>
            </w:r>
          </w:p>
          <w:p w:rsidR="00A84225" w:rsidRPr="00F62BEF" w:rsidP="000B1FF1" w14:paraId="3596427D" w14:textId="77777777">
            <w:pPr>
              <w:rPr>
                <w:sz w:val="20"/>
                <w:szCs w:val="20"/>
              </w:rPr>
            </w:pPr>
            <w:r w:rsidRPr="00F62BEF">
              <w:rPr>
                <w:sz w:val="20"/>
                <w:szCs w:val="20"/>
              </w:rPr>
              <w:t>3660—Microwave oven</w:t>
            </w:r>
          </w:p>
          <w:p w:rsidR="00A84225" w:rsidRPr="00F62BEF" w:rsidP="000B1FF1" w14:paraId="6081947E" w14:textId="77777777">
            <w:pPr>
              <w:rPr>
                <w:sz w:val="20"/>
                <w:szCs w:val="20"/>
              </w:rPr>
            </w:pPr>
            <w:r w:rsidRPr="00F62BEF">
              <w:rPr>
                <w:sz w:val="20"/>
                <w:szCs w:val="20"/>
              </w:rPr>
              <w:t>3801—UV lamps</w:t>
            </w:r>
          </w:p>
        </w:tc>
        <w:tc>
          <w:tcPr>
            <w:tcW w:w="817" w:type="pct"/>
            <w:shd w:val="clear" w:color="auto" w:fill="auto"/>
          </w:tcPr>
          <w:p w:rsidR="00A84225" w:rsidRPr="00F62BEF" w:rsidP="000B1FF1" w14:paraId="662A92DE" w14:textId="77777777">
            <w:pPr>
              <w:jc w:val="right"/>
              <w:rPr>
                <w:sz w:val="20"/>
                <w:szCs w:val="20"/>
              </w:rPr>
            </w:pPr>
            <w:r w:rsidRPr="00F62BEF">
              <w:rPr>
                <w:sz w:val="20"/>
                <w:szCs w:val="20"/>
              </w:rPr>
              <w:t>1,149</w:t>
            </w:r>
          </w:p>
        </w:tc>
        <w:tc>
          <w:tcPr>
            <w:tcW w:w="721" w:type="pct"/>
            <w:shd w:val="clear" w:color="auto" w:fill="auto"/>
          </w:tcPr>
          <w:p w:rsidR="00A84225" w:rsidRPr="00F62BEF" w:rsidP="000B1FF1" w14:paraId="0A513A79" w14:textId="77777777">
            <w:pPr>
              <w:jc w:val="right"/>
              <w:rPr>
                <w:sz w:val="20"/>
                <w:szCs w:val="20"/>
              </w:rPr>
            </w:pPr>
            <w:r w:rsidRPr="00F62BEF">
              <w:rPr>
                <w:sz w:val="20"/>
                <w:szCs w:val="20"/>
              </w:rPr>
              <w:t>2.2</w:t>
            </w:r>
          </w:p>
        </w:tc>
        <w:tc>
          <w:tcPr>
            <w:tcW w:w="577" w:type="pct"/>
            <w:shd w:val="clear" w:color="auto" w:fill="auto"/>
          </w:tcPr>
          <w:p w:rsidR="00A84225" w:rsidRPr="00F62BEF" w:rsidP="000B1FF1" w14:paraId="693CF60B" w14:textId="77777777">
            <w:pPr>
              <w:jc w:val="right"/>
              <w:rPr>
                <w:sz w:val="20"/>
                <w:szCs w:val="20"/>
              </w:rPr>
            </w:pPr>
            <w:r w:rsidRPr="00F62BEF">
              <w:rPr>
                <w:sz w:val="20"/>
                <w:szCs w:val="20"/>
              </w:rPr>
              <w:t>2,529</w:t>
            </w:r>
          </w:p>
        </w:tc>
        <w:tc>
          <w:tcPr>
            <w:tcW w:w="577" w:type="pct"/>
            <w:shd w:val="clear" w:color="auto" w:fill="auto"/>
          </w:tcPr>
          <w:p w:rsidR="00A84225" w:rsidRPr="00F62BEF" w:rsidP="000B1FF1" w14:paraId="62B7E5C7" w14:textId="77777777">
            <w:pPr>
              <w:jc w:val="right"/>
              <w:rPr>
                <w:sz w:val="20"/>
                <w:szCs w:val="20"/>
              </w:rPr>
            </w:pPr>
            <w:r w:rsidRPr="00F62BEF">
              <w:rPr>
                <w:sz w:val="20"/>
                <w:szCs w:val="20"/>
              </w:rPr>
              <w:t>24</w:t>
            </w:r>
          </w:p>
        </w:tc>
        <w:tc>
          <w:tcPr>
            <w:tcW w:w="529" w:type="pct"/>
            <w:shd w:val="clear" w:color="auto" w:fill="auto"/>
          </w:tcPr>
          <w:p w:rsidR="00A84225" w:rsidRPr="00F62BEF" w:rsidP="000B1FF1" w14:paraId="43F6DEB5" w14:textId="77777777">
            <w:pPr>
              <w:jc w:val="right"/>
              <w:rPr>
                <w:sz w:val="20"/>
                <w:szCs w:val="20"/>
              </w:rPr>
            </w:pPr>
            <w:r w:rsidRPr="00F62BEF">
              <w:rPr>
                <w:sz w:val="20"/>
                <w:szCs w:val="20"/>
              </w:rPr>
              <w:t>60,685</w:t>
            </w:r>
          </w:p>
        </w:tc>
      </w:tr>
      <w:tr w14:paraId="669754A5"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260EF646" w14:textId="77777777">
            <w:pPr>
              <w:rPr>
                <w:sz w:val="20"/>
                <w:szCs w:val="20"/>
              </w:rPr>
            </w:pPr>
            <w:r w:rsidRPr="00F62BEF">
              <w:rPr>
                <w:sz w:val="20"/>
                <w:szCs w:val="20"/>
              </w:rPr>
              <w:t>Supplemental reports</w:t>
            </w:r>
            <w:r w:rsidRPr="00F62BEF">
              <w:rPr>
                <w:sz w:val="20"/>
                <w:szCs w:val="20"/>
              </w:rPr>
              <w:t>—1002.11(a)-(b)</w:t>
            </w:r>
          </w:p>
        </w:tc>
        <w:tc>
          <w:tcPr>
            <w:tcW w:w="866" w:type="pct"/>
          </w:tcPr>
          <w:p w:rsidR="00A84225" w:rsidRPr="00F62BEF" w:rsidP="000B1FF1" w14:paraId="270AB1AD" w14:textId="77777777">
            <w:pPr>
              <w:rPr>
                <w:sz w:val="20"/>
                <w:szCs w:val="20"/>
              </w:rPr>
            </w:pPr>
          </w:p>
        </w:tc>
        <w:tc>
          <w:tcPr>
            <w:tcW w:w="817" w:type="pct"/>
            <w:shd w:val="clear" w:color="auto" w:fill="auto"/>
          </w:tcPr>
          <w:p w:rsidR="00A84225" w:rsidRPr="00F62BEF" w:rsidP="000B1FF1" w14:paraId="604EEFF2" w14:textId="77777777">
            <w:pPr>
              <w:jc w:val="right"/>
              <w:rPr>
                <w:sz w:val="20"/>
                <w:szCs w:val="20"/>
              </w:rPr>
            </w:pPr>
            <w:r w:rsidRPr="00F62BEF">
              <w:rPr>
                <w:sz w:val="20"/>
                <w:szCs w:val="20"/>
              </w:rPr>
              <w:t>440</w:t>
            </w:r>
          </w:p>
        </w:tc>
        <w:tc>
          <w:tcPr>
            <w:tcW w:w="721" w:type="pct"/>
            <w:shd w:val="clear" w:color="auto" w:fill="auto"/>
          </w:tcPr>
          <w:p w:rsidR="00A84225" w:rsidRPr="00F62BEF" w:rsidP="000B1FF1" w14:paraId="4F57F64C" w14:textId="77777777">
            <w:pPr>
              <w:jc w:val="right"/>
              <w:rPr>
                <w:sz w:val="20"/>
                <w:szCs w:val="20"/>
              </w:rPr>
            </w:pPr>
            <w:r w:rsidRPr="00F62BEF">
              <w:rPr>
                <w:sz w:val="20"/>
                <w:szCs w:val="20"/>
              </w:rPr>
              <w:t>2.5</w:t>
            </w:r>
          </w:p>
        </w:tc>
        <w:tc>
          <w:tcPr>
            <w:tcW w:w="577" w:type="pct"/>
            <w:shd w:val="clear" w:color="auto" w:fill="auto"/>
          </w:tcPr>
          <w:p w:rsidR="00A84225" w:rsidRPr="00F62BEF" w:rsidP="000B1FF1" w14:paraId="7C90A436" w14:textId="77777777">
            <w:pPr>
              <w:jc w:val="right"/>
              <w:rPr>
                <w:sz w:val="20"/>
                <w:szCs w:val="20"/>
              </w:rPr>
            </w:pPr>
            <w:r w:rsidRPr="00F62BEF">
              <w:rPr>
                <w:sz w:val="20"/>
                <w:szCs w:val="20"/>
              </w:rPr>
              <w:t>1,100</w:t>
            </w:r>
          </w:p>
        </w:tc>
        <w:tc>
          <w:tcPr>
            <w:tcW w:w="577" w:type="pct"/>
            <w:shd w:val="clear" w:color="auto" w:fill="auto"/>
          </w:tcPr>
          <w:p w:rsidR="00A84225" w:rsidRPr="00F62BEF" w:rsidP="000B1FF1" w14:paraId="53F8AD51" w14:textId="77777777">
            <w:pPr>
              <w:jc w:val="right"/>
              <w:rPr>
                <w:sz w:val="20"/>
                <w:szCs w:val="20"/>
              </w:rPr>
            </w:pPr>
            <w:r w:rsidRPr="00F62BEF">
              <w:rPr>
                <w:sz w:val="20"/>
                <w:szCs w:val="20"/>
              </w:rPr>
              <w:t>0.5</w:t>
            </w:r>
          </w:p>
          <w:p w:rsidR="0008681D" w:rsidRPr="00F62BEF" w:rsidP="000B1FF1" w14:paraId="061DE674" w14:textId="77777777">
            <w:pPr>
              <w:jc w:val="right"/>
              <w:rPr>
                <w:sz w:val="20"/>
                <w:szCs w:val="20"/>
              </w:rPr>
            </w:pPr>
            <w:r w:rsidRPr="00F62BEF">
              <w:rPr>
                <w:sz w:val="20"/>
                <w:szCs w:val="20"/>
              </w:rPr>
              <w:t>(30 minutes)</w:t>
            </w:r>
          </w:p>
        </w:tc>
        <w:tc>
          <w:tcPr>
            <w:tcW w:w="529" w:type="pct"/>
            <w:shd w:val="clear" w:color="auto" w:fill="auto"/>
          </w:tcPr>
          <w:p w:rsidR="00A84225" w:rsidRPr="00F62BEF" w:rsidP="000B1FF1" w14:paraId="441EA471" w14:textId="77777777">
            <w:pPr>
              <w:jc w:val="right"/>
              <w:rPr>
                <w:sz w:val="20"/>
                <w:szCs w:val="20"/>
              </w:rPr>
            </w:pPr>
            <w:r w:rsidRPr="00F62BEF">
              <w:rPr>
                <w:sz w:val="20"/>
                <w:szCs w:val="20"/>
              </w:rPr>
              <w:t>550</w:t>
            </w:r>
          </w:p>
        </w:tc>
      </w:tr>
      <w:tr w14:paraId="3BD6CDF4"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569736BA" w14:textId="77777777">
            <w:pPr>
              <w:rPr>
                <w:sz w:val="20"/>
                <w:szCs w:val="20"/>
              </w:rPr>
            </w:pPr>
            <w:r w:rsidRPr="00F62BEF">
              <w:rPr>
                <w:sz w:val="20"/>
                <w:szCs w:val="20"/>
              </w:rPr>
              <w:t>Abbreviated reports—1002.12</w:t>
            </w:r>
          </w:p>
        </w:tc>
        <w:tc>
          <w:tcPr>
            <w:tcW w:w="866" w:type="pct"/>
          </w:tcPr>
          <w:p w:rsidR="00A84225" w:rsidRPr="00F62BEF" w:rsidP="000B1FF1" w14:paraId="021B4FEC" w14:textId="77777777">
            <w:pPr>
              <w:rPr>
                <w:sz w:val="20"/>
                <w:szCs w:val="20"/>
              </w:rPr>
            </w:pPr>
            <w:r w:rsidRPr="00F62BEF">
              <w:rPr>
                <w:sz w:val="20"/>
                <w:szCs w:val="20"/>
              </w:rPr>
              <w:t>3629—General abbreviated report</w:t>
            </w:r>
          </w:p>
          <w:p w:rsidR="00A84225" w:rsidRPr="00F62BEF" w:rsidP="000B1FF1" w14:paraId="6CD5B5BF" w14:textId="77777777">
            <w:pPr>
              <w:rPr>
                <w:sz w:val="20"/>
                <w:szCs w:val="20"/>
              </w:rPr>
            </w:pPr>
            <w:r w:rsidRPr="00F62BEF">
              <w:rPr>
                <w:sz w:val="20"/>
                <w:szCs w:val="20"/>
              </w:rPr>
              <w:t xml:space="preserve">3646—Mercury vapor lamp </w:t>
            </w:r>
            <w:r w:rsidRPr="00F62BEF" w:rsidR="0008681D">
              <w:rPr>
                <w:sz w:val="20"/>
                <w:szCs w:val="20"/>
              </w:rPr>
              <w:t>products radiation safety report</w:t>
            </w:r>
          </w:p>
          <w:p w:rsidR="00A84225" w:rsidRPr="00F62BEF" w:rsidP="000B1FF1" w14:paraId="5DAA5640" w14:textId="77777777">
            <w:pPr>
              <w:rPr>
                <w:sz w:val="20"/>
                <w:szCs w:val="20"/>
              </w:rPr>
            </w:pPr>
            <w:r w:rsidRPr="00F62BEF">
              <w:rPr>
                <w:sz w:val="20"/>
                <w:szCs w:val="20"/>
              </w:rPr>
              <w:t>3663—Microwave products (non-oven)</w:t>
            </w:r>
          </w:p>
        </w:tc>
        <w:tc>
          <w:tcPr>
            <w:tcW w:w="817" w:type="pct"/>
            <w:shd w:val="clear" w:color="auto" w:fill="auto"/>
          </w:tcPr>
          <w:p w:rsidR="00A84225" w:rsidRPr="00F62BEF" w:rsidP="000B1FF1" w14:paraId="6ABBBB60" w14:textId="77777777">
            <w:pPr>
              <w:jc w:val="right"/>
              <w:rPr>
                <w:sz w:val="20"/>
                <w:szCs w:val="20"/>
              </w:rPr>
            </w:pPr>
            <w:r w:rsidRPr="00F62BEF">
              <w:rPr>
                <w:sz w:val="20"/>
                <w:szCs w:val="20"/>
              </w:rPr>
              <w:t>54</w:t>
            </w:r>
          </w:p>
        </w:tc>
        <w:tc>
          <w:tcPr>
            <w:tcW w:w="721" w:type="pct"/>
            <w:shd w:val="clear" w:color="auto" w:fill="auto"/>
          </w:tcPr>
          <w:p w:rsidR="00A84225" w:rsidRPr="00F62BEF" w:rsidP="000B1FF1" w14:paraId="3F1041D1" w14:textId="77777777">
            <w:pPr>
              <w:jc w:val="right"/>
              <w:rPr>
                <w:sz w:val="20"/>
                <w:szCs w:val="20"/>
              </w:rPr>
            </w:pPr>
            <w:r w:rsidRPr="00F62BEF">
              <w:rPr>
                <w:sz w:val="20"/>
                <w:szCs w:val="20"/>
              </w:rPr>
              <w:t>1.8</w:t>
            </w:r>
          </w:p>
        </w:tc>
        <w:tc>
          <w:tcPr>
            <w:tcW w:w="577" w:type="pct"/>
            <w:shd w:val="clear" w:color="auto" w:fill="auto"/>
          </w:tcPr>
          <w:p w:rsidR="00A84225" w:rsidRPr="00F62BEF" w:rsidP="000B1FF1" w14:paraId="6DB9D700" w14:textId="77777777">
            <w:pPr>
              <w:jc w:val="right"/>
              <w:rPr>
                <w:sz w:val="20"/>
                <w:szCs w:val="20"/>
              </w:rPr>
            </w:pPr>
            <w:r w:rsidRPr="00F62BEF">
              <w:rPr>
                <w:sz w:val="20"/>
                <w:szCs w:val="20"/>
              </w:rPr>
              <w:t>97</w:t>
            </w:r>
          </w:p>
        </w:tc>
        <w:tc>
          <w:tcPr>
            <w:tcW w:w="577" w:type="pct"/>
            <w:shd w:val="clear" w:color="auto" w:fill="auto"/>
          </w:tcPr>
          <w:p w:rsidR="00A84225" w:rsidRPr="00F62BEF" w:rsidP="000B1FF1" w14:paraId="0D7A004E" w14:textId="77777777">
            <w:pPr>
              <w:jc w:val="right"/>
              <w:rPr>
                <w:sz w:val="20"/>
                <w:szCs w:val="20"/>
              </w:rPr>
            </w:pPr>
            <w:r w:rsidRPr="00F62BEF">
              <w:rPr>
                <w:sz w:val="20"/>
                <w:szCs w:val="20"/>
              </w:rPr>
              <w:t>5</w:t>
            </w:r>
          </w:p>
        </w:tc>
        <w:tc>
          <w:tcPr>
            <w:tcW w:w="529" w:type="pct"/>
            <w:shd w:val="clear" w:color="auto" w:fill="auto"/>
          </w:tcPr>
          <w:p w:rsidR="00A84225" w:rsidRPr="00F62BEF" w:rsidP="000B1FF1" w14:paraId="1C6A79FE" w14:textId="77777777">
            <w:pPr>
              <w:jc w:val="right"/>
              <w:rPr>
                <w:sz w:val="20"/>
                <w:szCs w:val="20"/>
              </w:rPr>
            </w:pPr>
            <w:r w:rsidRPr="00F62BEF">
              <w:rPr>
                <w:sz w:val="20"/>
                <w:szCs w:val="20"/>
              </w:rPr>
              <w:t>485</w:t>
            </w:r>
          </w:p>
        </w:tc>
      </w:tr>
      <w:tr w14:paraId="0390CA52"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3AA7EAD3" w14:textId="77777777">
            <w:pPr>
              <w:rPr>
                <w:sz w:val="20"/>
                <w:szCs w:val="20"/>
              </w:rPr>
            </w:pPr>
            <w:r w:rsidRPr="00F62BEF">
              <w:rPr>
                <w:sz w:val="20"/>
                <w:szCs w:val="20"/>
              </w:rPr>
              <w:t>Annual reports—1002.13(a)-(b)</w:t>
            </w:r>
          </w:p>
        </w:tc>
        <w:tc>
          <w:tcPr>
            <w:tcW w:w="866" w:type="pct"/>
          </w:tcPr>
          <w:p w:rsidR="00A84225" w:rsidRPr="00F62BEF" w:rsidP="000B1FF1" w14:paraId="56E86AAE" w14:textId="77777777">
            <w:pPr>
              <w:rPr>
                <w:sz w:val="20"/>
                <w:szCs w:val="20"/>
              </w:rPr>
            </w:pPr>
            <w:r w:rsidRPr="00F62BEF">
              <w:rPr>
                <w:sz w:val="20"/>
                <w:szCs w:val="20"/>
              </w:rPr>
              <w:t>3628—General</w:t>
            </w:r>
          </w:p>
          <w:p w:rsidR="00A84225" w:rsidRPr="00F62BEF" w:rsidP="000B1FF1" w14:paraId="2D5180BC" w14:textId="77777777">
            <w:pPr>
              <w:rPr>
                <w:sz w:val="20"/>
                <w:szCs w:val="20"/>
              </w:rPr>
            </w:pPr>
            <w:r w:rsidRPr="00F62BEF">
              <w:rPr>
                <w:sz w:val="20"/>
                <w:szCs w:val="20"/>
              </w:rPr>
              <w:t>3634—TV</w:t>
            </w:r>
          </w:p>
          <w:p w:rsidR="00A84225" w:rsidRPr="00F62BEF" w:rsidP="000B1FF1" w14:paraId="2AC478E0" w14:textId="77777777">
            <w:pPr>
              <w:rPr>
                <w:sz w:val="20"/>
                <w:szCs w:val="20"/>
              </w:rPr>
            </w:pPr>
            <w:r w:rsidRPr="00F62BEF">
              <w:rPr>
                <w:sz w:val="20"/>
                <w:szCs w:val="20"/>
              </w:rPr>
              <w:t>3641—Cabinet x-ray</w:t>
            </w:r>
          </w:p>
          <w:p w:rsidR="00A84225" w:rsidRPr="00F62BEF" w:rsidP="000B1FF1" w14:paraId="4E5DF547" w14:textId="77777777">
            <w:pPr>
              <w:rPr>
                <w:sz w:val="20"/>
                <w:szCs w:val="20"/>
              </w:rPr>
            </w:pPr>
            <w:r w:rsidRPr="00F62BEF">
              <w:rPr>
                <w:sz w:val="20"/>
                <w:szCs w:val="20"/>
              </w:rPr>
              <w:t>3643—Microwave oven</w:t>
            </w:r>
          </w:p>
          <w:p w:rsidR="00A84225" w:rsidRPr="00F62BEF" w:rsidP="000B1FF1" w14:paraId="05977EB6" w14:textId="77777777">
            <w:pPr>
              <w:rPr>
                <w:sz w:val="20"/>
                <w:szCs w:val="20"/>
              </w:rPr>
            </w:pPr>
            <w:r w:rsidRPr="00F62BEF">
              <w:rPr>
                <w:sz w:val="20"/>
                <w:szCs w:val="20"/>
              </w:rPr>
              <w:t>3636—Laser</w:t>
            </w:r>
          </w:p>
          <w:p w:rsidR="00A84225" w:rsidRPr="00F62BEF" w:rsidP="000B1FF1" w14:paraId="1FE4BE65" w14:textId="77777777">
            <w:pPr>
              <w:rPr>
                <w:sz w:val="20"/>
                <w:szCs w:val="20"/>
              </w:rPr>
            </w:pPr>
            <w:r w:rsidRPr="00F62BEF">
              <w:rPr>
                <w:sz w:val="20"/>
                <w:szCs w:val="20"/>
              </w:rPr>
              <w:t>3631—Sunlamp</w:t>
            </w:r>
          </w:p>
          <w:p w:rsidR="00A84225" w:rsidRPr="00F62BEF" w:rsidP="000B1FF1" w14:paraId="2568FDF6" w14:textId="77777777">
            <w:pPr>
              <w:rPr>
                <w:sz w:val="20"/>
                <w:szCs w:val="20"/>
              </w:rPr>
            </w:pPr>
          </w:p>
        </w:tc>
        <w:tc>
          <w:tcPr>
            <w:tcW w:w="817" w:type="pct"/>
            <w:shd w:val="clear" w:color="auto" w:fill="auto"/>
          </w:tcPr>
          <w:p w:rsidR="00A84225" w:rsidRPr="00F62BEF" w:rsidP="000B1FF1" w14:paraId="47E394F8" w14:textId="77777777">
            <w:pPr>
              <w:jc w:val="right"/>
              <w:rPr>
                <w:sz w:val="20"/>
                <w:szCs w:val="20"/>
              </w:rPr>
            </w:pPr>
            <w:r w:rsidRPr="00F62BEF">
              <w:rPr>
                <w:sz w:val="20"/>
                <w:szCs w:val="20"/>
              </w:rPr>
              <w:t>1,410</w:t>
            </w:r>
          </w:p>
        </w:tc>
        <w:tc>
          <w:tcPr>
            <w:tcW w:w="721" w:type="pct"/>
            <w:shd w:val="clear" w:color="auto" w:fill="auto"/>
          </w:tcPr>
          <w:p w:rsidR="00A84225" w:rsidRPr="00F62BEF" w:rsidP="000B1FF1" w14:paraId="00D6B654" w14:textId="77777777">
            <w:pPr>
              <w:jc w:val="right"/>
              <w:rPr>
                <w:sz w:val="20"/>
                <w:szCs w:val="20"/>
              </w:rPr>
            </w:pPr>
            <w:r w:rsidRPr="00F62BEF">
              <w:rPr>
                <w:sz w:val="20"/>
                <w:szCs w:val="20"/>
              </w:rPr>
              <w:t>1.3</w:t>
            </w:r>
          </w:p>
        </w:tc>
        <w:tc>
          <w:tcPr>
            <w:tcW w:w="577" w:type="pct"/>
            <w:shd w:val="clear" w:color="auto" w:fill="auto"/>
          </w:tcPr>
          <w:p w:rsidR="00A84225" w:rsidRPr="00F62BEF" w:rsidP="000B1FF1" w14:paraId="481D6BE3" w14:textId="77777777">
            <w:pPr>
              <w:jc w:val="right"/>
              <w:rPr>
                <w:sz w:val="20"/>
                <w:szCs w:val="20"/>
              </w:rPr>
            </w:pPr>
            <w:r w:rsidRPr="00F62BEF">
              <w:rPr>
                <w:sz w:val="20"/>
                <w:szCs w:val="20"/>
              </w:rPr>
              <w:t>1,833</w:t>
            </w:r>
          </w:p>
        </w:tc>
        <w:tc>
          <w:tcPr>
            <w:tcW w:w="577" w:type="pct"/>
            <w:shd w:val="clear" w:color="auto" w:fill="auto"/>
          </w:tcPr>
          <w:p w:rsidR="00A84225" w:rsidRPr="00F62BEF" w:rsidP="000B1FF1" w14:paraId="2BC0C639" w14:textId="77777777">
            <w:pPr>
              <w:jc w:val="right"/>
              <w:rPr>
                <w:sz w:val="20"/>
                <w:szCs w:val="20"/>
              </w:rPr>
            </w:pPr>
            <w:r w:rsidRPr="00F62BEF">
              <w:rPr>
                <w:sz w:val="20"/>
                <w:szCs w:val="20"/>
              </w:rPr>
              <w:t>18</w:t>
            </w:r>
          </w:p>
        </w:tc>
        <w:tc>
          <w:tcPr>
            <w:tcW w:w="529" w:type="pct"/>
            <w:shd w:val="clear" w:color="auto" w:fill="auto"/>
          </w:tcPr>
          <w:p w:rsidR="00A84225" w:rsidRPr="00F62BEF" w:rsidP="000B1FF1" w14:paraId="1D814716" w14:textId="77777777">
            <w:pPr>
              <w:jc w:val="right"/>
              <w:rPr>
                <w:sz w:val="20"/>
                <w:szCs w:val="20"/>
              </w:rPr>
            </w:pPr>
            <w:r w:rsidRPr="00F62BEF">
              <w:rPr>
                <w:sz w:val="20"/>
                <w:szCs w:val="20"/>
              </w:rPr>
              <w:t>32,994</w:t>
            </w:r>
          </w:p>
        </w:tc>
      </w:tr>
      <w:tr w14:paraId="31260C84"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64AE6F86" w14:textId="77777777">
            <w:pPr>
              <w:rPr>
                <w:sz w:val="20"/>
                <w:szCs w:val="20"/>
              </w:rPr>
            </w:pPr>
            <w:r w:rsidRPr="00F62BEF">
              <w:rPr>
                <w:sz w:val="20"/>
                <w:szCs w:val="20"/>
              </w:rPr>
              <w:t>Accidental radiation occurrence reports—1002.20</w:t>
            </w:r>
          </w:p>
        </w:tc>
        <w:tc>
          <w:tcPr>
            <w:tcW w:w="866" w:type="pct"/>
          </w:tcPr>
          <w:p w:rsidR="00A84225" w:rsidRPr="00F62BEF" w:rsidP="000B1FF1" w14:paraId="12F94950" w14:textId="77777777">
            <w:pPr>
              <w:rPr>
                <w:sz w:val="20"/>
                <w:szCs w:val="20"/>
              </w:rPr>
            </w:pPr>
            <w:r w:rsidRPr="00F62BEF">
              <w:rPr>
                <w:sz w:val="20"/>
                <w:szCs w:val="20"/>
              </w:rPr>
              <w:t>3649—ARO</w:t>
            </w:r>
          </w:p>
        </w:tc>
        <w:tc>
          <w:tcPr>
            <w:tcW w:w="817" w:type="pct"/>
            <w:shd w:val="clear" w:color="auto" w:fill="auto"/>
          </w:tcPr>
          <w:p w:rsidR="00A84225" w:rsidRPr="00F62BEF" w:rsidP="000B1FF1" w14:paraId="007E4F8B" w14:textId="77777777">
            <w:pPr>
              <w:jc w:val="right"/>
              <w:rPr>
                <w:sz w:val="20"/>
                <w:szCs w:val="20"/>
              </w:rPr>
            </w:pPr>
            <w:r w:rsidRPr="00F62BEF">
              <w:rPr>
                <w:sz w:val="20"/>
                <w:szCs w:val="20"/>
              </w:rPr>
              <w:t>75</w:t>
            </w:r>
          </w:p>
        </w:tc>
        <w:tc>
          <w:tcPr>
            <w:tcW w:w="721" w:type="pct"/>
            <w:shd w:val="clear" w:color="auto" w:fill="auto"/>
          </w:tcPr>
          <w:p w:rsidR="00A84225" w:rsidRPr="00F62BEF" w:rsidP="000B1FF1" w14:paraId="08BE33EF" w14:textId="77777777">
            <w:pPr>
              <w:jc w:val="right"/>
              <w:rPr>
                <w:sz w:val="20"/>
                <w:szCs w:val="20"/>
              </w:rPr>
            </w:pPr>
            <w:r w:rsidRPr="00F62BEF">
              <w:rPr>
                <w:sz w:val="20"/>
                <w:szCs w:val="20"/>
              </w:rPr>
              <w:t>4</w:t>
            </w:r>
          </w:p>
        </w:tc>
        <w:tc>
          <w:tcPr>
            <w:tcW w:w="577" w:type="pct"/>
            <w:shd w:val="clear" w:color="auto" w:fill="auto"/>
          </w:tcPr>
          <w:p w:rsidR="00A84225" w:rsidRPr="00F62BEF" w:rsidP="000B1FF1" w14:paraId="03DB004A" w14:textId="77777777">
            <w:pPr>
              <w:jc w:val="right"/>
              <w:rPr>
                <w:sz w:val="20"/>
                <w:szCs w:val="20"/>
              </w:rPr>
            </w:pPr>
            <w:r w:rsidRPr="00F62BEF">
              <w:rPr>
                <w:sz w:val="20"/>
                <w:szCs w:val="20"/>
              </w:rPr>
              <w:t>300</w:t>
            </w:r>
          </w:p>
        </w:tc>
        <w:tc>
          <w:tcPr>
            <w:tcW w:w="577" w:type="pct"/>
            <w:shd w:val="clear" w:color="auto" w:fill="auto"/>
          </w:tcPr>
          <w:p w:rsidR="00A84225" w:rsidRPr="00F62BEF" w:rsidP="000B1FF1" w14:paraId="03A6D929" w14:textId="77777777">
            <w:pPr>
              <w:jc w:val="right"/>
              <w:rPr>
                <w:sz w:val="20"/>
                <w:szCs w:val="20"/>
              </w:rPr>
            </w:pPr>
            <w:r w:rsidRPr="00F62BEF">
              <w:rPr>
                <w:sz w:val="20"/>
                <w:szCs w:val="20"/>
              </w:rPr>
              <w:t>2</w:t>
            </w:r>
          </w:p>
        </w:tc>
        <w:tc>
          <w:tcPr>
            <w:tcW w:w="529" w:type="pct"/>
            <w:shd w:val="clear" w:color="auto" w:fill="auto"/>
          </w:tcPr>
          <w:p w:rsidR="00A84225" w:rsidRPr="00F62BEF" w:rsidP="000B1FF1" w14:paraId="32E5B38E" w14:textId="77777777">
            <w:pPr>
              <w:jc w:val="right"/>
              <w:rPr>
                <w:sz w:val="20"/>
                <w:szCs w:val="20"/>
              </w:rPr>
            </w:pPr>
            <w:r w:rsidRPr="00F62BEF">
              <w:rPr>
                <w:sz w:val="20"/>
                <w:szCs w:val="20"/>
              </w:rPr>
              <w:t>600</w:t>
            </w:r>
          </w:p>
        </w:tc>
      </w:tr>
      <w:tr w14:paraId="4BC1EF36"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1BBAEF72" w14:textId="77777777">
            <w:pPr>
              <w:rPr>
                <w:sz w:val="20"/>
                <w:szCs w:val="20"/>
              </w:rPr>
            </w:pPr>
            <w:r w:rsidRPr="00F62BEF">
              <w:rPr>
                <w:sz w:val="20"/>
                <w:szCs w:val="20"/>
              </w:rPr>
              <w:t>Exemption requests—1002.50(a) and 1002.51</w:t>
            </w:r>
          </w:p>
        </w:tc>
        <w:tc>
          <w:tcPr>
            <w:tcW w:w="866" w:type="pct"/>
          </w:tcPr>
          <w:p w:rsidR="00A84225" w:rsidRPr="00F62BEF" w:rsidP="000B1FF1" w14:paraId="6D80AF2E" w14:textId="77777777">
            <w:pPr>
              <w:rPr>
                <w:sz w:val="20"/>
                <w:szCs w:val="20"/>
              </w:rPr>
            </w:pPr>
            <w:r w:rsidRPr="00F62BEF">
              <w:rPr>
                <w:sz w:val="20"/>
                <w:szCs w:val="20"/>
              </w:rPr>
              <w:t>3642—General correspondence</w:t>
            </w:r>
          </w:p>
        </w:tc>
        <w:tc>
          <w:tcPr>
            <w:tcW w:w="817" w:type="pct"/>
            <w:shd w:val="clear" w:color="auto" w:fill="auto"/>
          </w:tcPr>
          <w:p w:rsidR="00A84225" w:rsidRPr="00F62BEF" w:rsidP="000B1FF1" w14:paraId="7CCD7A32" w14:textId="77777777">
            <w:pPr>
              <w:jc w:val="right"/>
              <w:rPr>
                <w:sz w:val="20"/>
                <w:szCs w:val="20"/>
              </w:rPr>
            </w:pPr>
            <w:r w:rsidRPr="00F62BEF">
              <w:rPr>
                <w:sz w:val="20"/>
                <w:szCs w:val="20"/>
              </w:rPr>
              <w:t>4</w:t>
            </w:r>
          </w:p>
        </w:tc>
        <w:tc>
          <w:tcPr>
            <w:tcW w:w="721" w:type="pct"/>
            <w:shd w:val="clear" w:color="auto" w:fill="auto"/>
          </w:tcPr>
          <w:p w:rsidR="00A84225" w:rsidRPr="00F62BEF" w:rsidP="000B1FF1" w14:paraId="71D5C9C5" w14:textId="77777777">
            <w:pPr>
              <w:jc w:val="right"/>
              <w:rPr>
                <w:sz w:val="20"/>
                <w:szCs w:val="20"/>
              </w:rPr>
            </w:pPr>
            <w:r w:rsidRPr="00F62BEF">
              <w:rPr>
                <w:sz w:val="20"/>
                <w:szCs w:val="20"/>
              </w:rPr>
              <w:t>1.3</w:t>
            </w:r>
          </w:p>
        </w:tc>
        <w:tc>
          <w:tcPr>
            <w:tcW w:w="577" w:type="pct"/>
            <w:shd w:val="clear" w:color="auto" w:fill="auto"/>
          </w:tcPr>
          <w:p w:rsidR="00A84225" w:rsidRPr="00F62BEF" w:rsidP="000B1FF1" w14:paraId="31AA8347" w14:textId="77777777">
            <w:pPr>
              <w:jc w:val="right"/>
              <w:rPr>
                <w:sz w:val="20"/>
                <w:szCs w:val="20"/>
              </w:rPr>
            </w:pPr>
            <w:r w:rsidRPr="00F62BEF">
              <w:rPr>
                <w:sz w:val="20"/>
                <w:szCs w:val="20"/>
              </w:rPr>
              <w:t>5</w:t>
            </w:r>
          </w:p>
        </w:tc>
        <w:tc>
          <w:tcPr>
            <w:tcW w:w="577" w:type="pct"/>
            <w:shd w:val="clear" w:color="auto" w:fill="auto"/>
          </w:tcPr>
          <w:p w:rsidR="00A84225" w:rsidRPr="00F62BEF" w:rsidP="000B1FF1" w14:paraId="757B063E" w14:textId="77777777">
            <w:pPr>
              <w:jc w:val="right"/>
              <w:rPr>
                <w:sz w:val="20"/>
                <w:szCs w:val="20"/>
              </w:rPr>
            </w:pPr>
            <w:r w:rsidRPr="00F62BEF">
              <w:rPr>
                <w:sz w:val="20"/>
                <w:szCs w:val="20"/>
              </w:rPr>
              <w:t>1</w:t>
            </w:r>
          </w:p>
        </w:tc>
        <w:tc>
          <w:tcPr>
            <w:tcW w:w="529" w:type="pct"/>
            <w:shd w:val="clear" w:color="auto" w:fill="auto"/>
          </w:tcPr>
          <w:p w:rsidR="00A84225" w:rsidRPr="00F62BEF" w:rsidP="000B1FF1" w14:paraId="0BAB755C" w14:textId="77777777">
            <w:pPr>
              <w:jc w:val="right"/>
              <w:rPr>
                <w:sz w:val="20"/>
                <w:szCs w:val="20"/>
              </w:rPr>
            </w:pPr>
            <w:r w:rsidRPr="00F62BEF">
              <w:rPr>
                <w:sz w:val="20"/>
                <w:szCs w:val="20"/>
              </w:rPr>
              <w:t>5</w:t>
            </w:r>
          </w:p>
        </w:tc>
      </w:tr>
      <w:tr w14:paraId="736A8CFC"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6A02CB92" w14:textId="77777777">
            <w:pPr>
              <w:rPr>
                <w:sz w:val="20"/>
                <w:szCs w:val="20"/>
              </w:rPr>
            </w:pPr>
            <w:r w:rsidRPr="00F62BEF">
              <w:rPr>
                <w:sz w:val="20"/>
                <w:szCs w:val="20"/>
              </w:rPr>
              <w:t>Product and sample information—1005.10</w:t>
            </w:r>
          </w:p>
        </w:tc>
        <w:tc>
          <w:tcPr>
            <w:tcW w:w="866" w:type="pct"/>
          </w:tcPr>
          <w:p w:rsidR="00A84225" w:rsidRPr="00F62BEF" w:rsidP="000B1FF1" w14:paraId="0848A1E5" w14:textId="77777777">
            <w:pPr>
              <w:rPr>
                <w:sz w:val="20"/>
                <w:szCs w:val="20"/>
              </w:rPr>
            </w:pPr>
            <w:r w:rsidRPr="00F62BEF">
              <w:rPr>
                <w:sz w:val="20"/>
                <w:szCs w:val="20"/>
              </w:rPr>
              <w:t>2767—Sample product</w:t>
            </w:r>
          </w:p>
        </w:tc>
        <w:tc>
          <w:tcPr>
            <w:tcW w:w="817" w:type="pct"/>
            <w:shd w:val="clear" w:color="auto" w:fill="auto"/>
          </w:tcPr>
          <w:p w:rsidR="00A84225" w:rsidRPr="00F62BEF" w:rsidP="000B1FF1" w14:paraId="65777959" w14:textId="77777777">
            <w:pPr>
              <w:jc w:val="right"/>
              <w:rPr>
                <w:sz w:val="20"/>
                <w:szCs w:val="20"/>
              </w:rPr>
            </w:pPr>
            <w:r w:rsidRPr="00F62BEF">
              <w:rPr>
                <w:sz w:val="20"/>
                <w:szCs w:val="20"/>
              </w:rPr>
              <w:t>5</w:t>
            </w:r>
          </w:p>
        </w:tc>
        <w:tc>
          <w:tcPr>
            <w:tcW w:w="721" w:type="pct"/>
            <w:shd w:val="clear" w:color="auto" w:fill="auto"/>
          </w:tcPr>
          <w:p w:rsidR="00A84225" w:rsidRPr="00F62BEF" w:rsidP="000B1FF1" w14:paraId="33773D26" w14:textId="77777777">
            <w:pPr>
              <w:jc w:val="right"/>
              <w:rPr>
                <w:sz w:val="20"/>
                <w:szCs w:val="20"/>
              </w:rPr>
            </w:pPr>
            <w:r w:rsidRPr="00F62BEF">
              <w:rPr>
                <w:sz w:val="20"/>
                <w:szCs w:val="20"/>
              </w:rPr>
              <w:t>1</w:t>
            </w:r>
          </w:p>
        </w:tc>
        <w:tc>
          <w:tcPr>
            <w:tcW w:w="577" w:type="pct"/>
            <w:shd w:val="clear" w:color="auto" w:fill="auto"/>
          </w:tcPr>
          <w:p w:rsidR="00A84225" w:rsidRPr="00F62BEF" w:rsidP="000B1FF1" w14:paraId="0071B147" w14:textId="77777777">
            <w:pPr>
              <w:jc w:val="right"/>
              <w:rPr>
                <w:sz w:val="20"/>
                <w:szCs w:val="20"/>
              </w:rPr>
            </w:pPr>
            <w:r w:rsidRPr="00F62BEF">
              <w:rPr>
                <w:sz w:val="20"/>
                <w:szCs w:val="20"/>
              </w:rPr>
              <w:t>5</w:t>
            </w:r>
          </w:p>
        </w:tc>
        <w:tc>
          <w:tcPr>
            <w:tcW w:w="577" w:type="pct"/>
            <w:shd w:val="clear" w:color="auto" w:fill="auto"/>
          </w:tcPr>
          <w:p w:rsidR="00A84225" w:rsidRPr="00F62BEF" w:rsidP="000B1FF1" w14:paraId="24AA956F" w14:textId="77777777">
            <w:pPr>
              <w:jc w:val="right"/>
              <w:rPr>
                <w:sz w:val="20"/>
                <w:szCs w:val="20"/>
              </w:rPr>
            </w:pPr>
            <w:r w:rsidRPr="00F62BEF">
              <w:rPr>
                <w:sz w:val="20"/>
                <w:szCs w:val="20"/>
              </w:rPr>
              <w:t>0.1</w:t>
            </w:r>
          </w:p>
          <w:p w:rsidR="0008681D" w:rsidRPr="00F62BEF" w:rsidP="000B1FF1" w14:paraId="3F339659" w14:textId="77777777">
            <w:pPr>
              <w:jc w:val="right"/>
              <w:rPr>
                <w:sz w:val="20"/>
                <w:szCs w:val="20"/>
              </w:rPr>
            </w:pPr>
            <w:r w:rsidRPr="00F62BEF">
              <w:rPr>
                <w:sz w:val="20"/>
                <w:szCs w:val="20"/>
              </w:rPr>
              <w:t>(6 minutes)</w:t>
            </w:r>
          </w:p>
        </w:tc>
        <w:tc>
          <w:tcPr>
            <w:tcW w:w="529" w:type="pct"/>
            <w:shd w:val="clear" w:color="auto" w:fill="auto"/>
          </w:tcPr>
          <w:p w:rsidR="00A84225" w:rsidRPr="00F62BEF" w:rsidP="000B1FF1" w14:paraId="391B9D33" w14:textId="77777777">
            <w:pPr>
              <w:jc w:val="right"/>
              <w:rPr>
                <w:sz w:val="20"/>
                <w:szCs w:val="20"/>
              </w:rPr>
            </w:pPr>
            <w:r w:rsidRPr="00F62BEF">
              <w:rPr>
                <w:sz w:val="20"/>
                <w:szCs w:val="20"/>
              </w:rPr>
              <w:t>1</w:t>
            </w:r>
          </w:p>
        </w:tc>
      </w:tr>
      <w:tr w14:paraId="7AB7E06E"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59AF891F" w14:textId="77777777">
            <w:pPr>
              <w:rPr>
                <w:sz w:val="20"/>
                <w:szCs w:val="20"/>
              </w:rPr>
            </w:pPr>
            <w:r w:rsidRPr="00F62BEF">
              <w:rPr>
                <w:sz w:val="20"/>
                <w:szCs w:val="20"/>
              </w:rPr>
              <w:t>Identification information and compliance status—1005.25</w:t>
            </w:r>
          </w:p>
        </w:tc>
        <w:tc>
          <w:tcPr>
            <w:tcW w:w="866" w:type="pct"/>
          </w:tcPr>
          <w:p w:rsidR="00A84225" w:rsidRPr="00F62BEF" w:rsidP="000B1FF1" w14:paraId="3E2C418E" w14:textId="77777777">
            <w:pPr>
              <w:rPr>
                <w:sz w:val="20"/>
                <w:szCs w:val="20"/>
              </w:rPr>
            </w:pPr>
            <w:r w:rsidRPr="00F62BEF">
              <w:rPr>
                <w:sz w:val="20"/>
                <w:szCs w:val="20"/>
              </w:rPr>
              <w:t>2877—Imports declaration</w:t>
            </w:r>
          </w:p>
        </w:tc>
        <w:tc>
          <w:tcPr>
            <w:tcW w:w="817" w:type="pct"/>
            <w:shd w:val="clear" w:color="auto" w:fill="auto"/>
          </w:tcPr>
          <w:p w:rsidR="00A84225" w:rsidRPr="00F62BEF" w:rsidP="000B1FF1" w14:paraId="42DBAF84" w14:textId="77777777">
            <w:pPr>
              <w:jc w:val="right"/>
              <w:rPr>
                <w:sz w:val="20"/>
                <w:szCs w:val="20"/>
              </w:rPr>
            </w:pPr>
            <w:r w:rsidRPr="00F62BEF">
              <w:rPr>
                <w:sz w:val="20"/>
                <w:szCs w:val="20"/>
              </w:rPr>
              <w:t>12,620</w:t>
            </w:r>
          </w:p>
        </w:tc>
        <w:tc>
          <w:tcPr>
            <w:tcW w:w="721" w:type="pct"/>
            <w:shd w:val="clear" w:color="auto" w:fill="auto"/>
          </w:tcPr>
          <w:p w:rsidR="00A84225" w:rsidRPr="00F62BEF" w:rsidP="000B1FF1" w14:paraId="00E92702" w14:textId="77777777">
            <w:pPr>
              <w:jc w:val="right"/>
              <w:rPr>
                <w:sz w:val="20"/>
                <w:szCs w:val="20"/>
              </w:rPr>
            </w:pPr>
            <w:r w:rsidRPr="00F62BEF">
              <w:rPr>
                <w:sz w:val="20"/>
                <w:szCs w:val="20"/>
              </w:rPr>
              <w:t>2.5</w:t>
            </w:r>
          </w:p>
        </w:tc>
        <w:tc>
          <w:tcPr>
            <w:tcW w:w="577" w:type="pct"/>
            <w:shd w:val="clear" w:color="auto" w:fill="auto"/>
          </w:tcPr>
          <w:p w:rsidR="00A84225" w:rsidRPr="00F62BEF" w:rsidP="000B1FF1" w14:paraId="0B8A3938" w14:textId="77777777">
            <w:pPr>
              <w:jc w:val="right"/>
              <w:rPr>
                <w:sz w:val="20"/>
                <w:szCs w:val="20"/>
              </w:rPr>
            </w:pPr>
            <w:r w:rsidRPr="00F62BEF">
              <w:rPr>
                <w:sz w:val="20"/>
                <w:szCs w:val="20"/>
              </w:rPr>
              <w:t>31,550</w:t>
            </w:r>
          </w:p>
        </w:tc>
        <w:tc>
          <w:tcPr>
            <w:tcW w:w="577" w:type="pct"/>
            <w:shd w:val="clear" w:color="auto" w:fill="auto"/>
          </w:tcPr>
          <w:p w:rsidR="00A84225" w:rsidRPr="00F62BEF" w:rsidP="000B1FF1" w14:paraId="50C1C361" w14:textId="77777777">
            <w:pPr>
              <w:jc w:val="right"/>
              <w:rPr>
                <w:sz w:val="20"/>
                <w:szCs w:val="20"/>
              </w:rPr>
            </w:pPr>
            <w:r w:rsidRPr="00F62BEF">
              <w:rPr>
                <w:sz w:val="20"/>
                <w:szCs w:val="20"/>
              </w:rPr>
              <w:t>0.2</w:t>
            </w:r>
          </w:p>
          <w:p w:rsidR="0008681D" w:rsidRPr="00F62BEF" w:rsidP="000B1FF1" w14:paraId="347141C2" w14:textId="77777777">
            <w:pPr>
              <w:jc w:val="right"/>
              <w:rPr>
                <w:sz w:val="20"/>
                <w:szCs w:val="20"/>
              </w:rPr>
            </w:pPr>
            <w:r w:rsidRPr="00F62BEF">
              <w:rPr>
                <w:sz w:val="20"/>
                <w:szCs w:val="20"/>
              </w:rPr>
              <w:t>(12 minutes)</w:t>
            </w:r>
          </w:p>
        </w:tc>
        <w:tc>
          <w:tcPr>
            <w:tcW w:w="529" w:type="pct"/>
            <w:shd w:val="clear" w:color="auto" w:fill="auto"/>
          </w:tcPr>
          <w:p w:rsidR="00A84225" w:rsidRPr="00F62BEF" w:rsidP="000B1FF1" w14:paraId="77F485A4" w14:textId="77777777">
            <w:pPr>
              <w:jc w:val="right"/>
              <w:rPr>
                <w:sz w:val="20"/>
                <w:szCs w:val="20"/>
              </w:rPr>
            </w:pPr>
            <w:r w:rsidRPr="00F62BEF">
              <w:rPr>
                <w:sz w:val="20"/>
                <w:szCs w:val="20"/>
              </w:rPr>
              <w:t>6,310</w:t>
            </w:r>
          </w:p>
        </w:tc>
      </w:tr>
      <w:tr w14:paraId="7E076FCD"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7B29E5E7" w14:textId="77777777">
            <w:pPr>
              <w:rPr>
                <w:sz w:val="20"/>
                <w:szCs w:val="20"/>
              </w:rPr>
            </w:pPr>
            <w:r w:rsidRPr="00F62BEF">
              <w:rPr>
                <w:sz w:val="20"/>
                <w:szCs w:val="20"/>
              </w:rPr>
              <w:t>Alternate means of certification—1010.2(d)</w:t>
            </w:r>
          </w:p>
        </w:tc>
        <w:tc>
          <w:tcPr>
            <w:tcW w:w="866" w:type="pct"/>
          </w:tcPr>
          <w:p w:rsidR="00A84225" w:rsidRPr="00F62BEF" w:rsidP="000B1FF1" w14:paraId="1165B832" w14:textId="77777777">
            <w:pPr>
              <w:rPr>
                <w:sz w:val="20"/>
                <w:szCs w:val="20"/>
              </w:rPr>
            </w:pPr>
          </w:p>
        </w:tc>
        <w:tc>
          <w:tcPr>
            <w:tcW w:w="817" w:type="pct"/>
            <w:shd w:val="clear" w:color="auto" w:fill="auto"/>
          </w:tcPr>
          <w:p w:rsidR="00A84225" w:rsidRPr="00F62BEF" w:rsidP="000B1FF1" w14:paraId="06581196" w14:textId="77777777">
            <w:pPr>
              <w:jc w:val="right"/>
              <w:rPr>
                <w:sz w:val="20"/>
                <w:szCs w:val="20"/>
              </w:rPr>
            </w:pPr>
            <w:r w:rsidRPr="00F62BEF">
              <w:rPr>
                <w:sz w:val="20"/>
                <w:szCs w:val="20"/>
              </w:rPr>
              <w:t>1</w:t>
            </w:r>
          </w:p>
        </w:tc>
        <w:tc>
          <w:tcPr>
            <w:tcW w:w="721" w:type="pct"/>
            <w:shd w:val="clear" w:color="auto" w:fill="auto"/>
          </w:tcPr>
          <w:p w:rsidR="00A84225" w:rsidRPr="00F62BEF" w:rsidP="000B1FF1" w14:paraId="7BA75C8A" w14:textId="77777777">
            <w:pPr>
              <w:jc w:val="right"/>
              <w:rPr>
                <w:sz w:val="20"/>
                <w:szCs w:val="20"/>
              </w:rPr>
            </w:pPr>
            <w:r w:rsidRPr="00F62BEF">
              <w:rPr>
                <w:sz w:val="20"/>
                <w:szCs w:val="20"/>
              </w:rPr>
              <w:t>2</w:t>
            </w:r>
          </w:p>
        </w:tc>
        <w:tc>
          <w:tcPr>
            <w:tcW w:w="577" w:type="pct"/>
            <w:shd w:val="clear" w:color="auto" w:fill="auto"/>
          </w:tcPr>
          <w:p w:rsidR="00A84225" w:rsidRPr="00F62BEF" w:rsidP="000B1FF1" w14:paraId="5E960B0C" w14:textId="77777777">
            <w:pPr>
              <w:jc w:val="right"/>
              <w:rPr>
                <w:sz w:val="20"/>
                <w:szCs w:val="20"/>
              </w:rPr>
            </w:pPr>
            <w:r w:rsidRPr="00F62BEF">
              <w:rPr>
                <w:sz w:val="20"/>
                <w:szCs w:val="20"/>
              </w:rPr>
              <w:t>2</w:t>
            </w:r>
          </w:p>
        </w:tc>
        <w:tc>
          <w:tcPr>
            <w:tcW w:w="577" w:type="pct"/>
            <w:shd w:val="clear" w:color="auto" w:fill="auto"/>
          </w:tcPr>
          <w:p w:rsidR="00A84225" w:rsidRPr="00F62BEF" w:rsidP="000B1FF1" w14:paraId="3D32C15F" w14:textId="77777777">
            <w:pPr>
              <w:jc w:val="right"/>
              <w:rPr>
                <w:sz w:val="20"/>
                <w:szCs w:val="20"/>
              </w:rPr>
            </w:pPr>
            <w:r w:rsidRPr="00F62BEF">
              <w:rPr>
                <w:sz w:val="20"/>
                <w:szCs w:val="20"/>
              </w:rPr>
              <w:t>5</w:t>
            </w:r>
          </w:p>
        </w:tc>
        <w:tc>
          <w:tcPr>
            <w:tcW w:w="529" w:type="pct"/>
            <w:shd w:val="clear" w:color="auto" w:fill="auto"/>
          </w:tcPr>
          <w:p w:rsidR="00A84225" w:rsidRPr="00F62BEF" w:rsidP="000B1FF1" w14:paraId="5F313692" w14:textId="77777777">
            <w:pPr>
              <w:jc w:val="right"/>
              <w:rPr>
                <w:sz w:val="20"/>
                <w:szCs w:val="20"/>
              </w:rPr>
            </w:pPr>
            <w:r w:rsidRPr="00F62BEF">
              <w:rPr>
                <w:sz w:val="20"/>
                <w:szCs w:val="20"/>
              </w:rPr>
              <w:t>10</w:t>
            </w:r>
          </w:p>
        </w:tc>
      </w:tr>
      <w:tr w14:paraId="4A0C6300"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7E5919D5" w14:textId="77777777">
            <w:pPr>
              <w:rPr>
                <w:sz w:val="20"/>
                <w:szCs w:val="20"/>
              </w:rPr>
            </w:pPr>
            <w:r w:rsidRPr="00F62BEF">
              <w:rPr>
                <w:sz w:val="20"/>
                <w:szCs w:val="20"/>
              </w:rPr>
              <w:t>Variance—1010.4(b)</w:t>
            </w:r>
          </w:p>
        </w:tc>
        <w:tc>
          <w:tcPr>
            <w:tcW w:w="866" w:type="pct"/>
          </w:tcPr>
          <w:p w:rsidR="00A84225" w:rsidRPr="00F62BEF" w:rsidP="000B1FF1" w14:paraId="3B410514" w14:textId="77777777">
            <w:pPr>
              <w:rPr>
                <w:sz w:val="20"/>
                <w:szCs w:val="20"/>
              </w:rPr>
            </w:pPr>
            <w:r w:rsidRPr="00F62BEF">
              <w:rPr>
                <w:sz w:val="20"/>
                <w:szCs w:val="20"/>
              </w:rPr>
              <w:t>3633—General variance request</w:t>
            </w:r>
          </w:p>
          <w:p w:rsidR="00A84225" w:rsidRPr="00F62BEF" w:rsidP="000B1FF1" w14:paraId="486C9E1E" w14:textId="77777777">
            <w:pPr>
              <w:rPr>
                <w:sz w:val="20"/>
                <w:szCs w:val="20"/>
              </w:rPr>
            </w:pPr>
            <w:r w:rsidRPr="00F62BEF">
              <w:rPr>
                <w:sz w:val="20"/>
                <w:szCs w:val="20"/>
              </w:rPr>
              <w:t>3147—Laser show variance request</w:t>
            </w:r>
          </w:p>
          <w:p w:rsidR="00A84225" w:rsidRPr="00F62BEF" w:rsidP="000B1FF1" w14:paraId="09FAB42D" w14:textId="77777777">
            <w:pPr>
              <w:rPr>
                <w:sz w:val="20"/>
                <w:szCs w:val="20"/>
              </w:rPr>
            </w:pPr>
            <w:r w:rsidRPr="00F62BEF">
              <w:rPr>
                <w:sz w:val="20"/>
                <w:szCs w:val="20"/>
              </w:rPr>
              <w:t>3635—Laser show notification</w:t>
            </w:r>
          </w:p>
        </w:tc>
        <w:tc>
          <w:tcPr>
            <w:tcW w:w="817" w:type="pct"/>
            <w:shd w:val="clear" w:color="auto" w:fill="auto"/>
          </w:tcPr>
          <w:p w:rsidR="00A84225" w:rsidRPr="00F62BEF" w:rsidP="000B1FF1" w14:paraId="71DEDC90" w14:textId="77777777">
            <w:pPr>
              <w:jc w:val="right"/>
              <w:rPr>
                <w:sz w:val="20"/>
                <w:szCs w:val="20"/>
              </w:rPr>
            </w:pPr>
            <w:r w:rsidRPr="00F62BEF">
              <w:rPr>
                <w:sz w:val="20"/>
                <w:szCs w:val="20"/>
              </w:rPr>
              <w:t>350</w:t>
            </w:r>
          </w:p>
        </w:tc>
        <w:tc>
          <w:tcPr>
            <w:tcW w:w="721" w:type="pct"/>
            <w:shd w:val="clear" w:color="auto" w:fill="auto"/>
          </w:tcPr>
          <w:p w:rsidR="00A84225" w:rsidRPr="00F62BEF" w:rsidP="000B1FF1" w14:paraId="0DC085B0" w14:textId="77777777">
            <w:pPr>
              <w:jc w:val="right"/>
              <w:rPr>
                <w:sz w:val="20"/>
                <w:szCs w:val="20"/>
              </w:rPr>
            </w:pPr>
            <w:r w:rsidRPr="00F62BEF">
              <w:rPr>
                <w:sz w:val="20"/>
                <w:szCs w:val="20"/>
              </w:rPr>
              <w:t>1.1</w:t>
            </w:r>
          </w:p>
        </w:tc>
        <w:tc>
          <w:tcPr>
            <w:tcW w:w="577" w:type="pct"/>
            <w:shd w:val="clear" w:color="auto" w:fill="auto"/>
          </w:tcPr>
          <w:p w:rsidR="00A84225" w:rsidRPr="00F62BEF" w:rsidP="000B1FF1" w14:paraId="2DD570B4" w14:textId="77777777">
            <w:pPr>
              <w:jc w:val="right"/>
              <w:rPr>
                <w:sz w:val="20"/>
                <w:szCs w:val="20"/>
              </w:rPr>
            </w:pPr>
            <w:r w:rsidRPr="00F62BEF">
              <w:rPr>
                <w:sz w:val="20"/>
                <w:szCs w:val="20"/>
              </w:rPr>
              <w:t>385</w:t>
            </w:r>
          </w:p>
        </w:tc>
        <w:tc>
          <w:tcPr>
            <w:tcW w:w="577" w:type="pct"/>
            <w:shd w:val="clear" w:color="auto" w:fill="auto"/>
          </w:tcPr>
          <w:p w:rsidR="00A84225" w:rsidRPr="00F62BEF" w:rsidP="000B1FF1" w14:paraId="705172F8" w14:textId="77777777">
            <w:pPr>
              <w:jc w:val="right"/>
              <w:rPr>
                <w:sz w:val="20"/>
                <w:szCs w:val="20"/>
              </w:rPr>
            </w:pPr>
            <w:r w:rsidRPr="00F62BEF">
              <w:rPr>
                <w:sz w:val="20"/>
                <w:szCs w:val="20"/>
              </w:rPr>
              <w:t>1.2</w:t>
            </w:r>
          </w:p>
        </w:tc>
        <w:tc>
          <w:tcPr>
            <w:tcW w:w="529" w:type="pct"/>
            <w:shd w:val="clear" w:color="auto" w:fill="auto"/>
          </w:tcPr>
          <w:p w:rsidR="00A84225" w:rsidRPr="00F62BEF" w:rsidP="000B1FF1" w14:paraId="7FB47C2A" w14:textId="77777777">
            <w:pPr>
              <w:jc w:val="right"/>
              <w:rPr>
                <w:sz w:val="20"/>
                <w:szCs w:val="20"/>
              </w:rPr>
            </w:pPr>
            <w:r w:rsidRPr="00F62BEF">
              <w:rPr>
                <w:sz w:val="20"/>
                <w:szCs w:val="20"/>
              </w:rPr>
              <w:t>462</w:t>
            </w:r>
          </w:p>
        </w:tc>
      </w:tr>
      <w:tr w14:paraId="188426BD"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583EC7B2" w14:textId="77777777">
            <w:pPr>
              <w:rPr>
                <w:sz w:val="20"/>
                <w:szCs w:val="20"/>
              </w:rPr>
            </w:pPr>
            <w:r w:rsidRPr="00F62BEF">
              <w:rPr>
                <w:sz w:val="20"/>
                <w:szCs w:val="20"/>
              </w:rPr>
              <w:t>Exemption from performance standards—1010.5(c) and (d)</w:t>
            </w:r>
          </w:p>
        </w:tc>
        <w:tc>
          <w:tcPr>
            <w:tcW w:w="866" w:type="pct"/>
          </w:tcPr>
          <w:p w:rsidR="00A84225" w:rsidRPr="00F62BEF" w:rsidP="000B1FF1" w14:paraId="7B7FE98D" w14:textId="77777777">
            <w:pPr>
              <w:rPr>
                <w:sz w:val="20"/>
                <w:szCs w:val="20"/>
              </w:rPr>
            </w:pPr>
          </w:p>
        </w:tc>
        <w:tc>
          <w:tcPr>
            <w:tcW w:w="817" w:type="pct"/>
            <w:shd w:val="clear" w:color="auto" w:fill="auto"/>
          </w:tcPr>
          <w:p w:rsidR="00A84225" w:rsidRPr="00F62BEF" w:rsidP="000B1FF1" w14:paraId="752FCA05" w14:textId="77777777">
            <w:pPr>
              <w:jc w:val="right"/>
              <w:rPr>
                <w:sz w:val="20"/>
                <w:szCs w:val="20"/>
              </w:rPr>
            </w:pPr>
            <w:r w:rsidRPr="00F62BEF">
              <w:rPr>
                <w:sz w:val="20"/>
                <w:szCs w:val="20"/>
              </w:rPr>
              <w:t>1</w:t>
            </w:r>
          </w:p>
        </w:tc>
        <w:tc>
          <w:tcPr>
            <w:tcW w:w="721" w:type="pct"/>
            <w:shd w:val="clear" w:color="auto" w:fill="auto"/>
          </w:tcPr>
          <w:p w:rsidR="00A84225" w:rsidRPr="00F62BEF" w:rsidP="000B1FF1" w14:paraId="45660F23" w14:textId="77777777">
            <w:pPr>
              <w:jc w:val="right"/>
              <w:rPr>
                <w:sz w:val="20"/>
                <w:szCs w:val="20"/>
              </w:rPr>
            </w:pPr>
            <w:r w:rsidRPr="00F62BEF">
              <w:rPr>
                <w:sz w:val="20"/>
                <w:szCs w:val="20"/>
              </w:rPr>
              <w:t>1</w:t>
            </w:r>
          </w:p>
        </w:tc>
        <w:tc>
          <w:tcPr>
            <w:tcW w:w="577" w:type="pct"/>
            <w:shd w:val="clear" w:color="auto" w:fill="auto"/>
          </w:tcPr>
          <w:p w:rsidR="00A84225" w:rsidRPr="00F62BEF" w:rsidP="000B1FF1" w14:paraId="775F8C26" w14:textId="77777777">
            <w:pPr>
              <w:jc w:val="right"/>
              <w:rPr>
                <w:sz w:val="20"/>
                <w:szCs w:val="20"/>
              </w:rPr>
            </w:pPr>
            <w:r w:rsidRPr="00F62BEF">
              <w:rPr>
                <w:sz w:val="20"/>
                <w:szCs w:val="20"/>
              </w:rPr>
              <w:t>1</w:t>
            </w:r>
          </w:p>
        </w:tc>
        <w:tc>
          <w:tcPr>
            <w:tcW w:w="577" w:type="pct"/>
            <w:shd w:val="clear" w:color="auto" w:fill="auto"/>
          </w:tcPr>
          <w:p w:rsidR="00A84225" w:rsidRPr="00F62BEF" w:rsidP="000B1FF1" w14:paraId="2790973A" w14:textId="77777777">
            <w:pPr>
              <w:jc w:val="right"/>
              <w:rPr>
                <w:sz w:val="20"/>
                <w:szCs w:val="20"/>
              </w:rPr>
            </w:pPr>
            <w:r w:rsidRPr="00F62BEF">
              <w:rPr>
                <w:sz w:val="20"/>
                <w:szCs w:val="20"/>
              </w:rPr>
              <w:t>22</w:t>
            </w:r>
          </w:p>
        </w:tc>
        <w:tc>
          <w:tcPr>
            <w:tcW w:w="529" w:type="pct"/>
            <w:shd w:val="clear" w:color="auto" w:fill="auto"/>
          </w:tcPr>
          <w:p w:rsidR="00A84225" w:rsidRPr="00F62BEF" w:rsidP="000B1FF1" w14:paraId="710644A3" w14:textId="77777777">
            <w:pPr>
              <w:jc w:val="right"/>
              <w:rPr>
                <w:sz w:val="20"/>
                <w:szCs w:val="20"/>
              </w:rPr>
            </w:pPr>
            <w:r w:rsidRPr="00F62BEF">
              <w:rPr>
                <w:sz w:val="20"/>
                <w:szCs w:val="20"/>
              </w:rPr>
              <w:t>22</w:t>
            </w:r>
          </w:p>
        </w:tc>
      </w:tr>
      <w:tr w14:paraId="406C2636"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20CEEE83" w14:textId="77777777">
            <w:pPr>
              <w:rPr>
                <w:sz w:val="20"/>
                <w:szCs w:val="20"/>
              </w:rPr>
            </w:pPr>
            <w:r w:rsidRPr="00F62BEF">
              <w:rPr>
                <w:sz w:val="20"/>
                <w:szCs w:val="20"/>
              </w:rPr>
              <w:t>Alternate test procedures—1010.13</w:t>
            </w:r>
          </w:p>
        </w:tc>
        <w:tc>
          <w:tcPr>
            <w:tcW w:w="866" w:type="pct"/>
          </w:tcPr>
          <w:p w:rsidR="00A84225" w:rsidRPr="00F62BEF" w:rsidP="000B1FF1" w14:paraId="3DA0E6DD" w14:textId="77777777">
            <w:pPr>
              <w:rPr>
                <w:sz w:val="20"/>
                <w:szCs w:val="20"/>
              </w:rPr>
            </w:pPr>
          </w:p>
        </w:tc>
        <w:tc>
          <w:tcPr>
            <w:tcW w:w="817" w:type="pct"/>
            <w:shd w:val="clear" w:color="auto" w:fill="auto"/>
          </w:tcPr>
          <w:p w:rsidR="00A84225" w:rsidRPr="00F62BEF" w:rsidP="000B1FF1" w14:paraId="60C58CDE" w14:textId="77777777">
            <w:pPr>
              <w:jc w:val="right"/>
              <w:rPr>
                <w:sz w:val="20"/>
                <w:szCs w:val="20"/>
              </w:rPr>
            </w:pPr>
            <w:r w:rsidRPr="00F62BEF">
              <w:rPr>
                <w:sz w:val="20"/>
                <w:szCs w:val="20"/>
              </w:rPr>
              <w:t>1</w:t>
            </w:r>
          </w:p>
        </w:tc>
        <w:tc>
          <w:tcPr>
            <w:tcW w:w="721" w:type="pct"/>
            <w:shd w:val="clear" w:color="auto" w:fill="auto"/>
          </w:tcPr>
          <w:p w:rsidR="00A84225" w:rsidRPr="00F62BEF" w:rsidP="000B1FF1" w14:paraId="15B9FFA9" w14:textId="77777777">
            <w:pPr>
              <w:jc w:val="right"/>
              <w:rPr>
                <w:sz w:val="20"/>
                <w:szCs w:val="20"/>
              </w:rPr>
            </w:pPr>
            <w:r w:rsidRPr="00F62BEF">
              <w:rPr>
                <w:sz w:val="20"/>
                <w:szCs w:val="20"/>
              </w:rPr>
              <w:t>1</w:t>
            </w:r>
          </w:p>
        </w:tc>
        <w:tc>
          <w:tcPr>
            <w:tcW w:w="577" w:type="pct"/>
            <w:shd w:val="clear" w:color="auto" w:fill="auto"/>
          </w:tcPr>
          <w:p w:rsidR="00A84225" w:rsidRPr="00F62BEF" w:rsidP="000B1FF1" w14:paraId="1B91B629" w14:textId="77777777">
            <w:pPr>
              <w:jc w:val="right"/>
              <w:rPr>
                <w:sz w:val="20"/>
                <w:szCs w:val="20"/>
              </w:rPr>
            </w:pPr>
            <w:r w:rsidRPr="00F62BEF">
              <w:rPr>
                <w:sz w:val="20"/>
                <w:szCs w:val="20"/>
              </w:rPr>
              <w:t>1</w:t>
            </w:r>
          </w:p>
        </w:tc>
        <w:tc>
          <w:tcPr>
            <w:tcW w:w="577" w:type="pct"/>
            <w:shd w:val="clear" w:color="auto" w:fill="auto"/>
          </w:tcPr>
          <w:p w:rsidR="00A84225" w:rsidRPr="00F62BEF" w:rsidP="000B1FF1" w14:paraId="40060C79" w14:textId="77777777">
            <w:pPr>
              <w:jc w:val="right"/>
              <w:rPr>
                <w:sz w:val="20"/>
                <w:szCs w:val="20"/>
              </w:rPr>
            </w:pPr>
            <w:r w:rsidRPr="00F62BEF">
              <w:rPr>
                <w:sz w:val="20"/>
                <w:szCs w:val="20"/>
              </w:rPr>
              <w:t>10</w:t>
            </w:r>
          </w:p>
        </w:tc>
        <w:tc>
          <w:tcPr>
            <w:tcW w:w="529" w:type="pct"/>
            <w:shd w:val="clear" w:color="auto" w:fill="auto"/>
          </w:tcPr>
          <w:p w:rsidR="00A84225" w:rsidRPr="00F62BEF" w:rsidP="000B1FF1" w14:paraId="43196608" w14:textId="77777777">
            <w:pPr>
              <w:jc w:val="right"/>
              <w:rPr>
                <w:sz w:val="20"/>
                <w:szCs w:val="20"/>
              </w:rPr>
            </w:pPr>
            <w:r w:rsidRPr="00F62BEF">
              <w:rPr>
                <w:sz w:val="20"/>
                <w:szCs w:val="20"/>
              </w:rPr>
              <w:t>10</w:t>
            </w:r>
          </w:p>
        </w:tc>
      </w:tr>
      <w:tr w14:paraId="258515B1"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1002AF46" w14:textId="77777777">
            <w:pPr>
              <w:rPr>
                <w:sz w:val="20"/>
                <w:szCs w:val="20"/>
              </w:rPr>
            </w:pPr>
            <w:r w:rsidRPr="00F62BEF">
              <w:rPr>
                <w:sz w:val="20"/>
                <w:szCs w:val="20"/>
              </w:rPr>
              <w:t>Microwave oven exemption from warning labels—1030.10(c)(6)(iv)</w:t>
            </w:r>
          </w:p>
        </w:tc>
        <w:tc>
          <w:tcPr>
            <w:tcW w:w="866" w:type="pct"/>
          </w:tcPr>
          <w:p w:rsidR="00A84225" w:rsidRPr="00F62BEF" w:rsidP="000B1FF1" w14:paraId="520AD91C" w14:textId="77777777">
            <w:pPr>
              <w:rPr>
                <w:sz w:val="20"/>
                <w:szCs w:val="20"/>
              </w:rPr>
            </w:pPr>
          </w:p>
        </w:tc>
        <w:tc>
          <w:tcPr>
            <w:tcW w:w="817" w:type="pct"/>
            <w:shd w:val="clear" w:color="auto" w:fill="auto"/>
          </w:tcPr>
          <w:p w:rsidR="00A84225" w:rsidRPr="00F62BEF" w:rsidP="000B1FF1" w14:paraId="0537E85C" w14:textId="77777777">
            <w:pPr>
              <w:jc w:val="right"/>
              <w:rPr>
                <w:sz w:val="20"/>
                <w:szCs w:val="20"/>
              </w:rPr>
            </w:pPr>
            <w:r w:rsidRPr="00F62BEF">
              <w:rPr>
                <w:sz w:val="20"/>
                <w:szCs w:val="20"/>
              </w:rPr>
              <w:t>1</w:t>
            </w:r>
          </w:p>
        </w:tc>
        <w:tc>
          <w:tcPr>
            <w:tcW w:w="721" w:type="pct"/>
            <w:shd w:val="clear" w:color="auto" w:fill="auto"/>
          </w:tcPr>
          <w:p w:rsidR="00A84225" w:rsidRPr="00F62BEF" w:rsidP="000B1FF1" w14:paraId="4CD9B516" w14:textId="77777777">
            <w:pPr>
              <w:jc w:val="right"/>
              <w:rPr>
                <w:sz w:val="20"/>
                <w:szCs w:val="20"/>
              </w:rPr>
            </w:pPr>
            <w:r w:rsidRPr="00F62BEF">
              <w:rPr>
                <w:sz w:val="20"/>
                <w:szCs w:val="20"/>
              </w:rPr>
              <w:t>1</w:t>
            </w:r>
          </w:p>
        </w:tc>
        <w:tc>
          <w:tcPr>
            <w:tcW w:w="577" w:type="pct"/>
            <w:shd w:val="clear" w:color="auto" w:fill="auto"/>
          </w:tcPr>
          <w:p w:rsidR="00A84225" w:rsidRPr="00F62BEF" w:rsidP="000B1FF1" w14:paraId="5704F883" w14:textId="77777777">
            <w:pPr>
              <w:jc w:val="right"/>
              <w:rPr>
                <w:sz w:val="20"/>
                <w:szCs w:val="20"/>
              </w:rPr>
            </w:pPr>
            <w:r w:rsidRPr="00F62BEF">
              <w:rPr>
                <w:sz w:val="20"/>
                <w:szCs w:val="20"/>
              </w:rPr>
              <w:t>1</w:t>
            </w:r>
          </w:p>
        </w:tc>
        <w:tc>
          <w:tcPr>
            <w:tcW w:w="577" w:type="pct"/>
            <w:shd w:val="clear" w:color="auto" w:fill="auto"/>
          </w:tcPr>
          <w:p w:rsidR="00A84225" w:rsidRPr="00F62BEF" w:rsidP="000B1FF1" w14:paraId="74BEAC87" w14:textId="77777777">
            <w:pPr>
              <w:jc w:val="right"/>
              <w:rPr>
                <w:sz w:val="20"/>
                <w:szCs w:val="20"/>
              </w:rPr>
            </w:pPr>
            <w:r w:rsidRPr="00F62BEF">
              <w:rPr>
                <w:sz w:val="20"/>
                <w:szCs w:val="20"/>
              </w:rPr>
              <w:t>1</w:t>
            </w:r>
          </w:p>
        </w:tc>
        <w:tc>
          <w:tcPr>
            <w:tcW w:w="529" w:type="pct"/>
            <w:shd w:val="clear" w:color="auto" w:fill="auto"/>
          </w:tcPr>
          <w:p w:rsidR="00A84225" w:rsidRPr="00F62BEF" w:rsidP="000B1FF1" w14:paraId="51EDA94F" w14:textId="77777777">
            <w:pPr>
              <w:jc w:val="right"/>
              <w:rPr>
                <w:sz w:val="20"/>
                <w:szCs w:val="20"/>
              </w:rPr>
            </w:pPr>
            <w:r w:rsidRPr="00F62BEF">
              <w:rPr>
                <w:sz w:val="20"/>
                <w:szCs w:val="20"/>
              </w:rPr>
              <w:t>1</w:t>
            </w:r>
          </w:p>
        </w:tc>
      </w:tr>
      <w:tr w14:paraId="7D03E5B7"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7D9DE08B" w14:textId="77777777">
            <w:pPr>
              <w:rPr>
                <w:sz w:val="20"/>
                <w:szCs w:val="20"/>
              </w:rPr>
            </w:pPr>
            <w:r w:rsidRPr="00F62BEF">
              <w:rPr>
                <w:sz w:val="20"/>
                <w:szCs w:val="20"/>
              </w:rPr>
              <w:t>Laser products registration—1040.10(a)(3)(i)</w:t>
            </w:r>
          </w:p>
        </w:tc>
        <w:tc>
          <w:tcPr>
            <w:tcW w:w="866" w:type="pct"/>
          </w:tcPr>
          <w:p w:rsidR="00A84225" w:rsidRPr="00F62BEF" w:rsidP="000B1FF1" w14:paraId="2CBC2C02" w14:textId="77777777">
            <w:pPr>
              <w:rPr>
                <w:sz w:val="20"/>
                <w:szCs w:val="20"/>
              </w:rPr>
            </w:pPr>
            <w:r w:rsidRPr="00F62BEF">
              <w:rPr>
                <w:sz w:val="20"/>
                <w:szCs w:val="20"/>
              </w:rPr>
              <w:t>3637—Original equipment manufacturer (OEM) report</w:t>
            </w:r>
          </w:p>
        </w:tc>
        <w:tc>
          <w:tcPr>
            <w:tcW w:w="817" w:type="pct"/>
            <w:shd w:val="clear" w:color="auto" w:fill="auto"/>
          </w:tcPr>
          <w:p w:rsidR="00A84225" w:rsidRPr="00F62BEF" w:rsidP="000B1FF1" w14:paraId="49F117C7" w14:textId="77777777">
            <w:pPr>
              <w:jc w:val="right"/>
              <w:rPr>
                <w:sz w:val="20"/>
                <w:szCs w:val="20"/>
              </w:rPr>
            </w:pPr>
            <w:r w:rsidRPr="00F62BEF">
              <w:rPr>
                <w:sz w:val="20"/>
                <w:szCs w:val="20"/>
              </w:rPr>
              <w:t>70</w:t>
            </w:r>
          </w:p>
        </w:tc>
        <w:tc>
          <w:tcPr>
            <w:tcW w:w="721" w:type="pct"/>
            <w:shd w:val="clear" w:color="auto" w:fill="auto"/>
          </w:tcPr>
          <w:p w:rsidR="00A84225" w:rsidRPr="00F62BEF" w:rsidP="000B1FF1" w14:paraId="4129F8F9" w14:textId="77777777">
            <w:pPr>
              <w:jc w:val="right"/>
              <w:rPr>
                <w:sz w:val="20"/>
                <w:szCs w:val="20"/>
              </w:rPr>
            </w:pPr>
            <w:r w:rsidRPr="00F62BEF">
              <w:rPr>
                <w:sz w:val="20"/>
                <w:szCs w:val="20"/>
              </w:rPr>
              <w:t>2.9</w:t>
            </w:r>
          </w:p>
        </w:tc>
        <w:tc>
          <w:tcPr>
            <w:tcW w:w="577" w:type="pct"/>
            <w:shd w:val="clear" w:color="auto" w:fill="auto"/>
          </w:tcPr>
          <w:p w:rsidR="00A84225" w:rsidRPr="00F62BEF" w:rsidP="000B1FF1" w14:paraId="02412D78" w14:textId="77777777">
            <w:pPr>
              <w:jc w:val="right"/>
              <w:rPr>
                <w:sz w:val="20"/>
                <w:szCs w:val="20"/>
              </w:rPr>
            </w:pPr>
            <w:r w:rsidRPr="00F62BEF">
              <w:rPr>
                <w:sz w:val="20"/>
                <w:szCs w:val="20"/>
              </w:rPr>
              <w:t>203</w:t>
            </w:r>
          </w:p>
        </w:tc>
        <w:tc>
          <w:tcPr>
            <w:tcW w:w="577" w:type="pct"/>
            <w:shd w:val="clear" w:color="auto" w:fill="auto"/>
          </w:tcPr>
          <w:p w:rsidR="00A84225" w:rsidRPr="00F62BEF" w:rsidP="000B1FF1" w14:paraId="197A133D" w14:textId="77777777">
            <w:pPr>
              <w:jc w:val="right"/>
              <w:rPr>
                <w:sz w:val="20"/>
                <w:szCs w:val="20"/>
              </w:rPr>
            </w:pPr>
            <w:r w:rsidRPr="00F62BEF">
              <w:rPr>
                <w:sz w:val="20"/>
                <w:szCs w:val="20"/>
              </w:rPr>
              <w:t>3</w:t>
            </w:r>
          </w:p>
        </w:tc>
        <w:tc>
          <w:tcPr>
            <w:tcW w:w="529" w:type="pct"/>
            <w:shd w:val="clear" w:color="auto" w:fill="auto"/>
          </w:tcPr>
          <w:p w:rsidR="00A84225" w:rsidRPr="00F62BEF" w:rsidP="000B1FF1" w14:paraId="7B40B8F1" w14:textId="77777777">
            <w:pPr>
              <w:jc w:val="right"/>
              <w:rPr>
                <w:sz w:val="20"/>
                <w:szCs w:val="20"/>
              </w:rPr>
            </w:pPr>
            <w:r w:rsidRPr="00F62BEF">
              <w:rPr>
                <w:sz w:val="20"/>
                <w:szCs w:val="20"/>
              </w:rPr>
              <w:t>609</w:t>
            </w:r>
          </w:p>
        </w:tc>
      </w:tr>
      <w:tr w14:paraId="1C787F26" w14:textId="77777777" w:rsidTr="00E50E6A">
        <w:tblPrEx>
          <w:tblW w:w="5000" w:type="pct"/>
          <w:jc w:val="center"/>
          <w:tblLayout w:type="fixed"/>
          <w:tblLook w:val="01E0"/>
        </w:tblPrEx>
        <w:trPr>
          <w:cantSplit/>
          <w:trHeight w:val="20"/>
          <w:jc w:val="center"/>
        </w:trPr>
        <w:tc>
          <w:tcPr>
            <w:tcW w:w="913" w:type="pct"/>
            <w:shd w:val="clear" w:color="auto" w:fill="auto"/>
          </w:tcPr>
          <w:p w:rsidR="00A84225" w:rsidRPr="00F62BEF" w:rsidP="000B1FF1" w14:paraId="19909A8A" w14:textId="77777777">
            <w:pPr>
              <w:rPr>
                <w:sz w:val="20"/>
                <w:szCs w:val="20"/>
              </w:rPr>
            </w:pPr>
            <w:r w:rsidRPr="00F62BEF">
              <w:rPr>
                <w:sz w:val="20"/>
                <w:szCs w:val="20"/>
              </w:rPr>
              <w:t>Total</w:t>
            </w:r>
          </w:p>
        </w:tc>
        <w:tc>
          <w:tcPr>
            <w:tcW w:w="866" w:type="pct"/>
          </w:tcPr>
          <w:p w:rsidR="00A84225" w:rsidRPr="00F62BEF" w:rsidP="000B1FF1" w14:paraId="5B8559C0" w14:textId="77777777">
            <w:pPr>
              <w:rPr>
                <w:sz w:val="20"/>
                <w:szCs w:val="20"/>
              </w:rPr>
            </w:pPr>
          </w:p>
        </w:tc>
        <w:tc>
          <w:tcPr>
            <w:tcW w:w="817" w:type="pct"/>
            <w:shd w:val="clear" w:color="auto" w:fill="auto"/>
          </w:tcPr>
          <w:p w:rsidR="00A84225" w:rsidRPr="00F62BEF" w:rsidP="000B1FF1" w14:paraId="25D10EBE" w14:textId="1FAA04FE">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16,181</w:t>
            </w:r>
            <w:r>
              <w:rPr>
                <w:sz w:val="20"/>
                <w:szCs w:val="20"/>
              </w:rPr>
              <w:fldChar w:fldCharType="end"/>
            </w:r>
          </w:p>
        </w:tc>
        <w:tc>
          <w:tcPr>
            <w:tcW w:w="721" w:type="pct"/>
            <w:shd w:val="clear" w:color="auto" w:fill="auto"/>
          </w:tcPr>
          <w:p w:rsidR="00A84225" w:rsidRPr="00F62BEF" w:rsidP="000B1FF1" w14:paraId="602F4964" w14:textId="77777777">
            <w:pPr>
              <w:jc w:val="right"/>
              <w:rPr>
                <w:sz w:val="20"/>
                <w:szCs w:val="20"/>
              </w:rPr>
            </w:pPr>
          </w:p>
        </w:tc>
        <w:tc>
          <w:tcPr>
            <w:tcW w:w="577" w:type="pct"/>
            <w:shd w:val="clear" w:color="auto" w:fill="auto"/>
          </w:tcPr>
          <w:p w:rsidR="00A84225" w:rsidRPr="00F62BEF" w:rsidP="000B1FF1" w14:paraId="111F6E47" w14:textId="70D69773">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38,012</w:t>
            </w:r>
            <w:r>
              <w:rPr>
                <w:sz w:val="20"/>
                <w:szCs w:val="20"/>
              </w:rPr>
              <w:fldChar w:fldCharType="end"/>
            </w:r>
          </w:p>
        </w:tc>
        <w:tc>
          <w:tcPr>
            <w:tcW w:w="577" w:type="pct"/>
            <w:shd w:val="clear" w:color="auto" w:fill="auto"/>
          </w:tcPr>
          <w:p w:rsidR="00A84225" w:rsidRPr="00F62BEF" w:rsidP="000B1FF1" w14:paraId="7DD65150" w14:textId="77777777">
            <w:pPr>
              <w:jc w:val="right"/>
              <w:rPr>
                <w:sz w:val="20"/>
                <w:szCs w:val="20"/>
              </w:rPr>
            </w:pPr>
          </w:p>
        </w:tc>
        <w:tc>
          <w:tcPr>
            <w:tcW w:w="529" w:type="pct"/>
            <w:shd w:val="clear" w:color="auto" w:fill="auto"/>
          </w:tcPr>
          <w:p w:rsidR="00A84225" w:rsidRPr="00F62BEF" w:rsidP="000B1FF1" w14:paraId="21FA5AC2" w14:textId="77777777">
            <w:pPr>
              <w:jc w:val="right"/>
              <w:rPr>
                <w:sz w:val="20"/>
                <w:szCs w:val="20"/>
              </w:rPr>
            </w:pPr>
            <w:r w:rsidRPr="00F62BEF">
              <w:rPr>
                <w:sz w:val="20"/>
                <w:szCs w:val="20"/>
              </w:rPr>
              <w:t>102,744</w:t>
            </w:r>
          </w:p>
        </w:tc>
      </w:tr>
      <w:tr w14:paraId="3E6D94F5" w14:textId="77777777" w:rsidTr="00BE2C35">
        <w:tblPrEx>
          <w:tblW w:w="5000" w:type="pct"/>
          <w:jc w:val="center"/>
          <w:tblLayout w:type="fixed"/>
          <w:tblLook w:val="01E0"/>
        </w:tblPrEx>
        <w:trPr>
          <w:cantSplit/>
          <w:trHeight w:val="20"/>
          <w:jc w:val="center"/>
        </w:trPr>
        <w:tc>
          <w:tcPr>
            <w:tcW w:w="5000" w:type="pct"/>
            <w:gridSpan w:val="7"/>
            <w:tcBorders>
              <w:left w:val="nil"/>
              <w:bottom w:val="nil"/>
              <w:right w:val="nil"/>
            </w:tcBorders>
            <w:shd w:val="clear" w:color="auto" w:fill="auto"/>
          </w:tcPr>
          <w:p w:rsidR="00A84225" w:rsidRPr="00F62BEF" w:rsidP="000B1FF1" w14:paraId="55B290E5" w14:textId="77777777">
            <w:pPr>
              <w:pStyle w:val="Default"/>
              <w:rPr>
                <w:sz w:val="20"/>
                <w:szCs w:val="20"/>
              </w:rPr>
            </w:pPr>
            <w:r w:rsidRPr="00F62BEF">
              <w:rPr>
                <w:sz w:val="20"/>
                <w:szCs w:val="20"/>
                <w:vertAlign w:val="superscript"/>
              </w:rPr>
              <w:t>1</w:t>
            </w:r>
            <w:r w:rsidRPr="00F62BEF">
              <w:rPr>
                <w:sz w:val="20"/>
                <w:szCs w:val="20"/>
              </w:rPr>
              <w:t xml:space="preserve"> </w:t>
            </w:r>
            <w:r w:rsidRPr="00F62BEF" w:rsidR="0008681D">
              <w:rPr>
                <w:sz w:val="20"/>
                <w:szCs w:val="20"/>
              </w:rPr>
              <w:t>Numbers</w:t>
            </w:r>
            <w:r w:rsidRPr="00F62BEF">
              <w:rPr>
                <w:sz w:val="20"/>
                <w:szCs w:val="20"/>
              </w:rPr>
              <w:t xml:space="preserve"> have been rounded.</w:t>
            </w:r>
          </w:p>
        </w:tc>
      </w:tr>
    </w:tbl>
    <w:p w:rsidR="00A84225" w:rsidRPr="00002933" w:rsidP="000B1FF1" w14:paraId="2BC22C53" w14:textId="77777777">
      <w:pPr>
        <w:ind w:left="360"/>
        <w:rPr>
          <w:rFonts w:eastAsia="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7"/>
        <w:gridCol w:w="1584"/>
        <w:gridCol w:w="1320"/>
        <w:gridCol w:w="1056"/>
        <w:gridCol w:w="1408"/>
        <w:gridCol w:w="985"/>
      </w:tblGrid>
      <w:tr w14:paraId="3E990DE7" w14:textId="77777777" w:rsidTr="00BE2C3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1"/>
          <w:tblHeader/>
          <w:jc w:val="center"/>
        </w:trPr>
        <w:tc>
          <w:tcPr>
            <w:tcW w:w="5000" w:type="pct"/>
            <w:gridSpan w:val="6"/>
            <w:tcBorders>
              <w:top w:val="nil"/>
              <w:left w:val="nil"/>
              <w:right w:val="nil"/>
            </w:tcBorders>
            <w:shd w:val="clear" w:color="auto" w:fill="auto"/>
          </w:tcPr>
          <w:p w:rsidR="00A84225" w:rsidRPr="00002933" w:rsidP="000B1FF1" w14:paraId="532B48EA" w14:textId="0C55BA45">
            <w:pPr>
              <w:keepNext/>
              <w:jc w:val="center"/>
              <w:rPr>
                <w:sz w:val="18"/>
                <w:szCs w:val="18"/>
              </w:rPr>
            </w:pPr>
            <w:r w:rsidRPr="00002933">
              <w:rPr>
                <w:sz w:val="18"/>
                <w:szCs w:val="18"/>
              </w:rPr>
              <w:t xml:space="preserve">Table </w:t>
            </w:r>
            <w:r w:rsidR="00911E43">
              <w:rPr>
                <w:sz w:val="18"/>
                <w:szCs w:val="18"/>
              </w:rPr>
              <w:t>3</w:t>
            </w:r>
            <w:r w:rsidRPr="00002933">
              <w:rPr>
                <w:sz w:val="18"/>
                <w:szCs w:val="18"/>
              </w:rPr>
              <w:t>.--Estimated Annual Recordkeeping Burden</w:t>
            </w:r>
            <w:r w:rsidRPr="00002933" w:rsidR="004F136E">
              <w:rPr>
                <w:sz w:val="18"/>
                <w:szCs w:val="18"/>
                <w:vertAlign w:val="superscript"/>
              </w:rPr>
              <w:t>1</w:t>
            </w:r>
          </w:p>
        </w:tc>
      </w:tr>
      <w:tr w14:paraId="0E7CE780" w14:textId="77777777" w:rsidTr="00BE2C35">
        <w:tblPrEx>
          <w:tblW w:w="5000" w:type="pct"/>
          <w:jc w:val="center"/>
          <w:tblLayout w:type="fixed"/>
          <w:tblLook w:val="01E0"/>
        </w:tblPrEx>
        <w:trPr>
          <w:cantSplit/>
          <w:trHeight w:val="710"/>
          <w:tblHeader/>
          <w:jc w:val="center"/>
        </w:trPr>
        <w:tc>
          <w:tcPr>
            <w:tcW w:w="1607" w:type="pct"/>
            <w:shd w:val="clear" w:color="auto" w:fill="auto"/>
          </w:tcPr>
          <w:p w:rsidR="00A84225" w:rsidRPr="00652821" w:rsidP="000B1FF1" w14:paraId="10B7290B" w14:textId="77777777">
            <w:pPr>
              <w:keepNext/>
              <w:jc w:val="center"/>
              <w:rPr>
                <w:sz w:val="18"/>
                <w:szCs w:val="18"/>
              </w:rPr>
            </w:pPr>
            <w:r w:rsidRPr="00652821">
              <w:rPr>
                <w:sz w:val="18"/>
                <w:szCs w:val="18"/>
              </w:rPr>
              <w:t>Activity/ 21 CFR Section</w:t>
            </w:r>
          </w:p>
        </w:tc>
        <w:tc>
          <w:tcPr>
            <w:tcW w:w="846" w:type="pct"/>
            <w:shd w:val="clear" w:color="auto" w:fill="auto"/>
          </w:tcPr>
          <w:p w:rsidR="00A84225" w:rsidRPr="00652821" w:rsidP="000B1FF1" w14:paraId="5DAE4178" w14:textId="77777777">
            <w:pPr>
              <w:keepNext/>
              <w:jc w:val="center"/>
              <w:rPr>
                <w:sz w:val="18"/>
                <w:szCs w:val="18"/>
              </w:rPr>
            </w:pPr>
            <w:r w:rsidRPr="00652821">
              <w:rPr>
                <w:sz w:val="18"/>
                <w:szCs w:val="18"/>
              </w:rPr>
              <w:t>No. of Recordkeepers</w:t>
            </w:r>
          </w:p>
        </w:tc>
        <w:tc>
          <w:tcPr>
            <w:tcW w:w="705" w:type="pct"/>
            <w:shd w:val="clear" w:color="auto" w:fill="auto"/>
          </w:tcPr>
          <w:p w:rsidR="00A84225" w:rsidRPr="00652821" w:rsidP="000B1FF1" w14:paraId="01127476" w14:textId="77777777">
            <w:pPr>
              <w:keepNext/>
              <w:jc w:val="center"/>
              <w:rPr>
                <w:sz w:val="18"/>
                <w:szCs w:val="18"/>
              </w:rPr>
            </w:pPr>
            <w:r w:rsidRPr="00652821">
              <w:rPr>
                <w:bCs/>
                <w:sz w:val="18"/>
                <w:szCs w:val="18"/>
              </w:rPr>
              <w:t>No. of Records per Recordkeeper</w:t>
            </w:r>
          </w:p>
        </w:tc>
        <w:tc>
          <w:tcPr>
            <w:tcW w:w="564" w:type="pct"/>
            <w:shd w:val="clear" w:color="auto" w:fill="auto"/>
          </w:tcPr>
          <w:p w:rsidR="00A84225" w:rsidRPr="00652821" w:rsidP="000B1FF1" w14:paraId="3C0A7A81" w14:textId="77777777">
            <w:pPr>
              <w:keepNext/>
              <w:jc w:val="center"/>
              <w:rPr>
                <w:sz w:val="18"/>
                <w:szCs w:val="18"/>
              </w:rPr>
            </w:pPr>
            <w:r w:rsidRPr="00652821">
              <w:rPr>
                <w:sz w:val="18"/>
                <w:szCs w:val="18"/>
              </w:rPr>
              <w:t>Total Annual Records</w:t>
            </w:r>
          </w:p>
        </w:tc>
        <w:tc>
          <w:tcPr>
            <w:tcW w:w="752" w:type="pct"/>
            <w:shd w:val="clear" w:color="auto" w:fill="auto"/>
          </w:tcPr>
          <w:p w:rsidR="00A84225" w:rsidRPr="00652821" w:rsidP="000B1FF1" w14:paraId="790A8412" w14:textId="77777777">
            <w:pPr>
              <w:keepNext/>
              <w:jc w:val="center"/>
              <w:rPr>
                <w:sz w:val="18"/>
                <w:szCs w:val="18"/>
              </w:rPr>
            </w:pPr>
            <w:r w:rsidRPr="00652821">
              <w:rPr>
                <w:bCs/>
                <w:sz w:val="18"/>
                <w:szCs w:val="18"/>
              </w:rPr>
              <w:t xml:space="preserve">Average Burden per Recordkeeping </w:t>
            </w:r>
          </w:p>
        </w:tc>
        <w:tc>
          <w:tcPr>
            <w:tcW w:w="526" w:type="pct"/>
            <w:shd w:val="clear" w:color="auto" w:fill="auto"/>
          </w:tcPr>
          <w:p w:rsidR="00A84225" w:rsidRPr="00652821" w:rsidP="000B1FF1" w14:paraId="2379B0B5" w14:textId="77777777">
            <w:pPr>
              <w:keepNext/>
              <w:jc w:val="center"/>
              <w:rPr>
                <w:sz w:val="18"/>
                <w:szCs w:val="18"/>
              </w:rPr>
            </w:pPr>
            <w:r w:rsidRPr="00652821">
              <w:rPr>
                <w:sz w:val="18"/>
                <w:szCs w:val="18"/>
              </w:rPr>
              <w:t>Total Hours</w:t>
            </w:r>
          </w:p>
        </w:tc>
      </w:tr>
      <w:tr w14:paraId="4B7BD3B1" w14:textId="77777777" w:rsidTr="00002933">
        <w:tblPrEx>
          <w:tblW w:w="5000" w:type="pct"/>
          <w:jc w:val="center"/>
          <w:tblLayout w:type="fixed"/>
          <w:tblLook w:val="01E0"/>
        </w:tblPrEx>
        <w:trPr>
          <w:cantSplit/>
          <w:trHeight w:val="494"/>
          <w:jc w:val="center"/>
        </w:trPr>
        <w:tc>
          <w:tcPr>
            <w:tcW w:w="1607" w:type="pct"/>
            <w:shd w:val="clear" w:color="auto" w:fill="auto"/>
          </w:tcPr>
          <w:p w:rsidR="00A84225" w:rsidRPr="00652821" w:rsidP="000B1FF1" w14:paraId="68C9C182" w14:textId="77777777">
            <w:pPr>
              <w:keepNext/>
              <w:rPr>
                <w:sz w:val="18"/>
                <w:szCs w:val="18"/>
              </w:rPr>
            </w:pPr>
            <w:r w:rsidRPr="00652821">
              <w:rPr>
                <w:sz w:val="18"/>
                <w:szCs w:val="18"/>
              </w:rPr>
              <w:t>Manufacturer</w:t>
            </w:r>
            <w:r w:rsidRPr="00652821" w:rsidR="004F136E">
              <w:rPr>
                <w:sz w:val="18"/>
                <w:szCs w:val="18"/>
              </w:rPr>
              <w:t xml:space="preserve"> test and distribution</w:t>
            </w:r>
            <w:r w:rsidRPr="00652821">
              <w:rPr>
                <w:sz w:val="18"/>
                <w:szCs w:val="18"/>
              </w:rPr>
              <w:t xml:space="preserve"> records—1002.30 and 1002.31(a)</w:t>
            </w:r>
          </w:p>
        </w:tc>
        <w:tc>
          <w:tcPr>
            <w:tcW w:w="846" w:type="pct"/>
            <w:shd w:val="clear" w:color="auto" w:fill="auto"/>
          </w:tcPr>
          <w:p w:rsidR="00A84225" w:rsidRPr="00652821" w:rsidP="000B1FF1" w14:paraId="1F119848" w14:textId="77777777">
            <w:pPr>
              <w:keepNext/>
              <w:jc w:val="right"/>
              <w:rPr>
                <w:sz w:val="18"/>
                <w:szCs w:val="18"/>
              </w:rPr>
            </w:pPr>
            <w:r w:rsidRPr="00652821">
              <w:rPr>
                <w:sz w:val="18"/>
                <w:szCs w:val="18"/>
              </w:rPr>
              <w:t>1,409</w:t>
            </w:r>
          </w:p>
        </w:tc>
        <w:tc>
          <w:tcPr>
            <w:tcW w:w="705" w:type="pct"/>
            <w:shd w:val="clear" w:color="auto" w:fill="auto"/>
          </w:tcPr>
          <w:p w:rsidR="00A84225" w:rsidRPr="00652821" w:rsidP="000B1FF1" w14:paraId="010BC5E5" w14:textId="77777777">
            <w:pPr>
              <w:keepNext/>
              <w:jc w:val="right"/>
              <w:rPr>
                <w:sz w:val="18"/>
                <w:szCs w:val="18"/>
              </w:rPr>
            </w:pPr>
            <w:r w:rsidRPr="00652821">
              <w:rPr>
                <w:sz w:val="18"/>
                <w:szCs w:val="18"/>
              </w:rPr>
              <w:t>1,650</w:t>
            </w:r>
          </w:p>
        </w:tc>
        <w:tc>
          <w:tcPr>
            <w:tcW w:w="564" w:type="pct"/>
            <w:shd w:val="clear" w:color="auto" w:fill="auto"/>
          </w:tcPr>
          <w:p w:rsidR="00A84225" w:rsidRPr="00652821" w:rsidP="000B1FF1" w14:paraId="3BB39D76" w14:textId="77777777">
            <w:pPr>
              <w:keepNext/>
              <w:jc w:val="right"/>
              <w:rPr>
                <w:sz w:val="18"/>
                <w:szCs w:val="18"/>
              </w:rPr>
            </w:pPr>
            <w:r w:rsidRPr="00652821">
              <w:rPr>
                <w:sz w:val="18"/>
                <w:szCs w:val="18"/>
              </w:rPr>
              <w:t>2,324,850</w:t>
            </w:r>
          </w:p>
        </w:tc>
        <w:tc>
          <w:tcPr>
            <w:tcW w:w="752" w:type="pct"/>
            <w:shd w:val="clear" w:color="auto" w:fill="auto"/>
          </w:tcPr>
          <w:p w:rsidR="00A84225" w:rsidRPr="00652821" w:rsidP="000B1FF1" w14:paraId="74AC8557" w14:textId="77777777">
            <w:pPr>
              <w:keepNext/>
              <w:jc w:val="right"/>
              <w:rPr>
                <w:sz w:val="18"/>
                <w:szCs w:val="18"/>
              </w:rPr>
            </w:pPr>
            <w:r w:rsidRPr="00652821">
              <w:rPr>
                <w:sz w:val="18"/>
                <w:szCs w:val="18"/>
              </w:rPr>
              <w:t>0.12</w:t>
            </w:r>
          </w:p>
          <w:p w:rsidR="004F136E" w:rsidRPr="00652821" w:rsidP="000B1FF1" w14:paraId="19845F3B" w14:textId="77777777">
            <w:pPr>
              <w:keepNext/>
              <w:jc w:val="right"/>
              <w:rPr>
                <w:sz w:val="18"/>
                <w:szCs w:val="18"/>
              </w:rPr>
            </w:pPr>
            <w:r w:rsidRPr="00652821">
              <w:rPr>
                <w:sz w:val="18"/>
                <w:szCs w:val="18"/>
              </w:rPr>
              <w:t>(7 minutes)</w:t>
            </w:r>
          </w:p>
        </w:tc>
        <w:tc>
          <w:tcPr>
            <w:tcW w:w="526" w:type="pct"/>
            <w:shd w:val="clear" w:color="auto" w:fill="auto"/>
          </w:tcPr>
          <w:p w:rsidR="00A84225" w:rsidRPr="00652821" w:rsidP="000B1FF1" w14:paraId="06462165" w14:textId="77777777">
            <w:pPr>
              <w:keepNext/>
              <w:jc w:val="right"/>
              <w:rPr>
                <w:sz w:val="18"/>
                <w:szCs w:val="18"/>
              </w:rPr>
            </w:pPr>
            <w:r w:rsidRPr="00652821">
              <w:rPr>
                <w:sz w:val="18"/>
                <w:szCs w:val="18"/>
              </w:rPr>
              <w:t>278,982</w:t>
            </w:r>
          </w:p>
        </w:tc>
      </w:tr>
      <w:tr w14:paraId="3134FA6C" w14:textId="77777777" w:rsidTr="00002933">
        <w:tblPrEx>
          <w:tblW w:w="5000" w:type="pct"/>
          <w:jc w:val="center"/>
          <w:tblLayout w:type="fixed"/>
          <w:tblLook w:val="01E0"/>
        </w:tblPrEx>
        <w:trPr>
          <w:cantSplit/>
          <w:trHeight w:val="449"/>
          <w:jc w:val="center"/>
        </w:trPr>
        <w:tc>
          <w:tcPr>
            <w:tcW w:w="1607" w:type="pct"/>
            <w:shd w:val="clear" w:color="auto" w:fill="auto"/>
          </w:tcPr>
          <w:p w:rsidR="00A84225" w:rsidRPr="00652821" w:rsidP="000B1FF1" w14:paraId="68750963" w14:textId="77777777">
            <w:pPr>
              <w:keepNext/>
              <w:rPr>
                <w:sz w:val="18"/>
                <w:szCs w:val="18"/>
              </w:rPr>
            </w:pPr>
            <w:r w:rsidRPr="00652821">
              <w:rPr>
                <w:sz w:val="18"/>
                <w:szCs w:val="18"/>
              </w:rPr>
              <w:t>Dealer/distributor records—1002.40 and 1002.41</w:t>
            </w:r>
          </w:p>
        </w:tc>
        <w:tc>
          <w:tcPr>
            <w:tcW w:w="846" w:type="pct"/>
            <w:shd w:val="clear" w:color="auto" w:fill="auto"/>
          </w:tcPr>
          <w:p w:rsidR="00A84225" w:rsidRPr="00652821" w:rsidP="000B1FF1" w14:paraId="6CF5FDDE" w14:textId="77777777">
            <w:pPr>
              <w:keepNext/>
              <w:jc w:val="right"/>
              <w:rPr>
                <w:sz w:val="18"/>
                <w:szCs w:val="18"/>
              </w:rPr>
            </w:pPr>
            <w:r w:rsidRPr="00652821">
              <w:rPr>
                <w:sz w:val="18"/>
                <w:szCs w:val="18"/>
              </w:rPr>
              <w:t>2,909</w:t>
            </w:r>
          </w:p>
        </w:tc>
        <w:tc>
          <w:tcPr>
            <w:tcW w:w="705" w:type="pct"/>
            <w:shd w:val="clear" w:color="auto" w:fill="auto"/>
          </w:tcPr>
          <w:p w:rsidR="00A84225" w:rsidRPr="00652821" w:rsidP="000B1FF1" w14:paraId="341924DC" w14:textId="77777777">
            <w:pPr>
              <w:keepNext/>
              <w:jc w:val="right"/>
              <w:rPr>
                <w:sz w:val="18"/>
                <w:szCs w:val="18"/>
              </w:rPr>
            </w:pPr>
            <w:r w:rsidRPr="00652821">
              <w:rPr>
                <w:sz w:val="18"/>
                <w:szCs w:val="18"/>
              </w:rPr>
              <w:t>50</w:t>
            </w:r>
          </w:p>
        </w:tc>
        <w:tc>
          <w:tcPr>
            <w:tcW w:w="564" w:type="pct"/>
            <w:shd w:val="clear" w:color="auto" w:fill="auto"/>
          </w:tcPr>
          <w:p w:rsidR="00A84225" w:rsidRPr="00652821" w:rsidP="000B1FF1" w14:paraId="43A7E576" w14:textId="77777777">
            <w:pPr>
              <w:keepNext/>
              <w:jc w:val="right"/>
              <w:rPr>
                <w:sz w:val="18"/>
                <w:szCs w:val="18"/>
              </w:rPr>
            </w:pPr>
            <w:r w:rsidRPr="00652821">
              <w:rPr>
                <w:sz w:val="18"/>
                <w:szCs w:val="18"/>
              </w:rPr>
              <w:t>145,450</w:t>
            </w:r>
          </w:p>
        </w:tc>
        <w:tc>
          <w:tcPr>
            <w:tcW w:w="752" w:type="pct"/>
            <w:shd w:val="clear" w:color="auto" w:fill="auto"/>
          </w:tcPr>
          <w:p w:rsidR="00A84225" w:rsidRPr="00652821" w:rsidP="000B1FF1" w14:paraId="1B1ABC08" w14:textId="77777777">
            <w:pPr>
              <w:keepNext/>
              <w:jc w:val="right"/>
              <w:rPr>
                <w:sz w:val="18"/>
                <w:szCs w:val="18"/>
              </w:rPr>
            </w:pPr>
            <w:r w:rsidRPr="00652821">
              <w:rPr>
                <w:sz w:val="18"/>
                <w:szCs w:val="18"/>
              </w:rPr>
              <w:t>0.05</w:t>
            </w:r>
          </w:p>
          <w:p w:rsidR="004F136E" w:rsidRPr="00652821" w:rsidP="000B1FF1" w14:paraId="6BAC426A" w14:textId="77777777">
            <w:pPr>
              <w:keepNext/>
              <w:jc w:val="right"/>
              <w:rPr>
                <w:sz w:val="18"/>
                <w:szCs w:val="18"/>
              </w:rPr>
            </w:pPr>
            <w:r w:rsidRPr="00652821">
              <w:rPr>
                <w:sz w:val="18"/>
                <w:szCs w:val="18"/>
              </w:rPr>
              <w:t>(3 minutes)</w:t>
            </w:r>
          </w:p>
        </w:tc>
        <w:tc>
          <w:tcPr>
            <w:tcW w:w="526" w:type="pct"/>
            <w:shd w:val="clear" w:color="auto" w:fill="auto"/>
          </w:tcPr>
          <w:p w:rsidR="00A84225" w:rsidRPr="00652821" w:rsidP="000B1FF1" w14:paraId="4A7CCF99" w14:textId="77777777">
            <w:pPr>
              <w:keepNext/>
              <w:jc w:val="right"/>
              <w:rPr>
                <w:sz w:val="18"/>
                <w:szCs w:val="18"/>
              </w:rPr>
            </w:pPr>
            <w:r w:rsidRPr="00652821">
              <w:rPr>
                <w:sz w:val="18"/>
                <w:szCs w:val="18"/>
              </w:rPr>
              <w:t>7,273</w:t>
            </w:r>
          </w:p>
        </w:tc>
      </w:tr>
      <w:tr w14:paraId="37364238" w14:textId="77777777" w:rsidTr="00BE2C35">
        <w:tblPrEx>
          <w:tblW w:w="5000" w:type="pct"/>
          <w:jc w:val="center"/>
          <w:tblLayout w:type="fixed"/>
          <w:tblLook w:val="01E0"/>
        </w:tblPrEx>
        <w:trPr>
          <w:cantSplit/>
          <w:trHeight w:val="179"/>
          <w:jc w:val="center"/>
        </w:trPr>
        <w:tc>
          <w:tcPr>
            <w:tcW w:w="1607" w:type="pct"/>
            <w:shd w:val="clear" w:color="auto" w:fill="auto"/>
          </w:tcPr>
          <w:p w:rsidR="00A84225" w:rsidRPr="00652821" w:rsidP="000B1FF1" w14:paraId="5877D2E8" w14:textId="77777777">
            <w:pPr>
              <w:keepNext/>
              <w:rPr>
                <w:sz w:val="18"/>
                <w:szCs w:val="18"/>
              </w:rPr>
            </w:pPr>
            <w:r w:rsidRPr="00652821">
              <w:rPr>
                <w:sz w:val="18"/>
                <w:szCs w:val="18"/>
              </w:rPr>
              <w:t>Information on diagnostic x-ray systems—1020.30(g)</w:t>
            </w:r>
          </w:p>
        </w:tc>
        <w:tc>
          <w:tcPr>
            <w:tcW w:w="846" w:type="pct"/>
            <w:shd w:val="clear" w:color="auto" w:fill="auto"/>
          </w:tcPr>
          <w:p w:rsidR="00A84225" w:rsidRPr="00652821" w:rsidP="000B1FF1" w14:paraId="07E2E7AD" w14:textId="77777777">
            <w:pPr>
              <w:keepNext/>
              <w:jc w:val="right"/>
              <w:rPr>
                <w:sz w:val="18"/>
                <w:szCs w:val="18"/>
              </w:rPr>
            </w:pPr>
            <w:r w:rsidRPr="00652821">
              <w:rPr>
                <w:sz w:val="18"/>
                <w:szCs w:val="18"/>
              </w:rPr>
              <w:t>50</w:t>
            </w:r>
          </w:p>
        </w:tc>
        <w:tc>
          <w:tcPr>
            <w:tcW w:w="705" w:type="pct"/>
            <w:shd w:val="clear" w:color="auto" w:fill="auto"/>
          </w:tcPr>
          <w:p w:rsidR="00A84225" w:rsidRPr="00652821" w:rsidP="000B1FF1" w14:paraId="26DE7FB6" w14:textId="77777777">
            <w:pPr>
              <w:keepNext/>
              <w:jc w:val="right"/>
              <w:rPr>
                <w:sz w:val="18"/>
                <w:szCs w:val="18"/>
              </w:rPr>
            </w:pPr>
            <w:r w:rsidRPr="00652821">
              <w:rPr>
                <w:sz w:val="18"/>
                <w:szCs w:val="18"/>
              </w:rPr>
              <w:t>1</w:t>
            </w:r>
          </w:p>
        </w:tc>
        <w:tc>
          <w:tcPr>
            <w:tcW w:w="564" w:type="pct"/>
            <w:shd w:val="clear" w:color="auto" w:fill="auto"/>
          </w:tcPr>
          <w:p w:rsidR="00A84225" w:rsidRPr="00652821" w:rsidP="000B1FF1" w14:paraId="40D634DF" w14:textId="77777777">
            <w:pPr>
              <w:keepNext/>
              <w:jc w:val="right"/>
              <w:rPr>
                <w:sz w:val="18"/>
                <w:szCs w:val="18"/>
              </w:rPr>
            </w:pPr>
            <w:r w:rsidRPr="00652821">
              <w:rPr>
                <w:sz w:val="18"/>
                <w:szCs w:val="18"/>
              </w:rPr>
              <w:t>50</w:t>
            </w:r>
          </w:p>
        </w:tc>
        <w:tc>
          <w:tcPr>
            <w:tcW w:w="752" w:type="pct"/>
            <w:shd w:val="clear" w:color="auto" w:fill="auto"/>
          </w:tcPr>
          <w:p w:rsidR="00A84225" w:rsidRPr="00652821" w:rsidP="000B1FF1" w14:paraId="74B71AFC" w14:textId="77777777">
            <w:pPr>
              <w:keepNext/>
              <w:jc w:val="right"/>
              <w:rPr>
                <w:sz w:val="18"/>
                <w:szCs w:val="18"/>
              </w:rPr>
            </w:pPr>
            <w:r w:rsidRPr="00652821">
              <w:rPr>
                <w:sz w:val="18"/>
                <w:szCs w:val="18"/>
              </w:rPr>
              <w:t>0.5</w:t>
            </w:r>
          </w:p>
          <w:p w:rsidR="004F136E" w:rsidRPr="00652821" w:rsidP="000B1FF1" w14:paraId="2F933CCB" w14:textId="77777777">
            <w:pPr>
              <w:keepNext/>
              <w:jc w:val="right"/>
              <w:rPr>
                <w:sz w:val="18"/>
                <w:szCs w:val="18"/>
              </w:rPr>
            </w:pPr>
            <w:r w:rsidRPr="00652821">
              <w:rPr>
                <w:sz w:val="18"/>
                <w:szCs w:val="18"/>
              </w:rPr>
              <w:t>(30 minutes)</w:t>
            </w:r>
          </w:p>
        </w:tc>
        <w:tc>
          <w:tcPr>
            <w:tcW w:w="526" w:type="pct"/>
            <w:shd w:val="clear" w:color="auto" w:fill="auto"/>
          </w:tcPr>
          <w:p w:rsidR="00A84225" w:rsidRPr="00652821" w:rsidP="000B1FF1" w14:paraId="3E900C57" w14:textId="77777777">
            <w:pPr>
              <w:keepNext/>
              <w:jc w:val="right"/>
              <w:rPr>
                <w:sz w:val="18"/>
                <w:szCs w:val="18"/>
              </w:rPr>
            </w:pPr>
            <w:r w:rsidRPr="00652821">
              <w:rPr>
                <w:sz w:val="18"/>
                <w:szCs w:val="18"/>
              </w:rPr>
              <w:t>25</w:t>
            </w:r>
          </w:p>
        </w:tc>
      </w:tr>
      <w:tr w14:paraId="733B8DE9" w14:textId="77777777" w:rsidTr="00BE2C35">
        <w:tblPrEx>
          <w:tblW w:w="5000" w:type="pct"/>
          <w:jc w:val="center"/>
          <w:tblLayout w:type="fixed"/>
          <w:tblLook w:val="01E0"/>
        </w:tblPrEx>
        <w:trPr>
          <w:cantSplit/>
          <w:trHeight w:val="179"/>
          <w:jc w:val="center"/>
        </w:trPr>
        <w:tc>
          <w:tcPr>
            <w:tcW w:w="1607" w:type="pct"/>
            <w:shd w:val="clear" w:color="auto" w:fill="auto"/>
          </w:tcPr>
          <w:p w:rsidR="00A84225" w:rsidRPr="00652821" w:rsidP="000B1FF1" w14:paraId="3797254D" w14:textId="77777777">
            <w:pPr>
              <w:keepNext/>
              <w:rPr>
                <w:sz w:val="18"/>
                <w:szCs w:val="18"/>
              </w:rPr>
            </w:pPr>
            <w:r w:rsidRPr="00652821">
              <w:rPr>
                <w:sz w:val="18"/>
                <w:szCs w:val="18"/>
              </w:rPr>
              <w:t>Laser products distribution records—1040.10(a)(3)(ii)</w:t>
            </w:r>
          </w:p>
        </w:tc>
        <w:tc>
          <w:tcPr>
            <w:tcW w:w="846" w:type="pct"/>
            <w:shd w:val="clear" w:color="auto" w:fill="auto"/>
          </w:tcPr>
          <w:p w:rsidR="00A84225" w:rsidRPr="00652821" w:rsidP="000B1FF1" w14:paraId="3C7ED556" w14:textId="77777777">
            <w:pPr>
              <w:keepNext/>
              <w:jc w:val="right"/>
              <w:rPr>
                <w:sz w:val="18"/>
                <w:szCs w:val="18"/>
              </w:rPr>
            </w:pPr>
            <w:r w:rsidRPr="00652821">
              <w:rPr>
                <w:sz w:val="18"/>
                <w:szCs w:val="18"/>
              </w:rPr>
              <w:t>70</w:t>
            </w:r>
          </w:p>
        </w:tc>
        <w:tc>
          <w:tcPr>
            <w:tcW w:w="705" w:type="pct"/>
            <w:shd w:val="clear" w:color="auto" w:fill="auto"/>
          </w:tcPr>
          <w:p w:rsidR="00A84225" w:rsidRPr="00652821" w:rsidP="000B1FF1" w14:paraId="68CB2054" w14:textId="77777777">
            <w:pPr>
              <w:keepNext/>
              <w:jc w:val="right"/>
              <w:rPr>
                <w:sz w:val="18"/>
                <w:szCs w:val="18"/>
              </w:rPr>
            </w:pPr>
            <w:r w:rsidRPr="00652821">
              <w:rPr>
                <w:sz w:val="18"/>
                <w:szCs w:val="18"/>
              </w:rPr>
              <w:t>1</w:t>
            </w:r>
          </w:p>
        </w:tc>
        <w:tc>
          <w:tcPr>
            <w:tcW w:w="564" w:type="pct"/>
            <w:shd w:val="clear" w:color="auto" w:fill="auto"/>
          </w:tcPr>
          <w:p w:rsidR="00A84225" w:rsidRPr="00652821" w:rsidP="000B1FF1" w14:paraId="53A4196C" w14:textId="77777777">
            <w:pPr>
              <w:keepNext/>
              <w:jc w:val="right"/>
              <w:rPr>
                <w:sz w:val="18"/>
                <w:szCs w:val="18"/>
              </w:rPr>
            </w:pPr>
            <w:r w:rsidRPr="00652821">
              <w:rPr>
                <w:sz w:val="18"/>
                <w:szCs w:val="18"/>
              </w:rPr>
              <w:t>70</w:t>
            </w:r>
          </w:p>
        </w:tc>
        <w:tc>
          <w:tcPr>
            <w:tcW w:w="752" w:type="pct"/>
            <w:shd w:val="clear" w:color="auto" w:fill="auto"/>
          </w:tcPr>
          <w:p w:rsidR="00A84225" w:rsidRPr="00652821" w:rsidP="000B1FF1" w14:paraId="59701515" w14:textId="77777777">
            <w:pPr>
              <w:keepNext/>
              <w:jc w:val="right"/>
              <w:rPr>
                <w:sz w:val="18"/>
                <w:szCs w:val="18"/>
              </w:rPr>
            </w:pPr>
            <w:r w:rsidRPr="00652821">
              <w:rPr>
                <w:sz w:val="18"/>
                <w:szCs w:val="18"/>
              </w:rPr>
              <w:t>1</w:t>
            </w:r>
          </w:p>
        </w:tc>
        <w:tc>
          <w:tcPr>
            <w:tcW w:w="526" w:type="pct"/>
            <w:shd w:val="clear" w:color="auto" w:fill="auto"/>
          </w:tcPr>
          <w:p w:rsidR="00A84225" w:rsidRPr="00652821" w:rsidP="000B1FF1" w14:paraId="3BE5A018" w14:textId="77777777">
            <w:pPr>
              <w:keepNext/>
              <w:jc w:val="right"/>
              <w:rPr>
                <w:sz w:val="18"/>
                <w:szCs w:val="18"/>
              </w:rPr>
            </w:pPr>
            <w:r w:rsidRPr="00652821">
              <w:rPr>
                <w:sz w:val="18"/>
                <w:szCs w:val="18"/>
              </w:rPr>
              <w:t>70</w:t>
            </w:r>
          </w:p>
        </w:tc>
      </w:tr>
      <w:tr w14:paraId="30C172E8" w14:textId="77777777" w:rsidTr="00BE2C35">
        <w:tblPrEx>
          <w:tblW w:w="5000" w:type="pct"/>
          <w:jc w:val="center"/>
          <w:tblLayout w:type="fixed"/>
          <w:tblLook w:val="01E0"/>
        </w:tblPrEx>
        <w:trPr>
          <w:cantSplit/>
          <w:trHeight w:val="179"/>
          <w:jc w:val="center"/>
        </w:trPr>
        <w:tc>
          <w:tcPr>
            <w:tcW w:w="1607" w:type="pct"/>
            <w:shd w:val="clear" w:color="auto" w:fill="auto"/>
          </w:tcPr>
          <w:p w:rsidR="00A84225" w:rsidRPr="00652821" w:rsidP="000B1FF1" w14:paraId="4EC011A4" w14:textId="77777777">
            <w:pPr>
              <w:keepNext/>
              <w:rPr>
                <w:sz w:val="18"/>
                <w:szCs w:val="18"/>
              </w:rPr>
            </w:pPr>
            <w:r w:rsidRPr="00652821">
              <w:rPr>
                <w:sz w:val="18"/>
                <w:szCs w:val="18"/>
              </w:rPr>
              <w:t>Total</w:t>
            </w:r>
          </w:p>
        </w:tc>
        <w:tc>
          <w:tcPr>
            <w:tcW w:w="846" w:type="pct"/>
            <w:shd w:val="clear" w:color="auto" w:fill="auto"/>
          </w:tcPr>
          <w:p w:rsidR="00A84225" w:rsidRPr="00652821" w:rsidP="000B1FF1" w14:paraId="39718CEE" w14:textId="73ED6644">
            <w:pPr>
              <w:keepNext/>
              <w:jc w:val="right"/>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4,438</w:t>
            </w:r>
            <w:r>
              <w:rPr>
                <w:sz w:val="18"/>
                <w:szCs w:val="18"/>
              </w:rPr>
              <w:fldChar w:fldCharType="end"/>
            </w:r>
          </w:p>
        </w:tc>
        <w:tc>
          <w:tcPr>
            <w:tcW w:w="705" w:type="pct"/>
            <w:shd w:val="clear" w:color="auto" w:fill="auto"/>
          </w:tcPr>
          <w:p w:rsidR="00A84225" w:rsidRPr="00652821" w:rsidP="000B1FF1" w14:paraId="543863D2" w14:textId="77777777">
            <w:pPr>
              <w:keepNext/>
              <w:jc w:val="right"/>
              <w:rPr>
                <w:sz w:val="18"/>
                <w:szCs w:val="18"/>
              </w:rPr>
            </w:pPr>
          </w:p>
        </w:tc>
        <w:tc>
          <w:tcPr>
            <w:tcW w:w="564" w:type="pct"/>
            <w:shd w:val="clear" w:color="auto" w:fill="auto"/>
          </w:tcPr>
          <w:p w:rsidR="00A84225" w:rsidRPr="00652821" w:rsidP="000B1FF1" w14:paraId="125A5592" w14:textId="0CA262C9">
            <w:pPr>
              <w:keepNext/>
              <w:jc w:val="right"/>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2,470,420</w:t>
            </w:r>
            <w:r>
              <w:rPr>
                <w:sz w:val="18"/>
                <w:szCs w:val="18"/>
              </w:rPr>
              <w:fldChar w:fldCharType="end"/>
            </w:r>
          </w:p>
        </w:tc>
        <w:tc>
          <w:tcPr>
            <w:tcW w:w="752" w:type="pct"/>
            <w:shd w:val="clear" w:color="auto" w:fill="auto"/>
          </w:tcPr>
          <w:p w:rsidR="00A84225" w:rsidRPr="00652821" w:rsidP="000B1FF1" w14:paraId="2E917332" w14:textId="77777777">
            <w:pPr>
              <w:keepNext/>
              <w:jc w:val="right"/>
              <w:rPr>
                <w:sz w:val="18"/>
                <w:szCs w:val="18"/>
              </w:rPr>
            </w:pPr>
          </w:p>
        </w:tc>
        <w:tc>
          <w:tcPr>
            <w:tcW w:w="526" w:type="pct"/>
            <w:shd w:val="clear" w:color="auto" w:fill="auto"/>
          </w:tcPr>
          <w:p w:rsidR="00A84225" w:rsidRPr="00652821" w:rsidP="000B1FF1" w14:paraId="1CFCFEA3" w14:textId="77777777">
            <w:pPr>
              <w:keepNext/>
              <w:jc w:val="right"/>
              <w:rPr>
                <w:sz w:val="18"/>
                <w:szCs w:val="18"/>
              </w:rPr>
            </w:pPr>
            <w:r w:rsidRPr="00652821">
              <w:rPr>
                <w:sz w:val="18"/>
                <w:szCs w:val="18"/>
              </w:rPr>
              <w:t>286,350</w:t>
            </w:r>
          </w:p>
        </w:tc>
      </w:tr>
      <w:tr w14:paraId="30634707" w14:textId="77777777" w:rsidTr="00BE2C35">
        <w:tblPrEx>
          <w:tblW w:w="5000" w:type="pct"/>
          <w:jc w:val="center"/>
          <w:tblLayout w:type="fixed"/>
          <w:tblLook w:val="01E0"/>
        </w:tblPrEx>
        <w:trPr>
          <w:cantSplit/>
          <w:trHeight w:val="179"/>
          <w:jc w:val="center"/>
        </w:trPr>
        <w:tc>
          <w:tcPr>
            <w:tcW w:w="5000" w:type="pct"/>
            <w:gridSpan w:val="6"/>
            <w:tcBorders>
              <w:left w:val="nil"/>
              <w:bottom w:val="nil"/>
              <w:right w:val="nil"/>
            </w:tcBorders>
            <w:shd w:val="clear" w:color="auto" w:fill="auto"/>
          </w:tcPr>
          <w:p w:rsidR="00A84225" w:rsidRPr="00652821" w:rsidP="000B1FF1" w14:paraId="0861F0E5" w14:textId="77777777">
            <w:pPr>
              <w:pStyle w:val="Default"/>
              <w:rPr>
                <w:sz w:val="18"/>
                <w:szCs w:val="18"/>
              </w:rPr>
            </w:pPr>
            <w:r w:rsidRPr="00652821">
              <w:rPr>
                <w:sz w:val="18"/>
                <w:szCs w:val="18"/>
                <w:vertAlign w:val="superscript"/>
              </w:rPr>
              <w:t>1</w:t>
            </w:r>
            <w:r w:rsidRPr="00652821">
              <w:rPr>
                <w:sz w:val="18"/>
                <w:szCs w:val="18"/>
              </w:rPr>
              <w:t xml:space="preserve"> </w:t>
            </w:r>
            <w:r w:rsidRPr="00652821" w:rsidR="004F136E">
              <w:rPr>
                <w:sz w:val="18"/>
                <w:szCs w:val="18"/>
              </w:rPr>
              <w:t>Numbers</w:t>
            </w:r>
            <w:r w:rsidRPr="00652821">
              <w:rPr>
                <w:sz w:val="18"/>
                <w:szCs w:val="18"/>
              </w:rPr>
              <w:t xml:space="preserve"> have been rounded.</w:t>
            </w:r>
          </w:p>
        </w:tc>
      </w:tr>
    </w:tbl>
    <w:p w:rsidR="00A84225" w:rsidRPr="00002933" w:rsidP="000B1FF1" w14:paraId="3D937D59" w14:textId="77777777">
      <w:pPr>
        <w:ind w:left="360"/>
        <w:rPr>
          <w:rFonts w:eastAsia="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8"/>
        <w:gridCol w:w="837"/>
        <w:gridCol w:w="1177"/>
        <w:gridCol w:w="1177"/>
        <w:gridCol w:w="1090"/>
        <w:gridCol w:w="1247"/>
        <w:gridCol w:w="1400"/>
        <w:gridCol w:w="1254"/>
      </w:tblGrid>
      <w:tr w14:paraId="5656F873" w14:textId="77777777" w:rsidTr="001E0D9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jc w:val="center"/>
        </w:trPr>
        <w:tc>
          <w:tcPr>
            <w:tcW w:w="629" w:type="pct"/>
            <w:tcBorders>
              <w:top w:val="nil"/>
              <w:left w:val="nil"/>
              <w:right w:val="nil"/>
            </w:tcBorders>
          </w:tcPr>
          <w:p w:rsidR="00595FCA" w:rsidRPr="00002933" w:rsidP="000B1FF1" w14:paraId="24AC90B9" w14:textId="77777777">
            <w:pPr>
              <w:keepNext/>
              <w:jc w:val="center"/>
              <w:rPr>
                <w:sz w:val="18"/>
                <w:szCs w:val="18"/>
              </w:rPr>
            </w:pPr>
          </w:p>
        </w:tc>
        <w:tc>
          <w:tcPr>
            <w:tcW w:w="4371" w:type="pct"/>
            <w:gridSpan w:val="7"/>
            <w:tcBorders>
              <w:top w:val="nil"/>
              <w:left w:val="nil"/>
              <w:right w:val="nil"/>
            </w:tcBorders>
          </w:tcPr>
          <w:p w:rsidR="00595FCA" w:rsidRPr="00002933" w:rsidP="000B1FF1" w14:paraId="5E3C9CC4" w14:textId="20B6AE7A">
            <w:pPr>
              <w:keepNext/>
              <w:jc w:val="center"/>
              <w:rPr>
                <w:sz w:val="18"/>
                <w:szCs w:val="18"/>
              </w:rPr>
            </w:pPr>
            <w:r w:rsidRPr="00002933">
              <w:rPr>
                <w:sz w:val="18"/>
                <w:szCs w:val="18"/>
              </w:rPr>
              <w:t xml:space="preserve">Table </w:t>
            </w:r>
            <w:r w:rsidR="00911E43">
              <w:rPr>
                <w:sz w:val="18"/>
                <w:szCs w:val="18"/>
              </w:rPr>
              <w:t>4</w:t>
            </w:r>
            <w:r w:rsidRPr="00002933">
              <w:rPr>
                <w:sz w:val="18"/>
                <w:szCs w:val="18"/>
              </w:rPr>
              <w:t>.--Estimated Annual Third-Party Disclosure Burden</w:t>
            </w:r>
          </w:p>
        </w:tc>
      </w:tr>
      <w:tr w14:paraId="7C6D5F55" w14:textId="77777777" w:rsidTr="001E0D9C">
        <w:tblPrEx>
          <w:tblW w:w="5000" w:type="pct"/>
          <w:jc w:val="center"/>
          <w:tblLook w:val="01E0"/>
        </w:tblPrEx>
        <w:trPr>
          <w:cantSplit/>
          <w:trHeight w:val="20"/>
          <w:tblHeader/>
          <w:jc w:val="center"/>
        </w:trPr>
        <w:tc>
          <w:tcPr>
            <w:tcW w:w="1076" w:type="pct"/>
            <w:gridSpan w:val="2"/>
          </w:tcPr>
          <w:p w:rsidR="00595FCA" w:rsidRPr="00652821" w:rsidP="000B1FF1" w14:paraId="6186272C" w14:textId="77777777">
            <w:pPr>
              <w:keepNext/>
              <w:jc w:val="center"/>
              <w:rPr>
                <w:sz w:val="18"/>
                <w:szCs w:val="18"/>
              </w:rPr>
            </w:pPr>
            <w:r w:rsidRPr="00652821">
              <w:rPr>
                <w:sz w:val="18"/>
                <w:szCs w:val="18"/>
              </w:rPr>
              <w:t>Activity/ 21 CFR Section</w:t>
            </w:r>
          </w:p>
        </w:tc>
        <w:tc>
          <w:tcPr>
            <w:tcW w:w="629" w:type="pct"/>
          </w:tcPr>
          <w:p w:rsidR="00595FCA" w:rsidRPr="00652821" w:rsidP="000B1FF1" w14:paraId="5C706BDA" w14:textId="160DE2AE">
            <w:pPr>
              <w:keepNext/>
              <w:jc w:val="center"/>
              <w:rPr>
                <w:sz w:val="18"/>
                <w:szCs w:val="18"/>
              </w:rPr>
            </w:pPr>
            <w:r>
              <w:rPr>
                <w:sz w:val="18"/>
                <w:szCs w:val="18"/>
              </w:rPr>
              <w:t>FDA Form</w:t>
            </w:r>
          </w:p>
        </w:tc>
        <w:tc>
          <w:tcPr>
            <w:tcW w:w="629" w:type="pct"/>
          </w:tcPr>
          <w:p w:rsidR="00595FCA" w:rsidRPr="00652821" w:rsidP="000B1FF1" w14:paraId="7299A331" w14:textId="789A8F17">
            <w:pPr>
              <w:keepNext/>
              <w:jc w:val="center"/>
              <w:rPr>
                <w:sz w:val="18"/>
                <w:szCs w:val="18"/>
              </w:rPr>
            </w:pPr>
            <w:r w:rsidRPr="00652821">
              <w:rPr>
                <w:sz w:val="18"/>
                <w:szCs w:val="18"/>
              </w:rPr>
              <w:t>No. of Respondents</w:t>
            </w:r>
          </w:p>
        </w:tc>
        <w:tc>
          <w:tcPr>
            <w:tcW w:w="582" w:type="pct"/>
          </w:tcPr>
          <w:p w:rsidR="00595FCA" w:rsidRPr="00652821" w:rsidP="000B1FF1" w14:paraId="0B167156" w14:textId="77777777">
            <w:pPr>
              <w:keepNext/>
              <w:jc w:val="center"/>
              <w:rPr>
                <w:sz w:val="18"/>
                <w:szCs w:val="18"/>
              </w:rPr>
            </w:pPr>
            <w:r w:rsidRPr="00652821">
              <w:rPr>
                <w:bCs/>
                <w:sz w:val="18"/>
                <w:szCs w:val="18"/>
              </w:rPr>
              <w:t>No. of Disclosures per Respondent</w:t>
            </w:r>
          </w:p>
        </w:tc>
        <w:tc>
          <w:tcPr>
            <w:tcW w:w="666" w:type="pct"/>
          </w:tcPr>
          <w:p w:rsidR="00595FCA" w:rsidRPr="00652821" w:rsidP="000B1FF1" w14:paraId="77069E52" w14:textId="77777777">
            <w:pPr>
              <w:keepNext/>
              <w:jc w:val="center"/>
              <w:rPr>
                <w:sz w:val="18"/>
                <w:szCs w:val="18"/>
              </w:rPr>
            </w:pPr>
            <w:r w:rsidRPr="00652821">
              <w:rPr>
                <w:sz w:val="18"/>
                <w:szCs w:val="18"/>
              </w:rPr>
              <w:t>Total Annual Disclosures</w:t>
            </w:r>
          </w:p>
        </w:tc>
        <w:tc>
          <w:tcPr>
            <w:tcW w:w="748" w:type="pct"/>
          </w:tcPr>
          <w:p w:rsidR="00595FCA" w:rsidRPr="00652821" w:rsidP="000B1FF1" w14:paraId="53F4A4D4" w14:textId="77777777">
            <w:pPr>
              <w:keepNext/>
              <w:jc w:val="center"/>
              <w:rPr>
                <w:sz w:val="18"/>
                <w:szCs w:val="18"/>
              </w:rPr>
            </w:pPr>
            <w:r w:rsidRPr="00652821">
              <w:rPr>
                <w:bCs/>
                <w:sz w:val="18"/>
                <w:szCs w:val="18"/>
              </w:rPr>
              <w:t xml:space="preserve">Average Burden per Disclosure </w:t>
            </w:r>
          </w:p>
        </w:tc>
        <w:tc>
          <w:tcPr>
            <w:tcW w:w="669" w:type="pct"/>
          </w:tcPr>
          <w:p w:rsidR="00595FCA" w:rsidRPr="00652821" w:rsidP="000B1FF1" w14:paraId="6B64285D" w14:textId="77777777">
            <w:pPr>
              <w:keepNext/>
              <w:jc w:val="center"/>
              <w:rPr>
                <w:sz w:val="18"/>
                <w:szCs w:val="18"/>
              </w:rPr>
            </w:pPr>
            <w:r w:rsidRPr="00652821">
              <w:rPr>
                <w:sz w:val="18"/>
                <w:szCs w:val="18"/>
              </w:rPr>
              <w:t>Total Hours</w:t>
            </w:r>
            <w:r w:rsidRPr="00652821">
              <w:rPr>
                <w:sz w:val="18"/>
                <w:szCs w:val="18"/>
                <w:vertAlign w:val="superscript"/>
              </w:rPr>
              <w:t>1</w:t>
            </w:r>
          </w:p>
        </w:tc>
      </w:tr>
      <w:tr w14:paraId="21DC9FAD" w14:textId="77777777" w:rsidTr="001E0D9C">
        <w:tblPrEx>
          <w:tblW w:w="5000" w:type="pct"/>
          <w:jc w:val="center"/>
          <w:tblLook w:val="01E0"/>
        </w:tblPrEx>
        <w:trPr>
          <w:cantSplit/>
          <w:trHeight w:val="20"/>
          <w:jc w:val="center"/>
        </w:trPr>
        <w:tc>
          <w:tcPr>
            <w:tcW w:w="1076" w:type="pct"/>
            <w:gridSpan w:val="2"/>
          </w:tcPr>
          <w:p w:rsidR="00595FCA" w:rsidRPr="00652821" w:rsidP="000B1FF1" w14:paraId="0AEF4149" w14:textId="77777777">
            <w:pPr>
              <w:rPr>
                <w:sz w:val="18"/>
                <w:szCs w:val="18"/>
              </w:rPr>
            </w:pPr>
            <w:r w:rsidRPr="00652821">
              <w:rPr>
                <w:sz w:val="18"/>
                <w:szCs w:val="18"/>
              </w:rPr>
              <w:t>Technical and safety information for users—1002.3</w:t>
            </w:r>
          </w:p>
        </w:tc>
        <w:tc>
          <w:tcPr>
            <w:tcW w:w="629" w:type="pct"/>
          </w:tcPr>
          <w:p w:rsidR="00595FCA" w:rsidRPr="00652821" w:rsidP="000B1FF1" w14:paraId="6266BCA4" w14:textId="77777777">
            <w:pPr>
              <w:jc w:val="right"/>
              <w:rPr>
                <w:sz w:val="18"/>
                <w:szCs w:val="18"/>
              </w:rPr>
            </w:pPr>
          </w:p>
        </w:tc>
        <w:tc>
          <w:tcPr>
            <w:tcW w:w="629" w:type="pct"/>
          </w:tcPr>
          <w:p w:rsidR="00595FCA" w:rsidRPr="00652821" w:rsidP="000B1FF1" w14:paraId="17A8354F" w14:textId="5FE4AA51">
            <w:pPr>
              <w:jc w:val="right"/>
              <w:rPr>
                <w:sz w:val="18"/>
                <w:szCs w:val="18"/>
              </w:rPr>
            </w:pPr>
            <w:r w:rsidRPr="00652821">
              <w:rPr>
                <w:sz w:val="18"/>
                <w:szCs w:val="18"/>
              </w:rPr>
              <w:t>1</w:t>
            </w:r>
          </w:p>
        </w:tc>
        <w:tc>
          <w:tcPr>
            <w:tcW w:w="582" w:type="pct"/>
          </w:tcPr>
          <w:p w:rsidR="00595FCA" w:rsidRPr="00652821" w:rsidP="000B1FF1" w14:paraId="2B11DC7C" w14:textId="77777777">
            <w:pPr>
              <w:jc w:val="right"/>
              <w:rPr>
                <w:sz w:val="18"/>
                <w:szCs w:val="18"/>
              </w:rPr>
            </w:pPr>
            <w:r w:rsidRPr="00652821">
              <w:rPr>
                <w:sz w:val="18"/>
                <w:szCs w:val="18"/>
              </w:rPr>
              <w:t>1</w:t>
            </w:r>
          </w:p>
        </w:tc>
        <w:tc>
          <w:tcPr>
            <w:tcW w:w="666" w:type="pct"/>
          </w:tcPr>
          <w:p w:rsidR="00595FCA" w:rsidRPr="00652821" w:rsidP="000B1FF1" w14:paraId="67445125" w14:textId="77777777">
            <w:pPr>
              <w:jc w:val="right"/>
              <w:rPr>
                <w:sz w:val="18"/>
                <w:szCs w:val="18"/>
              </w:rPr>
            </w:pPr>
            <w:r w:rsidRPr="00652821">
              <w:rPr>
                <w:sz w:val="18"/>
                <w:szCs w:val="18"/>
              </w:rPr>
              <w:t>1</w:t>
            </w:r>
          </w:p>
        </w:tc>
        <w:tc>
          <w:tcPr>
            <w:tcW w:w="748" w:type="pct"/>
          </w:tcPr>
          <w:p w:rsidR="00595FCA" w:rsidRPr="00652821" w:rsidP="000B1FF1" w14:paraId="42E9D8F3" w14:textId="77777777">
            <w:pPr>
              <w:jc w:val="center"/>
              <w:rPr>
                <w:sz w:val="18"/>
                <w:szCs w:val="18"/>
              </w:rPr>
            </w:pPr>
            <w:r w:rsidRPr="00652821">
              <w:rPr>
                <w:sz w:val="18"/>
                <w:szCs w:val="18"/>
              </w:rPr>
              <w:t>12</w:t>
            </w:r>
          </w:p>
        </w:tc>
        <w:tc>
          <w:tcPr>
            <w:tcW w:w="669" w:type="pct"/>
          </w:tcPr>
          <w:p w:rsidR="00595FCA" w:rsidRPr="00652821" w:rsidP="000B1FF1" w14:paraId="2034BA52" w14:textId="77777777">
            <w:pPr>
              <w:jc w:val="right"/>
              <w:rPr>
                <w:sz w:val="18"/>
                <w:szCs w:val="18"/>
              </w:rPr>
            </w:pPr>
            <w:r w:rsidRPr="00652821">
              <w:rPr>
                <w:sz w:val="18"/>
                <w:szCs w:val="18"/>
              </w:rPr>
              <w:t>12</w:t>
            </w:r>
          </w:p>
        </w:tc>
      </w:tr>
      <w:tr w14:paraId="6DA6D824" w14:textId="77777777" w:rsidTr="001E0D9C">
        <w:tblPrEx>
          <w:tblW w:w="5000" w:type="pct"/>
          <w:jc w:val="center"/>
          <w:tblLook w:val="01E0"/>
        </w:tblPrEx>
        <w:trPr>
          <w:cantSplit/>
          <w:trHeight w:val="20"/>
          <w:jc w:val="center"/>
        </w:trPr>
        <w:tc>
          <w:tcPr>
            <w:tcW w:w="1076" w:type="pct"/>
            <w:gridSpan w:val="2"/>
          </w:tcPr>
          <w:p w:rsidR="00595FCA" w:rsidRPr="00652821" w:rsidP="000B1FF1" w14:paraId="27E6790E" w14:textId="77777777">
            <w:pPr>
              <w:rPr>
                <w:sz w:val="18"/>
                <w:szCs w:val="18"/>
              </w:rPr>
            </w:pPr>
            <w:r w:rsidRPr="00652821">
              <w:rPr>
                <w:sz w:val="18"/>
                <w:szCs w:val="18"/>
              </w:rPr>
              <w:t>Dealer/distributor records—1002.40 and 1002.41</w:t>
            </w:r>
          </w:p>
        </w:tc>
        <w:tc>
          <w:tcPr>
            <w:tcW w:w="629" w:type="pct"/>
          </w:tcPr>
          <w:p w:rsidR="00595FCA" w:rsidRPr="00652821" w:rsidP="000B1FF1" w14:paraId="4FAD5F4C" w14:textId="77777777">
            <w:pPr>
              <w:jc w:val="right"/>
              <w:rPr>
                <w:sz w:val="18"/>
                <w:szCs w:val="18"/>
              </w:rPr>
            </w:pPr>
          </w:p>
        </w:tc>
        <w:tc>
          <w:tcPr>
            <w:tcW w:w="629" w:type="pct"/>
          </w:tcPr>
          <w:p w:rsidR="00595FCA" w:rsidRPr="00652821" w:rsidP="000B1FF1" w14:paraId="4FBED352" w14:textId="693920D4">
            <w:pPr>
              <w:jc w:val="right"/>
              <w:rPr>
                <w:sz w:val="18"/>
                <w:szCs w:val="18"/>
              </w:rPr>
            </w:pPr>
            <w:r w:rsidRPr="00652821">
              <w:rPr>
                <w:sz w:val="18"/>
                <w:szCs w:val="18"/>
              </w:rPr>
              <w:t>30</w:t>
            </w:r>
          </w:p>
        </w:tc>
        <w:tc>
          <w:tcPr>
            <w:tcW w:w="582" w:type="pct"/>
          </w:tcPr>
          <w:p w:rsidR="00595FCA" w:rsidRPr="00652821" w:rsidP="000B1FF1" w14:paraId="66BDC455" w14:textId="77777777">
            <w:pPr>
              <w:jc w:val="right"/>
              <w:rPr>
                <w:sz w:val="18"/>
                <w:szCs w:val="18"/>
              </w:rPr>
            </w:pPr>
            <w:r w:rsidRPr="00652821">
              <w:rPr>
                <w:sz w:val="18"/>
                <w:szCs w:val="18"/>
              </w:rPr>
              <w:t>3</w:t>
            </w:r>
          </w:p>
        </w:tc>
        <w:tc>
          <w:tcPr>
            <w:tcW w:w="666" w:type="pct"/>
          </w:tcPr>
          <w:p w:rsidR="00595FCA" w:rsidRPr="00652821" w:rsidP="000B1FF1" w14:paraId="1921DF07" w14:textId="77777777">
            <w:pPr>
              <w:jc w:val="right"/>
              <w:rPr>
                <w:sz w:val="18"/>
                <w:szCs w:val="18"/>
              </w:rPr>
            </w:pPr>
            <w:r w:rsidRPr="00652821">
              <w:rPr>
                <w:sz w:val="18"/>
                <w:szCs w:val="18"/>
              </w:rPr>
              <w:t>90</w:t>
            </w:r>
          </w:p>
        </w:tc>
        <w:tc>
          <w:tcPr>
            <w:tcW w:w="748" w:type="pct"/>
          </w:tcPr>
          <w:p w:rsidR="00595FCA" w:rsidRPr="00652821" w:rsidP="000B1FF1" w14:paraId="4375C378" w14:textId="77777777">
            <w:pPr>
              <w:jc w:val="center"/>
              <w:rPr>
                <w:sz w:val="18"/>
                <w:szCs w:val="18"/>
              </w:rPr>
            </w:pPr>
            <w:r w:rsidRPr="00652821">
              <w:rPr>
                <w:sz w:val="18"/>
                <w:szCs w:val="18"/>
              </w:rPr>
              <w:t>1</w:t>
            </w:r>
          </w:p>
        </w:tc>
        <w:tc>
          <w:tcPr>
            <w:tcW w:w="669" w:type="pct"/>
          </w:tcPr>
          <w:p w:rsidR="00595FCA" w:rsidRPr="00652821" w:rsidP="000B1FF1" w14:paraId="17D8A7B7" w14:textId="77777777">
            <w:pPr>
              <w:jc w:val="right"/>
              <w:rPr>
                <w:sz w:val="18"/>
                <w:szCs w:val="18"/>
              </w:rPr>
            </w:pPr>
            <w:r w:rsidRPr="00652821">
              <w:rPr>
                <w:sz w:val="18"/>
                <w:szCs w:val="18"/>
              </w:rPr>
              <w:t>90</w:t>
            </w:r>
          </w:p>
        </w:tc>
      </w:tr>
      <w:tr w14:paraId="3453D6C9" w14:textId="77777777" w:rsidTr="001E0D9C">
        <w:tblPrEx>
          <w:tblW w:w="5000" w:type="pct"/>
          <w:jc w:val="center"/>
          <w:tblLook w:val="01E0"/>
        </w:tblPrEx>
        <w:trPr>
          <w:cantSplit/>
          <w:trHeight w:val="20"/>
          <w:jc w:val="center"/>
        </w:trPr>
        <w:tc>
          <w:tcPr>
            <w:tcW w:w="1076" w:type="pct"/>
            <w:gridSpan w:val="2"/>
          </w:tcPr>
          <w:p w:rsidR="00595FCA" w:rsidRPr="00652821" w:rsidP="000B1FF1" w14:paraId="34BED3EA" w14:textId="77777777">
            <w:pPr>
              <w:rPr>
                <w:sz w:val="18"/>
                <w:szCs w:val="18"/>
              </w:rPr>
            </w:pPr>
            <w:r w:rsidRPr="00652821">
              <w:rPr>
                <w:sz w:val="18"/>
                <w:szCs w:val="18"/>
              </w:rPr>
              <w:t>Television receiver critical component warning—1020.10(c)(4)</w:t>
            </w:r>
          </w:p>
        </w:tc>
        <w:tc>
          <w:tcPr>
            <w:tcW w:w="629" w:type="pct"/>
          </w:tcPr>
          <w:p w:rsidR="00595FCA" w:rsidRPr="00652821" w:rsidP="000B1FF1" w14:paraId="67FB0357" w14:textId="77777777">
            <w:pPr>
              <w:jc w:val="right"/>
              <w:rPr>
                <w:sz w:val="18"/>
                <w:szCs w:val="18"/>
              </w:rPr>
            </w:pPr>
          </w:p>
        </w:tc>
        <w:tc>
          <w:tcPr>
            <w:tcW w:w="629" w:type="pct"/>
          </w:tcPr>
          <w:p w:rsidR="00595FCA" w:rsidRPr="00652821" w:rsidP="000B1FF1" w14:paraId="17D49525" w14:textId="643F35AC">
            <w:pPr>
              <w:jc w:val="right"/>
              <w:rPr>
                <w:sz w:val="18"/>
                <w:szCs w:val="18"/>
              </w:rPr>
            </w:pPr>
            <w:r w:rsidRPr="00652821">
              <w:rPr>
                <w:sz w:val="18"/>
                <w:szCs w:val="18"/>
              </w:rPr>
              <w:t>1</w:t>
            </w:r>
          </w:p>
        </w:tc>
        <w:tc>
          <w:tcPr>
            <w:tcW w:w="582" w:type="pct"/>
          </w:tcPr>
          <w:p w:rsidR="00595FCA" w:rsidRPr="00652821" w:rsidP="000B1FF1" w14:paraId="516A7DD0" w14:textId="77777777">
            <w:pPr>
              <w:jc w:val="right"/>
              <w:rPr>
                <w:sz w:val="18"/>
                <w:szCs w:val="18"/>
              </w:rPr>
            </w:pPr>
            <w:r w:rsidRPr="00652821">
              <w:rPr>
                <w:sz w:val="18"/>
                <w:szCs w:val="18"/>
              </w:rPr>
              <w:t>1</w:t>
            </w:r>
          </w:p>
        </w:tc>
        <w:tc>
          <w:tcPr>
            <w:tcW w:w="666" w:type="pct"/>
          </w:tcPr>
          <w:p w:rsidR="00595FCA" w:rsidRPr="00652821" w:rsidP="000B1FF1" w14:paraId="7D697870" w14:textId="77777777">
            <w:pPr>
              <w:jc w:val="right"/>
              <w:rPr>
                <w:sz w:val="18"/>
                <w:szCs w:val="18"/>
              </w:rPr>
            </w:pPr>
            <w:r w:rsidRPr="00652821">
              <w:rPr>
                <w:sz w:val="18"/>
                <w:szCs w:val="18"/>
              </w:rPr>
              <w:t>1</w:t>
            </w:r>
          </w:p>
        </w:tc>
        <w:tc>
          <w:tcPr>
            <w:tcW w:w="748" w:type="pct"/>
          </w:tcPr>
          <w:p w:rsidR="00595FCA" w:rsidRPr="00652821" w:rsidP="000B1FF1" w14:paraId="523E65C2" w14:textId="77777777">
            <w:pPr>
              <w:jc w:val="right"/>
              <w:rPr>
                <w:sz w:val="18"/>
                <w:szCs w:val="18"/>
              </w:rPr>
            </w:pPr>
            <w:r w:rsidRPr="00652821">
              <w:rPr>
                <w:sz w:val="18"/>
                <w:szCs w:val="18"/>
              </w:rPr>
              <w:t>1</w:t>
            </w:r>
          </w:p>
        </w:tc>
        <w:tc>
          <w:tcPr>
            <w:tcW w:w="669" w:type="pct"/>
          </w:tcPr>
          <w:p w:rsidR="00595FCA" w:rsidRPr="00652821" w:rsidP="000B1FF1" w14:paraId="3ED2B418" w14:textId="77777777">
            <w:pPr>
              <w:jc w:val="right"/>
              <w:rPr>
                <w:sz w:val="18"/>
                <w:szCs w:val="18"/>
              </w:rPr>
            </w:pPr>
            <w:r w:rsidRPr="00652821">
              <w:rPr>
                <w:sz w:val="18"/>
                <w:szCs w:val="18"/>
              </w:rPr>
              <w:t>1</w:t>
            </w:r>
          </w:p>
        </w:tc>
      </w:tr>
      <w:tr w14:paraId="0548A901" w14:textId="77777777" w:rsidTr="001E0D9C">
        <w:tblPrEx>
          <w:tblW w:w="5000" w:type="pct"/>
          <w:jc w:val="center"/>
          <w:tblLook w:val="01E0"/>
        </w:tblPrEx>
        <w:trPr>
          <w:cantSplit/>
          <w:trHeight w:val="20"/>
          <w:jc w:val="center"/>
        </w:trPr>
        <w:tc>
          <w:tcPr>
            <w:tcW w:w="1076" w:type="pct"/>
            <w:gridSpan w:val="2"/>
          </w:tcPr>
          <w:p w:rsidR="00595FCA" w:rsidRPr="00652821" w:rsidP="000B1FF1" w14:paraId="0F639D3D" w14:textId="77777777">
            <w:pPr>
              <w:rPr>
                <w:sz w:val="18"/>
                <w:szCs w:val="18"/>
              </w:rPr>
            </w:pPr>
            <w:r w:rsidRPr="00652821">
              <w:rPr>
                <w:sz w:val="18"/>
                <w:szCs w:val="18"/>
              </w:rPr>
              <w:t>Cold cathode tubes—1020.20(c)(4)</w:t>
            </w:r>
          </w:p>
        </w:tc>
        <w:tc>
          <w:tcPr>
            <w:tcW w:w="629" w:type="pct"/>
          </w:tcPr>
          <w:p w:rsidR="00595FCA" w:rsidRPr="00652821" w:rsidP="000B1FF1" w14:paraId="51EC9A22" w14:textId="77777777">
            <w:pPr>
              <w:jc w:val="right"/>
              <w:rPr>
                <w:sz w:val="18"/>
                <w:szCs w:val="18"/>
              </w:rPr>
            </w:pPr>
          </w:p>
        </w:tc>
        <w:tc>
          <w:tcPr>
            <w:tcW w:w="629" w:type="pct"/>
          </w:tcPr>
          <w:p w:rsidR="00595FCA" w:rsidRPr="00652821" w:rsidP="000B1FF1" w14:paraId="7B93D3D2" w14:textId="52DBB647">
            <w:pPr>
              <w:jc w:val="right"/>
              <w:rPr>
                <w:sz w:val="18"/>
                <w:szCs w:val="18"/>
              </w:rPr>
            </w:pPr>
            <w:r w:rsidRPr="00652821">
              <w:rPr>
                <w:sz w:val="18"/>
                <w:szCs w:val="18"/>
              </w:rPr>
              <w:t>1</w:t>
            </w:r>
          </w:p>
        </w:tc>
        <w:tc>
          <w:tcPr>
            <w:tcW w:w="582" w:type="pct"/>
          </w:tcPr>
          <w:p w:rsidR="00595FCA" w:rsidRPr="00652821" w:rsidP="000B1FF1" w14:paraId="71321500" w14:textId="77777777">
            <w:pPr>
              <w:jc w:val="right"/>
              <w:rPr>
                <w:sz w:val="18"/>
                <w:szCs w:val="18"/>
              </w:rPr>
            </w:pPr>
            <w:r w:rsidRPr="00652821">
              <w:rPr>
                <w:sz w:val="18"/>
                <w:szCs w:val="18"/>
              </w:rPr>
              <w:t>1</w:t>
            </w:r>
          </w:p>
        </w:tc>
        <w:tc>
          <w:tcPr>
            <w:tcW w:w="666" w:type="pct"/>
          </w:tcPr>
          <w:p w:rsidR="00595FCA" w:rsidRPr="00652821" w:rsidP="000B1FF1" w14:paraId="295C88A1" w14:textId="77777777">
            <w:pPr>
              <w:jc w:val="right"/>
              <w:rPr>
                <w:sz w:val="18"/>
                <w:szCs w:val="18"/>
              </w:rPr>
            </w:pPr>
            <w:r w:rsidRPr="00652821">
              <w:rPr>
                <w:sz w:val="18"/>
                <w:szCs w:val="18"/>
              </w:rPr>
              <w:t>1</w:t>
            </w:r>
          </w:p>
        </w:tc>
        <w:tc>
          <w:tcPr>
            <w:tcW w:w="748" w:type="pct"/>
          </w:tcPr>
          <w:p w:rsidR="00595FCA" w:rsidRPr="00652821" w:rsidP="000B1FF1" w14:paraId="5DF2440E" w14:textId="77777777">
            <w:pPr>
              <w:jc w:val="right"/>
              <w:rPr>
                <w:sz w:val="18"/>
                <w:szCs w:val="18"/>
              </w:rPr>
            </w:pPr>
            <w:r w:rsidRPr="00652821">
              <w:rPr>
                <w:sz w:val="18"/>
                <w:szCs w:val="18"/>
              </w:rPr>
              <w:t>1</w:t>
            </w:r>
          </w:p>
        </w:tc>
        <w:tc>
          <w:tcPr>
            <w:tcW w:w="669" w:type="pct"/>
          </w:tcPr>
          <w:p w:rsidR="00595FCA" w:rsidRPr="00652821" w:rsidP="000B1FF1" w14:paraId="3229B670" w14:textId="77777777">
            <w:pPr>
              <w:jc w:val="right"/>
              <w:rPr>
                <w:sz w:val="18"/>
                <w:szCs w:val="18"/>
              </w:rPr>
            </w:pPr>
            <w:r w:rsidRPr="00652821">
              <w:rPr>
                <w:sz w:val="18"/>
                <w:szCs w:val="18"/>
              </w:rPr>
              <w:t>1</w:t>
            </w:r>
          </w:p>
        </w:tc>
      </w:tr>
      <w:tr w14:paraId="093AE4F6" w14:textId="77777777" w:rsidTr="001E0D9C">
        <w:tblPrEx>
          <w:tblW w:w="5000" w:type="pct"/>
          <w:jc w:val="center"/>
          <w:tblLook w:val="01E0"/>
        </w:tblPrEx>
        <w:trPr>
          <w:cantSplit/>
          <w:trHeight w:val="20"/>
          <w:jc w:val="center"/>
        </w:trPr>
        <w:tc>
          <w:tcPr>
            <w:tcW w:w="1076" w:type="pct"/>
            <w:gridSpan w:val="2"/>
          </w:tcPr>
          <w:p w:rsidR="00595FCA" w:rsidRPr="00652821" w:rsidP="000B1FF1" w14:paraId="4F883553" w14:textId="532A9CFF">
            <w:pPr>
              <w:rPr>
                <w:sz w:val="18"/>
                <w:szCs w:val="18"/>
              </w:rPr>
            </w:pPr>
            <w:r w:rsidRPr="00652821">
              <w:rPr>
                <w:sz w:val="18"/>
                <w:szCs w:val="18"/>
              </w:rPr>
              <w:t>Report of assembly of diagnostic x-ray components—1020.30(d), (d)(1), and (d)(2)</w:t>
            </w:r>
          </w:p>
        </w:tc>
        <w:tc>
          <w:tcPr>
            <w:tcW w:w="629" w:type="pct"/>
          </w:tcPr>
          <w:p w:rsidR="00595FCA" w:rsidRPr="00652821" w:rsidP="000B1FF1" w14:paraId="25CF9873" w14:textId="23E669A3">
            <w:pPr>
              <w:rPr>
                <w:sz w:val="18"/>
                <w:szCs w:val="18"/>
              </w:rPr>
            </w:pPr>
            <w:r w:rsidRPr="00652821">
              <w:rPr>
                <w:sz w:val="18"/>
                <w:szCs w:val="18"/>
              </w:rPr>
              <w:t>FDA 2579—Assembler report</w:t>
            </w:r>
          </w:p>
        </w:tc>
        <w:tc>
          <w:tcPr>
            <w:tcW w:w="629" w:type="pct"/>
          </w:tcPr>
          <w:p w:rsidR="00595FCA" w:rsidRPr="00652821" w:rsidP="000B1FF1" w14:paraId="37728034" w14:textId="65F291C8">
            <w:pPr>
              <w:jc w:val="right"/>
              <w:rPr>
                <w:sz w:val="18"/>
                <w:szCs w:val="18"/>
              </w:rPr>
            </w:pPr>
            <w:r w:rsidRPr="00652821">
              <w:rPr>
                <w:sz w:val="18"/>
                <w:szCs w:val="18"/>
              </w:rPr>
              <w:t>1,230</w:t>
            </w:r>
          </w:p>
        </w:tc>
        <w:tc>
          <w:tcPr>
            <w:tcW w:w="582" w:type="pct"/>
          </w:tcPr>
          <w:p w:rsidR="00595FCA" w:rsidRPr="00652821" w:rsidP="000B1FF1" w14:paraId="3EAD1692" w14:textId="77777777">
            <w:pPr>
              <w:jc w:val="right"/>
              <w:rPr>
                <w:sz w:val="18"/>
                <w:szCs w:val="18"/>
              </w:rPr>
            </w:pPr>
            <w:r w:rsidRPr="00652821">
              <w:rPr>
                <w:sz w:val="18"/>
                <w:szCs w:val="18"/>
              </w:rPr>
              <w:t>34</w:t>
            </w:r>
          </w:p>
        </w:tc>
        <w:tc>
          <w:tcPr>
            <w:tcW w:w="666" w:type="pct"/>
          </w:tcPr>
          <w:p w:rsidR="00595FCA" w:rsidRPr="00652821" w:rsidP="000B1FF1" w14:paraId="1147A40D" w14:textId="77777777">
            <w:pPr>
              <w:jc w:val="right"/>
              <w:rPr>
                <w:sz w:val="18"/>
                <w:szCs w:val="18"/>
              </w:rPr>
            </w:pPr>
            <w:r w:rsidRPr="00652821">
              <w:rPr>
                <w:sz w:val="18"/>
                <w:szCs w:val="18"/>
              </w:rPr>
              <w:t>41,820</w:t>
            </w:r>
          </w:p>
        </w:tc>
        <w:tc>
          <w:tcPr>
            <w:tcW w:w="748" w:type="pct"/>
          </w:tcPr>
          <w:p w:rsidR="00595FCA" w:rsidRPr="00652821" w:rsidP="000B1FF1" w14:paraId="046D455E" w14:textId="77777777">
            <w:pPr>
              <w:jc w:val="right"/>
              <w:rPr>
                <w:sz w:val="18"/>
                <w:szCs w:val="18"/>
              </w:rPr>
            </w:pPr>
            <w:r w:rsidRPr="00652821">
              <w:rPr>
                <w:sz w:val="18"/>
                <w:szCs w:val="18"/>
              </w:rPr>
              <w:t>0.30</w:t>
            </w:r>
          </w:p>
          <w:p w:rsidR="00595FCA" w:rsidRPr="00652821" w:rsidP="000B1FF1" w14:paraId="6F0AD4ED" w14:textId="77777777">
            <w:pPr>
              <w:jc w:val="right"/>
              <w:rPr>
                <w:sz w:val="18"/>
                <w:szCs w:val="18"/>
              </w:rPr>
            </w:pPr>
            <w:r w:rsidRPr="00652821">
              <w:rPr>
                <w:sz w:val="18"/>
                <w:szCs w:val="18"/>
              </w:rPr>
              <w:t>(18 minutes)</w:t>
            </w:r>
          </w:p>
        </w:tc>
        <w:tc>
          <w:tcPr>
            <w:tcW w:w="669" w:type="pct"/>
          </w:tcPr>
          <w:p w:rsidR="00595FCA" w:rsidRPr="00652821" w:rsidP="000B1FF1" w14:paraId="0D9787A1" w14:textId="77777777">
            <w:pPr>
              <w:jc w:val="right"/>
              <w:rPr>
                <w:sz w:val="18"/>
                <w:szCs w:val="18"/>
              </w:rPr>
            </w:pPr>
            <w:r w:rsidRPr="00652821">
              <w:rPr>
                <w:sz w:val="18"/>
                <w:szCs w:val="18"/>
              </w:rPr>
              <w:t>12,546</w:t>
            </w:r>
          </w:p>
        </w:tc>
      </w:tr>
      <w:tr w14:paraId="45FE7A42" w14:textId="77777777" w:rsidTr="001E0D9C">
        <w:tblPrEx>
          <w:tblW w:w="5000" w:type="pct"/>
          <w:jc w:val="center"/>
          <w:tblLook w:val="01E0"/>
        </w:tblPrEx>
        <w:trPr>
          <w:cantSplit/>
          <w:trHeight w:val="20"/>
          <w:jc w:val="center"/>
        </w:trPr>
        <w:tc>
          <w:tcPr>
            <w:tcW w:w="1076" w:type="pct"/>
            <w:gridSpan w:val="2"/>
          </w:tcPr>
          <w:p w:rsidR="00595FCA" w:rsidRPr="00652821" w:rsidP="000B1FF1" w14:paraId="336E710F" w14:textId="77777777">
            <w:pPr>
              <w:rPr>
                <w:sz w:val="18"/>
                <w:szCs w:val="18"/>
              </w:rPr>
            </w:pPr>
            <w:r w:rsidRPr="00652821">
              <w:rPr>
                <w:sz w:val="18"/>
                <w:szCs w:val="18"/>
              </w:rPr>
              <w:t>Information on diagnostic x-ray systems—1020.30(g)</w:t>
            </w:r>
          </w:p>
        </w:tc>
        <w:tc>
          <w:tcPr>
            <w:tcW w:w="629" w:type="pct"/>
          </w:tcPr>
          <w:p w:rsidR="00595FCA" w:rsidRPr="00652821" w:rsidP="000B1FF1" w14:paraId="2623D282" w14:textId="77777777">
            <w:pPr>
              <w:jc w:val="right"/>
              <w:rPr>
                <w:sz w:val="18"/>
                <w:szCs w:val="18"/>
              </w:rPr>
            </w:pPr>
          </w:p>
        </w:tc>
        <w:tc>
          <w:tcPr>
            <w:tcW w:w="629" w:type="pct"/>
          </w:tcPr>
          <w:p w:rsidR="00595FCA" w:rsidRPr="00652821" w:rsidP="000B1FF1" w14:paraId="2EF40F10" w14:textId="41384109">
            <w:pPr>
              <w:jc w:val="right"/>
              <w:rPr>
                <w:sz w:val="18"/>
                <w:szCs w:val="18"/>
              </w:rPr>
            </w:pPr>
            <w:r w:rsidRPr="00652821">
              <w:rPr>
                <w:sz w:val="18"/>
                <w:szCs w:val="18"/>
              </w:rPr>
              <w:t>6</w:t>
            </w:r>
          </w:p>
        </w:tc>
        <w:tc>
          <w:tcPr>
            <w:tcW w:w="582" w:type="pct"/>
          </w:tcPr>
          <w:p w:rsidR="00595FCA" w:rsidRPr="00652821" w:rsidP="000B1FF1" w14:paraId="63F29EA5" w14:textId="77777777">
            <w:pPr>
              <w:jc w:val="right"/>
              <w:rPr>
                <w:sz w:val="18"/>
                <w:szCs w:val="18"/>
              </w:rPr>
            </w:pPr>
            <w:r w:rsidRPr="00652821">
              <w:rPr>
                <w:sz w:val="18"/>
                <w:szCs w:val="18"/>
              </w:rPr>
              <w:t>1</w:t>
            </w:r>
          </w:p>
        </w:tc>
        <w:tc>
          <w:tcPr>
            <w:tcW w:w="666" w:type="pct"/>
          </w:tcPr>
          <w:p w:rsidR="00595FCA" w:rsidRPr="00652821" w:rsidP="000B1FF1" w14:paraId="6DBD04DE" w14:textId="77777777">
            <w:pPr>
              <w:jc w:val="right"/>
              <w:rPr>
                <w:sz w:val="18"/>
                <w:szCs w:val="18"/>
              </w:rPr>
            </w:pPr>
            <w:r w:rsidRPr="00652821">
              <w:rPr>
                <w:sz w:val="18"/>
                <w:szCs w:val="18"/>
              </w:rPr>
              <w:t>6</w:t>
            </w:r>
          </w:p>
        </w:tc>
        <w:tc>
          <w:tcPr>
            <w:tcW w:w="748" w:type="pct"/>
          </w:tcPr>
          <w:p w:rsidR="00595FCA" w:rsidRPr="00652821" w:rsidP="000B1FF1" w14:paraId="0770AC31" w14:textId="77777777">
            <w:pPr>
              <w:jc w:val="right"/>
              <w:rPr>
                <w:sz w:val="18"/>
                <w:szCs w:val="18"/>
              </w:rPr>
            </w:pPr>
            <w:r w:rsidRPr="00652821">
              <w:rPr>
                <w:sz w:val="18"/>
                <w:szCs w:val="18"/>
              </w:rPr>
              <w:t>55</w:t>
            </w:r>
          </w:p>
        </w:tc>
        <w:tc>
          <w:tcPr>
            <w:tcW w:w="669" w:type="pct"/>
          </w:tcPr>
          <w:p w:rsidR="00595FCA" w:rsidRPr="00652821" w:rsidP="000B1FF1" w14:paraId="088A8AE0" w14:textId="77777777">
            <w:pPr>
              <w:jc w:val="right"/>
              <w:rPr>
                <w:sz w:val="18"/>
                <w:szCs w:val="18"/>
              </w:rPr>
            </w:pPr>
            <w:r w:rsidRPr="00652821">
              <w:rPr>
                <w:sz w:val="18"/>
                <w:szCs w:val="18"/>
              </w:rPr>
              <w:t>330</w:t>
            </w:r>
          </w:p>
        </w:tc>
      </w:tr>
      <w:tr w14:paraId="6167D65F" w14:textId="77777777" w:rsidTr="001E0D9C">
        <w:tblPrEx>
          <w:tblW w:w="5000" w:type="pct"/>
          <w:jc w:val="center"/>
          <w:tblLook w:val="01E0"/>
        </w:tblPrEx>
        <w:trPr>
          <w:cantSplit/>
          <w:trHeight w:val="20"/>
          <w:jc w:val="center"/>
        </w:trPr>
        <w:tc>
          <w:tcPr>
            <w:tcW w:w="1076" w:type="pct"/>
            <w:gridSpan w:val="2"/>
          </w:tcPr>
          <w:p w:rsidR="00595FCA" w:rsidRPr="00652821" w:rsidP="000B1FF1" w14:paraId="4EA5095F" w14:textId="77777777">
            <w:pPr>
              <w:rPr>
                <w:sz w:val="18"/>
                <w:szCs w:val="18"/>
              </w:rPr>
            </w:pPr>
            <w:r w:rsidRPr="00652821">
              <w:rPr>
                <w:sz w:val="18"/>
                <w:szCs w:val="18"/>
              </w:rPr>
              <w:t>Statement of maximum line current of x-ray systems—1020.30(g)(2)</w:t>
            </w:r>
          </w:p>
        </w:tc>
        <w:tc>
          <w:tcPr>
            <w:tcW w:w="629" w:type="pct"/>
          </w:tcPr>
          <w:p w:rsidR="00595FCA" w:rsidRPr="00652821" w:rsidP="000B1FF1" w14:paraId="31E7655E" w14:textId="77777777">
            <w:pPr>
              <w:jc w:val="right"/>
              <w:rPr>
                <w:sz w:val="18"/>
                <w:szCs w:val="18"/>
              </w:rPr>
            </w:pPr>
          </w:p>
        </w:tc>
        <w:tc>
          <w:tcPr>
            <w:tcW w:w="629" w:type="pct"/>
          </w:tcPr>
          <w:p w:rsidR="00595FCA" w:rsidRPr="00652821" w:rsidP="000B1FF1" w14:paraId="2C6561B9" w14:textId="501432A3">
            <w:pPr>
              <w:jc w:val="right"/>
              <w:rPr>
                <w:sz w:val="18"/>
                <w:szCs w:val="18"/>
              </w:rPr>
            </w:pPr>
            <w:r w:rsidRPr="00652821">
              <w:rPr>
                <w:sz w:val="18"/>
                <w:szCs w:val="18"/>
              </w:rPr>
              <w:t>6</w:t>
            </w:r>
          </w:p>
        </w:tc>
        <w:tc>
          <w:tcPr>
            <w:tcW w:w="582" w:type="pct"/>
          </w:tcPr>
          <w:p w:rsidR="00595FCA" w:rsidRPr="00652821" w:rsidP="000B1FF1" w14:paraId="4862B260" w14:textId="77777777">
            <w:pPr>
              <w:jc w:val="right"/>
              <w:rPr>
                <w:sz w:val="18"/>
                <w:szCs w:val="18"/>
              </w:rPr>
            </w:pPr>
            <w:r w:rsidRPr="00652821">
              <w:rPr>
                <w:sz w:val="18"/>
                <w:szCs w:val="18"/>
              </w:rPr>
              <w:t>1</w:t>
            </w:r>
          </w:p>
        </w:tc>
        <w:tc>
          <w:tcPr>
            <w:tcW w:w="666" w:type="pct"/>
          </w:tcPr>
          <w:p w:rsidR="00595FCA" w:rsidRPr="00652821" w:rsidP="000B1FF1" w14:paraId="0D61E13F" w14:textId="77777777">
            <w:pPr>
              <w:jc w:val="right"/>
              <w:rPr>
                <w:sz w:val="18"/>
                <w:szCs w:val="18"/>
              </w:rPr>
            </w:pPr>
            <w:r w:rsidRPr="00652821">
              <w:rPr>
                <w:sz w:val="18"/>
                <w:szCs w:val="18"/>
              </w:rPr>
              <w:t>6</w:t>
            </w:r>
          </w:p>
        </w:tc>
        <w:tc>
          <w:tcPr>
            <w:tcW w:w="748" w:type="pct"/>
          </w:tcPr>
          <w:p w:rsidR="00595FCA" w:rsidRPr="00652821" w:rsidP="000B1FF1" w14:paraId="7F0AF597" w14:textId="77777777">
            <w:pPr>
              <w:jc w:val="right"/>
              <w:rPr>
                <w:sz w:val="18"/>
                <w:szCs w:val="18"/>
              </w:rPr>
            </w:pPr>
            <w:r w:rsidRPr="00652821">
              <w:rPr>
                <w:sz w:val="18"/>
                <w:szCs w:val="18"/>
              </w:rPr>
              <w:t>10</w:t>
            </w:r>
          </w:p>
        </w:tc>
        <w:tc>
          <w:tcPr>
            <w:tcW w:w="669" w:type="pct"/>
          </w:tcPr>
          <w:p w:rsidR="00595FCA" w:rsidRPr="00652821" w:rsidP="000B1FF1" w14:paraId="627C9B8A" w14:textId="77777777">
            <w:pPr>
              <w:jc w:val="right"/>
              <w:rPr>
                <w:sz w:val="18"/>
                <w:szCs w:val="18"/>
              </w:rPr>
            </w:pPr>
            <w:r w:rsidRPr="00652821">
              <w:rPr>
                <w:sz w:val="18"/>
                <w:szCs w:val="18"/>
              </w:rPr>
              <w:t>60</w:t>
            </w:r>
          </w:p>
        </w:tc>
      </w:tr>
      <w:tr w14:paraId="67D3FF30" w14:textId="77777777" w:rsidTr="001E0D9C">
        <w:tblPrEx>
          <w:tblW w:w="5000" w:type="pct"/>
          <w:jc w:val="center"/>
          <w:tblLook w:val="01E0"/>
        </w:tblPrEx>
        <w:trPr>
          <w:cantSplit/>
          <w:trHeight w:val="20"/>
          <w:jc w:val="center"/>
        </w:trPr>
        <w:tc>
          <w:tcPr>
            <w:tcW w:w="1076" w:type="pct"/>
            <w:gridSpan w:val="2"/>
          </w:tcPr>
          <w:p w:rsidR="00595FCA" w:rsidRPr="00652821" w:rsidP="000B1FF1" w14:paraId="6797E129" w14:textId="77777777">
            <w:pPr>
              <w:rPr>
                <w:sz w:val="18"/>
                <w:szCs w:val="18"/>
              </w:rPr>
            </w:pPr>
            <w:r w:rsidRPr="00652821">
              <w:rPr>
                <w:sz w:val="18"/>
                <w:szCs w:val="18"/>
              </w:rPr>
              <w:t>Diagnostic x-ray system safety and technical information—1020.30(h)(1)-(h)(4)</w:t>
            </w:r>
          </w:p>
        </w:tc>
        <w:tc>
          <w:tcPr>
            <w:tcW w:w="629" w:type="pct"/>
          </w:tcPr>
          <w:p w:rsidR="00595FCA" w:rsidRPr="00652821" w:rsidP="000B1FF1" w14:paraId="6B80FF90" w14:textId="77777777">
            <w:pPr>
              <w:jc w:val="right"/>
              <w:rPr>
                <w:sz w:val="18"/>
                <w:szCs w:val="18"/>
              </w:rPr>
            </w:pPr>
          </w:p>
        </w:tc>
        <w:tc>
          <w:tcPr>
            <w:tcW w:w="629" w:type="pct"/>
          </w:tcPr>
          <w:p w:rsidR="00595FCA" w:rsidRPr="00652821" w:rsidP="000B1FF1" w14:paraId="48A5DC41" w14:textId="740E813D">
            <w:pPr>
              <w:jc w:val="right"/>
              <w:rPr>
                <w:sz w:val="18"/>
                <w:szCs w:val="18"/>
              </w:rPr>
            </w:pPr>
            <w:r w:rsidRPr="00652821">
              <w:rPr>
                <w:sz w:val="18"/>
                <w:szCs w:val="18"/>
              </w:rPr>
              <w:t>6</w:t>
            </w:r>
          </w:p>
        </w:tc>
        <w:tc>
          <w:tcPr>
            <w:tcW w:w="582" w:type="pct"/>
          </w:tcPr>
          <w:p w:rsidR="00595FCA" w:rsidRPr="00652821" w:rsidP="000B1FF1" w14:paraId="1DFF74D8" w14:textId="77777777">
            <w:pPr>
              <w:jc w:val="right"/>
              <w:rPr>
                <w:sz w:val="18"/>
                <w:szCs w:val="18"/>
              </w:rPr>
            </w:pPr>
            <w:r w:rsidRPr="00652821">
              <w:rPr>
                <w:sz w:val="18"/>
                <w:szCs w:val="18"/>
              </w:rPr>
              <w:t>1</w:t>
            </w:r>
          </w:p>
        </w:tc>
        <w:tc>
          <w:tcPr>
            <w:tcW w:w="666" w:type="pct"/>
          </w:tcPr>
          <w:p w:rsidR="00595FCA" w:rsidRPr="00652821" w:rsidP="000B1FF1" w14:paraId="6C324407" w14:textId="77777777">
            <w:pPr>
              <w:jc w:val="right"/>
              <w:rPr>
                <w:sz w:val="18"/>
                <w:szCs w:val="18"/>
              </w:rPr>
            </w:pPr>
            <w:r w:rsidRPr="00652821">
              <w:rPr>
                <w:sz w:val="18"/>
                <w:szCs w:val="18"/>
              </w:rPr>
              <w:t>6</w:t>
            </w:r>
          </w:p>
        </w:tc>
        <w:tc>
          <w:tcPr>
            <w:tcW w:w="748" w:type="pct"/>
          </w:tcPr>
          <w:p w:rsidR="00595FCA" w:rsidRPr="00652821" w:rsidP="000B1FF1" w14:paraId="5F68BE45" w14:textId="77777777">
            <w:pPr>
              <w:jc w:val="right"/>
              <w:rPr>
                <w:sz w:val="18"/>
                <w:szCs w:val="18"/>
              </w:rPr>
            </w:pPr>
            <w:r w:rsidRPr="00652821">
              <w:rPr>
                <w:sz w:val="18"/>
                <w:szCs w:val="18"/>
              </w:rPr>
              <w:t>200</w:t>
            </w:r>
          </w:p>
        </w:tc>
        <w:tc>
          <w:tcPr>
            <w:tcW w:w="669" w:type="pct"/>
          </w:tcPr>
          <w:p w:rsidR="00595FCA" w:rsidRPr="00652821" w:rsidP="000B1FF1" w14:paraId="5058557A" w14:textId="77777777">
            <w:pPr>
              <w:jc w:val="right"/>
              <w:rPr>
                <w:sz w:val="18"/>
                <w:szCs w:val="18"/>
              </w:rPr>
            </w:pPr>
            <w:r w:rsidRPr="00652821">
              <w:rPr>
                <w:sz w:val="18"/>
                <w:szCs w:val="18"/>
              </w:rPr>
              <w:t>1,200</w:t>
            </w:r>
          </w:p>
        </w:tc>
      </w:tr>
      <w:tr w14:paraId="668F49D8" w14:textId="77777777" w:rsidTr="001E0D9C">
        <w:tblPrEx>
          <w:tblW w:w="5000" w:type="pct"/>
          <w:jc w:val="center"/>
          <w:tblLook w:val="01E0"/>
        </w:tblPrEx>
        <w:trPr>
          <w:cantSplit/>
          <w:trHeight w:val="20"/>
          <w:jc w:val="center"/>
        </w:trPr>
        <w:tc>
          <w:tcPr>
            <w:tcW w:w="1076" w:type="pct"/>
            <w:gridSpan w:val="2"/>
          </w:tcPr>
          <w:p w:rsidR="00595FCA" w:rsidRPr="00652821" w:rsidP="000B1FF1" w14:paraId="4AF1B46C" w14:textId="77777777">
            <w:pPr>
              <w:rPr>
                <w:sz w:val="18"/>
                <w:szCs w:val="18"/>
              </w:rPr>
            </w:pPr>
            <w:r w:rsidRPr="00652821">
              <w:rPr>
                <w:sz w:val="18"/>
                <w:szCs w:val="18"/>
              </w:rPr>
              <w:t>Fluoroscopic x-ray system safety and technical information—1020.30(h)(5)-(h)(6) and 1020.32(a)(1), (g), and (j)(4)</w:t>
            </w:r>
          </w:p>
        </w:tc>
        <w:tc>
          <w:tcPr>
            <w:tcW w:w="629" w:type="pct"/>
          </w:tcPr>
          <w:p w:rsidR="00595FCA" w:rsidRPr="00652821" w:rsidP="000B1FF1" w14:paraId="30D16003" w14:textId="77777777">
            <w:pPr>
              <w:jc w:val="right"/>
              <w:rPr>
                <w:sz w:val="18"/>
                <w:szCs w:val="18"/>
              </w:rPr>
            </w:pPr>
          </w:p>
        </w:tc>
        <w:tc>
          <w:tcPr>
            <w:tcW w:w="629" w:type="pct"/>
          </w:tcPr>
          <w:p w:rsidR="00595FCA" w:rsidRPr="00652821" w:rsidP="000B1FF1" w14:paraId="35A360DC" w14:textId="538BAF50">
            <w:pPr>
              <w:jc w:val="right"/>
              <w:rPr>
                <w:sz w:val="18"/>
                <w:szCs w:val="18"/>
              </w:rPr>
            </w:pPr>
            <w:r w:rsidRPr="00652821">
              <w:rPr>
                <w:sz w:val="18"/>
                <w:szCs w:val="18"/>
              </w:rPr>
              <w:t>5</w:t>
            </w:r>
          </w:p>
        </w:tc>
        <w:tc>
          <w:tcPr>
            <w:tcW w:w="582" w:type="pct"/>
          </w:tcPr>
          <w:p w:rsidR="00595FCA" w:rsidRPr="00652821" w:rsidP="000B1FF1" w14:paraId="57C7B8A7" w14:textId="77777777">
            <w:pPr>
              <w:jc w:val="right"/>
              <w:rPr>
                <w:sz w:val="18"/>
                <w:szCs w:val="18"/>
              </w:rPr>
            </w:pPr>
            <w:r w:rsidRPr="00652821">
              <w:rPr>
                <w:sz w:val="18"/>
                <w:szCs w:val="18"/>
              </w:rPr>
              <w:t>1</w:t>
            </w:r>
          </w:p>
        </w:tc>
        <w:tc>
          <w:tcPr>
            <w:tcW w:w="666" w:type="pct"/>
          </w:tcPr>
          <w:p w:rsidR="00595FCA" w:rsidRPr="00652821" w:rsidP="000B1FF1" w14:paraId="2403CB9E" w14:textId="77777777">
            <w:pPr>
              <w:jc w:val="right"/>
              <w:rPr>
                <w:sz w:val="18"/>
                <w:szCs w:val="18"/>
              </w:rPr>
            </w:pPr>
            <w:r w:rsidRPr="00652821">
              <w:rPr>
                <w:sz w:val="18"/>
                <w:szCs w:val="18"/>
              </w:rPr>
              <w:t>5</w:t>
            </w:r>
          </w:p>
        </w:tc>
        <w:tc>
          <w:tcPr>
            <w:tcW w:w="748" w:type="pct"/>
          </w:tcPr>
          <w:p w:rsidR="00595FCA" w:rsidRPr="00652821" w:rsidP="000B1FF1" w14:paraId="40A723EC" w14:textId="77777777">
            <w:pPr>
              <w:jc w:val="right"/>
              <w:rPr>
                <w:sz w:val="18"/>
                <w:szCs w:val="18"/>
              </w:rPr>
            </w:pPr>
            <w:r w:rsidRPr="00652821">
              <w:rPr>
                <w:sz w:val="18"/>
                <w:szCs w:val="18"/>
              </w:rPr>
              <w:t>25</w:t>
            </w:r>
          </w:p>
        </w:tc>
        <w:tc>
          <w:tcPr>
            <w:tcW w:w="669" w:type="pct"/>
          </w:tcPr>
          <w:p w:rsidR="00595FCA" w:rsidRPr="00652821" w:rsidP="000B1FF1" w14:paraId="6719DF10" w14:textId="77777777">
            <w:pPr>
              <w:jc w:val="right"/>
              <w:rPr>
                <w:sz w:val="18"/>
                <w:szCs w:val="18"/>
              </w:rPr>
            </w:pPr>
            <w:r w:rsidRPr="00652821">
              <w:rPr>
                <w:sz w:val="18"/>
                <w:szCs w:val="18"/>
              </w:rPr>
              <w:t>125</w:t>
            </w:r>
          </w:p>
        </w:tc>
      </w:tr>
      <w:tr w14:paraId="31A306B9" w14:textId="77777777" w:rsidTr="001E0D9C">
        <w:tblPrEx>
          <w:tblW w:w="5000" w:type="pct"/>
          <w:jc w:val="center"/>
          <w:tblLook w:val="01E0"/>
        </w:tblPrEx>
        <w:trPr>
          <w:cantSplit/>
          <w:trHeight w:val="20"/>
          <w:jc w:val="center"/>
        </w:trPr>
        <w:tc>
          <w:tcPr>
            <w:tcW w:w="1076" w:type="pct"/>
            <w:gridSpan w:val="2"/>
          </w:tcPr>
          <w:p w:rsidR="00595FCA" w:rsidRPr="00652821" w:rsidP="000B1FF1" w14:paraId="2210C5ED" w14:textId="77777777">
            <w:pPr>
              <w:rPr>
                <w:sz w:val="18"/>
                <w:szCs w:val="18"/>
              </w:rPr>
            </w:pPr>
            <w:r w:rsidRPr="00652821">
              <w:rPr>
                <w:sz w:val="18"/>
                <w:szCs w:val="18"/>
              </w:rPr>
              <w:t>CT equipment—1020.33(c)-(d), (g)(4), and (j)</w:t>
            </w:r>
          </w:p>
        </w:tc>
        <w:tc>
          <w:tcPr>
            <w:tcW w:w="629" w:type="pct"/>
          </w:tcPr>
          <w:p w:rsidR="00595FCA" w:rsidRPr="00652821" w:rsidP="000B1FF1" w14:paraId="2A5B8887" w14:textId="77777777">
            <w:pPr>
              <w:jc w:val="right"/>
              <w:rPr>
                <w:sz w:val="18"/>
                <w:szCs w:val="18"/>
              </w:rPr>
            </w:pPr>
          </w:p>
        </w:tc>
        <w:tc>
          <w:tcPr>
            <w:tcW w:w="629" w:type="pct"/>
          </w:tcPr>
          <w:p w:rsidR="00595FCA" w:rsidRPr="00652821" w:rsidP="000B1FF1" w14:paraId="7885E27F" w14:textId="4F0C6A6C">
            <w:pPr>
              <w:jc w:val="right"/>
              <w:rPr>
                <w:sz w:val="18"/>
                <w:szCs w:val="18"/>
              </w:rPr>
            </w:pPr>
            <w:r w:rsidRPr="00652821">
              <w:rPr>
                <w:sz w:val="18"/>
                <w:szCs w:val="18"/>
              </w:rPr>
              <w:t>5</w:t>
            </w:r>
          </w:p>
        </w:tc>
        <w:tc>
          <w:tcPr>
            <w:tcW w:w="582" w:type="pct"/>
          </w:tcPr>
          <w:p w:rsidR="00595FCA" w:rsidRPr="00652821" w:rsidP="000B1FF1" w14:paraId="434F1454" w14:textId="77777777">
            <w:pPr>
              <w:jc w:val="right"/>
              <w:rPr>
                <w:sz w:val="18"/>
                <w:szCs w:val="18"/>
              </w:rPr>
            </w:pPr>
            <w:r w:rsidRPr="00652821">
              <w:rPr>
                <w:sz w:val="18"/>
                <w:szCs w:val="18"/>
              </w:rPr>
              <w:t>1</w:t>
            </w:r>
          </w:p>
        </w:tc>
        <w:tc>
          <w:tcPr>
            <w:tcW w:w="666" w:type="pct"/>
          </w:tcPr>
          <w:p w:rsidR="00595FCA" w:rsidRPr="00652821" w:rsidP="000B1FF1" w14:paraId="4BCBAD76" w14:textId="77777777">
            <w:pPr>
              <w:jc w:val="right"/>
              <w:rPr>
                <w:sz w:val="18"/>
                <w:szCs w:val="18"/>
              </w:rPr>
            </w:pPr>
            <w:r w:rsidRPr="00652821">
              <w:rPr>
                <w:sz w:val="18"/>
                <w:szCs w:val="18"/>
              </w:rPr>
              <w:t>5</w:t>
            </w:r>
          </w:p>
        </w:tc>
        <w:tc>
          <w:tcPr>
            <w:tcW w:w="748" w:type="pct"/>
          </w:tcPr>
          <w:p w:rsidR="00595FCA" w:rsidRPr="00652821" w:rsidP="000B1FF1" w14:paraId="5FCA64A0" w14:textId="77777777">
            <w:pPr>
              <w:jc w:val="right"/>
              <w:rPr>
                <w:sz w:val="18"/>
                <w:szCs w:val="18"/>
              </w:rPr>
            </w:pPr>
            <w:r w:rsidRPr="00652821">
              <w:rPr>
                <w:sz w:val="18"/>
                <w:szCs w:val="18"/>
              </w:rPr>
              <w:t>150</w:t>
            </w:r>
          </w:p>
        </w:tc>
        <w:tc>
          <w:tcPr>
            <w:tcW w:w="669" w:type="pct"/>
          </w:tcPr>
          <w:p w:rsidR="00595FCA" w:rsidRPr="00652821" w:rsidP="000B1FF1" w14:paraId="72834961" w14:textId="77777777">
            <w:pPr>
              <w:jc w:val="right"/>
              <w:rPr>
                <w:sz w:val="18"/>
                <w:szCs w:val="18"/>
              </w:rPr>
            </w:pPr>
            <w:r w:rsidRPr="00652821">
              <w:rPr>
                <w:sz w:val="18"/>
                <w:szCs w:val="18"/>
              </w:rPr>
              <w:t>750</w:t>
            </w:r>
          </w:p>
        </w:tc>
      </w:tr>
      <w:tr w14:paraId="5BF6A8BF" w14:textId="77777777" w:rsidTr="001E0D9C">
        <w:tblPrEx>
          <w:tblW w:w="5000" w:type="pct"/>
          <w:jc w:val="center"/>
          <w:tblLook w:val="01E0"/>
        </w:tblPrEx>
        <w:trPr>
          <w:cantSplit/>
          <w:trHeight w:val="20"/>
          <w:jc w:val="center"/>
        </w:trPr>
        <w:tc>
          <w:tcPr>
            <w:tcW w:w="1076" w:type="pct"/>
            <w:gridSpan w:val="2"/>
          </w:tcPr>
          <w:p w:rsidR="00595FCA" w:rsidRPr="00652821" w:rsidP="000B1FF1" w14:paraId="5645C40B" w14:textId="77777777">
            <w:pPr>
              <w:rPr>
                <w:sz w:val="18"/>
                <w:szCs w:val="18"/>
              </w:rPr>
            </w:pPr>
            <w:r w:rsidRPr="00652821">
              <w:rPr>
                <w:sz w:val="18"/>
                <w:szCs w:val="18"/>
              </w:rPr>
              <w:t>Cabinet x-ray systems information—1020.40(c)(9)(i)-(c)(9)(ii)</w:t>
            </w:r>
          </w:p>
        </w:tc>
        <w:tc>
          <w:tcPr>
            <w:tcW w:w="629" w:type="pct"/>
          </w:tcPr>
          <w:p w:rsidR="00595FCA" w:rsidRPr="00652821" w:rsidP="000B1FF1" w14:paraId="5C88E3AA" w14:textId="77777777">
            <w:pPr>
              <w:jc w:val="right"/>
              <w:rPr>
                <w:sz w:val="18"/>
                <w:szCs w:val="18"/>
              </w:rPr>
            </w:pPr>
          </w:p>
        </w:tc>
        <w:tc>
          <w:tcPr>
            <w:tcW w:w="629" w:type="pct"/>
          </w:tcPr>
          <w:p w:rsidR="00595FCA" w:rsidRPr="00652821" w:rsidP="000B1FF1" w14:paraId="4D7EB5DC" w14:textId="43242414">
            <w:pPr>
              <w:jc w:val="right"/>
              <w:rPr>
                <w:sz w:val="18"/>
                <w:szCs w:val="18"/>
              </w:rPr>
            </w:pPr>
            <w:r w:rsidRPr="00652821">
              <w:rPr>
                <w:sz w:val="18"/>
                <w:szCs w:val="18"/>
              </w:rPr>
              <w:t>6</w:t>
            </w:r>
          </w:p>
        </w:tc>
        <w:tc>
          <w:tcPr>
            <w:tcW w:w="582" w:type="pct"/>
          </w:tcPr>
          <w:p w:rsidR="00595FCA" w:rsidRPr="00652821" w:rsidP="000B1FF1" w14:paraId="111386ED" w14:textId="77777777">
            <w:pPr>
              <w:jc w:val="right"/>
              <w:rPr>
                <w:sz w:val="18"/>
                <w:szCs w:val="18"/>
              </w:rPr>
            </w:pPr>
            <w:r w:rsidRPr="00652821">
              <w:rPr>
                <w:sz w:val="18"/>
                <w:szCs w:val="18"/>
              </w:rPr>
              <w:t>1</w:t>
            </w:r>
          </w:p>
        </w:tc>
        <w:tc>
          <w:tcPr>
            <w:tcW w:w="666" w:type="pct"/>
          </w:tcPr>
          <w:p w:rsidR="00595FCA" w:rsidRPr="00652821" w:rsidP="000B1FF1" w14:paraId="352BE8F2" w14:textId="77777777">
            <w:pPr>
              <w:jc w:val="right"/>
              <w:rPr>
                <w:sz w:val="18"/>
                <w:szCs w:val="18"/>
              </w:rPr>
            </w:pPr>
            <w:r w:rsidRPr="00652821">
              <w:rPr>
                <w:sz w:val="18"/>
                <w:szCs w:val="18"/>
              </w:rPr>
              <w:t>6</w:t>
            </w:r>
          </w:p>
        </w:tc>
        <w:tc>
          <w:tcPr>
            <w:tcW w:w="748" w:type="pct"/>
          </w:tcPr>
          <w:p w:rsidR="00595FCA" w:rsidRPr="00652821" w:rsidP="000B1FF1" w14:paraId="70946440" w14:textId="77777777">
            <w:pPr>
              <w:jc w:val="right"/>
              <w:rPr>
                <w:sz w:val="18"/>
                <w:szCs w:val="18"/>
              </w:rPr>
            </w:pPr>
            <w:r w:rsidRPr="00652821">
              <w:rPr>
                <w:sz w:val="18"/>
                <w:szCs w:val="18"/>
              </w:rPr>
              <w:t>40</w:t>
            </w:r>
          </w:p>
        </w:tc>
        <w:tc>
          <w:tcPr>
            <w:tcW w:w="669" w:type="pct"/>
          </w:tcPr>
          <w:p w:rsidR="00595FCA" w:rsidRPr="00652821" w:rsidP="000B1FF1" w14:paraId="07D6F160" w14:textId="77777777">
            <w:pPr>
              <w:jc w:val="right"/>
              <w:rPr>
                <w:sz w:val="18"/>
                <w:szCs w:val="18"/>
              </w:rPr>
            </w:pPr>
            <w:r w:rsidRPr="00652821">
              <w:rPr>
                <w:sz w:val="18"/>
                <w:szCs w:val="18"/>
              </w:rPr>
              <w:t>240</w:t>
            </w:r>
          </w:p>
        </w:tc>
      </w:tr>
      <w:tr w14:paraId="34FCFC41" w14:textId="77777777" w:rsidTr="001E0D9C">
        <w:tblPrEx>
          <w:tblW w:w="5000" w:type="pct"/>
          <w:jc w:val="center"/>
          <w:tblLook w:val="01E0"/>
        </w:tblPrEx>
        <w:trPr>
          <w:cantSplit/>
          <w:trHeight w:val="20"/>
          <w:jc w:val="center"/>
        </w:trPr>
        <w:tc>
          <w:tcPr>
            <w:tcW w:w="1076" w:type="pct"/>
            <w:gridSpan w:val="2"/>
          </w:tcPr>
          <w:p w:rsidR="00595FCA" w:rsidRPr="00652821" w:rsidP="000B1FF1" w14:paraId="20B47C0F" w14:textId="77777777">
            <w:pPr>
              <w:rPr>
                <w:sz w:val="18"/>
                <w:szCs w:val="18"/>
              </w:rPr>
            </w:pPr>
            <w:r w:rsidRPr="00652821">
              <w:rPr>
                <w:sz w:val="18"/>
                <w:szCs w:val="18"/>
              </w:rPr>
              <w:t>Microwave oven radiation safety instructions—1030.10(c)(4)</w:t>
            </w:r>
          </w:p>
        </w:tc>
        <w:tc>
          <w:tcPr>
            <w:tcW w:w="629" w:type="pct"/>
          </w:tcPr>
          <w:p w:rsidR="00595FCA" w:rsidRPr="00652821" w:rsidP="000B1FF1" w14:paraId="3939BE40" w14:textId="77777777">
            <w:pPr>
              <w:jc w:val="right"/>
              <w:rPr>
                <w:sz w:val="18"/>
                <w:szCs w:val="18"/>
              </w:rPr>
            </w:pPr>
          </w:p>
        </w:tc>
        <w:tc>
          <w:tcPr>
            <w:tcW w:w="629" w:type="pct"/>
          </w:tcPr>
          <w:p w:rsidR="00595FCA" w:rsidRPr="00652821" w:rsidP="000B1FF1" w14:paraId="470808AA" w14:textId="2FC87B95">
            <w:pPr>
              <w:jc w:val="right"/>
              <w:rPr>
                <w:sz w:val="18"/>
                <w:szCs w:val="18"/>
              </w:rPr>
            </w:pPr>
            <w:r w:rsidRPr="00652821">
              <w:rPr>
                <w:sz w:val="18"/>
                <w:szCs w:val="18"/>
              </w:rPr>
              <w:t>1</w:t>
            </w:r>
          </w:p>
        </w:tc>
        <w:tc>
          <w:tcPr>
            <w:tcW w:w="582" w:type="pct"/>
          </w:tcPr>
          <w:p w:rsidR="00595FCA" w:rsidRPr="00652821" w:rsidP="000B1FF1" w14:paraId="1A414AF6" w14:textId="77777777">
            <w:pPr>
              <w:jc w:val="right"/>
              <w:rPr>
                <w:sz w:val="18"/>
                <w:szCs w:val="18"/>
              </w:rPr>
            </w:pPr>
            <w:r w:rsidRPr="00652821">
              <w:rPr>
                <w:sz w:val="18"/>
                <w:szCs w:val="18"/>
              </w:rPr>
              <w:t>1</w:t>
            </w:r>
          </w:p>
        </w:tc>
        <w:tc>
          <w:tcPr>
            <w:tcW w:w="666" w:type="pct"/>
          </w:tcPr>
          <w:p w:rsidR="00595FCA" w:rsidRPr="00652821" w:rsidP="000B1FF1" w14:paraId="55E573BE" w14:textId="77777777">
            <w:pPr>
              <w:jc w:val="right"/>
              <w:rPr>
                <w:sz w:val="18"/>
                <w:szCs w:val="18"/>
              </w:rPr>
            </w:pPr>
            <w:r w:rsidRPr="00652821">
              <w:rPr>
                <w:sz w:val="18"/>
                <w:szCs w:val="18"/>
              </w:rPr>
              <w:t>1</w:t>
            </w:r>
          </w:p>
        </w:tc>
        <w:tc>
          <w:tcPr>
            <w:tcW w:w="748" w:type="pct"/>
          </w:tcPr>
          <w:p w:rsidR="00595FCA" w:rsidRPr="00652821" w:rsidP="000B1FF1" w14:paraId="5E961896" w14:textId="77777777">
            <w:pPr>
              <w:jc w:val="right"/>
              <w:rPr>
                <w:sz w:val="18"/>
                <w:szCs w:val="18"/>
              </w:rPr>
            </w:pPr>
            <w:r w:rsidRPr="00652821">
              <w:rPr>
                <w:sz w:val="18"/>
                <w:szCs w:val="18"/>
              </w:rPr>
              <w:t>20</w:t>
            </w:r>
          </w:p>
        </w:tc>
        <w:tc>
          <w:tcPr>
            <w:tcW w:w="669" w:type="pct"/>
          </w:tcPr>
          <w:p w:rsidR="00595FCA" w:rsidRPr="00652821" w:rsidP="000B1FF1" w14:paraId="3F3A2728" w14:textId="77777777">
            <w:pPr>
              <w:jc w:val="right"/>
              <w:rPr>
                <w:sz w:val="18"/>
                <w:szCs w:val="18"/>
              </w:rPr>
            </w:pPr>
            <w:r w:rsidRPr="00652821">
              <w:rPr>
                <w:sz w:val="18"/>
                <w:szCs w:val="18"/>
              </w:rPr>
              <w:t>20</w:t>
            </w:r>
          </w:p>
        </w:tc>
      </w:tr>
      <w:tr w14:paraId="526A9981" w14:textId="77777777" w:rsidTr="001E0D9C">
        <w:tblPrEx>
          <w:tblW w:w="5000" w:type="pct"/>
          <w:jc w:val="center"/>
          <w:tblLook w:val="01E0"/>
        </w:tblPrEx>
        <w:trPr>
          <w:cantSplit/>
          <w:trHeight w:val="20"/>
          <w:jc w:val="center"/>
        </w:trPr>
        <w:tc>
          <w:tcPr>
            <w:tcW w:w="1076" w:type="pct"/>
            <w:gridSpan w:val="2"/>
          </w:tcPr>
          <w:p w:rsidR="00595FCA" w:rsidRPr="00652821" w:rsidP="000B1FF1" w14:paraId="68661178" w14:textId="77777777">
            <w:pPr>
              <w:rPr>
                <w:sz w:val="18"/>
                <w:szCs w:val="18"/>
              </w:rPr>
            </w:pPr>
            <w:r w:rsidRPr="00652821">
              <w:rPr>
                <w:sz w:val="18"/>
                <w:szCs w:val="18"/>
              </w:rPr>
              <w:t>Microwave oven safety information and instructions—1030.10(c)(5)(i)-(c)(5)(iv)</w:t>
            </w:r>
          </w:p>
        </w:tc>
        <w:tc>
          <w:tcPr>
            <w:tcW w:w="629" w:type="pct"/>
          </w:tcPr>
          <w:p w:rsidR="00595FCA" w:rsidRPr="00652821" w:rsidP="000B1FF1" w14:paraId="5DE36FBF" w14:textId="77777777">
            <w:pPr>
              <w:jc w:val="right"/>
              <w:rPr>
                <w:sz w:val="18"/>
                <w:szCs w:val="18"/>
              </w:rPr>
            </w:pPr>
          </w:p>
        </w:tc>
        <w:tc>
          <w:tcPr>
            <w:tcW w:w="629" w:type="pct"/>
          </w:tcPr>
          <w:p w:rsidR="00595FCA" w:rsidRPr="00652821" w:rsidP="000B1FF1" w14:paraId="2EB909DA" w14:textId="211FD963">
            <w:pPr>
              <w:jc w:val="right"/>
              <w:rPr>
                <w:sz w:val="18"/>
                <w:szCs w:val="18"/>
              </w:rPr>
            </w:pPr>
            <w:r w:rsidRPr="00652821">
              <w:rPr>
                <w:sz w:val="18"/>
                <w:szCs w:val="18"/>
              </w:rPr>
              <w:t>1</w:t>
            </w:r>
          </w:p>
        </w:tc>
        <w:tc>
          <w:tcPr>
            <w:tcW w:w="582" w:type="pct"/>
          </w:tcPr>
          <w:p w:rsidR="00595FCA" w:rsidRPr="00652821" w:rsidP="000B1FF1" w14:paraId="0BBBC132" w14:textId="77777777">
            <w:pPr>
              <w:jc w:val="right"/>
              <w:rPr>
                <w:sz w:val="18"/>
                <w:szCs w:val="18"/>
              </w:rPr>
            </w:pPr>
            <w:r w:rsidRPr="00652821">
              <w:rPr>
                <w:sz w:val="18"/>
                <w:szCs w:val="18"/>
              </w:rPr>
              <w:t>1</w:t>
            </w:r>
          </w:p>
        </w:tc>
        <w:tc>
          <w:tcPr>
            <w:tcW w:w="666" w:type="pct"/>
          </w:tcPr>
          <w:p w:rsidR="00595FCA" w:rsidRPr="00652821" w:rsidP="000B1FF1" w14:paraId="3CEF5C34" w14:textId="77777777">
            <w:pPr>
              <w:jc w:val="right"/>
              <w:rPr>
                <w:sz w:val="18"/>
                <w:szCs w:val="18"/>
              </w:rPr>
            </w:pPr>
            <w:r w:rsidRPr="00652821">
              <w:rPr>
                <w:sz w:val="18"/>
                <w:szCs w:val="18"/>
              </w:rPr>
              <w:t>1</w:t>
            </w:r>
          </w:p>
        </w:tc>
        <w:tc>
          <w:tcPr>
            <w:tcW w:w="748" w:type="pct"/>
          </w:tcPr>
          <w:p w:rsidR="00595FCA" w:rsidRPr="00652821" w:rsidP="000B1FF1" w14:paraId="45B103D8" w14:textId="77777777">
            <w:pPr>
              <w:jc w:val="right"/>
              <w:rPr>
                <w:sz w:val="18"/>
                <w:szCs w:val="18"/>
              </w:rPr>
            </w:pPr>
            <w:r w:rsidRPr="00652821">
              <w:rPr>
                <w:sz w:val="18"/>
                <w:szCs w:val="18"/>
              </w:rPr>
              <w:t>20</w:t>
            </w:r>
          </w:p>
        </w:tc>
        <w:tc>
          <w:tcPr>
            <w:tcW w:w="669" w:type="pct"/>
          </w:tcPr>
          <w:p w:rsidR="00595FCA" w:rsidRPr="00652821" w:rsidP="000B1FF1" w14:paraId="32ED3DDA" w14:textId="77777777">
            <w:pPr>
              <w:jc w:val="right"/>
              <w:rPr>
                <w:sz w:val="18"/>
                <w:szCs w:val="18"/>
              </w:rPr>
            </w:pPr>
            <w:r w:rsidRPr="00652821">
              <w:rPr>
                <w:sz w:val="18"/>
                <w:szCs w:val="18"/>
              </w:rPr>
              <w:t>20</w:t>
            </w:r>
          </w:p>
        </w:tc>
      </w:tr>
      <w:tr w14:paraId="271E2637" w14:textId="77777777" w:rsidTr="001E0D9C">
        <w:tblPrEx>
          <w:tblW w:w="5000" w:type="pct"/>
          <w:jc w:val="center"/>
          <w:tblLook w:val="01E0"/>
        </w:tblPrEx>
        <w:trPr>
          <w:cantSplit/>
          <w:trHeight w:val="20"/>
          <w:jc w:val="center"/>
        </w:trPr>
        <w:tc>
          <w:tcPr>
            <w:tcW w:w="1076" w:type="pct"/>
            <w:gridSpan w:val="2"/>
          </w:tcPr>
          <w:p w:rsidR="00595FCA" w:rsidRPr="00652821" w:rsidP="000B1FF1" w14:paraId="5E8FC460" w14:textId="77777777">
            <w:pPr>
              <w:rPr>
                <w:sz w:val="18"/>
                <w:szCs w:val="18"/>
              </w:rPr>
            </w:pPr>
            <w:r w:rsidRPr="00652821">
              <w:rPr>
                <w:sz w:val="18"/>
                <w:szCs w:val="18"/>
              </w:rPr>
              <w:t>Microwave oven warning labels—1030.10(c)(6)(iii)</w:t>
            </w:r>
          </w:p>
        </w:tc>
        <w:tc>
          <w:tcPr>
            <w:tcW w:w="629" w:type="pct"/>
          </w:tcPr>
          <w:p w:rsidR="00595FCA" w:rsidRPr="00652821" w:rsidP="000B1FF1" w14:paraId="5BB63630" w14:textId="77777777">
            <w:pPr>
              <w:jc w:val="right"/>
              <w:rPr>
                <w:sz w:val="18"/>
                <w:szCs w:val="18"/>
              </w:rPr>
            </w:pPr>
          </w:p>
        </w:tc>
        <w:tc>
          <w:tcPr>
            <w:tcW w:w="629" w:type="pct"/>
          </w:tcPr>
          <w:p w:rsidR="00595FCA" w:rsidRPr="00652821" w:rsidP="000B1FF1" w14:paraId="4C6D80E6" w14:textId="6A65BAA5">
            <w:pPr>
              <w:jc w:val="right"/>
              <w:rPr>
                <w:sz w:val="18"/>
                <w:szCs w:val="18"/>
              </w:rPr>
            </w:pPr>
            <w:r w:rsidRPr="00652821">
              <w:rPr>
                <w:sz w:val="18"/>
                <w:szCs w:val="18"/>
              </w:rPr>
              <w:t>1</w:t>
            </w:r>
          </w:p>
        </w:tc>
        <w:tc>
          <w:tcPr>
            <w:tcW w:w="582" w:type="pct"/>
          </w:tcPr>
          <w:p w:rsidR="00595FCA" w:rsidRPr="00652821" w:rsidP="000B1FF1" w14:paraId="1FF6D238" w14:textId="77777777">
            <w:pPr>
              <w:jc w:val="right"/>
              <w:rPr>
                <w:sz w:val="18"/>
                <w:szCs w:val="18"/>
              </w:rPr>
            </w:pPr>
            <w:r w:rsidRPr="00652821">
              <w:rPr>
                <w:sz w:val="18"/>
                <w:szCs w:val="18"/>
              </w:rPr>
              <w:t>1</w:t>
            </w:r>
          </w:p>
        </w:tc>
        <w:tc>
          <w:tcPr>
            <w:tcW w:w="666" w:type="pct"/>
          </w:tcPr>
          <w:p w:rsidR="00595FCA" w:rsidRPr="00652821" w:rsidP="000B1FF1" w14:paraId="5AEB7FF0" w14:textId="77777777">
            <w:pPr>
              <w:jc w:val="right"/>
              <w:rPr>
                <w:sz w:val="18"/>
                <w:szCs w:val="18"/>
              </w:rPr>
            </w:pPr>
            <w:r w:rsidRPr="00652821">
              <w:rPr>
                <w:sz w:val="18"/>
                <w:szCs w:val="18"/>
              </w:rPr>
              <w:t>1</w:t>
            </w:r>
          </w:p>
        </w:tc>
        <w:tc>
          <w:tcPr>
            <w:tcW w:w="748" w:type="pct"/>
          </w:tcPr>
          <w:p w:rsidR="00595FCA" w:rsidRPr="00652821" w:rsidP="000B1FF1" w14:paraId="179812FA" w14:textId="77777777">
            <w:pPr>
              <w:jc w:val="right"/>
              <w:rPr>
                <w:sz w:val="18"/>
                <w:szCs w:val="18"/>
              </w:rPr>
            </w:pPr>
            <w:r w:rsidRPr="00652821">
              <w:rPr>
                <w:sz w:val="18"/>
                <w:szCs w:val="18"/>
              </w:rPr>
              <w:t>1</w:t>
            </w:r>
          </w:p>
        </w:tc>
        <w:tc>
          <w:tcPr>
            <w:tcW w:w="669" w:type="pct"/>
          </w:tcPr>
          <w:p w:rsidR="00595FCA" w:rsidRPr="00652821" w:rsidP="000B1FF1" w14:paraId="401CACCE" w14:textId="77777777">
            <w:pPr>
              <w:jc w:val="right"/>
              <w:rPr>
                <w:sz w:val="18"/>
                <w:szCs w:val="18"/>
              </w:rPr>
            </w:pPr>
            <w:r w:rsidRPr="00652821">
              <w:rPr>
                <w:sz w:val="18"/>
                <w:szCs w:val="18"/>
              </w:rPr>
              <w:t>1</w:t>
            </w:r>
          </w:p>
        </w:tc>
      </w:tr>
      <w:tr w14:paraId="565A8470" w14:textId="77777777" w:rsidTr="001E0D9C">
        <w:tblPrEx>
          <w:tblW w:w="5000" w:type="pct"/>
          <w:jc w:val="center"/>
          <w:tblLook w:val="01E0"/>
        </w:tblPrEx>
        <w:trPr>
          <w:cantSplit/>
          <w:trHeight w:val="20"/>
          <w:jc w:val="center"/>
        </w:trPr>
        <w:tc>
          <w:tcPr>
            <w:tcW w:w="1076" w:type="pct"/>
            <w:gridSpan w:val="2"/>
          </w:tcPr>
          <w:p w:rsidR="00595FCA" w:rsidRPr="00652821" w:rsidP="000B1FF1" w14:paraId="4AACDB7B" w14:textId="77777777">
            <w:pPr>
              <w:rPr>
                <w:sz w:val="18"/>
                <w:szCs w:val="18"/>
              </w:rPr>
            </w:pPr>
            <w:r w:rsidRPr="00652821">
              <w:rPr>
                <w:sz w:val="18"/>
                <w:szCs w:val="18"/>
              </w:rPr>
              <w:t>Laser products information—1040.10(h)(1)(i)-(h)(1)(vi)</w:t>
            </w:r>
          </w:p>
        </w:tc>
        <w:tc>
          <w:tcPr>
            <w:tcW w:w="629" w:type="pct"/>
          </w:tcPr>
          <w:p w:rsidR="00595FCA" w:rsidRPr="00652821" w:rsidP="000B1FF1" w14:paraId="51D4DCCA" w14:textId="77777777">
            <w:pPr>
              <w:jc w:val="right"/>
              <w:rPr>
                <w:sz w:val="18"/>
                <w:szCs w:val="18"/>
              </w:rPr>
            </w:pPr>
          </w:p>
        </w:tc>
        <w:tc>
          <w:tcPr>
            <w:tcW w:w="629" w:type="pct"/>
          </w:tcPr>
          <w:p w:rsidR="00595FCA" w:rsidRPr="00652821" w:rsidP="000B1FF1" w14:paraId="646CCCCE" w14:textId="4460D4EA">
            <w:pPr>
              <w:jc w:val="right"/>
              <w:rPr>
                <w:sz w:val="18"/>
                <w:szCs w:val="18"/>
              </w:rPr>
            </w:pPr>
            <w:r w:rsidRPr="00652821">
              <w:rPr>
                <w:sz w:val="18"/>
                <w:szCs w:val="18"/>
              </w:rPr>
              <w:t>2</w:t>
            </w:r>
          </w:p>
        </w:tc>
        <w:tc>
          <w:tcPr>
            <w:tcW w:w="582" w:type="pct"/>
          </w:tcPr>
          <w:p w:rsidR="00595FCA" w:rsidRPr="00652821" w:rsidP="000B1FF1" w14:paraId="3CF9F3D8" w14:textId="77777777">
            <w:pPr>
              <w:jc w:val="right"/>
              <w:rPr>
                <w:sz w:val="18"/>
                <w:szCs w:val="18"/>
              </w:rPr>
            </w:pPr>
            <w:r w:rsidRPr="00652821">
              <w:rPr>
                <w:sz w:val="18"/>
                <w:szCs w:val="18"/>
              </w:rPr>
              <w:t>1</w:t>
            </w:r>
          </w:p>
        </w:tc>
        <w:tc>
          <w:tcPr>
            <w:tcW w:w="666" w:type="pct"/>
          </w:tcPr>
          <w:p w:rsidR="00595FCA" w:rsidRPr="00652821" w:rsidP="000B1FF1" w14:paraId="5C0C8CB8" w14:textId="77777777">
            <w:pPr>
              <w:jc w:val="right"/>
              <w:rPr>
                <w:sz w:val="18"/>
                <w:szCs w:val="18"/>
              </w:rPr>
            </w:pPr>
            <w:r w:rsidRPr="00652821">
              <w:rPr>
                <w:sz w:val="18"/>
                <w:szCs w:val="18"/>
              </w:rPr>
              <w:t>2</w:t>
            </w:r>
          </w:p>
        </w:tc>
        <w:tc>
          <w:tcPr>
            <w:tcW w:w="748" w:type="pct"/>
          </w:tcPr>
          <w:p w:rsidR="00595FCA" w:rsidRPr="00652821" w:rsidP="000B1FF1" w14:paraId="687F5438" w14:textId="77777777">
            <w:pPr>
              <w:jc w:val="right"/>
              <w:rPr>
                <w:sz w:val="18"/>
                <w:szCs w:val="18"/>
              </w:rPr>
            </w:pPr>
            <w:r w:rsidRPr="00652821">
              <w:rPr>
                <w:sz w:val="18"/>
                <w:szCs w:val="18"/>
              </w:rPr>
              <w:t>20</w:t>
            </w:r>
          </w:p>
        </w:tc>
        <w:tc>
          <w:tcPr>
            <w:tcW w:w="669" w:type="pct"/>
          </w:tcPr>
          <w:p w:rsidR="00595FCA" w:rsidRPr="00652821" w:rsidP="000B1FF1" w14:paraId="77CEDF54" w14:textId="77777777">
            <w:pPr>
              <w:jc w:val="right"/>
              <w:rPr>
                <w:sz w:val="18"/>
                <w:szCs w:val="18"/>
              </w:rPr>
            </w:pPr>
            <w:r w:rsidRPr="00652821">
              <w:rPr>
                <w:sz w:val="18"/>
                <w:szCs w:val="18"/>
              </w:rPr>
              <w:t>40</w:t>
            </w:r>
          </w:p>
        </w:tc>
      </w:tr>
      <w:tr w14:paraId="71CBCBB1" w14:textId="77777777" w:rsidTr="001E0D9C">
        <w:tblPrEx>
          <w:tblW w:w="5000" w:type="pct"/>
          <w:jc w:val="center"/>
          <w:tblLook w:val="01E0"/>
        </w:tblPrEx>
        <w:trPr>
          <w:cantSplit/>
          <w:trHeight w:val="20"/>
          <w:jc w:val="center"/>
        </w:trPr>
        <w:tc>
          <w:tcPr>
            <w:tcW w:w="1076" w:type="pct"/>
            <w:gridSpan w:val="2"/>
          </w:tcPr>
          <w:p w:rsidR="00595FCA" w:rsidRPr="00652821" w:rsidP="000B1FF1" w14:paraId="69979E51" w14:textId="77777777">
            <w:pPr>
              <w:rPr>
                <w:sz w:val="18"/>
                <w:szCs w:val="18"/>
              </w:rPr>
            </w:pPr>
            <w:r w:rsidRPr="00652821">
              <w:rPr>
                <w:sz w:val="18"/>
                <w:szCs w:val="18"/>
              </w:rPr>
              <w:t>Laser product service information—1040.10(h)(2)(i)-(h)(2)(ii)</w:t>
            </w:r>
          </w:p>
        </w:tc>
        <w:tc>
          <w:tcPr>
            <w:tcW w:w="629" w:type="pct"/>
          </w:tcPr>
          <w:p w:rsidR="00595FCA" w:rsidRPr="00652821" w:rsidP="000B1FF1" w14:paraId="7D79DD00" w14:textId="77777777">
            <w:pPr>
              <w:jc w:val="right"/>
              <w:rPr>
                <w:sz w:val="18"/>
                <w:szCs w:val="18"/>
              </w:rPr>
            </w:pPr>
          </w:p>
        </w:tc>
        <w:tc>
          <w:tcPr>
            <w:tcW w:w="629" w:type="pct"/>
          </w:tcPr>
          <w:p w:rsidR="00595FCA" w:rsidRPr="00652821" w:rsidP="000B1FF1" w14:paraId="78A17D43" w14:textId="37F2ECF9">
            <w:pPr>
              <w:jc w:val="right"/>
              <w:rPr>
                <w:sz w:val="18"/>
                <w:szCs w:val="18"/>
              </w:rPr>
            </w:pPr>
            <w:r w:rsidRPr="00652821">
              <w:rPr>
                <w:sz w:val="18"/>
                <w:szCs w:val="18"/>
              </w:rPr>
              <w:t>2</w:t>
            </w:r>
          </w:p>
        </w:tc>
        <w:tc>
          <w:tcPr>
            <w:tcW w:w="582" w:type="pct"/>
          </w:tcPr>
          <w:p w:rsidR="00595FCA" w:rsidRPr="00652821" w:rsidP="000B1FF1" w14:paraId="664F6C7F" w14:textId="77777777">
            <w:pPr>
              <w:jc w:val="right"/>
              <w:rPr>
                <w:sz w:val="18"/>
                <w:szCs w:val="18"/>
              </w:rPr>
            </w:pPr>
            <w:r w:rsidRPr="00652821">
              <w:rPr>
                <w:sz w:val="18"/>
                <w:szCs w:val="18"/>
              </w:rPr>
              <w:t>1</w:t>
            </w:r>
          </w:p>
        </w:tc>
        <w:tc>
          <w:tcPr>
            <w:tcW w:w="666" w:type="pct"/>
          </w:tcPr>
          <w:p w:rsidR="00595FCA" w:rsidRPr="00652821" w:rsidP="000B1FF1" w14:paraId="10023967" w14:textId="77777777">
            <w:pPr>
              <w:jc w:val="right"/>
              <w:rPr>
                <w:sz w:val="18"/>
                <w:szCs w:val="18"/>
              </w:rPr>
            </w:pPr>
            <w:r w:rsidRPr="00652821">
              <w:rPr>
                <w:sz w:val="18"/>
                <w:szCs w:val="18"/>
              </w:rPr>
              <w:t>2</w:t>
            </w:r>
          </w:p>
        </w:tc>
        <w:tc>
          <w:tcPr>
            <w:tcW w:w="748" w:type="pct"/>
          </w:tcPr>
          <w:p w:rsidR="00595FCA" w:rsidRPr="00652821" w:rsidP="000B1FF1" w14:paraId="4060E229" w14:textId="77777777">
            <w:pPr>
              <w:jc w:val="right"/>
              <w:rPr>
                <w:sz w:val="18"/>
                <w:szCs w:val="18"/>
              </w:rPr>
            </w:pPr>
            <w:r w:rsidRPr="00652821">
              <w:rPr>
                <w:sz w:val="18"/>
                <w:szCs w:val="18"/>
              </w:rPr>
              <w:t>20</w:t>
            </w:r>
          </w:p>
        </w:tc>
        <w:tc>
          <w:tcPr>
            <w:tcW w:w="669" w:type="pct"/>
          </w:tcPr>
          <w:p w:rsidR="00595FCA" w:rsidRPr="00652821" w:rsidP="000B1FF1" w14:paraId="5FD10C25" w14:textId="77777777">
            <w:pPr>
              <w:jc w:val="right"/>
              <w:rPr>
                <w:sz w:val="18"/>
                <w:szCs w:val="18"/>
              </w:rPr>
            </w:pPr>
            <w:r w:rsidRPr="00652821">
              <w:rPr>
                <w:sz w:val="18"/>
                <w:szCs w:val="18"/>
              </w:rPr>
              <w:t>40</w:t>
            </w:r>
          </w:p>
        </w:tc>
      </w:tr>
      <w:tr w14:paraId="46356788" w14:textId="77777777" w:rsidTr="001E0D9C">
        <w:tblPrEx>
          <w:tblW w:w="5000" w:type="pct"/>
          <w:jc w:val="center"/>
          <w:tblLook w:val="01E0"/>
        </w:tblPrEx>
        <w:trPr>
          <w:cantSplit/>
          <w:trHeight w:val="20"/>
          <w:jc w:val="center"/>
        </w:trPr>
        <w:tc>
          <w:tcPr>
            <w:tcW w:w="1076" w:type="pct"/>
            <w:gridSpan w:val="2"/>
          </w:tcPr>
          <w:p w:rsidR="00595FCA" w:rsidRPr="00652821" w:rsidP="000B1FF1" w14:paraId="325246DA" w14:textId="77777777">
            <w:pPr>
              <w:rPr>
                <w:sz w:val="18"/>
                <w:szCs w:val="18"/>
              </w:rPr>
            </w:pPr>
            <w:r w:rsidRPr="00652821">
              <w:rPr>
                <w:sz w:val="18"/>
                <w:szCs w:val="18"/>
              </w:rPr>
              <w:t>Medical laser product instructions—1040.11(a)(2)</w:t>
            </w:r>
          </w:p>
        </w:tc>
        <w:tc>
          <w:tcPr>
            <w:tcW w:w="629" w:type="pct"/>
          </w:tcPr>
          <w:p w:rsidR="00595FCA" w:rsidRPr="00652821" w:rsidP="000B1FF1" w14:paraId="52A668C5" w14:textId="77777777">
            <w:pPr>
              <w:jc w:val="right"/>
              <w:rPr>
                <w:sz w:val="18"/>
                <w:szCs w:val="18"/>
              </w:rPr>
            </w:pPr>
          </w:p>
        </w:tc>
        <w:tc>
          <w:tcPr>
            <w:tcW w:w="629" w:type="pct"/>
          </w:tcPr>
          <w:p w:rsidR="00595FCA" w:rsidRPr="00652821" w:rsidP="000B1FF1" w14:paraId="1974F549" w14:textId="4D2D01AF">
            <w:pPr>
              <w:jc w:val="right"/>
              <w:rPr>
                <w:sz w:val="18"/>
                <w:szCs w:val="18"/>
              </w:rPr>
            </w:pPr>
            <w:r w:rsidRPr="00652821">
              <w:rPr>
                <w:sz w:val="18"/>
                <w:szCs w:val="18"/>
              </w:rPr>
              <w:t>2</w:t>
            </w:r>
          </w:p>
        </w:tc>
        <w:tc>
          <w:tcPr>
            <w:tcW w:w="582" w:type="pct"/>
          </w:tcPr>
          <w:p w:rsidR="00595FCA" w:rsidRPr="00652821" w:rsidP="000B1FF1" w14:paraId="36F2AE10" w14:textId="77777777">
            <w:pPr>
              <w:jc w:val="right"/>
              <w:rPr>
                <w:sz w:val="18"/>
                <w:szCs w:val="18"/>
              </w:rPr>
            </w:pPr>
            <w:r w:rsidRPr="00652821">
              <w:rPr>
                <w:sz w:val="18"/>
                <w:szCs w:val="18"/>
              </w:rPr>
              <w:t>1</w:t>
            </w:r>
          </w:p>
        </w:tc>
        <w:tc>
          <w:tcPr>
            <w:tcW w:w="666" w:type="pct"/>
          </w:tcPr>
          <w:p w:rsidR="00595FCA" w:rsidRPr="00652821" w:rsidP="000B1FF1" w14:paraId="170C6CAA" w14:textId="77777777">
            <w:pPr>
              <w:jc w:val="right"/>
              <w:rPr>
                <w:sz w:val="18"/>
                <w:szCs w:val="18"/>
              </w:rPr>
            </w:pPr>
            <w:r w:rsidRPr="00652821">
              <w:rPr>
                <w:sz w:val="18"/>
                <w:szCs w:val="18"/>
              </w:rPr>
              <w:t>2</w:t>
            </w:r>
          </w:p>
        </w:tc>
        <w:tc>
          <w:tcPr>
            <w:tcW w:w="748" w:type="pct"/>
          </w:tcPr>
          <w:p w:rsidR="00595FCA" w:rsidRPr="00652821" w:rsidP="000B1FF1" w14:paraId="52B168DC" w14:textId="77777777">
            <w:pPr>
              <w:jc w:val="right"/>
              <w:rPr>
                <w:sz w:val="18"/>
                <w:szCs w:val="18"/>
              </w:rPr>
            </w:pPr>
            <w:r w:rsidRPr="00652821">
              <w:rPr>
                <w:sz w:val="18"/>
                <w:szCs w:val="18"/>
              </w:rPr>
              <w:t>10</w:t>
            </w:r>
          </w:p>
        </w:tc>
        <w:tc>
          <w:tcPr>
            <w:tcW w:w="669" w:type="pct"/>
          </w:tcPr>
          <w:p w:rsidR="00595FCA" w:rsidRPr="00652821" w:rsidP="000B1FF1" w14:paraId="7B10951D" w14:textId="77777777">
            <w:pPr>
              <w:jc w:val="right"/>
              <w:rPr>
                <w:sz w:val="18"/>
                <w:szCs w:val="18"/>
              </w:rPr>
            </w:pPr>
            <w:r w:rsidRPr="00652821">
              <w:rPr>
                <w:sz w:val="18"/>
                <w:szCs w:val="18"/>
              </w:rPr>
              <w:t>20</w:t>
            </w:r>
          </w:p>
        </w:tc>
      </w:tr>
      <w:tr w14:paraId="00863878" w14:textId="77777777" w:rsidTr="001E0D9C">
        <w:tblPrEx>
          <w:tblW w:w="5000" w:type="pct"/>
          <w:jc w:val="center"/>
          <w:tblLook w:val="01E0"/>
        </w:tblPrEx>
        <w:trPr>
          <w:cantSplit/>
          <w:trHeight w:val="20"/>
          <w:jc w:val="center"/>
        </w:trPr>
        <w:tc>
          <w:tcPr>
            <w:tcW w:w="1076" w:type="pct"/>
            <w:gridSpan w:val="2"/>
          </w:tcPr>
          <w:p w:rsidR="00595FCA" w:rsidRPr="00652821" w:rsidP="000B1FF1" w14:paraId="09D198C3" w14:textId="77777777">
            <w:pPr>
              <w:rPr>
                <w:sz w:val="18"/>
                <w:szCs w:val="18"/>
              </w:rPr>
            </w:pPr>
            <w:r w:rsidRPr="00652821">
              <w:rPr>
                <w:sz w:val="18"/>
                <w:szCs w:val="18"/>
              </w:rPr>
              <w:t>Sunlamp products instructions—1040.20</w:t>
            </w:r>
          </w:p>
        </w:tc>
        <w:tc>
          <w:tcPr>
            <w:tcW w:w="629" w:type="pct"/>
          </w:tcPr>
          <w:p w:rsidR="00595FCA" w:rsidRPr="00652821" w:rsidP="000B1FF1" w14:paraId="1F9AEB9A" w14:textId="77777777">
            <w:pPr>
              <w:jc w:val="right"/>
              <w:rPr>
                <w:sz w:val="18"/>
                <w:szCs w:val="18"/>
              </w:rPr>
            </w:pPr>
          </w:p>
        </w:tc>
        <w:tc>
          <w:tcPr>
            <w:tcW w:w="629" w:type="pct"/>
          </w:tcPr>
          <w:p w:rsidR="00595FCA" w:rsidRPr="00652821" w:rsidP="000B1FF1" w14:paraId="48DE27D6" w14:textId="4A3648FD">
            <w:pPr>
              <w:jc w:val="right"/>
              <w:rPr>
                <w:sz w:val="18"/>
                <w:szCs w:val="18"/>
              </w:rPr>
            </w:pPr>
            <w:r w:rsidRPr="00652821">
              <w:rPr>
                <w:sz w:val="18"/>
                <w:szCs w:val="18"/>
              </w:rPr>
              <w:t>1</w:t>
            </w:r>
          </w:p>
        </w:tc>
        <w:tc>
          <w:tcPr>
            <w:tcW w:w="582" w:type="pct"/>
          </w:tcPr>
          <w:p w:rsidR="00595FCA" w:rsidRPr="00652821" w:rsidP="000B1FF1" w14:paraId="0DAB2306" w14:textId="77777777">
            <w:pPr>
              <w:jc w:val="right"/>
              <w:rPr>
                <w:sz w:val="18"/>
                <w:szCs w:val="18"/>
              </w:rPr>
            </w:pPr>
            <w:r w:rsidRPr="00652821">
              <w:rPr>
                <w:sz w:val="18"/>
                <w:szCs w:val="18"/>
              </w:rPr>
              <w:t>1</w:t>
            </w:r>
          </w:p>
        </w:tc>
        <w:tc>
          <w:tcPr>
            <w:tcW w:w="666" w:type="pct"/>
          </w:tcPr>
          <w:p w:rsidR="00595FCA" w:rsidRPr="00652821" w:rsidP="000B1FF1" w14:paraId="796B4E54" w14:textId="77777777">
            <w:pPr>
              <w:jc w:val="right"/>
              <w:rPr>
                <w:sz w:val="18"/>
                <w:szCs w:val="18"/>
              </w:rPr>
            </w:pPr>
            <w:r w:rsidRPr="00652821">
              <w:rPr>
                <w:sz w:val="18"/>
                <w:szCs w:val="18"/>
              </w:rPr>
              <w:t>1</w:t>
            </w:r>
          </w:p>
        </w:tc>
        <w:tc>
          <w:tcPr>
            <w:tcW w:w="748" w:type="pct"/>
          </w:tcPr>
          <w:p w:rsidR="00595FCA" w:rsidRPr="00652821" w:rsidP="000B1FF1" w14:paraId="24A8F2B7" w14:textId="77777777">
            <w:pPr>
              <w:jc w:val="right"/>
              <w:rPr>
                <w:sz w:val="18"/>
                <w:szCs w:val="18"/>
              </w:rPr>
            </w:pPr>
            <w:r w:rsidRPr="00652821">
              <w:rPr>
                <w:sz w:val="18"/>
                <w:szCs w:val="18"/>
              </w:rPr>
              <w:t>10</w:t>
            </w:r>
          </w:p>
        </w:tc>
        <w:tc>
          <w:tcPr>
            <w:tcW w:w="669" w:type="pct"/>
          </w:tcPr>
          <w:p w:rsidR="00595FCA" w:rsidRPr="00652821" w:rsidP="000B1FF1" w14:paraId="00741640" w14:textId="77777777">
            <w:pPr>
              <w:jc w:val="right"/>
              <w:rPr>
                <w:sz w:val="18"/>
                <w:szCs w:val="18"/>
              </w:rPr>
            </w:pPr>
            <w:r w:rsidRPr="00652821">
              <w:rPr>
                <w:sz w:val="18"/>
                <w:szCs w:val="18"/>
              </w:rPr>
              <w:t>10</w:t>
            </w:r>
          </w:p>
        </w:tc>
      </w:tr>
      <w:tr w14:paraId="55E0F9B5" w14:textId="77777777" w:rsidTr="001E0D9C">
        <w:tblPrEx>
          <w:tblW w:w="5000" w:type="pct"/>
          <w:jc w:val="center"/>
          <w:tblLook w:val="01E0"/>
        </w:tblPrEx>
        <w:trPr>
          <w:cantSplit/>
          <w:trHeight w:val="20"/>
          <w:jc w:val="center"/>
        </w:trPr>
        <w:tc>
          <w:tcPr>
            <w:tcW w:w="1076" w:type="pct"/>
            <w:gridSpan w:val="2"/>
          </w:tcPr>
          <w:p w:rsidR="00595FCA" w:rsidRPr="00652821" w:rsidP="000B1FF1" w14:paraId="3831154F" w14:textId="77777777">
            <w:pPr>
              <w:rPr>
                <w:sz w:val="18"/>
                <w:szCs w:val="18"/>
              </w:rPr>
            </w:pPr>
            <w:r w:rsidRPr="00652821">
              <w:rPr>
                <w:sz w:val="18"/>
                <w:szCs w:val="18"/>
              </w:rPr>
              <w:t>Mercury vapor lamp labeling—1040.30(c)(1)(ii)</w:t>
            </w:r>
          </w:p>
        </w:tc>
        <w:tc>
          <w:tcPr>
            <w:tcW w:w="629" w:type="pct"/>
          </w:tcPr>
          <w:p w:rsidR="00595FCA" w:rsidRPr="00652821" w:rsidP="000B1FF1" w14:paraId="0D6757B7" w14:textId="77777777">
            <w:pPr>
              <w:jc w:val="right"/>
              <w:rPr>
                <w:sz w:val="18"/>
                <w:szCs w:val="18"/>
              </w:rPr>
            </w:pPr>
          </w:p>
        </w:tc>
        <w:tc>
          <w:tcPr>
            <w:tcW w:w="629" w:type="pct"/>
          </w:tcPr>
          <w:p w:rsidR="00595FCA" w:rsidRPr="00652821" w:rsidP="000B1FF1" w14:paraId="4E0B4223" w14:textId="450935F2">
            <w:pPr>
              <w:jc w:val="right"/>
              <w:rPr>
                <w:sz w:val="18"/>
                <w:szCs w:val="18"/>
              </w:rPr>
            </w:pPr>
            <w:r w:rsidRPr="00652821">
              <w:rPr>
                <w:sz w:val="18"/>
                <w:szCs w:val="18"/>
              </w:rPr>
              <w:t>1</w:t>
            </w:r>
          </w:p>
        </w:tc>
        <w:tc>
          <w:tcPr>
            <w:tcW w:w="582" w:type="pct"/>
          </w:tcPr>
          <w:p w:rsidR="00595FCA" w:rsidRPr="00652821" w:rsidP="000B1FF1" w14:paraId="20F5206B" w14:textId="77777777">
            <w:pPr>
              <w:jc w:val="right"/>
              <w:rPr>
                <w:sz w:val="18"/>
                <w:szCs w:val="18"/>
              </w:rPr>
            </w:pPr>
            <w:r w:rsidRPr="00652821">
              <w:rPr>
                <w:sz w:val="18"/>
                <w:szCs w:val="18"/>
              </w:rPr>
              <w:t>1</w:t>
            </w:r>
          </w:p>
        </w:tc>
        <w:tc>
          <w:tcPr>
            <w:tcW w:w="666" w:type="pct"/>
          </w:tcPr>
          <w:p w:rsidR="00595FCA" w:rsidRPr="00652821" w:rsidP="000B1FF1" w14:paraId="76E96B54" w14:textId="77777777">
            <w:pPr>
              <w:jc w:val="right"/>
              <w:rPr>
                <w:sz w:val="18"/>
                <w:szCs w:val="18"/>
              </w:rPr>
            </w:pPr>
            <w:r w:rsidRPr="00652821">
              <w:rPr>
                <w:sz w:val="18"/>
                <w:szCs w:val="18"/>
              </w:rPr>
              <w:t>1</w:t>
            </w:r>
          </w:p>
        </w:tc>
        <w:tc>
          <w:tcPr>
            <w:tcW w:w="748" w:type="pct"/>
          </w:tcPr>
          <w:p w:rsidR="00595FCA" w:rsidRPr="00652821" w:rsidP="000B1FF1" w14:paraId="73C77A23" w14:textId="77777777">
            <w:pPr>
              <w:jc w:val="right"/>
              <w:rPr>
                <w:sz w:val="18"/>
                <w:szCs w:val="18"/>
              </w:rPr>
            </w:pPr>
            <w:r w:rsidRPr="00652821">
              <w:rPr>
                <w:sz w:val="18"/>
                <w:szCs w:val="18"/>
              </w:rPr>
              <w:t>1</w:t>
            </w:r>
          </w:p>
        </w:tc>
        <w:tc>
          <w:tcPr>
            <w:tcW w:w="669" w:type="pct"/>
          </w:tcPr>
          <w:p w:rsidR="00595FCA" w:rsidRPr="00652821" w:rsidP="000B1FF1" w14:paraId="46A57E09" w14:textId="77777777">
            <w:pPr>
              <w:jc w:val="right"/>
              <w:rPr>
                <w:sz w:val="18"/>
                <w:szCs w:val="18"/>
              </w:rPr>
            </w:pPr>
            <w:r w:rsidRPr="00652821">
              <w:rPr>
                <w:sz w:val="18"/>
                <w:szCs w:val="18"/>
              </w:rPr>
              <w:t>1</w:t>
            </w:r>
          </w:p>
        </w:tc>
      </w:tr>
      <w:tr w14:paraId="38342063" w14:textId="77777777" w:rsidTr="001E0D9C">
        <w:tblPrEx>
          <w:tblW w:w="5000" w:type="pct"/>
          <w:jc w:val="center"/>
          <w:tblLook w:val="01E0"/>
        </w:tblPrEx>
        <w:trPr>
          <w:cantSplit/>
          <w:trHeight w:val="20"/>
          <w:jc w:val="center"/>
        </w:trPr>
        <w:tc>
          <w:tcPr>
            <w:tcW w:w="1076" w:type="pct"/>
            <w:gridSpan w:val="2"/>
          </w:tcPr>
          <w:p w:rsidR="00595FCA" w:rsidRPr="00652821" w:rsidP="000B1FF1" w14:paraId="32D877CF" w14:textId="77777777">
            <w:pPr>
              <w:rPr>
                <w:sz w:val="18"/>
                <w:szCs w:val="18"/>
              </w:rPr>
            </w:pPr>
            <w:r w:rsidRPr="00652821">
              <w:rPr>
                <w:sz w:val="18"/>
                <w:szCs w:val="18"/>
              </w:rPr>
              <w:t>Mercury vapor lamp permanently affixed labels—1040.30(c)(2)</w:t>
            </w:r>
          </w:p>
        </w:tc>
        <w:tc>
          <w:tcPr>
            <w:tcW w:w="629" w:type="pct"/>
          </w:tcPr>
          <w:p w:rsidR="00595FCA" w:rsidRPr="00652821" w:rsidP="000B1FF1" w14:paraId="0A693C95" w14:textId="77777777">
            <w:pPr>
              <w:jc w:val="right"/>
              <w:rPr>
                <w:sz w:val="18"/>
                <w:szCs w:val="18"/>
              </w:rPr>
            </w:pPr>
          </w:p>
        </w:tc>
        <w:tc>
          <w:tcPr>
            <w:tcW w:w="629" w:type="pct"/>
          </w:tcPr>
          <w:p w:rsidR="00595FCA" w:rsidRPr="00652821" w:rsidP="000B1FF1" w14:paraId="35791EFC" w14:textId="4A466A4F">
            <w:pPr>
              <w:jc w:val="right"/>
              <w:rPr>
                <w:sz w:val="18"/>
                <w:szCs w:val="18"/>
              </w:rPr>
            </w:pPr>
            <w:r w:rsidRPr="00652821">
              <w:rPr>
                <w:sz w:val="18"/>
                <w:szCs w:val="18"/>
              </w:rPr>
              <w:t>1</w:t>
            </w:r>
          </w:p>
        </w:tc>
        <w:tc>
          <w:tcPr>
            <w:tcW w:w="582" w:type="pct"/>
          </w:tcPr>
          <w:p w:rsidR="00595FCA" w:rsidRPr="00652821" w:rsidP="000B1FF1" w14:paraId="02A67AC6" w14:textId="77777777">
            <w:pPr>
              <w:jc w:val="right"/>
              <w:rPr>
                <w:sz w:val="18"/>
                <w:szCs w:val="18"/>
              </w:rPr>
            </w:pPr>
            <w:r w:rsidRPr="00652821">
              <w:rPr>
                <w:sz w:val="18"/>
                <w:szCs w:val="18"/>
              </w:rPr>
              <w:t>1</w:t>
            </w:r>
          </w:p>
        </w:tc>
        <w:tc>
          <w:tcPr>
            <w:tcW w:w="666" w:type="pct"/>
          </w:tcPr>
          <w:p w:rsidR="00595FCA" w:rsidRPr="00652821" w:rsidP="000B1FF1" w14:paraId="47C0AD82" w14:textId="77777777">
            <w:pPr>
              <w:jc w:val="right"/>
              <w:rPr>
                <w:sz w:val="18"/>
                <w:szCs w:val="18"/>
              </w:rPr>
            </w:pPr>
            <w:r w:rsidRPr="00652821">
              <w:rPr>
                <w:sz w:val="18"/>
                <w:szCs w:val="18"/>
              </w:rPr>
              <w:t>1</w:t>
            </w:r>
          </w:p>
        </w:tc>
        <w:tc>
          <w:tcPr>
            <w:tcW w:w="748" w:type="pct"/>
          </w:tcPr>
          <w:p w:rsidR="00595FCA" w:rsidRPr="00652821" w:rsidP="000B1FF1" w14:paraId="45CD3B2E" w14:textId="77777777">
            <w:pPr>
              <w:jc w:val="right"/>
              <w:rPr>
                <w:sz w:val="18"/>
                <w:szCs w:val="18"/>
              </w:rPr>
            </w:pPr>
            <w:r w:rsidRPr="00652821">
              <w:rPr>
                <w:sz w:val="18"/>
                <w:szCs w:val="18"/>
              </w:rPr>
              <w:t>1</w:t>
            </w:r>
          </w:p>
        </w:tc>
        <w:tc>
          <w:tcPr>
            <w:tcW w:w="669" w:type="pct"/>
          </w:tcPr>
          <w:p w:rsidR="00595FCA" w:rsidRPr="00652821" w:rsidP="000B1FF1" w14:paraId="6D643437" w14:textId="77777777">
            <w:pPr>
              <w:jc w:val="right"/>
              <w:rPr>
                <w:sz w:val="18"/>
                <w:szCs w:val="18"/>
              </w:rPr>
            </w:pPr>
            <w:r w:rsidRPr="00652821">
              <w:rPr>
                <w:sz w:val="18"/>
                <w:szCs w:val="18"/>
              </w:rPr>
              <w:t>1</w:t>
            </w:r>
          </w:p>
        </w:tc>
      </w:tr>
      <w:tr w14:paraId="1CE00644" w14:textId="77777777" w:rsidTr="001E0D9C">
        <w:tblPrEx>
          <w:tblW w:w="5000" w:type="pct"/>
          <w:jc w:val="center"/>
          <w:tblLook w:val="01E0"/>
        </w:tblPrEx>
        <w:trPr>
          <w:cantSplit/>
          <w:trHeight w:val="20"/>
          <w:jc w:val="center"/>
        </w:trPr>
        <w:tc>
          <w:tcPr>
            <w:tcW w:w="1076" w:type="pct"/>
            <w:gridSpan w:val="2"/>
          </w:tcPr>
          <w:p w:rsidR="00595FCA" w:rsidRPr="00652821" w:rsidP="000B1FF1" w14:paraId="42CB39ED" w14:textId="77777777">
            <w:pPr>
              <w:rPr>
                <w:sz w:val="18"/>
                <w:szCs w:val="18"/>
              </w:rPr>
            </w:pPr>
            <w:r w:rsidRPr="00652821">
              <w:rPr>
                <w:sz w:val="18"/>
                <w:szCs w:val="18"/>
              </w:rPr>
              <w:t>Total</w:t>
            </w:r>
          </w:p>
        </w:tc>
        <w:tc>
          <w:tcPr>
            <w:tcW w:w="629" w:type="pct"/>
          </w:tcPr>
          <w:p w:rsidR="00595FCA" w:rsidRPr="00652821" w:rsidP="000B1FF1" w14:paraId="71FCE9CF" w14:textId="77777777">
            <w:pPr>
              <w:jc w:val="right"/>
              <w:rPr>
                <w:sz w:val="18"/>
                <w:szCs w:val="18"/>
              </w:rPr>
            </w:pPr>
          </w:p>
        </w:tc>
        <w:tc>
          <w:tcPr>
            <w:tcW w:w="629" w:type="pct"/>
          </w:tcPr>
          <w:p w:rsidR="00595FCA" w:rsidRPr="00652821" w:rsidP="000B1FF1" w14:paraId="097A0946" w14:textId="1472C309">
            <w:pPr>
              <w:jc w:val="right"/>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1,309</w:t>
            </w:r>
            <w:r>
              <w:rPr>
                <w:sz w:val="18"/>
                <w:szCs w:val="18"/>
              </w:rPr>
              <w:fldChar w:fldCharType="end"/>
            </w:r>
          </w:p>
        </w:tc>
        <w:tc>
          <w:tcPr>
            <w:tcW w:w="582" w:type="pct"/>
          </w:tcPr>
          <w:p w:rsidR="00595FCA" w:rsidRPr="00652821" w:rsidP="000B1FF1" w14:paraId="29C2838B" w14:textId="77777777">
            <w:pPr>
              <w:jc w:val="right"/>
              <w:rPr>
                <w:sz w:val="18"/>
                <w:szCs w:val="18"/>
              </w:rPr>
            </w:pPr>
          </w:p>
        </w:tc>
        <w:tc>
          <w:tcPr>
            <w:tcW w:w="666" w:type="pct"/>
          </w:tcPr>
          <w:p w:rsidR="00595FCA" w:rsidRPr="00652821" w:rsidP="000B1FF1" w14:paraId="263D3F6B" w14:textId="2AE6B635">
            <w:pPr>
              <w:jc w:val="right"/>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41,959</w:t>
            </w:r>
            <w:r>
              <w:rPr>
                <w:sz w:val="18"/>
                <w:szCs w:val="18"/>
              </w:rPr>
              <w:fldChar w:fldCharType="end"/>
            </w:r>
          </w:p>
        </w:tc>
        <w:tc>
          <w:tcPr>
            <w:tcW w:w="748" w:type="pct"/>
          </w:tcPr>
          <w:p w:rsidR="00595FCA" w:rsidRPr="00652821" w:rsidP="000B1FF1" w14:paraId="16B6B022" w14:textId="77777777">
            <w:pPr>
              <w:jc w:val="right"/>
              <w:rPr>
                <w:sz w:val="18"/>
                <w:szCs w:val="18"/>
              </w:rPr>
            </w:pPr>
          </w:p>
        </w:tc>
        <w:tc>
          <w:tcPr>
            <w:tcW w:w="669" w:type="pct"/>
          </w:tcPr>
          <w:p w:rsidR="00595FCA" w:rsidRPr="00652821" w:rsidP="000B1FF1" w14:paraId="798FCE08" w14:textId="77777777">
            <w:pPr>
              <w:jc w:val="right"/>
              <w:rPr>
                <w:sz w:val="18"/>
                <w:szCs w:val="18"/>
              </w:rPr>
            </w:pPr>
            <w:r w:rsidRPr="00652821">
              <w:rPr>
                <w:sz w:val="18"/>
                <w:szCs w:val="18"/>
              </w:rPr>
              <w:t>15,508</w:t>
            </w:r>
          </w:p>
        </w:tc>
      </w:tr>
      <w:tr w14:paraId="61E887E2" w14:textId="77777777" w:rsidTr="00150A39">
        <w:tblPrEx>
          <w:tblW w:w="5000" w:type="pct"/>
          <w:jc w:val="center"/>
          <w:tblLook w:val="01E0"/>
        </w:tblPrEx>
        <w:trPr>
          <w:cantSplit/>
          <w:trHeight w:val="20"/>
          <w:jc w:val="center"/>
        </w:trPr>
        <w:tc>
          <w:tcPr>
            <w:tcW w:w="5000" w:type="pct"/>
            <w:gridSpan w:val="8"/>
            <w:tcBorders>
              <w:left w:val="nil"/>
              <w:bottom w:val="nil"/>
              <w:right w:val="nil"/>
            </w:tcBorders>
          </w:tcPr>
          <w:p w:rsidR="00150A39" w:rsidRPr="00150A39" w:rsidP="000B1FF1" w14:paraId="595D0DD5" w14:textId="6A3F116E">
            <w:pPr>
              <w:pStyle w:val="Default"/>
              <w:rPr>
                <w:sz w:val="18"/>
                <w:szCs w:val="18"/>
                <w:vertAlign w:val="superscript"/>
              </w:rPr>
            </w:pPr>
            <w:r w:rsidRPr="00652821">
              <w:rPr>
                <w:sz w:val="18"/>
                <w:szCs w:val="18"/>
                <w:vertAlign w:val="superscript"/>
              </w:rPr>
              <w:t>1</w:t>
            </w:r>
            <w:r w:rsidRPr="00652821">
              <w:rPr>
                <w:sz w:val="18"/>
                <w:szCs w:val="18"/>
              </w:rPr>
              <w:t xml:space="preserve"> Total hours have been rounded.</w:t>
            </w:r>
          </w:p>
        </w:tc>
      </w:tr>
    </w:tbl>
    <w:p w:rsidR="00253694" w:rsidP="000B1FF1" w14:paraId="16A93339" w14:textId="77777777">
      <w:pPr>
        <w:ind w:left="360"/>
        <w:rPr>
          <w:rFonts w:eastAsia="Calibri"/>
        </w:rPr>
      </w:pPr>
    </w:p>
    <w:p w:rsidR="00A84225" w:rsidP="00253694" w14:paraId="13F86905" w14:textId="69E9226B">
      <w:pPr>
        <w:rPr>
          <w:rFonts w:eastAsia="Calibri"/>
        </w:rPr>
      </w:pPr>
      <w:r>
        <w:rPr>
          <w:rFonts w:eastAsia="Calibri"/>
        </w:rPr>
        <w:t xml:space="preserve">Our </w:t>
      </w:r>
      <w:r w:rsidRPr="00002933" w:rsidR="00253694">
        <w:rPr>
          <w:rFonts w:eastAsia="Calibri"/>
        </w:rPr>
        <w:t xml:space="preserve">burden estimates </w:t>
      </w:r>
      <w:r w:rsidR="00253694">
        <w:rPr>
          <w:rFonts w:eastAsia="Calibri"/>
        </w:rPr>
        <w:t xml:space="preserve">are based on our </w:t>
      </w:r>
      <w:r>
        <w:rPr>
          <w:rFonts w:eastAsia="Calibri"/>
        </w:rPr>
        <w:t xml:space="preserve">continued </w:t>
      </w:r>
      <w:r w:rsidR="00253694">
        <w:rPr>
          <w:rFonts w:eastAsia="Calibri"/>
        </w:rPr>
        <w:t xml:space="preserve">experience with the </w:t>
      </w:r>
      <w:r>
        <w:rPr>
          <w:rFonts w:eastAsia="Calibri"/>
        </w:rPr>
        <w:t xml:space="preserve">information </w:t>
      </w:r>
      <w:r w:rsidR="00253694">
        <w:rPr>
          <w:rFonts w:eastAsia="Calibri"/>
        </w:rPr>
        <w:t>collection and informal communications with industry</w:t>
      </w:r>
      <w:r w:rsidRPr="00002933" w:rsidR="00253694">
        <w:rPr>
          <w:rFonts w:eastAsia="Calibri"/>
        </w:rPr>
        <w:t xml:space="preserve">, </w:t>
      </w:r>
      <w:r w:rsidR="00141CE5">
        <w:rPr>
          <w:rFonts w:eastAsia="Calibri"/>
        </w:rPr>
        <w:t xml:space="preserve">as well as </w:t>
      </w:r>
      <w:r w:rsidRPr="00002933" w:rsidR="00253694">
        <w:rPr>
          <w:rFonts w:eastAsia="Calibri"/>
        </w:rPr>
        <w:t>actual data collected from industry, including recent product report submissions.  An evaluation of the type and scope of information requested was also used to derive time estimates</w:t>
      </w:r>
      <w:r w:rsidR="00141CE5">
        <w:rPr>
          <w:rFonts w:eastAsia="Calibri"/>
        </w:rPr>
        <w:t xml:space="preserve"> associated with the</w:t>
      </w:r>
      <w:r w:rsidR="00CD0662">
        <w:rPr>
          <w:rFonts w:eastAsia="Calibri"/>
        </w:rPr>
        <w:t xml:space="preserve"> respective activities</w:t>
      </w:r>
      <w:r w:rsidRPr="00002933" w:rsidR="00253694">
        <w:rPr>
          <w:rFonts w:eastAsia="Calibri"/>
        </w:rPr>
        <w:t>.</w:t>
      </w:r>
      <w:r w:rsidR="006F6596">
        <w:rPr>
          <w:rFonts w:eastAsia="Calibri"/>
        </w:rPr>
        <w:t xml:space="preserve">  </w:t>
      </w:r>
      <w:r w:rsidR="00CD0662">
        <w:rPr>
          <w:rFonts w:eastAsia="Calibri"/>
        </w:rPr>
        <w:t xml:space="preserve">We do not </w:t>
      </w:r>
      <w:r w:rsidR="000C60AC">
        <w:rPr>
          <w:rFonts w:eastAsia="Calibri"/>
        </w:rPr>
        <w:t xml:space="preserve">account for </w:t>
      </w:r>
      <w:r w:rsidR="00CD0662">
        <w:rPr>
          <w:rFonts w:eastAsia="Calibri"/>
        </w:rPr>
        <w:t xml:space="preserve">burden </w:t>
      </w:r>
      <w:r w:rsidR="000C60AC">
        <w:rPr>
          <w:rFonts w:eastAsia="Calibri"/>
        </w:rPr>
        <w:t xml:space="preserve">that may be attributable </w:t>
      </w:r>
      <w:r w:rsidR="00CD0662">
        <w:rPr>
          <w:rFonts w:eastAsia="Calibri"/>
        </w:rPr>
        <w:t xml:space="preserve">to </w:t>
      </w:r>
      <w:r w:rsidR="00533689">
        <w:rPr>
          <w:rFonts w:eastAsia="Calibri"/>
        </w:rPr>
        <w:t xml:space="preserve">requirements found in 21 CFR parts </w:t>
      </w:r>
      <w:r w:rsidRPr="00002933">
        <w:rPr>
          <w:rFonts w:eastAsia="Calibri"/>
        </w:rPr>
        <w:t>1002.31(c), 1003.10(a)-(c), 1003.11(a)(3) and (b), 1003.20(a)-(h), 1003.21(a)-(d), 1003.22(a) and (b), 1003.30(a) and (b), 1003.31(a) and (b), 1004.2(a)-(i), 1004.3(a)-(i), 1004.4(a)-(h), 1005.21(a)-(c), and 1005.22(b).</w:t>
      </w:r>
      <w:r w:rsidR="00763DA5">
        <w:rPr>
          <w:rFonts w:eastAsia="Calibri"/>
        </w:rPr>
        <w:t xml:space="preserve">  Because t</w:t>
      </w:r>
      <w:r w:rsidRPr="00002933">
        <w:rPr>
          <w:rFonts w:eastAsia="Calibri"/>
        </w:rPr>
        <w:t>hese requirements apply to the collection of information during the conduct of investigations or audits (5 CFR 1320.4)</w:t>
      </w:r>
      <w:r w:rsidR="00763DA5">
        <w:rPr>
          <w:rFonts w:eastAsia="Calibri"/>
        </w:rPr>
        <w:t>, we do not believe they otherwise constitute a collection of information as defined by the PRA.</w:t>
      </w:r>
      <w:r w:rsidR="000C60AC">
        <w:rPr>
          <w:rFonts w:eastAsia="Calibri"/>
        </w:rPr>
        <w:t xml:space="preserve">  Similarly, we do not </w:t>
      </w:r>
      <w:r w:rsidR="00503355">
        <w:rPr>
          <w:rFonts w:eastAsia="Calibri"/>
        </w:rPr>
        <w:t xml:space="preserve">account for burden that may be attributable to requirements in 21 CFR parts </w:t>
      </w:r>
      <w:r w:rsidRPr="00002933">
        <w:rPr>
          <w:rFonts w:eastAsia="Calibri"/>
        </w:rPr>
        <w:t>1030.10(c)(6), 1040.10(g), and 1040.30(c)(1).</w:t>
      </w:r>
      <w:r w:rsidR="00A44ACC">
        <w:t xml:space="preserve">  Because </w:t>
      </w:r>
      <w:r w:rsidR="00FD168E">
        <w:t xml:space="preserve">the information collection includes </w:t>
      </w:r>
      <w:r w:rsidRPr="00A44ACC" w:rsidR="00A44ACC">
        <w:rPr>
          <w:rFonts w:eastAsia="Calibri"/>
        </w:rPr>
        <w:t>public disclosure of information originally supplied by the Federal Government to the recipient for the purpose of disclosure to the public (5 CFR 1320.3(c)(2))</w:t>
      </w:r>
      <w:r w:rsidR="00FD168E">
        <w:rPr>
          <w:rFonts w:eastAsia="Calibri"/>
        </w:rPr>
        <w:t>, we believe these elements are not subject to OMB review and approval under the PRA.</w:t>
      </w:r>
    </w:p>
    <w:p w:rsidR="0049373F" w:rsidP="00253694" w14:paraId="05072CF9" w14:textId="77777777">
      <w:pPr>
        <w:rPr>
          <w:rFonts w:eastAsia="Calibri"/>
        </w:rPr>
      </w:pPr>
    </w:p>
    <w:p w:rsidR="0049373F" w:rsidP="00253694" w14:paraId="42CD9D04" w14:textId="173B6ACD">
      <w:pPr>
        <w:rPr>
          <w:rFonts w:eastAsia="Calibri"/>
        </w:rPr>
      </w:pPr>
      <w:r>
        <w:rPr>
          <w:rFonts w:eastAsia="Calibri"/>
        </w:rPr>
        <w:t xml:space="preserve">The final rule </w:t>
      </w:r>
      <w:r w:rsidRPr="0049373F">
        <w:rPr>
          <w:rFonts w:eastAsia="Calibri"/>
        </w:rPr>
        <w:t>revis</w:t>
      </w:r>
      <w:r>
        <w:rPr>
          <w:rFonts w:eastAsia="Calibri"/>
        </w:rPr>
        <w:t>es</w:t>
      </w:r>
      <w:r w:rsidRPr="0049373F">
        <w:rPr>
          <w:rFonts w:eastAsia="Calibri"/>
        </w:rPr>
        <w:t xml:space="preserve"> the applicability of the recordkeeping and reporting requirements for some products (21 CFR 1002.1).  We </w:t>
      </w:r>
      <w:r>
        <w:rPr>
          <w:rFonts w:eastAsia="Calibri"/>
        </w:rPr>
        <w:t xml:space="preserve">therefore </w:t>
      </w:r>
      <w:r w:rsidRPr="0049373F">
        <w:rPr>
          <w:rFonts w:eastAsia="Calibri"/>
        </w:rPr>
        <w:t xml:space="preserve">revised </w:t>
      </w:r>
      <w:r>
        <w:rPr>
          <w:rFonts w:eastAsia="Calibri"/>
        </w:rPr>
        <w:t xml:space="preserve">corresponding </w:t>
      </w:r>
      <w:r w:rsidRPr="0049373F">
        <w:rPr>
          <w:rFonts w:eastAsia="Calibri"/>
        </w:rPr>
        <w:t>burden estimates for product reports, supplemental reports, abbreviated reports, annual reports, manufacturer test and distribution records, and dealer and distributor records by reducing the number of respondents/recordkeepers to reflect the revised applicability of the recordkeeping and reporting requirements. We also revised form FDA 3646 “</w:t>
      </w:r>
      <w:r w:rsidRPr="009E4FD5">
        <w:rPr>
          <w:rFonts w:eastAsia="Calibri"/>
          <w:i/>
          <w:iCs/>
        </w:rPr>
        <w:t>Mercury Vapor Lamp Products Radiation Safety Report</w:t>
      </w:r>
      <w:r w:rsidRPr="0049373F">
        <w:rPr>
          <w:rFonts w:eastAsia="Calibri"/>
        </w:rPr>
        <w:t xml:space="preserve">” (now listed under Abbreviated Reports consistent with the revision of § 1002.1) and removed the following forms: </w:t>
      </w:r>
    </w:p>
    <w:p w:rsidR="00E46208" w:rsidRPr="0049373F" w:rsidP="00586E91" w14:paraId="5D7CE5C8" w14:textId="77777777">
      <w:pPr>
        <w:ind w:left="720"/>
        <w:rPr>
          <w:rFonts w:eastAsia="Calibri"/>
        </w:rPr>
      </w:pPr>
    </w:p>
    <w:p w:rsidR="0049373F" w:rsidRPr="0049373F" w:rsidP="00586E91" w14:paraId="650D8C8D" w14:textId="367F5CCA">
      <w:pPr>
        <w:ind w:left="720" w:hanging="360"/>
        <w:rPr>
          <w:rFonts w:eastAsia="Calibri"/>
        </w:rPr>
      </w:pPr>
      <w:r w:rsidRPr="0049373F">
        <w:rPr>
          <w:rFonts w:eastAsia="Calibri"/>
        </w:rPr>
        <w:t>•</w:t>
      </w:r>
      <w:r w:rsidRPr="0049373F">
        <w:rPr>
          <w:rFonts w:eastAsia="Calibri"/>
        </w:rPr>
        <w:tab/>
        <w:t>Form FDA 3626, “</w:t>
      </w:r>
      <w:r w:rsidRPr="00E821E1">
        <w:rPr>
          <w:rFonts w:eastAsia="Calibri"/>
          <w:i/>
          <w:iCs/>
        </w:rPr>
        <w:t>Initial Reports on Diagnostic X-Ray Systems and Their Major Components</w:t>
      </w:r>
      <w:r w:rsidRPr="0049373F">
        <w:rPr>
          <w:rFonts w:eastAsia="Calibri"/>
        </w:rPr>
        <w:t>”</w:t>
      </w:r>
    </w:p>
    <w:p w:rsidR="0049373F" w:rsidRPr="0049373F" w:rsidP="00586E91" w14:paraId="53D5DEDA" w14:textId="77777777">
      <w:pPr>
        <w:ind w:left="720" w:hanging="360"/>
        <w:rPr>
          <w:rFonts w:eastAsia="Calibri"/>
        </w:rPr>
      </w:pPr>
      <w:r w:rsidRPr="0049373F">
        <w:rPr>
          <w:rFonts w:eastAsia="Calibri"/>
        </w:rPr>
        <w:t>•</w:t>
      </w:r>
      <w:r w:rsidRPr="0049373F">
        <w:rPr>
          <w:rFonts w:eastAsia="Calibri"/>
        </w:rPr>
        <w:tab/>
        <w:t>Form FDA 3627, “</w:t>
      </w:r>
      <w:r w:rsidRPr="00E821E1">
        <w:rPr>
          <w:rFonts w:eastAsia="Calibri"/>
          <w:i/>
          <w:iCs/>
        </w:rPr>
        <w:t>Diagnostic X-Ray CT Products Radiation Safety Report</w:t>
      </w:r>
      <w:r w:rsidRPr="0049373F">
        <w:rPr>
          <w:rFonts w:eastAsia="Calibri"/>
        </w:rPr>
        <w:t>”</w:t>
      </w:r>
    </w:p>
    <w:p w:rsidR="0049373F" w:rsidRPr="0049373F" w:rsidP="00586E91" w14:paraId="4ED34509" w14:textId="2912AF7C">
      <w:pPr>
        <w:ind w:left="720" w:hanging="360"/>
        <w:rPr>
          <w:rFonts w:eastAsia="Calibri"/>
        </w:rPr>
      </w:pPr>
      <w:r w:rsidRPr="0049373F">
        <w:rPr>
          <w:rFonts w:eastAsia="Calibri"/>
        </w:rPr>
        <w:t>•</w:t>
      </w:r>
      <w:r w:rsidRPr="0049373F">
        <w:rPr>
          <w:rFonts w:eastAsia="Calibri"/>
        </w:rPr>
        <w:tab/>
        <w:t>Form FDA 3638, “</w:t>
      </w:r>
      <w:r w:rsidRPr="00E821E1">
        <w:rPr>
          <w:rFonts w:eastAsia="Calibri"/>
          <w:i/>
          <w:iCs/>
        </w:rPr>
        <w:t>Annual Reports for X-Ray Components and Systems</w:t>
      </w:r>
      <w:r w:rsidRPr="0049373F">
        <w:rPr>
          <w:rFonts w:eastAsia="Calibri"/>
        </w:rPr>
        <w:t xml:space="preserve">” </w:t>
      </w:r>
    </w:p>
    <w:p w:rsidR="0049373F" w:rsidRPr="0049373F" w:rsidP="00586E91" w14:paraId="1A0C3D11" w14:textId="52267AB8">
      <w:pPr>
        <w:ind w:left="720" w:hanging="360"/>
        <w:rPr>
          <w:rFonts w:eastAsia="Calibri"/>
        </w:rPr>
      </w:pPr>
      <w:r w:rsidRPr="0049373F">
        <w:rPr>
          <w:rFonts w:eastAsia="Calibri"/>
        </w:rPr>
        <w:t>•</w:t>
      </w:r>
      <w:r w:rsidRPr="0049373F">
        <w:rPr>
          <w:rFonts w:eastAsia="Calibri"/>
        </w:rPr>
        <w:tab/>
        <w:t>Form FDA 3644, “</w:t>
      </w:r>
      <w:r w:rsidRPr="00E821E1">
        <w:rPr>
          <w:rFonts w:eastAsia="Calibri"/>
          <w:i/>
          <w:iCs/>
        </w:rPr>
        <w:t>Product Reports for Ultrasonic Therapy Products</w:t>
      </w:r>
      <w:r w:rsidRPr="0049373F">
        <w:rPr>
          <w:rFonts w:eastAsia="Calibri"/>
        </w:rPr>
        <w:t xml:space="preserve">”  </w:t>
      </w:r>
    </w:p>
    <w:p w:rsidR="0049373F" w:rsidRPr="0049373F" w:rsidP="00586E91" w14:paraId="628F8400" w14:textId="35B2D7EF">
      <w:pPr>
        <w:ind w:left="720" w:hanging="360"/>
        <w:rPr>
          <w:rFonts w:eastAsia="Calibri"/>
        </w:rPr>
      </w:pPr>
      <w:r w:rsidRPr="0049373F">
        <w:rPr>
          <w:rFonts w:eastAsia="Calibri"/>
        </w:rPr>
        <w:t>•</w:t>
      </w:r>
      <w:r w:rsidRPr="0049373F">
        <w:rPr>
          <w:rFonts w:eastAsia="Calibri"/>
        </w:rPr>
        <w:tab/>
        <w:t>Form FDA 3645, “</w:t>
      </w:r>
      <w:r w:rsidRPr="00E821E1">
        <w:rPr>
          <w:rFonts w:eastAsia="Calibri"/>
          <w:i/>
          <w:iCs/>
        </w:rPr>
        <w:t>Annual Reports for Ultrasonic Therapy Products</w:t>
      </w:r>
      <w:r w:rsidRPr="0049373F">
        <w:rPr>
          <w:rFonts w:eastAsia="Calibri"/>
        </w:rPr>
        <w:t xml:space="preserve">” </w:t>
      </w:r>
    </w:p>
    <w:p w:rsidR="0049373F" w:rsidRPr="0049373F" w:rsidP="00586E91" w14:paraId="36C7D123" w14:textId="64D3096B">
      <w:pPr>
        <w:ind w:left="720" w:hanging="360"/>
        <w:rPr>
          <w:rFonts w:eastAsia="Calibri"/>
        </w:rPr>
      </w:pPr>
      <w:r w:rsidRPr="0049373F">
        <w:rPr>
          <w:rFonts w:eastAsia="Calibri"/>
        </w:rPr>
        <w:t>•</w:t>
      </w:r>
      <w:r w:rsidRPr="0049373F">
        <w:rPr>
          <w:rFonts w:eastAsia="Calibri"/>
        </w:rPr>
        <w:tab/>
        <w:t>Form FDA 3647, “</w:t>
      </w:r>
      <w:r w:rsidRPr="00E821E1">
        <w:rPr>
          <w:rFonts w:eastAsia="Calibri"/>
          <w:i/>
          <w:iCs/>
        </w:rPr>
        <w:t>Annual Reports on Radiation Safety Testing of Mercury Vapor Lamps</w:t>
      </w:r>
      <w:r w:rsidRPr="0049373F">
        <w:rPr>
          <w:rFonts w:eastAsia="Calibri"/>
        </w:rPr>
        <w:t>”</w:t>
      </w:r>
    </w:p>
    <w:p w:rsidR="0049373F" w:rsidRPr="0049373F" w:rsidP="00586E91" w14:paraId="2AAEFD17" w14:textId="38ABE667">
      <w:pPr>
        <w:ind w:left="720" w:hanging="360"/>
        <w:rPr>
          <w:rFonts w:eastAsia="Calibri"/>
        </w:rPr>
      </w:pPr>
      <w:r w:rsidRPr="0049373F">
        <w:rPr>
          <w:rFonts w:eastAsia="Calibri"/>
        </w:rPr>
        <w:t>•</w:t>
      </w:r>
      <w:r w:rsidRPr="0049373F">
        <w:rPr>
          <w:rFonts w:eastAsia="Calibri"/>
        </w:rPr>
        <w:tab/>
        <w:t>Form FDA 3661, “</w:t>
      </w:r>
      <w:r w:rsidRPr="00E821E1">
        <w:rPr>
          <w:rFonts w:eastAsia="Calibri"/>
          <w:i/>
          <w:iCs/>
        </w:rPr>
        <w:t>Abbreviated Report on X-ray Tables, Cradles, Film Changers or Cassette Holders Intended for Diagnostic Use</w:t>
      </w:r>
      <w:r w:rsidRPr="0049373F">
        <w:rPr>
          <w:rFonts w:eastAsia="Calibri"/>
        </w:rPr>
        <w:t>”</w:t>
      </w:r>
    </w:p>
    <w:p w:rsidR="0049373F" w:rsidRPr="0049373F" w:rsidP="00586E91" w14:paraId="163018E0" w14:textId="7A346F14">
      <w:pPr>
        <w:ind w:left="720" w:hanging="360"/>
        <w:rPr>
          <w:rFonts w:eastAsia="Calibri"/>
        </w:rPr>
      </w:pPr>
      <w:r w:rsidRPr="0049373F">
        <w:rPr>
          <w:rFonts w:eastAsia="Calibri"/>
        </w:rPr>
        <w:t>•</w:t>
      </w:r>
      <w:r w:rsidRPr="0049373F">
        <w:rPr>
          <w:rFonts w:eastAsia="Calibri"/>
        </w:rPr>
        <w:tab/>
        <w:t>Form FDA 3662, “A</w:t>
      </w:r>
      <w:r w:rsidRPr="00E821E1">
        <w:rPr>
          <w:rFonts w:eastAsia="Calibri"/>
          <w:i/>
          <w:iCs/>
        </w:rPr>
        <w:t>bbreviated Radiation Safety Reports on Cephalometric Devices Intended for Diagnostic Use</w:t>
      </w:r>
      <w:r w:rsidRPr="0049373F">
        <w:rPr>
          <w:rFonts w:eastAsia="Calibri"/>
        </w:rPr>
        <w:t>”</w:t>
      </w:r>
    </w:p>
    <w:p w:rsidR="0049373F" w:rsidRPr="0049373F" w:rsidP="00253694" w14:paraId="4E3701B8" w14:textId="77777777">
      <w:pPr>
        <w:rPr>
          <w:rFonts w:eastAsia="Calibri"/>
        </w:rPr>
      </w:pPr>
    </w:p>
    <w:p w:rsidR="0049373F" w:rsidRPr="0049373F" w:rsidP="00253694" w14:paraId="2F49E076" w14:textId="7BDB1EFC">
      <w:pPr>
        <w:rPr>
          <w:rFonts w:eastAsia="Calibri"/>
        </w:rPr>
      </w:pPr>
      <w:r w:rsidRPr="0049373F">
        <w:rPr>
          <w:rFonts w:eastAsia="Calibri"/>
        </w:rPr>
        <w:t xml:space="preserve">The amended applicability of the recordkeeping requirements for dealer and distributor records (1002.40 and 1002.41) results in a small decrease in the number of recordkeepers..  </w:t>
      </w:r>
    </w:p>
    <w:p w:rsidR="0049373F" w:rsidRPr="0049373F" w:rsidP="00253694" w14:paraId="4034E8EE" w14:textId="77777777">
      <w:pPr>
        <w:rPr>
          <w:rFonts w:eastAsia="Calibri"/>
        </w:rPr>
      </w:pPr>
    </w:p>
    <w:p w:rsidR="0049373F" w:rsidRPr="0049373F" w:rsidP="00253694" w14:paraId="48D8D90A" w14:textId="6649A04E">
      <w:pPr>
        <w:rPr>
          <w:rFonts w:eastAsia="Calibri"/>
        </w:rPr>
      </w:pPr>
      <w:r>
        <w:rPr>
          <w:rFonts w:eastAsia="Calibri"/>
        </w:rPr>
        <w:t xml:space="preserve">We have </w:t>
      </w:r>
      <w:r w:rsidRPr="0049373F">
        <w:rPr>
          <w:rFonts w:eastAsia="Calibri"/>
        </w:rPr>
        <w:t>eliminat</w:t>
      </w:r>
      <w:r w:rsidR="0096264A">
        <w:rPr>
          <w:rFonts w:eastAsia="Calibri"/>
        </w:rPr>
        <w:t>ed</w:t>
      </w:r>
      <w:r w:rsidRPr="0049373F">
        <w:rPr>
          <w:rFonts w:eastAsia="Calibri"/>
        </w:rPr>
        <w:t xml:space="preserve"> requirements for manufacturers to report model numbers of a model family that do not involve changes in radiation emission or requirements of a performance standard in quarterly updates to their annual reporting (21 CFR 1002.13(c)). We have removed the burden estimate associated with 1002.13(c).  Generally, other subsections require specified product manufacturers to submit annual reports to FDA which summarize certain manufacturing records (21 CFR 1002.13(a) and (b))</w:t>
      </w:r>
      <w:r w:rsidR="0096264A">
        <w:rPr>
          <w:rFonts w:eastAsia="Calibri"/>
        </w:rPr>
        <w:t xml:space="preserve">; the final rule does </w:t>
      </w:r>
      <w:r w:rsidRPr="0049373F">
        <w:rPr>
          <w:rFonts w:eastAsia="Calibri"/>
        </w:rPr>
        <w:t>not amend these annual report requirements.</w:t>
      </w:r>
    </w:p>
    <w:p w:rsidR="0096264A" w:rsidP="00253694" w14:paraId="3B832188" w14:textId="77777777">
      <w:pPr>
        <w:rPr>
          <w:rFonts w:eastAsia="Calibri"/>
        </w:rPr>
      </w:pPr>
    </w:p>
    <w:p w:rsidR="0049373F" w:rsidRPr="0049373F" w:rsidP="00253694" w14:paraId="420B21A9" w14:textId="22D83255">
      <w:pPr>
        <w:rPr>
          <w:rFonts w:eastAsia="Calibri"/>
        </w:rPr>
      </w:pPr>
      <w:r>
        <w:rPr>
          <w:rFonts w:eastAsia="Calibri"/>
        </w:rPr>
        <w:t xml:space="preserve">We have </w:t>
      </w:r>
      <w:r w:rsidR="00AD67BA">
        <w:rPr>
          <w:rFonts w:eastAsia="Calibri"/>
        </w:rPr>
        <w:t xml:space="preserve">revised </w:t>
      </w:r>
      <w:r w:rsidRPr="0049373F">
        <w:rPr>
          <w:rFonts w:eastAsia="Calibri"/>
        </w:rPr>
        <w:t xml:space="preserve"> the submission </w:t>
      </w:r>
      <w:r w:rsidR="00AD67BA">
        <w:rPr>
          <w:rFonts w:eastAsia="Calibri"/>
        </w:rPr>
        <w:t xml:space="preserve">schedule for </w:t>
      </w:r>
      <w:r w:rsidRPr="0049373F">
        <w:rPr>
          <w:rFonts w:eastAsia="Calibri"/>
        </w:rPr>
        <w:t>reporting requirements for AROs that are not associated with a death or serious injury (21 CFR 1002.20).</w:t>
      </w:r>
    </w:p>
    <w:p w:rsidR="0049373F" w:rsidRPr="0049373F" w:rsidP="00253694" w14:paraId="40171FBE" w14:textId="77777777">
      <w:pPr>
        <w:rPr>
          <w:rFonts w:eastAsia="Calibri"/>
        </w:rPr>
      </w:pPr>
    </w:p>
    <w:p w:rsidR="0049373F" w:rsidRPr="0049373F" w:rsidP="00253694" w14:paraId="5229A393" w14:textId="5911E551">
      <w:pPr>
        <w:rPr>
          <w:rFonts w:eastAsia="Calibri"/>
        </w:rPr>
      </w:pPr>
      <w:r>
        <w:rPr>
          <w:rFonts w:eastAsia="Calibri"/>
        </w:rPr>
        <w:t xml:space="preserve">We have revised </w:t>
      </w:r>
      <w:r w:rsidRPr="0049373F">
        <w:rPr>
          <w:rFonts w:eastAsia="Calibri"/>
        </w:rPr>
        <w:t>the variance</w:t>
      </w:r>
      <w:r>
        <w:rPr>
          <w:rFonts w:eastAsia="Calibri"/>
        </w:rPr>
        <w:t xml:space="preserve"> application</w:t>
      </w:r>
      <w:r w:rsidRPr="0049373F">
        <w:rPr>
          <w:rFonts w:eastAsia="Calibri"/>
        </w:rPr>
        <w:t>s process (21 CFR 1010.4(b)) to no longer require a manufacturer to submit two additional copies with the original documents.  While this amendment would not generate any substantive change to the information collection, respondents may realize a small monetary savings from the usual and customary administrative expenses associated with the preparation of the copies.</w:t>
      </w:r>
    </w:p>
    <w:p w:rsidR="0049373F" w:rsidRPr="0049373F" w:rsidP="00253694" w14:paraId="2275194B" w14:textId="77777777">
      <w:pPr>
        <w:rPr>
          <w:rFonts w:eastAsia="Calibri"/>
        </w:rPr>
      </w:pPr>
    </w:p>
    <w:p w:rsidR="0049373F" w:rsidRPr="0049373F" w:rsidP="00253694" w14:paraId="01581264" w14:textId="11E7EA3E">
      <w:pPr>
        <w:rPr>
          <w:rFonts w:eastAsia="Calibri"/>
        </w:rPr>
      </w:pPr>
      <w:r>
        <w:rPr>
          <w:rFonts w:eastAsia="Calibri"/>
        </w:rPr>
        <w:t xml:space="preserve">We have </w:t>
      </w:r>
      <w:r w:rsidR="00043A10">
        <w:rPr>
          <w:rFonts w:eastAsia="Calibri"/>
        </w:rPr>
        <w:t xml:space="preserve">modified </w:t>
      </w:r>
      <w:r w:rsidR="001F63EF">
        <w:rPr>
          <w:rFonts w:eastAsia="Calibri"/>
        </w:rPr>
        <w:t xml:space="preserve">reporting associated with </w:t>
      </w:r>
      <w:r w:rsidRPr="0049373F">
        <w:rPr>
          <w:rFonts w:eastAsia="Calibri"/>
        </w:rPr>
        <w:t xml:space="preserve"> </w:t>
      </w:r>
      <w:r w:rsidR="001F63EF">
        <w:rPr>
          <w:rFonts w:eastAsia="Calibri"/>
        </w:rPr>
        <w:t>F</w:t>
      </w:r>
      <w:r w:rsidRPr="0049373F">
        <w:rPr>
          <w:rFonts w:eastAsia="Calibri"/>
        </w:rPr>
        <w:t>orm FDA 2579</w:t>
      </w:r>
      <w:r w:rsidR="00043A10">
        <w:rPr>
          <w:rFonts w:eastAsia="Calibri"/>
        </w:rPr>
        <w:t>.</w:t>
      </w:r>
    </w:p>
    <w:p w:rsidR="0049373F" w:rsidRPr="0049373F" w:rsidP="00253694" w14:paraId="2AC62606" w14:textId="77777777">
      <w:pPr>
        <w:rPr>
          <w:rFonts w:eastAsia="Calibri"/>
        </w:rPr>
      </w:pPr>
    </w:p>
    <w:p w:rsidR="0049373F" w:rsidRPr="0049373F" w:rsidP="00253694" w14:paraId="0EAD87A8" w14:textId="091202C6">
      <w:pPr>
        <w:rPr>
          <w:rFonts w:eastAsia="Calibri"/>
        </w:rPr>
      </w:pPr>
      <w:r>
        <w:rPr>
          <w:rFonts w:eastAsia="Calibri"/>
        </w:rPr>
        <w:t xml:space="preserve">We have modified </w:t>
      </w:r>
      <w:r w:rsidRPr="0049373F">
        <w:rPr>
          <w:rFonts w:eastAsia="Calibri"/>
        </w:rPr>
        <w:t>reporting requirements for manufacturers that incorporate a certified laser product to reduce reporting that is considered duplicative under certain conditions.  Manufacturers that incorporate a certified laser system meeting the conditions of 21 CFR 1010.2(e) are considered distributors of the certified laser and only subject to the applicable distribution recordkeeping requirements under 1002.40 and 1002.41 for the certified products.  Accordingly, we have reduced the number of respondents for “</w:t>
      </w:r>
      <w:r w:rsidRPr="009C103B">
        <w:rPr>
          <w:rFonts w:eastAsia="Calibri"/>
          <w:i/>
          <w:iCs/>
        </w:rPr>
        <w:t>Laser products information—1040.10(h)(1)(i)-(vi</w:t>
      </w:r>
      <w:r w:rsidRPr="0049373F">
        <w:rPr>
          <w:rFonts w:eastAsia="Calibri"/>
        </w:rPr>
        <w:t>)” and “</w:t>
      </w:r>
      <w:r w:rsidRPr="00E52A07">
        <w:rPr>
          <w:rFonts w:eastAsia="Calibri"/>
          <w:i/>
          <w:iCs/>
        </w:rPr>
        <w:t>Laser product service information—1040.11(h)(2)(i)-(ii)</w:t>
      </w:r>
      <w:r w:rsidRPr="0049373F">
        <w:rPr>
          <w:rFonts w:eastAsia="Calibri"/>
        </w:rPr>
        <w:t>.”</w:t>
      </w:r>
    </w:p>
    <w:p w:rsidR="0049373F" w:rsidRPr="0049373F" w:rsidP="00253694" w14:paraId="3239DDFC" w14:textId="77777777">
      <w:pPr>
        <w:rPr>
          <w:rFonts w:eastAsia="Calibri"/>
        </w:rPr>
      </w:pPr>
    </w:p>
    <w:p w:rsidR="0049373F" w:rsidRPr="00002933" w:rsidP="00253694" w14:paraId="7B360221" w14:textId="1EE937D4">
      <w:pPr>
        <w:rPr>
          <w:rFonts w:eastAsia="Calibri"/>
        </w:rPr>
      </w:pPr>
      <w:r>
        <w:rPr>
          <w:rFonts w:eastAsia="Calibri"/>
        </w:rPr>
        <w:t>We have repealed</w:t>
      </w:r>
      <w:r w:rsidR="007F1914">
        <w:rPr>
          <w:rFonts w:eastAsia="Calibri"/>
        </w:rPr>
        <w:t>,</w:t>
      </w:r>
      <w:r>
        <w:rPr>
          <w:rFonts w:eastAsia="Calibri"/>
        </w:rPr>
        <w:t xml:space="preserve"> and therefore removed any burden </w:t>
      </w:r>
      <w:r w:rsidR="007F1914">
        <w:rPr>
          <w:rFonts w:eastAsia="Calibri"/>
        </w:rPr>
        <w:t>attributable to</w:t>
      </w:r>
      <w:r>
        <w:rPr>
          <w:rFonts w:eastAsia="Calibri"/>
        </w:rPr>
        <w:t xml:space="preserve">, </w:t>
      </w:r>
      <w:r w:rsidRPr="0049373F">
        <w:rPr>
          <w:rFonts w:eastAsia="Calibri"/>
        </w:rPr>
        <w:t xml:space="preserve">performance standards for ultrasonic therapy products </w:t>
      </w:r>
      <w:r w:rsidR="008657AF">
        <w:rPr>
          <w:rFonts w:eastAsia="Calibri"/>
        </w:rPr>
        <w:t xml:space="preserve">in </w:t>
      </w:r>
      <w:r w:rsidRPr="0049373F">
        <w:rPr>
          <w:rFonts w:eastAsia="Calibri"/>
        </w:rPr>
        <w:t>21 CFR 1050.10.</w:t>
      </w:r>
    </w:p>
    <w:p w:rsidR="000D79CC" w:rsidRPr="00002933" w:rsidP="00253694" w14:paraId="3A9F6A10" w14:textId="5FCF2EBC">
      <w:pPr>
        <w:rPr>
          <w:rFonts w:eastAsia="Calibri"/>
        </w:rPr>
      </w:pPr>
    </w:p>
    <w:p w:rsidR="00357C8A" w:rsidRPr="008657AF" w:rsidP="000B1FF1" w14:paraId="10B4BC43" w14:textId="77777777">
      <w:pPr>
        <w:keepNext/>
        <w:ind w:left="360"/>
        <w:rPr>
          <w:rFonts w:eastAsia="Calibri"/>
          <w:i/>
          <w:iCs/>
        </w:rPr>
      </w:pPr>
      <w:r w:rsidRPr="008657AF">
        <w:rPr>
          <w:rFonts w:eastAsia="Calibri"/>
          <w:i/>
          <w:iCs/>
        </w:rPr>
        <w:t>12b.  Annualized Cost Burden Estimate</w:t>
      </w:r>
    </w:p>
    <w:p w:rsidR="003956E6" w:rsidP="000B1FF1" w14:paraId="67CC553D" w14:textId="77777777">
      <w:pPr>
        <w:ind w:left="360"/>
      </w:pPr>
    </w:p>
    <w:p w:rsidR="00357C8A" w:rsidRPr="00002933" w:rsidP="00DC31D4" w14:paraId="00A6FEA8" w14:textId="7DE79266">
      <w:pPr>
        <w:rPr>
          <w:rFonts w:eastAsia="Calibri"/>
        </w:rPr>
      </w:pPr>
      <w:r w:rsidRPr="00111B14">
        <w:t>We estimate that the</w:t>
      </w:r>
      <w:r>
        <w:t xml:space="preserve"> information collection will be satisfied</w:t>
      </w:r>
      <w:r w:rsidRPr="00111B14">
        <w:t xml:space="preserve"> by regulatory affairs professionals. </w:t>
      </w:r>
      <w:r w:rsidR="003956E6">
        <w:t xml:space="preserve"> </w:t>
      </w:r>
      <w:r w:rsidRPr="00111B14">
        <w:t>We use, $</w:t>
      </w:r>
      <w:r>
        <w:t>71.17</w:t>
      </w:r>
      <w:r w:rsidRPr="00111B14">
        <w:t xml:space="preserve">, the U.S. Bureau of Labor Statistics’ May </w:t>
      </w:r>
      <w:r>
        <w:t>2021</w:t>
      </w:r>
      <w:r w:rsidRPr="00111B14">
        <w:t xml:space="preserve"> National Occupational Employment and Wage Estimates,  </w:t>
      </w:r>
      <w:hyperlink r:id="rId7" w:history="1">
        <w:r w:rsidRPr="00111B14">
          <w:rPr>
            <w:rStyle w:val="Hyperlink"/>
          </w:rPr>
          <w:t>https://www.bls.gov/oes/current/oes_nat.htm</w:t>
        </w:r>
      </w:hyperlink>
      <w:r w:rsidRPr="00111B14">
        <w:t xml:space="preserve">, </w:t>
      </w:r>
      <w:r>
        <w:t>mean</w:t>
      </w:r>
      <w:r w:rsidRPr="00111B14">
        <w:t xml:space="preserve"> wage rate for a Lawyer (occupation code 23-1011) to calculate the burden for regulatory affairs professionals. </w:t>
      </w:r>
      <w:r w:rsidR="003956E6">
        <w:t xml:space="preserve"> </w:t>
      </w:r>
      <w:r w:rsidRPr="00111B14">
        <w:t>To account for benefits and overhead, we double this value to $</w:t>
      </w:r>
      <w:r>
        <w:t>142.34</w:t>
      </w:r>
      <w:r w:rsidRPr="00111B14">
        <w:t>.</w:t>
      </w:r>
    </w:p>
    <w:p w:rsidR="007431EE" w:rsidRPr="00002933" w:rsidP="000B1FF1" w14:paraId="21841BDF" w14:textId="77777777">
      <w:pPr>
        <w:rPr>
          <w:rFonts w:eastAsia="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9"/>
        <w:gridCol w:w="2033"/>
        <w:gridCol w:w="2703"/>
        <w:gridCol w:w="2175"/>
      </w:tblGrid>
      <w:tr w14:paraId="680342B6" w14:textId="77777777" w:rsidTr="007431E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2160" w:type="dxa"/>
            <w:shd w:val="clear" w:color="auto" w:fill="auto"/>
          </w:tcPr>
          <w:p w:rsidR="007431EE" w:rsidRPr="00002933" w:rsidP="000B1FF1" w14:paraId="642DED43" w14:textId="77777777">
            <w:pPr>
              <w:keepNext/>
              <w:ind w:left="72"/>
              <w:jc w:val="center"/>
              <w:rPr>
                <w:sz w:val="20"/>
                <w:szCs w:val="20"/>
              </w:rPr>
            </w:pPr>
            <w:r w:rsidRPr="00002933">
              <w:rPr>
                <w:sz w:val="20"/>
                <w:szCs w:val="20"/>
              </w:rPr>
              <w:t>Type of Respondent</w:t>
            </w:r>
          </w:p>
        </w:tc>
        <w:tc>
          <w:tcPr>
            <w:tcW w:w="1800" w:type="dxa"/>
            <w:shd w:val="clear" w:color="auto" w:fill="auto"/>
          </w:tcPr>
          <w:p w:rsidR="007431EE" w:rsidRPr="00002933" w:rsidP="000B1FF1" w14:paraId="50F411F9" w14:textId="77777777">
            <w:pPr>
              <w:keepNext/>
              <w:ind w:left="72"/>
              <w:jc w:val="center"/>
              <w:rPr>
                <w:sz w:val="20"/>
                <w:szCs w:val="20"/>
              </w:rPr>
            </w:pPr>
            <w:r w:rsidRPr="00002933">
              <w:rPr>
                <w:sz w:val="20"/>
                <w:szCs w:val="20"/>
              </w:rPr>
              <w:t>Total Burden Hours</w:t>
            </w:r>
          </w:p>
        </w:tc>
        <w:tc>
          <w:tcPr>
            <w:tcW w:w="2394" w:type="dxa"/>
            <w:shd w:val="clear" w:color="auto" w:fill="auto"/>
          </w:tcPr>
          <w:p w:rsidR="007431EE" w:rsidRPr="00002933" w:rsidP="000B1FF1" w14:paraId="3E624B88" w14:textId="77777777">
            <w:pPr>
              <w:keepNext/>
              <w:ind w:left="72"/>
              <w:jc w:val="center"/>
              <w:rPr>
                <w:sz w:val="20"/>
                <w:szCs w:val="20"/>
              </w:rPr>
            </w:pPr>
            <w:r w:rsidRPr="00002933">
              <w:rPr>
                <w:sz w:val="20"/>
                <w:szCs w:val="20"/>
              </w:rPr>
              <w:t>Hourly Wage Rate</w:t>
            </w:r>
          </w:p>
        </w:tc>
        <w:tc>
          <w:tcPr>
            <w:tcW w:w="1926" w:type="dxa"/>
            <w:shd w:val="clear" w:color="auto" w:fill="auto"/>
          </w:tcPr>
          <w:p w:rsidR="007431EE" w:rsidRPr="00002933" w:rsidP="000B1FF1" w14:paraId="5BF88496" w14:textId="77777777">
            <w:pPr>
              <w:keepNext/>
              <w:ind w:left="72"/>
              <w:jc w:val="center"/>
              <w:rPr>
                <w:sz w:val="20"/>
                <w:szCs w:val="20"/>
              </w:rPr>
            </w:pPr>
            <w:r w:rsidRPr="00002933">
              <w:rPr>
                <w:sz w:val="20"/>
                <w:szCs w:val="20"/>
              </w:rPr>
              <w:t>Total Respondent Costs</w:t>
            </w:r>
          </w:p>
        </w:tc>
      </w:tr>
      <w:tr w14:paraId="1A54BDB7" w14:textId="77777777" w:rsidTr="007431EE">
        <w:tblPrEx>
          <w:tblW w:w="5000" w:type="pct"/>
          <w:jc w:val="center"/>
          <w:tblLook w:val="01E0"/>
        </w:tblPrEx>
        <w:trPr>
          <w:cantSplit/>
          <w:jc w:val="center"/>
        </w:trPr>
        <w:tc>
          <w:tcPr>
            <w:tcW w:w="2160" w:type="dxa"/>
            <w:shd w:val="clear" w:color="auto" w:fill="auto"/>
          </w:tcPr>
          <w:p w:rsidR="007431EE" w:rsidRPr="00652821" w:rsidP="000B1FF1" w14:paraId="60232040" w14:textId="77777777">
            <w:pPr>
              <w:keepNext/>
              <w:ind w:left="72"/>
              <w:rPr>
                <w:sz w:val="20"/>
                <w:szCs w:val="20"/>
              </w:rPr>
            </w:pPr>
            <w:r w:rsidRPr="00652821">
              <w:rPr>
                <w:sz w:val="20"/>
                <w:szCs w:val="20"/>
              </w:rPr>
              <w:t>Regulatory Affairs Professional</w:t>
            </w:r>
          </w:p>
        </w:tc>
        <w:tc>
          <w:tcPr>
            <w:tcW w:w="1800" w:type="dxa"/>
            <w:shd w:val="clear" w:color="auto" w:fill="auto"/>
          </w:tcPr>
          <w:p w:rsidR="007431EE" w:rsidRPr="00002933" w:rsidP="000B1FF1" w14:paraId="3E9912D0" w14:textId="77777777">
            <w:pPr>
              <w:keepNext/>
              <w:ind w:left="72"/>
              <w:jc w:val="right"/>
              <w:rPr>
                <w:sz w:val="20"/>
                <w:szCs w:val="20"/>
              </w:rPr>
            </w:pPr>
            <w:r w:rsidRPr="00652821">
              <w:rPr>
                <w:sz w:val="20"/>
                <w:szCs w:val="20"/>
              </w:rPr>
              <w:t>404,602</w:t>
            </w:r>
          </w:p>
        </w:tc>
        <w:tc>
          <w:tcPr>
            <w:tcW w:w="2394" w:type="dxa"/>
            <w:shd w:val="clear" w:color="auto" w:fill="auto"/>
          </w:tcPr>
          <w:p w:rsidR="007431EE" w:rsidRPr="00002933" w:rsidP="000B1FF1" w14:paraId="11738E0E" w14:textId="77777777">
            <w:pPr>
              <w:keepNext/>
              <w:ind w:left="72"/>
              <w:jc w:val="right"/>
              <w:rPr>
                <w:sz w:val="20"/>
                <w:szCs w:val="20"/>
              </w:rPr>
            </w:pPr>
            <w:r w:rsidRPr="00002933">
              <w:rPr>
                <w:sz w:val="20"/>
                <w:szCs w:val="20"/>
              </w:rPr>
              <w:t>$</w:t>
            </w:r>
            <w:r w:rsidR="008A6E85">
              <w:rPr>
                <w:sz w:val="20"/>
                <w:szCs w:val="20"/>
              </w:rPr>
              <w:t>142.34</w:t>
            </w:r>
          </w:p>
        </w:tc>
        <w:tc>
          <w:tcPr>
            <w:tcW w:w="1926" w:type="dxa"/>
            <w:shd w:val="clear" w:color="auto" w:fill="auto"/>
          </w:tcPr>
          <w:p w:rsidR="007431EE" w:rsidRPr="00002933" w:rsidP="000B1FF1" w14:paraId="191D766C" w14:textId="77777777">
            <w:pPr>
              <w:keepNext/>
              <w:ind w:left="108"/>
              <w:jc w:val="right"/>
              <w:rPr>
                <w:sz w:val="20"/>
                <w:szCs w:val="20"/>
              </w:rPr>
            </w:pPr>
            <w:r w:rsidRPr="00002933">
              <w:rPr>
                <w:sz w:val="20"/>
                <w:szCs w:val="20"/>
              </w:rPr>
              <w:t>$</w:t>
            </w:r>
            <w:r w:rsidR="008A6E85">
              <w:rPr>
                <w:sz w:val="20"/>
                <w:szCs w:val="20"/>
              </w:rPr>
              <w:t>57,591,049</w:t>
            </w:r>
          </w:p>
        </w:tc>
      </w:tr>
    </w:tbl>
    <w:p w:rsidR="007431EE" w:rsidRPr="00652821" w:rsidP="000B1FF1" w14:paraId="3FFEDCF6" w14:textId="77777777">
      <w:pPr>
        <w:rPr>
          <w:rFonts w:eastAsia="Calibri"/>
        </w:rPr>
      </w:pPr>
    </w:p>
    <w:p w:rsidR="00357C8A" w:rsidRPr="009C5039" w:rsidP="000B1FF1" w14:paraId="2F6FAE26" w14:textId="77777777">
      <w:pPr>
        <w:keepNext/>
        <w:numPr>
          <w:ilvl w:val="0"/>
          <w:numId w:val="6"/>
        </w:numPr>
        <w:rPr>
          <w:rFonts w:eastAsia="Calibri"/>
        </w:rPr>
      </w:pPr>
      <w:r w:rsidRPr="009C5039">
        <w:rPr>
          <w:rFonts w:eastAsia="Calibri"/>
          <w:u w:val="single"/>
        </w:rPr>
        <w:t xml:space="preserve">Estimates of Other Total Annual Costs </w:t>
      </w:r>
      <w:r w:rsidRPr="009C5039" w:rsidR="00590E90">
        <w:rPr>
          <w:rFonts w:eastAsia="Calibri"/>
          <w:u w:val="single"/>
        </w:rPr>
        <w:t xml:space="preserve">to Respondents/Recordkeepers or </w:t>
      </w:r>
      <w:r w:rsidRPr="009C5039">
        <w:rPr>
          <w:rFonts w:eastAsia="Calibri"/>
          <w:u w:val="single"/>
        </w:rPr>
        <w:t xml:space="preserve">Capital Costs </w:t>
      </w:r>
    </w:p>
    <w:p w:rsidR="003956E6" w:rsidP="000B1FF1" w14:paraId="640E9C7B" w14:textId="77777777"/>
    <w:p w:rsidR="0022425B" w:rsidP="000B1FF1" w14:paraId="6A78A70B" w14:textId="05F5454D">
      <w:r w:rsidRPr="005734E5">
        <w:t>We estimate the costs to read the rule for all respondents to the initial collection of information. We assume all baseline respondents will need to devote time to reading and understanding th</w:t>
      </w:r>
      <w:r>
        <w:t>e</w:t>
      </w:r>
      <w:r w:rsidRPr="005734E5">
        <w:t xml:space="preserve"> regulation to determine whether </w:t>
      </w:r>
      <w:r>
        <w:t>this final</w:t>
      </w:r>
      <w:r w:rsidRPr="005734E5">
        <w:t xml:space="preserve"> rule applies to their firm. There are </w:t>
      </w:r>
      <w:r w:rsidRPr="002E4286">
        <w:t>23,040 initial respondents</w:t>
      </w:r>
      <w:r w:rsidRPr="005734E5">
        <w:t xml:space="preserve"> across all three reporting categories. </w:t>
      </w:r>
      <w:r w:rsidR="003956E6">
        <w:t xml:space="preserve"> </w:t>
      </w:r>
      <w:r w:rsidRPr="005734E5">
        <w:t xml:space="preserve">At an adult average reading speed of 200-250 words per minute, we estimate that each reader will spend </w:t>
      </w:r>
      <w:r w:rsidRPr="00B24EB0">
        <w:t xml:space="preserve">about </w:t>
      </w:r>
      <w:r w:rsidRPr="002E4286">
        <w:t>1 hour reading the rule</w:t>
      </w:r>
      <w:r w:rsidRPr="005734E5">
        <w:t xml:space="preserve">. We assume one regulatory affairs specialist at each firm will read the rule. Using the adjusted hourly wage rate as calculated </w:t>
      </w:r>
      <w:r>
        <w:t>in the RIA for the final rule</w:t>
      </w:r>
      <w:r w:rsidRPr="005734E5">
        <w:t xml:space="preserve">, we value the time spent learning about the rule at a cost </w:t>
      </w:r>
      <w:r w:rsidRPr="00AD009D">
        <w:t xml:space="preserve">of </w:t>
      </w:r>
      <w:r w:rsidRPr="00E105AD">
        <w:t>$69.38</w:t>
      </w:r>
      <w:r w:rsidRPr="00AD009D">
        <w:t xml:space="preserve"> per respondent. Multiplying this estimate by the number of total respondents yields a total one-time cost for reading the rule of $1,598,607 </w:t>
      </w:r>
      <w:r w:rsidRPr="00E105AD">
        <w:t>($69.38 x 23,040).</w:t>
      </w:r>
      <w:r>
        <w:t xml:space="preserve"> </w:t>
      </w:r>
    </w:p>
    <w:p w:rsidR="009C5039" w:rsidRPr="00002933" w:rsidP="000B1FF1" w14:paraId="31AD3686" w14:textId="77777777">
      <w:pPr>
        <w:rPr>
          <w:rFonts w:eastAsia="Calibri"/>
          <w:u w:val="single"/>
        </w:rPr>
      </w:pPr>
    </w:p>
    <w:p w:rsidR="00357C8A" w:rsidRPr="00002933" w:rsidP="000B1FF1" w14:paraId="5D11913D" w14:textId="77777777">
      <w:pPr>
        <w:keepNext/>
        <w:numPr>
          <w:ilvl w:val="0"/>
          <w:numId w:val="6"/>
        </w:numPr>
        <w:rPr>
          <w:rFonts w:eastAsia="Calibri"/>
          <w:u w:val="single"/>
        </w:rPr>
      </w:pPr>
      <w:r w:rsidRPr="00002933">
        <w:rPr>
          <w:rFonts w:eastAsia="Calibri"/>
          <w:u w:val="single"/>
        </w:rPr>
        <w:t>Annualized Cost to the Federal Government</w:t>
      </w:r>
    </w:p>
    <w:p w:rsidR="003956E6" w:rsidP="000B1FF1" w14:paraId="266A5896" w14:textId="77777777">
      <w:pPr>
        <w:keepNext/>
        <w:rPr>
          <w:rFonts w:eastAsia="Calibri"/>
        </w:rPr>
      </w:pPr>
    </w:p>
    <w:p w:rsidR="006B43CB" w:rsidP="000B1FF1" w14:paraId="72659DAD" w14:textId="47FC9E3E">
      <w:pPr>
        <w:rPr>
          <w:rFonts w:eastAsia="Calibri"/>
        </w:rPr>
      </w:pPr>
      <w:r>
        <w:rPr>
          <w:rFonts w:eastAsia="Calibri"/>
        </w:rPr>
        <w:t xml:space="preserve">Assuming an allocation of </w:t>
      </w:r>
      <w:r w:rsidRPr="00002933" w:rsidR="007431EE">
        <w:rPr>
          <w:rFonts w:eastAsia="Calibri"/>
        </w:rPr>
        <w:t xml:space="preserve">15 full time equivalent (FTE) positions </w:t>
      </w:r>
      <w:r>
        <w:rPr>
          <w:rFonts w:eastAsia="Calibri"/>
        </w:rPr>
        <w:t xml:space="preserve">who have responsibilities </w:t>
      </w:r>
      <w:r w:rsidRPr="00002933" w:rsidR="007431EE">
        <w:rPr>
          <w:rFonts w:eastAsia="Calibri"/>
        </w:rPr>
        <w:t>under the Radiation Control for Health and Safety Act</w:t>
      </w:r>
      <w:r>
        <w:rPr>
          <w:rFonts w:eastAsia="Calibri"/>
        </w:rPr>
        <w:t>, and that wage costs are</w:t>
      </w:r>
      <w:r w:rsidRPr="00002933" w:rsidR="007431EE">
        <w:rPr>
          <w:rFonts w:eastAsia="Calibri"/>
        </w:rPr>
        <w:t>) $</w:t>
      </w:r>
      <w:r>
        <w:rPr>
          <w:rFonts w:eastAsia="Calibri"/>
        </w:rPr>
        <w:t>297,561</w:t>
      </w:r>
      <w:r w:rsidRPr="00002933" w:rsidR="007431EE">
        <w:rPr>
          <w:rFonts w:eastAsia="Calibri"/>
        </w:rPr>
        <w:t xml:space="preserve"> (rounded), </w:t>
      </w:r>
      <w:r>
        <w:rPr>
          <w:rFonts w:eastAsia="Calibri"/>
        </w:rPr>
        <w:t xml:space="preserve">including </w:t>
      </w:r>
      <w:r w:rsidRPr="00002933" w:rsidR="007431EE">
        <w:rPr>
          <w:rFonts w:eastAsia="Calibri"/>
        </w:rPr>
        <w:t xml:space="preserve">employee salary and </w:t>
      </w:r>
      <w:r>
        <w:rPr>
          <w:rFonts w:eastAsia="Calibri"/>
        </w:rPr>
        <w:t>non-salary costs</w:t>
      </w:r>
      <w:r w:rsidR="00652821">
        <w:rPr>
          <w:rFonts w:eastAsia="Calibri"/>
        </w:rPr>
        <w:t xml:space="preserve"> (b</w:t>
      </w:r>
      <w:r w:rsidRPr="0042688B" w:rsidR="0042688B">
        <w:rPr>
          <w:rFonts w:eastAsia="Calibri"/>
        </w:rPr>
        <w:t xml:space="preserve">ased on </w:t>
      </w:r>
      <w:r w:rsidR="0042688B">
        <w:rPr>
          <w:rFonts w:eastAsia="Calibri"/>
        </w:rPr>
        <w:t>FDA’s</w:t>
      </w:r>
      <w:r w:rsidRPr="0042688B" w:rsidR="0042688B">
        <w:rPr>
          <w:rFonts w:eastAsia="Calibri"/>
        </w:rPr>
        <w:t xml:space="preserve"> fully loaded FTE cost model (domestic) for FY </w:t>
      </w:r>
      <w:r w:rsidR="0042688B">
        <w:rPr>
          <w:rFonts w:eastAsia="Calibri"/>
        </w:rPr>
        <w:t>2021</w:t>
      </w:r>
      <w:r w:rsidRPr="0042688B" w:rsidR="0042688B">
        <w:rPr>
          <w:rFonts w:eastAsia="Calibri"/>
        </w:rPr>
        <w:t>, as provided by agency economists</w:t>
      </w:r>
      <w:r w:rsidR="00652821">
        <w:rPr>
          <w:rFonts w:eastAsia="Calibri"/>
        </w:rPr>
        <w:t>)</w:t>
      </w:r>
      <w:r w:rsidR="00AA7ECC">
        <w:rPr>
          <w:rFonts w:eastAsia="Calibri"/>
        </w:rPr>
        <w:t>. W</w:t>
      </w:r>
      <w:r w:rsidRPr="00002933" w:rsidR="00AA7ECC">
        <w:rPr>
          <w:rFonts w:eastAsia="Calibri"/>
        </w:rPr>
        <w:t>e estima</w:t>
      </w:r>
      <w:r w:rsidRPr="009C5039" w:rsidR="00AA7ECC">
        <w:rPr>
          <w:rFonts w:eastAsia="Calibri"/>
        </w:rPr>
        <w:t>te that 23.9 percent of the total annual reporting burden hours will be eliminated as a result of th</w:t>
      </w:r>
      <w:r w:rsidR="00AA7ECC">
        <w:rPr>
          <w:rFonts w:eastAsia="Calibri"/>
        </w:rPr>
        <w:t>e</w:t>
      </w:r>
      <w:r w:rsidRPr="009C5039" w:rsidR="00AA7ECC">
        <w:rPr>
          <w:rFonts w:eastAsia="Calibri"/>
        </w:rPr>
        <w:t xml:space="preserve"> rule</w:t>
      </w:r>
      <w:r w:rsidR="008C30CB">
        <w:rPr>
          <w:rFonts w:eastAsia="Calibri"/>
        </w:rPr>
        <w:t xml:space="preserve"> (an annual cost savings to FDA of $1,068,244).</w:t>
      </w:r>
      <w:r>
        <w:rPr>
          <w:rFonts w:eastAsia="Calibri"/>
        </w:rPr>
        <w:t xml:space="preserve"> </w:t>
      </w:r>
      <w:r w:rsidR="008C30CB">
        <w:rPr>
          <w:rFonts w:eastAsia="Calibri"/>
        </w:rPr>
        <w:t xml:space="preserve">Therefore, </w:t>
      </w:r>
      <w:r>
        <w:rPr>
          <w:rFonts w:eastAsia="Calibri"/>
        </w:rPr>
        <w:t>we calculate wage costs to be</w:t>
      </w:r>
      <w:r w:rsidR="006E3826">
        <w:rPr>
          <w:rFonts w:eastAsia="Calibri"/>
        </w:rPr>
        <w:t xml:space="preserve"> </w:t>
      </w:r>
      <w:r>
        <w:rPr>
          <w:rFonts w:eastAsia="Calibri"/>
        </w:rPr>
        <w:t xml:space="preserve"> </w:t>
      </w:r>
      <w:r w:rsidR="003D1F5E">
        <w:rPr>
          <w:rFonts w:eastAsia="Calibri"/>
        </w:rPr>
        <w:t>$</w:t>
      </w:r>
      <w:r w:rsidR="009A7ED2">
        <w:rPr>
          <w:rFonts w:eastAsia="Calibri"/>
        </w:rPr>
        <w:t>3,395,171</w:t>
      </w:r>
      <w:r>
        <w:rPr>
          <w:rFonts w:eastAsia="Calibri"/>
        </w:rPr>
        <w:t>.</w:t>
      </w:r>
      <w:r w:rsidR="00826813">
        <w:rPr>
          <w:rFonts w:eastAsia="Calibri"/>
        </w:rPr>
        <w:t xml:space="preserve">  </w:t>
      </w:r>
      <w:r w:rsidR="002A5AE1">
        <w:t xml:space="preserve">In addition to the </w:t>
      </w:r>
      <w:r w:rsidR="00643D5E">
        <w:t>costs above</w:t>
      </w:r>
      <w:r w:rsidRPr="00002933">
        <w:t>, the Radiological Health program utilizes a Document Control contractor</w:t>
      </w:r>
      <w:r>
        <w:t xml:space="preserve"> (DCC)</w:t>
      </w:r>
      <w:r w:rsidR="002F046A">
        <w:t xml:space="preserve"> </w:t>
      </w:r>
      <w:r w:rsidRPr="00002933">
        <w:t xml:space="preserve">exclusively </w:t>
      </w:r>
      <w:r w:rsidR="002F046A">
        <w:t xml:space="preserve">to </w:t>
      </w:r>
      <w:r w:rsidRPr="00002933">
        <w:t>support</w:t>
      </w:r>
      <w:r w:rsidR="002F046A">
        <w:t xml:space="preserve"> </w:t>
      </w:r>
      <w:r w:rsidRPr="00002933">
        <w:t xml:space="preserve">the receipt and processing of these forms, </w:t>
      </w:r>
      <w:r w:rsidR="00826813">
        <w:t xml:space="preserve">which </w:t>
      </w:r>
      <w:r w:rsidRPr="00002933">
        <w:t>costs $985,974.78 per year.</w:t>
      </w:r>
      <w:r w:rsidR="00826813">
        <w:rPr>
          <w:rFonts w:eastAsia="Calibri"/>
        </w:rPr>
        <w:t xml:space="preserve">  </w:t>
      </w:r>
      <w:r>
        <w:rPr>
          <w:rFonts w:eastAsia="Calibri"/>
        </w:rPr>
        <w:t xml:space="preserve">Cumulatively, we </w:t>
      </w:r>
      <w:r w:rsidRPr="00002933">
        <w:rPr>
          <w:rFonts w:eastAsia="Calibri"/>
        </w:rPr>
        <w:t>estimate</w:t>
      </w:r>
      <w:r>
        <w:rPr>
          <w:rFonts w:eastAsia="Calibri"/>
        </w:rPr>
        <w:t xml:space="preserve"> an </w:t>
      </w:r>
      <w:r w:rsidRPr="00002933">
        <w:rPr>
          <w:rFonts w:eastAsia="Calibri"/>
        </w:rPr>
        <w:t xml:space="preserve">annualized </w:t>
      </w:r>
      <w:r>
        <w:rPr>
          <w:rFonts w:eastAsia="Calibri"/>
        </w:rPr>
        <w:t xml:space="preserve">cost </w:t>
      </w:r>
      <w:r w:rsidRPr="00002933">
        <w:rPr>
          <w:rFonts w:eastAsia="Calibri"/>
        </w:rPr>
        <w:t xml:space="preserve">to </w:t>
      </w:r>
      <w:r>
        <w:rPr>
          <w:rFonts w:eastAsia="Calibri"/>
        </w:rPr>
        <w:t xml:space="preserve">the Federal </w:t>
      </w:r>
      <w:r w:rsidRPr="00002933">
        <w:rPr>
          <w:rFonts w:eastAsia="Calibri"/>
        </w:rPr>
        <w:t>government</w:t>
      </w:r>
      <w:r w:rsidR="00826813">
        <w:rPr>
          <w:rFonts w:eastAsia="Calibri"/>
        </w:rPr>
        <w:t xml:space="preserve"> </w:t>
      </w:r>
      <w:r>
        <w:rPr>
          <w:rFonts w:eastAsia="Calibri"/>
        </w:rPr>
        <w:t>of</w:t>
      </w:r>
      <w:r w:rsidR="00826813">
        <w:rPr>
          <w:rFonts w:eastAsia="Calibri"/>
        </w:rPr>
        <w:t xml:space="preserve"> </w:t>
      </w:r>
      <w:r w:rsidRPr="00465274">
        <w:rPr>
          <w:rFonts w:eastAsia="Calibri"/>
        </w:rPr>
        <w:t>$</w:t>
      </w:r>
      <w:r w:rsidR="0042688B">
        <w:rPr>
          <w:rFonts w:eastAsia="Calibri"/>
        </w:rPr>
        <w:t>4,381,146</w:t>
      </w:r>
      <w:r w:rsidRPr="009C5039">
        <w:rPr>
          <w:rFonts w:eastAsia="Calibri"/>
        </w:rPr>
        <w:t>.</w:t>
      </w:r>
    </w:p>
    <w:p w:rsidR="00357C8A" w:rsidRPr="00002933" w:rsidP="000B1FF1" w14:paraId="3F5ED7B4" w14:textId="77777777">
      <w:pPr>
        <w:rPr>
          <w:rFonts w:eastAsia="Calibri"/>
        </w:rPr>
      </w:pPr>
      <w:r w:rsidRPr="00002933">
        <w:rPr>
          <w:rFonts w:eastAsia="Calibri"/>
        </w:rPr>
        <w:t xml:space="preserve"> </w:t>
      </w:r>
    </w:p>
    <w:p w:rsidR="00357C8A" w:rsidRPr="00002933" w:rsidP="000B1FF1" w14:paraId="3485F6EC" w14:textId="77777777">
      <w:pPr>
        <w:keepNext/>
        <w:numPr>
          <w:ilvl w:val="0"/>
          <w:numId w:val="6"/>
        </w:numPr>
        <w:rPr>
          <w:rFonts w:eastAsia="Calibri"/>
          <w:u w:val="single"/>
        </w:rPr>
      </w:pPr>
      <w:r w:rsidRPr="00002933">
        <w:rPr>
          <w:rFonts w:eastAsia="Calibri"/>
          <w:u w:val="single"/>
        </w:rPr>
        <w:t>Explanation for Program Changes or Adjustments</w:t>
      </w:r>
    </w:p>
    <w:p w:rsidR="003956E6" w:rsidP="000B1FF1" w14:paraId="394A40C8" w14:textId="77777777">
      <w:pPr>
        <w:keepNext/>
        <w:rPr>
          <w:rFonts w:eastAsia="Calibri"/>
        </w:rPr>
      </w:pPr>
    </w:p>
    <w:p w:rsidR="007431EE" w:rsidRPr="00002933" w:rsidP="000B1FF1" w14:paraId="125E901B" w14:textId="398F1F74">
      <w:pPr>
        <w:rPr>
          <w:rFonts w:eastAsia="Calibri"/>
        </w:rPr>
      </w:pPr>
      <w:r>
        <w:rPr>
          <w:rFonts w:eastAsia="Calibri"/>
        </w:rPr>
        <w:t>W</w:t>
      </w:r>
      <w:r w:rsidRPr="001D7F06">
        <w:rPr>
          <w:rFonts w:eastAsia="Calibri"/>
        </w:rPr>
        <w:t>e have revised the n</w:t>
      </w:r>
      <w:r>
        <w:rPr>
          <w:rFonts w:eastAsia="Calibri"/>
        </w:rPr>
        <w:t xml:space="preserve">umber </w:t>
      </w:r>
      <w:r w:rsidRPr="001D7F06">
        <w:rPr>
          <w:rFonts w:eastAsia="Calibri"/>
        </w:rPr>
        <w:t xml:space="preserve">of respondents to reflect the </w:t>
      </w:r>
      <w:r w:rsidR="00F208F2">
        <w:rPr>
          <w:rFonts w:eastAsia="Calibri"/>
        </w:rPr>
        <w:t xml:space="preserve">current number of </w:t>
      </w:r>
      <w:r w:rsidRPr="001D7F06">
        <w:rPr>
          <w:rFonts w:eastAsia="Calibri"/>
        </w:rPr>
        <w:t xml:space="preserve">entities we believe </w:t>
      </w:r>
      <w:r w:rsidR="00F208F2">
        <w:rPr>
          <w:rFonts w:eastAsia="Calibri"/>
        </w:rPr>
        <w:t xml:space="preserve">are </w:t>
      </w:r>
      <w:r w:rsidRPr="001D7F06">
        <w:rPr>
          <w:rFonts w:eastAsia="Calibri"/>
        </w:rPr>
        <w:t xml:space="preserve">subject to the </w:t>
      </w:r>
      <w:r w:rsidR="00F208F2">
        <w:rPr>
          <w:rFonts w:eastAsia="Calibri"/>
        </w:rPr>
        <w:t xml:space="preserve">requirements in </w:t>
      </w:r>
      <w:r w:rsidR="009E57FC">
        <w:rPr>
          <w:rFonts w:eastAsia="Calibri"/>
        </w:rPr>
        <w:t>21 CFR part</w:t>
      </w:r>
      <w:r w:rsidR="00723A43">
        <w:rPr>
          <w:rFonts w:eastAsia="Calibri"/>
        </w:rPr>
        <w:t>s</w:t>
      </w:r>
      <w:r w:rsidR="009E57FC">
        <w:rPr>
          <w:rFonts w:eastAsia="Calibri"/>
        </w:rPr>
        <w:t xml:space="preserve"> 1000 through 1050</w:t>
      </w:r>
      <w:r w:rsidR="00B11270">
        <w:rPr>
          <w:rFonts w:eastAsia="Calibri"/>
        </w:rPr>
        <w:t xml:space="preserve">.  This </w:t>
      </w:r>
      <w:r w:rsidRPr="001D7F06">
        <w:rPr>
          <w:rFonts w:eastAsia="Calibri"/>
        </w:rPr>
        <w:t xml:space="preserve">figures </w:t>
      </w:r>
      <w:r w:rsidR="00F84981">
        <w:rPr>
          <w:rFonts w:eastAsia="Calibri"/>
        </w:rPr>
        <w:t xml:space="preserve">corresponds with </w:t>
      </w:r>
      <w:r w:rsidRPr="001D7F06">
        <w:rPr>
          <w:rFonts w:eastAsia="Calibri"/>
        </w:rPr>
        <w:t>updated data presented in the analysis of impacts associated with the final rule</w:t>
      </w:r>
      <w:r w:rsidR="00B11270">
        <w:rPr>
          <w:rFonts w:eastAsia="Calibri"/>
        </w:rPr>
        <w:t xml:space="preserve"> (FRIA)</w:t>
      </w:r>
      <w:r w:rsidRPr="001D7F06">
        <w:rPr>
          <w:rFonts w:eastAsia="Calibri"/>
        </w:rPr>
        <w:t>.</w:t>
      </w:r>
      <w:r w:rsidR="009E57FC">
        <w:rPr>
          <w:rFonts w:eastAsia="Calibri"/>
        </w:rPr>
        <w:t xml:space="preserve">  </w:t>
      </w:r>
      <w:r w:rsidR="00F84981">
        <w:rPr>
          <w:rFonts w:eastAsia="Calibri"/>
        </w:rPr>
        <w:t xml:space="preserve">  </w:t>
      </w:r>
      <w:r w:rsidRPr="00002933">
        <w:rPr>
          <w:rFonts w:eastAsia="Calibri"/>
        </w:rPr>
        <w:t>As a result of these</w:t>
      </w:r>
      <w:r w:rsidR="00F84981">
        <w:rPr>
          <w:rFonts w:eastAsia="Calibri"/>
        </w:rPr>
        <w:t xml:space="preserve"> changes and adjustments, the information collection </w:t>
      </w:r>
      <w:r w:rsidR="00BB7BBC">
        <w:rPr>
          <w:rFonts w:eastAsia="Calibri"/>
        </w:rPr>
        <w:t>reflects an increase of 2,527,396</w:t>
      </w:r>
      <w:r w:rsidR="00655F29">
        <w:rPr>
          <w:rFonts w:eastAsia="Calibri"/>
        </w:rPr>
        <w:t xml:space="preserve"> responses and a decrease of</w:t>
      </w:r>
      <w:r w:rsidRPr="00002933">
        <w:rPr>
          <w:rFonts w:eastAsia="Calibri"/>
        </w:rPr>
        <w:t xml:space="preserve"> by 67,392 hours</w:t>
      </w:r>
      <w:r w:rsidR="00655F29">
        <w:rPr>
          <w:rFonts w:eastAsia="Calibri"/>
        </w:rPr>
        <w:t>, annually</w:t>
      </w:r>
      <w:r w:rsidRPr="009C5039">
        <w:rPr>
          <w:rFonts w:eastAsia="Calibri"/>
        </w:rPr>
        <w:t>.</w:t>
      </w:r>
    </w:p>
    <w:p w:rsidR="007431EE" w:rsidRPr="009C5039" w:rsidP="000B1FF1" w14:paraId="2D97B020" w14:textId="77777777">
      <w:pPr>
        <w:rPr>
          <w:rFonts w:eastAsia="Calibri"/>
        </w:rPr>
      </w:pPr>
    </w:p>
    <w:p w:rsidR="00357C8A" w:rsidRPr="009C5039" w:rsidP="000B1FF1" w14:paraId="2F4C94CA" w14:textId="77777777">
      <w:pPr>
        <w:keepNext/>
        <w:numPr>
          <w:ilvl w:val="0"/>
          <w:numId w:val="6"/>
        </w:numPr>
        <w:rPr>
          <w:rFonts w:eastAsia="Calibri"/>
          <w:u w:val="single"/>
        </w:rPr>
      </w:pPr>
      <w:r w:rsidRPr="009C5039">
        <w:rPr>
          <w:rFonts w:eastAsia="Calibri"/>
          <w:u w:val="single"/>
        </w:rPr>
        <w:t>Plans for Tabulation and Publication and Project Time Schedule</w:t>
      </w:r>
    </w:p>
    <w:p w:rsidR="003956E6" w:rsidP="000B1FF1" w14:paraId="2AE774D6" w14:textId="77777777">
      <w:pPr>
        <w:rPr>
          <w:rFonts w:eastAsia="Calibri"/>
        </w:rPr>
      </w:pPr>
    </w:p>
    <w:p w:rsidR="00357C8A" w:rsidP="000B1FF1" w14:paraId="27F4E911" w14:textId="0515A855">
      <w:pPr>
        <w:rPr>
          <w:rFonts w:eastAsia="Calibri"/>
        </w:rPr>
      </w:pPr>
      <w:r w:rsidRPr="009C5039">
        <w:rPr>
          <w:rFonts w:eastAsia="Calibri"/>
        </w:rPr>
        <w:t>This information collected will not be published or tabulated.</w:t>
      </w:r>
    </w:p>
    <w:p w:rsidR="009C5039" w:rsidRPr="009C5039" w:rsidP="000B1FF1" w14:paraId="799E094A" w14:textId="77777777">
      <w:pPr>
        <w:rPr>
          <w:rFonts w:eastAsia="Calibri"/>
          <w:color w:val="FF0000"/>
        </w:rPr>
      </w:pPr>
    </w:p>
    <w:p w:rsidR="00357C8A" w:rsidRPr="009C5039" w:rsidP="000B1FF1" w14:paraId="3ED74D1A" w14:textId="77777777">
      <w:pPr>
        <w:numPr>
          <w:ilvl w:val="0"/>
          <w:numId w:val="6"/>
        </w:numPr>
        <w:rPr>
          <w:rFonts w:eastAsia="Calibri"/>
          <w:u w:val="single"/>
        </w:rPr>
      </w:pPr>
      <w:r w:rsidRPr="009C5039">
        <w:rPr>
          <w:rFonts w:eastAsia="Calibri"/>
          <w:u w:val="single"/>
        </w:rPr>
        <w:t>Reason(s) Display of OMB Expiration Date is Inappropriate</w:t>
      </w:r>
    </w:p>
    <w:p w:rsidR="003956E6" w:rsidP="000B1FF1" w14:paraId="3D64CA76" w14:textId="77777777"/>
    <w:p w:rsidR="007431EE" w:rsidRPr="009C5039" w:rsidP="000B1FF1" w14:paraId="64B5A39A" w14:textId="64DC7771">
      <w:pPr>
        <w:rPr>
          <w:rFonts w:eastAsia="Calibri"/>
        </w:rPr>
      </w:pPr>
      <w:r>
        <w:t xml:space="preserve">The ICR </w:t>
      </w:r>
      <w:r w:rsidRPr="009C5039">
        <w:t xml:space="preserve">OMB expiration date </w:t>
      </w:r>
      <w:r>
        <w:t xml:space="preserve">will be displayed </w:t>
      </w:r>
      <w:r w:rsidRPr="009C5039">
        <w:t>as required by 5 CFR 1320.5.</w:t>
      </w:r>
    </w:p>
    <w:p w:rsidR="00744525" w:rsidRPr="009C5039" w:rsidP="000B1FF1" w14:paraId="27523DE3" w14:textId="77777777">
      <w:pPr>
        <w:rPr>
          <w:rFonts w:eastAsia="Calibri"/>
        </w:rPr>
      </w:pPr>
    </w:p>
    <w:p w:rsidR="00357C8A" w:rsidRPr="009C5039" w:rsidP="000B1FF1" w14:paraId="191CF95F" w14:textId="77777777">
      <w:pPr>
        <w:numPr>
          <w:ilvl w:val="0"/>
          <w:numId w:val="6"/>
        </w:numPr>
        <w:rPr>
          <w:rFonts w:eastAsia="Calibri"/>
          <w:u w:val="single"/>
        </w:rPr>
      </w:pPr>
      <w:r w:rsidRPr="009C5039">
        <w:rPr>
          <w:rFonts w:eastAsia="Calibri"/>
          <w:u w:val="single"/>
        </w:rPr>
        <w:t>Exceptions to Certification for Paperwork Reduction Act Submissions</w:t>
      </w:r>
    </w:p>
    <w:p w:rsidR="003956E6" w:rsidP="000B1FF1" w14:paraId="5212A3A6" w14:textId="77777777">
      <w:pPr>
        <w:rPr>
          <w:rFonts w:eastAsia="Calibri"/>
        </w:rPr>
      </w:pPr>
    </w:p>
    <w:p w:rsidR="00544138" w:rsidRPr="009C5039" w:rsidP="000B1FF1" w14:paraId="07976511" w14:textId="5EB7F3D9">
      <w:pPr>
        <w:rPr>
          <w:rFonts w:eastAsia="Calibri"/>
        </w:rPr>
      </w:pPr>
      <w:r w:rsidRPr="009C5039">
        <w:rPr>
          <w:rFonts w:eastAsia="Calibri"/>
        </w:rPr>
        <w:t>There are no exceptions to the certification.</w:t>
      </w:r>
    </w:p>
    <w:sectPr w:rsidSect="00DB3DC4">
      <w:footerReference w:type="even" r:id="rId8"/>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1549AE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46AA6C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64E2961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3A496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52E6B" w14:paraId="764E985F" w14:textId="77777777">
      <w:r>
        <w:separator/>
      </w:r>
    </w:p>
  </w:footnote>
  <w:footnote w:type="continuationSeparator" w:id="1">
    <w:p w:rsidR="00E52E6B" w14:paraId="4DEB845E" w14:textId="77777777">
      <w:r>
        <w:continuationSeparator/>
      </w:r>
    </w:p>
  </w:footnote>
  <w:footnote w:id="2">
    <w:p w:rsidR="0046792E" w14:paraId="403BEFF3" w14:textId="00985424">
      <w:pPr>
        <w:pStyle w:val="FootnoteText"/>
      </w:pPr>
      <w:r>
        <w:rPr>
          <w:rStyle w:val="FootnoteReference"/>
        </w:rPr>
        <w:footnoteRef/>
      </w:r>
      <w:r>
        <w:t xml:space="preserve">   Form revised consistent with final rule.</w:t>
      </w:r>
    </w:p>
  </w:footnote>
  <w:footnote w:id="3">
    <w:p w:rsidR="00FD13D0" w14:paraId="757FFC46" w14:textId="46473852">
      <w:pPr>
        <w:pStyle w:val="FootnoteText"/>
      </w:pPr>
      <w:r>
        <w:rPr>
          <w:rStyle w:val="FootnoteReference"/>
        </w:rPr>
        <w:footnoteRef/>
      </w:r>
      <w:r>
        <w:t xml:space="preserve">   Form revised consistent with final rule.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6931E97"/>
    <w:multiLevelType w:val="hybridMultilevel"/>
    <w:tmpl w:val="9CD8A0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45143EC"/>
    <w:multiLevelType w:val="hybridMultilevel"/>
    <w:tmpl w:val="F7CE32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F9C6109"/>
    <w:multiLevelType w:val="hybridMultilevel"/>
    <w:tmpl w:val="9F8424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35258F"/>
    <w:multiLevelType w:val="hybridMultilevel"/>
    <w:tmpl w:val="D8F4AA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FE6A70"/>
    <w:multiLevelType w:val="hybridMultilevel"/>
    <w:tmpl w:val="9B324F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10"/>
  </w:num>
  <w:num w:numId="4">
    <w:abstractNumId w:val="5"/>
  </w:num>
  <w:num w:numId="5">
    <w:abstractNumId w:val="12"/>
  </w:num>
  <w:num w:numId="6">
    <w:abstractNumId w:val="0"/>
  </w:num>
  <w:num w:numId="7">
    <w:abstractNumId w:val="2"/>
  </w:num>
  <w:num w:numId="8">
    <w:abstractNumId w:val="7"/>
  </w:num>
  <w:num w:numId="9">
    <w:abstractNumId w:val="4"/>
  </w:num>
  <w:num w:numId="10">
    <w:abstractNumId w:val="6"/>
  </w:num>
  <w:num w:numId="11">
    <w:abstractNumId w:val="3"/>
  </w:num>
  <w:num w:numId="12">
    <w:abstractNumId w:val="8"/>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933"/>
    <w:rsid w:val="00006927"/>
    <w:rsid w:val="000161E3"/>
    <w:rsid w:val="000220DA"/>
    <w:rsid w:val="00026FF7"/>
    <w:rsid w:val="0002770E"/>
    <w:rsid w:val="00031A2C"/>
    <w:rsid w:val="000332FB"/>
    <w:rsid w:val="00042B93"/>
    <w:rsid w:val="00043A10"/>
    <w:rsid w:val="00043C7F"/>
    <w:rsid w:val="0004482E"/>
    <w:rsid w:val="00044D2D"/>
    <w:rsid w:val="00044D69"/>
    <w:rsid w:val="00046039"/>
    <w:rsid w:val="000467A8"/>
    <w:rsid w:val="000523FC"/>
    <w:rsid w:val="0006570F"/>
    <w:rsid w:val="0007345F"/>
    <w:rsid w:val="00075DE8"/>
    <w:rsid w:val="0008681D"/>
    <w:rsid w:val="00087439"/>
    <w:rsid w:val="00090BFA"/>
    <w:rsid w:val="000917D0"/>
    <w:rsid w:val="000A0FD4"/>
    <w:rsid w:val="000B1FF1"/>
    <w:rsid w:val="000B2B48"/>
    <w:rsid w:val="000C1260"/>
    <w:rsid w:val="000C560C"/>
    <w:rsid w:val="000C60AC"/>
    <w:rsid w:val="000D080B"/>
    <w:rsid w:val="000D48FD"/>
    <w:rsid w:val="000D564D"/>
    <w:rsid w:val="000D79CC"/>
    <w:rsid w:val="000E1C64"/>
    <w:rsid w:val="000E1FD7"/>
    <w:rsid w:val="000F7119"/>
    <w:rsid w:val="00100739"/>
    <w:rsid w:val="00101480"/>
    <w:rsid w:val="00102C87"/>
    <w:rsid w:val="00103494"/>
    <w:rsid w:val="0010493E"/>
    <w:rsid w:val="001075D3"/>
    <w:rsid w:val="00107885"/>
    <w:rsid w:val="00111B14"/>
    <w:rsid w:val="00114D5B"/>
    <w:rsid w:val="00114FC4"/>
    <w:rsid w:val="0011605C"/>
    <w:rsid w:val="00117899"/>
    <w:rsid w:val="0012329C"/>
    <w:rsid w:val="00126BA2"/>
    <w:rsid w:val="00126CB9"/>
    <w:rsid w:val="00126E23"/>
    <w:rsid w:val="00134FA7"/>
    <w:rsid w:val="00137950"/>
    <w:rsid w:val="0014169E"/>
    <w:rsid w:val="00141CE5"/>
    <w:rsid w:val="001420C5"/>
    <w:rsid w:val="00150A39"/>
    <w:rsid w:val="00152F29"/>
    <w:rsid w:val="0015326C"/>
    <w:rsid w:val="00153721"/>
    <w:rsid w:val="00155573"/>
    <w:rsid w:val="00165B91"/>
    <w:rsid w:val="00172DD6"/>
    <w:rsid w:val="00174D54"/>
    <w:rsid w:val="0017702C"/>
    <w:rsid w:val="00185270"/>
    <w:rsid w:val="00195BEF"/>
    <w:rsid w:val="001A19DE"/>
    <w:rsid w:val="001A3B5A"/>
    <w:rsid w:val="001A458C"/>
    <w:rsid w:val="001B7CE9"/>
    <w:rsid w:val="001C02B0"/>
    <w:rsid w:val="001C0673"/>
    <w:rsid w:val="001C3DD8"/>
    <w:rsid w:val="001C5E43"/>
    <w:rsid w:val="001D495A"/>
    <w:rsid w:val="001D6EFE"/>
    <w:rsid w:val="001D7F06"/>
    <w:rsid w:val="001E0D9C"/>
    <w:rsid w:val="001E244C"/>
    <w:rsid w:val="001F1437"/>
    <w:rsid w:val="001F25E4"/>
    <w:rsid w:val="001F63EF"/>
    <w:rsid w:val="00203BA7"/>
    <w:rsid w:val="00206799"/>
    <w:rsid w:val="002074FE"/>
    <w:rsid w:val="00207C00"/>
    <w:rsid w:val="0022425B"/>
    <w:rsid w:val="002259EF"/>
    <w:rsid w:val="00225E5E"/>
    <w:rsid w:val="0023351C"/>
    <w:rsid w:val="00242035"/>
    <w:rsid w:val="00242ED1"/>
    <w:rsid w:val="002444BB"/>
    <w:rsid w:val="002460D2"/>
    <w:rsid w:val="00250956"/>
    <w:rsid w:val="002525E7"/>
    <w:rsid w:val="00253694"/>
    <w:rsid w:val="00254069"/>
    <w:rsid w:val="00264314"/>
    <w:rsid w:val="00270748"/>
    <w:rsid w:val="00270CC9"/>
    <w:rsid w:val="00271111"/>
    <w:rsid w:val="002725C0"/>
    <w:rsid w:val="002734E5"/>
    <w:rsid w:val="002746DB"/>
    <w:rsid w:val="00280A78"/>
    <w:rsid w:val="00280CAF"/>
    <w:rsid w:val="00282F09"/>
    <w:rsid w:val="00286108"/>
    <w:rsid w:val="0028641B"/>
    <w:rsid w:val="00291810"/>
    <w:rsid w:val="00294D62"/>
    <w:rsid w:val="002955DD"/>
    <w:rsid w:val="00297532"/>
    <w:rsid w:val="00297FFD"/>
    <w:rsid w:val="002A1210"/>
    <w:rsid w:val="002A47D2"/>
    <w:rsid w:val="002A5AE1"/>
    <w:rsid w:val="002A7FB5"/>
    <w:rsid w:val="002B03D2"/>
    <w:rsid w:val="002B2074"/>
    <w:rsid w:val="002C0B3F"/>
    <w:rsid w:val="002C1F75"/>
    <w:rsid w:val="002D14D8"/>
    <w:rsid w:val="002D4799"/>
    <w:rsid w:val="002D6216"/>
    <w:rsid w:val="002D677C"/>
    <w:rsid w:val="002E2E37"/>
    <w:rsid w:val="002E3FA4"/>
    <w:rsid w:val="002E4286"/>
    <w:rsid w:val="002E53A5"/>
    <w:rsid w:val="002E64B8"/>
    <w:rsid w:val="002E6834"/>
    <w:rsid w:val="002F046A"/>
    <w:rsid w:val="002F5458"/>
    <w:rsid w:val="003113FF"/>
    <w:rsid w:val="00312622"/>
    <w:rsid w:val="003218E9"/>
    <w:rsid w:val="0032277F"/>
    <w:rsid w:val="00325538"/>
    <w:rsid w:val="003255B8"/>
    <w:rsid w:val="00325736"/>
    <w:rsid w:val="003268C6"/>
    <w:rsid w:val="003269C6"/>
    <w:rsid w:val="003341F1"/>
    <w:rsid w:val="00336B69"/>
    <w:rsid w:val="0034302B"/>
    <w:rsid w:val="00350523"/>
    <w:rsid w:val="0035189D"/>
    <w:rsid w:val="00355B62"/>
    <w:rsid w:val="00357BDB"/>
    <w:rsid w:val="00357C8A"/>
    <w:rsid w:val="00357C92"/>
    <w:rsid w:val="003620B1"/>
    <w:rsid w:val="003652EE"/>
    <w:rsid w:val="00367864"/>
    <w:rsid w:val="003740BC"/>
    <w:rsid w:val="0037456B"/>
    <w:rsid w:val="00375CC8"/>
    <w:rsid w:val="0037608D"/>
    <w:rsid w:val="003801A3"/>
    <w:rsid w:val="00381009"/>
    <w:rsid w:val="00383D90"/>
    <w:rsid w:val="003870AE"/>
    <w:rsid w:val="003956E6"/>
    <w:rsid w:val="003A1A27"/>
    <w:rsid w:val="003A50CC"/>
    <w:rsid w:val="003A605A"/>
    <w:rsid w:val="003B23D6"/>
    <w:rsid w:val="003B42B3"/>
    <w:rsid w:val="003B4F78"/>
    <w:rsid w:val="003B6384"/>
    <w:rsid w:val="003C0FE2"/>
    <w:rsid w:val="003C4EBB"/>
    <w:rsid w:val="003D1531"/>
    <w:rsid w:val="003D1F5E"/>
    <w:rsid w:val="003D5D1C"/>
    <w:rsid w:val="003D70D0"/>
    <w:rsid w:val="003D7169"/>
    <w:rsid w:val="003E23F7"/>
    <w:rsid w:val="003E4EC6"/>
    <w:rsid w:val="003E527E"/>
    <w:rsid w:val="003E553E"/>
    <w:rsid w:val="003E7078"/>
    <w:rsid w:val="003F3DF5"/>
    <w:rsid w:val="003F73B8"/>
    <w:rsid w:val="0040297E"/>
    <w:rsid w:val="004055E7"/>
    <w:rsid w:val="004066B9"/>
    <w:rsid w:val="004071F7"/>
    <w:rsid w:val="00410270"/>
    <w:rsid w:val="00411D11"/>
    <w:rsid w:val="00412858"/>
    <w:rsid w:val="00413912"/>
    <w:rsid w:val="00414494"/>
    <w:rsid w:val="00415E23"/>
    <w:rsid w:val="0041670D"/>
    <w:rsid w:val="00423272"/>
    <w:rsid w:val="0042340E"/>
    <w:rsid w:val="00424061"/>
    <w:rsid w:val="00425E75"/>
    <w:rsid w:val="0042688B"/>
    <w:rsid w:val="00426B18"/>
    <w:rsid w:val="00435677"/>
    <w:rsid w:val="00441C8C"/>
    <w:rsid w:val="00442A3C"/>
    <w:rsid w:val="00443969"/>
    <w:rsid w:val="00447D74"/>
    <w:rsid w:val="00450A74"/>
    <w:rsid w:val="00451351"/>
    <w:rsid w:val="004546BF"/>
    <w:rsid w:val="004574E5"/>
    <w:rsid w:val="004576EC"/>
    <w:rsid w:val="004637EA"/>
    <w:rsid w:val="00465274"/>
    <w:rsid w:val="00465350"/>
    <w:rsid w:val="0046792E"/>
    <w:rsid w:val="004719B8"/>
    <w:rsid w:val="004724BC"/>
    <w:rsid w:val="00476B91"/>
    <w:rsid w:val="00476EDC"/>
    <w:rsid w:val="004774B3"/>
    <w:rsid w:val="004846BF"/>
    <w:rsid w:val="00486605"/>
    <w:rsid w:val="004870C4"/>
    <w:rsid w:val="00490D0A"/>
    <w:rsid w:val="0049373F"/>
    <w:rsid w:val="00494912"/>
    <w:rsid w:val="00495476"/>
    <w:rsid w:val="004A16C7"/>
    <w:rsid w:val="004A5323"/>
    <w:rsid w:val="004A5928"/>
    <w:rsid w:val="004A5A99"/>
    <w:rsid w:val="004B4C32"/>
    <w:rsid w:val="004C1A14"/>
    <w:rsid w:val="004C3212"/>
    <w:rsid w:val="004C6979"/>
    <w:rsid w:val="004D13A2"/>
    <w:rsid w:val="004D3E7A"/>
    <w:rsid w:val="004E108D"/>
    <w:rsid w:val="004E7F3B"/>
    <w:rsid w:val="004F136E"/>
    <w:rsid w:val="004F594B"/>
    <w:rsid w:val="004F61E1"/>
    <w:rsid w:val="00503355"/>
    <w:rsid w:val="00504292"/>
    <w:rsid w:val="00513B15"/>
    <w:rsid w:val="0051504D"/>
    <w:rsid w:val="00533689"/>
    <w:rsid w:val="0053380B"/>
    <w:rsid w:val="00543194"/>
    <w:rsid w:val="00544138"/>
    <w:rsid w:val="005542FB"/>
    <w:rsid w:val="00554E34"/>
    <w:rsid w:val="00555BC2"/>
    <w:rsid w:val="005734E5"/>
    <w:rsid w:val="005809E5"/>
    <w:rsid w:val="00584583"/>
    <w:rsid w:val="00585CAC"/>
    <w:rsid w:val="00586E91"/>
    <w:rsid w:val="005877D8"/>
    <w:rsid w:val="00590E90"/>
    <w:rsid w:val="00590EEB"/>
    <w:rsid w:val="00595336"/>
    <w:rsid w:val="00595FCA"/>
    <w:rsid w:val="005A1B90"/>
    <w:rsid w:val="005A4099"/>
    <w:rsid w:val="005A4652"/>
    <w:rsid w:val="005B0B2A"/>
    <w:rsid w:val="005B44FA"/>
    <w:rsid w:val="005B57F5"/>
    <w:rsid w:val="005B5A78"/>
    <w:rsid w:val="005C0764"/>
    <w:rsid w:val="005C181F"/>
    <w:rsid w:val="005C38B2"/>
    <w:rsid w:val="005C5029"/>
    <w:rsid w:val="005C55C2"/>
    <w:rsid w:val="005C71CA"/>
    <w:rsid w:val="005C745C"/>
    <w:rsid w:val="005D4DF5"/>
    <w:rsid w:val="005E0929"/>
    <w:rsid w:val="005E42BA"/>
    <w:rsid w:val="005E4FBC"/>
    <w:rsid w:val="00611D6B"/>
    <w:rsid w:val="006230EC"/>
    <w:rsid w:val="00625CFD"/>
    <w:rsid w:val="006326EC"/>
    <w:rsid w:val="006409E0"/>
    <w:rsid w:val="00640C46"/>
    <w:rsid w:val="00643D5E"/>
    <w:rsid w:val="00647D63"/>
    <w:rsid w:val="00652821"/>
    <w:rsid w:val="00653DE8"/>
    <w:rsid w:val="00655F29"/>
    <w:rsid w:val="00663A42"/>
    <w:rsid w:val="006641C7"/>
    <w:rsid w:val="006705EA"/>
    <w:rsid w:val="00670BE2"/>
    <w:rsid w:val="006775C8"/>
    <w:rsid w:val="006803B1"/>
    <w:rsid w:val="006916D9"/>
    <w:rsid w:val="00692DFF"/>
    <w:rsid w:val="0069614C"/>
    <w:rsid w:val="00696B5F"/>
    <w:rsid w:val="006A0E05"/>
    <w:rsid w:val="006A1062"/>
    <w:rsid w:val="006A26C6"/>
    <w:rsid w:val="006A465A"/>
    <w:rsid w:val="006A7879"/>
    <w:rsid w:val="006A7D5D"/>
    <w:rsid w:val="006B3038"/>
    <w:rsid w:val="006B30F7"/>
    <w:rsid w:val="006B43CB"/>
    <w:rsid w:val="006C1307"/>
    <w:rsid w:val="006D0C12"/>
    <w:rsid w:val="006D5893"/>
    <w:rsid w:val="006D5D57"/>
    <w:rsid w:val="006E2538"/>
    <w:rsid w:val="006E302F"/>
    <w:rsid w:val="006E3826"/>
    <w:rsid w:val="006F3C25"/>
    <w:rsid w:val="006F4D6D"/>
    <w:rsid w:val="006F6596"/>
    <w:rsid w:val="006F7AAE"/>
    <w:rsid w:val="00705086"/>
    <w:rsid w:val="00705FF6"/>
    <w:rsid w:val="00715851"/>
    <w:rsid w:val="00720504"/>
    <w:rsid w:val="00722001"/>
    <w:rsid w:val="00723248"/>
    <w:rsid w:val="00723A43"/>
    <w:rsid w:val="00731181"/>
    <w:rsid w:val="00731AFB"/>
    <w:rsid w:val="00731F37"/>
    <w:rsid w:val="007354E1"/>
    <w:rsid w:val="00741891"/>
    <w:rsid w:val="007431EE"/>
    <w:rsid w:val="00743D39"/>
    <w:rsid w:val="00744525"/>
    <w:rsid w:val="0074588E"/>
    <w:rsid w:val="00751E66"/>
    <w:rsid w:val="0075400A"/>
    <w:rsid w:val="00754497"/>
    <w:rsid w:val="007561DA"/>
    <w:rsid w:val="0076280E"/>
    <w:rsid w:val="00763DA5"/>
    <w:rsid w:val="00770169"/>
    <w:rsid w:val="00770E19"/>
    <w:rsid w:val="00773201"/>
    <w:rsid w:val="00785EED"/>
    <w:rsid w:val="00787C39"/>
    <w:rsid w:val="00791297"/>
    <w:rsid w:val="00792947"/>
    <w:rsid w:val="00793A78"/>
    <w:rsid w:val="00795DF3"/>
    <w:rsid w:val="007964BB"/>
    <w:rsid w:val="007A373C"/>
    <w:rsid w:val="007B225C"/>
    <w:rsid w:val="007B37FE"/>
    <w:rsid w:val="007B444E"/>
    <w:rsid w:val="007C1921"/>
    <w:rsid w:val="007C27CF"/>
    <w:rsid w:val="007C28AD"/>
    <w:rsid w:val="007C75B1"/>
    <w:rsid w:val="007D28B1"/>
    <w:rsid w:val="007D398E"/>
    <w:rsid w:val="007D3DFC"/>
    <w:rsid w:val="007E2F07"/>
    <w:rsid w:val="007E59A8"/>
    <w:rsid w:val="007F1914"/>
    <w:rsid w:val="00804C0A"/>
    <w:rsid w:val="008063BB"/>
    <w:rsid w:val="0080776D"/>
    <w:rsid w:val="00810145"/>
    <w:rsid w:val="008108FA"/>
    <w:rsid w:val="00810FF1"/>
    <w:rsid w:val="00822336"/>
    <w:rsid w:val="00823DFA"/>
    <w:rsid w:val="00824DE0"/>
    <w:rsid w:val="00826813"/>
    <w:rsid w:val="008268CA"/>
    <w:rsid w:val="00830C3A"/>
    <w:rsid w:val="0083200C"/>
    <w:rsid w:val="00833AC2"/>
    <w:rsid w:val="0083450D"/>
    <w:rsid w:val="00835741"/>
    <w:rsid w:val="00842DB7"/>
    <w:rsid w:val="00843752"/>
    <w:rsid w:val="0084479F"/>
    <w:rsid w:val="008537E7"/>
    <w:rsid w:val="0085567A"/>
    <w:rsid w:val="00856EAB"/>
    <w:rsid w:val="0085725E"/>
    <w:rsid w:val="008657AF"/>
    <w:rsid w:val="00873D4F"/>
    <w:rsid w:val="0087509F"/>
    <w:rsid w:val="00881313"/>
    <w:rsid w:val="00885B09"/>
    <w:rsid w:val="00892400"/>
    <w:rsid w:val="008A1D14"/>
    <w:rsid w:val="008A1FA8"/>
    <w:rsid w:val="008A209D"/>
    <w:rsid w:val="008A22BB"/>
    <w:rsid w:val="008A6E85"/>
    <w:rsid w:val="008B035D"/>
    <w:rsid w:val="008B0E29"/>
    <w:rsid w:val="008B0EFA"/>
    <w:rsid w:val="008B30AB"/>
    <w:rsid w:val="008B3659"/>
    <w:rsid w:val="008B4DA9"/>
    <w:rsid w:val="008C30CB"/>
    <w:rsid w:val="008C33EA"/>
    <w:rsid w:val="008C3BB8"/>
    <w:rsid w:val="008C4B65"/>
    <w:rsid w:val="008D0D7F"/>
    <w:rsid w:val="008D27B8"/>
    <w:rsid w:val="008D6C33"/>
    <w:rsid w:val="008E5F55"/>
    <w:rsid w:val="008F2286"/>
    <w:rsid w:val="008F768C"/>
    <w:rsid w:val="009009E7"/>
    <w:rsid w:val="00905DEF"/>
    <w:rsid w:val="00906056"/>
    <w:rsid w:val="00911E43"/>
    <w:rsid w:val="009122AE"/>
    <w:rsid w:val="00913B43"/>
    <w:rsid w:val="0092020F"/>
    <w:rsid w:val="00925F5A"/>
    <w:rsid w:val="009268D3"/>
    <w:rsid w:val="00930203"/>
    <w:rsid w:val="009311D2"/>
    <w:rsid w:val="009311DF"/>
    <w:rsid w:val="009311E6"/>
    <w:rsid w:val="00931275"/>
    <w:rsid w:val="00936AC7"/>
    <w:rsid w:val="0094105D"/>
    <w:rsid w:val="00942684"/>
    <w:rsid w:val="00947761"/>
    <w:rsid w:val="009503D1"/>
    <w:rsid w:val="00952BB8"/>
    <w:rsid w:val="00953B64"/>
    <w:rsid w:val="00957475"/>
    <w:rsid w:val="0096264A"/>
    <w:rsid w:val="009630F6"/>
    <w:rsid w:val="0096381B"/>
    <w:rsid w:val="009646A7"/>
    <w:rsid w:val="0096589F"/>
    <w:rsid w:val="00966E76"/>
    <w:rsid w:val="00970A88"/>
    <w:rsid w:val="00974B4F"/>
    <w:rsid w:val="00980582"/>
    <w:rsid w:val="009818A1"/>
    <w:rsid w:val="009855E7"/>
    <w:rsid w:val="00985F69"/>
    <w:rsid w:val="009865BF"/>
    <w:rsid w:val="0099017D"/>
    <w:rsid w:val="009A1674"/>
    <w:rsid w:val="009A7ED2"/>
    <w:rsid w:val="009B38BE"/>
    <w:rsid w:val="009B4DF2"/>
    <w:rsid w:val="009C103B"/>
    <w:rsid w:val="009C5039"/>
    <w:rsid w:val="009C684F"/>
    <w:rsid w:val="009D020B"/>
    <w:rsid w:val="009D074C"/>
    <w:rsid w:val="009D6E73"/>
    <w:rsid w:val="009E1FEE"/>
    <w:rsid w:val="009E4FD5"/>
    <w:rsid w:val="009E57FC"/>
    <w:rsid w:val="009F1F1D"/>
    <w:rsid w:val="009F2B4F"/>
    <w:rsid w:val="009F3C63"/>
    <w:rsid w:val="009F66B5"/>
    <w:rsid w:val="00A012CB"/>
    <w:rsid w:val="00A02F10"/>
    <w:rsid w:val="00A0594B"/>
    <w:rsid w:val="00A1060C"/>
    <w:rsid w:val="00A11C3A"/>
    <w:rsid w:val="00A16221"/>
    <w:rsid w:val="00A20A7D"/>
    <w:rsid w:val="00A21B63"/>
    <w:rsid w:val="00A27101"/>
    <w:rsid w:val="00A35D42"/>
    <w:rsid w:val="00A44738"/>
    <w:rsid w:val="00A44ACC"/>
    <w:rsid w:val="00A46CCF"/>
    <w:rsid w:val="00A506DE"/>
    <w:rsid w:val="00A51C8C"/>
    <w:rsid w:val="00A53451"/>
    <w:rsid w:val="00A57444"/>
    <w:rsid w:val="00A60B5E"/>
    <w:rsid w:val="00A632AE"/>
    <w:rsid w:val="00A67127"/>
    <w:rsid w:val="00A70426"/>
    <w:rsid w:val="00A707CC"/>
    <w:rsid w:val="00A71410"/>
    <w:rsid w:val="00A7203E"/>
    <w:rsid w:val="00A75C87"/>
    <w:rsid w:val="00A834C8"/>
    <w:rsid w:val="00A84225"/>
    <w:rsid w:val="00A875CD"/>
    <w:rsid w:val="00A91E9A"/>
    <w:rsid w:val="00A9397F"/>
    <w:rsid w:val="00A93ED9"/>
    <w:rsid w:val="00A96221"/>
    <w:rsid w:val="00AA150C"/>
    <w:rsid w:val="00AA6995"/>
    <w:rsid w:val="00AA7ECC"/>
    <w:rsid w:val="00AB107C"/>
    <w:rsid w:val="00AB3647"/>
    <w:rsid w:val="00AB4E90"/>
    <w:rsid w:val="00AC2DBB"/>
    <w:rsid w:val="00AC39A8"/>
    <w:rsid w:val="00AC6A99"/>
    <w:rsid w:val="00AD009D"/>
    <w:rsid w:val="00AD6048"/>
    <w:rsid w:val="00AD67BA"/>
    <w:rsid w:val="00AE2D25"/>
    <w:rsid w:val="00AE32C7"/>
    <w:rsid w:val="00AF0A45"/>
    <w:rsid w:val="00AF33B7"/>
    <w:rsid w:val="00AF6A01"/>
    <w:rsid w:val="00B03153"/>
    <w:rsid w:val="00B055EF"/>
    <w:rsid w:val="00B05A96"/>
    <w:rsid w:val="00B065D9"/>
    <w:rsid w:val="00B06B5B"/>
    <w:rsid w:val="00B10287"/>
    <w:rsid w:val="00B11270"/>
    <w:rsid w:val="00B23769"/>
    <w:rsid w:val="00B244D8"/>
    <w:rsid w:val="00B24EB0"/>
    <w:rsid w:val="00B30411"/>
    <w:rsid w:val="00B41789"/>
    <w:rsid w:val="00B51745"/>
    <w:rsid w:val="00B55D2A"/>
    <w:rsid w:val="00B6289C"/>
    <w:rsid w:val="00B73AEA"/>
    <w:rsid w:val="00B76AA3"/>
    <w:rsid w:val="00B76FC7"/>
    <w:rsid w:val="00B81808"/>
    <w:rsid w:val="00B86DFA"/>
    <w:rsid w:val="00B87ECE"/>
    <w:rsid w:val="00B90407"/>
    <w:rsid w:val="00B936D0"/>
    <w:rsid w:val="00BA5F05"/>
    <w:rsid w:val="00BA708E"/>
    <w:rsid w:val="00BB15FB"/>
    <w:rsid w:val="00BB406F"/>
    <w:rsid w:val="00BB4553"/>
    <w:rsid w:val="00BB4AB6"/>
    <w:rsid w:val="00BB58B5"/>
    <w:rsid w:val="00BB7BBC"/>
    <w:rsid w:val="00BC52F0"/>
    <w:rsid w:val="00BD2566"/>
    <w:rsid w:val="00BD3D5B"/>
    <w:rsid w:val="00BE107C"/>
    <w:rsid w:val="00BE112B"/>
    <w:rsid w:val="00BE2C35"/>
    <w:rsid w:val="00BE3600"/>
    <w:rsid w:val="00BE5283"/>
    <w:rsid w:val="00BF1BEF"/>
    <w:rsid w:val="00BF42BB"/>
    <w:rsid w:val="00C01F6F"/>
    <w:rsid w:val="00C041EA"/>
    <w:rsid w:val="00C11D1B"/>
    <w:rsid w:val="00C13BBD"/>
    <w:rsid w:val="00C149AB"/>
    <w:rsid w:val="00C166BA"/>
    <w:rsid w:val="00C16929"/>
    <w:rsid w:val="00C20690"/>
    <w:rsid w:val="00C34CE1"/>
    <w:rsid w:val="00C3506F"/>
    <w:rsid w:val="00C36020"/>
    <w:rsid w:val="00C40694"/>
    <w:rsid w:val="00C40A0D"/>
    <w:rsid w:val="00C479BF"/>
    <w:rsid w:val="00C5124B"/>
    <w:rsid w:val="00C61E09"/>
    <w:rsid w:val="00C62BC9"/>
    <w:rsid w:val="00C70542"/>
    <w:rsid w:val="00C7417B"/>
    <w:rsid w:val="00C75CBF"/>
    <w:rsid w:val="00C80667"/>
    <w:rsid w:val="00C922C6"/>
    <w:rsid w:val="00CA0AC7"/>
    <w:rsid w:val="00CA7F9C"/>
    <w:rsid w:val="00CB1BA0"/>
    <w:rsid w:val="00CB654C"/>
    <w:rsid w:val="00CB68DF"/>
    <w:rsid w:val="00CB7DF5"/>
    <w:rsid w:val="00CC2894"/>
    <w:rsid w:val="00CD0662"/>
    <w:rsid w:val="00CD25AB"/>
    <w:rsid w:val="00CD4A16"/>
    <w:rsid w:val="00CD77C3"/>
    <w:rsid w:val="00CE112C"/>
    <w:rsid w:val="00CE55C7"/>
    <w:rsid w:val="00CF0611"/>
    <w:rsid w:val="00CF0A44"/>
    <w:rsid w:val="00CF55D4"/>
    <w:rsid w:val="00D0402C"/>
    <w:rsid w:val="00D06A85"/>
    <w:rsid w:val="00D101F1"/>
    <w:rsid w:val="00D21D22"/>
    <w:rsid w:val="00D27908"/>
    <w:rsid w:val="00D37732"/>
    <w:rsid w:val="00D4260D"/>
    <w:rsid w:val="00D429A7"/>
    <w:rsid w:val="00D44B19"/>
    <w:rsid w:val="00D45B98"/>
    <w:rsid w:val="00D53EEF"/>
    <w:rsid w:val="00D608DA"/>
    <w:rsid w:val="00D6576D"/>
    <w:rsid w:val="00D6616D"/>
    <w:rsid w:val="00D730BF"/>
    <w:rsid w:val="00D77296"/>
    <w:rsid w:val="00D8049B"/>
    <w:rsid w:val="00D85233"/>
    <w:rsid w:val="00D852F4"/>
    <w:rsid w:val="00D90CA6"/>
    <w:rsid w:val="00D91620"/>
    <w:rsid w:val="00D95D58"/>
    <w:rsid w:val="00DA3043"/>
    <w:rsid w:val="00DA4AD4"/>
    <w:rsid w:val="00DB1110"/>
    <w:rsid w:val="00DB27D8"/>
    <w:rsid w:val="00DB31BD"/>
    <w:rsid w:val="00DB3730"/>
    <w:rsid w:val="00DB3DC4"/>
    <w:rsid w:val="00DC001E"/>
    <w:rsid w:val="00DC31D4"/>
    <w:rsid w:val="00DC371B"/>
    <w:rsid w:val="00DC3788"/>
    <w:rsid w:val="00DC76C7"/>
    <w:rsid w:val="00DD09F5"/>
    <w:rsid w:val="00DD0E02"/>
    <w:rsid w:val="00DD3AAC"/>
    <w:rsid w:val="00DD3DED"/>
    <w:rsid w:val="00DD4201"/>
    <w:rsid w:val="00DD580B"/>
    <w:rsid w:val="00DD5E9F"/>
    <w:rsid w:val="00DE5711"/>
    <w:rsid w:val="00DE6444"/>
    <w:rsid w:val="00DF0D9F"/>
    <w:rsid w:val="00DF27BE"/>
    <w:rsid w:val="00E00EA0"/>
    <w:rsid w:val="00E021CB"/>
    <w:rsid w:val="00E04643"/>
    <w:rsid w:val="00E105AD"/>
    <w:rsid w:val="00E138F1"/>
    <w:rsid w:val="00E14A2F"/>
    <w:rsid w:val="00E1537D"/>
    <w:rsid w:val="00E22D5B"/>
    <w:rsid w:val="00E2309D"/>
    <w:rsid w:val="00E23EC7"/>
    <w:rsid w:val="00E2634E"/>
    <w:rsid w:val="00E26758"/>
    <w:rsid w:val="00E27B8B"/>
    <w:rsid w:val="00E32B06"/>
    <w:rsid w:val="00E34247"/>
    <w:rsid w:val="00E4357B"/>
    <w:rsid w:val="00E443A7"/>
    <w:rsid w:val="00E45904"/>
    <w:rsid w:val="00E45BF0"/>
    <w:rsid w:val="00E46208"/>
    <w:rsid w:val="00E464BA"/>
    <w:rsid w:val="00E50E6A"/>
    <w:rsid w:val="00E52A07"/>
    <w:rsid w:val="00E52E6B"/>
    <w:rsid w:val="00E55922"/>
    <w:rsid w:val="00E5597D"/>
    <w:rsid w:val="00E565E3"/>
    <w:rsid w:val="00E63DE5"/>
    <w:rsid w:val="00E647AF"/>
    <w:rsid w:val="00E647C7"/>
    <w:rsid w:val="00E65A37"/>
    <w:rsid w:val="00E65EF7"/>
    <w:rsid w:val="00E77B48"/>
    <w:rsid w:val="00E81496"/>
    <w:rsid w:val="00E821E1"/>
    <w:rsid w:val="00E8240E"/>
    <w:rsid w:val="00E84696"/>
    <w:rsid w:val="00E857FB"/>
    <w:rsid w:val="00E85C64"/>
    <w:rsid w:val="00E8687D"/>
    <w:rsid w:val="00E90043"/>
    <w:rsid w:val="00E91799"/>
    <w:rsid w:val="00E945E5"/>
    <w:rsid w:val="00E9630C"/>
    <w:rsid w:val="00E97DF8"/>
    <w:rsid w:val="00EA0737"/>
    <w:rsid w:val="00EA21FE"/>
    <w:rsid w:val="00EA2562"/>
    <w:rsid w:val="00EA34E3"/>
    <w:rsid w:val="00EB7538"/>
    <w:rsid w:val="00EC13AE"/>
    <w:rsid w:val="00EC13E1"/>
    <w:rsid w:val="00EC1602"/>
    <w:rsid w:val="00EC1868"/>
    <w:rsid w:val="00EC63C1"/>
    <w:rsid w:val="00EC6FC6"/>
    <w:rsid w:val="00EC7F67"/>
    <w:rsid w:val="00ED09D8"/>
    <w:rsid w:val="00EE040F"/>
    <w:rsid w:val="00EE1737"/>
    <w:rsid w:val="00EE63BA"/>
    <w:rsid w:val="00EE6468"/>
    <w:rsid w:val="00EF3B1F"/>
    <w:rsid w:val="00F05F88"/>
    <w:rsid w:val="00F1299B"/>
    <w:rsid w:val="00F16C39"/>
    <w:rsid w:val="00F207A4"/>
    <w:rsid w:val="00F208F2"/>
    <w:rsid w:val="00F21595"/>
    <w:rsid w:val="00F2395B"/>
    <w:rsid w:val="00F25173"/>
    <w:rsid w:val="00F30C6B"/>
    <w:rsid w:val="00F34E5F"/>
    <w:rsid w:val="00F355AC"/>
    <w:rsid w:val="00F40CF7"/>
    <w:rsid w:val="00F44194"/>
    <w:rsid w:val="00F44FA3"/>
    <w:rsid w:val="00F45ED6"/>
    <w:rsid w:val="00F623CD"/>
    <w:rsid w:val="00F62BEF"/>
    <w:rsid w:val="00F65792"/>
    <w:rsid w:val="00F71A5A"/>
    <w:rsid w:val="00F73A1A"/>
    <w:rsid w:val="00F769E0"/>
    <w:rsid w:val="00F84981"/>
    <w:rsid w:val="00F85129"/>
    <w:rsid w:val="00F9474E"/>
    <w:rsid w:val="00FA1A53"/>
    <w:rsid w:val="00FA4A46"/>
    <w:rsid w:val="00FA75FE"/>
    <w:rsid w:val="00FB1032"/>
    <w:rsid w:val="00FB2F1C"/>
    <w:rsid w:val="00FB39BC"/>
    <w:rsid w:val="00FB446F"/>
    <w:rsid w:val="00FB6A53"/>
    <w:rsid w:val="00FC11CA"/>
    <w:rsid w:val="00FC6BDE"/>
    <w:rsid w:val="00FD13D0"/>
    <w:rsid w:val="00FD168E"/>
    <w:rsid w:val="00FD42D2"/>
    <w:rsid w:val="00FD55B7"/>
    <w:rsid w:val="00FF6138"/>
    <w:rsid w:val="00FF77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F30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BE107C"/>
    <w:rPr>
      <w:sz w:val="16"/>
      <w:szCs w:val="16"/>
    </w:rPr>
  </w:style>
  <w:style w:type="paragraph" w:styleId="CommentText">
    <w:name w:val="annotation text"/>
    <w:basedOn w:val="Normal"/>
    <w:link w:val="CommentTextChar"/>
    <w:rsid w:val="00BE107C"/>
    <w:rPr>
      <w:sz w:val="20"/>
      <w:szCs w:val="20"/>
    </w:rPr>
  </w:style>
  <w:style w:type="character" w:customStyle="1" w:styleId="CommentTextChar">
    <w:name w:val="Comment Text Char"/>
    <w:basedOn w:val="DefaultParagraphFont"/>
    <w:link w:val="CommentText"/>
    <w:rsid w:val="00BE107C"/>
  </w:style>
  <w:style w:type="paragraph" w:styleId="CommentSubject">
    <w:name w:val="annotation subject"/>
    <w:basedOn w:val="CommentText"/>
    <w:next w:val="CommentText"/>
    <w:link w:val="CommentSubjectChar"/>
    <w:rsid w:val="00BE107C"/>
    <w:rPr>
      <w:b/>
      <w:bCs/>
    </w:rPr>
  </w:style>
  <w:style w:type="character" w:customStyle="1" w:styleId="CommentSubjectChar">
    <w:name w:val="Comment Subject Char"/>
    <w:link w:val="CommentSubject"/>
    <w:rsid w:val="00BE107C"/>
    <w:rPr>
      <w:b/>
      <w:bCs/>
    </w:rPr>
  </w:style>
  <w:style w:type="paragraph" w:styleId="Revision">
    <w:name w:val="Revision"/>
    <w:hidden/>
    <w:uiPriority w:val="99"/>
    <w:semiHidden/>
    <w:rsid w:val="0092020F"/>
    <w:rPr>
      <w:sz w:val="24"/>
      <w:szCs w:val="24"/>
    </w:rPr>
  </w:style>
  <w:style w:type="paragraph" w:customStyle="1" w:styleId="indent-2">
    <w:name w:val="indent-2"/>
    <w:basedOn w:val="Normal"/>
    <w:rsid w:val="008A1D14"/>
    <w:pPr>
      <w:spacing w:before="100" w:beforeAutospacing="1" w:after="100" w:afterAutospacing="1"/>
    </w:pPr>
  </w:style>
  <w:style w:type="paragraph" w:customStyle="1" w:styleId="indent-3">
    <w:name w:val="indent-3"/>
    <w:basedOn w:val="Normal"/>
    <w:rsid w:val="008A1D14"/>
    <w:pPr>
      <w:spacing w:before="100" w:beforeAutospacing="1" w:after="100" w:afterAutospacing="1"/>
    </w:pPr>
  </w:style>
  <w:style w:type="character" w:customStyle="1" w:styleId="paragraph-hierarchy">
    <w:name w:val="paragraph-hierarchy"/>
    <w:basedOn w:val="DefaultParagraphFont"/>
    <w:rsid w:val="008A1D14"/>
  </w:style>
  <w:style w:type="character" w:customStyle="1" w:styleId="paren">
    <w:name w:val="paren"/>
    <w:basedOn w:val="DefaultParagraphFont"/>
    <w:rsid w:val="008A1D14"/>
  </w:style>
  <w:style w:type="table" w:customStyle="1" w:styleId="TableGrid1">
    <w:name w:val="Table Grid1"/>
    <w:basedOn w:val="TableNormal"/>
    <w:next w:val="TableGrid"/>
    <w:uiPriority w:val="39"/>
    <w:rsid w:val="006230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D13D0"/>
    <w:rPr>
      <w:sz w:val="20"/>
      <w:szCs w:val="20"/>
    </w:rPr>
  </w:style>
  <w:style w:type="character" w:customStyle="1" w:styleId="FootnoteTextChar">
    <w:name w:val="Footnote Text Char"/>
    <w:basedOn w:val="DefaultParagraphFont"/>
    <w:link w:val="FootnoteText"/>
    <w:rsid w:val="00FD13D0"/>
  </w:style>
  <w:style w:type="character" w:styleId="FootnoteReference">
    <w:name w:val="footnote reference"/>
    <w:basedOn w:val="DefaultParagraphFont"/>
    <w:rsid w:val="00FD1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industry/importing-fda-regulated-products/importing-radiation-emitting-electronic-products" TargetMode="Externa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E91A1-0B0C-4D34-A96C-D2C308F8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2023-01-19T16:39:00Z</dcterms:created>
  <dcterms:modified xsi:type="dcterms:W3CDTF">2023-01-19T17:14:00Z</dcterms:modified>
</cp:coreProperties>
</file>