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7AE6" w:rsidRPr="00F84E18" w:rsidP="000D7AE6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="000D7AE6" w:rsidRPr="00F84E18" w:rsidP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="00366EA5" w:rsidRPr="00F84E18" w:rsidP="000D7AE6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="00533861" w:rsidRPr="00F84E18" w:rsidP="000D7AE6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="00366EA5" w:rsidRPr="00F84E18" w:rsidP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="00366EA5" w:rsidRPr="00F84E18" w:rsidP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023E77" w:rsidRPr="00F84E18" w:rsidP="00366EA5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="00182C91" w:rsidRPr="00F84E18" w:rsidP="00366EA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857D80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="00182C91" w:rsidRPr="00F84E18" w:rsidP="00182C9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="00182C91" w:rsidRPr="00F84E18" w:rsidP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="00131599" w:rsidRPr="00F84E18" w:rsidP="00131599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131599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533861" w:rsidRPr="00F84E18" w:rsidP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="00857D80" w:rsidRPr="00F84E18" w:rsidP="00182C91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="00CA76F0" w:rsidRPr="00F84E18" w:rsidP="00182C91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="00857D80" w:rsidRPr="00F84E18" w:rsidP="000D7AE6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F0" w:rsidRPr="00F84E18" w:rsidP="00136FC1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70A" w:rsidRPr="0091770A" w14:paraId="621BF891" w14:textId="598B0D3E">
    <w:pPr>
      <w:pStyle w:val="Header"/>
      <w:rPr>
        <w:rFonts w:ascii="Times New Roman" w:hAnsi="Times New Roman" w:cs="Times New Roman"/>
        <w:sz w:val="24"/>
        <w:szCs w:val="24"/>
      </w:rPr>
    </w:pPr>
    <w:r w:rsidRPr="0091770A">
      <w:rPr>
        <w:rFonts w:ascii="Times New Roman" w:hAnsi="Times New Roman" w:cs="Times New Roman"/>
        <w:sz w:val="24"/>
        <w:szCs w:val="24"/>
      </w:rPr>
      <w:t>Household Pulse Survey Phase 3.</w:t>
    </w:r>
    <w:r w:rsidR="00D82A05">
      <w:rPr>
        <w:rFonts w:ascii="Times New Roman" w:hAnsi="Times New Roman" w:cs="Times New Roman"/>
        <w:sz w:val="24"/>
        <w:szCs w:val="24"/>
      </w:rPr>
      <w:t>7</w:t>
    </w:r>
  </w:p>
  <w:p w:rsidR="0091770A" w14:paraId="5A7DC2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62BE6"/>
    <w:multiLevelType w:val="hybridMultilevel"/>
    <w:tmpl w:val="9BA0C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271B"/>
    <w:multiLevelType w:val="hybridMultilevel"/>
    <w:tmpl w:val="C5D40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E24AD"/>
    <w:multiLevelType w:val="hybridMultilevel"/>
    <w:tmpl w:val="784C6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82A05"/>
    <w:rsid w:val="00D922DB"/>
    <w:rsid w:val="00DA62C4"/>
    <w:rsid w:val="00E515B5"/>
    <w:rsid w:val="00E8543C"/>
    <w:rsid w:val="00E92475"/>
    <w:rsid w:val="00F0420C"/>
    <w:rsid w:val="00F64366"/>
    <w:rsid w:val="00F84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10AB5-B657-441C-A0C2-5CFB9A060BE8}">
  <ds:schemaRefs/>
</ds:datastoreItem>
</file>

<file path=customXml/itemProps2.xml><?xml version="1.0" encoding="utf-8"?>
<ds:datastoreItem xmlns:ds="http://schemas.openxmlformats.org/officeDocument/2006/customXml" ds:itemID="{7F22D9DE-E724-452B-8784-46854C60121F}">
  <ds:schemaRefs/>
</ds:datastoreItem>
</file>

<file path=customXml/itemProps3.xml><?xml version="1.0" encoding="utf-8"?>
<ds:datastoreItem xmlns:ds="http://schemas.openxmlformats.org/officeDocument/2006/customXml" ds:itemID="{AD1120A2-CF40-4239-B70A-D2B24CDE3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Moore (CENSUS/ERD FED)</dc:creator>
  <cp:lastModifiedBy>Cassandra Logan (CENSUS/ADDP FED)</cp:lastModifiedBy>
  <cp:revision>2</cp:revision>
  <dcterms:created xsi:type="dcterms:W3CDTF">2022-10-20T21:03:00Z</dcterms:created>
  <dcterms:modified xsi:type="dcterms:W3CDTF">2022-10-20T21:03:00Z</dcterms:modified>
</cp:coreProperties>
</file>