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D68CB" w:rsidRPr="00A57B9B" w:rsidP="005D68CB" w14:paraId="196BEF12" w14:textId="47A21866">
      <w:pPr>
        <w:spacing w:after="2" w:line="260" w:lineRule="exact"/>
        <w:ind w:right="216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A57B9B">
        <w:rPr>
          <w:rFonts w:ascii="Arial" w:eastAsia="Calibri" w:hAnsi="Arial" w:cs="Arial"/>
          <w:b/>
          <w:bCs/>
          <w:sz w:val="24"/>
          <w:szCs w:val="24"/>
        </w:rPr>
        <w:t>White Paper</w:t>
      </w:r>
    </w:p>
    <w:p w:rsidR="005D68CB" w:rsidRPr="00A57B9B" w:rsidP="005D68CB" w14:paraId="51339702" w14:textId="3D01DD3F">
      <w:pPr>
        <w:spacing w:after="2" w:line="260" w:lineRule="exact"/>
        <w:ind w:right="216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A57B9B">
        <w:rPr>
          <w:rFonts w:ascii="Arial" w:eastAsia="Calibri" w:hAnsi="Arial" w:cs="Arial"/>
          <w:b/>
          <w:bCs/>
          <w:sz w:val="24"/>
          <w:szCs w:val="24"/>
        </w:rPr>
        <w:t xml:space="preserve">OMB </w:t>
      </w:r>
      <w:r w:rsidR="00233FC1">
        <w:rPr>
          <w:rFonts w:ascii="Arial" w:eastAsia="Calibri" w:hAnsi="Arial" w:cs="Arial"/>
          <w:b/>
          <w:bCs/>
          <w:sz w:val="24"/>
          <w:szCs w:val="24"/>
        </w:rPr>
        <w:t>#</w:t>
      </w:r>
      <w:r w:rsidRPr="00A57B9B" w:rsidR="009359C5">
        <w:rPr>
          <w:rFonts w:ascii="Arial" w:eastAsia="Calibri" w:hAnsi="Arial" w:cs="Arial"/>
          <w:b/>
          <w:bCs/>
          <w:sz w:val="24"/>
          <w:szCs w:val="24"/>
        </w:rPr>
        <w:t>2900-0515</w:t>
      </w:r>
    </w:p>
    <w:p w:rsidR="00233FC1" w:rsidP="005D68CB" w14:paraId="086E1CA5" w14:textId="709C7358">
      <w:pPr>
        <w:spacing w:after="2" w:line="260" w:lineRule="exact"/>
        <w:ind w:right="216"/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Maintenance of Records </w:t>
      </w:r>
    </w:p>
    <w:p w:rsidR="005D68CB" w:rsidRPr="002C51F2" w:rsidP="005D68CB" w14:paraId="5CBF4B12" w14:textId="1620EE99">
      <w:pPr>
        <w:spacing w:after="2" w:line="260" w:lineRule="exact"/>
        <w:ind w:right="216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A57B9B">
        <w:rPr>
          <w:rFonts w:ascii="Arial" w:eastAsia="Calibri" w:hAnsi="Arial" w:cs="Arial"/>
          <w:b/>
          <w:bCs/>
          <w:sz w:val="24"/>
          <w:szCs w:val="24"/>
        </w:rPr>
        <w:t>38 C.F.R. §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36.4333</w:t>
      </w:r>
    </w:p>
    <w:p w:rsidR="005D68CB" w:rsidRPr="005D68CB" w:rsidP="005D68CB" w14:paraId="73C80A36" w14:textId="74B9D06C">
      <w:pPr>
        <w:spacing w:after="2" w:line="260" w:lineRule="exact"/>
        <w:ind w:right="216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2C51F2">
        <w:rPr>
          <w:rFonts w:ascii="Arial" w:eastAsia="Calibri" w:hAnsi="Arial" w:cs="Arial"/>
          <w:b/>
          <w:bCs/>
          <w:sz w:val="24"/>
          <w:szCs w:val="24"/>
        </w:rPr>
        <w:t>Non-substantive/Non-material change</w:t>
      </w:r>
    </w:p>
    <w:p w:rsidR="005D68CB" w:rsidRPr="002C51F2" w:rsidP="005D68CB" w14:paraId="233A4512" w14:textId="77777777">
      <w:pPr>
        <w:spacing w:after="2" w:line="260" w:lineRule="exact"/>
        <w:ind w:right="216"/>
        <w:rPr>
          <w:rFonts w:ascii="Arial" w:eastAsia="Calibri" w:hAnsi="Arial" w:cs="Arial"/>
          <w:sz w:val="24"/>
          <w:szCs w:val="24"/>
        </w:rPr>
      </w:pPr>
    </w:p>
    <w:p w:rsidR="00CF520F" w:rsidP="00CF520F" w14:paraId="2AD7E09E" w14:textId="0216888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The U.S. Department of Veterans Affairs (VA) </w:t>
      </w:r>
      <w:r w:rsidR="007E6597">
        <w:rPr>
          <w:rFonts w:ascii="Arial" w:eastAsia="Calibri" w:hAnsi="Arial" w:cs="Arial"/>
          <w:sz w:val="24"/>
          <w:szCs w:val="24"/>
        </w:rPr>
        <w:t>L</w:t>
      </w:r>
      <w:r>
        <w:rPr>
          <w:rFonts w:ascii="Arial" w:eastAsia="Calibri" w:hAnsi="Arial" w:cs="Arial"/>
          <w:sz w:val="24"/>
          <w:szCs w:val="24"/>
        </w:rPr>
        <w:t xml:space="preserve">oan </w:t>
      </w:r>
      <w:r w:rsidR="007E6597">
        <w:rPr>
          <w:rFonts w:ascii="Arial" w:eastAsia="Calibri" w:hAnsi="Arial" w:cs="Arial"/>
          <w:sz w:val="24"/>
          <w:szCs w:val="24"/>
        </w:rPr>
        <w:t>G</w:t>
      </w:r>
      <w:r>
        <w:rPr>
          <w:rFonts w:ascii="Arial" w:eastAsia="Calibri" w:hAnsi="Arial" w:cs="Arial"/>
          <w:sz w:val="24"/>
          <w:szCs w:val="24"/>
        </w:rPr>
        <w:t>uaranty Service (LGY)</w:t>
      </w:r>
      <w:r w:rsidR="007E6597">
        <w:rPr>
          <w:rFonts w:ascii="Arial" w:eastAsia="Calibri" w:hAnsi="Arial" w:cs="Arial"/>
          <w:sz w:val="24"/>
          <w:szCs w:val="24"/>
        </w:rPr>
        <w:t xml:space="preserve"> collection of information associated with </w:t>
      </w:r>
      <w:r w:rsidR="00FC5119">
        <w:rPr>
          <w:rFonts w:ascii="Arial" w:eastAsia="Calibri" w:hAnsi="Arial" w:cs="Arial"/>
          <w:sz w:val="24"/>
          <w:szCs w:val="24"/>
        </w:rPr>
        <w:t xml:space="preserve">VA’s Pre-Closing API </w:t>
      </w:r>
      <w:r w:rsidR="007E6597">
        <w:rPr>
          <w:rFonts w:ascii="Arial" w:eastAsia="Calibri" w:hAnsi="Arial" w:cs="Arial"/>
          <w:sz w:val="24"/>
          <w:szCs w:val="24"/>
        </w:rPr>
        <w:t xml:space="preserve">is currently approved under OMB control number 2900-0515. </w:t>
      </w:r>
      <w:r>
        <w:rPr>
          <w:rFonts w:ascii="Arial" w:eastAsia="Calibri" w:hAnsi="Arial" w:cs="Arial"/>
          <w:sz w:val="24"/>
          <w:szCs w:val="24"/>
        </w:rPr>
        <w:t>The current approval in</w:t>
      </w:r>
      <w:r w:rsidR="009F5187">
        <w:rPr>
          <w:rFonts w:ascii="Arial" w:eastAsia="Calibri" w:hAnsi="Arial" w:cs="Arial"/>
          <w:sz w:val="24"/>
          <w:szCs w:val="24"/>
        </w:rPr>
        <w:t xml:space="preserve">dicates VA’s intention to offer </w:t>
      </w:r>
      <w:r>
        <w:rPr>
          <w:rFonts w:ascii="Arial" w:eastAsia="Calibri" w:hAnsi="Arial" w:cs="Arial"/>
          <w:sz w:val="24"/>
          <w:szCs w:val="24"/>
        </w:rPr>
        <w:t>lender</w:t>
      </w:r>
      <w:r w:rsidR="009F5187">
        <w:rPr>
          <w:rFonts w:ascii="Arial" w:eastAsia="Calibri" w:hAnsi="Arial" w:cs="Arial"/>
          <w:sz w:val="24"/>
          <w:szCs w:val="24"/>
        </w:rPr>
        <w:t xml:space="preserve">s an opportunity to obtain pre-closing feedback regarding certain VA loan requirements, such as maximum guaranty and funding fee amounts, </w:t>
      </w:r>
      <w:r w:rsidR="00FC5119">
        <w:rPr>
          <w:rFonts w:ascii="Arial" w:eastAsia="Calibri" w:hAnsi="Arial" w:cs="Arial"/>
          <w:sz w:val="24"/>
          <w:szCs w:val="24"/>
        </w:rPr>
        <w:t>by providing certain loan information to VA</w:t>
      </w:r>
      <w:r w:rsidR="009F5187">
        <w:rPr>
          <w:rFonts w:ascii="Arial" w:eastAsia="Calibri" w:hAnsi="Arial" w:cs="Arial"/>
          <w:sz w:val="24"/>
          <w:szCs w:val="24"/>
        </w:rPr>
        <w:t>.</w:t>
      </w:r>
      <w:r w:rsidR="00FC5119">
        <w:rPr>
          <w:rFonts w:ascii="Arial" w:eastAsia="Calibri" w:hAnsi="Arial" w:cs="Arial"/>
          <w:sz w:val="24"/>
          <w:szCs w:val="24"/>
        </w:rPr>
        <w:t xml:space="preserve"> </w:t>
      </w:r>
      <w:r w:rsidR="00FC5119">
        <w:rPr>
          <w:rFonts w:ascii="Arial" w:eastAsia="Calibri" w:hAnsi="Arial" w:cs="Arial"/>
          <w:sz w:val="24"/>
          <w:szCs w:val="24"/>
        </w:rPr>
        <w:t>Use of the Pre-Closing API is completely voluntary</w:t>
      </w:r>
      <w:r w:rsidR="0039195A">
        <w:rPr>
          <w:rFonts w:ascii="Arial" w:eastAsia="Calibri" w:hAnsi="Arial" w:cs="Arial"/>
          <w:sz w:val="24"/>
          <w:szCs w:val="24"/>
        </w:rPr>
        <w:t xml:space="preserve"> </w:t>
      </w:r>
      <w:r w:rsidR="0039195A">
        <w:rPr>
          <w:rFonts w:ascii="Arial" w:eastAsia="Calibri" w:hAnsi="Arial" w:cs="Arial"/>
          <w:sz w:val="24"/>
          <w:szCs w:val="24"/>
        </w:rPr>
        <w:t>and</w:t>
      </w:r>
      <w:r w:rsidR="006C6553">
        <w:rPr>
          <w:rFonts w:ascii="Arial" w:eastAsia="Calibri" w:hAnsi="Arial" w:cs="Arial"/>
          <w:sz w:val="24"/>
          <w:szCs w:val="24"/>
        </w:rPr>
        <w:t xml:space="preserve"> is strictly a tool the lender may use to review whether information provided at the time of submission conforms with VA requirements. It</w:t>
      </w:r>
      <w:r w:rsidR="0039195A">
        <w:rPr>
          <w:rFonts w:ascii="Arial" w:eastAsia="Calibri" w:hAnsi="Arial" w:cs="Arial"/>
          <w:sz w:val="24"/>
          <w:szCs w:val="24"/>
        </w:rPr>
        <w:t xml:space="preserve"> will not confer any kind of promise by VA or expectation to lenders of guaranty certainty</w:t>
      </w:r>
      <w:r w:rsidR="00FC5119">
        <w:rPr>
          <w:rFonts w:ascii="Arial" w:eastAsia="Calibri" w:hAnsi="Arial" w:cs="Arial"/>
          <w:sz w:val="24"/>
          <w:szCs w:val="24"/>
        </w:rPr>
        <w:t>.</w:t>
      </w:r>
    </w:p>
    <w:p w:rsidR="00CF520F" w:rsidP="001C0253" w14:paraId="2EFF4FDF" w14:textId="7777777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39195A" w:rsidP="009F5187" w14:paraId="1D71140C" w14:textId="60AE2967">
      <w:pPr>
        <w:spacing w:after="12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In the approved collection</w:t>
      </w:r>
      <w:r w:rsidR="00A72B0B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VA </w:t>
      </w:r>
      <w:r w:rsidR="00322780">
        <w:rPr>
          <w:rFonts w:ascii="Arial" w:eastAsia="Calibri" w:hAnsi="Arial" w:cs="Arial"/>
          <w:sz w:val="24"/>
          <w:szCs w:val="24"/>
        </w:rPr>
        <w:t>notes that lender</w:t>
      </w:r>
      <w:r w:rsidR="00A72B0B">
        <w:rPr>
          <w:rFonts w:ascii="Arial" w:eastAsia="Calibri" w:hAnsi="Arial" w:cs="Arial"/>
          <w:sz w:val="24"/>
          <w:szCs w:val="24"/>
        </w:rPr>
        <w:t>s</w:t>
      </w:r>
      <w:r w:rsidR="00322780">
        <w:rPr>
          <w:rFonts w:ascii="Arial" w:eastAsia="Calibri" w:hAnsi="Arial" w:cs="Arial"/>
          <w:sz w:val="24"/>
          <w:szCs w:val="24"/>
        </w:rPr>
        <w:t xml:space="preserve"> will need to provide certain pre-closing loan information, including the Uniform Closing Dataset and Uniform Loan Application Dataset. </w:t>
      </w:r>
      <w:r w:rsidR="000E1722">
        <w:rPr>
          <w:rFonts w:ascii="Arial" w:eastAsia="Calibri" w:hAnsi="Arial" w:cs="Arial"/>
          <w:sz w:val="24"/>
          <w:szCs w:val="24"/>
        </w:rPr>
        <w:t xml:space="preserve">Through this non-substantive change, </w:t>
      </w:r>
      <w:r>
        <w:rPr>
          <w:rFonts w:ascii="Arial" w:eastAsia="Calibri" w:hAnsi="Arial" w:cs="Arial"/>
          <w:sz w:val="24"/>
          <w:szCs w:val="24"/>
        </w:rPr>
        <w:t>VA wishes to provide</w:t>
      </w:r>
      <w:r w:rsidR="006C6553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technical specifications to lenders regarding the type and format of information necessary to call the Pre-Closing API</w:t>
      </w:r>
      <w:r w:rsidR="00A72B0B">
        <w:rPr>
          <w:rFonts w:ascii="Arial" w:eastAsia="Calibri" w:hAnsi="Arial" w:cs="Arial"/>
          <w:sz w:val="24"/>
          <w:szCs w:val="24"/>
        </w:rPr>
        <w:t>. Th</w:t>
      </w:r>
      <w:r w:rsidR="000E1722">
        <w:rPr>
          <w:rFonts w:ascii="Arial" w:eastAsia="Calibri" w:hAnsi="Arial" w:cs="Arial"/>
          <w:sz w:val="24"/>
          <w:szCs w:val="24"/>
        </w:rPr>
        <w:t>e attached spreadsheet should provide</w:t>
      </w:r>
      <w:r w:rsidR="00FA1916">
        <w:rPr>
          <w:rFonts w:ascii="Arial" w:eastAsia="Calibri" w:hAnsi="Arial" w:cs="Arial"/>
          <w:sz w:val="24"/>
          <w:szCs w:val="24"/>
        </w:rPr>
        <w:t xml:space="preserve"> additional clarity to stakeholders regarding th</w:t>
      </w:r>
      <w:r w:rsidR="000E1722">
        <w:rPr>
          <w:rFonts w:ascii="Arial" w:eastAsia="Calibri" w:hAnsi="Arial" w:cs="Arial"/>
          <w:sz w:val="24"/>
          <w:szCs w:val="24"/>
        </w:rPr>
        <w:t>e API</w:t>
      </w:r>
      <w:r w:rsidR="00FA1916">
        <w:rPr>
          <w:rFonts w:ascii="Arial" w:eastAsia="Calibri" w:hAnsi="Arial" w:cs="Arial"/>
          <w:sz w:val="24"/>
          <w:szCs w:val="24"/>
        </w:rPr>
        <w:t xml:space="preserve">. </w:t>
      </w:r>
    </w:p>
    <w:p w:rsidR="00613422" w:rsidP="00613422" w14:paraId="093A7753" w14:textId="73F1C6E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203C7" w:rsidRPr="00613422" w:rsidP="00613422" w14:paraId="19CC28CE" w14:textId="099050D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B965BD" w14:paraId="47F9E134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6006199"/>
    <w:multiLevelType w:val="hybridMultilevel"/>
    <w:tmpl w:val="DE02A8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CB"/>
    <w:rsid w:val="00060E71"/>
    <w:rsid w:val="000E1722"/>
    <w:rsid w:val="001203C7"/>
    <w:rsid w:val="001715E3"/>
    <w:rsid w:val="001861BF"/>
    <w:rsid w:val="001B7C81"/>
    <w:rsid w:val="001C0253"/>
    <w:rsid w:val="00233FC1"/>
    <w:rsid w:val="002C51F2"/>
    <w:rsid w:val="002E2A9B"/>
    <w:rsid w:val="003158F1"/>
    <w:rsid w:val="00322780"/>
    <w:rsid w:val="003357A1"/>
    <w:rsid w:val="0039195A"/>
    <w:rsid w:val="003F7352"/>
    <w:rsid w:val="00484AFF"/>
    <w:rsid w:val="005D1652"/>
    <w:rsid w:val="005D68CB"/>
    <w:rsid w:val="00613422"/>
    <w:rsid w:val="006C6553"/>
    <w:rsid w:val="00734378"/>
    <w:rsid w:val="007700AA"/>
    <w:rsid w:val="007E6597"/>
    <w:rsid w:val="008059DC"/>
    <w:rsid w:val="008B1848"/>
    <w:rsid w:val="009359C5"/>
    <w:rsid w:val="009760BE"/>
    <w:rsid w:val="009F5187"/>
    <w:rsid w:val="00A1313F"/>
    <w:rsid w:val="00A23E62"/>
    <w:rsid w:val="00A556AF"/>
    <w:rsid w:val="00A57B9B"/>
    <w:rsid w:val="00A607E8"/>
    <w:rsid w:val="00A72B0B"/>
    <w:rsid w:val="00A84458"/>
    <w:rsid w:val="00B21B86"/>
    <w:rsid w:val="00B552BE"/>
    <w:rsid w:val="00B965BD"/>
    <w:rsid w:val="00C575A1"/>
    <w:rsid w:val="00CF520F"/>
    <w:rsid w:val="00D1391A"/>
    <w:rsid w:val="00FA1916"/>
    <w:rsid w:val="00FC2CEE"/>
    <w:rsid w:val="00FC5119"/>
    <w:rsid w:val="00FF3C6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0C1D183"/>
  <w15:chartTrackingRefBased/>
  <w15:docId w15:val="{4BCFCF78-CBE2-41EE-AF41-5536FC9B0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5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Kawakami, Araceli, VBAVACO</dc:creator>
  <cp:lastModifiedBy>Sborz, Heather L., VBAPHNX</cp:lastModifiedBy>
  <cp:revision>4</cp:revision>
  <dcterms:created xsi:type="dcterms:W3CDTF">2022-10-17T16:07:00Z</dcterms:created>
  <dcterms:modified xsi:type="dcterms:W3CDTF">2022-10-17T19:16:00Z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ActionId">
    <vt:lpwstr>fab225fe-2b29-423e-b1c8-3156e8c91a8e</vt:lpwstr>
  </property>
  <property fmtid="{D5CDD505-2E9C-101B-9397-08002B2CF9AE}" pid="3" name="MSIP_Label_ea60d57e-af5b-4752-ac57-3e4f28ca11dc_ContentBits">
    <vt:lpwstr>0</vt:lpwstr>
  </property>
  <property fmtid="{D5CDD505-2E9C-101B-9397-08002B2CF9AE}" pid="4" name="MSIP_Label_ea60d57e-af5b-4752-ac57-3e4f28ca11dc_Enabled">
    <vt:lpwstr>true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etDate">
    <vt:lpwstr>2022-01-26T16:50:40Z</vt:lpwstr>
  </property>
  <property fmtid="{D5CDD505-2E9C-101B-9397-08002B2CF9AE}" pid="8" name="MSIP_Label_ea60d57e-af5b-4752-ac57-3e4f28ca11dc_SiteId">
    <vt:lpwstr>36da45f1-dd2c-4d1f-af13-5abe46b99921</vt:lpwstr>
  </property>
</Properties>
</file>