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53E6" w:rsidRPr="00A553E6" w:rsidP="00A553E6" w14:paraId="2D19E7FB" w14:textId="77777777">
      <w:pPr>
        <w:pStyle w:val="CommentText"/>
        <w:rPr>
          <w:rFonts w:eastAsia="Calibri"/>
          <w:color w:val="000000"/>
          <w:sz w:val="24"/>
          <w:szCs w:val="24"/>
        </w:rPr>
      </w:pPr>
      <w:r w:rsidRPr="00A553E6">
        <w:rPr>
          <w:rFonts w:eastAsia="Calibri"/>
          <w:color w:val="000000"/>
          <w:sz w:val="24"/>
          <w:szCs w:val="24"/>
        </w:rPr>
        <w:t>Ms. Swati Patel</w:t>
      </w:r>
    </w:p>
    <w:p w:rsidR="00A553E6" w:rsidRPr="00A553E6" w:rsidP="00A553E6" w14:paraId="55E54EC4" w14:textId="77777777">
      <w:pPr>
        <w:pStyle w:val="CommentText"/>
        <w:rPr>
          <w:rFonts w:eastAsia="Calibri"/>
          <w:color w:val="000000"/>
          <w:sz w:val="24"/>
          <w:szCs w:val="24"/>
        </w:rPr>
      </w:pPr>
      <w:r w:rsidRPr="00A553E6">
        <w:rPr>
          <w:rFonts w:eastAsia="Calibri"/>
          <w:color w:val="000000"/>
          <w:sz w:val="24"/>
          <w:szCs w:val="24"/>
        </w:rPr>
        <w:t>Policy Analyst</w:t>
      </w:r>
    </w:p>
    <w:p w:rsidR="00A553E6" w:rsidRPr="00A553E6" w:rsidP="00A553E6" w14:paraId="590B9316" w14:textId="77777777">
      <w:pPr>
        <w:pStyle w:val="CommentText"/>
        <w:rPr>
          <w:rFonts w:eastAsia="Calibri"/>
          <w:color w:val="000000"/>
          <w:sz w:val="24"/>
          <w:szCs w:val="24"/>
        </w:rPr>
      </w:pPr>
      <w:r w:rsidRPr="00A553E6">
        <w:rPr>
          <w:rFonts w:eastAsia="Calibri"/>
          <w:color w:val="000000"/>
          <w:sz w:val="24"/>
          <w:szCs w:val="24"/>
        </w:rPr>
        <w:t>Office of Information and Regulatory Affairs</w:t>
      </w:r>
    </w:p>
    <w:p w:rsidR="00A553E6" w:rsidRPr="00A553E6" w:rsidP="00A553E6" w14:paraId="2C16A3B0" w14:textId="77777777">
      <w:pPr>
        <w:pStyle w:val="CommentText"/>
        <w:rPr>
          <w:rFonts w:eastAsia="Calibri"/>
          <w:color w:val="000000"/>
          <w:sz w:val="24"/>
          <w:szCs w:val="24"/>
        </w:rPr>
      </w:pPr>
      <w:r w:rsidRPr="00A553E6">
        <w:rPr>
          <w:rFonts w:eastAsia="Calibri"/>
          <w:color w:val="000000"/>
          <w:sz w:val="24"/>
          <w:szCs w:val="24"/>
        </w:rPr>
        <w:t>Office of Management and Budget</w:t>
      </w:r>
    </w:p>
    <w:p w:rsidR="00080FA3" w:rsidP="00A553E6" w14:paraId="35B533FD" w14:textId="375189C4">
      <w:pPr>
        <w:pStyle w:val="CommentText"/>
        <w:rPr>
          <w:rFonts w:eastAsia="Calibri"/>
          <w:color w:val="000000"/>
          <w:sz w:val="24"/>
          <w:szCs w:val="24"/>
        </w:rPr>
      </w:pPr>
      <w:r w:rsidRPr="00A553E6">
        <w:rPr>
          <w:rFonts w:eastAsia="Calibri"/>
          <w:color w:val="000000"/>
          <w:sz w:val="24"/>
          <w:szCs w:val="24"/>
        </w:rPr>
        <w:t>Executive Office of the President</w:t>
      </w:r>
    </w:p>
    <w:p w:rsidR="00A553E6" w:rsidP="00A553E6" w14:paraId="4E1EF1C1" w14:textId="142D52E1">
      <w:pPr>
        <w:pStyle w:val="CommentText"/>
        <w:rPr>
          <w:rFonts w:eastAsia="Calibri"/>
          <w:color w:val="000000"/>
          <w:sz w:val="24"/>
          <w:szCs w:val="24"/>
        </w:rPr>
      </w:pPr>
    </w:p>
    <w:p w:rsidR="00A553E6" w:rsidRPr="006E5C92" w:rsidP="00A553E6" w14:paraId="29D14C72" w14:textId="77777777">
      <w:pPr>
        <w:pStyle w:val="CommentText"/>
        <w:rPr>
          <w:sz w:val="24"/>
          <w:szCs w:val="24"/>
        </w:rPr>
      </w:pPr>
    </w:p>
    <w:p w:rsidR="00080FA3" w:rsidRPr="006E5C92" w:rsidP="009608CD" w14:paraId="0583CD66" w14:textId="3E64E3CA">
      <w:pPr>
        <w:pStyle w:val="CommentText"/>
        <w:rPr>
          <w:sz w:val="24"/>
          <w:szCs w:val="24"/>
        </w:rPr>
      </w:pPr>
      <w:r w:rsidRPr="006E5C92">
        <w:rPr>
          <w:sz w:val="24"/>
          <w:szCs w:val="24"/>
        </w:rPr>
        <w:t>This is a request for Office of Management and Budget (OMB) emergency clearance for a new information collection request (ICR) to enable the Department of Transportation</w:t>
      </w:r>
      <w:r w:rsidRPr="006E5C92" w:rsidR="00D27E57">
        <w:rPr>
          <w:sz w:val="24"/>
          <w:szCs w:val="24"/>
        </w:rPr>
        <w:t xml:space="preserve"> (DOT)</w:t>
      </w:r>
      <w:r w:rsidRPr="006E5C92">
        <w:rPr>
          <w:sz w:val="24"/>
          <w:szCs w:val="24"/>
        </w:rPr>
        <w:t xml:space="preserve"> Federal Highway Administration (FHWA) to implement the</w:t>
      </w:r>
      <w:r w:rsidRPr="006E5C92" w:rsidR="00DF58C8">
        <w:rPr>
          <w:sz w:val="24"/>
          <w:szCs w:val="24"/>
        </w:rPr>
        <w:t xml:space="preserve"> Charging and Fueling Infrastructure Discretionary Grant Program. This program provides two grant categories: (1) Community Program</w:t>
      </w:r>
      <w:r w:rsidRPr="006E5C92" w:rsidR="005F312A">
        <w:rPr>
          <w:sz w:val="24"/>
          <w:szCs w:val="24"/>
        </w:rPr>
        <w:t xml:space="preserve"> </w:t>
      </w:r>
      <w:r w:rsidRPr="006E5C92" w:rsidR="00DF58C8">
        <w:rPr>
          <w:sz w:val="24"/>
          <w:szCs w:val="24"/>
        </w:rPr>
        <w:t xml:space="preserve">and (2) Corridor Program. </w:t>
      </w:r>
      <w:r w:rsidRPr="006E5C92" w:rsidR="00FE72B7">
        <w:rPr>
          <w:sz w:val="24"/>
          <w:szCs w:val="24"/>
        </w:rPr>
        <w:t xml:space="preserve">The CFI was authorized </w:t>
      </w:r>
      <w:r w:rsidRPr="006E5C92" w:rsidR="0043385D">
        <w:rPr>
          <w:sz w:val="24"/>
          <w:szCs w:val="24"/>
        </w:rPr>
        <w:t>in the B</w:t>
      </w:r>
      <w:r w:rsidRPr="006E5C92" w:rsidR="002B6C2D">
        <w:rPr>
          <w:sz w:val="24"/>
          <w:szCs w:val="24"/>
        </w:rPr>
        <w:t xml:space="preserve">ipartisan Infrastructure Law (BIL), enacted as the </w:t>
      </w:r>
      <w:r w:rsidRPr="006E5C92">
        <w:rPr>
          <w:sz w:val="24"/>
          <w:szCs w:val="24"/>
        </w:rPr>
        <w:t xml:space="preserve">Infrastructure Investment and Jobs Act (Act) (Pub. L. 117-58) on November 15, 2021.  This historic Act </w:t>
      </w:r>
      <w:bookmarkStart w:id="0" w:name="_Hlk100824525"/>
      <w:r w:rsidRPr="006E5C92">
        <w:rPr>
          <w:sz w:val="24"/>
          <w:szCs w:val="24"/>
        </w:rPr>
        <w:t>is a once-in-a-generation opportunity to support transformational investments in our Nation’s transportation infrastructure that will create good jobs, modernize our infrastructure, improve safety, tackle the climate crisis, and invest in communities that have too often been left behind</w:t>
      </w:r>
      <w:r w:rsidRPr="006E5C92" w:rsidR="23B9765C">
        <w:rPr>
          <w:sz w:val="24"/>
          <w:szCs w:val="24"/>
        </w:rPr>
        <w:t xml:space="preserve">.  </w:t>
      </w:r>
      <w:bookmarkEnd w:id="0"/>
      <w:r w:rsidRPr="006E5C92" w:rsidR="34666CBD">
        <w:rPr>
          <w:sz w:val="24"/>
          <w:szCs w:val="24"/>
        </w:rPr>
        <w:t>Th</w:t>
      </w:r>
      <w:r w:rsidRPr="006E5C92" w:rsidR="0031121D">
        <w:rPr>
          <w:sz w:val="24"/>
          <w:szCs w:val="24"/>
        </w:rPr>
        <w:t xml:space="preserve">e program will strategically deploy publicly accessible </w:t>
      </w:r>
      <w:r w:rsidRPr="006E5C92" w:rsidR="26252C57">
        <w:rPr>
          <w:sz w:val="24"/>
          <w:szCs w:val="24"/>
        </w:rPr>
        <w:t>electric vehicle charging infrastructure, and hydrogen, propane, or natural gas fueling infrastructure</w:t>
      </w:r>
      <w:r w:rsidRPr="006E5C92" w:rsidR="11CB84B2">
        <w:rPr>
          <w:sz w:val="24"/>
          <w:szCs w:val="24"/>
        </w:rPr>
        <w:t xml:space="preserve"> </w:t>
      </w:r>
      <w:r w:rsidRPr="006E5C92" w:rsidR="0031121D">
        <w:rPr>
          <w:sz w:val="24"/>
          <w:szCs w:val="24"/>
        </w:rPr>
        <w:t>along des</w:t>
      </w:r>
      <w:r w:rsidRPr="006E5C92" w:rsidR="0031121D">
        <w:rPr>
          <w:rStyle w:val="normaltextrun"/>
          <w:sz w:val="24"/>
          <w:szCs w:val="24"/>
          <w:shd w:val="clear" w:color="auto" w:fill="FFFFFF"/>
        </w:rPr>
        <w:t xml:space="preserve">ignated alternative fuel corridors or in </w:t>
      </w:r>
      <w:r w:rsidRPr="006E5C92" w:rsidR="00A8604B">
        <w:rPr>
          <w:rStyle w:val="normaltextrun"/>
          <w:sz w:val="24"/>
          <w:szCs w:val="24"/>
          <w:shd w:val="clear" w:color="auto" w:fill="FFFFFF"/>
        </w:rPr>
        <w:t xml:space="preserve">community </w:t>
      </w:r>
      <w:r w:rsidRPr="006E5C92" w:rsidR="0031121D">
        <w:rPr>
          <w:rStyle w:val="normaltextrun"/>
          <w:sz w:val="24"/>
          <w:szCs w:val="24"/>
          <w:shd w:val="clear" w:color="auto" w:fill="FFFFFF"/>
        </w:rPr>
        <w:t>locations that will be accessible to all drivers of electric vehicles, hydrogen vehicles, propane vehicles, and natural gas vehicles.</w:t>
      </w:r>
      <w:r w:rsidRPr="006E5C92" w:rsidR="0031121D">
        <w:rPr>
          <w:rStyle w:val="eop"/>
          <w:sz w:val="24"/>
          <w:szCs w:val="24"/>
          <w:shd w:val="clear" w:color="auto" w:fill="FFFFFF"/>
        </w:rPr>
        <w:t> </w:t>
      </w:r>
    </w:p>
    <w:p w:rsidR="00A00B79" w:rsidRPr="006E5C92" w:rsidP="00080FA3" w14:paraId="196A7524" w14:textId="77777777">
      <w:pPr>
        <w:pStyle w:val="Default"/>
      </w:pPr>
    </w:p>
    <w:p w:rsidR="00080FA3" w:rsidRPr="006E5C92" w:rsidP="00080FA3" w14:paraId="2C6B7575" w14:textId="77777777">
      <w:pPr>
        <w:pStyle w:val="Default"/>
        <w:rPr>
          <w:b/>
        </w:rPr>
      </w:pPr>
      <w:r w:rsidRPr="006E5C92">
        <w:rPr>
          <w:b/>
        </w:rPr>
        <w:t xml:space="preserve">Critical Nature of the Information Collection Request </w:t>
      </w:r>
    </w:p>
    <w:p w:rsidR="00080FA3" w:rsidRPr="006E5C92" w:rsidP="00080FA3" w14:paraId="3185D435" w14:textId="77777777">
      <w:pPr>
        <w:pStyle w:val="Default"/>
      </w:pPr>
    </w:p>
    <w:p w:rsidR="08711832" w:rsidRPr="006E5C92" w:rsidP="00E0602D" w14:paraId="089D6C53" w14:textId="2EC0A596">
      <w:pPr>
        <w:rPr>
          <w:rFonts w:ascii="Times New Roman" w:hAnsi="Times New Roman" w:eastAsiaTheme="minorEastAsia"/>
          <w:color w:val="000000" w:themeColor="text1"/>
          <w:szCs w:val="24"/>
          <w:lang w:val="en"/>
        </w:rPr>
      </w:pPr>
      <w:r w:rsidRPr="006E5C92">
        <w:rPr>
          <w:rFonts w:ascii="Times New Roman" w:hAnsi="Times New Roman"/>
          <w:szCs w:val="24"/>
        </w:rPr>
        <w:t xml:space="preserve">The </w:t>
      </w:r>
      <w:r w:rsidRPr="006E5C92" w:rsidR="008603CE">
        <w:rPr>
          <w:rFonts w:ascii="Times New Roman" w:hAnsi="Times New Roman"/>
          <w:szCs w:val="24"/>
        </w:rPr>
        <w:t xml:space="preserve">CFI Grant Program </w:t>
      </w:r>
      <w:r w:rsidRPr="006E5C92">
        <w:rPr>
          <w:rFonts w:ascii="Times New Roman" w:hAnsi="Times New Roman"/>
          <w:szCs w:val="24"/>
        </w:rPr>
        <w:t xml:space="preserve">is critical to enabling </w:t>
      </w:r>
      <w:r w:rsidRPr="006E5C92" w:rsidR="00C02C08">
        <w:rPr>
          <w:rFonts w:ascii="Times New Roman" w:hAnsi="Times New Roman"/>
          <w:szCs w:val="24"/>
        </w:rPr>
        <w:t xml:space="preserve">eligible entities </w:t>
      </w:r>
      <w:r w:rsidRPr="006E5C92" w:rsidR="00E9191F">
        <w:rPr>
          <w:rFonts w:ascii="Times New Roman" w:hAnsi="Times New Roman"/>
          <w:szCs w:val="24"/>
        </w:rPr>
        <w:t>to accelerate an electrified and alternative fuel transportation system that is convenient, affordable, reliable, equitable, and safe. This</w:t>
      </w:r>
      <w:r w:rsidRPr="006E5C92" w:rsidR="00F92E46">
        <w:rPr>
          <w:rFonts w:ascii="Times New Roman" w:hAnsi="Times New Roman"/>
          <w:szCs w:val="24"/>
        </w:rPr>
        <w:t xml:space="preserve"> program</w:t>
      </w:r>
      <w:r w:rsidRPr="006E5C92" w:rsidR="00E9191F">
        <w:rPr>
          <w:rFonts w:ascii="Times New Roman" w:hAnsi="Times New Roman"/>
          <w:szCs w:val="24"/>
        </w:rPr>
        <w:t xml:space="preserve"> will support a future where everyone can ride and drive electric and have alternative fuel options.</w:t>
      </w:r>
      <w:r w:rsidRPr="006E5C92" w:rsidR="003808D1">
        <w:rPr>
          <w:rFonts w:ascii="Times New Roman" w:hAnsi="Times New Roman"/>
          <w:szCs w:val="24"/>
        </w:rPr>
        <w:t xml:space="preserve">  </w:t>
      </w:r>
      <w:r w:rsidRPr="006E5C92" w:rsidR="00126BCB">
        <w:rPr>
          <w:rStyle w:val="normaltextrun"/>
          <w:rFonts w:ascii="Times New Roman" w:hAnsi="Times New Roman"/>
          <w:szCs w:val="24"/>
          <w:shd w:val="clear" w:color="auto" w:fill="FFFFFF"/>
        </w:rPr>
        <w:t xml:space="preserve">The FHWA is seeking to award </w:t>
      </w:r>
      <w:r w:rsidRPr="006E5C92" w:rsidR="0015701D">
        <w:rPr>
          <w:rStyle w:val="normaltextrun"/>
          <w:rFonts w:ascii="Times New Roman" w:hAnsi="Times New Roman"/>
          <w:szCs w:val="24"/>
          <w:shd w:val="clear" w:color="auto" w:fill="FFFFFF"/>
        </w:rPr>
        <w:t>CFI</w:t>
      </w:r>
      <w:r w:rsidRPr="006E5C92" w:rsidR="00126BCB">
        <w:rPr>
          <w:rStyle w:val="normaltextrun"/>
          <w:rFonts w:ascii="Times New Roman" w:hAnsi="Times New Roman"/>
          <w:szCs w:val="24"/>
          <w:shd w:val="clear" w:color="auto" w:fill="FFFFFF"/>
        </w:rPr>
        <w:t xml:space="preserve"> projects that </w:t>
      </w:r>
      <w:r w:rsidRPr="006E5C92" w:rsidR="13E52527">
        <w:rPr>
          <w:rStyle w:val="normaltextrun"/>
          <w:rFonts w:ascii="Times New Roman" w:hAnsi="Times New Roman"/>
          <w:szCs w:val="24"/>
          <w:shd w:val="clear" w:color="auto" w:fill="FFFFFF"/>
        </w:rPr>
        <w:t xml:space="preserve">proactively </w:t>
      </w:r>
      <w:r w:rsidRPr="006E5C92" w:rsidR="40A6DA05">
        <w:rPr>
          <w:rStyle w:val="normaltextrun"/>
          <w:rFonts w:ascii="Times New Roman" w:hAnsi="Times New Roman"/>
          <w:szCs w:val="24"/>
          <w:shd w:val="clear" w:color="auto" w:fill="FFFFFF"/>
        </w:rPr>
        <w:t xml:space="preserve">address </w:t>
      </w:r>
      <w:r w:rsidRPr="006E5C92" w:rsidR="00126BCB">
        <w:rPr>
          <w:rStyle w:val="normaltextrun"/>
          <w:rFonts w:ascii="Times New Roman" w:hAnsi="Times New Roman"/>
          <w:szCs w:val="24"/>
          <w:shd w:val="clear" w:color="auto" w:fill="FFFFFF"/>
        </w:rPr>
        <w:t>emission</w:t>
      </w:r>
      <w:r w:rsidRPr="006E5C92" w:rsidR="22B6B299">
        <w:rPr>
          <w:rStyle w:val="normaltextrun"/>
          <w:rFonts w:ascii="Times New Roman" w:hAnsi="Times New Roman"/>
          <w:szCs w:val="24"/>
          <w:shd w:val="clear" w:color="auto" w:fill="FFFFFF"/>
        </w:rPr>
        <w:t xml:space="preserve"> reductions</w:t>
      </w:r>
      <w:r w:rsidRPr="006E5C92" w:rsidR="00126BCB">
        <w:rPr>
          <w:rStyle w:val="normaltextrun"/>
          <w:rFonts w:ascii="Times New Roman" w:hAnsi="Times New Roman"/>
          <w:szCs w:val="24"/>
          <w:shd w:val="clear" w:color="auto" w:fill="FFFFFF"/>
        </w:rPr>
        <w:t xml:space="preserve">, </w:t>
      </w:r>
      <w:r w:rsidRPr="006E5C92" w:rsidR="00D36051">
        <w:rPr>
          <w:rStyle w:val="normaltextrun"/>
          <w:rFonts w:ascii="Times New Roman" w:hAnsi="Times New Roman"/>
          <w:szCs w:val="24"/>
        </w:rPr>
        <w:t>infrastructure</w:t>
      </w:r>
      <w:r w:rsidRPr="006E5C92" w:rsidR="00EF3315">
        <w:rPr>
          <w:rStyle w:val="normaltextrun"/>
          <w:rFonts w:ascii="Times New Roman" w:hAnsi="Times New Roman"/>
          <w:szCs w:val="24"/>
          <w:shd w:val="clear" w:color="auto" w:fill="FFFFFF"/>
        </w:rPr>
        <w:t xml:space="preserve"> </w:t>
      </w:r>
      <w:r w:rsidRPr="006E5C92" w:rsidR="00E0602D">
        <w:rPr>
          <w:rStyle w:val="normaltextrun"/>
          <w:rFonts w:ascii="Times New Roman" w:hAnsi="Times New Roman"/>
          <w:szCs w:val="24"/>
          <w:shd w:val="clear" w:color="auto" w:fill="FFFFFF"/>
        </w:rPr>
        <w:t>reliability</w:t>
      </w:r>
      <w:r w:rsidRPr="006E5C92" w:rsidR="00126BCB">
        <w:rPr>
          <w:rStyle w:val="normaltextrun"/>
          <w:rFonts w:ascii="Times New Roman" w:hAnsi="Times New Roman"/>
          <w:szCs w:val="24"/>
          <w:shd w:val="clear" w:color="auto" w:fill="FFFFFF"/>
        </w:rPr>
        <w:t xml:space="preserve">, </w:t>
      </w:r>
      <w:r w:rsidRPr="006E5C92" w:rsidR="01450E43">
        <w:rPr>
          <w:rStyle w:val="normaltextrun"/>
          <w:rFonts w:ascii="Times New Roman" w:hAnsi="Times New Roman"/>
          <w:szCs w:val="24"/>
          <w:shd w:val="clear" w:color="auto" w:fill="FFFFFF"/>
        </w:rPr>
        <w:t>develop</w:t>
      </w:r>
      <w:r w:rsidRPr="006E5C92" w:rsidR="4D7406CD">
        <w:rPr>
          <w:rStyle w:val="normaltextrun"/>
          <w:rFonts w:ascii="Times New Roman" w:hAnsi="Times New Roman"/>
          <w:szCs w:val="24"/>
          <w:shd w:val="clear" w:color="auto" w:fill="FFFFFF"/>
        </w:rPr>
        <w:t xml:space="preserve">ment of </w:t>
      </w:r>
      <w:r w:rsidRPr="006E5C92" w:rsidR="00126BCB">
        <w:rPr>
          <w:rStyle w:val="normaltextrun"/>
          <w:rFonts w:ascii="Times New Roman" w:hAnsi="Times New Roman"/>
          <w:szCs w:val="24"/>
          <w:shd w:val="clear" w:color="auto" w:fill="FFFFFF"/>
        </w:rPr>
        <w:t xml:space="preserve">a skilled and diverse workforce, </w:t>
      </w:r>
      <w:r w:rsidRPr="006E5C92" w:rsidR="27D6C506">
        <w:rPr>
          <w:rStyle w:val="normaltextrun"/>
          <w:rFonts w:ascii="Times New Roman" w:hAnsi="Times New Roman"/>
          <w:szCs w:val="24"/>
          <w:shd w:val="clear" w:color="auto" w:fill="FFFFFF"/>
        </w:rPr>
        <w:t xml:space="preserve">community engagement </w:t>
      </w:r>
      <w:r w:rsidRPr="006E5C92" w:rsidR="00126BCB">
        <w:rPr>
          <w:rStyle w:val="normaltextrun"/>
          <w:rFonts w:ascii="Times New Roman" w:hAnsi="Times New Roman"/>
          <w:szCs w:val="24"/>
          <w:shd w:val="clear" w:color="auto" w:fill="FFFFFF"/>
        </w:rPr>
        <w:t xml:space="preserve">and </w:t>
      </w:r>
      <w:r w:rsidRPr="006E5C92" w:rsidR="00EF3315">
        <w:rPr>
          <w:rStyle w:val="normaltextrun"/>
          <w:rFonts w:ascii="Times New Roman" w:hAnsi="Times New Roman"/>
          <w:szCs w:val="24"/>
          <w:shd w:val="clear" w:color="auto" w:fill="FFFFFF"/>
        </w:rPr>
        <w:t xml:space="preserve">equity including </w:t>
      </w:r>
      <w:r w:rsidRPr="006E5C92" w:rsidR="00126BCB">
        <w:rPr>
          <w:rStyle w:val="normaltextrun"/>
          <w:rFonts w:ascii="Times New Roman" w:hAnsi="Times New Roman"/>
          <w:szCs w:val="24"/>
          <w:shd w:val="clear" w:color="auto" w:fill="FFFFFF"/>
        </w:rPr>
        <w:t>the decades of underinvestment in disadvantaged communities – communities that are underserved and overburdened.</w:t>
      </w:r>
      <w:r w:rsidRPr="006E5C92" w:rsidR="41B0EF6C">
        <w:rPr>
          <w:rFonts w:ascii="Times New Roman" w:hAnsi="Times New Roman"/>
          <w:szCs w:val="24"/>
        </w:rPr>
        <w:t xml:space="preserve"> </w:t>
      </w:r>
    </w:p>
    <w:p w:rsidR="00E0602D" w:rsidRPr="006E5C92" w:rsidP="006E5C92" w14:paraId="0717B51F" w14:textId="77777777">
      <w:pPr>
        <w:rPr>
          <w:rFonts w:ascii="Times New Roman" w:hAnsi="Times New Roman" w:eastAsiaTheme="minorEastAsia"/>
          <w:color w:val="000000" w:themeColor="text1"/>
          <w:szCs w:val="24"/>
          <w:lang w:val="en"/>
        </w:rPr>
      </w:pPr>
    </w:p>
    <w:p w:rsidR="001874F4" w:rsidRPr="006E5C92" w:rsidP="00080FA3" w14:paraId="71F768A2" w14:textId="40DA29EA">
      <w:pPr>
        <w:pStyle w:val="Default"/>
      </w:pPr>
      <w:r w:rsidRPr="006E5C92">
        <w:t xml:space="preserve">The statutory requirements of the </w:t>
      </w:r>
      <w:r w:rsidRPr="006E5C92" w:rsidR="00123947">
        <w:t xml:space="preserve">CFI </w:t>
      </w:r>
      <w:r w:rsidRPr="006E5C92" w:rsidR="001B1374">
        <w:t xml:space="preserve">Grant Program </w:t>
      </w:r>
      <w:r w:rsidRPr="006E5C92">
        <w:t xml:space="preserve">are found under </w:t>
      </w:r>
      <w:r w:rsidRPr="006E5C92" w:rsidR="005D0E6E">
        <w:t xml:space="preserve">Subtitle D </w:t>
      </w:r>
      <w:r w:rsidRPr="006E5C92" w:rsidR="002B6C2D">
        <w:t>section 11</w:t>
      </w:r>
      <w:r w:rsidRPr="006E5C92" w:rsidR="005D0E6E">
        <w:t>401</w:t>
      </w:r>
      <w:r w:rsidRPr="006E5C92" w:rsidR="002B6C2D">
        <w:t xml:space="preserve"> of </w:t>
      </w:r>
      <w:bookmarkStart w:id="1" w:name="_Hlk103604205"/>
      <w:r w:rsidRPr="006E5C92" w:rsidR="002B6C2D">
        <w:t>the BIL</w:t>
      </w:r>
      <w:bookmarkEnd w:id="1"/>
      <w:r w:rsidRPr="006E5C92" w:rsidR="002B6C2D">
        <w:t xml:space="preserve"> and codified at 23 U.S.C. § 1</w:t>
      </w:r>
      <w:r w:rsidRPr="006E5C92" w:rsidR="005D0E6E">
        <w:t>51</w:t>
      </w:r>
      <w:r w:rsidRPr="006E5C92" w:rsidR="002B6C2D">
        <w:t xml:space="preserve">. </w:t>
      </w:r>
      <w:r w:rsidRPr="006E5C92" w:rsidR="00F777FA">
        <w:t xml:space="preserve">In BIL, Congress authorized </w:t>
      </w:r>
      <w:r w:rsidRPr="006E5C92" w:rsidR="003F4C29">
        <w:t>funding for five Fiscal Years (including FY 2022/2023), totaling up to $2.5B (FY 2022 $300M, FY 2023 $400M, FY 2024 $500M, FY 2025 $600M, and FY 2026 $700M)</w:t>
      </w:r>
      <w:r w:rsidRPr="006E5C92" w:rsidR="00627491">
        <w:t xml:space="preserve"> </w:t>
      </w:r>
      <w:r w:rsidRPr="006E5C92" w:rsidR="00627491">
        <w:rPr>
          <w:rFonts w:eastAsia="Times New Roman"/>
        </w:rPr>
        <w:t>to CFI eligible projects</w:t>
      </w:r>
      <w:r w:rsidRPr="006E5C92" w:rsidR="003F4C29">
        <w:t>. </w:t>
      </w:r>
      <w:r w:rsidRPr="006E5C92" w:rsidR="00F777FA">
        <w:rPr>
          <w:rFonts w:eastAsia="Times New Roman"/>
        </w:rPr>
        <w:t>For FY 2022</w:t>
      </w:r>
      <w:r w:rsidRPr="006E5C92" w:rsidR="0083049A">
        <w:rPr>
          <w:rFonts w:eastAsia="Times New Roman"/>
        </w:rPr>
        <w:t>/2023</w:t>
      </w:r>
      <w:r w:rsidRPr="006E5C92" w:rsidR="00F777FA">
        <w:rPr>
          <w:rFonts w:eastAsia="Times New Roman"/>
        </w:rPr>
        <w:t xml:space="preserve">, a </w:t>
      </w:r>
      <w:r w:rsidRPr="006E5C92" w:rsidR="002B6C2D">
        <w:t>total of $</w:t>
      </w:r>
      <w:r w:rsidRPr="006E5C92" w:rsidR="00BC1C43">
        <w:t>700</w:t>
      </w:r>
      <w:r w:rsidRPr="006E5C92" w:rsidR="00BC7996">
        <w:t xml:space="preserve"> M</w:t>
      </w:r>
      <w:r w:rsidRPr="006E5C92" w:rsidR="002B6C2D">
        <w:t xml:space="preserve"> is available </w:t>
      </w:r>
      <w:r w:rsidRPr="006E5C92" w:rsidR="003F4C29">
        <w:t xml:space="preserve">under one NOFO </w:t>
      </w:r>
      <w:r w:rsidRPr="006E5C92" w:rsidR="002B6C2D">
        <w:t>for awards</w:t>
      </w:r>
      <w:r w:rsidRPr="006E5C92" w:rsidR="00F777FA">
        <w:t xml:space="preserve"> under</w:t>
      </w:r>
      <w:r w:rsidRPr="006E5C92" w:rsidR="0073593D">
        <w:t xml:space="preserve"> two</w:t>
      </w:r>
      <w:r w:rsidRPr="006E5C92" w:rsidR="00F777FA">
        <w:t xml:space="preserve"> funding categories: </w:t>
      </w:r>
      <w:r w:rsidRPr="006E5C92" w:rsidR="00BC1C43">
        <w:t>Co</w:t>
      </w:r>
      <w:r w:rsidRPr="006E5C92" w:rsidR="00960E18">
        <w:t xml:space="preserve">mmunity Program </w:t>
      </w:r>
      <w:r w:rsidRPr="006E5C92" w:rsidR="00BC1C43">
        <w:t>and Co</w:t>
      </w:r>
      <w:r w:rsidRPr="006E5C92" w:rsidR="00506389">
        <w:t>rridor</w:t>
      </w:r>
      <w:r w:rsidRPr="006E5C92" w:rsidR="00BC1C43">
        <w:t xml:space="preserve"> </w:t>
      </w:r>
      <w:r w:rsidRPr="006E5C92" w:rsidR="00F777FA">
        <w:t>Pr</w:t>
      </w:r>
      <w:r w:rsidRPr="006E5C92" w:rsidR="00960E18">
        <w:t>ogram</w:t>
      </w:r>
      <w:r w:rsidRPr="006E5C92" w:rsidR="00F777FA">
        <w:t xml:space="preserve">. </w:t>
      </w:r>
    </w:p>
    <w:p w:rsidR="0591360F" w:rsidRPr="006E5C92" w:rsidP="0591360F" w14:paraId="08E21A0A" w14:textId="3DAEB9EB">
      <w:pPr>
        <w:pStyle w:val="Default"/>
        <w:rPr>
          <w:rFonts w:eastAsia="Times New Roman"/>
        </w:rPr>
      </w:pPr>
    </w:p>
    <w:p w:rsidR="23A2D91A" w:rsidRPr="006E5C92" w:rsidP="009608CD" w14:paraId="72E0076E" w14:textId="7D5700EB">
      <w:pPr>
        <w:pStyle w:val="Default"/>
        <w:rPr>
          <w:rFonts w:eastAsiaTheme="minorEastAsia"/>
          <w:color w:val="000000" w:themeColor="text1"/>
          <w:lang w:val="en"/>
        </w:rPr>
      </w:pPr>
      <w:r w:rsidRPr="006E5C92">
        <w:t>The statute defines eligible applicants</w:t>
      </w:r>
      <w:r w:rsidRPr="006E5C92" w:rsidR="005B3CFC">
        <w:rPr>
          <w:rFonts w:eastAsia="Times New Roman"/>
        </w:rPr>
        <w:t xml:space="preserve"> for the</w:t>
      </w:r>
      <w:r w:rsidRPr="006E5C92">
        <w:t xml:space="preserve"> CFI Grant</w:t>
      </w:r>
      <w:r w:rsidRPr="006E5C92" w:rsidR="001F5CBC">
        <w:t xml:space="preserve"> Program as </w:t>
      </w:r>
      <w:r w:rsidRPr="006E5C92" w:rsidR="001F5CBC">
        <w:rPr>
          <w:rFonts w:eastAsia="Times New Roman"/>
        </w:rPr>
        <w:t>State or political subdivision of a State</w:t>
      </w:r>
      <w:r w:rsidRPr="006E5C92" w:rsidR="00DD39FF">
        <w:rPr>
          <w:rFonts w:eastAsia="Times New Roman"/>
        </w:rPr>
        <w:t>;</w:t>
      </w:r>
      <w:r w:rsidRPr="006E5C92" w:rsidR="001F5CBC">
        <w:rPr>
          <w:rFonts w:eastAsia="Times New Roman"/>
        </w:rPr>
        <w:t xml:space="preserve"> a metropolitan planning organization</w:t>
      </w:r>
      <w:r w:rsidRPr="006E5C92" w:rsidR="00DD39FF">
        <w:rPr>
          <w:rFonts w:eastAsia="Times New Roman"/>
        </w:rPr>
        <w:t>;</w:t>
      </w:r>
      <w:r w:rsidRPr="006E5C92" w:rsidR="001F5CBC">
        <w:rPr>
          <w:rFonts w:eastAsia="Times New Roman"/>
        </w:rPr>
        <w:t xml:space="preserve"> a unit of local government</w:t>
      </w:r>
      <w:r w:rsidRPr="006E5C92" w:rsidR="00DD39FF">
        <w:rPr>
          <w:rFonts w:eastAsia="Times New Roman"/>
        </w:rPr>
        <w:t>;</w:t>
      </w:r>
      <w:r w:rsidRPr="006E5C92" w:rsidR="001F5CBC">
        <w:rPr>
          <w:rFonts w:eastAsia="Times New Roman"/>
        </w:rPr>
        <w:t xml:space="preserve"> a special purpose district or a public authority with a transportation function</w:t>
      </w:r>
      <w:r w:rsidRPr="006E5C92" w:rsidR="00DD39FF">
        <w:rPr>
          <w:rFonts w:eastAsia="Times New Roman"/>
        </w:rPr>
        <w:t>;</w:t>
      </w:r>
      <w:r w:rsidRPr="006E5C92" w:rsidR="001F5CBC">
        <w:rPr>
          <w:rFonts w:eastAsia="Times New Roman"/>
        </w:rPr>
        <w:t xml:space="preserve"> an Indian Tribe</w:t>
      </w:r>
      <w:r w:rsidRPr="006E5C92" w:rsidR="00DD39FF">
        <w:rPr>
          <w:rFonts w:eastAsia="Times New Roman"/>
        </w:rPr>
        <w:t>;</w:t>
      </w:r>
      <w:r w:rsidRPr="006E5C92" w:rsidR="001F5CBC">
        <w:rPr>
          <w:rFonts w:eastAsia="Times New Roman"/>
        </w:rPr>
        <w:t xml:space="preserve"> a territory of the United States</w:t>
      </w:r>
      <w:r w:rsidRPr="006E5C92" w:rsidR="00DD39FF">
        <w:rPr>
          <w:rFonts w:eastAsia="Times New Roman"/>
        </w:rPr>
        <w:t>;</w:t>
      </w:r>
      <w:r w:rsidRPr="006E5C92" w:rsidR="001F5CBC">
        <w:rPr>
          <w:rFonts w:eastAsia="Times New Roman"/>
        </w:rPr>
        <w:t xml:space="preserve"> or an authority, agency, or instrumentality of, or an entity owned by, 1 or more entities described above</w:t>
      </w:r>
      <w:r w:rsidRPr="006E5C92" w:rsidR="00DD39FF">
        <w:rPr>
          <w:rFonts w:eastAsia="Times New Roman"/>
        </w:rPr>
        <w:t>;</w:t>
      </w:r>
      <w:r w:rsidRPr="006E5C92" w:rsidR="001F5CBC">
        <w:rPr>
          <w:rFonts w:eastAsia="Times New Roman"/>
        </w:rPr>
        <w:t xml:space="preserve"> a group of entities as described above</w:t>
      </w:r>
      <w:r w:rsidRPr="006E5C92" w:rsidR="002426D1">
        <w:rPr>
          <w:rFonts w:eastAsia="Times New Roman"/>
        </w:rPr>
        <w:t>;</w:t>
      </w:r>
      <w:r w:rsidRPr="006E5C92" w:rsidR="001F5CBC">
        <w:rPr>
          <w:rFonts w:eastAsia="Times New Roman"/>
        </w:rPr>
        <w:t xml:space="preserve"> and a State or local authority with ownership of publicly accessible transportation facilities (Community Program</w:t>
      </w:r>
      <w:r w:rsidRPr="006E5C92" w:rsidR="001F5CBC">
        <w:rPr>
          <w:color w:val="000000" w:themeColor="text1"/>
        </w:rPr>
        <w:t xml:space="preserve"> only).</w:t>
      </w:r>
    </w:p>
    <w:p w:rsidR="00810708" w:rsidRPr="006E5C92" w:rsidP="00080FA3" w14:paraId="5B99E32E" w14:textId="77777777">
      <w:pPr>
        <w:pStyle w:val="Default"/>
      </w:pPr>
    </w:p>
    <w:p w:rsidR="002B6C2D" w:rsidRPr="006E5C92" w:rsidP="00080FA3" w14:paraId="27277E26" w14:textId="77777777">
      <w:pPr>
        <w:pStyle w:val="Default"/>
      </w:pPr>
    </w:p>
    <w:p w:rsidR="00080FA3" w:rsidRPr="006E5C92" w:rsidP="00080FA3" w14:paraId="6C426CD7" w14:textId="77777777">
      <w:pPr>
        <w:rPr>
          <w:rFonts w:ascii="Times New Roman" w:hAnsi="Times New Roman"/>
          <w:b/>
          <w:szCs w:val="24"/>
        </w:rPr>
      </w:pPr>
      <w:r w:rsidRPr="006E5C92">
        <w:rPr>
          <w:rFonts w:ascii="Times New Roman" w:hAnsi="Times New Roman"/>
          <w:b/>
          <w:szCs w:val="24"/>
        </w:rPr>
        <w:t>Need for Emergency Approval</w:t>
      </w:r>
    </w:p>
    <w:p w:rsidR="00080FA3" w:rsidRPr="006E5C92" w:rsidP="00080FA3" w14:paraId="4B566087" w14:textId="77777777">
      <w:pPr>
        <w:pStyle w:val="Default"/>
        <w:rPr>
          <w:color w:val="auto"/>
        </w:rPr>
      </w:pPr>
    </w:p>
    <w:p w:rsidR="007C4EA5" w:rsidRPr="006E5C92" w:rsidP="00080FA3" w14:paraId="39E6FB7F" w14:textId="34ACED59">
      <w:pPr>
        <w:pStyle w:val="Default"/>
        <w:rPr>
          <w:color w:val="auto"/>
        </w:rPr>
      </w:pPr>
      <w:r w:rsidRPr="006E5C92">
        <w:rPr>
          <w:color w:val="auto"/>
        </w:rPr>
        <w:t>The issuance of the FY 202</w:t>
      </w:r>
      <w:r w:rsidRPr="006E5C92" w:rsidR="04CCDF64">
        <w:rPr>
          <w:color w:val="auto"/>
        </w:rPr>
        <w:t>2</w:t>
      </w:r>
      <w:r w:rsidRPr="006E5C92" w:rsidR="009141C5">
        <w:rPr>
          <w:color w:val="auto"/>
        </w:rPr>
        <w:t>/2023</w:t>
      </w:r>
      <w:r w:rsidRPr="006E5C92">
        <w:rPr>
          <w:color w:val="auto"/>
        </w:rPr>
        <w:t xml:space="preserve"> </w:t>
      </w:r>
      <w:r w:rsidRPr="006E5C92" w:rsidR="009141C5">
        <w:rPr>
          <w:color w:val="auto"/>
        </w:rPr>
        <w:t>CFI</w:t>
      </w:r>
      <w:r w:rsidRPr="006E5C92">
        <w:rPr>
          <w:color w:val="auto"/>
        </w:rPr>
        <w:t xml:space="preserve"> NOFO is a high priority for the Administration so work can begin </w:t>
      </w:r>
      <w:r w:rsidRPr="006E5C92" w:rsidR="00AE0E8F">
        <w:rPr>
          <w:color w:val="auto"/>
        </w:rPr>
        <w:t xml:space="preserve">as soon as possible </w:t>
      </w:r>
      <w:r w:rsidRPr="006E5C92">
        <w:rPr>
          <w:color w:val="auto"/>
        </w:rPr>
        <w:t xml:space="preserve">to </w:t>
      </w:r>
      <w:r w:rsidRPr="006E5C92" w:rsidR="0085213B">
        <w:rPr>
          <w:color w:val="auto"/>
        </w:rPr>
        <w:t xml:space="preserve">improve networks for electric </w:t>
      </w:r>
      <w:r w:rsidRPr="006E5C92" w:rsidR="00A914DF">
        <w:rPr>
          <w:color w:val="auto"/>
        </w:rPr>
        <w:t xml:space="preserve">vehicle charging and </w:t>
      </w:r>
      <w:r w:rsidRPr="006E5C92" w:rsidR="2CFD1366">
        <w:rPr>
          <w:color w:val="auto"/>
        </w:rPr>
        <w:t xml:space="preserve">alternative fuels. </w:t>
      </w:r>
      <w:r w:rsidRPr="006E5C92" w:rsidR="00AE0E8F">
        <w:t>The Administration set an FY 2022</w:t>
      </w:r>
      <w:r w:rsidRPr="006E5C92" w:rsidR="007337BE">
        <w:t xml:space="preserve">/2023 </w:t>
      </w:r>
      <w:r w:rsidRPr="006E5C92" w:rsidR="00AE0E8F">
        <w:t xml:space="preserve">NOFO issuance date of </w:t>
      </w:r>
      <w:r w:rsidRPr="006E5C92" w:rsidR="007337BE">
        <w:t>by the end of the year</w:t>
      </w:r>
      <w:r w:rsidRPr="006E5C92" w:rsidR="002521C4">
        <w:t xml:space="preserve"> </w:t>
      </w:r>
      <w:r w:rsidRPr="006E5C92" w:rsidR="00AE0E8F">
        <w:t xml:space="preserve">and the </w:t>
      </w:r>
      <w:r w:rsidRPr="006E5C92" w:rsidR="003D354B">
        <w:t>FHWA has worked d</w:t>
      </w:r>
      <w:r w:rsidRPr="006E5C92" w:rsidR="00AE0E8F">
        <w:t xml:space="preserve">iligently since the enactment of BIL to develop the </w:t>
      </w:r>
      <w:r w:rsidRPr="006E5C92" w:rsidR="004E263E">
        <w:t xml:space="preserve">CFI Grant Program </w:t>
      </w:r>
      <w:r w:rsidRPr="006E5C92" w:rsidR="00AE0E8F">
        <w:t xml:space="preserve">NOFO </w:t>
      </w:r>
      <w:r w:rsidRPr="006E5C92" w:rsidR="003D354B">
        <w:t xml:space="preserve">as quickly as possible. </w:t>
      </w:r>
      <w:r w:rsidRPr="006E5C92" w:rsidR="00D27E57">
        <w:t xml:space="preserve">The DOT is now ready to issue the </w:t>
      </w:r>
      <w:r w:rsidRPr="003763E8" w:rsidR="00D27E57">
        <w:t xml:space="preserve">NOFO on </w:t>
      </w:r>
      <w:r w:rsidRPr="003763E8" w:rsidR="007337BE">
        <w:t>D</w:t>
      </w:r>
      <w:r w:rsidRPr="003763E8" w:rsidR="00290945">
        <w:t>ecember 31, 2022</w:t>
      </w:r>
      <w:r w:rsidRPr="003763E8" w:rsidR="00D27E57">
        <w:t>.</w:t>
      </w:r>
      <w:r w:rsidRPr="006E5C92" w:rsidR="00D27E57">
        <w:t xml:space="preserve"> </w:t>
      </w:r>
      <w:r w:rsidRPr="006E5C92">
        <w:rPr>
          <w:color w:val="auto"/>
        </w:rPr>
        <w:t xml:space="preserve"> </w:t>
      </w:r>
    </w:p>
    <w:p w:rsidR="007C4EA5" w:rsidRPr="006E5C92" w:rsidP="00080FA3" w14:paraId="39618DC0" w14:textId="77777777">
      <w:pPr>
        <w:pStyle w:val="Default"/>
        <w:rPr>
          <w:color w:val="auto"/>
        </w:rPr>
      </w:pPr>
    </w:p>
    <w:p w:rsidR="00080FA3" w:rsidRPr="006E5C92" w:rsidP="00080FA3" w14:paraId="4BC1EE96" w14:textId="5B67FAF9">
      <w:pPr>
        <w:pStyle w:val="Default"/>
        <w:rPr>
          <w:color w:val="auto"/>
        </w:rPr>
      </w:pPr>
      <w:r w:rsidRPr="006E5C92">
        <w:rPr>
          <w:color w:val="auto"/>
        </w:rPr>
        <w:t xml:space="preserve">The use of normal clearance procedures for ICR approval will prevent the Department from meeting the </w:t>
      </w:r>
      <w:r w:rsidRPr="006E5C92" w:rsidR="00607281">
        <w:rPr>
          <w:color w:val="auto"/>
        </w:rPr>
        <w:t xml:space="preserve">Administration’s </w:t>
      </w:r>
      <w:r w:rsidRPr="006E5C92">
        <w:rPr>
          <w:color w:val="auto"/>
        </w:rPr>
        <w:t xml:space="preserve">deadline. </w:t>
      </w:r>
      <w:r w:rsidRPr="006E5C92">
        <w:t xml:space="preserve">If the Department does not receive emergency approval for this ICR, implementation of the </w:t>
      </w:r>
      <w:r w:rsidRPr="006E5C92" w:rsidR="2B71049F">
        <w:t>CFI</w:t>
      </w:r>
      <w:r w:rsidRPr="006E5C92" w:rsidR="00607281">
        <w:t xml:space="preserve"> </w:t>
      </w:r>
      <w:r w:rsidRPr="006E5C92" w:rsidR="004E50B7">
        <w:t xml:space="preserve">Grant Program </w:t>
      </w:r>
      <w:r w:rsidRPr="006E5C92">
        <w:t xml:space="preserve">will be delayed.  </w:t>
      </w:r>
    </w:p>
    <w:p w:rsidR="00080FA3" w:rsidRPr="006E5C92" w:rsidP="00080FA3" w14:paraId="69EADEA2" w14:textId="77777777">
      <w:pPr>
        <w:pStyle w:val="Default"/>
      </w:pPr>
    </w:p>
    <w:p w:rsidR="00080FA3" w:rsidRPr="006E5C92" w:rsidP="00080FA3" w14:paraId="726BED80" w14:textId="7CD8BCCB">
      <w:pPr>
        <w:pStyle w:val="Default"/>
      </w:pPr>
      <w:r w:rsidRPr="006E5C92">
        <w:t>Due to the urgency of executing the newly enacted Act, the Department respectfully ask</w:t>
      </w:r>
      <w:r w:rsidRPr="006E5C92" w:rsidR="00666716">
        <w:t>s</w:t>
      </w:r>
      <w:r w:rsidRPr="006E5C92">
        <w:t xml:space="preserve"> OMB for emergency approval of the ICR </w:t>
      </w:r>
      <w:r w:rsidRPr="003763E8">
        <w:t xml:space="preserve">within </w:t>
      </w:r>
      <w:r w:rsidRPr="003763E8" w:rsidR="00D510A9">
        <w:t>25</w:t>
      </w:r>
      <w:r w:rsidRPr="003763E8">
        <w:t xml:space="preserve"> days</w:t>
      </w:r>
      <w:r w:rsidRPr="006E5C92">
        <w:t xml:space="preserve"> of receipt of this letter.</w:t>
      </w:r>
    </w:p>
    <w:p w:rsidR="00080FA3" w:rsidRPr="006E5C92" w:rsidP="0591360F" w14:paraId="318342FC" w14:textId="77777777">
      <w:pPr>
        <w:rPr>
          <w:rFonts w:ascii="Times New Roman" w:hAnsi="Times New Roman"/>
          <w:szCs w:val="24"/>
        </w:rPr>
      </w:pPr>
    </w:p>
    <w:p w:rsidR="00080FA3" w:rsidRPr="006E5C92" w:rsidP="0591360F" w14:paraId="4C333F8C" w14:textId="55F8C441">
      <w:pPr>
        <w:rPr>
          <w:rFonts w:ascii="Times New Roman" w:hAnsi="Times New Roman"/>
          <w:szCs w:val="24"/>
        </w:rPr>
      </w:pPr>
      <w:r w:rsidRPr="006E5C92">
        <w:rPr>
          <w:rFonts w:ascii="Times New Roman" w:hAnsi="Times New Roman"/>
          <w:szCs w:val="24"/>
        </w:rPr>
        <w:t>If you have any questions regarding this request, please contact</w:t>
      </w:r>
      <w:r w:rsidRPr="006E5C92" w:rsidR="0CBEC8EC">
        <w:rPr>
          <w:rFonts w:ascii="Times New Roman" w:hAnsi="Times New Roman"/>
          <w:szCs w:val="24"/>
        </w:rPr>
        <w:t xml:space="preserve"> </w:t>
      </w:r>
      <w:r w:rsidRPr="006E5C92" w:rsidR="20E7280E">
        <w:rPr>
          <w:rFonts w:ascii="Times New Roman" w:hAnsi="Times New Roman"/>
          <w:szCs w:val="24"/>
        </w:rPr>
        <w:t>Gary Jensen, Director Office of Natural Environment</w:t>
      </w:r>
      <w:r w:rsidRPr="006E5C92" w:rsidR="009E2BAB">
        <w:rPr>
          <w:rFonts w:ascii="Times New Roman" w:hAnsi="Times New Roman"/>
          <w:szCs w:val="24"/>
        </w:rPr>
        <w:t xml:space="preserve"> at FHWA</w:t>
      </w:r>
      <w:r w:rsidRPr="006E5C92" w:rsidR="72272845">
        <w:rPr>
          <w:rFonts w:ascii="Times New Roman" w:hAnsi="Times New Roman"/>
          <w:szCs w:val="24"/>
        </w:rPr>
        <w:t xml:space="preserve">, </w:t>
      </w:r>
      <w:hyperlink r:id="rId8" w:history="1">
        <w:r w:rsidRPr="006E5C92" w:rsidR="009E2BAB">
          <w:rPr>
            <w:rStyle w:val="Hyperlink"/>
            <w:rFonts w:ascii="Times New Roman" w:hAnsi="Times New Roman"/>
            <w:szCs w:val="24"/>
          </w:rPr>
          <w:t>gary.jensen@dot.gov</w:t>
        </w:r>
      </w:hyperlink>
      <w:r w:rsidRPr="006E5C92" w:rsidR="038F5CDE">
        <w:rPr>
          <w:rFonts w:ascii="Times New Roman" w:hAnsi="Times New Roman"/>
          <w:szCs w:val="24"/>
        </w:rPr>
        <w:t>.</w:t>
      </w:r>
      <w:r w:rsidRPr="006E5C92">
        <w:rPr>
          <w:rFonts w:ascii="Times New Roman" w:hAnsi="Times New Roman"/>
          <w:szCs w:val="24"/>
        </w:rPr>
        <w:t xml:space="preserve"> </w:t>
      </w:r>
    </w:p>
    <w:p w:rsidR="00080FA3" w:rsidRPr="006E5C92" w:rsidP="0591360F" w14:paraId="0B1F6403" w14:textId="2899BD1A">
      <w:pPr>
        <w:rPr>
          <w:rFonts w:ascii="Times New Roman" w:hAnsi="Times New Roman"/>
          <w:szCs w:val="24"/>
        </w:rPr>
      </w:pPr>
    </w:p>
    <w:p w:rsidR="00080FA3" w:rsidRPr="006E5C92" w:rsidP="00080FA3" w14:paraId="17568558" w14:textId="0AC0C445">
      <w:pPr>
        <w:rPr>
          <w:rFonts w:ascii="Times New Roman" w:hAnsi="Times New Roman"/>
          <w:szCs w:val="24"/>
        </w:rPr>
      </w:pPr>
      <w:r w:rsidRPr="006E5C92">
        <w:rPr>
          <w:rFonts w:ascii="Times New Roman" w:hAnsi="Times New Roman"/>
          <w:szCs w:val="24"/>
        </w:rPr>
        <w:t xml:space="preserve">Sincerely, </w:t>
      </w:r>
    </w:p>
    <w:p w:rsidR="1BCB7665" w:rsidRPr="006E5C92" w:rsidP="1BCB7665" w14:paraId="021F66E5" w14:textId="3A6F49A4">
      <w:pPr>
        <w:rPr>
          <w:rFonts w:ascii="Times New Roman" w:hAnsi="Times New Roman"/>
          <w:szCs w:val="24"/>
        </w:rPr>
      </w:pPr>
    </w:p>
    <w:p w:rsidR="1BCB7665" w:rsidRPr="006E5C92" w:rsidP="1BCB7665" w14:paraId="2AC949FF" w14:textId="794C4F6F">
      <w:pPr>
        <w:rPr>
          <w:rFonts w:ascii="Times New Roman" w:hAnsi="Times New Roman"/>
          <w:szCs w:val="24"/>
        </w:rPr>
      </w:pPr>
    </w:p>
    <w:p w:rsidR="1BCB7665" w:rsidRPr="006E5C92" w:rsidP="1BCB7665" w14:paraId="4EEA10AF" w14:textId="0712CDDD">
      <w:pPr>
        <w:rPr>
          <w:rFonts w:ascii="Times New Roman" w:hAnsi="Times New Roman"/>
          <w:szCs w:val="24"/>
        </w:rPr>
      </w:pPr>
    </w:p>
    <w:p w:rsidR="00080FA3" w:rsidRPr="006E5C92" w:rsidP="0591360F" w14:paraId="6D464467" w14:textId="77777777">
      <w:pPr>
        <w:rPr>
          <w:rFonts w:ascii="Times New Roman" w:hAnsi="Times New Roman"/>
          <w:szCs w:val="24"/>
        </w:rPr>
      </w:pPr>
    </w:p>
    <w:p w:rsidR="00080FA3" w:rsidRPr="006E5C92" w:rsidP="1BCB7665" w14:paraId="3BBB268B" w14:textId="49797ECC">
      <w:pPr>
        <w:rPr>
          <w:rFonts w:ascii="Times New Roman" w:hAnsi="Times New Roman"/>
          <w:szCs w:val="24"/>
        </w:rPr>
      </w:pPr>
      <w:r w:rsidRPr="006E5C92">
        <w:rPr>
          <w:rFonts w:ascii="Times New Roman" w:hAnsi="Times New Roman"/>
          <w:szCs w:val="24"/>
        </w:rPr>
        <w:t>Kenneth, N. Petty, II</w:t>
      </w:r>
    </w:p>
    <w:p w:rsidR="00B03681" w:rsidRPr="006E5C92" w:rsidP="1BCB7665" w14:paraId="7912C8D0" w14:textId="509D8FF1">
      <w:pPr>
        <w:rPr>
          <w:rFonts w:ascii="Times New Roman" w:hAnsi="Times New Roman"/>
          <w:szCs w:val="24"/>
        </w:rPr>
      </w:pPr>
      <w:r w:rsidRPr="006E5C92">
        <w:rPr>
          <w:rFonts w:ascii="Times New Roman" w:hAnsi="Times New Roman"/>
          <w:szCs w:val="24"/>
        </w:rPr>
        <w:t xml:space="preserve">Acting </w:t>
      </w:r>
      <w:r w:rsidRPr="006E5C92">
        <w:rPr>
          <w:rFonts w:ascii="Times New Roman" w:hAnsi="Times New Roman"/>
          <w:szCs w:val="24"/>
        </w:rPr>
        <w:t xml:space="preserve">Associate Administrator for </w:t>
      </w:r>
      <w:r w:rsidRPr="006E5C92" w:rsidR="6BB6F8CC">
        <w:rPr>
          <w:rFonts w:ascii="Times New Roman" w:hAnsi="Times New Roman"/>
          <w:szCs w:val="24"/>
        </w:rPr>
        <w:t>Office of Planning, Environment, and Realty</w:t>
      </w:r>
    </w:p>
    <w:p w:rsidR="00B03681" w:rsidRPr="006E5C92" w:rsidP="0591360F" w14:paraId="1046F814" w14:textId="4BDD1A72">
      <w:pPr>
        <w:rPr>
          <w:rFonts w:ascii="Times New Roman" w:hAnsi="Times New Roman"/>
          <w:szCs w:val="24"/>
        </w:rPr>
      </w:pPr>
      <w:r w:rsidRPr="006E5C92">
        <w:rPr>
          <w:rFonts w:ascii="Times New Roman" w:hAnsi="Times New Roman"/>
          <w:szCs w:val="24"/>
        </w:rPr>
        <w:t>Federal Highway Administration</w:t>
      </w:r>
    </w:p>
    <w:p w:rsidR="00080FA3" w:rsidRPr="006E5C92" w:rsidP="0591360F" w14:paraId="15C2778B" w14:textId="77777777">
      <w:pPr>
        <w:rPr>
          <w:rFonts w:ascii="Times New Roman" w:hAnsi="Times New Roman"/>
          <w:szCs w:val="24"/>
        </w:rPr>
      </w:pPr>
    </w:p>
    <w:p w:rsidR="00080FA3" w:rsidRPr="006E5C92" w:rsidP="00080FA3" w14:paraId="41AC934B" w14:textId="77777777">
      <w:pPr>
        <w:rPr>
          <w:rFonts w:ascii="Times New Roman" w:hAnsi="Times New Roman"/>
          <w:szCs w:val="24"/>
        </w:rPr>
      </w:pPr>
    </w:p>
    <w:p w:rsidR="00080FA3" w:rsidRPr="006E5C92" w:rsidP="00080FA3" w14:paraId="149B7E9D" w14:textId="77777777">
      <w:pPr>
        <w:tabs>
          <w:tab w:val="left" w:pos="90"/>
          <w:tab w:val="left" w:pos="1440"/>
          <w:tab w:val="left" w:pos="2880"/>
          <w:tab w:val="left" w:pos="4320"/>
          <w:tab w:val="left" w:pos="5760"/>
          <w:tab w:val="left" w:pos="7290"/>
        </w:tabs>
        <w:ind w:left="-187" w:right="-907"/>
        <w:rPr>
          <w:rFonts w:ascii="Times New Roman" w:hAnsi="Times New Roman"/>
          <w:szCs w:val="24"/>
        </w:rPr>
      </w:pPr>
    </w:p>
    <w:p w:rsidR="006C42F0" w:rsidRPr="006E5C92" w14:paraId="63E208BE" w14:textId="77777777">
      <w:pPr>
        <w:rPr>
          <w:rFonts w:ascii="Times New Roman" w:hAnsi="Times New Roman"/>
          <w:szCs w:val="24"/>
        </w:rPr>
      </w:pPr>
    </w:p>
    <w:sectPr w:rsidSect="009E7FE3">
      <w:headerReference w:type="default" r:id="rId9"/>
      <w:footnotePr>
        <w:numFmt w:val="lowerRoman"/>
      </w:footnotePr>
      <w:endnotePr>
        <w:numFmt w:val="decimal"/>
      </w:endnotePr>
      <w:pgSz w:w="12240" w:h="15840"/>
      <w:pgMar w:top="720" w:right="720" w:bottom="1440" w:left="1440" w:header="1080" w:footer="1080" w:gutter="0"/>
      <w:paperSrc w:first="15" w:other="15"/>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FE3" w14:paraId="2C5502C3" w14:textId="77777777">
    <w:pPr>
      <w:pStyle w:val="Header"/>
      <w:jc w:val="right"/>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E9BFA3"/>
    <w:multiLevelType w:val="hybridMultilevel"/>
    <w:tmpl w:val="197C1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4C651A9"/>
    <w:multiLevelType w:val="hybridMultilevel"/>
    <w:tmpl w:val="27FA21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3"/>
    <w:rsid w:val="00024C44"/>
    <w:rsid w:val="0002547A"/>
    <w:rsid w:val="00050807"/>
    <w:rsid w:val="000609B0"/>
    <w:rsid w:val="00080FA3"/>
    <w:rsid w:val="000954BB"/>
    <w:rsid w:val="000A46E7"/>
    <w:rsid w:val="000D7D9A"/>
    <w:rsid w:val="00123947"/>
    <w:rsid w:val="00126BCB"/>
    <w:rsid w:val="0013032B"/>
    <w:rsid w:val="00130757"/>
    <w:rsid w:val="0013760D"/>
    <w:rsid w:val="0015701D"/>
    <w:rsid w:val="0017441F"/>
    <w:rsid w:val="001874F4"/>
    <w:rsid w:val="001A2313"/>
    <w:rsid w:val="001B1374"/>
    <w:rsid w:val="001E6033"/>
    <w:rsid w:val="001F5CBC"/>
    <w:rsid w:val="00214347"/>
    <w:rsid w:val="00233571"/>
    <w:rsid w:val="002426D1"/>
    <w:rsid w:val="002521C4"/>
    <w:rsid w:val="00271859"/>
    <w:rsid w:val="00274DA8"/>
    <w:rsid w:val="00290945"/>
    <w:rsid w:val="00294E28"/>
    <w:rsid w:val="002B6C2D"/>
    <w:rsid w:val="002D0568"/>
    <w:rsid w:val="002F6D0B"/>
    <w:rsid w:val="0031121D"/>
    <w:rsid w:val="003174A8"/>
    <w:rsid w:val="00320A46"/>
    <w:rsid w:val="003763E8"/>
    <w:rsid w:val="003808D1"/>
    <w:rsid w:val="00383660"/>
    <w:rsid w:val="003864BB"/>
    <w:rsid w:val="003B11AB"/>
    <w:rsid w:val="003D354B"/>
    <w:rsid w:val="003E7F37"/>
    <w:rsid w:val="003F4C29"/>
    <w:rsid w:val="0041022E"/>
    <w:rsid w:val="0043385D"/>
    <w:rsid w:val="0043572F"/>
    <w:rsid w:val="004B065D"/>
    <w:rsid w:val="004B6880"/>
    <w:rsid w:val="004E263E"/>
    <w:rsid w:val="004E50B7"/>
    <w:rsid w:val="005060C0"/>
    <w:rsid w:val="00506389"/>
    <w:rsid w:val="00531B1C"/>
    <w:rsid w:val="00543AD0"/>
    <w:rsid w:val="00573249"/>
    <w:rsid w:val="005A0C20"/>
    <w:rsid w:val="005B24A9"/>
    <w:rsid w:val="005B3CFC"/>
    <w:rsid w:val="005D0E6E"/>
    <w:rsid w:val="005D799D"/>
    <w:rsid w:val="005F312A"/>
    <w:rsid w:val="005F7672"/>
    <w:rsid w:val="006018B7"/>
    <w:rsid w:val="00607281"/>
    <w:rsid w:val="00607C0B"/>
    <w:rsid w:val="00627491"/>
    <w:rsid w:val="00644A3A"/>
    <w:rsid w:val="00666716"/>
    <w:rsid w:val="00680624"/>
    <w:rsid w:val="006A0099"/>
    <w:rsid w:val="006B385E"/>
    <w:rsid w:val="006C42F0"/>
    <w:rsid w:val="006E5C92"/>
    <w:rsid w:val="007113DF"/>
    <w:rsid w:val="0072034A"/>
    <w:rsid w:val="007213EB"/>
    <w:rsid w:val="007337BE"/>
    <w:rsid w:val="0073593D"/>
    <w:rsid w:val="00745570"/>
    <w:rsid w:val="007610C2"/>
    <w:rsid w:val="007662E6"/>
    <w:rsid w:val="00766E39"/>
    <w:rsid w:val="00771C8B"/>
    <w:rsid w:val="00791C8D"/>
    <w:rsid w:val="007A751D"/>
    <w:rsid w:val="007C4EA5"/>
    <w:rsid w:val="007C548C"/>
    <w:rsid w:val="007E694C"/>
    <w:rsid w:val="0080584F"/>
    <w:rsid w:val="00810708"/>
    <w:rsid w:val="008153BF"/>
    <w:rsid w:val="008230F7"/>
    <w:rsid w:val="0083049A"/>
    <w:rsid w:val="008417EB"/>
    <w:rsid w:val="0085213B"/>
    <w:rsid w:val="008603CE"/>
    <w:rsid w:val="008B4895"/>
    <w:rsid w:val="008D2887"/>
    <w:rsid w:val="008F5728"/>
    <w:rsid w:val="009141C5"/>
    <w:rsid w:val="009218B9"/>
    <w:rsid w:val="00933869"/>
    <w:rsid w:val="009608CD"/>
    <w:rsid w:val="00960E18"/>
    <w:rsid w:val="00982B2D"/>
    <w:rsid w:val="009C3516"/>
    <w:rsid w:val="009D0BA7"/>
    <w:rsid w:val="009D455D"/>
    <w:rsid w:val="009E2BAB"/>
    <w:rsid w:val="009E7FE3"/>
    <w:rsid w:val="00A00B79"/>
    <w:rsid w:val="00A05913"/>
    <w:rsid w:val="00A24F60"/>
    <w:rsid w:val="00A50962"/>
    <w:rsid w:val="00A53399"/>
    <w:rsid w:val="00A553E6"/>
    <w:rsid w:val="00A6208E"/>
    <w:rsid w:val="00A705E0"/>
    <w:rsid w:val="00A8604B"/>
    <w:rsid w:val="00A914DF"/>
    <w:rsid w:val="00A92B5F"/>
    <w:rsid w:val="00AA650A"/>
    <w:rsid w:val="00AA78E5"/>
    <w:rsid w:val="00AC3675"/>
    <w:rsid w:val="00AE0E8F"/>
    <w:rsid w:val="00AF4567"/>
    <w:rsid w:val="00B03681"/>
    <w:rsid w:val="00B14293"/>
    <w:rsid w:val="00B2100F"/>
    <w:rsid w:val="00B57FC2"/>
    <w:rsid w:val="00B92D0D"/>
    <w:rsid w:val="00BB0959"/>
    <w:rsid w:val="00BC1C43"/>
    <w:rsid w:val="00BC7996"/>
    <w:rsid w:val="00BD5341"/>
    <w:rsid w:val="00C02C08"/>
    <w:rsid w:val="00C051E4"/>
    <w:rsid w:val="00C05FED"/>
    <w:rsid w:val="00C312B3"/>
    <w:rsid w:val="00C4016E"/>
    <w:rsid w:val="00C460EE"/>
    <w:rsid w:val="00C938FA"/>
    <w:rsid w:val="00C964C3"/>
    <w:rsid w:val="00CA4DEF"/>
    <w:rsid w:val="00CC231E"/>
    <w:rsid w:val="00CE4A94"/>
    <w:rsid w:val="00D14045"/>
    <w:rsid w:val="00D21ED4"/>
    <w:rsid w:val="00D2295C"/>
    <w:rsid w:val="00D27E57"/>
    <w:rsid w:val="00D36051"/>
    <w:rsid w:val="00D42263"/>
    <w:rsid w:val="00D50A0A"/>
    <w:rsid w:val="00D510A9"/>
    <w:rsid w:val="00DB7950"/>
    <w:rsid w:val="00DD39FF"/>
    <w:rsid w:val="00DD72C6"/>
    <w:rsid w:val="00DF58C8"/>
    <w:rsid w:val="00E00A5D"/>
    <w:rsid w:val="00E0602D"/>
    <w:rsid w:val="00E351A0"/>
    <w:rsid w:val="00E44E6F"/>
    <w:rsid w:val="00E6102D"/>
    <w:rsid w:val="00E903AD"/>
    <w:rsid w:val="00E9191F"/>
    <w:rsid w:val="00EB24BE"/>
    <w:rsid w:val="00EE6497"/>
    <w:rsid w:val="00EF3315"/>
    <w:rsid w:val="00F351D5"/>
    <w:rsid w:val="00F61088"/>
    <w:rsid w:val="00F6409C"/>
    <w:rsid w:val="00F655D1"/>
    <w:rsid w:val="00F777FA"/>
    <w:rsid w:val="00F92E46"/>
    <w:rsid w:val="00FC1F50"/>
    <w:rsid w:val="00FD0E5D"/>
    <w:rsid w:val="00FE72B7"/>
    <w:rsid w:val="00FF089A"/>
    <w:rsid w:val="01450E43"/>
    <w:rsid w:val="021BC19B"/>
    <w:rsid w:val="03797DD5"/>
    <w:rsid w:val="038F5CDE"/>
    <w:rsid w:val="04CCDF64"/>
    <w:rsid w:val="0507F17C"/>
    <w:rsid w:val="0554DF59"/>
    <w:rsid w:val="0591360F"/>
    <w:rsid w:val="05939280"/>
    <w:rsid w:val="07F2F012"/>
    <w:rsid w:val="08711832"/>
    <w:rsid w:val="08ADA0AF"/>
    <w:rsid w:val="08C9436F"/>
    <w:rsid w:val="09060461"/>
    <w:rsid w:val="0997882B"/>
    <w:rsid w:val="0AF66B00"/>
    <w:rsid w:val="0BA97B84"/>
    <w:rsid w:val="0C8810BC"/>
    <w:rsid w:val="0CBEC8EC"/>
    <w:rsid w:val="0D578100"/>
    <w:rsid w:val="0E5A994D"/>
    <w:rsid w:val="11CB84B2"/>
    <w:rsid w:val="126A74FE"/>
    <w:rsid w:val="13E52527"/>
    <w:rsid w:val="15A4DCBD"/>
    <w:rsid w:val="165EC616"/>
    <w:rsid w:val="17B107AB"/>
    <w:rsid w:val="1819C91A"/>
    <w:rsid w:val="186E139F"/>
    <w:rsid w:val="189880A5"/>
    <w:rsid w:val="18FF50A0"/>
    <w:rsid w:val="197C3762"/>
    <w:rsid w:val="19F922A7"/>
    <w:rsid w:val="1BCB7665"/>
    <w:rsid w:val="1CB36241"/>
    <w:rsid w:val="1D3577E4"/>
    <w:rsid w:val="1DBFE74D"/>
    <w:rsid w:val="1F05DE24"/>
    <w:rsid w:val="20E7280E"/>
    <w:rsid w:val="212E6B55"/>
    <w:rsid w:val="22B6B299"/>
    <w:rsid w:val="2335C825"/>
    <w:rsid w:val="23A2D91A"/>
    <w:rsid w:val="23B9765C"/>
    <w:rsid w:val="2479B3B8"/>
    <w:rsid w:val="26252C57"/>
    <w:rsid w:val="2635ED72"/>
    <w:rsid w:val="27D6C506"/>
    <w:rsid w:val="2977FA5C"/>
    <w:rsid w:val="2B13CABD"/>
    <w:rsid w:val="2B71049F"/>
    <w:rsid w:val="2CFD1366"/>
    <w:rsid w:val="2E0AF02A"/>
    <w:rsid w:val="2F3600FF"/>
    <w:rsid w:val="312E8576"/>
    <w:rsid w:val="31A8FDC8"/>
    <w:rsid w:val="336A70E5"/>
    <w:rsid w:val="34666CBD"/>
    <w:rsid w:val="35F2E520"/>
    <w:rsid w:val="38E6D348"/>
    <w:rsid w:val="3AAA7727"/>
    <w:rsid w:val="3CA11303"/>
    <w:rsid w:val="3F66646A"/>
    <w:rsid w:val="3F76C46B"/>
    <w:rsid w:val="3FECE763"/>
    <w:rsid w:val="40A6DA05"/>
    <w:rsid w:val="416FDF41"/>
    <w:rsid w:val="41B0EF6C"/>
    <w:rsid w:val="437D081B"/>
    <w:rsid w:val="44A64C9D"/>
    <w:rsid w:val="47A369B0"/>
    <w:rsid w:val="47D675A5"/>
    <w:rsid w:val="484938C7"/>
    <w:rsid w:val="4A1B5A28"/>
    <w:rsid w:val="4B7C9F62"/>
    <w:rsid w:val="4C2A3A6D"/>
    <w:rsid w:val="4CF33AC8"/>
    <w:rsid w:val="4D7406CD"/>
    <w:rsid w:val="4DD9D2B7"/>
    <w:rsid w:val="4FE10DAA"/>
    <w:rsid w:val="50704B27"/>
    <w:rsid w:val="50F60B90"/>
    <w:rsid w:val="51117379"/>
    <w:rsid w:val="539258F3"/>
    <w:rsid w:val="548F806B"/>
    <w:rsid w:val="57660FA4"/>
    <w:rsid w:val="5A6F58DC"/>
    <w:rsid w:val="5A848809"/>
    <w:rsid w:val="5C20586A"/>
    <w:rsid w:val="5D8007CD"/>
    <w:rsid w:val="5DE5A0C6"/>
    <w:rsid w:val="6163D230"/>
    <w:rsid w:val="625934D3"/>
    <w:rsid w:val="64D44C27"/>
    <w:rsid w:val="6967F761"/>
    <w:rsid w:val="6A4A0712"/>
    <w:rsid w:val="6BB6F8CC"/>
    <w:rsid w:val="6EC54CF8"/>
    <w:rsid w:val="714DC2D9"/>
    <w:rsid w:val="72272845"/>
    <w:rsid w:val="73158C38"/>
    <w:rsid w:val="76B73680"/>
    <w:rsid w:val="7767F404"/>
    <w:rsid w:val="77F92C57"/>
    <w:rsid w:val="786FDC48"/>
    <w:rsid w:val="78BCE773"/>
    <w:rsid w:val="7A4C8A2E"/>
    <w:rsid w:val="7AA0D1F3"/>
    <w:rsid w:val="7AB7FAF3"/>
    <w:rsid w:val="7B8F919B"/>
    <w:rsid w:val="7D88C751"/>
    <w:rsid w:val="7E585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B761D"/>
  <w15:chartTrackingRefBased/>
  <w15:docId w15:val="{A6EA09D3-8D09-4153-99A9-101F557A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A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A3"/>
    <w:pPr>
      <w:tabs>
        <w:tab w:val="center" w:pos="4320"/>
        <w:tab w:val="right" w:pos="8640"/>
      </w:tabs>
    </w:pPr>
  </w:style>
  <w:style w:type="character" w:customStyle="1" w:styleId="HeaderChar">
    <w:name w:val="Header Char"/>
    <w:basedOn w:val="DefaultParagraphFont"/>
    <w:link w:val="Header"/>
    <w:rsid w:val="00080FA3"/>
    <w:rPr>
      <w:rFonts w:ascii="CG Times" w:eastAsia="Times New Roman" w:hAnsi="CG Times" w:cs="Times New Roman"/>
      <w:sz w:val="24"/>
      <w:szCs w:val="20"/>
    </w:rPr>
  </w:style>
  <w:style w:type="paragraph" w:customStyle="1" w:styleId="Default">
    <w:name w:val="Default"/>
    <w:rsid w:val="00080F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00B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A00B79"/>
  </w:style>
  <w:style w:type="character" w:styleId="CommentReference">
    <w:name w:val="annotation reference"/>
    <w:basedOn w:val="DefaultParagraphFont"/>
    <w:uiPriority w:val="99"/>
    <w:rsid w:val="002B6C2D"/>
    <w:rPr>
      <w:sz w:val="16"/>
      <w:szCs w:val="16"/>
    </w:rPr>
  </w:style>
  <w:style w:type="paragraph" w:styleId="CommentText">
    <w:name w:val="annotation text"/>
    <w:basedOn w:val="Normal"/>
    <w:link w:val="CommentTextChar"/>
    <w:uiPriority w:val="99"/>
    <w:rsid w:val="002B6C2D"/>
    <w:rPr>
      <w:rFonts w:ascii="Times New Roman" w:hAnsi="Times New Roman"/>
      <w:sz w:val="20"/>
    </w:rPr>
  </w:style>
  <w:style w:type="character" w:customStyle="1" w:styleId="CommentTextChar">
    <w:name w:val="Comment Text Char"/>
    <w:basedOn w:val="DefaultParagraphFont"/>
    <w:link w:val="CommentText"/>
    <w:uiPriority w:val="99"/>
    <w:rsid w:val="002B6C2D"/>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2B6C2D"/>
    <w:rPr>
      <w:rFonts w:ascii="Times New Roman" w:hAnsi="Times New Roman"/>
      <w:sz w:val="20"/>
    </w:rPr>
  </w:style>
  <w:style w:type="character" w:customStyle="1" w:styleId="FootnoteTextChar">
    <w:name w:val="Footnote Text Char"/>
    <w:basedOn w:val="DefaultParagraphFont"/>
    <w:link w:val="FootnoteText"/>
    <w:uiPriority w:val="99"/>
    <w:rsid w:val="002B6C2D"/>
    <w:rPr>
      <w:rFonts w:ascii="Times New Roman" w:eastAsia="Times New Roman" w:hAnsi="Times New Roman" w:cs="Times New Roman"/>
      <w:sz w:val="20"/>
      <w:szCs w:val="20"/>
    </w:rPr>
  </w:style>
  <w:style w:type="character" w:styleId="FootnoteReference">
    <w:name w:val="footnote reference"/>
    <w:basedOn w:val="DefaultParagraphFont"/>
    <w:rsid w:val="002B6C2D"/>
    <w:rPr>
      <w:vertAlign w:val="superscript"/>
    </w:rPr>
  </w:style>
  <w:style w:type="paragraph" w:styleId="CommentSubject">
    <w:name w:val="annotation subject"/>
    <w:basedOn w:val="CommentText"/>
    <w:next w:val="CommentText"/>
    <w:link w:val="CommentSubjectChar"/>
    <w:uiPriority w:val="99"/>
    <w:semiHidden/>
    <w:unhideWhenUsed/>
    <w:rsid w:val="00607281"/>
    <w:rPr>
      <w:rFonts w:ascii="CG Times" w:hAnsi="CG Times"/>
      <w:b/>
      <w:bCs/>
    </w:rPr>
  </w:style>
  <w:style w:type="character" w:customStyle="1" w:styleId="CommentSubjectChar">
    <w:name w:val="Comment Subject Char"/>
    <w:basedOn w:val="CommentTextChar"/>
    <w:link w:val="CommentSubject"/>
    <w:uiPriority w:val="99"/>
    <w:semiHidden/>
    <w:rsid w:val="00607281"/>
    <w:rPr>
      <w:rFonts w:ascii="CG Times" w:eastAsia="Times New Roman" w:hAnsi="CG Times" w:cs="Times New Roman"/>
      <w:b/>
      <w:bCs/>
      <w:sz w:val="20"/>
      <w:szCs w:val="20"/>
    </w:rPr>
  </w:style>
  <w:style w:type="character" w:styleId="Hyperlink">
    <w:name w:val="Hyperlink"/>
    <w:basedOn w:val="DefaultParagraphFont"/>
    <w:uiPriority w:val="99"/>
    <w:unhideWhenUsed/>
    <w:rsid w:val="00B03681"/>
    <w:rPr>
      <w:color w:val="0563C1" w:themeColor="hyperlink"/>
      <w:u w:val="single"/>
    </w:rPr>
  </w:style>
  <w:style w:type="character" w:styleId="UnresolvedMention">
    <w:name w:val="Unresolved Mention"/>
    <w:basedOn w:val="DefaultParagraphFont"/>
    <w:uiPriority w:val="99"/>
    <w:semiHidden/>
    <w:unhideWhenUsed/>
    <w:rsid w:val="00B03681"/>
    <w:rPr>
      <w:color w:val="605E5C"/>
      <w:shd w:val="clear" w:color="auto" w:fill="E1DFDD"/>
    </w:rPr>
  </w:style>
  <w:style w:type="paragraph" w:styleId="Footer">
    <w:name w:val="footer"/>
    <w:basedOn w:val="Normal"/>
    <w:link w:val="FooterChar"/>
    <w:uiPriority w:val="99"/>
    <w:semiHidden/>
    <w:unhideWhenUsed/>
    <w:rsid w:val="00A6208E"/>
    <w:pPr>
      <w:tabs>
        <w:tab w:val="center" w:pos="4680"/>
        <w:tab w:val="right" w:pos="9360"/>
      </w:tabs>
    </w:pPr>
  </w:style>
  <w:style w:type="character" w:customStyle="1" w:styleId="FooterChar">
    <w:name w:val="Footer Char"/>
    <w:basedOn w:val="DefaultParagraphFont"/>
    <w:link w:val="Footer"/>
    <w:uiPriority w:val="99"/>
    <w:semiHidden/>
    <w:rsid w:val="00A6208E"/>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D50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A0A"/>
    <w:rPr>
      <w:rFonts w:ascii="Segoe UI" w:eastAsia="Times New Roman" w:hAnsi="Segoe UI" w:cs="Segoe UI"/>
      <w:sz w:val="18"/>
      <w:szCs w:val="18"/>
    </w:rPr>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031121D"/>
  </w:style>
  <w:style w:type="character" w:customStyle="1" w:styleId="eop">
    <w:name w:val="eop"/>
    <w:basedOn w:val="DefaultParagraphFont"/>
    <w:rsid w:val="0031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ary.jensen@dot.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E616072E16F4192048B84DB1664BA" ma:contentTypeVersion="4" ma:contentTypeDescription="Create a new document." ma:contentTypeScope="" ma:versionID="6dbc64d0b76fe3e6e2a6f2ecc7ab0c64">
  <xsd:schema xmlns:xsd="http://www.w3.org/2001/XMLSchema" xmlns:xs="http://www.w3.org/2001/XMLSchema" xmlns:p="http://schemas.microsoft.com/office/2006/metadata/properties" xmlns:ns2="04633026-c0e4-4b84-bcbe-406bbff03bb5" xmlns:ns3="31261f41-70b7-4198-a5a2-c0b62003477d" targetNamespace="http://schemas.microsoft.com/office/2006/metadata/properties" ma:root="true" ma:fieldsID="d026d281683dbc20af28633d2db9a0bb" ns2:_="" ns3:_="">
    <xsd:import namespace="04633026-c0e4-4b84-bcbe-406bbff03bb5"/>
    <xsd:import namespace="31261f41-70b7-4198-a5a2-c0b620034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3026-c0e4-4b84-bcbe-406bbff0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61f41-70b7-4198-a5a2-c0b620034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AC6A5-99AF-4539-92EF-A04E771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3026-c0e4-4b84-bcbe-406bbff03bb5"/>
    <ds:schemaRef ds:uri="31261f41-70b7-4198-a5a2-c0b62003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84CB6-9EC2-49EF-8A3A-B478DB750AA7}">
  <ds:schemaRefs>
    <ds:schemaRef ds:uri="http://schemas.openxmlformats.org/officeDocument/2006/bibliography"/>
  </ds:schemaRefs>
</ds:datastoreItem>
</file>

<file path=customXml/itemProps3.xml><?xml version="1.0" encoding="utf-8"?>
<ds:datastoreItem xmlns:ds="http://schemas.openxmlformats.org/officeDocument/2006/customXml" ds:itemID="{9C24C4F3-73BB-420D-8030-AD47FC3DB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016032-BD80-466B-B34D-324F18B91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Shaw</dc:creator>
  <cp:lastModifiedBy>Howell, Michael (FHWA)</cp:lastModifiedBy>
  <cp:revision>2</cp:revision>
  <dcterms:created xsi:type="dcterms:W3CDTF">2022-12-13T20:13:00Z</dcterms:created>
  <dcterms:modified xsi:type="dcterms:W3CDTF">2022-12-13T20:13:00Z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0x0101006DCE616072E16F4192048B84DB1664BA</vt:lpwstr>
  </property>
</Properties>
</file>