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7275" w:type="dxa"/>
        <w:tblLook w:val="04A0" w:firstRow="1" w:lastRow="0" w:firstColumn="1" w:lastColumn="0" w:noHBand="0" w:noVBand="1"/>
      </w:tblPr>
      <w:tblGrid>
        <w:gridCol w:w="4384"/>
        <w:gridCol w:w="1320"/>
        <w:gridCol w:w="2151"/>
        <w:gridCol w:w="9420"/>
      </w:tblGrid>
      <w:tr w:rsidRPr="00E15EAE" w:rsidR="00466732" w:rsidTr="001C32E7" w14:paraId="7284C9FC" w14:textId="77777777">
        <w:tc>
          <w:tcPr>
            <w:tcW w:w="17270" w:type="dxa"/>
            <w:gridSpan w:val="4"/>
            <w:shd w:val="clear" w:color="auto" w:fill="auto"/>
          </w:tcPr>
          <w:p w:rsidRPr="00E15EAE" w:rsidR="00466732" w:rsidP="00943ED3" w:rsidRDefault="00466732" w14:paraId="113D2A19" w14:textId="3EBC4E35">
            <w:pPr>
              <w:jc w:val="center"/>
              <w:rPr>
                <w:b/>
                <w:bCs/>
                <w:sz w:val="20"/>
                <w:szCs w:val="20"/>
              </w:rPr>
            </w:pPr>
            <w:r w:rsidRPr="00E15EAE">
              <w:rPr>
                <w:b/>
                <w:bCs/>
                <w:sz w:val="20"/>
                <w:szCs w:val="20"/>
              </w:rPr>
              <w:t xml:space="preserve">HEERF Annual Data Collection </w:t>
            </w:r>
            <w:r w:rsidR="004E4E88">
              <w:rPr>
                <w:b/>
                <w:bCs/>
                <w:sz w:val="20"/>
                <w:szCs w:val="20"/>
              </w:rPr>
              <w:t>3</w:t>
            </w:r>
            <w:r w:rsidRPr="00E15EAE">
              <w:rPr>
                <w:b/>
                <w:bCs/>
                <w:sz w:val="20"/>
                <w:szCs w:val="20"/>
              </w:rPr>
              <w:t>0-day Comment Responses</w:t>
            </w:r>
          </w:p>
        </w:tc>
      </w:tr>
      <w:tr w:rsidRPr="00E15EAE" w:rsidR="00466732" w:rsidTr="001C32E7" w14:paraId="38E80111" w14:textId="77777777">
        <w:tc>
          <w:tcPr>
            <w:tcW w:w="4384" w:type="dxa"/>
            <w:shd w:val="clear" w:color="auto" w:fill="auto"/>
          </w:tcPr>
          <w:p w:rsidRPr="00E15EAE" w:rsidR="00466732" w:rsidP="00943ED3" w:rsidRDefault="00466732" w14:paraId="784D17B4" w14:textId="33091C91">
            <w:pPr>
              <w:jc w:val="center"/>
              <w:rPr>
                <w:b/>
                <w:bCs/>
                <w:sz w:val="20"/>
                <w:szCs w:val="20"/>
              </w:rPr>
            </w:pPr>
            <w:r w:rsidRPr="00E15EAE">
              <w:rPr>
                <w:b/>
                <w:bCs/>
                <w:sz w:val="20"/>
                <w:szCs w:val="20"/>
              </w:rPr>
              <w:t>Summarizing Comment</w:t>
            </w:r>
          </w:p>
        </w:tc>
        <w:tc>
          <w:tcPr>
            <w:tcW w:w="1320" w:type="dxa"/>
            <w:shd w:val="clear" w:color="auto" w:fill="auto"/>
          </w:tcPr>
          <w:p w:rsidRPr="00E15EAE" w:rsidR="00466732" w:rsidP="00943ED3" w:rsidRDefault="00466732" w14:paraId="3403733F" w14:textId="054A976F">
            <w:pPr>
              <w:jc w:val="center"/>
              <w:rPr>
                <w:b/>
                <w:bCs/>
                <w:sz w:val="20"/>
                <w:szCs w:val="20"/>
              </w:rPr>
            </w:pPr>
            <w:r w:rsidRPr="00E15EAE">
              <w:rPr>
                <w:b/>
                <w:bCs/>
                <w:sz w:val="20"/>
                <w:szCs w:val="20"/>
              </w:rPr>
              <w:t>Applicable questions</w:t>
            </w:r>
            <w:r w:rsidR="004E4E88">
              <w:rPr>
                <w:b/>
                <w:bCs/>
                <w:sz w:val="20"/>
                <w:szCs w:val="20"/>
              </w:rPr>
              <w:t xml:space="preserve"> </w:t>
            </w:r>
          </w:p>
        </w:tc>
        <w:tc>
          <w:tcPr>
            <w:tcW w:w="2151" w:type="dxa"/>
            <w:shd w:val="clear" w:color="auto" w:fill="auto"/>
          </w:tcPr>
          <w:p w:rsidRPr="00E15EAE" w:rsidR="00466732" w:rsidP="00943ED3" w:rsidRDefault="00466732" w14:paraId="4093448F" w14:textId="1C278AC5">
            <w:pPr>
              <w:jc w:val="center"/>
              <w:rPr>
                <w:b/>
                <w:bCs/>
                <w:sz w:val="20"/>
                <w:szCs w:val="20"/>
              </w:rPr>
            </w:pPr>
            <w:r w:rsidRPr="00E15EAE">
              <w:rPr>
                <w:b/>
                <w:bCs/>
                <w:sz w:val="20"/>
                <w:szCs w:val="20"/>
              </w:rPr>
              <w:t>Applicable comments</w:t>
            </w:r>
          </w:p>
        </w:tc>
        <w:tc>
          <w:tcPr>
            <w:tcW w:w="9420" w:type="dxa"/>
          </w:tcPr>
          <w:p w:rsidRPr="00E15EAE" w:rsidR="00466732" w:rsidP="00943ED3" w:rsidRDefault="00466732" w14:paraId="6CB9F8A4" w14:textId="089AF379">
            <w:pPr>
              <w:jc w:val="center"/>
              <w:rPr>
                <w:b/>
                <w:bCs/>
                <w:sz w:val="20"/>
                <w:szCs w:val="20"/>
              </w:rPr>
            </w:pPr>
            <w:r w:rsidRPr="00E15EAE">
              <w:rPr>
                <w:b/>
                <w:bCs/>
                <w:sz w:val="20"/>
                <w:szCs w:val="20"/>
              </w:rPr>
              <w:t>Response</w:t>
            </w:r>
          </w:p>
        </w:tc>
      </w:tr>
      <w:tr w:rsidRPr="00E15EAE" w:rsidR="000603AC" w:rsidTr="001C32E7" w14:paraId="294285AB" w14:textId="77777777">
        <w:tc>
          <w:tcPr>
            <w:tcW w:w="4384" w:type="dxa"/>
          </w:tcPr>
          <w:p w:rsidRPr="00421C90" w:rsidR="000603AC" w:rsidP="00943ED3" w:rsidRDefault="000603AC" w14:paraId="42F33C53" w14:textId="6A058942">
            <w:pPr>
              <w:rPr>
                <w:sz w:val="20"/>
                <w:szCs w:val="20"/>
              </w:rPr>
            </w:pPr>
            <w:r w:rsidRPr="00421C90">
              <w:rPr>
                <w:sz w:val="20"/>
                <w:szCs w:val="20"/>
              </w:rPr>
              <w:t xml:space="preserve">The proposed changes are overly burdensome. Institutions may not have the capacity to report on </w:t>
            </w:r>
            <w:r w:rsidRPr="00421C90" w:rsidR="0036672D">
              <w:rPr>
                <w:sz w:val="20"/>
                <w:szCs w:val="20"/>
              </w:rPr>
              <w:t>all</w:t>
            </w:r>
            <w:r w:rsidRPr="00421C90">
              <w:rPr>
                <w:sz w:val="20"/>
                <w:szCs w:val="20"/>
              </w:rPr>
              <w:t xml:space="preserve"> the items especially </w:t>
            </w:r>
            <w:proofErr w:type="gramStart"/>
            <w:r w:rsidRPr="00421C90">
              <w:rPr>
                <w:sz w:val="20"/>
                <w:szCs w:val="20"/>
              </w:rPr>
              <w:t>in light of</w:t>
            </w:r>
            <w:proofErr w:type="gramEnd"/>
            <w:r w:rsidRPr="00421C90">
              <w:rPr>
                <w:sz w:val="20"/>
                <w:szCs w:val="20"/>
              </w:rPr>
              <w:t xml:space="preserve"> other pandemic -related priorities. Particularly problematic data elements include disaggregation by student subgroups, retrospective looking data elements, reporting on students who do not receive HEERF, integration of data from multiple sources, and competing state and federal reporting deadlines. </w:t>
            </w:r>
            <w:r w:rsidRPr="00421C90" w:rsidR="00C64AF8">
              <w:rPr>
                <w:sz w:val="20"/>
                <w:szCs w:val="20"/>
              </w:rPr>
              <w:t xml:space="preserve"> </w:t>
            </w:r>
            <w:r w:rsidRPr="00421C90">
              <w:rPr>
                <w:sz w:val="20"/>
                <w:szCs w:val="20"/>
              </w:rPr>
              <w:t xml:space="preserve">Granular reporting on student subgroups also requires privacy perturbation. </w:t>
            </w:r>
          </w:p>
          <w:p w:rsidRPr="00421C90" w:rsidR="000603AC" w:rsidP="00943ED3" w:rsidRDefault="000603AC" w14:paraId="085E2521" w14:textId="4917B8D4">
            <w:pPr>
              <w:rPr>
                <w:sz w:val="20"/>
                <w:szCs w:val="20"/>
              </w:rPr>
            </w:pPr>
          </w:p>
          <w:p w:rsidRPr="00421C90" w:rsidR="00C64AF8" w:rsidP="0031130F" w:rsidRDefault="00C64AF8" w14:paraId="61EBD582" w14:textId="77777777">
            <w:pPr>
              <w:rPr>
                <w:rFonts w:ascii="Calibri" w:hAnsi="Calibri" w:eastAsia="Calibri" w:cs="Calibri"/>
                <w:sz w:val="20"/>
                <w:szCs w:val="20"/>
              </w:rPr>
            </w:pPr>
            <w:r w:rsidRPr="00421C90">
              <w:rPr>
                <w:rFonts w:ascii="Calibri" w:hAnsi="Calibri" w:eastAsia="Calibri" w:cs="Calibri"/>
                <w:sz w:val="20"/>
                <w:szCs w:val="20"/>
              </w:rPr>
              <w:t>There are other instances where student demographic data does not exist. For instance, institutions indicated that they collect minimal demographic information from certain student populations, such as non-degree students.</w:t>
            </w:r>
          </w:p>
          <w:p w:rsidRPr="00421C90" w:rsidR="00C64AF8" w:rsidRDefault="00C64AF8" w14:paraId="6D5B4826" w14:textId="77777777">
            <w:pPr>
              <w:rPr>
                <w:sz w:val="20"/>
                <w:szCs w:val="20"/>
              </w:rPr>
            </w:pPr>
          </w:p>
          <w:p w:rsidRPr="0031130F" w:rsidR="00C64AF8" w:rsidP="0031130F" w:rsidRDefault="00C64AF8" w14:paraId="3D4E37B5" w14:textId="0FB101FF">
            <w:pPr>
              <w:rPr>
                <w:sz w:val="20"/>
                <w:szCs w:val="20"/>
              </w:rPr>
            </w:pPr>
            <w:r w:rsidRPr="00421C90">
              <w:rPr>
                <w:rFonts w:ascii="Calibri" w:hAnsi="Calibri" w:eastAsia="Calibri" w:cs="Calibri"/>
                <w:sz w:val="20"/>
                <w:szCs w:val="20"/>
              </w:rPr>
              <w:t>ED’s request for significant disaggregation of data far outsteps the bounds of what is</w:t>
            </w:r>
            <w:r w:rsidRPr="00421C90" w:rsidR="004A0A62">
              <w:rPr>
                <w:rFonts w:ascii="Calibri" w:hAnsi="Calibri" w:eastAsia="Calibri" w:cs="Calibri"/>
                <w:sz w:val="20"/>
                <w:szCs w:val="20"/>
              </w:rPr>
              <w:t xml:space="preserve"> </w:t>
            </w:r>
            <w:r w:rsidRPr="00421C90">
              <w:rPr>
                <w:rFonts w:ascii="Calibri" w:hAnsi="Calibri" w:eastAsia="Calibri" w:cs="Calibri"/>
                <w:sz w:val="20"/>
                <w:szCs w:val="20"/>
              </w:rPr>
              <w:t>required to ensure institutional compliance with the law. At minimum, if ED does not entirely remove the disaggregation and comparison questions, it should make responses to those questions optional.</w:t>
            </w:r>
            <w:r w:rsidRPr="0031130F">
              <w:rPr>
                <w:sz w:val="20"/>
                <w:szCs w:val="20"/>
              </w:rPr>
              <w:t xml:space="preserve"> </w:t>
            </w:r>
          </w:p>
          <w:p w:rsidRPr="00421C90" w:rsidR="0036672D" w:rsidP="0031130F" w:rsidRDefault="0036672D" w14:paraId="28B02F5B" w14:textId="77777777">
            <w:pPr>
              <w:rPr>
                <w:sz w:val="20"/>
                <w:szCs w:val="20"/>
              </w:rPr>
            </w:pPr>
          </w:p>
          <w:p w:rsidRPr="00421C90" w:rsidR="00C64AF8" w:rsidRDefault="000603AC" w14:paraId="208B7237" w14:textId="77777777">
            <w:pPr>
              <w:rPr>
                <w:sz w:val="20"/>
                <w:szCs w:val="20"/>
              </w:rPr>
            </w:pPr>
            <w:r w:rsidRPr="00421C90">
              <w:rPr>
                <w:sz w:val="20"/>
                <w:szCs w:val="20"/>
              </w:rPr>
              <w:t>Withdraw this IC and leave the existing IC in place while convening stakeholders with knowledge of institutional operations and usage of HEERF funds to develop a more comprehensive and achievable reporting method that meets our shared goals for understanding how institutional funds were used and how students with the greatest need were aided.</w:t>
            </w:r>
          </w:p>
          <w:p w:rsidRPr="00421C90" w:rsidR="00C64AF8" w:rsidRDefault="00C64AF8" w14:paraId="1BC4AD93" w14:textId="77777777">
            <w:pPr>
              <w:rPr>
                <w:sz w:val="20"/>
                <w:szCs w:val="20"/>
              </w:rPr>
            </w:pPr>
          </w:p>
          <w:p w:rsidR="00060419" w:rsidP="0031130F" w:rsidRDefault="00C64AF8" w14:paraId="363BC5FE" w14:textId="0E458F7A">
            <w:pPr>
              <w:rPr>
                <w:rFonts w:ascii="Calibri" w:hAnsi="Calibri" w:eastAsia="Calibri" w:cs="Calibri"/>
                <w:sz w:val="20"/>
                <w:szCs w:val="20"/>
              </w:rPr>
            </w:pPr>
            <w:r w:rsidRPr="00421C90">
              <w:rPr>
                <w:rFonts w:ascii="Calibri" w:hAnsi="Calibri" w:eastAsia="Calibri" w:cs="Calibri"/>
                <w:sz w:val="20"/>
                <w:szCs w:val="20"/>
              </w:rPr>
              <w:lastRenderedPageBreak/>
              <w:t>Instead of requiring the proposed data disaggregation from all</w:t>
            </w:r>
            <w:r w:rsidRPr="00421C90" w:rsidR="00943ED3">
              <w:rPr>
                <w:rFonts w:ascii="Calibri" w:hAnsi="Calibri" w:eastAsia="Calibri" w:cs="Calibri"/>
                <w:sz w:val="20"/>
                <w:szCs w:val="20"/>
              </w:rPr>
              <w:t xml:space="preserve"> </w:t>
            </w:r>
            <w:r w:rsidRPr="00421C90">
              <w:rPr>
                <w:rFonts w:ascii="Calibri" w:hAnsi="Calibri" w:eastAsia="Calibri" w:cs="Calibri"/>
                <w:sz w:val="20"/>
                <w:szCs w:val="20"/>
              </w:rPr>
              <w:t xml:space="preserve">institutions, we suggest the Department of Education gather this data through a grant-funded partnership with a representative sample of postsecondary institutions. </w:t>
            </w:r>
          </w:p>
          <w:p w:rsidR="009161D2" w:rsidP="0031130F" w:rsidRDefault="009161D2" w14:paraId="1D9DF744" w14:textId="5023AB2B">
            <w:pPr>
              <w:rPr>
                <w:rFonts w:ascii="Calibri" w:hAnsi="Calibri" w:eastAsia="Calibri" w:cs="Calibri"/>
                <w:sz w:val="20"/>
                <w:szCs w:val="20"/>
              </w:rPr>
            </w:pPr>
          </w:p>
          <w:p w:rsidRPr="00421C90" w:rsidR="009161D2" w:rsidP="0031130F" w:rsidRDefault="009161D2" w14:paraId="036A64B2" w14:textId="69517866">
            <w:pPr>
              <w:rPr>
                <w:sz w:val="20"/>
                <w:szCs w:val="20"/>
              </w:rPr>
            </w:pPr>
            <w:r w:rsidRPr="009161D2">
              <w:rPr>
                <w:sz w:val="20"/>
                <w:szCs w:val="20"/>
              </w:rPr>
              <w:t xml:space="preserve">This is a retroactive data collection request. Retroactive requests are burdensome, potentially impractical (or even impossible) to obtain––and may be inappropriate. When this is the case, data collection requests either should be deleted from the collection form or significantly revised to avoid an administratively burdensome new requirement. </w:t>
            </w:r>
            <w:r w:rsidRPr="0043444C" w:rsidR="0043444C">
              <w:rPr>
                <w:sz w:val="20"/>
                <w:szCs w:val="20"/>
              </w:rPr>
              <w:t>Some of these data collection requests––marked with an asterisk (</w:t>
            </w:r>
            <w:proofErr w:type="gramStart"/>
            <w:r w:rsidRPr="0043444C" w:rsidR="0043444C">
              <w:rPr>
                <w:sz w:val="20"/>
                <w:szCs w:val="20"/>
              </w:rPr>
              <w:t>*)––</w:t>
            </w:r>
            <w:proofErr w:type="gramEnd"/>
            <w:r w:rsidRPr="0043444C" w:rsidR="0043444C">
              <w:rPr>
                <w:sz w:val="20"/>
                <w:szCs w:val="20"/>
              </w:rPr>
              <w:t>are burdensome and it is not clear that they are statutorily required. We urge the Department to simplify the annual report by deleting selected data requests.</w:t>
            </w:r>
            <w:r w:rsidR="0070340C">
              <w:rPr>
                <w:sz w:val="20"/>
                <w:szCs w:val="20"/>
              </w:rPr>
              <w:t xml:space="preserve"> W</w:t>
            </w:r>
            <w:r w:rsidRPr="0070340C" w:rsidR="0070340C">
              <w:rPr>
                <w:sz w:val="20"/>
                <w:szCs w:val="20"/>
              </w:rPr>
              <w:t>here there are opportunities to simplify the data collection form (including the Department data collection web portal) we urge the Department to do so.</w:t>
            </w:r>
          </w:p>
          <w:p w:rsidRPr="00421C90" w:rsidR="000603AC" w:rsidRDefault="000603AC" w14:paraId="144B28E2" w14:textId="3763134B">
            <w:pPr>
              <w:rPr>
                <w:sz w:val="20"/>
                <w:szCs w:val="20"/>
              </w:rPr>
            </w:pPr>
          </w:p>
        </w:tc>
        <w:tc>
          <w:tcPr>
            <w:tcW w:w="1320" w:type="dxa"/>
          </w:tcPr>
          <w:p w:rsidRPr="00421C90" w:rsidR="000603AC" w:rsidRDefault="00AC0EF6" w14:paraId="226C292A" w14:textId="5FF2356A">
            <w:pPr>
              <w:rPr>
                <w:sz w:val="20"/>
                <w:szCs w:val="20"/>
              </w:rPr>
            </w:pPr>
            <w:r>
              <w:rPr>
                <w:sz w:val="20"/>
                <w:szCs w:val="20"/>
              </w:rPr>
              <w:lastRenderedPageBreak/>
              <w:t>Multiple</w:t>
            </w:r>
          </w:p>
        </w:tc>
        <w:tc>
          <w:tcPr>
            <w:tcW w:w="2151" w:type="dxa"/>
          </w:tcPr>
          <w:p w:rsidR="000603AC" w:rsidRDefault="00C247D6" w14:paraId="6ECE6A25" w14:textId="77777777">
            <w:pPr>
              <w:rPr>
                <w:sz w:val="20"/>
                <w:szCs w:val="20"/>
              </w:rPr>
            </w:pPr>
            <w:r>
              <w:rPr>
                <w:sz w:val="20"/>
                <w:szCs w:val="20"/>
              </w:rPr>
              <w:t>Ellen Olsen</w:t>
            </w:r>
          </w:p>
          <w:p w:rsidR="00757A07" w:rsidRDefault="00757A07" w14:paraId="37E0DF91" w14:textId="77777777">
            <w:pPr>
              <w:rPr>
                <w:sz w:val="20"/>
                <w:szCs w:val="20"/>
              </w:rPr>
            </w:pPr>
            <w:r w:rsidRPr="00757A07">
              <w:rPr>
                <w:sz w:val="20"/>
                <w:szCs w:val="20"/>
              </w:rPr>
              <w:t>Kent Sorenson</w:t>
            </w:r>
          </w:p>
          <w:p w:rsidR="00757A07" w:rsidRDefault="00757A07" w14:paraId="59DE0289" w14:textId="77777777">
            <w:pPr>
              <w:rPr>
                <w:sz w:val="20"/>
                <w:szCs w:val="20"/>
              </w:rPr>
            </w:pPr>
            <w:r w:rsidRPr="00757A07">
              <w:rPr>
                <w:sz w:val="20"/>
                <w:szCs w:val="20"/>
              </w:rPr>
              <w:t>Jennifer Schultz</w:t>
            </w:r>
          </w:p>
          <w:p w:rsidR="00757A07" w:rsidRDefault="00757A07" w14:paraId="022B6ABC" w14:textId="52F0F37D">
            <w:pPr>
              <w:rPr>
                <w:sz w:val="20"/>
                <w:szCs w:val="20"/>
              </w:rPr>
            </w:pPr>
            <w:r w:rsidRPr="00757A07">
              <w:rPr>
                <w:sz w:val="20"/>
                <w:szCs w:val="20"/>
              </w:rPr>
              <w:t>Anonymous</w:t>
            </w:r>
            <w:r w:rsidR="0077428B">
              <w:rPr>
                <w:sz w:val="20"/>
                <w:szCs w:val="20"/>
              </w:rPr>
              <w:t xml:space="preserve"> (2)</w:t>
            </w:r>
          </w:p>
          <w:p w:rsidR="0077428B" w:rsidRDefault="0077428B" w14:paraId="30A5D5AE" w14:textId="77777777">
            <w:pPr>
              <w:rPr>
                <w:sz w:val="20"/>
                <w:szCs w:val="20"/>
              </w:rPr>
            </w:pPr>
            <w:r w:rsidRPr="0077428B">
              <w:rPr>
                <w:sz w:val="20"/>
                <w:szCs w:val="20"/>
              </w:rPr>
              <w:t>Josh Welker</w:t>
            </w:r>
          </w:p>
          <w:p w:rsidRPr="0031130F" w:rsidR="009161D2" w:rsidRDefault="009161D2" w14:paraId="2A73F98A" w14:textId="650352EB">
            <w:pPr>
              <w:rPr>
                <w:sz w:val="20"/>
                <w:szCs w:val="20"/>
              </w:rPr>
            </w:pPr>
            <w:r w:rsidRPr="009161D2">
              <w:rPr>
                <w:sz w:val="20"/>
                <w:szCs w:val="20"/>
              </w:rPr>
              <w:t>COGR</w:t>
            </w:r>
          </w:p>
        </w:tc>
        <w:tc>
          <w:tcPr>
            <w:tcW w:w="9420" w:type="dxa"/>
          </w:tcPr>
          <w:p w:rsidRPr="00421C90" w:rsidR="000603AC" w:rsidRDefault="00757A07" w14:paraId="3E38EF56" w14:textId="10083622">
            <w:pPr>
              <w:rPr>
                <w:sz w:val="20"/>
                <w:szCs w:val="20"/>
              </w:rPr>
            </w:pPr>
            <w:r>
              <w:rPr>
                <w:sz w:val="20"/>
                <w:szCs w:val="20"/>
              </w:rPr>
              <w:t>No c</w:t>
            </w:r>
            <w:r w:rsidRPr="00421C90" w:rsidR="00C64AF8">
              <w:rPr>
                <w:sz w:val="20"/>
                <w:szCs w:val="20"/>
              </w:rPr>
              <w:t xml:space="preserve">hange. </w:t>
            </w:r>
            <w:r w:rsidRPr="00421C90" w:rsidR="008D1FD7">
              <w:rPr>
                <w:sz w:val="20"/>
                <w:szCs w:val="20"/>
              </w:rPr>
              <w:t xml:space="preserve">The Department </w:t>
            </w:r>
            <w:r w:rsidR="00797038">
              <w:rPr>
                <w:sz w:val="20"/>
                <w:szCs w:val="20"/>
              </w:rPr>
              <w:t xml:space="preserve">continues to </w:t>
            </w:r>
            <w:r w:rsidRPr="00421C90" w:rsidR="00E047C4">
              <w:rPr>
                <w:sz w:val="20"/>
                <w:szCs w:val="20"/>
              </w:rPr>
              <w:t>see</w:t>
            </w:r>
            <w:r w:rsidRPr="00421C90" w:rsidR="004B1E59">
              <w:rPr>
                <w:sz w:val="20"/>
                <w:szCs w:val="20"/>
              </w:rPr>
              <w:t xml:space="preserve"> the </w:t>
            </w:r>
            <w:r w:rsidRPr="00421C90" w:rsidR="002736F1">
              <w:rPr>
                <w:sz w:val="20"/>
                <w:szCs w:val="20"/>
              </w:rPr>
              <w:t>additional disaggregation</w:t>
            </w:r>
            <w:r w:rsidRPr="00421C90" w:rsidR="00D90D60">
              <w:rPr>
                <w:sz w:val="20"/>
                <w:szCs w:val="20"/>
              </w:rPr>
              <w:t xml:space="preserve"> </w:t>
            </w:r>
            <w:r w:rsidRPr="00421C90" w:rsidR="007D64F6">
              <w:rPr>
                <w:sz w:val="20"/>
                <w:szCs w:val="20"/>
              </w:rPr>
              <w:t>as</w:t>
            </w:r>
            <w:r w:rsidRPr="00421C90" w:rsidR="00D90D60">
              <w:rPr>
                <w:sz w:val="20"/>
                <w:szCs w:val="20"/>
              </w:rPr>
              <w:t xml:space="preserve"> important for transparency and accountability</w:t>
            </w:r>
            <w:r w:rsidRPr="00421C90" w:rsidR="00943ED3">
              <w:rPr>
                <w:sz w:val="20"/>
                <w:szCs w:val="20"/>
              </w:rPr>
              <w:t>,</w:t>
            </w:r>
            <w:r w:rsidRPr="00421C90" w:rsidR="00D90D60">
              <w:rPr>
                <w:sz w:val="20"/>
                <w:szCs w:val="20"/>
              </w:rPr>
              <w:t xml:space="preserve"> </w:t>
            </w:r>
            <w:r w:rsidRPr="00421C90" w:rsidR="005371F9">
              <w:rPr>
                <w:sz w:val="20"/>
                <w:szCs w:val="20"/>
              </w:rPr>
              <w:t>particularly as they relate</w:t>
            </w:r>
            <w:r w:rsidRPr="00421C90" w:rsidR="00D90D60">
              <w:rPr>
                <w:sz w:val="20"/>
                <w:szCs w:val="20"/>
              </w:rPr>
              <w:t xml:space="preserve"> to </w:t>
            </w:r>
            <w:r w:rsidR="006F1626">
              <w:rPr>
                <w:sz w:val="20"/>
                <w:szCs w:val="20"/>
              </w:rPr>
              <w:t xml:space="preserve">1) </w:t>
            </w:r>
            <w:r w:rsidRPr="00421C90" w:rsidR="00D90D60">
              <w:rPr>
                <w:sz w:val="20"/>
                <w:szCs w:val="20"/>
              </w:rPr>
              <w:t>equitable distribution of</w:t>
            </w:r>
            <w:r w:rsidRPr="00421C90" w:rsidR="004A6D6B">
              <w:rPr>
                <w:sz w:val="20"/>
                <w:szCs w:val="20"/>
              </w:rPr>
              <w:t xml:space="preserve"> </w:t>
            </w:r>
            <w:r w:rsidRPr="00421C90" w:rsidR="00FF74FD">
              <w:rPr>
                <w:sz w:val="20"/>
                <w:szCs w:val="20"/>
              </w:rPr>
              <w:t xml:space="preserve">emergency </w:t>
            </w:r>
            <w:r w:rsidRPr="00421C90" w:rsidR="004A6D6B">
              <w:rPr>
                <w:sz w:val="20"/>
                <w:szCs w:val="20"/>
              </w:rPr>
              <w:t>relief funding</w:t>
            </w:r>
            <w:r w:rsidRPr="00421C90" w:rsidR="00C64AF8">
              <w:rPr>
                <w:sz w:val="20"/>
                <w:szCs w:val="20"/>
              </w:rPr>
              <w:t xml:space="preserve"> for each institution</w:t>
            </w:r>
            <w:r w:rsidRPr="00421C90" w:rsidR="00491F4F">
              <w:rPr>
                <w:sz w:val="20"/>
                <w:szCs w:val="20"/>
              </w:rPr>
              <w:t xml:space="preserve"> </w:t>
            </w:r>
            <w:r w:rsidR="006F1626">
              <w:rPr>
                <w:sz w:val="20"/>
                <w:szCs w:val="20"/>
              </w:rPr>
              <w:t xml:space="preserve">2) </w:t>
            </w:r>
            <w:r w:rsidRPr="00421C90" w:rsidR="00491F4F">
              <w:rPr>
                <w:sz w:val="20"/>
                <w:szCs w:val="20"/>
              </w:rPr>
              <w:t>developing lessons learned for</w:t>
            </w:r>
            <w:r w:rsidRPr="00421C90" w:rsidR="008B6638">
              <w:rPr>
                <w:sz w:val="20"/>
                <w:szCs w:val="20"/>
              </w:rPr>
              <w:t xml:space="preserve"> current and future policies </w:t>
            </w:r>
            <w:r w:rsidRPr="00421C90" w:rsidR="0035140A">
              <w:rPr>
                <w:sz w:val="20"/>
                <w:szCs w:val="20"/>
              </w:rPr>
              <w:t xml:space="preserve">that respond </w:t>
            </w:r>
            <w:r w:rsidRPr="00421C90" w:rsidR="00165BF2">
              <w:rPr>
                <w:sz w:val="20"/>
                <w:szCs w:val="20"/>
              </w:rPr>
              <w:t>to national emergencies</w:t>
            </w:r>
            <w:r w:rsidRPr="00421C90" w:rsidR="007D64F6">
              <w:rPr>
                <w:sz w:val="20"/>
                <w:szCs w:val="20"/>
              </w:rPr>
              <w:t xml:space="preserve">. </w:t>
            </w:r>
            <w:r w:rsidRPr="479433F0" w:rsidR="006D6961">
              <w:rPr>
                <w:sz w:val="20"/>
                <w:szCs w:val="20"/>
              </w:rPr>
              <w:t xml:space="preserve">Further, </w:t>
            </w:r>
            <w:r w:rsidRPr="479433F0" w:rsidR="004E3CA9">
              <w:rPr>
                <w:sz w:val="20"/>
                <w:szCs w:val="20"/>
              </w:rPr>
              <w:t xml:space="preserve">the Department sees the importance of </w:t>
            </w:r>
            <w:r w:rsidRPr="479433F0" w:rsidR="00401A2C">
              <w:rPr>
                <w:sz w:val="20"/>
                <w:szCs w:val="20"/>
              </w:rPr>
              <w:t xml:space="preserve">transparency and accountability </w:t>
            </w:r>
            <w:r w:rsidRPr="479433F0" w:rsidR="00DA566C">
              <w:rPr>
                <w:sz w:val="20"/>
                <w:szCs w:val="20"/>
              </w:rPr>
              <w:t>at the institution level</w:t>
            </w:r>
            <w:r w:rsidRPr="479433F0" w:rsidR="00FD6447">
              <w:rPr>
                <w:sz w:val="20"/>
                <w:szCs w:val="20"/>
              </w:rPr>
              <w:t xml:space="preserve"> </w:t>
            </w:r>
            <w:r w:rsidRPr="479433F0" w:rsidR="00811817">
              <w:rPr>
                <w:sz w:val="20"/>
                <w:szCs w:val="20"/>
              </w:rPr>
              <w:t>and a national sample would not provide this level of granularity</w:t>
            </w:r>
            <w:r w:rsidRPr="479433F0" w:rsidR="00401A2C">
              <w:rPr>
                <w:sz w:val="20"/>
                <w:szCs w:val="20"/>
              </w:rPr>
              <w:t xml:space="preserve">. </w:t>
            </w:r>
            <w:r w:rsidR="005C6D5F">
              <w:rPr>
                <w:sz w:val="20"/>
                <w:szCs w:val="20"/>
              </w:rPr>
              <w:t xml:space="preserve">As a </w:t>
            </w:r>
            <w:r w:rsidR="002736F1">
              <w:rPr>
                <w:sz w:val="20"/>
                <w:szCs w:val="20"/>
              </w:rPr>
              <w:t xml:space="preserve">reminder, </w:t>
            </w:r>
            <w:r w:rsidRPr="00421C90" w:rsidR="002736F1">
              <w:rPr>
                <w:sz w:val="20"/>
                <w:szCs w:val="20"/>
              </w:rPr>
              <w:t>many</w:t>
            </w:r>
            <w:r w:rsidRPr="00421C90" w:rsidR="0099199A">
              <w:rPr>
                <w:sz w:val="20"/>
                <w:szCs w:val="20"/>
              </w:rPr>
              <w:t xml:space="preserve"> institutions can use </w:t>
            </w:r>
            <w:r w:rsidR="00E64A89">
              <w:rPr>
                <w:sz w:val="20"/>
                <w:szCs w:val="20"/>
              </w:rPr>
              <w:t xml:space="preserve">their </w:t>
            </w:r>
            <w:r w:rsidRPr="00421C90" w:rsidR="0099199A">
              <w:rPr>
                <w:sz w:val="20"/>
                <w:szCs w:val="20"/>
              </w:rPr>
              <w:t>HEERF</w:t>
            </w:r>
            <w:r w:rsidR="00E64A89">
              <w:rPr>
                <w:sz w:val="20"/>
                <w:szCs w:val="20"/>
              </w:rPr>
              <w:t xml:space="preserve"> grant funds</w:t>
            </w:r>
            <w:r w:rsidRPr="00421C90" w:rsidR="0099199A">
              <w:rPr>
                <w:sz w:val="20"/>
                <w:szCs w:val="20"/>
              </w:rPr>
              <w:t xml:space="preserve"> for administrative costs such as </w:t>
            </w:r>
            <w:r w:rsidRPr="00421C90" w:rsidR="001D64BD">
              <w:rPr>
                <w:sz w:val="20"/>
                <w:szCs w:val="20"/>
              </w:rPr>
              <w:t xml:space="preserve">annual </w:t>
            </w:r>
            <w:r w:rsidRPr="00421C90" w:rsidR="0099199A">
              <w:rPr>
                <w:sz w:val="20"/>
                <w:szCs w:val="20"/>
              </w:rPr>
              <w:t>reporting</w:t>
            </w:r>
            <w:r w:rsidRPr="479433F0" w:rsidR="00B576C5">
              <w:rPr>
                <w:sz w:val="20"/>
                <w:szCs w:val="20"/>
              </w:rPr>
              <w:t xml:space="preserve">. </w:t>
            </w:r>
            <w:r w:rsidRPr="479433F0" w:rsidR="00384CDD">
              <w:rPr>
                <w:sz w:val="20"/>
                <w:szCs w:val="20"/>
              </w:rPr>
              <w:t xml:space="preserve">To ensure that </w:t>
            </w:r>
            <w:r w:rsidRPr="479433F0" w:rsidR="003E6F0D">
              <w:rPr>
                <w:sz w:val="20"/>
                <w:szCs w:val="20"/>
              </w:rPr>
              <w:t xml:space="preserve">all the students could be categorized </w:t>
            </w:r>
            <w:r w:rsidRPr="479433F0" w:rsidR="0001482A">
              <w:rPr>
                <w:sz w:val="20"/>
                <w:szCs w:val="20"/>
              </w:rPr>
              <w:t>for</w:t>
            </w:r>
            <w:r w:rsidRPr="479433F0" w:rsidR="003E6F0D">
              <w:rPr>
                <w:sz w:val="20"/>
                <w:szCs w:val="20"/>
              </w:rPr>
              <w:t xml:space="preserve"> questions that </w:t>
            </w:r>
            <w:r w:rsidRPr="479433F0" w:rsidR="004B7DB0">
              <w:rPr>
                <w:sz w:val="20"/>
                <w:szCs w:val="20"/>
              </w:rPr>
              <w:t xml:space="preserve">rely on IPEDS </w:t>
            </w:r>
            <w:r w:rsidRPr="479433F0" w:rsidR="006C5917">
              <w:rPr>
                <w:sz w:val="20"/>
                <w:szCs w:val="20"/>
              </w:rPr>
              <w:t xml:space="preserve">demographic </w:t>
            </w:r>
            <w:r w:rsidRPr="479433F0" w:rsidR="006C2693">
              <w:rPr>
                <w:sz w:val="20"/>
                <w:szCs w:val="20"/>
              </w:rPr>
              <w:t xml:space="preserve">categories, </w:t>
            </w:r>
            <w:r w:rsidRPr="479433F0" w:rsidR="00457A26">
              <w:rPr>
                <w:sz w:val="20"/>
                <w:szCs w:val="20"/>
              </w:rPr>
              <w:t>a</w:t>
            </w:r>
            <w:r w:rsidRPr="479433F0" w:rsidR="00E1005E">
              <w:rPr>
                <w:sz w:val="20"/>
                <w:szCs w:val="20"/>
              </w:rPr>
              <w:t>n additional</w:t>
            </w:r>
            <w:r w:rsidRPr="479433F0" w:rsidR="00457A26">
              <w:rPr>
                <w:sz w:val="20"/>
                <w:szCs w:val="20"/>
              </w:rPr>
              <w:t xml:space="preserve"> </w:t>
            </w:r>
            <w:r w:rsidRPr="479433F0" w:rsidR="00553F52">
              <w:rPr>
                <w:sz w:val="20"/>
                <w:szCs w:val="20"/>
              </w:rPr>
              <w:t xml:space="preserve">category </w:t>
            </w:r>
            <w:r w:rsidRPr="479433F0" w:rsidR="006C2693">
              <w:rPr>
                <w:sz w:val="20"/>
                <w:szCs w:val="20"/>
              </w:rPr>
              <w:t xml:space="preserve">was added </w:t>
            </w:r>
            <w:r w:rsidRPr="479433F0" w:rsidR="00553F52">
              <w:rPr>
                <w:sz w:val="20"/>
                <w:szCs w:val="20"/>
              </w:rPr>
              <w:t xml:space="preserve">for </w:t>
            </w:r>
            <w:r w:rsidRPr="479433F0" w:rsidR="00B05309">
              <w:rPr>
                <w:sz w:val="20"/>
                <w:szCs w:val="20"/>
              </w:rPr>
              <w:t xml:space="preserve">students </w:t>
            </w:r>
            <w:r w:rsidRPr="479433F0" w:rsidR="00075C5C">
              <w:rPr>
                <w:sz w:val="20"/>
                <w:szCs w:val="20"/>
              </w:rPr>
              <w:t xml:space="preserve">not classified by IPEDS </w:t>
            </w:r>
            <w:r w:rsidRPr="479433F0" w:rsidR="00AD4C1B">
              <w:rPr>
                <w:sz w:val="20"/>
                <w:szCs w:val="20"/>
              </w:rPr>
              <w:t>(</w:t>
            </w:r>
            <w:proofErr w:type="gramStart"/>
            <w:r w:rsidRPr="479433F0" w:rsidR="00AD4C1B">
              <w:rPr>
                <w:sz w:val="20"/>
                <w:szCs w:val="20"/>
              </w:rPr>
              <w:t>e.g.</w:t>
            </w:r>
            <w:proofErr w:type="gramEnd"/>
            <w:r w:rsidRPr="479433F0" w:rsidR="00AD4C1B">
              <w:rPr>
                <w:sz w:val="20"/>
                <w:szCs w:val="20"/>
              </w:rPr>
              <w:t xml:space="preserve"> </w:t>
            </w:r>
            <w:r w:rsidRPr="479433F0" w:rsidR="007046F9">
              <w:rPr>
                <w:sz w:val="20"/>
                <w:szCs w:val="20"/>
              </w:rPr>
              <w:t>students that</w:t>
            </w:r>
            <w:r w:rsidRPr="479433F0" w:rsidR="00EE78EE">
              <w:rPr>
                <w:sz w:val="20"/>
                <w:szCs w:val="20"/>
              </w:rPr>
              <w:t xml:space="preserve"> </w:t>
            </w:r>
            <w:r w:rsidRPr="479433F0" w:rsidR="7EA03B6B">
              <w:rPr>
                <w:sz w:val="20"/>
                <w:szCs w:val="20"/>
              </w:rPr>
              <w:t xml:space="preserve">were </w:t>
            </w:r>
            <w:r w:rsidRPr="479433F0" w:rsidR="00EE78EE">
              <w:rPr>
                <w:sz w:val="20"/>
                <w:szCs w:val="20"/>
              </w:rPr>
              <w:t>not enrolled for credit in courses that could lead to an award</w:t>
            </w:r>
            <w:r w:rsidRPr="479433F0" w:rsidR="0001469F">
              <w:rPr>
                <w:sz w:val="20"/>
                <w:szCs w:val="20"/>
              </w:rPr>
              <w:t>).  Lastly,</w:t>
            </w:r>
            <w:r w:rsidRPr="479433F0" w:rsidR="00D514BE">
              <w:rPr>
                <w:sz w:val="20"/>
                <w:szCs w:val="20"/>
              </w:rPr>
              <w:t xml:space="preserve"> </w:t>
            </w:r>
            <w:r w:rsidRPr="479433F0" w:rsidR="003213E3">
              <w:rPr>
                <w:sz w:val="20"/>
                <w:szCs w:val="20"/>
              </w:rPr>
              <w:t>for many of the questions</w:t>
            </w:r>
            <w:r w:rsidRPr="479433F0" w:rsidR="007D7DC5">
              <w:rPr>
                <w:sz w:val="20"/>
                <w:szCs w:val="20"/>
              </w:rPr>
              <w:t xml:space="preserve"> requiring </w:t>
            </w:r>
            <w:r w:rsidRPr="479433F0" w:rsidR="003213E3">
              <w:rPr>
                <w:sz w:val="20"/>
                <w:szCs w:val="20"/>
              </w:rPr>
              <w:t xml:space="preserve">disaggregation, </w:t>
            </w:r>
            <w:r w:rsidRPr="479433F0" w:rsidR="00D514BE">
              <w:rPr>
                <w:sz w:val="20"/>
                <w:szCs w:val="20"/>
              </w:rPr>
              <w:t xml:space="preserve">grantees will </w:t>
            </w:r>
            <w:r w:rsidR="00EF0C25">
              <w:rPr>
                <w:sz w:val="20"/>
                <w:szCs w:val="20"/>
              </w:rPr>
              <w:t>have</w:t>
            </w:r>
            <w:r w:rsidR="00AE7FAB">
              <w:rPr>
                <w:sz w:val="20"/>
                <w:szCs w:val="20"/>
              </w:rPr>
              <w:t xml:space="preserve"> </w:t>
            </w:r>
            <w:r w:rsidRPr="479433F0" w:rsidR="0079088B">
              <w:rPr>
                <w:sz w:val="20"/>
                <w:szCs w:val="20"/>
              </w:rPr>
              <w:t>more time</w:t>
            </w:r>
            <w:r w:rsidR="00AE7FAB">
              <w:rPr>
                <w:sz w:val="20"/>
                <w:szCs w:val="20"/>
              </w:rPr>
              <w:t xml:space="preserve"> </w:t>
            </w:r>
            <w:r w:rsidRPr="479433F0" w:rsidR="00E93DCC">
              <w:rPr>
                <w:sz w:val="20"/>
                <w:szCs w:val="20"/>
              </w:rPr>
              <w:t xml:space="preserve">to </w:t>
            </w:r>
            <w:r w:rsidRPr="479433F0" w:rsidR="006E46D4">
              <w:rPr>
                <w:sz w:val="20"/>
                <w:szCs w:val="20"/>
              </w:rPr>
              <w:t xml:space="preserve">link </w:t>
            </w:r>
            <w:r w:rsidRPr="479433F0" w:rsidR="00E93DCC">
              <w:rPr>
                <w:sz w:val="20"/>
                <w:szCs w:val="20"/>
              </w:rPr>
              <w:t>their data systems</w:t>
            </w:r>
            <w:r w:rsidRPr="479433F0" w:rsidR="00174575">
              <w:rPr>
                <w:sz w:val="20"/>
                <w:szCs w:val="20"/>
              </w:rPr>
              <w:t xml:space="preserve"> and prepare data. </w:t>
            </w:r>
            <w:r w:rsidR="0044609F">
              <w:t xml:space="preserve"> </w:t>
            </w:r>
            <w:r w:rsidR="00E51133">
              <w:t>F</w:t>
            </w:r>
            <w:r w:rsidRPr="479433F0" w:rsidR="0044609F">
              <w:rPr>
                <w:sz w:val="20"/>
                <w:szCs w:val="20"/>
              </w:rPr>
              <w:t>or the second annual report covering January 1, 2021-December 31, 2021, institutions have the option of taking more time to submit answers to questions marked with an asterisk. Institutions can submit answers to questions marked with an asterisk in early 2022 as part of the second annual report (in alignment with the table above) OR in early 2023 as part of the third annual report. Starting with the third annual report, institutions need to provide answers to all questions including those marked with an asterisk per the reporting schedule</w:t>
            </w:r>
            <w:r w:rsidRPr="479433F0" w:rsidR="003702E7">
              <w:rPr>
                <w:sz w:val="20"/>
                <w:szCs w:val="20"/>
              </w:rPr>
              <w:t xml:space="preserve"> described on the form</w:t>
            </w:r>
            <w:r w:rsidRPr="479433F0" w:rsidR="0044609F">
              <w:rPr>
                <w:sz w:val="20"/>
                <w:szCs w:val="20"/>
              </w:rPr>
              <w:t xml:space="preserve">. </w:t>
            </w:r>
          </w:p>
        </w:tc>
      </w:tr>
      <w:tr w:rsidRPr="00E15EAE" w:rsidR="00DD778F" w:rsidTr="001C32E7" w14:paraId="59A74158" w14:textId="77777777">
        <w:tc>
          <w:tcPr>
            <w:tcW w:w="4384" w:type="dxa"/>
          </w:tcPr>
          <w:p w:rsidRPr="00421C90" w:rsidR="00DD778F" w:rsidP="00943ED3" w:rsidRDefault="00DD778F" w14:paraId="0DF546DC" w14:textId="405FB333">
            <w:pPr>
              <w:rPr>
                <w:sz w:val="20"/>
                <w:szCs w:val="20"/>
              </w:rPr>
            </w:pPr>
            <w:r w:rsidRPr="00DD778F">
              <w:rPr>
                <w:sz w:val="20"/>
                <w:szCs w:val="20"/>
              </w:rPr>
              <w:t xml:space="preserve">Preserving disaggregation along race/ethnicity and Pell receipt is critical to understanding disparities in educational outcomes associated with the pandemic and the impact of federal and institutional responses. Because Black, Latinx, Indigenous, and Asian American and Pacific Islander students and students from low-income backgrounds have been disproportionately impacted by the health, economic, and educational upheaval the pandemic has caused, the publication of data on the extent to which institutions are addressing these disparities is necessary to advance racial and socioeconomic equity. Preserving disaggregation by gender and age can also help us better understand the challenges faced by today’s students throughout </w:t>
            </w:r>
            <w:r w:rsidRPr="00DD778F">
              <w:rPr>
                <w:sz w:val="20"/>
                <w:szCs w:val="20"/>
              </w:rPr>
              <w:lastRenderedPageBreak/>
              <w:t>the pandemic and assess how HEERF funding was able to help support their retention and success. While disaggregated data reporting requirements will require effort, we agree with ED’s statement that these requirements are necessary for transparency.</w:t>
            </w:r>
          </w:p>
        </w:tc>
        <w:tc>
          <w:tcPr>
            <w:tcW w:w="1320" w:type="dxa"/>
          </w:tcPr>
          <w:p w:rsidRPr="00421C90" w:rsidR="00DD778F" w:rsidRDefault="00DD778F" w14:paraId="15AC132E" w14:textId="77777777">
            <w:pPr>
              <w:rPr>
                <w:sz w:val="20"/>
                <w:szCs w:val="20"/>
              </w:rPr>
            </w:pPr>
          </w:p>
        </w:tc>
        <w:tc>
          <w:tcPr>
            <w:tcW w:w="2151" w:type="dxa"/>
          </w:tcPr>
          <w:p w:rsidR="00DD778F" w:rsidRDefault="00B1199B" w14:paraId="05689A77" w14:textId="2614E495">
            <w:pPr>
              <w:rPr>
                <w:sz w:val="20"/>
                <w:szCs w:val="20"/>
              </w:rPr>
            </w:pPr>
            <w:proofErr w:type="spellStart"/>
            <w:r w:rsidRPr="00B1199B">
              <w:rPr>
                <w:sz w:val="20"/>
                <w:szCs w:val="20"/>
              </w:rPr>
              <w:t>PostsecData</w:t>
            </w:r>
            <w:proofErr w:type="spellEnd"/>
          </w:p>
        </w:tc>
        <w:tc>
          <w:tcPr>
            <w:tcW w:w="9420" w:type="dxa"/>
          </w:tcPr>
          <w:p w:rsidR="00DD778F" w:rsidRDefault="00FD3F1F" w14:paraId="5BB569C3" w14:textId="5B4F571F">
            <w:pPr>
              <w:rPr>
                <w:sz w:val="20"/>
                <w:szCs w:val="20"/>
              </w:rPr>
            </w:pPr>
            <w:r>
              <w:rPr>
                <w:sz w:val="20"/>
                <w:szCs w:val="20"/>
              </w:rPr>
              <w:t>No change.</w:t>
            </w:r>
          </w:p>
        </w:tc>
      </w:tr>
      <w:tr w:rsidRPr="00E15EAE" w:rsidR="003B4E77" w:rsidTr="001C32E7" w14:paraId="693BD371" w14:textId="77777777">
        <w:tc>
          <w:tcPr>
            <w:tcW w:w="4384" w:type="dxa"/>
          </w:tcPr>
          <w:p w:rsidRPr="00DD778F" w:rsidR="003B4E77" w:rsidP="00943ED3" w:rsidRDefault="003B4E77" w14:paraId="065C3E53" w14:textId="3C1058A0">
            <w:pPr>
              <w:rPr>
                <w:sz w:val="20"/>
                <w:szCs w:val="20"/>
              </w:rPr>
            </w:pPr>
            <w:r w:rsidRPr="009161D2">
              <w:rPr>
                <w:sz w:val="20"/>
                <w:szCs w:val="20"/>
              </w:rPr>
              <w:t>If the intent of the “Students not categorized in IPEDS” data field is to allow institutions to bypass this data collection request in cases where it is impractical or impossible to comply, COGR requests that this clearly be described in the instructions for completing these sections of the annual report.</w:t>
            </w:r>
          </w:p>
        </w:tc>
        <w:tc>
          <w:tcPr>
            <w:tcW w:w="1320" w:type="dxa"/>
          </w:tcPr>
          <w:p w:rsidRPr="00421C90" w:rsidR="003B4E77" w:rsidRDefault="00426448" w14:paraId="1BCFAF2D" w14:textId="614E1A9C">
            <w:pPr>
              <w:rPr>
                <w:sz w:val="20"/>
                <w:szCs w:val="20"/>
              </w:rPr>
            </w:pPr>
            <w:r>
              <w:rPr>
                <w:sz w:val="20"/>
                <w:szCs w:val="20"/>
              </w:rPr>
              <w:t>Multiple</w:t>
            </w:r>
          </w:p>
        </w:tc>
        <w:tc>
          <w:tcPr>
            <w:tcW w:w="2151" w:type="dxa"/>
          </w:tcPr>
          <w:p w:rsidRPr="00B1199B" w:rsidR="003B4E77" w:rsidRDefault="00D91624" w14:paraId="09800D98" w14:textId="39B8F05E">
            <w:pPr>
              <w:rPr>
                <w:sz w:val="20"/>
                <w:szCs w:val="20"/>
              </w:rPr>
            </w:pPr>
            <w:r>
              <w:rPr>
                <w:sz w:val="20"/>
                <w:szCs w:val="20"/>
              </w:rPr>
              <w:t>COGR</w:t>
            </w:r>
          </w:p>
        </w:tc>
        <w:tc>
          <w:tcPr>
            <w:tcW w:w="9420" w:type="dxa"/>
          </w:tcPr>
          <w:p w:rsidR="003B4E77" w:rsidRDefault="00D91624" w14:paraId="6D8382BF" w14:textId="534C9D95">
            <w:pPr>
              <w:rPr>
                <w:sz w:val="20"/>
                <w:szCs w:val="20"/>
              </w:rPr>
            </w:pPr>
            <w:r>
              <w:rPr>
                <w:sz w:val="20"/>
                <w:szCs w:val="20"/>
              </w:rPr>
              <w:t>Change</w:t>
            </w:r>
            <w:r w:rsidR="001E117D">
              <w:rPr>
                <w:sz w:val="20"/>
                <w:szCs w:val="20"/>
              </w:rPr>
              <w:t xml:space="preserve">. </w:t>
            </w:r>
            <w:r w:rsidR="001235A0">
              <w:rPr>
                <w:sz w:val="20"/>
                <w:szCs w:val="20"/>
              </w:rPr>
              <w:t xml:space="preserve">The form has been </w:t>
            </w:r>
            <w:r w:rsidR="00EF6D60">
              <w:rPr>
                <w:sz w:val="20"/>
                <w:szCs w:val="20"/>
              </w:rPr>
              <w:t xml:space="preserve">updated </w:t>
            </w:r>
            <w:r w:rsidR="001869C0">
              <w:rPr>
                <w:sz w:val="20"/>
                <w:szCs w:val="20"/>
              </w:rPr>
              <w:t xml:space="preserve">with instructions </w:t>
            </w:r>
            <w:r w:rsidR="00B91B86">
              <w:rPr>
                <w:sz w:val="20"/>
                <w:szCs w:val="20"/>
              </w:rPr>
              <w:t>on</w:t>
            </w:r>
            <w:r w:rsidR="001070B5">
              <w:rPr>
                <w:sz w:val="20"/>
                <w:szCs w:val="20"/>
              </w:rPr>
              <w:t xml:space="preserve"> </w:t>
            </w:r>
            <w:r w:rsidR="002706F6">
              <w:rPr>
                <w:sz w:val="20"/>
                <w:szCs w:val="20"/>
              </w:rPr>
              <w:t>which students should be</w:t>
            </w:r>
            <w:r w:rsidR="00B62695">
              <w:rPr>
                <w:sz w:val="20"/>
                <w:szCs w:val="20"/>
              </w:rPr>
              <w:t xml:space="preserve"> categorize</w:t>
            </w:r>
            <w:r w:rsidR="002706F6">
              <w:rPr>
                <w:sz w:val="20"/>
                <w:szCs w:val="20"/>
              </w:rPr>
              <w:t>d</w:t>
            </w:r>
            <w:r w:rsidR="00B62695">
              <w:rPr>
                <w:sz w:val="20"/>
                <w:szCs w:val="20"/>
              </w:rPr>
              <w:t xml:space="preserve"> </w:t>
            </w:r>
            <w:r w:rsidR="002E28FA">
              <w:rPr>
                <w:sz w:val="20"/>
                <w:szCs w:val="20"/>
              </w:rPr>
              <w:t xml:space="preserve">students </w:t>
            </w:r>
            <w:r w:rsidR="00400181">
              <w:rPr>
                <w:sz w:val="20"/>
                <w:szCs w:val="20"/>
              </w:rPr>
              <w:t xml:space="preserve">as </w:t>
            </w:r>
            <w:r w:rsidR="00861578">
              <w:rPr>
                <w:sz w:val="20"/>
                <w:szCs w:val="20"/>
              </w:rPr>
              <w:t>“</w:t>
            </w:r>
            <w:r w:rsidR="00F87650">
              <w:rPr>
                <w:sz w:val="20"/>
                <w:szCs w:val="20"/>
              </w:rPr>
              <w:t>S</w:t>
            </w:r>
            <w:r w:rsidR="00FB2C96">
              <w:rPr>
                <w:sz w:val="20"/>
                <w:szCs w:val="20"/>
              </w:rPr>
              <w:t xml:space="preserve">tudents not categorized in </w:t>
            </w:r>
            <w:r w:rsidRPr="00F87650" w:rsidR="00F87650">
              <w:rPr>
                <w:sz w:val="20"/>
                <w:szCs w:val="20"/>
              </w:rPr>
              <w:t>IPEDS</w:t>
            </w:r>
            <w:r w:rsidR="00F87650">
              <w:rPr>
                <w:sz w:val="20"/>
                <w:szCs w:val="20"/>
              </w:rPr>
              <w:t xml:space="preserve">”  </w:t>
            </w:r>
          </w:p>
        </w:tc>
      </w:tr>
      <w:tr w:rsidRPr="00E15EAE" w:rsidR="00623B89" w:rsidTr="001C32E7" w14:paraId="32562A13" w14:textId="77777777">
        <w:tc>
          <w:tcPr>
            <w:tcW w:w="4384" w:type="dxa"/>
          </w:tcPr>
          <w:p w:rsidRPr="00421C90" w:rsidR="00623B89" w:rsidRDefault="00623B89" w14:paraId="3E12D258" w14:textId="73BF4661">
            <w:pPr>
              <w:rPr>
                <w:sz w:val="20"/>
                <w:szCs w:val="20"/>
              </w:rPr>
            </w:pPr>
            <w:r w:rsidRPr="00421C90">
              <w:rPr>
                <w:sz w:val="20"/>
                <w:szCs w:val="20"/>
              </w:rPr>
              <w:t>Lost revenue is not being tracked based on prior guidance provided by the Department. In addition, lost revenue funds may not necessarily be expended in the same reporting period</w:t>
            </w:r>
            <w:r w:rsidRPr="00421C90" w:rsidR="0006494D">
              <w:rPr>
                <w:sz w:val="20"/>
                <w:szCs w:val="20"/>
              </w:rPr>
              <w:t>.</w:t>
            </w:r>
            <w:r w:rsidRPr="00421C90" w:rsidR="00021235">
              <w:rPr>
                <w:sz w:val="20"/>
                <w:szCs w:val="20"/>
              </w:rPr>
              <w:t xml:space="preserve"> </w:t>
            </w:r>
          </w:p>
        </w:tc>
        <w:tc>
          <w:tcPr>
            <w:tcW w:w="1320" w:type="dxa"/>
          </w:tcPr>
          <w:p w:rsidRPr="00421C90" w:rsidR="00623B89" w:rsidRDefault="00C247D6" w14:paraId="731C4F29" w14:textId="75CB0794">
            <w:pPr>
              <w:rPr>
                <w:sz w:val="20"/>
                <w:szCs w:val="20"/>
              </w:rPr>
            </w:pPr>
            <w:r>
              <w:rPr>
                <w:sz w:val="20"/>
                <w:szCs w:val="20"/>
              </w:rPr>
              <w:t>9c</w:t>
            </w:r>
          </w:p>
        </w:tc>
        <w:tc>
          <w:tcPr>
            <w:tcW w:w="2151" w:type="dxa"/>
          </w:tcPr>
          <w:p w:rsidR="00623B89" w:rsidRDefault="00C247D6" w14:paraId="0482E5BF" w14:textId="77777777">
            <w:pPr>
              <w:rPr>
                <w:sz w:val="20"/>
                <w:szCs w:val="20"/>
              </w:rPr>
            </w:pPr>
            <w:r w:rsidRPr="00C247D6">
              <w:rPr>
                <w:sz w:val="20"/>
                <w:szCs w:val="20"/>
              </w:rPr>
              <w:t>Ellen Olson</w:t>
            </w:r>
          </w:p>
          <w:p w:rsidR="00757A07" w:rsidRDefault="00757A07" w14:paraId="66EE4451" w14:textId="77777777">
            <w:pPr>
              <w:rPr>
                <w:sz w:val="20"/>
                <w:szCs w:val="20"/>
              </w:rPr>
            </w:pPr>
            <w:r w:rsidRPr="00757A07">
              <w:rPr>
                <w:sz w:val="20"/>
                <w:szCs w:val="20"/>
              </w:rPr>
              <w:t>Kent Sorenson</w:t>
            </w:r>
          </w:p>
          <w:p w:rsidRPr="0031130F" w:rsidR="0077428B" w:rsidRDefault="00757A07" w14:paraId="2015C5E4" w14:textId="00B9D223">
            <w:pPr>
              <w:rPr>
                <w:sz w:val="20"/>
                <w:szCs w:val="20"/>
              </w:rPr>
            </w:pPr>
            <w:r w:rsidRPr="00757A07">
              <w:rPr>
                <w:sz w:val="20"/>
                <w:szCs w:val="20"/>
              </w:rPr>
              <w:t>Anonymous</w:t>
            </w:r>
            <w:r w:rsidR="0077428B">
              <w:rPr>
                <w:sz w:val="20"/>
                <w:szCs w:val="20"/>
              </w:rPr>
              <w:t xml:space="preserve"> (3)</w:t>
            </w:r>
          </w:p>
        </w:tc>
        <w:tc>
          <w:tcPr>
            <w:tcW w:w="9420" w:type="dxa"/>
          </w:tcPr>
          <w:p w:rsidRPr="00421C90" w:rsidR="00623B89" w:rsidRDefault="00757A07" w14:paraId="7E55882D" w14:textId="18EF5779">
            <w:pPr>
              <w:rPr>
                <w:sz w:val="20"/>
                <w:szCs w:val="20"/>
              </w:rPr>
            </w:pPr>
            <w:r>
              <w:rPr>
                <w:sz w:val="20"/>
                <w:szCs w:val="20"/>
              </w:rPr>
              <w:t>No c</w:t>
            </w:r>
            <w:r w:rsidRPr="00421C90" w:rsidR="00C64AF8">
              <w:rPr>
                <w:sz w:val="20"/>
                <w:szCs w:val="20"/>
              </w:rPr>
              <w:t xml:space="preserve">hange. </w:t>
            </w:r>
            <w:r w:rsidRPr="00421C90" w:rsidR="00821541">
              <w:rPr>
                <w:sz w:val="20"/>
                <w:szCs w:val="20"/>
              </w:rPr>
              <w:t>To</w:t>
            </w:r>
            <w:r w:rsidRPr="00421C90" w:rsidR="00D51170">
              <w:rPr>
                <w:sz w:val="20"/>
                <w:szCs w:val="20"/>
              </w:rPr>
              <w:t xml:space="preserve"> maintain a metric for accountability on lost revenue expenditures</w:t>
            </w:r>
            <w:r w:rsidRPr="00421C90" w:rsidR="0006494D">
              <w:rPr>
                <w:sz w:val="20"/>
                <w:szCs w:val="20"/>
              </w:rPr>
              <w:t xml:space="preserve"> and maintain consistency with prior guidance</w:t>
            </w:r>
            <w:r w:rsidRPr="00421C90" w:rsidR="00D51170">
              <w:rPr>
                <w:sz w:val="20"/>
                <w:szCs w:val="20"/>
              </w:rPr>
              <w:t xml:space="preserve">, the </w:t>
            </w:r>
            <w:r w:rsidRPr="00421C90" w:rsidR="00811999">
              <w:rPr>
                <w:sz w:val="20"/>
                <w:szCs w:val="20"/>
              </w:rPr>
              <w:t xml:space="preserve">Department has </w:t>
            </w:r>
            <w:r w:rsidRPr="00421C90" w:rsidR="00D51170">
              <w:rPr>
                <w:sz w:val="20"/>
                <w:szCs w:val="20"/>
              </w:rPr>
              <w:t xml:space="preserve">reframed the question on </w:t>
            </w:r>
            <w:r w:rsidRPr="00421C90" w:rsidR="00A35E32">
              <w:rPr>
                <w:sz w:val="20"/>
                <w:szCs w:val="20"/>
              </w:rPr>
              <w:t>lost revenue to focus on how lost revenue expenditures were derived</w:t>
            </w:r>
            <w:r w:rsidRPr="00421C90" w:rsidR="002F4D9E">
              <w:rPr>
                <w:sz w:val="20"/>
                <w:szCs w:val="20"/>
              </w:rPr>
              <w:t xml:space="preserve"> </w:t>
            </w:r>
            <w:r w:rsidRPr="00421C90" w:rsidR="00116C01">
              <w:rPr>
                <w:sz w:val="20"/>
                <w:szCs w:val="20"/>
              </w:rPr>
              <w:t xml:space="preserve">using categories </w:t>
            </w:r>
            <w:r w:rsidRPr="00421C90" w:rsidR="002F4D9E">
              <w:rPr>
                <w:sz w:val="20"/>
                <w:szCs w:val="20"/>
              </w:rPr>
              <w:t xml:space="preserve">aligned with the </w:t>
            </w:r>
            <w:r w:rsidRPr="00421C90" w:rsidR="009039F7">
              <w:rPr>
                <w:sz w:val="20"/>
                <w:szCs w:val="20"/>
              </w:rPr>
              <w:t>March 19,</w:t>
            </w:r>
            <w:r w:rsidRPr="00421C90" w:rsidR="004B6F04">
              <w:rPr>
                <w:sz w:val="20"/>
                <w:szCs w:val="20"/>
              </w:rPr>
              <w:t xml:space="preserve"> </w:t>
            </w:r>
            <w:proofErr w:type="gramStart"/>
            <w:r w:rsidRPr="00421C90" w:rsidR="005A7E36">
              <w:rPr>
                <w:sz w:val="20"/>
                <w:szCs w:val="20"/>
              </w:rPr>
              <w:t>2021</w:t>
            </w:r>
            <w:proofErr w:type="gramEnd"/>
            <w:r w:rsidR="00700CD2">
              <w:rPr>
                <w:sz w:val="20"/>
                <w:szCs w:val="20"/>
              </w:rPr>
              <w:t xml:space="preserve"> Lost Revenue</w:t>
            </w:r>
            <w:r w:rsidRPr="00421C90" w:rsidR="009039F7">
              <w:rPr>
                <w:sz w:val="20"/>
                <w:szCs w:val="20"/>
              </w:rPr>
              <w:t xml:space="preserve"> FAQ</w:t>
            </w:r>
            <w:r w:rsidR="00700CD2">
              <w:rPr>
                <w:sz w:val="20"/>
                <w:szCs w:val="20"/>
              </w:rPr>
              <w:t xml:space="preserve"> Document</w:t>
            </w:r>
            <w:r w:rsidRPr="00421C90" w:rsidR="00A35E32">
              <w:rPr>
                <w:sz w:val="20"/>
                <w:szCs w:val="20"/>
              </w:rPr>
              <w:t>.</w:t>
            </w:r>
          </w:p>
        </w:tc>
      </w:tr>
      <w:tr w:rsidRPr="00E15EAE" w:rsidR="0048502A" w:rsidTr="001C32E7" w14:paraId="6AF831DE" w14:textId="77777777">
        <w:tc>
          <w:tcPr>
            <w:tcW w:w="4384" w:type="dxa"/>
          </w:tcPr>
          <w:p w:rsidRPr="00421C90" w:rsidR="0048502A" w:rsidRDefault="00153E73" w14:paraId="5CD907DC" w14:textId="0512B686">
            <w:pPr>
              <w:rPr>
                <w:sz w:val="20"/>
                <w:szCs w:val="20"/>
              </w:rPr>
            </w:pPr>
            <w:r w:rsidRPr="00153E73">
              <w:rPr>
                <w:sz w:val="20"/>
                <w:szCs w:val="20"/>
              </w:rPr>
              <w:t>COGR was concerned with the original reporting format for lost revenue. The revised format eliminates precise identification to financial statement categories and instead focuses on estimates to broad functional areas. COGR appreciates the Department’s responsiveness to our original concern.</w:t>
            </w:r>
          </w:p>
        </w:tc>
        <w:tc>
          <w:tcPr>
            <w:tcW w:w="1320" w:type="dxa"/>
          </w:tcPr>
          <w:p w:rsidR="0048502A" w:rsidRDefault="0086630D" w14:paraId="0D0F6036" w14:textId="1C564C4B">
            <w:pPr>
              <w:rPr>
                <w:sz w:val="20"/>
                <w:szCs w:val="20"/>
              </w:rPr>
            </w:pPr>
            <w:r>
              <w:rPr>
                <w:sz w:val="20"/>
                <w:szCs w:val="20"/>
              </w:rPr>
              <w:t>9c</w:t>
            </w:r>
          </w:p>
        </w:tc>
        <w:tc>
          <w:tcPr>
            <w:tcW w:w="2151" w:type="dxa"/>
          </w:tcPr>
          <w:p w:rsidRPr="00C247D6" w:rsidR="0048502A" w:rsidRDefault="002944A0" w14:paraId="21EAB091" w14:textId="123C6B2F">
            <w:pPr>
              <w:rPr>
                <w:sz w:val="20"/>
                <w:szCs w:val="20"/>
              </w:rPr>
            </w:pPr>
            <w:r w:rsidRPr="00153E73">
              <w:rPr>
                <w:sz w:val="20"/>
                <w:szCs w:val="20"/>
              </w:rPr>
              <w:t>COGR</w:t>
            </w:r>
          </w:p>
        </w:tc>
        <w:tc>
          <w:tcPr>
            <w:tcW w:w="9420" w:type="dxa"/>
          </w:tcPr>
          <w:p w:rsidR="0048502A" w:rsidRDefault="00F44ED6" w14:paraId="4861CCBC" w14:textId="427EA530">
            <w:pPr>
              <w:rPr>
                <w:sz w:val="20"/>
                <w:szCs w:val="20"/>
              </w:rPr>
            </w:pPr>
            <w:r>
              <w:rPr>
                <w:sz w:val="20"/>
                <w:szCs w:val="20"/>
              </w:rPr>
              <w:t>No change.</w:t>
            </w:r>
            <w:r w:rsidR="005F7412">
              <w:rPr>
                <w:sz w:val="20"/>
                <w:szCs w:val="20"/>
              </w:rPr>
              <w:t xml:space="preserve"> </w:t>
            </w:r>
          </w:p>
        </w:tc>
      </w:tr>
      <w:tr w:rsidRPr="00E15EAE" w:rsidR="00C52414" w:rsidTr="001C32E7" w14:paraId="2C8B4A28" w14:textId="77777777">
        <w:tc>
          <w:tcPr>
            <w:tcW w:w="4384" w:type="dxa"/>
          </w:tcPr>
          <w:p w:rsidRPr="00153E73" w:rsidR="00C52414" w:rsidRDefault="00CC0DDE" w14:paraId="278FF796" w14:textId="4E9512A7">
            <w:pPr>
              <w:rPr>
                <w:sz w:val="20"/>
                <w:szCs w:val="20"/>
              </w:rPr>
            </w:pPr>
            <w:proofErr w:type="gramStart"/>
            <w:r>
              <w:rPr>
                <w:sz w:val="20"/>
                <w:szCs w:val="20"/>
              </w:rPr>
              <w:t>In regards to</w:t>
            </w:r>
            <w:proofErr w:type="gramEnd"/>
            <w:r>
              <w:rPr>
                <w:sz w:val="20"/>
                <w:szCs w:val="20"/>
              </w:rPr>
              <w:t xml:space="preserve"> the instructions which state “</w:t>
            </w:r>
            <w:r w:rsidRPr="00CC0DDE">
              <w:rPr>
                <w:sz w:val="20"/>
                <w:szCs w:val="20"/>
              </w:rPr>
              <w:t>Failure to meet the HEERF reporting requirements is a violation of the grantee’s certification and agreement and could lead to adverse action</w:t>
            </w:r>
            <w:r>
              <w:rPr>
                <w:sz w:val="20"/>
                <w:szCs w:val="20"/>
              </w:rPr>
              <w:t xml:space="preserve">.” </w:t>
            </w:r>
            <w:r w:rsidRPr="00C52414" w:rsidR="00C52414">
              <w:rPr>
                <w:sz w:val="20"/>
                <w:szCs w:val="20"/>
              </w:rPr>
              <w:t>Our members, and the higher education community at-large, are focused on thorough, accurate, and transparent reporting of HEERF activity. This addition could be perceived as an ominous threat, which could then translate into inappropriate audit activity and/or unwarranted “adverse actions.”</w:t>
            </w:r>
            <w:r w:rsidR="004A2E58">
              <w:rPr>
                <w:sz w:val="20"/>
                <w:szCs w:val="20"/>
              </w:rPr>
              <w:t xml:space="preserve"> </w:t>
            </w:r>
            <w:r w:rsidRPr="004A2E58" w:rsidR="004A2E58">
              <w:rPr>
                <w:sz w:val="20"/>
                <w:szCs w:val="20"/>
              </w:rPr>
              <w:t>This new instruction that has been added to the form should be deleted.</w:t>
            </w:r>
          </w:p>
        </w:tc>
        <w:tc>
          <w:tcPr>
            <w:tcW w:w="1320" w:type="dxa"/>
          </w:tcPr>
          <w:p w:rsidR="00C52414" w:rsidRDefault="007718C2" w14:paraId="5919FBD9" w14:textId="057A1C32">
            <w:pPr>
              <w:rPr>
                <w:sz w:val="20"/>
                <w:szCs w:val="20"/>
              </w:rPr>
            </w:pPr>
            <w:r>
              <w:rPr>
                <w:sz w:val="20"/>
                <w:szCs w:val="20"/>
              </w:rPr>
              <w:t>Instructions</w:t>
            </w:r>
          </w:p>
        </w:tc>
        <w:tc>
          <w:tcPr>
            <w:tcW w:w="2151" w:type="dxa"/>
          </w:tcPr>
          <w:p w:rsidRPr="00153E73" w:rsidR="00C52414" w:rsidRDefault="00B1199B" w14:paraId="54DFA32D" w14:textId="1EF131EC">
            <w:pPr>
              <w:rPr>
                <w:sz w:val="20"/>
                <w:szCs w:val="20"/>
              </w:rPr>
            </w:pPr>
            <w:r>
              <w:rPr>
                <w:sz w:val="20"/>
                <w:szCs w:val="20"/>
              </w:rPr>
              <w:t>COGR</w:t>
            </w:r>
          </w:p>
        </w:tc>
        <w:tc>
          <w:tcPr>
            <w:tcW w:w="9420" w:type="dxa"/>
          </w:tcPr>
          <w:p w:rsidR="00C52414" w:rsidRDefault="00CE1CF1" w14:paraId="35377B8B" w14:textId="6EDBB137">
            <w:pPr>
              <w:rPr>
                <w:sz w:val="20"/>
                <w:szCs w:val="20"/>
              </w:rPr>
            </w:pPr>
            <w:r>
              <w:rPr>
                <w:sz w:val="20"/>
                <w:szCs w:val="20"/>
              </w:rPr>
              <w:t>No change.</w:t>
            </w:r>
            <w:r w:rsidRPr="005F7412" w:rsidR="00C20F43">
              <w:rPr>
                <w:sz w:val="20"/>
                <w:szCs w:val="20"/>
              </w:rPr>
              <w:t xml:space="preserve"> </w:t>
            </w:r>
            <w:r w:rsidR="00AD558A">
              <w:rPr>
                <w:sz w:val="20"/>
                <w:szCs w:val="20"/>
              </w:rPr>
              <w:t xml:space="preserve">While the </w:t>
            </w:r>
            <w:r w:rsidR="00805BB7">
              <w:rPr>
                <w:sz w:val="20"/>
                <w:szCs w:val="20"/>
              </w:rPr>
              <w:t xml:space="preserve">sentence remains in the form, the </w:t>
            </w:r>
            <w:r w:rsidRPr="005F7412" w:rsidR="00C20F43">
              <w:rPr>
                <w:sz w:val="20"/>
                <w:szCs w:val="20"/>
              </w:rPr>
              <w:t xml:space="preserve">Department </w:t>
            </w:r>
            <w:r w:rsidR="00C20F43">
              <w:rPr>
                <w:sz w:val="20"/>
                <w:szCs w:val="20"/>
              </w:rPr>
              <w:t xml:space="preserve">juxtaposed </w:t>
            </w:r>
            <w:r w:rsidR="006C7683">
              <w:rPr>
                <w:sz w:val="20"/>
                <w:szCs w:val="20"/>
              </w:rPr>
              <w:t>more</w:t>
            </w:r>
            <w:r w:rsidRPr="005F7412" w:rsidR="00C20F43">
              <w:rPr>
                <w:sz w:val="20"/>
                <w:szCs w:val="20"/>
              </w:rPr>
              <w:t xml:space="preserve"> context to the instructions to further highlight the importance </w:t>
            </w:r>
            <w:r w:rsidR="00321E8C">
              <w:rPr>
                <w:sz w:val="20"/>
                <w:szCs w:val="20"/>
              </w:rPr>
              <w:t xml:space="preserve">and rationale </w:t>
            </w:r>
            <w:r w:rsidRPr="005F7412" w:rsidR="00C20F43">
              <w:rPr>
                <w:sz w:val="20"/>
                <w:szCs w:val="20"/>
              </w:rPr>
              <w:t xml:space="preserve">of annual reporting. </w:t>
            </w:r>
            <w:r w:rsidR="006E6A8D">
              <w:rPr>
                <w:sz w:val="20"/>
                <w:szCs w:val="20"/>
              </w:rPr>
              <w:t xml:space="preserve">In addition, </w:t>
            </w:r>
            <w:r w:rsidRPr="005F7412" w:rsidR="00C20F43">
              <w:rPr>
                <w:sz w:val="20"/>
                <w:szCs w:val="20"/>
              </w:rPr>
              <w:t>compliance with annual reporting is consistent with</w:t>
            </w:r>
            <w:r w:rsidR="008968A9">
              <w:rPr>
                <w:sz w:val="20"/>
                <w:szCs w:val="20"/>
              </w:rPr>
              <w:t xml:space="preserve"> many</w:t>
            </w:r>
            <w:r w:rsidRPr="005F7412" w:rsidR="00C20F43">
              <w:rPr>
                <w:sz w:val="20"/>
                <w:szCs w:val="20"/>
              </w:rPr>
              <w:t xml:space="preserve"> </w:t>
            </w:r>
            <w:proofErr w:type="gramStart"/>
            <w:r w:rsidRPr="005F7412" w:rsidR="00C20F43">
              <w:rPr>
                <w:sz w:val="20"/>
                <w:szCs w:val="20"/>
              </w:rPr>
              <w:t>Department</w:t>
            </w:r>
            <w:proofErr w:type="gramEnd"/>
            <w:r w:rsidRPr="005F7412" w:rsidR="00C20F43">
              <w:rPr>
                <w:sz w:val="20"/>
                <w:szCs w:val="20"/>
              </w:rPr>
              <w:t xml:space="preserve"> grant programs in general.</w:t>
            </w:r>
          </w:p>
        </w:tc>
      </w:tr>
      <w:tr w:rsidRPr="00E15EAE" w:rsidR="00534105" w:rsidTr="001C32E7" w14:paraId="7842A12C" w14:textId="77777777">
        <w:tc>
          <w:tcPr>
            <w:tcW w:w="4384" w:type="dxa"/>
          </w:tcPr>
          <w:p w:rsidR="00534105" w:rsidRDefault="00534105" w14:paraId="55335473" w14:textId="262ED5BE">
            <w:pPr>
              <w:rPr>
                <w:sz w:val="20"/>
                <w:szCs w:val="20"/>
              </w:rPr>
            </w:pPr>
            <w:r w:rsidRPr="00534105">
              <w:rPr>
                <w:sz w:val="20"/>
                <w:szCs w:val="20"/>
              </w:rPr>
              <w:t xml:space="preserve">We also appreciate ED’s decision to require reporting on whether an institution received </w:t>
            </w:r>
            <w:r w:rsidRPr="00534105">
              <w:rPr>
                <w:sz w:val="20"/>
                <w:szCs w:val="20"/>
              </w:rPr>
              <w:lastRenderedPageBreak/>
              <w:t xml:space="preserve">approval from their accreditors for the transition to online education. </w:t>
            </w:r>
          </w:p>
        </w:tc>
        <w:tc>
          <w:tcPr>
            <w:tcW w:w="1320" w:type="dxa"/>
          </w:tcPr>
          <w:p w:rsidR="00534105" w:rsidRDefault="00534105" w14:paraId="2D3BAFA6" w14:textId="77777777">
            <w:pPr>
              <w:rPr>
                <w:sz w:val="20"/>
                <w:szCs w:val="20"/>
              </w:rPr>
            </w:pPr>
          </w:p>
        </w:tc>
        <w:tc>
          <w:tcPr>
            <w:tcW w:w="2151" w:type="dxa"/>
          </w:tcPr>
          <w:p w:rsidRPr="00153E73" w:rsidR="00534105" w:rsidRDefault="00B1199B" w14:paraId="65CE2E0C" w14:textId="0DE1F021">
            <w:pPr>
              <w:rPr>
                <w:sz w:val="20"/>
                <w:szCs w:val="20"/>
              </w:rPr>
            </w:pPr>
            <w:proofErr w:type="spellStart"/>
            <w:r w:rsidRPr="00B1199B">
              <w:rPr>
                <w:sz w:val="20"/>
                <w:szCs w:val="20"/>
              </w:rPr>
              <w:t>PostsecData</w:t>
            </w:r>
            <w:proofErr w:type="spellEnd"/>
          </w:p>
        </w:tc>
        <w:tc>
          <w:tcPr>
            <w:tcW w:w="9420" w:type="dxa"/>
          </w:tcPr>
          <w:p w:rsidR="00534105" w:rsidRDefault="00324430" w14:paraId="1738C74D" w14:textId="1B928236">
            <w:pPr>
              <w:rPr>
                <w:sz w:val="20"/>
                <w:szCs w:val="20"/>
              </w:rPr>
            </w:pPr>
            <w:r>
              <w:rPr>
                <w:sz w:val="20"/>
                <w:szCs w:val="20"/>
              </w:rPr>
              <w:t>No change.</w:t>
            </w:r>
          </w:p>
        </w:tc>
      </w:tr>
      <w:tr w:rsidRPr="00E15EAE" w:rsidR="00B1199B" w:rsidTr="001C32E7" w14:paraId="17BAC041" w14:textId="77777777">
        <w:tc>
          <w:tcPr>
            <w:tcW w:w="4384" w:type="dxa"/>
          </w:tcPr>
          <w:p w:rsidRPr="00534105" w:rsidR="00B1199B" w:rsidRDefault="00B1199B" w14:paraId="60DC5E5F" w14:textId="0F172EE1">
            <w:pPr>
              <w:rPr>
                <w:sz w:val="20"/>
                <w:szCs w:val="20"/>
              </w:rPr>
            </w:pPr>
            <w:proofErr w:type="spellStart"/>
            <w:r w:rsidRPr="00B1199B">
              <w:rPr>
                <w:sz w:val="20"/>
                <w:szCs w:val="20"/>
              </w:rPr>
              <w:t>PostsecData</w:t>
            </w:r>
            <w:proofErr w:type="spellEnd"/>
            <w:r w:rsidRPr="00B1199B">
              <w:rPr>
                <w:sz w:val="20"/>
                <w:szCs w:val="20"/>
              </w:rPr>
              <w:t xml:space="preserve"> also continues to support the use of comparison groups to assess the impact of emergency financial aid on retention and completion rates and urges ED to maintain reporting of retention rate data separately for students who receive HEERF funding and non-HEERF recipients.</w:t>
            </w:r>
          </w:p>
        </w:tc>
        <w:tc>
          <w:tcPr>
            <w:tcW w:w="1320" w:type="dxa"/>
          </w:tcPr>
          <w:p w:rsidR="00B1199B" w:rsidRDefault="00B1199B" w14:paraId="011D53E2" w14:textId="77777777">
            <w:pPr>
              <w:rPr>
                <w:sz w:val="20"/>
                <w:szCs w:val="20"/>
              </w:rPr>
            </w:pPr>
          </w:p>
        </w:tc>
        <w:tc>
          <w:tcPr>
            <w:tcW w:w="2151" w:type="dxa"/>
          </w:tcPr>
          <w:p w:rsidRPr="00153E73" w:rsidR="00B1199B" w:rsidRDefault="00B1199B" w14:paraId="5D27B1C2" w14:textId="074219BC">
            <w:pPr>
              <w:rPr>
                <w:sz w:val="20"/>
                <w:szCs w:val="20"/>
              </w:rPr>
            </w:pPr>
            <w:proofErr w:type="spellStart"/>
            <w:r w:rsidRPr="00B1199B">
              <w:rPr>
                <w:sz w:val="20"/>
                <w:szCs w:val="20"/>
              </w:rPr>
              <w:t>PostsecData</w:t>
            </w:r>
            <w:proofErr w:type="spellEnd"/>
          </w:p>
        </w:tc>
        <w:tc>
          <w:tcPr>
            <w:tcW w:w="9420" w:type="dxa"/>
          </w:tcPr>
          <w:p w:rsidR="00B1199B" w:rsidRDefault="00947EFF" w14:paraId="34AE247E" w14:textId="2ACF4251">
            <w:pPr>
              <w:rPr>
                <w:sz w:val="20"/>
                <w:szCs w:val="20"/>
              </w:rPr>
            </w:pPr>
            <w:r>
              <w:rPr>
                <w:sz w:val="20"/>
                <w:szCs w:val="20"/>
              </w:rPr>
              <w:t>No change.</w:t>
            </w:r>
            <w:r w:rsidR="00C64EC4">
              <w:rPr>
                <w:sz w:val="20"/>
                <w:szCs w:val="20"/>
              </w:rPr>
              <w:t xml:space="preserve"> </w:t>
            </w:r>
            <w:r w:rsidR="00925CBD">
              <w:rPr>
                <w:sz w:val="20"/>
                <w:szCs w:val="20"/>
              </w:rPr>
              <w:t xml:space="preserve">To the extent that </w:t>
            </w:r>
            <w:r w:rsidR="00563BEB">
              <w:rPr>
                <w:sz w:val="20"/>
                <w:szCs w:val="20"/>
              </w:rPr>
              <w:t>students who</w:t>
            </w:r>
            <w:r w:rsidR="00334224">
              <w:rPr>
                <w:sz w:val="20"/>
                <w:szCs w:val="20"/>
              </w:rPr>
              <w:t xml:space="preserve"> receive and do not receive </w:t>
            </w:r>
            <w:r w:rsidR="005A7E1A">
              <w:rPr>
                <w:sz w:val="20"/>
                <w:szCs w:val="20"/>
              </w:rPr>
              <w:t xml:space="preserve">emergency financial aid </w:t>
            </w:r>
            <w:r w:rsidR="00EA1297">
              <w:rPr>
                <w:sz w:val="20"/>
                <w:szCs w:val="20"/>
              </w:rPr>
              <w:t>may be</w:t>
            </w:r>
            <w:r w:rsidR="00002E55">
              <w:rPr>
                <w:sz w:val="20"/>
                <w:szCs w:val="20"/>
              </w:rPr>
              <w:t xml:space="preserve"> systematically different, </w:t>
            </w:r>
            <w:r w:rsidR="004A776D">
              <w:rPr>
                <w:sz w:val="20"/>
                <w:szCs w:val="20"/>
              </w:rPr>
              <w:t xml:space="preserve">there are limitations to </w:t>
            </w:r>
            <w:r w:rsidR="00DF121B">
              <w:rPr>
                <w:sz w:val="20"/>
                <w:szCs w:val="20"/>
              </w:rPr>
              <w:t xml:space="preserve">comparisons across the two groups. Simplifying </w:t>
            </w:r>
            <w:r w:rsidR="00232B95">
              <w:rPr>
                <w:sz w:val="20"/>
                <w:szCs w:val="20"/>
              </w:rPr>
              <w:t xml:space="preserve">the retention rate measure </w:t>
            </w:r>
            <w:r w:rsidR="00043FA6">
              <w:rPr>
                <w:sz w:val="20"/>
                <w:szCs w:val="20"/>
              </w:rPr>
              <w:t xml:space="preserve">reduces burden </w:t>
            </w:r>
            <w:r w:rsidR="00286B26">
              <w:rPr>
                <w:sz w:val="20"/>
                <w:szCs w:val="20"/>
              </w:rPr>
              <w:t xml:space="preserve">and still provides relevant information on </w:t>
            </w:r>
            <w:r w:rsidR="005A04C7">
              <w:rPr>
                <w:sz w:val="20"/>
                <w:szCs w:val="20"/>
              </w:rPr>
              <w:t xml:space="preserve">the overall </w:t>
            </w:r>
            <w:r w:rsidR="007819B4">
              <w:rPr>
                <w:sz w:val="20"/>
                <w:szCs w:val="20"/>
              </w:rPr>
              <w:t>retention rate of the</w:t>
            </w:r>
            <w:r w:rsidR="00C83290">
              <w:rPr>
                <w:sz w:val="20"/>
                <w:szCs w:val="20"/>
              </w:rPr>
              <w:t xml:space="preserve"> institution</w:t>
            </w:r>
            <w:r w:rsidR="00F72C6A">
              <w:rPr>
                <w:sz w:val="20"/>
                <w:szCs w:val="20"/>
              </w:rPr>
              <w:t>.</w:t>
            </w:r>
          </w:p>
        </w:tc>
      </w:tr>
    </w:tbl>
    <w:p w:rsidR="00466732" w:rsidP="00466732" w:rsidRDefault="00466732" w14:paraId="117CA99B" w14:textId="77777777">
      <w:pPr>
        <w:jc w:val="center"/>
        <w:rPr>
          <w:b/>
          <w:bCs/>
          <w:sz w:val="24"/>
          <w:szCs w:val="24"/>
        </w:rPr>
      </w:pPr>
    </w:p>
    <w:p w:rsidR="00466732" w:rsidRDefault="00466732" w14:paraId="0CE4012D" w14:textId="4D920615"/>
    <w:p w:rsidR="00C83948" w:rsidP="00C83948" w:rsidRDefault="00C83948" w14:paraId="4E75A5D9" w14:textId="77777777"/>
    <w:p w:rsidR="00C83948" w:rsidP="00C83948" w:rsidRDefault="00C83948" w14:paraId="4829BB1F" w14:textId="77777777"/>
    <w:p w:rsidR="00C83948" w:rsidP="00C83948" w:rsidRDefault="00C83948" w14:paraId="0430031B" w14:textId="77777777"/>
    <w:sectPr w:rsidR="00C83948" w:rsidSect="00C64AF8">
      <w:footerReference w:type="default" r:id="rId10"/>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B4B54" w14:textId="77777777" w:rsidR="00AE6384" w:rsidRDefault="00AE6384" w:rsidP="00897FB4">
      <w:pPr>
        <w:spacing w:after="0" w:line="240" w:lineRule="auto"/>
      </w:pPr>
      <w:r>
        <w:separator/>
      </w:r>
    </w:p>
  </w:endnote>
  <w:endnote w:type="continuationSeparator" w:id="0">
    <w:p w14:paraId="1D6D716F" w14:textId="77777777" w:rsidR="00AE6384" w:rsidRDefault="00AE6384" w:rsidP="00897FB4">
      <w:pPr>
        <w:spacing w:after="0" w:line="240" w:lineRule="auto"/>
      </w:pPr>
      <w:r>
        <w:continuationSeparator/>
      </w:r>
    </w:p>
  </w:endnote>
  <w:endnote w:type="continuationNotice" w:id="1">
    <w:p w14:paraId="0611210B" w14:textId="77777777" w:rsidR="00AE6384" w:rsidRDefault="00AE63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696356"/>
      <w:docPartObj>
        <w:docPartGallery w:val="Page Numbers (Bottom of Page)"/>
        <w:docPartUnique/>
      </w:docPartObj>
    </w:sdtPr>
    <w:sdtEndPr>
      <w:rPr>
        <w:noProof/>
      </w:rPr>
    </w:sdtEndPr>
    <w:sdtContent>
      <w:p w14:paraId="7F301925" w14:textId="34EE0C05" w:rsidR="00897FB4" w:rsidRDefault="00897F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6179D" w14:textId="77777777" w:rsidR="00897FB4" w:rsidRDefault="00897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74DA1" w14:textId="77777777" w:rsidR="00AE6384" w:rsidRDefault="00AE6384" w:rsidP="00897FB4">
      <w:pPr>
        <w:spacing w:after="0" w:line="240" w:lineRule="auto"/>
      </w:pPr>
      <w:r>
        <w:separator/>
      </w:r>
    </w:p>
  </w:footnote>
  <w:footnote w:type="continuationSeparator" w:id="0">
    <w:p w14:paraId="7A4C2064" w14:textId="77777777" w:rsidR="00AE6384" w:rsidRDefault="00AE6384" w:rsidP="00897FB4">
      <w:pPr>
        <w:spacing w:after="0" w:line="240" w:lineRule="auto"/>
      </w:pPr>
      <w:r>
        <w:continuationSeparator/>
      </w:r>
    </w:p>
  </w:footnote>
  <w:footnote w:type="continuationNotice" w:id="1">
    <w:p w14:paraId="316729C7" w14:textId="77777777" w:rsidR="00AE6384" w:rsidRDefault="00AE63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24FA1"/>
    <w:multiLevelType w:val="hybridMultilevel"/>
    <w:tmpl w:val="3428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gaard, Soren">
    <w15:presenceInfo w15:providerId="AD" w15:userId="S::Soren.Lagaard@ed.gov::dd7157e2-95ab-44bf-9e09-68dd2dcbb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5C71B9-C48D-47CB-BA51-7828F04A2C44}"/>
    <w:docVar w:name="dgnword-eventsink" w:val="2208908119040"/>
    <w:docVar w:name="dgnword-lastRevisionsView" w:val="0"/>
  </w:docVars>
  <w:rsids>
    <w:rsidRoot w:val="00466732"/>
    <w:rsid w:val="00000922"/>
    <w:rsid w:val="00001ED9"/>
    <w:rsid w:val="00002E55"/>
    <w:rsid w:val="000046C6"/>
    <w:rsid w:val="00010591"/>
    <w:rsid w:val="00011FAE"/>
    <w:rsid w:val="00014294"/>
    <w:rsid w:val="0001469F"/>
    <w:rsid w:val="0001482A"/>
    <w:rsid w:val="00014ED5"/>
    <w:rsid w:val="00016A79"/>
    <w:rsid w:val="00021235"/>
    <w:rsid w:val="00022729"/>
    <w:rsid w:val="000239B7"/>
    <w:rsid w:val="0002566A"/>
    <w:rsid w:val="00026481"/>
    <w:rsid w:val="00027403"/>
    <w:rsid w:val="00031ADB"/>
    <w:rsid w:val="00031F15"/>
    <w:rsid w:val="00032B77"/>
    <w:rsid w:val="0003453C"/>
    <w:rsid w:val="000349A7"/>
    <w:rsid w:val="0003680D"/>
    <w:rsid w:val="00043FA6"/>
    <w:rsid w:val="0004636C"/>
    <w:rsid w:val="00046DF8"/>
    <w:rsid w:val="00050C6C"/>
    <w:rsid w:val="00051115"/>
    <w:rsid w:val="00054D40"/>
    <w:rsid w:val="000550C3"/>
    <w:rsid w:val="00056B59"/>
    <w:rsid w:val="000573B1"/>
    <w:rsid w:val="000574E1"/>
    <w:rsid w:val="00057AC0"/>
    <w:rsid w:val="000603AC"/>
    <w:rsid w:val="00060419"/>
    <w:rsid w:val="000636ED"/>
    <w:rsid w:val="00063EF6"/>
    <w:rsid w:val="0006443E"/>
    <w:rsid w:val="0006494D"/>
    <w:rsid w:val="000654BC"/>
    <w:rsid w:val="000655CE"/>
    <w:rsid w:val="00073F09"/>
    <w:rsid w:val="0007470B"/>
    <w:rsid w:val="00075720"/>
    <w:rsid w:val="00075C5C"/>
    <w:rsid w:val="0008067A"/>
    <w:rsid w:val="00084AA5"/>
    <w:rsid w:val="00084B8F"/>
    <w:rsid w:val="0009146C"/>
    <w:rsid w:val="0009226F"/>
    <w:rsid w:val="00093892"/>
    <w:rsid w:val="00093AE0"/>
    <w:rsid w:val="00096A60"/>
    <w:rsid w:val="00096E52"/>
    <w:rsid w:val="000A448D"/>
    <w:rsid w:val="000A4E23"/>
    <w:rsid w:val="000A596B"/>
    <w:rsid w:val="000A71A3"/>
    <w:rsid w:val="000A7F7C"/>
    <w:rsid w:val="000B06F2"/>
    <w:rsid w:val="000B2268"/>
    <w:rsid w:val="000B26B6"/>
    <w:rsid w:val="000B3ACD"/>
    <w:rsid w:val="000B691A"/>
    <w:rsid w:val="000B6BB4"/>
    <w:rsid w:val="000B7529"/>
    <w:rsid w:val="000B7933"/>
    <w:rsid w:val="000B7AC0"/>
    <w:rsid w:val="000C18E5"/>
    <w:rsid w:val="000C2371"/>
    <w:rsid w:val="000C2BB8"/>
    <w:rsid w:val="000C333D"/>
    <w:rsid w:val="000C383A"/>
    <w:rsid w:val="000C401B"/>
    <w:rsid w:val="000C40F6"/>
    <w:rsid w:val="000C45E0"/>
    <w:rsid w:val="000C4DA9"/>
    <w:rsid w:val="000C69ED"/>
    <w:rsid w:val="000D032D"/>
    <w:rsid w:val="000D31C7"/>
    <w:rsid w:val="000D347A"/>
    <w:rsid w:val="000D3944"/>
    <w:rsid w:val="000E009F"/>
    <w:rsid w:val="000E158B"/>
    <w:rsid w:val="000E1B22"/>
    <w:rsid w:val="000E1BD8"/>
    <w:rsid w:val="000E37D5"/>
    <w:rsid w:val="000E3EE6"/>
    <w:rsid w:val="000E48F1"/>
    <w:rsid w:val="000E509D"/>
    <w:rsid w:val="000F2B94"/>
    <w:rsid w:val="000F2E03"/>
    <w:rsid w:val="000F691F"/>
    <w:rsid w:val="000F7539"/>
    <w:rsid w:val="00100A46"/>
    <w:rsid w:val="001038FA"/>
    <w:rsid w:val="00106907"/>
    <w:rsid w:val="00106E87"/>
    <w:rsid w:val="001070B5"/>
    <w:rsid w:val="0011062A"/>
    <w:rsid w:val="0011083A"/>
    <w:rsid w:val="00112D5C"/>
    <w:rsid w:val="00115FA2"/>
    <w:rsid w:val="00116C01"/>
    <w:rsid w:val="00122F8E"/>
    <w:rsid w:val="001233AE"/>
    <w:rsid w:val="001235A0"/>
    <w:rsid w:val="0012426E"/>
    <w:rsid w:val="00125921"/>
    <w:rsid w:val="00126490"/>
    <w:rsid w:val="00126CD2"/>
    <w:rsid w:val="001278CF"/>
    <w:rsid w:val="0013280C"/>
    <w:rsid w:val="00135337"/>
    <w:rsid w:val="00140622"/>
    <w:rsid w:val="00145CEC"/>
    <w:rsid w:val="00146BC5"/>
    <w:rsid w:val="001474B7"/>
    <w:rsid w:val="00147815"/>
    <w:rsid w:val="001507C9"/>
    <w:rsid w:val="001510A6"/>
    <w:rsid w:val="00151F6E"/>
    <w:rsid w:val="00152C8D"/>
    <w:rsid w:val="00153E73"/>
    <w:rsid w:val="001552F4"/>
    <w:rsid w:val="001557C9"/>
    <w:rsid w:val="001559A0"/>
    <w:rsid w:val="001575C1"/>
    <w:rsid w:val="00161C4F"/>
    <w:rsid w:val="00162D09"/>
    <w:rsid w:val="00163389"/>
    <w:rsid w:val="00163785"/>
    <w:rsid w:val="0016386A"/>
    <w:rsid w:val="001641B1"/>
    <w:rsid w:val="00164F52"/>
    <w:rsid w:val="00165384"/>
    <w:rsid w:val="0016555A"/>
    <w:rsid w:val="0016575B"/>
    <w:rsid w:val="001657B0"/>
    <w:rsid w:val="00165BF2"/>
    <w:rsid w:val="00172549"/>
    <w:rsid w:val="0017398E"/>
    <w:rsid w:val="00174575"/>
    <w:rsid w:val="001745BF"/>
    <w:rsid w:val="00174CB5"/>
    <w:rsid w:val="00175ACD"/>
    <w:rsid w:val="00180001"/>
    <w:rsid w:val="00180371"/>
    <w:rsid w:val="00180A64"/>
    <w:rsid w:val="001828ED"/>
    <w:rsid w:val="00183292"/>
    <w:rsid w:val="0018469D"/>
    <w:rsid w:val="001869C0"/>
    <w:rsid w:val="00192A6F"/>
    <w:rsid w:val="00193142"/>
    <w:rsid w:val="00193C41"/>
    <w:rsid w:val="001975ED"/>
    <w:rsid w:val="001A07E4"/>
    <w:rsid w:val="001A0C58"/>
    <w:rsid w:val="001A0D43"/>
    <w:rsid w:val="001A2FE1"/>
    <w:rsid w:val="001A5C0D"/>
    <w:rsid w:val="001A5CA7"/>
    <w:rsid w:val="001A65BC"/>
    <w:rsid w:val="001B093F"/>
    <w:rsid w:val="001B0E2F"/>
    <w:rsid w:val="001C0B60"/>
    <w:rsid w:val="001C1EAF"/>
    <w:rsid w:val="001C32E7"/>
    <w:rsid w:val="001C6138"/>
    <w:rsid w:val="001D0DEC"/>
    <w:rsid w:val="001D2686"/>
    <w:rsid w:val="001D55B3"/>
    <w:rsid w:val="001D64BD"/>
    <w:rsid w:val="001E117D"/>
    <w:rsid w:val="001E1193"/>
    <w:rsid w:val="001E1237"/>
    <w:rsid w:val="001E25D5"/>
    <w:rsid w:val="001E27BB"/>
    <w:rsid w:val="001F40C7"/>
    <w:rsid w:val="001F4F38"/>
    <w:rsid w:val="001F5F7F"/>
    <w:rsid w:val="001F7030"/>
    <w:rsid w:val="001F7254"/>
    <w:rsid w:val="00203564"/>
    <w:rsid w:val="002035AF"/>
    <w:rsid w:val="00207979"/>
    <w:rsid w:val="0021127A"/>
    <w:rsid w:val="00212157"/>
    <w:rsid w:val="00213267"/>
    <w:rsid w:val="00215687"/>
    <w:rsid w:val="00217CA7"/>
    <w:rsid w:val="00220764"/>
    <w:rsid w:val="00225AFF"/>
    <w:rsid w:val="00225EB1"/>
    <w:rsid w:val="00231666"/>
    <w:rsid w:val="002323D0"/>
    <w:rsid w:val="00232B95"/>
    <w:rsid w:val="00232F5C"/>
    <w:rsid w:val="0023523E"/>
    <w:rsid w:val="0024180D"/>
    <w:rsid w:val="0024297D"/>
    <w:rsid w:val="00243F07"/>
    <w:rsid w:val="0024724A"/>
    <w:rsid w:val="00250FD1"/>
    <w:rsid w:val="00251333"/>
    <w:rsid w:val="00256BA8"/>
    <w:rsid w:val="00262157"/>
    <w:rsid w:val="002706F6"/>
    <w:rsid w:val="002725BD"/>
    <w:rsid w:val="00272ADC"/>
    <w:rsid w:val="002736F1"/>
    <w:rsid w:val="002743F8"/>
    <w:rsid w:val="00276534"/>
    <w:rsid w:val="002773C9"/>
    <w:rsid w:val="00280B7A"/>
    <w:rsid w:val="002834DD"/>
    <w:rsid w:val="00283FAE"/>
    <w:rsid w:val="00284283"/>
    <w:rsid w:val="0028543F"/>
    <w:rsid w:val="00286435"/>
    <w:rsid w:val="00286B26"/>
    <w:rsid w:val="00291A01"/>
    <w:rsid w:val="00291E33"/>
    <w:rsid w:val="002944A0"/>
    <w:rsid w:val="00296D85"/>
    <w:rsid w:val="00297C81"/>
    <w:rsid w:val="002A23E4"/>
    <w:rsid w:val="002A5D60"/>
    <w:rsid w:val="002A5FB6"/>
    <w:rsid w:val="002B1018"/>
    <w:rsid w:val="002B2605"/>
    <w:rsid w:val="002B334F"/>
    <w:rsid w:val="002B33B5"/>
    <w:rsid w:val="002B5D2E"/>
    <w:rsid w:val="002B6E68"/>
    <w:rsid w:val="002C2159"/>
    <w:rsid w:val="002C50DC"/>
    <w:rsid w:val="002C6DA4"/>
    <w:rsid w:val="002C72A2"/>
    <w:rsid w:val="002C7539"/>
    <w:rsid w:val="002C7AD3"/>
    <w:rsid w:val="002C7C3D"/>
    <w:rsid w:val="002D30F4"/>
    <w:rsid w:val="002D31E2"/>
    <w:rsid w:val="002D42D8"/>
    <w:rsid w:val="002D6C55"/>
    <w:rsid w:val="002D6F01"/>
    <w:rsid w:val="002E0B82"/>
    <w:rsid w:val="002E28FA"/>
    <w:rsid w:val="002E4D54"/>
    <w:rsid w:val="002E4E73"/>
    <w:rsid w:val="002E5464"/>
    <w:rsid w:val="002E60A7"/>
    <w:rsid w:val="002E6945"/>
    <w:rsid w:val="002E72E3"/>
    <w:rsid w:val="002E7E4F"/>
    <w:rsid w:val="002F09A4"/>
    <w:rsid w:val="002F0F91"/>
    <w:rsid w:val="002F1546"/>
    <w:rsid w:val="002F1D0E"/>
    <w:rsid w:val="002F2071"/>
    <w:rsid w:val="002F3423"/>
    <w:rsid w:val="002F3CB6"/>
    <w:rsid w:val="002F4D9E"/>
    <w:rsid w:val="002F4E33"/>
    <w:rsid w:val="00300085"/>
    <w:rsid w:val="00302774"/>
    <w:rsid w:val="003059F6"/>
    <w:rsid w:val="00307EF4"/>
    <w:rsid w:val="00310446"/>
    <w:rsid w:val="003108C5"/>
    <w:rsid w:val="0031130F"/>
    <w:rsid w:val="0031700E"/>
    <w:rsid w:val="00320FD9"/>
    <w:rsid w:val="003213E3"/>
    <w:rsid w:val="00321B7B"/>
    <w:rsid w:val="00321E8C"/>
    <w:rsid w:val="00324430"/>
    <w:rsid w:val="0032505F"/>
    <w:rsid w:val="00326AB5"/>
    <w:rsid w:val="00327DDA"/>
    <w:rsid w:val="003303F6"/>
    <w:rsid w:val="00334224"/>
    <w:rsid w:val="0033473C"/>
    <w:rsid w:val="003355FF"/>
    <w:rsid w:val="00341A52"/>
    <w:rsid w:val="00345537"/>
    <w:rsid w:val="00347157"/>
    <w:rsid w:val="00347DE9"/>
    <w:rsid w:val="0035140A"/>
    <w:rsid w:val="00352C0B"/>
    <w:rsid w:val="003535F1"/>
    <w:rsid w:val="00355366"/>
    <w:rsid w:val="00356B31"/>
    <w:rsid w:val="0036277A"/>
    <w:rsid w:val="00365A6E"/>
    <w:rsid w:val="0036672D"/>
    <w:rsid w:val="003670DC"/>
    <w:rsid w:val="003702E7"/>
    <w:rsid w:val="00371816"/>
    <w:rsid w:val="00372FBE"/>
    <w:rsid w:val="00373C63"/>
    <w:rsid w:val="003751CA"/>
    <w:rsid w:val="00381256"/>
    <w:rsid w:val="00384CDD"/>
    <w:rsid w:val="00385086"/>
    <w:rsid w:val="0039125F"/>
    <w:rsid w:val="003A1EDC"/>
    <w:rsid w:val="003A1F34"/>
    <w:rsid w:val="003A3E3E"/>
    <w:rsid w:val="003A50AE"/>
    <w:rsid w:val="003A5A59"/>
    <w:rsid w:val="003B0D36"/>
    <w:rsid w:val="003B0D55"/>
    <w:rsid w:val="003B1CA3"/>
    <w:rsid w:val="003B2474"/>
    <w:rsid w:val="003B2CDB"/>
    <w:rsid w:val="003B4069"/>
    <w:rsid w:val="003B407E"/>
    <w:rsid w:val="003B4E77"/>
    <w:rsid w:val="003B571A"/>
    <w:rsid w:val="003B6198"/>
    <w:rsid w:val="003B65C1"/>
    <w:rsid w:val="003B7DAE"/>
    <w:rsid w:val="003C09D2"/>
    <w:rsid w:val="003C2DB7"/>
    <w:rsid w:val="003C696C"/>
    <w:rsid w:val="003C751B"/>
    <w:rsid w:val="003D144D"/>
    <w:rsid w:val="003D3141"/>
    <w:rsid w:val="003D6B66"/>
    <w:rsid w:val="003E2DFE"/>
    <w:rsid w:val="003E5B6F"/>
    <w:rsid w:val="003E6F0D"/>
    <w:rsid w:val="003E7401"/>
    <w:rsid w:val="003E7D69"/>
    <w:rsid w:val="003F0CB4"/>
    <w:rsid w:val="003F15B9"/>
    <w:rsid w:val="003F40D4"/>
    <w:rsid w:val="003F4165"/>
    <w:rsid w:val="003F4CCD"/>
    <w:rsid w:val="003F6573"/>
    <w:rsid w:val="00400181"/>
    <w:rsid w:val="0040027C"/>
    <w:rsid w:val="00400F9D"/>
    <w:rsid w:val="00401A2C"/>
    <w:rsid w:val="00402EE1"/>
    <w:rsid w:val="00405F86"/>
    <w:rsid w:val="00406965"/>
    <w:rsid w:val="00407FBA"/>
    <w:rsid w:val="00413192"/>
    <w:rsid w:val="0041378A"/>
    <w:rsid w:val="00415BAC"/>
    <w:rsid w:val="00420D0F"/>
    <w:rsid w:val="00421C90"/>
    <w:rsid w:val="00423FC0"/>
    <w:rsid w:val="00426448"/>
    <w:rsid w:val="004328A9"/>
    <w:rsid w:val="00433A46"/>
    <w:rsid w:val="0043444C"/>
    <w:rsid w:val="004350C5"/>
    <w:rsid w:val="00441FBC"/>
    <w:rsid w:val="00442DFC"/>
    <w:rsid w:val="00444123"/>
    <w:rsid w:val="004447C5"/>
    <w:rsid w:val="00445218"/>
    <w:rsid w:val="0044609F"/>
    <w:rsid w:val="00452BF6"/>
    <w:rsid w:val="00454BF2"/>
    <w:rsid w:val="00455FD5"/>
    <w:rsid w:val="004565A4"/>
    <w:rsid w:val="00457645"/>
    <w:rsid w:val="00457788"/>
    <w:rsid w:val="00457A26"/>
    <w:rsid w:val="004609EE"/>
    <w:rsid w:val="00463865"/>
    <w:rsid w:val="0046608F"/>
    <w:rsid w:val="00466732"/>
    <w:rsid w:val="00470ACD"/>
    <w:rsid w:val="00470B3A"/>
    <w:rsid w:val="00470C03"/>
    <w:rsid w:val="004722A4"/>
    <w:rsid w:val="00472C3D"/>
    <w:rsid w:val="004734CE"/>
    <w:rsid w:val="00474AC5"/>
    <w:rsid w:val="00476C13"/>
    <w:rsid w:val="00482071"/>
    <w:rsid w:val="004824E1"/>
    <w:rsid w:val="00483D22"/>
    <w:rsid w:val="00483F02"/>
    <w:rsid w:val="0048502A"/>
    <w:rsid w:val="004867CC"/>
    <w:rsid w:val="0049079A"/>
    <w:rsid w:val="00491F4F"/>
    <w:rsid w:val="004929C5"/>
    <w:rsid w:val="00494453"/>
    <w:rsid w:val="004944C5"/>
    <w:rsid w:val="00497E94"/>
    <w:rsid w:val="004A0A62"/>
    <w:rsid w:val="004A1419"/>
    <w:rsid w:val="004A1CCD"/>
    <w:rsid w:val="004A2398"/>
    <w:rsid w:val="004A2E58"/>
    <w:rsid w:val="004A3393"/>
    <w:rsid w:val="004A4FE2"/>
    <w:rsid w:val="004A60C3"/>
    <w:rsid w:val="004A6D6B"/>
    <w:rsid w:val="004A737B"/>
    <w:rsid w:val="004A74EB"/>
    <w:rsid w:val="004A776D"/>
    <w:rsid w:val="004A7AA2"/>
    <w:rsid w:val="004B1E59"/>
    <w:rsid w:val="004B1F47"/>
    <w:rsid w:val="004B21C6"/>
    <w:rsid w:val="004B6B8B"/>
    <w:rsid w:val="004B6F04"/>
    <w:rsid w:val="004B7B1C"/>
    <w:rsid w:val="004B7DB0"/>
    <w:rsid w:val="004C2331"/>
    <w:rsid w:val="004C23AE"/>
    <w:rsid w:val="004C2E50"/>
    <w:rsid w:val="004C4863"/>
    <w:rsid w:val="004C50F1"/>
    <w:rsid w:val="004C5873"/>
    <w:rsid w:val="004C6395"/>
    <w:rsid w:val="004C7850"/>
    <w:rsid w:val="004D06E2"/>
    <w:rsid w:val="004D16AB"/>
    <w:rsid w:val="004D34D7"/>
    <w:rsid w:val="004D4290"/>
    <w:rsid w:val="004D48FD"/>
    <w:rsid w:val="004D5083"/>
    <w:rsid w:val="004D578F"/>
    <w:rsid w:val="004D705D"/>
    <w:rsid w:val="004D7103"/>
    <w:rsid w:val="004D7998"/>
    <w:rsid w:val="004E0F74"/>
    <w:rsid w:val="004E1BE9"/>
    <w:rsid w:val="004E3CA9"/>
    <w:rsid w:val="004E4E88"/>
    <w:rsid w:val="004E6526"/>
    <w:rsid w:val="004E697A"/>
    <w:rsid w:val="004E7B4D"/>
    <w:rsid w:val="004F112E"/>
    <w:rsid w:val="004F2AFB"/>
    <w:rsid w:val="004F34BF"/>
    <w:rsid w:val="004F4649"/>
    <w:rsid w:val="004F6786"/>
    <w:rsid w:val="005004B2"/>
    <w:rsid w:val="00501CEC"/>
    <w:rsid w:val="00502224"/>
    <w:rsid w:val="0050405F"/>
    <w:rsid w:val="00505B99"/>
    <w:rsid w:val="00505BC2"/>
    <w:rsid w:val="005105B1"/>
    <w:rsid w:val="005164C4"/>
    <w:rsid w:val="005166B3"/>
    <w:rsid w:val="005171B9"/>
    <w:rsid w:val="0052251A"/>
    <w:rsid w:val="00522A00"/>
    <w:rsid w:val="00522A1B"/>
    <w:rsid w:val="005332C6"/>
    <w:rsid w:val="00534105"/>
    <w:rsid w:val="005364DA"/>
    <w:rsid w:val="005371F9"/>
    <w:rsid w:val="00541B5C"/>
    <w:rsid w:val="00542520"/>
    <w:rsid w:val="005455B5"/>
    <w:rsid w:val="00552A21"/>
    <w:rsid w:val="00552BF0"/>
    <w:rsid w:val="0055313C"/>
    <w:rsid w:val="00553F52"/>
    <w:rsid w:val="0055449B"/>
    <w:rsid w:val="00557B9C"/>
    <w:rsid w:val="00560228"/>
    <w:rsid w:val="005605B9"/>
    <w:rsid w:val="00560860"/>
    <w:rsid w:val="005628F3"/>
    <w:rsid w:val="00563BEB"/>
    <w:rsid w:val="00563ED4"/>
    <w:rsid w:val="0056413C"/>
    <w:rsid w:val="005679BD"/>
    <w:rsid w:val="00570FE0"/>
    <w:rsid w:val="00575B19"/>
    <w:rsid w:val="00581CA5"/>
    <w:rsid w:val="00581E74"/>
    <w:rsid w:val="005833A0"/>
    <w:rsid w:val="00583972"/>
    <w:rsid w:val="005864AC"/>
    <w:rsid w:val="00586658"/>
    <w:rsid w:val="005879C1"/>
    <w:rsid w:val="0059204D"/>
    <w:rsid w:val="00592D82"/>
    <w:rsid w:val="005A04C7"/>
    <w:rsid w:val="005A159B"/>
    <w:rsid w:val="005A1D70"/>
    <w:rsid w:val="005A31F5"/>
    <w:rsid w:val="005A45F5"/>
    <w:rsid w:val="005A7E1A"/>
    <w:rsid w:val="005A7E36"/>
    <w:rsid w:val="005B4CD4"/>
    <w:rsid w:val="005B68D8"/>
    <w:rsid w:val="005C08E4"/>
    <w:rsid w:val="005C3CA2"/>
    <w:rsid w:val="005C4911"/>
    <w:rsid w:val="005C59F2"/>
    <w:rsid w:val="005C6D5F"/>
    <w:rsid w:val="005D175B"/>
    <w:rsid w:val="005D5292"/>
    <w:rsid w:val="005D53E7"/>
    <w:rsid w:val="005D6FD3"/>
    <w:rsid w:val="005D7869"/>
    <w:rsid w:val="005D7920"/>
    <w:rsid w:val="005E170F"/>
    <w:rsid w:val="005E25E2"/>
    <w:rsid w:val="005E2F66"/>
    <w:rsid w:val="005E35EB"/>
    <w:rsid w:val="005E43D8"/>
    <w:rsid w:val="005E7DA9"/>
    <w:rsid w:val="005F11C7"/>
    <w:rsid w:val="005F148E"/>
    <w:rsid w:val="005F1912"/>
    <w:rsid w:val="005F1D26"/>
    <w:rsid w:val="005F3905"/>
    <w:rsid w:val="005F46D7"/>
    <w:rsid w:val="005F47E9"/>
    <w:rsid w:val="005F66E2"/>
    <w:rsid w:val="005F7412"/>
    <w:rsid w:val="0060095E"/>
    <w:rsid w:val="00603E41"/>
    <w:rsid w:val="006062AA"/>
    <w:rsid w:val="00606D7B"/>
    <w:rsid w:val="006077BC"/>
    <w:rsid w:val="0061305B"/>
    <w:rsid w:val="006203AE"/>
    <w:rsid w:val="0062147C"/>
    <w:rsid w:val="006219FF"/>
    <w:rsid w:val="00622440"/>
    <w:rsid w:val="0062327D"/>
    <w:rsid w:val="00623B89"/>
    <w:rsid w:val="006258A5"/>
    <w:rsid w:val="00631C6D"/>
    <w:rsid w:val="00632617"/>
    <w:rsid w:val="006340EA"/>
    <w:rsid w:val="0063439A"/>
    <w:rsid w:val="006366EA"/>
    <w:rsid w:val="00637FE1"/>
    <w:rsid w:val="00641284"/>
    <w:rsid w:val="00643AF3"/>
    <w:rsid w:val="00643DB5"/>
    <w:rsid w:val="0064597A"/>
    <w:rsid w:val="00646093"/>
    <w:rsid w:val="00646A94"/>
    <w:rsid w:val="006511B9"/>
    <w:rsid w:val="00651A30"/>
    <w:rsid w:val="00655788"/>
    <w:rsid w:val="006561C7"/>
    <w:rsid w:val="00657206"/>
    <w:rsid w:val="00662A1F"/>
    <w:rsid w:val="006654A7"/>
    <w:rsid w:val="00666CE7"/>
    <w:rsid w:val="006677A1"/>
    <w:rsid w:val="006757DB"/>
    <w:rsid w:val="006769F3"/>
    <w:rsid w:val="00681872"/>
    <w:rsid w:val="00681996"/>
    <w:rsid w:val="00682ED0"/>
    <w:rsid w:val="0068341C"/>
    <w:rsid w:val="00684119"/>
    <w:rsid w:val="006874BE"/>
    <w:rsid w:val="00690EE5"/>
    <w:rsid w:val="00691421"/>
    <w:rsid w:val="00692196"/>
    <w:rsid w:val="00694625"/>
    <w:rsid w:val="0069557F"/>
    <w:rsid w:val="006A037C"/>
    <w:rsid w:val="006A1C47"/>
    <w:rsid w:val="006A258E"/>
    <w:rsid w:val="006A2E89"/>
    <w:rsid w:val="006A3A89"/>
    <w:rsid w:val="006A5CA6"/>
    <w:rsid w:val="006A790F"/>
    <w:rsid w:val="006B13C9"/>
    <w:rsid w:val="006B1683"/>
    <w:rsid w:val="006B3EF8"/>
    <w:rsid w:val="006B4187"/>
    <w:rsid w:val="006B7C26"/>
    <w:rsid w:val="006C2693"/>
    <w:rsid w:val="006C3645"/>
    <w:rsid w:val="006C36B6"/>
    <w:rsid w:val="006C5917"/>
    <w:rsid w:val="006C6FFC"/>
    <w:rsid w:val="006C73DE"/>
    <w:rsid w:val="006C7683"/>
    <w:rsid w:val="006D0D6B"/>
    <w:rsid w:val="006D0E8F"/>
    <w:rsid w:val="006D19FF"/>
    <w:rsid w:val="006D2513"/>
    <w:rsid w:val="006D4320"/>
    <w:rsid w:val="006D55FD"/>
    <w:rsid w:val="006D6014"/>
    <w:rsid w:val="006D6961"/>
    <w:rsid w:val="006D6CDC"/>
    <w:rsid w:val="006D7262"/>
    <w:rsid w:val="006D7313"/>
    <w:rsid w:val="006E18A3"/>
    <w:rsid w:val="006E46D4"/>
    <w:rsid w:val="006E49A3"/>
    <w:rsid w:val="006E6A8D"/>
    <w:rsid w:val="006F095A"/>
    <w:rsid w:val="006F1626"/>
    <w:rsid w:val="006F2FE9"/>
    <w:rsid w:val="006F3C2F"/>
    <w:rsid w:val="006F5E04"/>
    <w:rsid w:val="006F614A"/>
    <w:rsid w:val="006F6CB9"/>
    <w:rsid w:val="006F771B"/>
    <w:rsid w:val="006F79E6"/>
    <w:rsid w:val="00700CD2"/>
    <w:rsid w:val="0070340C"/>
    <w:rsid w:val="00703DFE"/>
    <w:rsid w:val="007046F9"/>
    <w:rsid w:val="007054F2"/>
    <w:rsid w:val="0071052C"/>
    <w:rsid w:val="0071317D"/>
    <w:rsid w:val="007146DB"/>
    <w:rsid w:val="00715C68"/>
    <w:rsid w:val="007179D8"/>
    <w:rsid w:val="00717BDB"/>
    <w:rsid w:val="00720672"/>
    <w:rsid w:val="00727887"/>
    <w:rsid w:val="00727F10"/>
    <w:rsid w:val="00732A52"/>
    <w:rsid w:val="007359BA"/>
    <w:rsid w:val="00736841"/>
    <w:rsid w:val="00740E77"/>
    <w:rsid w:val="00741C1D"/>
    <w:rsid w:val="0074202D"/>
    <w:rsid w:val="00742FE1"/>
    <w:rsid w:val="00743153"/>
    <w:rsid w:val="0074457A"/>
    <w:rsid w:val="00755909"/>
    <w:rsid w:val="00757A07"/>
    <w:rsid w:val="00760897"/>
    <w:rsid w:val="007608E9"/>
    <w:rsid w:val="00761504"/>
    <w:rsid w:val="00764E49"/>
    <w:rsid w:val="00767A84"/>
    <w:rsid w:val="007718C2"/>
    <w:rsid w:val="007728AA"/>
    <w:rsid w:val="00772B8E"/>
    <w:rsid w:val="0077356C"/>
    <w:rsid w:val="00773AB4"/>
    <w:rsid w:val="00773F34"/>
    <w:rsid w:val="0077428B"/>
    <w:rsid w:val="00774B7A"/>
    <w:rsid w:val="00775233"/>
    <w:rsid w:val="007809E6"/>
    <w:rsid w:val="007819B4"/>
    <w:rsid w:val="0079088B"/>
    <w:rsid w:val="00791A75"/>
    <w:rsid w:val="0079555A"/>
    <w:rsid w:val="00797038"/>
    <w:rsid w:val="007A554C"/>
    <w:rsid w:val="007A594B"/>
    <w:rsid w:val="007B4805"/>
    <w:rsid w:val="007B51A5"/>
    <w:rsid w:val="007B5574"/>
    <w:rsid w:val="007B7F8D"/>
    <w:rsid w:val="007C0134"/>
    <w:rsid w:val="007C0CF1"/>
    <w:rsid w:val="007C1B6E"/>
    <w:rsid w:val="007C489A"/>
    <w:rsid w:val="007C4ADF"/>
    <w:rsid w:val="007C4B7E"/>
    <w:rsid w:val="007C7E7E"/>
    <w:rsid w:val="007D0E69"/>
    <w:rsid w:val="007D60B2"/>
    <w:rsid w:val="007D64F6"/>
    <w:rsid w:val="007D7652"/>
    <w:rsid w:val="007D7DC5"/>
    <w:rsid w:val="007E0366"/>
    <w:rsid w:val="007E1D3A"/>
    <w:rsid w:val="007E214C"/>
    <w:rsid w:val="007E5133"/>
    <w:rsid w:val="007F6213"/>
    <w:rsid w:val="007F77AD"/>
    <w:rsid w:val="007F7B6C"/>
    <w:rsid w:val="00802584"/>
    <w:rsid w:val="00803B82"/>
    <w:rsid w:val="00805BB7"/>
    <w:rsid w:val="008100A6"/>
    <w:rsid w:val="00811817"/>
    <w:rsid w:val="00811999"/>
    <w:rsid w:val="00812492"/>
    <w:rsid w:val="00813FA1"/>
    <w:rsid w:val="008175A9"/>
    <w:rsid w:val="008175C1"/>
    <w:rsid w:val="0082060A"/>
    <w:rsid w:val="00821002"/>
    <w:rsid w:val="00821069"/>
    <w:rsid w:val="00821541"/>
    <w:rsid w:val="008219AB"/>
    <w:rsid w:val="00822E74"/>
    <w:rsid w:val="00825D6E"/>
    <w:rsid w:val="008265B0"/>
    <w:rsid w:val="008269FA"/>
    <w:rsid w:val="00827307"/>
    <w:rsid w:val="008314E6"/>
    <w:rsid w:val="008367D5"/>
    <w:rsid w:val="008368C3"/>
    <w:rsid w:val="00842273"/>
    <w:rsid w:val="0084302B"/>
    <w:rsid w:val="008440C0"/>
    <w:rsid w:val="00852D7F"/>
    <w:rsid w:val="008551B1"/>
    <w:rsid w:val="00856409"/>
    <w:rsid w:val="0085796C"/>
    <w:rsid w:val="0086055B"/>
    <w:rsid w:val="00861578"/>
    <w:rsid w:val="0086487A"/>
    <w:rsid w:val="00864F7A"/>
    <w:rsid w:val="00866146"/>
    <w:rsid w:val="0086630D"/>
    <w:rsid w:val="0087354B"/>
    <w:rsid w:val="00873A41"/>
    <w:rsid w:val="008746BF"/>
    <w:rsid w:val="00874A8A"/>
    <w:rsid w:val="00876078"/>
    <w:rsid w:val="00876938"/>
    <w:rsid w:val="00876B75"/>
    <w:rsid w:val="008776CD"/>
    <w:rsid w:val="00883393"/>
    <w:rsid w:val="008836B4"/>
    <w:rsid w:val="008838FF"/>
    <w:rsid w:val="00883E7A"/>
    <w:rsid w:val="00884699"/>
    <w:rsid w:val="008848EE"/>
    <w:rsid w:val="00886362"/>
    <w:rsid w:val="00892C0E"/>
    <w:rsid w:val="00894244"/>
    <w:rsid w:val="00894FF4"/>
    <w:rsid w:val="008956FC"/>
    <w:rsid w:val="0089639E"/>
    <w:rsid w:val="008968A9"/>
    <w:rsid w:val="00897FB4"/>
    <w:rsid w:val="008A13FE"/>
    <w:rsid w:val="008A28C0"/>
    <w:rsid w:val="008A46A5"/>
    <w:rsid w:val="008A46C7"/>
    <w:rsid w:val="008A58F9"/>
    <w:rsid w:val="008B05A7"/>
    <w:rsid w:val="008B094E"/>
    <w:rsid w:val="008B0D7E"/>
    <w:rsid w:val="008B591E"/>
    <w:rsid w:val="008B6638"/>
    <w:rsid w:val="008C1832"/>
    <w:rsid w:val="008C2D71"/>
    <w:rsid w:val="008C3876"/>
    <w:rsid w:val="008C6BA5"/>
    <w:rsid w:val="008D0986"/>
    <w:rsid w:val="008D185E"/>
    <w:rsid w:val="008D1FD7"/>
    <w:rsid w:val="008D6F2B"/>
    <w:rsid w:val="008E32B5"/>
    <w:rsid w:val="008E43DC"/>
    <w:rsid w:val="008E46D8"/>
    <w:rsid w:val="008E486B"/>
    <w:rsid w:val="008E5154"/>
    <w:rsid w:val="008E51C6"/>
    <w:rsid w:val="008E59AE"/>
    <w:rsid w:val="008F0080"/>
    <w:rsid w:val="008F2083"/>
    <w:rsid w:val="008F4645"/>
    <w:rsid w:val="008F48A4"/>
    <w:rsid w:val="008F65A0"/>
    <w:rsid w:val="008F6C97"/>
    <w:rsid w:val="009012D8"/>
    <w:rsid w:val="009039F7"/>
    <w:rsid w:val="00905FF4"/>
    <w:rsid w:val="00906D03"/>
    <w:rsid w:val="00913B30"/>
    <w:rsid w:val="00915477"/>
    <w:rsid w:val="00916180"/>
    <w:rsid w:val="009161D2"/>
    <w:rsid w:val="0091723A"/>
    <w:rsid w:val="00921706"/>
    <w:rsid w:val="00921F72"/>
    <w:rsid w:val="00924906"/>
    <w:rsid w:val="00925CBD"/>
    <w:rsid w:val="00930E00"/>
    <w:rsid w:val="009316AA"/>
    <w:rsid w:val="0094128A"/>
    <w:rsid w:val="009424F2"/>
    <w:rsid w:val="00943282"/>
    <w:rsid w:val="00943664"/>
    <w:rsid w:val="00943D18"/>
    <w:rsid w:val="00943ED3"/>
    <w:rsid w:val="009448AD"/>
    <w:rsid w:val="00947EFF"/>
    <w:rsid w:val="00950476"/>
    <w:rsid w:val="00952516"/>
    <w:rsid w:val="00953793"/>
    <w:rsid w:val="0095460C"/>
    <w:rsid w:val="00956EA1"/>
    <w:rsid w:val="00966002"/>
    <w:rsid w:val="00966F55"/>
    <w:rsid w:val="00967746"/>
    <w:rsid w:val="009678D3"/>
    <w:rsid w:val="00967E21"/>
    <w:rsid w:val="00971D2F"/>
    <w:rsid w:val="00974307"/>
    <w:rsid w:val="00974CEC"/>
    <w:rsid w:val="00974DFB"/>
    <w:rsid w:val="009758A2"/>
    <w:rsid w:val="00985384"/>
    <w:rsid w:val="00985553"/>
    <w:rsid w:val="009865A9"/>
    <w:rsid w:val="00987491"/>
    <w:rsid w:val="00991483"/>
    <w:rsid w:val="0099199A"/>
    <w:rsid w:val="00992BE4"/>
    <w:rsid w:val="00993187"/>
    <w:rsid w:val="009938A9"/>
    <w:rsid w:val="009944F8"/>
    <w:rsid w:val="00996B69"/>
    <w:rsid w:val="009A7998"/>
    <w:rsid w:val="009B5A48"/>
    <w:rsid w:val="009C0156"/>
    <w:rsid w:val="009C0E38"/>
    <w:rsid w:val="009C1C57"/>
    <w:rsid w:val="009C20B9"/>
    <w:rsid w:val="009C5087"/>
    <w:rsid w:val="009D2015"/>
    <w:rsid w:val="009D51D1"/>
    <w:rsid w:val="009D61CA"/>
    <w:rsid w:val="009E0C43"/>
    <w:rsid w:val="009E0E60"/>
    <w:rsid w:val="009E31DC"/>
    <w:rsid w:val="009E41E5"/>
    <w:rsid w:val="009E454F"/>
    <w:rsid w:val="009E4BB3"/>
    <w:rsid w:val="009F1422"/>
    <w:rsid w:val="009F2795"/>
    <w:rsid w:val="009F398E"/>
    <w:rsid w:val="00A00DEB"/>
    <w:rsid w:val="00A010B8"/>
    <w:rsid w:val="00A01A4A"/>
    <w:rsid w:val="00A02C9A"/>
    <w:rsid w:val="00A07620"/>
    <w:rsid w:val="00A13F46"/>
    <w:rsid w:val="00A14F94"/>
    <w:rsid w:val="00A22505"/>
    <w:rsid w:val="00A2556E"/>
    <w:rsid w:val="00A256F4"/>
    <w:rsid w:val="00A25E4E"/>
    <w:rsid w:val="00A26D73"/>
    <w:rsid w:val="00A26FC5"/>
    <w:rsid w:val="00A319E3"/>
    <w:rsid w:val="00A320C5"/>
    <w:rsid w:val="00A33036"/>
    <w:rsid w:val="00A33AED"/>
    <w:rsid w:val="00A35E32"/>
    <w:rsid w:val="00A36300"/>
    <w:rsid w:val="00A37322"/>
    <w:rsid w:val="00A377BA"/>
    <w:rsid w:val="00A379BD"/>
    <w:rsid w:val="00A4284A"/>
    <w:rsid w:val="00A4308D"/>
    <w:rsid w:val="00A45032"/>
    <w:rsid w:val="00A45A08"/>
    <w:rsid w:val="00A4616C"/>
    <w:rsid w:val="00A46D50"/>
    <w:rsid w:val="00A47434"/>
    <w:rsid w:val="00A51747"/>
    <w:rsid w:val="00A52D41"/>
    <w:rsid w:val="00A53A96"/>
    <w:rsid w:val="00A5501B"/>
    <w:rsid w:val="00A55606"/>
    <w:rsid w:val="00A564B1"/>
    <w:rsid w:val="00A6053E"/>
    <w:rsid w:val="00A62A35"/>
    <w:rsid w:val="00A6614F"/>
    <w:rsid w:val="00A71F87"/>
    <w:rsid w:val="00A75D7A"/>
    <w:rsid w:val="00A76222"/>
    <w:rsid w:val="00A8128A"/>
    <w:rsid w:val="00A813DF"/>
    <w:rsid w:val="00A82B7B"/>
    <w:rsid w:val="00A84E01"/>
    <w:rsid w:val="00A86F92"/>
    <w:rsid w:val="00A90038"/>
    <w:rsid w:val="00A91B42"/>
    <w:rsid w:val="00A92E25"/>
    <w:rsid w:val="00A95426"/>
    <w:rsid w:val="00AA0D3E"/>
    <w:rsid w:val="00AA0F92"/>
    <w:rsid w:val="00AA14B7"/>
    <w:rsid w:val="00AA1EBC"/>
    <w:rsid w:val="00AA438D"/>
    <w:rsid w:val="00AA759A"/>
    <w:rsid w:val="00AB0F88"/>
    <w:rsid w:val="00AB145C"/>
    <w:rsid w:val="00AB22BC"/>
    <w:rsid w:val="00AB668C"/>
    <w:rsid w:val="00AB7299"/>
    <w:rsid w:val="00AC0EF6"/>
    <w:rsid w:val="00AC10C9"/>
    <w:rsid w:val="00AC135B"/>
    <w:rsid w:val="00AC185F"/>
    <w:rsid w:val="00AC2AD0"/>
    <w:rsid w:val="00AC39F3"/>
    <w:rsid w:val="00AC59F9"/>
    <w:rsid w:val="00AC5FB9"/>
    <w:rsid w:val="00AC7D85"/>
    <w:rsid w:val="00AC7E81"/>
    <w:rsid w:val="00AD0A98"/>
    <w:rsid w:val="00AD1D70"/>
    <w:rsid w:val="00AD2109"/>
    <w:rsid w:val="00AD49BF"/>
    <w:rsid w:val="00AD4C1B"/>
    <w:rsid w:val="00AD558A"/>
    <w:rsid w:val="00AE0674"/>
    <w:rsid w:val="00AE123E"/>
    <w:rsid w:val="00AE1D67"/>
    <w:rsid w:val="00AE2704"/>
    <w:rsid w:val="00AE37B4"/>
    <w:rsid w:val="00AE3DC0"/>
    <w:rsid w:val="00AE6384"/>
    <w:rsid w:val="00AE6539"/>
    <w:rsid w:val="00AE75B2"/>
    <w:rsid w:val="00AE7FAB"/>
    <w:rsid w:val="00AF6E87"/>
    <w:rsid w:val="00B00885"/>
    <w:rsid w:val="00B01161"/>
    <w:rsid w:val="00B04D26"/>
    <w:rsid w:val="00B05309"/>
    <w:rsid w:val="00B054A3"/>
    <w:rsid w:val="00B05AF4"/>
    <w:rsid w:val="00B071A2"/>
    <w:rsid w:val="00B1199B"/>
    <w:rsid w:val="00B16762"/>
    <w:rsid w:val="00B16BD6"/>
    <w:rsid w:val="00B17B23"/>
    <w:rsid w:val="00B17CDC"/>
    <w:rsid w:val="00B21192"/>
    <w:rsid w:val="00B221D5"/>
    <w:rsid w:val="00B249A6"/>
    <w:rsid w:val="00B250C6"/>
    <w:rsid w:val="00B30E0D"/>
    <w:rsid w:val="00B35444"/>
    <w:rsid w:val="00B47365"/>
    <w:rsid w:val="00B50A95"/>
    <w:rsid w:val="00B50E87"/>
    <w:rsid w:val="00B511E9"/>
    <w:rsid w:val="00B51F85"/>
    <w:rsid w:val="00B53AE2"/>
    <w:rsid w:val="00B53B73"/>
    <w:rsid w:val="00B54375"/>
    <w:rsid w:val="00B5487F"/>
    <w:rsid w:val="00B55820"/>
    <w:rsid w:val="00B576C5"/>
    <w:rsid w:val="00B57E4C"/>
    <w:rsid w:val="00B62695"/>
    <w:rsid w:val="00B64FE4"/>
    <w:rsid w:val="00B70461"/>
    <w:rsid w:val="00B714D1"/>
    <w:rsid w:val="00B71E3D"/>
    <w:rsid w:val="00B73817"/>
    <w:rsid w:val="00B7577D"/>
    <w:rsid w:val="00B758F3"/>
    <w:rsid w:val="00B76286"/>
    <w:rsid w:val="00B76BB3"/>
    <w:rsid w:val="00B775C9"/>
    <w:rsid w:val="00B8621B"/>
    <w:rsid w:val="00B868A3"/>
    <w:rsid w:val="00B90012"/>
    <w:rsid w:val="00B905B9"/>
    <w:rsid w:val="00B91B86"/>
    <w:rsid w:val="00B92280"/>
    <w:rsid w:val="00B939B6"/>
    <w:rsid w:val="00B93FFC"/>
    <w:rsid w:val="00B95AF4"/>
    <w:rsid w:val="00B95F54"/>
    <w:rsid w:val="00B97B30"/>
    <w:rsid w:val="00B97EB6"/>
    <w:rsid w:val="00BA0AC9"/>
    <w:rsid w:val="00BA23D6"/>
    <w:rsid w:val="00BA488F"/>
    <w:rsid w:val="00BA4A06"/>
    <w:rsid w:val="00BA706E"/>
    <w:rsid w:val="00BB737E"/>
    <w:rsid w:val="00BC232A"/>
    <w:rsid w:val="00BC4790"/>
    <w:rsid w:val="00BC7D18"/>
    <w:rsid w:val="00BD0414"/>
    <w:rsid w:val="00BD0718"/>
    <w:rsid w:val="00BD123C"/>
    <w:rsid w:val="00BD2E7F"/>
    <w:rsid w:val="00BD37BD"/>
    <w:rsid w:val="00BD6DE6"/>
    <w:rsid w:val="00BD6F0F"/>
    <w:rsid w:val="00BD773F"/>
    <w:rsid w:val="00BE369C"/>
    <w:rsid w:val="00BF02B1"/>
    <w:rsid w:val="00BF1ED1"/>
    <w:rsid w:val="00BF3BC9"/>
    <w:rsid w:val="00BF4224"/>
    <w:rsid w:val="00BF4A4C"/>
    <w:rsid w:val="00BF6796"/>
    <w:rsid w:val="00BF7239"/>
    <w:rsid w:val="00C03A58"/>
    <w:rsid w:val="00C03EFC"/>
    <w:rsid w:val="00C07E17"/>
    <w:rsid w:val="00C20F43"/>
    <w:rsid w:val="00C247D6"/>
    <w:rsid w:val="00C26296"/>
    <w:rsid w:val="00C31EF6"/>
    <w:rsid w:val="00C32E08"/>
    <w:rsid w:val="00C338DE"/>
    <w:rsid w:val="00C374D3"/>
    <w:rsid w:val="00C4150F"/>
    <w:rsid w:val="00C43F29"/>
    <w:rsid w:val="00C44CB6"/>
    <w:rsid w:val="00C467FC"/>
    <w:rsid w:val="00C46B91"/>
    <w:rsid w:val="00C52414"/>
    <w:rsid w:val="00C53785"/>
    <w:rsid w:val="00C55239"/>
    <w:rsid w:val="00C57EE2"/>
    <w:rsid w:val="00C635B3"/>
    <w:rsid w:val="00C64AF8"/>
    <w:rsid w:val="00C64C05"/>
    <w:rsid w:val="00C64EC4"/>
    <w:rsid w:val="00C64F89"/>
    <w:rsid w:val="00C7028B"/>
    <w:rsid w:val="00C73B45"/>
    <w:rsid w:val="00C75EEC"/>
    <w:rsid w:val="00C76AE2"/>
    <w:rsid w:val="00C808B2"/>
    <w:rsid w:val="00C81CD0"/>
    <w:rsid w:val="00C826DB"/>
    <w:rsid w:val="00C83290"/>
    <w:rsid w:val="00C83948"/>
    <w:rsid w:val="00C8554A"/>
    <w:rsid w:val="00C85F93"/>
    <w:rsid w:val="00C86378"/>
    <w:rsid w:val="00C86CD6"/>
    <w:rsid w:val="00C9095E"/>
    <w:rsid w:val="00C90FBE"/>
    <w:rsid w:val="00C9103F"/>
    <w:rsid w:val="00C93B87"/>
    <w:rsid w:val="00C940B5"/>
    <w:rsid w:val="00C94676"/>
    <w:rsid w:val="00C95CB0"/>
    <w:rsid w:val="00C96D1F"/>
    <w:rsid w:val="00CA00BD"/>
    <w:rsid w:val="00CA0362"/>
    <w:rsid w:val="00CA03E4"/>
    <w:rsid w:val="00CA203A"/>
    <w:rsid w:val="00CA2069"/>
    <w:rsid w:val="00CA2333"/>
    <w:rsid w:val="00CA3995"/>
    <w:rsid w:val="00CA3CD6"/>
    <w:rsid w:val="00CA5F24"/>
    <w:rsid w:val="00CA67B8"/>
    <w:rsid w:val="00CA75AF"/>
    <w:rsid w:val="00CB11F3"/>
    <w:rsid w:val="00CB67BA"/>
    <w:rsid w:val="00CB7128"/>
    <w:rsid w:val="00CC0DDE"/>
    <w:rsid w:val="00CC1240"/>
    <w:rsid w:val="00CC128B"/>
    <w:rsid w:val="00CC17FC"/>
    <w:rsid w:val="00CC2812"/>
    <w:rsid w:val="00CC32BB"/>
    <w:rsid w:val="00CD0255"/>
    <w:rsid w:val="00CD5513"/>
    <w:rsid w:val="00CD5FC6"/>
    <w:rsid w:val="00CD636C"/>
    <w:rsid w:val="00CE029D"/>
    <w:rsid w:val="00CE1CF1"/>
    <w:rsid w:val="00CE32B4"/>
    <w:rsid w:val="00CE5AD4"/>
    <w:rsid w:val="00CE62C0"/>
    <w:rsid w:val="00CE6AA1"/>
    <w:rsid w:val="00CF7777"/>
    <w:rsid w:val="00D020EB"/>
    <w:rsid w:val="00D03849"/>
    <w:rsid w:val="00D05866"/>
    <w:rsid w:val="00D06285"/>
    <w:rsid w:val="00D07455"/>
    <w:rsid w:val="00D11133"/>
    <w:rsid w:val="00D1372D"/>
    <w:rsid w:val="00D166F0"/>
    <w:rsid w:val="00D21C1F"/>
    <w:rsid w:val="00D23A4D"/>
    <w:rsid w:val="00D2504F"/>
    <w:rsid w:val="00D252DD"/>
    <w:rsid w:val="00D26AEA"/>
    <w:rsid w:val="00D2778D"/>
    <w:rsid w:val="00D27B94"/>
    <w:rsid w:val="00D3464A"/>
    <w:rsid w:val="00D35620"/>
    <w:rsid w:val="00D359AD"/>
    <w:rsid w:val="00D37A36"/>
    <w:rsid w:val="00D403D4"/>
    <w:rsid w:val="00D40659"/>
    <w:rsid w:val="00D40726"/>
    <w:rsid w:val="00D4475B"/>
    <w:rsid w:val="00D45738"/>
    <w:rsid w:val="00D51170"/>
    <w:rsid w:val="00D514BE"/>
    <w:rsid w:val="00D5344D"/>
    <w:rsid w:val="00D53D7A"/>
    <w:rsid w:val="00D57137"/>
    <w:rsid w:val="00D57A75"/>
    <w:rsid w:val="00D57C90"/>
    <w:rsid w:val="00D57ECF"/>
    <w:rsid w:val="00D602AC"/>
    <w:rsid w:val="00D6132A"/>
    <w:rsid w:val="00D61592"/>
    <w:rsid w:val="00D61D9C"/>
    <w:rsid w:val="00D61DE6"/>
    <w:rsid w:val="00D71DC1"/>
    <w:rsid w:val="00D7282A"/>
    <w:rsid w:val="00D732E4"/>
    <w:rsid w:val="00D772A6"/>
    <w:rsid w:val="00D774B8"/>
    <w:rsid w:val="00D77974"/>
    <w:rsid w:val="00D8168D"/>
    <w:rsid w:val="00D849D3"/>
    <w:rsid w:val="00D855A1"/>
    <w:rsid w:val="00D87634"/>
    <w:rsid w:val="00D90D60"/>
    <w:rsid w:val="00D91624"/>
    <w:rsid w:val="00D94330"/>
    <w:rsid w:val="00D94B32"/>
    <w:rsid w:val="00D9503B"/>
    <w:rsid w:val="00D96474"/>
    <w:rsid w:val="00DA256B"/>
    <w:rsid w:val="00DA4379"/>
    <w:rsid w:val="00DA4ECB"/>
    <w:rsid w:val="00DA4FE9"/>
    <w:rsid w:val="00DA55D0"/>
    <w:rsid w:val="00DA566C"/>
    <w:rsid w:val="00DA59E7"/>
    <w:rsid w:val="00DB1619"/>
    <w:rsid w:val="00DB3775"/>
    <w:rsid w:val="00DB64A5"/>
    <w:rsid w:val="00DB7402"/>
    <w:rsid w:val="00DC1782"/>
    <w:rsid w:val="00DC4F65"/>
    <w:rsid w:val="00DC784B"/>
    <w:rsid w:val="00DD031C"/>
    <w:rsid w:val="00DD078A"/>
    <w:rsid w:val="00DD3A90"/>
    <w:rsid w:val="00DD637B"/>
    <w:rsid w:val="00DD6F35"/>
    <w:rsid w:val="00DD778F"/>
    <w:rsid w:val="00DE3584"/>
    <w:rsid w:val="00DE399F"/>
    <w:rsid w:val="00DE432A"/>
    <w:rsid w:val="00DE5727"/>
    <w:rsid w:val="00DF121B"/>
    <w:rsid w:val="00DF2105"/>
    <w:rsid w:val="00DF3152"/>
    <w:rsid w:val="00DF45A9"/>
    <w:rsid w:val="00DF4F43"/>
    <w:rsid w:val="00E014D1"/>
    <w:rsid w:val="00E01AFC"/>
    <w:rsid w:val="00E047C4"/>
    <w:rsid w:val="00E04A48"/>
    <w:rsid w:val="00E04F26"/>
    <w:rsid w:val="00E0523B"/>
    <w:rsid w:val="00E1005E"/>
    <w:rsid w:val="00E11CC2"/>
    <w:rsid w:val="00E12870"/>
    <w:rsid w:val="00E1341A"/>
    <w:rsid w:val="00E14486"/>
    <w:rsid w:val="00E1503C"/>
    <w:rsid w:val="00E15EAE"/>
    <w:rsid w:val="00E16CF7"/>
    <w:rsid w:val="00E213E2"/>
    <w:rsid w:val="00E21655"/>
    <w:rsid w:val="00E226EA"/>
    <w:rsid w:val="00E22B60"/>
    <w:rsid w:val="00E22E9D"/>
    <w:rsid w:val="00E23935"/>
    <w:rsid w:val="00E23CA0"/>
    <w:rsid w:val="00E24A05"/>
    <w:rsid w:val="00E316CF"/>
    <w:rsid w:val="00E3640F"/>
    <w:rsid w:val="00E364EF"/>
    <w:rsid w:val="00E374C9"/>
    <w:rsid w:val="00E403A2"/>
    <w:rsid w:val="00E40DF3"/>
    <w:rsid w:val="00E42896"/>
    <w:rsid w:val="00E44E14"/>
    <w:rsid w:val="00E452A7"/>
    <w:rsid w:val="00E508F9"/>
    <w:rsid w:val="00E50EE0"/>
    <w:rsid w:val="00E51133"/>
    <w:rsid w:val="00E52807"/>
    <w:rsid w:val="00E528F0"/>
    <w:rsid w:val="00E57B3B"/>
    <w:rsid w:val="00E60110"/>
    <w:rsid w:val="00E6107A"/>
    <w:rsid w:val="00E6235D"/>
    <w:rsid w:val="00E6486B"/>
    <w:rsid w:val="00E64A89"/>
    <w:rsid w:val="00E720D6"/>
    <w:rsid w:val="00E73651"/>
    <w:rsid w:val="00E75023"/>
    <w:rsid w:val="00E76F4D"/>
    <w:rsid w:val="00E8094E"/>
    <w:rsid w:val="00E84F97"/>
    <w:rsid w:val="00E8567E"/>
    <w:rsid w:val="00E86FC9"/>
    <w:rsid w:val="00E93DCC"/>
    <w:rsid w:val="00E94969"/>
    <w:rsid w:val="00E94E00"/>
    <w:rsid w:val="00E952D3"/>
    <w:rsid w:val="00E97740"/>
    <w:rsid w:val="00EA07A3"/>
    <w:rsid w:val="00EA1297"/>
    <w:rsid w:val="00EA3029"/>
    <w:rsid w:val="00EA5D04"/>
    <w:rsid w:val="00EA62B7"/>
    <w:rsid w:val="00EB0251"/>
    <w:rsid w:val="00EB108A"/>
    <w:rsid w:val="00EB1770"/>
    <w:rsid w:val="00EB229B"/>
    <w:rsid w:val="00EB4A0F"/>
    <w:rsid w:val="00EB4C47"/>
    <w:rsid w:val="00EB6F5A"/>
    <w:rsid w:val="00EC1922"/>
    <w:rsid w:val="00EC2DE0"/>
    <w:rsid w:val="00EC36D1"/>
    <w:rsid w:val="00EC51D3"/>
    <w:rsid w:val="00EC79A6"/>
    <w:rsid w:val="00ED403A"/>
    <w:rsid w:val="00ED580B"/>
    <w:rsid w:val="00EE055A"/>
    <w:rsid w:val="00EE1946"/>
    <w:rsid w:val="00EE40A8"/>
    <w:rsid w:val="00EE4992"/>
    <w:rsid w:val="00EE56CC"/>
    <w:rsid w:val="00EE5ED0"/>
    <w:rsid w:val="00EE78EE"/>
    <w:rsid w:val="00EE79AD"/>
    <w:rsid w:val="00EF0C25"/>
    <w:rsid w:val="00EF0E20"/>
    <w:rsid w:val="00EF1B5E"/>
    <w:rsid w:val="00EF6D60"/>
    <w:rsid w:val="00EF7EE7"/>
    <w:rsid w:val="00F00BB3"/>
    <w:rsid w:val="00F05B19"/>
    <w:rsid w:val="00F07C6E"/>
    <w:rsid w:val="00F1080E"/>
    <w:rsid w:val="00F141BC"/>
    <w:rsid w:val="00F1565D"/>
    <w:rsid w:val="00F17AE8"/>
    <w:rsid w:val="00F21514"/>
    <w:rsid w:val="00F219B4"/>
    <w:rsid w:val="00F2212C"/>
    <w:rsid w:val="00F237F7"/>
    <w:rsid w:val="00F26D1E"/>
    <w:rsid w:val="00F27BA4"/>
    <w:rsid w:val="00F27C0E"/>
    <w:rsid w:val="00F30D80"/>
    <w:rsid w:val="00F32CC7"/>
    <w:rsid w:val="00F35BF0"/>
    <w:rsid w:val="00F37585"/>
    <w:rsid w:val="00F44ED6"/>
    <w:rsid w:val="00F46B0B"/>
    <w:rsid w:val="00F51161"/>
    <w:rsid w:val="00F511EC"/>
    <w:rsid w:val="00F51BB5"/>
    <w:rsid w:val="00F522D8"/>
    <w:rsid w:val="00F56FAC"/>
    <w:rsid w:val="00F57096"/>
    <w:rsid w:val="00F632D5"/>
    <w:rsid w:val="00F64094"/>
    <w:rsid w:val="00F654BE"/>
    <w:rsid w:val="00F666CA"/>
    <w:rsid w:val="00F70B6D"/>
    <w:rsid w:val="00F71067"/>
    <w:rsid w:val="00F71FE1"/>
    <w:rsid w:val="00F72C6A"/>
    <w:rsid w:val="00F73174"/>
    <w:rsid w:val="00F745E0"/>
    <w:rsid w:val="00F774AC"/>
    <w:rsid w:val="00F8044B"/>
    <w:rsid w:val="00F82976"/>
    <w:rsid w:val="00F87650"/>
    <w:rsid w:val="00F90BD5"/>
    <w:rsid w:val="00F914BC"/>
    <w:rsid w:val="00F9161C"/>
    <w:rsid w:val="00F91927"/>
    <w:rsid w:val="00F921A4"/>
    <w:rsid w:val="00F925CD"/>
    <w:rsid w:val="00F92BD1"/>
    <w:rsid w:val="00F92FC3"/>
    <w:rsid w:val="00F96523"/>
    <w:rsid w:val="00FA1939"/>
    <w:rsid w:val="00FA28CA"/>
    <w:rsid w:val="00FA3F65"/>
    <w:rsid w:val="00FA4570"/>
    <w:rsid w:val="00FA6568"/>
    <w:rsid w:val="00FA74E5"/>
    <w:rsid w:val="00FA77D2"/>
    <w:rsid w:val="00FB2C96"/>
    <w:rsid w:val="00FB5C81"/>
    <w:rsid w:val="00FB5DCB"/>
    <w:rsid w:val="00FC7D36"/>
    <w:rsid w:val="00FC7E0F"/>
    <w:rsid w:val="00FD2344"/>
    <w:rsid w:val="00FD2557"/>
    <w:rsid w:val="00FD31E2"/>
    <w:rsid w:val="00FD3F1F"/>
    <w:rsid w:val="00FD4AEF"/>
    <w:rsid w:val="00FD6447"/>
    <w:rsid w:val="00FD6F8E"/>
    <w:rsid w:val="00FE07C3"/>
    <w:rsid w:val="00FE0E20"/>
    <w:rsid w:val="00FE2FE8"/>
    <w:rsid w:val="00FE39C0"/>
    <w:rsid w:val="00FE7199"/>
    <w:rsid w:val="00FF045E"/>
    <w:rsid w:val="00FF0AD0"/>
    <w:rsid w:val="00FF1BC9"/>
    <w:rsid w:val="00FF2F24"/>
    <w:rsid w:val="00FF50D1"/>
    <w:rsid w:val="00FF74FD"/>
    <w:rsid w:val="0119150F"/>
    <w:rsid w:val="01732B3D"/>
    <w:rsid w:val="0179DDE4"/>
    <w:rsid w:val="020B8677"/>
    <w:rsid w:val="02144BC0"/>
    <w:rsid w:val="02D562E0"/>
    <w:rsid w:val="049E0FAB"/>
    <w:rsid w:val="04DF1A90"/>
    <w:rsid w:val="056470B4"/>
    <w:rsid w:val="05CA4905"/>
    <w:rsid w:val="05EF4B5A"/>
    <w:rsid w:val="068AC2CA"/>
    <w:rsid w:val="069F4E45"/>
    <w:rsid w:val="06E034FF"/>
    <w:rsid w:val="07DAD9E9"/>
    <w:rsid w:val="09266037"/>
    <w:rsid w:val="09E46CDD"/>
    <w:rsid w:val="0ACCEC44"/>
    <w:rsid w:val="0AF9B6F5"/>
    <w:rsid w:val="0BB6666E"/>
    <w:rsid w:val="0C259A93"/>
    <w:rsid w:val="0C53B569"/>
    <w:rsid w:val="0EA1FF32"/>
    <w:rsid w:val="0F02DBAA"/>
    <w:rsid w:val="0FD3BED1"/>
    <w:rsid w:val="1041A2CB"/>
    <w:rsid w:val="1050858E"/>
    <w:rsid w:val="11367AC1"/>
    <w:rsid w:val="115DCC93"/>
    <w:rsid w:val="124A5904"/>
    <w:rsid w:val="1291E9D2"/>
    <w:rsid w:val="134AA632"/>
    <w:rsid w:val="13FD8457"/>
    <w:rsid w:val="15607CB5"/>
    <w:rsid w:val="16C5288A"/>
    <w:rsid w:val="18154461"/>
    <w:rsid w:val="18DCF37E"/>
    <w:rsid w:val="1B15F2A2"/>
    <w:rsid w:val="1B4A907C"/>
    <w:rsid w:val="1BF5BCDA"/>
    <w:rsid w:val="1C95E882"/>
    <w:rsid w:val="1CD696F4"/>
    <w:rsid w:val="1D1ACDCF"/>
    <w:rsid w:val="1D8306C0"/>
    <w:rsid w:val="1DA250CD"/>
    <w:rsid w:val="1E066B4C"/>
    <w:rsid w:val="1E77F16A"/>
    <w:rsid w:val="1E8F9BA3"/>
    <w:rsid w:val="1EE80DF0"/>
    <w:rsid w:val="1F4F0381"/>
    <w:rsid w:val="1F823D11"/>
    <w:rsid w:val="201000DD"/>
    <w:rsid w:val="2054293F"/>
    <w:rsid w:val="21549F3C"/>
    <w:rsid w:val="21D9E190"/>
    <w:rsid w:val="21DD2DFA"/>
    <w:rsid w:val="21E2D9AA"/>
    <w:rsid w:val="21EA76F8"/>
    <w:rsid w:val="2204E302"/>
    <w:rsid w:val="22690466"/>
    <w:rsid w:val="22699057"/>
    <w:rsid w:val="2281F42D"/>
    <w:rsid w:val="22CC5AC5"/>
    <w:rsid w:val="2383C59A"/>
    <w:rsid w:val="2408D611"/>
    <w:rsid w:val="2436CE89"/>
    <w:rsid w:val="24CBF3EB"/>
    <w:rsid w:val="255D9C7E"/>
    <w:rsid w:val="258A672F"/>
    <w:rsid w:val="25E7F1D7"/>
    <w:rsid w:val="26102273"/>
    <w:rsid w:val="26302FBB"/>
    <w:rsid w:val="26F0F769"/>
    <w:rsid w:val="2803D272"/>
    <w:rsid w:val="281F154C"/>
    <w:rsid w:val="282C2C96"/>
    <w:rsid w:val="28B9E13E"/>
    <w:rsid w:val="2961657B"/>
    <w:rsid w:val="29BAE5AD"/>
    <w:rsid w:val="2A96F617"/>
    <w:rsid w:val="2AB06F85"/>
    <w:rsid w:val="2B2CEFF0"/>
    <w:rsid w:val="2B6A3A9F"/>
    <w:rsid w:val="2B7CAED4"/>
    <w:rsid w:val="2C45CDD3"/>
    <w:rsid w:val="2D339185"/>
    <w:rsid w:val="2DE2D0A5"/>
    <w:rsid w:val="2E4BCCFC"/>
    <w:rsid w:val="2F55D697"/>
    <w:rsid w:val="2F6C2685"/>
    <w:rsid w:val="2F77B09A"/>
    <w:rsid w:val="301AC9E6"/>
    <w:rsid w:val="30CAD4F4"/>
    <w:rsid w:val="310A2F2E"/>
    <w:rsid w:val="31967E6D"/>
    <w:rsid w:val="31F12A90"/>
    <w:rsid w:val="336185A7"/>
    <w:rsid w:val="33A47D0D"/>
    <w:rsid w:val="33E59AE0"/>
    <w:rsid w:val="35F4F752"/>
    <w:rsid w:val="36E4221B"/>
    <w:rsid w:val="37B63F13"/>
    <w:rsid w:val="37C42FB1"/>
    <w:rsid w:val="37EC64F7"/>
    <w:rsid w:val="387ABB82"/>
    <w:rsid w:val="39C0C2C8"/>
    <w:rsid w:val="3AAFD952"/>
    <w:rsid w:val="3AB4AF84"/>
    <w:rsid w:val="3AC2C8CC"/>
    <w:rsid w:val="3AEE3F93"/>
    <w:rsid w:val="3BAC5157"/>
    <w:rsid w:val="3BC66A5A"/>
    <w:rsid w:val="3C91D4F6"/>
    <w:rsid w:val="3D902F9F"/>
    <w:rsid w:val="3DF8A1AF"/>
    <w:rsid w:val="3E0897D2"/>
    <w:rsid w:val="3E7C3A7E"/>
    <w:rsid w:val="3E7FFAA0"/>
    <w:rsid w:val="3E81E62E"/>
    <w:rsid w:val="3F47D2E1"/>
    <w:rsid w:val="3F62653E"/>
    <w:rsid w:val="3FCA457D"/>
    <w:rsid w:val="3FE240BD"/>
    <w:rsid w:val="40600E58"/>
    <w:rsid w:val="43917D9B"/>
    <w:rsid w:val="43991C84"/>
    <w:rsid w:val="4436AC01"/>
    <w:rsid w:val="445A3A4F"/>
    <w:rsid w:val="447A0A5A"/>
    <w:rsid w:val="44A55623"/>
    <w:rsid w:val="44B2CA33"/>
    <w:rsid w:val="4511394A"/>
    <w:rsid w:val="451EE727"/>
    <w:rsid w:val="4677A5D0"/>
    <w:rsid w:val="479433F0"/>
    <w:rsid w:val="482AD4D8"/>
    <w:rsid w:val="48AFB285"/>
    <w:rsid w:val="48DC7D36"/>
    <w:rsid w:val="49B7679C"/>
    <w:rsid w:val="4AFB4B09"/>
    <w:rsid w:val="4BCA45B9"/>
    <w:rsid w:val="4C57229E"/>
    <w:rsid w:val="4CD521ED"/>
    <w:rsid w:val="4DB44149"/>
    <w:rsid w:val="4E43F1A5"/>
    <w:rsid w:val="4E535C67"/>
    <w:rsid w:val="4E7F05F7"/>
    <w:rsid w:val="4E8CF1C3"/>
    <w:rsid w:val="4E933DEB"/>
    <w:rsid w:val="4EA9638D"/>
    <w:rsid w:val="4F2CF101"/>
    <w:rsid w:val="4F34F627"/>
    <w:rsid w:val="4F9C97CB"/>
    <w:rsid w:val="50663472"/>
    <w:rsid w:val="50CA9E7B"/>
    <w:rsid w:val="51F88073"/>
    <w:rsid w:val="5353B47F"/>
    <w:rsid w:val="53624439"/>
    <w:rsid w:val="5408297B"/>
    <w:rsid w:val="5410BBB0"/>
    <w:rsid w:val="5449A0BA"/>
    <w:rsid w:val="5464BC0F"/>
    <w:rsid w:val="548093C7"/>
    <w:rsid w:val="55F2FE15"/>
    <w:rsid w:val="56AA71EB"/>
    <w:rsid w:val="57162B2B"/>
    <w:rsid w:val="57B0084A"/>
    <w:rsid w:val="58889A15"/>
    <w:rsid w:val="58BB5913"/>
    <w:rsid w:val="58CB3E18"/>
    <w:rsid w:val="5A0F6823"/>
    <w:rsid w:val="5A4069EB"/>
    <w:rsid w:val="5A6A1D1E"/>
    <w:rsid w:val="5B1E1C18"/>
    <w:rsid w:val="5B35B581"/>
    <w:rsid w:val="5B8B2C6E"/>
    <w:rsid w:val="5C2A6CFC"/>
    <w:rsid w:val="5CEAFD2E"/>
    <w:rsid w:val="5D455312"/>
    <w:rsid w:val="5D59BD08"/>
    <w:rsid w:val="5E12F698"/>
    <w:rsid w:val="5E27295B"/>
    <w:rsid w:val="5EB25223"/>
    <w:rsid w:val="5EB9706F"/>
    <w:rsid w:val="5EE63B20"/>
    <w:rsid w:val="5F85CF7F"/>
    <w:rsid w:val="60709936"/>
    <w:rsid w:val="60E5B345"/>
    <w:rsid w:val="60E8ACC2"/>
    <w:rsid w:val="610508F3"/>
    <w:rsid w:val="61132790"/>
    <w:rsid w:val="611646C7"/>
    <w:rsid w:val="616CF657"/>
    <w:rsid w:val="6173AEA1"/>
    <w:rsid w:val="620FC77A"/>
    <w:rsid w:val="62623B59"/>
    <w:rsid w:val="633456C4"/>
    <w:rsid w:val="63847509"/>
    <w:rsid w:val="63AE3AD1"/>
    <w:rsid w:val="63E21412"/>
    <w:rsid w:val="63F8A0A3"/>
    <w:rsid w:val="641A5C35"/>
    <w:rsid w:val="6496AFAD"/>
    <w:rsid w:val="652FEE17"/>
    <w:rsid w:val="657401D6"/>
    <w:rsid w:val="65D37617"/>
    <w:rsid w:val="6640677A"/>
    <w:rsid w:val="66B57D80"/>
    <w:rsid w:val="66D6C173"/>
    <w:rsid w:val="673FF244"/>
    <w:rsid w:val="6749D536"/>
    <w:rsid w:val="67BB4914"/>
    <w:rsid w:val="68015057"/>
    <w:rsid w:val="6954AD20"/>
    <w:rsid w:val="69DF46F3"/>
    <w:rsid w:val="6A05C874"/>
    <w:rsid w:val="6B0D67CC"/>
    <w:rsid w:val="6B45864C"/>
    <w:rsid w:val="6B5B4EB5"/>
    <w:rsid w:val="6B934178"/>
    <w:rsid w:val="6C2A41F7"/>
    <w:rsid w:val="6CAB3F48"/>
    <w:rsid w:val="6D1CB0D4"/>
    <w:rsid w:val="6D66BD58"/>
    <w:rsid w:val="6D845316"/>
    <w:rsid w:val="6D881700"/>
    <w:rsid w:val="6DB34448"/>
    <w:rsid w:val="6DC6BF9C"/>
    <w:rsid w:val="6DEB12A9"/>
    <w:rsid w:val="6FF40DB6"/>
    <w:rsid w:val="7189687D"/>
    <w:rsid w:val="71FF90C7"/>
    <w:rsid w:val="720E66AD"/>
    <w:rsid w:val="723230C1"/>
    <w:rsid w:val="7242DD9E"/>
    <w:rsid w:val="7327366B"/>
    <w:rsid w:val="7381F533"/>
    <w:rsid w:val="740ECE0C"/>
    <w:rsid w:val="75082548"/>
    <w:rsid w:val="75978703"/>
    <w:rsid w:val="761BDCA8"/>
    <w:rsid w:val="772A0CB4"/>
    <w:rsid w:val="773AD009"/>
    <w:rsid w:val="787EEB47"/>
    <w:rsid w:val="7937B5A2"/>
    <w:rsid w:val="7952E5F2"/>
    <w:rsid w:val="79BBE249"/>
    <w:rsid w:val="7A2D7D14"/>
    <w:rsid w:val="7A8AD58B"/>
    <w:rsid w:val="7AAAEE40"/>
    <w:rsid w:val="7B540EA8"/>
    <w:rsid w:val="7B5541C8"/>
    <w:rsid w:val="7B95B92D"/>
    <w:rsid w:val="7BFCA3D1"/>
    <w:rsid w:val="7CD207DE"/>
    <w:rsid w:val="7CFAECE9"/>
    <w:rsid w:val="7CFFEA72"/>
    <w:rsid w:val="7D73B1B0"/>
    <w:rsid w:val="7D77F417"/>
    <w:rsid w:val="7E87CB88"/>
    <w:rsid w:val="7EA03B6B"/>
    <w:rsid w:val="7F8B35BB"/>
    <w:rsid w:val="7FE0577C"/>
    <w:rsid w:val="7FF9B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79A5"/>
  <w15:chartTrackingRefBased/>
  <w15:docId w15:val="{9CC98163-6E10-4180-BFED-2B9DB2AD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5A1"/>
    <w:rPr>
      <w:color w:val="0563C1" w:themeColor="hyperlink"/>
      <w:u w:val="single"/>
    </w:rPr>
  </w:style>
  <w:style w:type="character" w:styleId="UnresolvedMention">
    <w:name w:val="Unresolved Mention"/>
    <w:basedOn w:val="DefaultParagraphFont"/>
    <w:uiPriority w:val="99"/>
    <w:unhideWhenUsed/>
    <w:rsid w:val="00D855A1"/>
    <w:rPr>
      <w:color w:val="605E5C"/>
      <w:shd w:val="clear" w:color="auto" w:fill="E1DFDD"/>
    </w:rPr>
  </w:style>
  <w:style w:type="character" w:styleId="CommentReference">
    <w:name w:val="annotation reference"/>
    <w:basedOn w:val="DefaultParagraphFont"/>
    <w:uiPriority w:val="99"/>
    <w:semiHidden/>
    <w:unhideWhenUsed/>
    <w:rsid w:val="00122F8E"/>
    <w:rPr>
      <w:sz w:val="16"/>
      <w:szCs w:val="16"/>
    </w:rPr>
  </w:style>
  <w:style w:type="paragraph" w:styleId="CommentText">
    <w:name w:val="annotation text"/>
    <w:basedOn w:val="Normal"/>
    <w:link w:val="CommentTextChar"/>
    <w:uiPriority w:val="99"/>
    <w:unhideWhenUsed/>
    <w:rsid w:val="00122F8E"/>
    <w:pPr>
      <w:spacing w:line="240" w:lineRule="auto"/>
    </w:pPr>
    <w:rPr>
      <w:sz w:val="20"/>
      <w:szCs w:val="20"/>
    </w:rPr>
  </w:style>
  <w:style w:type="character" w:customStyle="1" w:styleId="CommentTextChar">
    <w:name w:val="Comment Text Char"/>
    <w:basedOn w:val="DefaultParagraphFont"/>
    <w:link w:val="CommentText"/>
    <w:uiPriority w:val="99"/>
    <w:rsid w:val="00122F8E"/>
    <w:rPr>
      <w:sz w:val="20"/>
      <w:szCs w:val="20"/>
    </w:rPr>
  </w:style>
  <w:style w:type="paragraph" w:styleId="CommentSubject">
    <w:name w:val="annotation subject"/>
    <w:basedOn w:val="CommentText"/>
    <w:next w:val="CommentText"/>
    <w:link w:val="CommentSubjectChar"/>
    <w:uiPriority w:val="99"/>
    <w:semiHidden/>
    <w:unhideWhenUsed/>
    <w:rsid w:val="00122F8E"/>
    <w:rPr>
      <w:b/>
      <w:bCs/>
    </w:rPr>
  </w:style>
  <w:style w:type="character" w:customStyle="1" w:styleId="CommentSubjectChar">
    <w:name w:val="Comment Subject Char"/>
    <w:basedOn w:val="CommentTextChar"/>
    <w:link w:val="CommentSubject"/>
    <w:uiPriority w:val="99"/>
    <w:semiHidden/>
    <w:rsid w:val="00122F8E"/>
    <w:rPr>
      <w:b/>
      <w:bCs/>
      <w:sz w:val="20"/>
      <w:szCs w:val="20"/>
    </w:rPr>
  </w:style>
  <w:style w:type="character" w:styleId="Mention">
    <w:name w:val="Mention"/>
    <w:basedOn w:val="DefaultParagraphFont"/>
    <w:uiPriority w:val="99"/>
    <w:unhideWhenUsed/>
    <w:rsid w:val="00122F8E"/>
    <w:rPr>
      <w:color w:val="2B579A"/>
      <w:shd w:val="clear" w:color="auto" w:fill="E1DFDD"/>
    </w:rPr>
  </w:style>
  <w:style w:type="paragraph" w:styleId="Header">
    <w:name w:val="header"/>
    <w:basedOn w:val="Normal"/>
    <w:link w:val="HeaderChar"/>
    <w:uiPriority w:val="99"/>
    <w:unhideWhenUsed/>
    <w:rsid w:val="00897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FB4"/>
  </w:style>
  <w:style w:type="paragraph" w:styleId="Footer">
    <w:name w:val="footer"/>
    <w:basedOn w:val="Normal"/>
    <w:link w:val="FooterChar"/>
    <w:uiPriority w:val="99"/>
    <w:unhideWhenUsed/>
    <w:rsid w:val="00897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FB4"/>
  </w:style>
  <w:style w:type="paragraph" w:styleId="Revision">
    <w:name w:val="Revision"/>
    <w:hidden/>
    <w:uiPriority w:val="99"/>
    <w:semiHidden/>
    <w:rsid w:val="00112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Fu, Brian</DisplayName>
        <AccountId>19</AccountId>
        <AccountType/>
      </UserInfo>
      <UserInfo>
        <DisplayName>Bogart, Joanne</DisplayName>
        <AccountId>18</AccountId>
        <AccountType/>
      </UserInfo>
    </SharedWithUsers>
  </documentManagement>
</p:properties>
</file>

<file path=customXml/itemProps1.xml><?xml version="1.0" encoding="utf-8"?>
<ds:datastoreItem xmlns:ds="http://schemas.openxmlformats.org/officeDocument/2006/customXml" ds:itemID="{3D7453A1-B72D-4EE0-92E9-DF74D9A81635}">
  <ds:schemaRefs>
    <ds:schemaRef ds:uri="http://schemas.microsoft.com/sharepoint/v3/contenttype/forms"/>
  </ds:schemaRefs>
</ds:datastoreItem>
</file>

<file path=customXml/itemProps2.xml><?xml version="1.0" encoding="utf-8"?>
<ds:datastoreItem xmlns:ds="http://schemas.openxmlformats.org/officeDocument/2006/customXml" ds:itemID="{6F917FD3-F0D1-4549-84AC-97F22A97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5962A-3604-4FD4-A2F5-6B385729D3FE}">
  <ds:schemaRefs>
    <ds:schemaRef ds:uri="http://purl.org/dc/elements/1.1/"/>
    <ds:schemaRef ds:uri="http://purl.org/dc/dcmitype/"/>
    <ds:schemaRef ds:uri="ab9b5319-1185-4140-9a26-9cb9df080838"/>
    <ds:schemaRef ds:uri="http://www.w3.org/XML/1998/namespace"/>
    <ds:schemaRef ds:uri="http://schemas.microsoft.com/office/2006/documentManagement/types"/>
    <ds:schemaRef ds:uri="http://purl.org/dc/terms/"/>
    <ds:schemaRef ds:uri="913fafb8-8ecc-40e4-9d76-36f25eb14c54"/>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 Brian</dc:creator>
  <cp:keywords/>
  <dc:description/>
  <cp:lastModifiedBy>Mullan, Kate</cp:lastModifiedBy>
  <cp:revision>2</cp:revision>
  <dcterms:created xsi:type="dcterms:W3CDTF">2021-12-22T15:14:00Z</dcterms:created>
  <dcterms:modified xsi:type="dcterms:W3CDTF">2021-12-22T15:14:00Z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