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5680D" w:rsidP="0005680D" w14:paraId="7B098020" w14:textId="6313FC1D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7B4999">
        <w:t>Elaine Soohoo and Jamie Wilson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D02D80" w:rsidP="00D02D80" w14:paraId="451D4CC3" w14:textId="65929CD5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415D55">
        <w:t>Elizabeth Kronk</w:t>
      </w:r>
    </w:p>
    <w:p w:rsidR="00D02D80" w:rsidP="00D02D80" w14:paraId="10169CC6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>
        <w:t>Office of Refugee Resettlement (ORR)</w:t>
      </w:r>
    </w:p>
    <w:p w:rsidR="00D02D80" w:rsidP="00D02D80" w14:paraId="4E8919CB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P="00D02D80" w14:paraId="15ABAFDA" w14:textId="47620DBF">
      <w:pPr>
        <w:tabs>
          <w:tab w:val="left" w:pos="1080"/>
        </w:tabs>
        <w:ind w:left="1080" w:hanging="1080"/>
      </w:pPr>
    </w:p>
    <w:p w:rsidR="0005680D" w:rsidP="0005680D" w14:paraId="0BBD6359" w14:textId="5B5145B0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Pr="00415D55" w:rsidR="00D02D80">
        <w:t>December</w:t>
      </w:r>
      <w:r w:rsidRPr="00415D55">
        <w:t xml:space="preserve"> </w:t>
      </w:r>
      <w:r w:rsidRPr="00415D55" w:rsidR="00415D55">
        <w:t>21</w:t>
      </w:r>
      <w:r w:rsidRPr="00415D55" w:rsidR="00BF696B">
        <w:t>,</w:t>
      </w:r>
      <w:r w:rsidRPr="00415D55">
        <w:t xml:space="preserve"> 20</w:t>
      </w:r>
      <w:r w:rsidRPr="00415D55" w:rsidR="00D02D80">
        <w:t>22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1F81F91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>NonSubstantive</w:t>
      </w:r>
      <w:r>
        <w:t xml:space="preserve"> Change Request – </w:t>
      </w:r>
      <w:r w:rsidR="00D02D80">
        <w:t>Placement and Transfer of Unaccompanied Children</w:t>
      </w:r>
      <w:r w:rsidR="00685CA1">
        <w:t xml:space="preserve"> (UC) in Office of Refugee Resettlement (ORR) Care Provider Facilities</w:t>
      </w:r>
      <w:r>
        <w:t xml:space="preserve"> (OMB #0970-</w:t>
      </w:r>
      <w:r w:rsidR="00AD538E">
        <w:t>0554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E525D4" w:rsidP="00FA429A" w14:paraId="494EB7FC" w14:textId="703415FA">
      <w:pPr>
        <w:spacing w:before="120"/>
      </w:pPr>
      <w:r>
        <w:t xml:space="preserve">This memo requests approval of </w:t>
      </w:r>
      <w:r>
        <w:t>nonsubstantive</w:t>
      </w:r>
      <w:r>
        <w:t xml:space="preserve"> changes to the approved information collection, </w:t>
      </w:r>
      <w:r w:rsidR="00AD538E">
        <w:t xml:space="preserve">Placement and Transfer of Unaccompanied Children </w:t>
      </w:r>
      <w:r w:rsidR="00685CA1">
        <w:t xml:space="preserve">(UC) in Office of Refugee Resettlement (ORR) Care Provider Facilities </w:t>
      </w:r>
      <w:r>
        <w:t>(OMB #0970-0</w:t>
      </w:r>
      <w:r w:rsidR="00AD538E">
        <w:t>554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05680D" w:rsidP="00BF696B" w14:paraId="0B392A35" w14:textId="467600E1">
      <w:r>
        <w:t xml:space="preserve">The Placement and Transfer of </w:t>
      </w:r>
      <w:r w:rsidR="00685CA1">
        <w:t>UC</w:t>
      </w:r>
      <w:r w:rsidRPr="00685CA1" w:rsidR="00685CA1">
        <w:t xml:space="preserve"> </w:t>
      </w:r>
      <w:r w:rsidR="00685CA1">
        <w:t>in ORR Care Provider Facilities</w:t>
      </w:r>
      <w:r w:rsidR="001D56DE">
        <w:t xml:space="preserve"> information collection </w:t>
      </w:r>
      <w:r w:rsidRPr="006F343C" w:rsidR="001D56DE">
        <w:t xml:space="preserve">contains </w:t>
      </w:r>
      <w:r w:rsidRPr="006F343C" w:rsidR="25237798">
        <w:t>18</w:t>
      </w:r>
      <w:r w:rsidRPr="006F343C" w:rsidR="00685CA1">
        <w:t xml:space="preserve"> i</w:t>
      </w:r>
      <w:r w:rsidRPr="006F343C" w:rsidR="001D56DE">
        <w:t>nstruments</w:t>
      </w:r>
      <w:r w:rsidR="001D56DE">
        <w:t xml:space="preserve"> that allow ORR to facilit</w:t>
      </w:r>
      <w:r w:rsidR="00BA77C1">
        <w:t xml:space="preserve">ate the placement of </w:t>
      </w:r>
      <w:r w:rsidR="00A3214D">
        <w:t>UC</w:t>
      </w:r>
      <w:r w:rsidR="00BA77C1">
        <w:t xml:space="preserve"> within the network of care providers, which includes standard facilities and </w:t>
      </w:r>
      <w:r w:rsidR="00A3214D">
        <w:t xml:space="preserve">influx care facilities, as well as the transfer of UC within the network of care providers. </w:t>
      </w:r>
      <w:r w:rsidRPr="00702672" w:rsidR="00702672">
        <w:t>The collection was last approved by OMB on 10/27/2022 (under expedited review) and the current expiration date is 4/30/202</w:t>
      </w:r>
      <w:r w:rsidR="007B4999">
        <w:t>3</w:t>
      </w:r>
      <w:r w:rsidRPr="00702672" w:rsidR="00702672">
        <w:t xml:space="preserve">. ORR is currently seeking an extension to continue data collection. The related 60-Day Federal Register Notice was posted October 25, </w:t>
      </w:r>
      <w:r w:rsidRPr="00702672" w:rsidR="00702672">
        <w:t>2022</w:t>
      </w:r>
      <w:r w:rsidRPr="00702672" w:rsidR="00702672">
        <w:t xml:space="preserve"> and can be found here: </w:t>
      </w:r>
      <w:hyperlink r:id="rId7" w:history="1">
        <w:r w:rsidRPr="001D6456" w:rsidR="00702672">
          <w:rPr>
            <w:rStyle w:val="Hyperlink"/>
          </w:rPr>
          <w:t>https://www.federalregister.gov/d/2022-23316</w:t>
        </w:r>
      </w:hyperlink>
      <w:r w:rsidR="00702672">
        <w:t xml:space="preserve">. </w:t>
      </w:r>
      <w:r w:rsidR="00FC5C35">
        <w:t xml:space="preserve"> </w:t>
      </w:r>
    </w:p>
    <w:p w:rsidR="0005680D" w:rsidP="00BF696B" w14:paraId="2B14ECA7" w14:textId="538783A8"/>
    <w:p w:rsidR="007B4999" w:rsidRPr="00FA429A" w:rsidP="00FA429A" w14:paraId="10D2B0E8" w14:textId="38F88687">
      <w:pPr>
        <w:rPr>
          <w:b/>
          <w:i/>
        </w:rPr>
      </w:pPr>
      <w:r>
        <w:t xml:space="preserve">The </w:t>
      </w:r>
      <w:r>
        <w:t>currently approved P-18 Notification of Administrative Review form states that a panel will provide a decision within five (5) business days of receiving a written statement requesting a reconsideration of placement into a care provider facility that is more restrictive (such as a secure care provider, staff secure, or residential treatment center (RTC)).</w:t>
      </w:r>
      <w:r>
        <w:t xml:space="preserve"> ACF’s own Policies and Procedures state that a panel will provide a written decision within </w:t>
      </w:r>
      <w:r w:rsidRPr="00FA429A">
        <w:rPr>
          <w:b/>
          <w:bCs/>
        </w:rPr>
        <w:t>seven (7)</w:t>
      </w:r>
      <w:r>
        <w:t xml:space="preserve"> calendar days of receiving the minor’s written statement. Additionally, the seven-day timeframe </w:t>
      </w:r>
      <w:r>
        <w:t>is in compliance with</w:t>
      </w:r>
      <w:r>
        <w:t xml:space="preserve"> the </w:t>
      </w:r>
      <w:r>
        <w:rPr>
          <w:rStyle w:val="normaltextrun"/>
          <w:i/>
          <w:iCs/>
          <w:color w:val="000000"/>
          <w:shd w:val="clear" w:color="auto" w:fill="FFFFFF"/>
        </w:rPr>
        <w:t>Lucas R. v. Azar et al</w:t>
      </w:r>
      <w:r>
        <w:rPr>
          <w:rStyle w:val="normaltextrun"/>
          <w:color w:val="000000"/>
          <w:shd w:val="clear" w:color="auto" w:fill="FFFFFF"/>
        </w:rPr>
        <w:t xml:space="preserve"> (Case No. CV 18-5741-DMG (</w:t>
      </w:r>
      <w:r>
        <w:rPr>
          <w:rStyle w:val="spellingerror"/>
          <w:color w:val="000000"/>
          <w:shd w:val="clear" w:color="auto" w:fill="FFFFFF"/>
        </w:rPr>
        <w:t>PLAx</w:t>
      </w:r>
      <w:r>
        <w:rPr>
          <w:rStyle w:val="normaltextrun"/>
          <w:color w:val="000000"/>
          <w:shd w:val="clear" w:color="auto" w:fill="FFFFFF"/>
        </w:rPr>
        <w:t>)</w:t>
      </w:r>
      <w:r>
        <w:t xml:space="preserve"> Preliminary Injunction that went into effect on November 21, </w:t>
      </w:r>
      <w:r w:rsidRPr="00DB10BD">
        <w:t>2022.</w:t>
      </w:r>
      <w:r>
        <w:t xml:space="preserve"> </w:t>
      </w:r>
    </w:p>
    <w:p w:rsidR="007B4999" w:rsidP="00BF696B" w14:paraId="654BF6C2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9344B" w:rsidP="00FA429A" w14:paraId="5DC4F5E6" w14:textId="65AF8D95">
      <w:pPr>
        <w:rPr>
          <w:b/>
          <w:i/>
        </w:rPr>
      </w:pPr>
      <w:r>
        <w:t xml:space="preserve">The </w:t>
      </w:r>
      <w:r w:rsidR="00206C3C">
        <w:t xml:space="preserve">proposed </w:t>
      </w:r>
      <w:r>
        <w:t xml:space="preserve">revisions would change the decision time frame from five (5) </w:t>
      </w:r>
      <w:r w:rsidR="00346DBC">
        <w:t>business</w:t>
      </w:r>
      <w:r>
        <w:t xml:space="preserve"> days to seven (7) </w:t>
      </w:r>
      <w:r w:rsidR="00346DBC">
        <w:t xml:space="preserve">calendar </w:t>
      </w:r>
      <w:r>
        <w:t>days</w:t>
      </w:r>
      <w:r w:rsidR="00206C3C">
        <w:t>. This change will ensure</w:t>
      </w:r>
      <w:r w:rsidR="004A59A3">
        <w:t xml:space="preserve"> that </w:t>
      </w:r>
      <w:r w:rsidR="00EB4137">
        <w:t>ACF</w:t>
      </w:r>
      <w:r w:rsidR="004A59A3">
        <w:t xml:space="preserve"> is </w:t>
      </w:r>
      <w:r w:rsidR="00EB4137">
        <w:t xml:space="preserve">consistent </w:t>
      </w:r>
      <w:r w:rsidR="004A59A3">
        <w:t xml:space="preserve">with its own Policies and Procedures, </w:t>
      </w:r>
      <w:r w:rsidR="00465C6F">
        <w:t xml:space="preserve">remains in compliance with the </w:t>
      </w:r>
      <w:r w:rsidR="00465C6F">
        <w:rPr>
          <w:rStyle w:val="normaltextrun"/>
          <w:i/>
          <w:iCs/>
          <w:color w:val="000000"/>
          <w:shd w:val="clear" w:color="auto" w:fill="FFFFFF"/>
        </w:rPr>
        <w:t>Lucas R. v. Azar et al</w:t>
      </w:r>
      <w:r w:rsidR="00465C6F">
        <w:rPr>
          <w:rStyle w:val="normaltextrun"/>
          <w:color w:val="000000"/>
          <w:shd w:val="clear" w:color="auto" w:fill="FFFFFF"/>
        </w:rPr>
        <w:t xml:space="preserve"> (Case No. CV 18-5741-DMG (</w:t>
      </w:r>
      <w:r w:rsidR="00465C6F">
        <w:rPr>
          <w:rStyle w:val="spellingerror"/>
          <w:color w:val="000000"/>
          <w:shd w:val="clear" w:color="auto" w:fill="FFFFFF"/>
        </w:rPr>
        <w:t>PLAx</w:t>
      </w:r>
      <w:r w:rsidR="00465C6F">
        <w:rPr>
          <w:rStyle w:val="normaltextrun"/>
          <w:color w:val="000000"/>
          <w:shd w:val="clear" w:color="auto" w:fill="FFFFFF"/>
        </w:rPr>
        <w:t>)</w:t>
      </w:r>
      <w:r w:rsidR="00465C6F">
        <w:t xml:space="preserve"> Preliminary Injunction</w:t>
      </w:r>
      <w:r w:rsidR="007B4999">
        <w:t>.</w:t>
      </w:r>
    </w:p>
    <w:p w:rsidR="00DB10BD" w:rsidP="00FA429A" w14:paraId="08CB481A" w14:textId="77777777">
      <w:pPr>
        <w:rPr>
          <w:b/>
          <w:i/>
        </w:rPr>
      </w:pPr>
    </w:p>
    <w:p w:rsidR="00CC06C7" w:rsidP="00BF696B" w14:paraId="45C901D2" w14:textId="2D172233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CC06C7" w:rsidRPr="0005680D" w:rsidP="00BF696B" w14:paraId="00B21676" w14:textId="58FCD712">
      <w:pPr>
        <w:spacing w:after="120"/>
        <w:rPr>
          <w:b/>
          <w:i/>
        </w:rPr>
      </w:pPr>
      <w:r>
        <w:rPr>
          <w:rStyle w:val="normaltextrun"/>
          <w:color w:val="000000"/>
          <w:shd w:val="clear" w:color="auto" w:fill="FFFFFF"/>
        </w:rPr>
        <w:t xml:space="preserve">Approval of this change is needed immediately to ensure ACF </w:t>
      </w:r>
      <w:r>
        <w:rPr>
          <w:rStyle w:val="normaltextrun"/>
          <w:color w:val="000000"/>
          <w:shd w:val="clear" w:color="auto" w:fill="FFFFFF"/>
        </w:rPr>
        <w:t xml:space="preserve">is </w:t>
      </w:r>
      <w:r w:rsidR="00D40E56">
        <w:rPr>
          <w:rStyle w:val="normaltextrun"/>
          <w:color w:val="000000"/>
          <w:shd w:val="clear" w:color="auto" w:fill="FFFFFF"/>
        </w:rPr>
        <w:t>in compliance with</w:t>
      </w:r>
      <w:r w:rsidR="00D40E56">
        <w:rPr>
          <w:rStyle w:val="normaltextrun"/>
          <w:color w:val="000000"/>
          <w:shd w:val="clear" w:color="auto" w:fill="FFFFFF"/>
        </w:rPr>
        <w:t xml:space="preserve"> the </w:t>
      </w:r>
      <w:r w:rsidR="00D40E56">
        <w:rPr>
          <w:rStyle w:val="normaltextrun"/>
          <w:i/>
          <w:iCs/>
          <w:color w:val="000000"/>
          <w:shd w:val="clear" w:color="auto" w:fill="FFFFFF"/>
        </w:rPr>
        <w:t xml:space="preserve">Lucas R. </w:t>
      </w:r>
      <w:r w:rsidR="00D40E56">
        <w:rPr>
          <w:rStyle w:val="normaltextrun"/>
          <w:i/>
          <w:iCs/>
          <w:color w:val="000000"/>
          <w:shd w:val="clear" w:color="auto" w:fill="FFFFFF"/>
        </w:rPr>
        <w:t xml:space="preserve">v. Azar et al </w:t>
      </w:r>
      <w:r w:rsidRPr="00D40E56" w:rsidR="00D40E56">
        <w:rPr>
          <w:rStyle w:val="normaltextrun"/>
          <w:i/>
          <w:iCs/>
          <w:color w:val="000000"/>
          <w:shd w:val="clear" w:color="auto" w:fill="FFFFFF"/>
        </w:rPr>
        <w:t>(Case No. CV 18-5741-DMG (</w:t>
      </w:r>
      <w:r w:rsidRPr="00D40E56" w:rsidR="00D40E56">
        <w:rPr>
          <w:rStyle w:val="normaltextrun"/>
          <w:i/>
          <w:iCs/>
          <w:color w:val="000000"/>
          <w:shd w:val="clear" w:color="auto" w:fill="FFFFFF"/>
        </w:rPr>
        <w:t>PLAx</w:t>
      </w:r>
      <w:r w:rsidRPr="00D40E56" w:rsidR="00D40E56">
        <w:rPr>
          <w:rStyle w:val="normaltextrun"/>
          <w:i/>
          <w:iCs/>
          <w:color w:val="000000"/>
          <w:shd w:val="clear" w:color="auto" w:fill="FFFFFF"/>
        </w:rPr>
        <w:t xml:space="preserve">) </w:t>
      </w:r>
      <w:r w:rsidRPr="00EB4137" w:rsidR="00D40E56">
        <w:rPr>
          <w:rStyle w:val="normaltextrun"/>
          <w:color w:val="000000"/>
          <w:shd w:val="clear" w:color="auto" w:fill="FFFFFF"/>
        </w:rPr>
        <w:t xml:space="preserve">Preliminary Injunction that went into effect on November 21, 2022.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5680D"/>
    <w:rsid w:val="00067A2D"/>
    <w:rsid w:val="0009344B"/>
    <w:rsid w:val="000E79FE"/>
    <w:rsid w:val="00110848"/>
    <w:rsid w:val="00116024"/>
    <w:rsid w:val="001D56DE"/>
    <w:rsid w:val="001D6456"/>
    <w:rsid w:val="00201D4A"/>
    <w:rsid w:val="00206C3C"/>
    <w:rsid w:val="00214134"/>
    <w:rsid w:val="00271A79"/>
    <w:rsid w:val="00291595"/>
    <w:rsid w:val="002C6CEF"/>
    <w:rsid w:val="002F7915"/>
    <w:rsid w:val="00300873"/>
    <w:rsid w:val="003028C0"/>
    <w:rsid w:val="00346DBC"/>
    <w:rsid w:val="003E2668"/>
    <w:rsid w:val="00415D55"/>
    <w:rsid w:val="00416E1B"/>
    <w:rsid w:val="004530DE"/>
    <w:rsid w:val="00465C6F"/>
    <w:rsid w:val="004A59A3"/>
    <w:rsid w:val="004A777C"/>
    <w:rsid w:val="004B0C3B"/>
    <w:rsid w:val="004B13AD"/>
    <w:rsid w:val="004C0487"/>
    <w:rsid w:val="004D0F37"/>
    <w:rsid w:val="004E0796"/>
    <w:rsid w:val="00685CA1"/>
    <w:rsid w:val="006A6216"/>
    <w:rsid w:val="006F343C"/>
    <w:rsid w:val="00702672"/>
    <w:rsid w:val="007A704B"/>
    <w:rsid w:val="007B4999"/>
    <w:rsid w:val="007C4DD2"/>
    <w:rsid w:val="007C711B"/>
    <w:rsid w:val="00811F6B"/>
    <w:rsid w:val="00874676"/>
    <w:rsid w:val="009758AA"/>
    <w:rsid w:val="00995018"/>
    <w:rsid w:val="009B1ECC"/>
    <w:rsid w:val="00A3214D"/>
    <w:rsid w:val="00A44387"/>
    <w:rsid w:val="00AC22B0"/>
    <w:rsid w:val="00AD538E"/>
    <w:rsid w:val="00BA77C1"/>
    <w:rsid w:val="00BF696B"/>
    <w:rsid w:val="00C27449"/>
    <w:rsid w:val="00C34D74"/>
    <w:rsid w:val="00C9734C"/>
    <w:rsid w:val="00CC06C7"/>
    <w:rsid w:val="00CE4648"/>
    <w:rsid w:val="00D02D80"/>
    <w:rsid w:val="00D40E56"/>
    <w:rsid w:val="00DB10BD"/>
    <w:rsid w:val="00DF6F24"/>
    <w:rsid w:val="00E44A64"/>
    <w:rsid w:val="00E523E6"/>
    <w:rsid w:val="00E525D4"/>
    <w:rsid w:val="00EB4137"/>
    <w:rsid w:val="00F30EA6"/>
    <w:rsid w:val="00F76116"/>
    <w:rsid w:val="00FA429A"/>
    <w:rsid w:val="00FC1D12"/>
    <w:rsid w:val="00FC5C35"/>
    <w:rsid w:val="0CFEE7EA"/>
    <w:rsid w:val="1AA30CEE"/>
    <w:rsid w:val="244F9A70"/>
    <w:rsid w:val="25237798"/>
    <w:rsid w:val="3343104C"/>
    <w:rsid w:val="360857F6"/>
    <w:rsid w:val="4176D92F"/>
    <w:rsid w:val="465ABBDB"/>
    <w:rsid w:val="47EF9BD0"/>
    <w:rsid w:val="4BCD1EF1"/>
    <w:rsid w:val="50B1019D"/>
    <w:rsid w:val="53A313F8"/>
    <w:rsid w:val="6C19E184"/>
    <w:rsid w:val="79757AB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customStyle="1" w:styleId="normaltextrun">
    <w:name w:val="normaltextrun"/>
    <w:basedOn w:val="DefaultParagraphFont"/>
    <w:rsid w:val="0009344B"/>
  </w:style>
  <w:style w:type="character" w:customStyle="1" w:styleId="advancedproofingissue">
    <w:name w:val="advancedproofingissue"/>
    <w:basedOn w:val="DefaultParagraphFont"/>
    <w:rsid w:val="0009344B"/>
  </w:style>
  <w:style w:type="character" w:customStyle="1" w:styleId="spellingerror">
    <w:name w:val="spellingerror"/>
    <w:basedOn w:val="DefaultParagraphFont"/>
    <w:rsid w:val="0009344B"/>
  </w:style>
  <w:style w:type="character" w:styleId="Hyperlink">
    <w:name w:val="Hyperlink"/>
    <w:basedOn w:val="DefaultParagraphFont"/>
    <w:uiPriority w:val="99"/>
    <w:unhideWhenUsed/>
    <w:rsid w:val="00DF6F2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E44A64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3E2668"/>
    <w:rPr>
      <w:color w:val="2B579A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B0C3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www.federalregister.gov/d/2022-23316" TargetMode="Externa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28620216181944A73EC5F108E52833" ma:contentTypeVersion="7" ma:contentTypeDescription="Create a new document." ma:contentTypeScope="" ma:versionID="c0f28a275fd27a348848c7c9a51bb8bd">
  <xsd:schema xmlns:xsd="http://www.w3.org/2001/XMLSchema" xmlns:xs="http://www.w3.org/2001/XMLSchema" xmlns:p="http://schemas.microsoft.com/office/2006/metadata/properties" xmlns:ns2="6f2f78f1-91a5-4d68-8b46-c99d45c19e6d" xmlns:ns3="23ef38b6-7648-470d-b5e3-09395448522b" targetNamespace="http://schemas.microsoft.com/office/2006/metadata/properties" ma:root="true" ma:fieldsID="a5b8bc38a8a1cb522d46aeb06b9740d5" ns2:_="" ns3:_="">
    <xsd:import namespace="6f2f78f1-91a5-4d68-8b46-c99d45c19e6d"/>
    <xsd:import namespace="23ef38b6-7648-470d-b5e3-0939544852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2f78f1-91a5-4d68-8b46-c99d45c19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ef38b6-7648-470d-b5e3-09395448522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2AA89B-B412-4634-BBBE-6DB4831E94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2f78f1-91a5-4d68-8b46-c99d45c19e6d"/>
    <ds:schemaRef ds:uri="23ef38b6-7648-470d-b5e3-09395448522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2</cp:revision>
  <dcterms:created xsi:type="dcterms:W3CDTF">2022-12-21T18:11:00Z</dcterms:created>
  <dcterms:modified xsi:type="dcterms:W3CDTF">2022-12-21T18:11:00Z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0x0101000E28620216181944A73EC5F108E52833</vt:lpwstr>
  </property>
</Properties>
</file>