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CF6" w:rsidRPr="001C49E8" w:rsidP="00804B88" w14:paraId="61D16996" w14:textId="77777777">
      <w:pPr>
        <w:tabs>
          <w:tab w:val="left" w:pos="720"/>
        </w:tabs>
        <w:jc w:val="center"/>
        <w:rPr>
          <w:b/>
        </w:rPr>
      </w:pPr>
      <w:r>
        <w:rPr>
          <w:b/>
        </w:rPr>
        <w:t xml:space="preserve"> </w:t>
      </w:r>
      <w:r w:rsidRPr="001C49E8">
        <w:rPr>
          <w:b/>
        </w:rPr>
        <w:t>SUPPORTING STATEMENT</w:t>
      </w:r>
    </w:p>
    <w:p w:rsidR="00F07CF6" w:rsidRPr="001C49E8" w:rsidP="00F07CF6" w14:paraId="39CC93C8" w14:textId="77777777">
      <w:pPr>
        <w:tabs>
          <w:tab w:val="left" w:pos="720"/>
        </w:tabs>
        <w:rPr>
          <w:b/>
          <w:shd w:val="clear" w:color="auto" w:fill="FFFFFF"/>
        </w:rPr>
      </w:pPr>
    </w:p>
    <w:p w:rsidR="00F07CF6" w:rsidRPr="001C49E8" w:rsidP="00F07CF6" w14:paraId="784E35E5" w14:textId="77777777">
      <w:pPr>
        <w:numPr>
          <w:ilvl w:val="0"/>
          <w:numId w:val="1"/>
        </w:numPr>
        <w:tabs>
          <w:tab w:val="left" w:pos="720"/>
        </w:tabs>
        <w:ind w:left="0" w:firstLine="0"/>
        <w:rPr>
          <w:b/>
          <w:sz w:val="22"/>
          <w:szCs w:val="22"/>
          <w:shd w:val="clear" w:color="auto" w:fill="FFFFFF"/>
        </w:rPr>
      </w:pPr>
      <w:r w:rsidRPr="001C49E8">
        <w:rPr>
          <w:b/>
          <w:sz w:val="22"/>
          <w:szCs w:val="22"/>
          <w:shd w:val="clear" w:color="auto" w:fill="FFFFFF"/>
        </w:rPr>
        <w:t>Justification</w:t>
      </w:r>
      <w:r w:rsidRPr="001C49E8" w:rsidR="00561058">
        <w:rPr>
          <w:b/>
          <w:sz w:val="22"/>
          <w:szCs w:val="22"/>
          <w:shd w:val="clear" w:color="auto" w:fill="FFFFFF"/>
        </w:rPr>
        <w:t>:</w:t>
      </w:r>
    </w:p>
    <w:p w:rsidR="00F07CF6" w:rsidP="00F07CF6" w14:paraId="6B769504" w14:textId="2EA47FE7">
      <w:pPr>
        <w:tabs>
          <w:tab w:val="left" w:pos="720"/>
        </w:tabs>
        <w:rPr>
          <w:b/>
          <w:sz w:val="22"/>
          <w:szCs w:val="22"/>
          <w:shd w:val="clear" w:color="auto" w:fill="FFFFFF"/>
        </w:rPr>
      </w:pPr>
    </w:p>
    <w:p w:rsidR="00B276A7" w:rsidP="00F07CF6" w14:paraId="77CB8793" w14:textId="519F9460">
      <w:pPr>
        <w:tabs>
          <w:tab w:val="left" w:pos="720"/>
        </w:tabs>
        <w:rPr>
          <w:b/>
          <w:sz w:val="22"/>
          <w:szCs w:val="22"/>
          <w:shd w:val="clear" w:color="auto" w:fill="FFFFFF"/>
        </w:rPr>
      </w:pPr>
      <w:r w:rsidRPr="00B276A7">
        <w:rPr>
          <w:b/>
          <w:sz w:val="22"/>
          <w:szCs w:val="22"/>
          <w:u w:val="single"/>
          <w:shd w:val="clear" w:color="auto" w:fill="FFFFFF"/>
        </w:rPr>
        <w:t>History</w:t>
      </w:r>
      <w:r>
        <w:rPr>
          <w:b/>
          <w:sz w:val="22"/>
          <w:szCs w:val="22"/>
          <w:shd w:val="clear" w:color="auto" w:fill="FFFFFF"/>
        </w:rPr>
        <w:t xml:space="preserve">: </w:t>
      </w:r>
    </w:p>
    <w:p w:rsidR="00B276A7" w:rsidRPr="001C49E8" w:rsidP="00F07CF6" w14:paraId="720C08E1" w14:textId="77777777">
      <w:pPr>
        <w:tabs>
          <w:tab w:val="left" w:pos="720"/>
        </w:tabs>
        <w:rPr>
          <w:b/>
          <w:sz w:val="22"/>
          <w:szCs w:val="22"/>
          <w:shd w:val="clear" w:color="auto" w:fill="FFFFFF"/>
        </w:rPr>
      </w:pPr>
    </w:p>
    <w:p w:rsidR="00CE1D1E" w:rsidRPr="001C49E8" w:rsidP="00C10157" w14:paraId="3F3F99FD" w14:textId="77777777">
      <w:pPr>
        <w:tabs>
          <w:tab w:val="left" w:pos="360"/>
        </w:tabs>
        <w:rPr>
          <w:sz w:val="22"/>
          <w:szCs w:val="22"/>
          <w:shd w:val="clear" w:color="auto" w:fill="FFFFFF"/>
        </w:rPr>
      </w:pPr>
      <w:r w:rsidRPr="001C49E8">
        <w:rPr>
          <w:sz w:val="22"/>
          <w:szCs w:val="22"/>
          <w:shd w:val="clear" w:color="auto" w:fill="FFFFFF"/>
        </w:rPr>
        <w:t xml:space="preserve">1. </w:t>
      </w:r>
      <w:r w:rsidRPr="001C49E8">
        <w:rPr>
          <w:sz w:val="22"/>
          <w:szCs w:val="22"/>
          <w:shd w:val="clear" w:color="auto" w:fill="FFFFFF"/>
        </w:rPr>
        <w:t xml:space="preserve">In 2019, the Commission adopted </w:t>
      </w:r>
      <w:r w:rsidRPr="001C49E8" w:rsidR="00C10157">
        <w:rPr>
          <w:sz w:val="22"/>
          <w:szCs w:val="22"/>
          <w:shd w:val="clear" w:color="auto" w:fill="FFFFFF"/>
        </w:rPr>
        <w:t xml:space="preserve">new rules governing the delivery and form of carriage election notices.  </w:t>
      </w:r>
      <w:r w:rsidRPr="001C49E8" w:rsidR="00C10157">
        <w:rPr>
          <w:i/>
          <w:sz w:val="22"/>
          <w:szCs w:val="22"/>
          <w:shd w:val="clear" w:color="auto" w:fill="FFFFFF"/>
        </w:rPr>
        <w:t>Electronic Delivery of MVPD Communications, Modernization of Media Regulation Initiative</w:t>
      </w:r>
      <w:r w:rsidRPr="001C49E8" w:rsidR="00C10157">
        <w:rPr>
          <w:sz w:val="22"/>
          <w:szCs w:val="22"/>
          <w:shd w:val="clear" w:color="auto" w:fill="FFFFFF"/>
        </w:rPr>
        <w:t>, MB Docket Nos. 17-105, 17-317, Report and Order and Further Notice of Proposed Rulemaking, FCC 19-69, 2019 WL 3065517 (rel. Jul. 11, 2019).  Pursuant to that decision, the public file obligations of DBS providers were slightly modified.</w:t>
      </w:r>
    </w:p>
    <w:p w:rsidR="00E44B7B" w:rsidRPr="001C49E8" w:rsidP="00C10157" w14:paraId="0603492B" w14:textId="77777777">
      <w:pPr>
        <w:tabs>
          <w:tab w:val="left" w:pos="360"/>
        </w:tabs>
        <w:rPr>
          <w:sz w:val="22"/>
          <w:szCs w:val="22"/>
          <w:shd w:val="clear" w:color="auto" w:fill="FFFFFF"/>
        </w:rPr>
      </w:pPr>
    </w:p>
    <w:p w:rsidR="001B0E78" w:rsidRPr="001C49E8" w:rsidP="00C10157" w14:paraId="471AAA52" w14:textId="77777777">
      <w:pPr>
        <w:tabs>
          <w:tab w:val="left" w:pos="360"/>
        </w:tabs>
        <w:rPr>
          <w:b/>
          <w:sz w:val="22"/>
          <w:szCs w:val="22"/>
          <w:shd w:val="clear" w:color="auto" w:fill="FFFFFF"/>
        </w:rPr>
      </w:pPr>
      <w:r w:rsidRPr="001C49E8">
        <w:rPr>
          <w:b/>
          <w:sz w:val="22"/>
          <w:szCs w:val="22"/>
          <w:shd w:val="clear" w:color="auto" w:fill="FFFFFF"/>
        </w:rPr>
        <w:t>Therefore, the following information collection requirement need</w:t>
      </w:r>
      <w:r w:rsidRPr="001C49E8" w:rsidR="00DB2231">
        <w:rPr>
          <w:b/>
          <w:sz w:val="22"/>
          <w:szCs w:val="22"/>
          <w:shd w:val="clear" w:color="auto" w:fill="FFFFFF"/>
        </w:rPr>
        <w:t>s</w:t>
      </w:r>
      <w:r w:rsidRPr="001C49E8">
        <w:rPr>
          <w:b/>
          <w:sz w:val="22"/>
          <w:szCs w:val="22"/>
          <w:shd w:val="clear" w:color="auto" w:fill="FFFFFF"/>
        </w:rPr>
        <w:t xml:space="preserve"> review and approval from the Office of Management and Budget (OMB):</w:t>
      </w:r>
    </w:p>
    <w:p w:rsidR="001B0E78" w:rsidRPr="001C49E8" w:rsidP="00C10157" w14:paraId="6504F25D" w14:textId="77777777">
      <w:pPr>
        <w:tabs>
          <w:tab w:val="left" w:pos="360"/>
        </w:tabs>
        <w:rPr>
          <w:sz w:val="22"/>
          <w:szCs w:val="22"/>
          <w:shd w:val="clear" w:color="auto" w:fill="FFFFFF"/>
        </w:rPr>
      </w:pPr>
    </w:p>
    <w:p w:rsidR="001B0E78" w:rsidRPr="008F2F97" w:rsidP="001B0E78" w14:paraId="09D2CD2E"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rPr>
        <w:t>47 CFR 25.701(</w:t>
      </w:r>
      <w:r w:rsidR="008F2F97">
        <w:rPr>
          <w:rFonts w:ascii="Times New Roman" w:hAnsi="Times New Roman" w:cs="Times New Roman"/>
          <w:b/>
          <w:sz w:val="22"/>
          <w:szCs w:val="22"/>
        </w:rPr>
        <w:t>f</w:t>
      </w:r>
      <w:r w:rsidRPr="001C49E8">
        <w:rPr>
          <w:rFonts w:ascii="Times New Roman" w:hAnsi="Times New Roman" w:cs="Times New Roman"/>
          <w:b/>
          <w:sz w:val="22"/>
          <w:szCs w:val="22"/>
        </w:rPr>
        <w:t>)(6)</w:t>
      </w:r>
      <w:r w:rsidR="008F2F97">
        <w:rPr>
          <w:rFonts w:ascii="Times New Roman" w:hAnsi="Times New Roman" w:cs="Times New Roman"/>
          <w:b/>
          <w:sz w:val="22"/>
          <w:szCs w:val="22"/>
        </w:rPr>
        <w:t>(i)</w:t>
      </w:r>
      <w:r w:rsidRPr="001C49E8">
        <w:rPr>
          <w:rFonts w:ascii="Times New Roman" w:hAnsi="Times New Roman" w:cs="Times New Roman"/>
          <w:b/>
          <w:sz w:val="22"/>
          <w:szCs w:val="22"/>
        </w:rPr>
        <w:t>(D)</w:t>
      </w:r>
      <w:r w:rsidRPr="001C49E8">
        <w:rPr>
          <w:rFonts w:ascii="Times New Roman" w:hAnsi="Times New Roman" w:cs="Times New Roman"/>
          <w:sz w:val="22"/>
          <w:szCs w:val="22"/>
        </w:rPr>
        <w:t xml:space="preserve"> requires </w:t>
      </w:r>
      <w:r w:rsidR="008F2F97">
        <w:rPr>
          <w:rFonts w:ascii="Times New Roman" w:hAnsi="Times New Roman" w:cs="Times New Roman"/>
          <w:sz w:val="22"/>
          <w:szCs w:val="22"/>
        </w:rPr>
        <w:t>that ea</w:t>
      </w:r>
      <w:r w:rsidRPr="008F2F97" w:rsidR="008F2F97">
        <w:rPr>
          <w:rFonts w:ascii="Times New Roman" w:hAnsi="Times New Roman" w:cs="Times New Roman"/>
          <w:sz w:val="22"/>
          <w:szCs w:val="22"/>
        </w:rPr>
        <w:t>ch satellite carrier shall provide an up-to-date email address for carriage election notice submissions and an up-to-date phone number for carriage-related questions. Each satellite carrier is responsible for the continuing accuracy and completeness of the information furnished. It must respond to questions from broadcasters as soon as is reasonably possible.</w:t>
      </w:r>
    </w:p>
    <w:p w:rsidR="008F2F97" w:rsidRPr="001C49E8" w:rsidP="001B0E78" w14:paraId="771606B2" w14:textId="77777777">
      <w:pPr>
        <w:pStyle w:val="HTMLPreformatted"/>
        <w:rPr>
          <w:rFonts w:ascii="Times New Roman" w:hAnsi="Times New Roman" w:cs="Times New Roman"/>
          <w:sz w:val="22"/>
          <w:szCs w:val="22"/>
        </w:rPr>
      </w:pPr>
    </w:p>
    <w:p w:rsidR="00C745A7" w:rsidRPr="001C49E8" w:rsidP="00C745A7" w14:paraId="230BC238" w14:textId="77777777">
      <w:pPr>
        <w:tabs>
          <w:tab w:val="left" w:pos="720"/>
        </w:tabs>
        <w:rPr>
          <w:sz w:val="22"/>
          <w:szCs w:val="22"/>
          <w:shd w:val="clear" w:color="auto" w:fill="FFFFFF"/>
        </w:rPr>
      </w:pPr>
      <w:r w:rsidRPr="001C49E8">
        <w:rPr>
          <w:b/>
          <w:sz w:val="22"/>
          <w:szCs w:val="22"/>
          <w:shd w:val="clear" w:color="auto" w:fill="FFFFFF"/>
        </w:rPr>
        <w:t>These information collection requirements have not changed since they were last approved by OMB; therefore, they remain unchanged</w:t>
      </w:r>
      <w:r w:rsidRPr="001C49E8">
        <w:rPr>
          <w:sz w:val="22"/>
          <w:szCs w:val="22"/>
          <w:shd w:val="clear" w:color="auto" w:fill="FFFFFF"/>
        </w:rPr>
        <w:t>:</w:t>
      </w:r>
    </w:p>
    <w:p w:rsidR="001B0E78" w:rsidRPr="001C49E8" w:rsidP="00C745A7" w14:paraId="15269305" w14:textId="77777777">
      <w:pPr>
        <w:tabs>
          <w:tab w:val="left" w:pos="720"/>
        </w:tabs>
        <w:rPr>
          <w:sz w:val="22"/>
          <w:szCs w:val="22"/>
          <w:shd w:val="clear" w:color="auto" w:fill="FFFFFF"/>
        </w:rPr>
      </w:pPr>
    </w:p>
    <w:p w:rsidR="00195AFA" w:rsidRPr="001C49E8" w:rsidP="00195AFA" w14:paraId="03E2F4E5"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25.701(c)(1)(i)(C</w:t>
      </w:r>
      <w:r w:rsidRPr="001C49E8">
        <w:rPr>
          <w:rFonts w:ascii="Times New Roman" w:hAnsi="Times New Roman" w:cs="Times New Roman"/>
          <w:sz w:val="22"/>
          <w:szCs w:val="22"/>
          <w:shd w:val="clear" w:color="auto" w:fill="FFFFFF"/>
        </w:rPr>
        <w:t xml:space="preserve">) </w:t>
      </w:r>
      <w:r w:rsidRPr="001C49E8" w:rsidR="00B37C72">
        <w:rPr>
          <w:rFonts w:ascii="Times New Roman" w:hAnsi="Times New Roman" w:cs="Times New Roman"/>
          <w:sz w:val="22"/>
          <w:szCs w:val="22"/>
          <w:shd w:val="clear" w:color="auto" w:fill="FFFFFF"/>
        </w:rPr>
        <w:t>states DBS provi</w:t>
      </w:r>
      <w:r w:rsidRPr="001C49E8">
        <w:rPr>
          <w:rFonts w:ascii="Times New Roman" w:hAnsi="Times New Roman" w:cs="Times New Roman"/>
          <w:sz w:val="22"/>
          <w:szCs w:val="22"/>
        </w:rPr>
        <w:t xml:space="preserve">ders may establish and define their own reasonable </w:t>
      </w:r>
    </w:p>
    <w:p w:rsidR="00195AFA" w:rsidRPr="001C49E8" w:rsidP="00195AFA" w14:paraId="34D9B302"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classes of immediately preemptible time so long as the differences between such classes are based on one or more demonstrable benefits associated with each class and are not based solely upon price or </w:t>
      </w:r>
    </w:p>
    <w:p w:rsidR="00195AFA" w:rsidRPr="001C49E8" w:rsidP="00195AFA" w14:paraId="1EB527F3"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identity of the advertiser. Such demonstrable benefits include, but are not limited to, varying levels of preemption protection, scheduling flexibility, or associated privileges, such as guaranteed time sensitive </w:t>
      </w:r>
    </w:p>
    <w:p w:rsidR="00195AFA" w:rsidRPr="001C49E8" w:rsidP="00195AFA" w14:paraId="26CA4F0D"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make goods. DBS providers may not use class distinctions to defeat the purpose of the lowest unit charge requirement. All classes must be fully disclosed and made available to candidates.</w:t>
      </w:r>
    </w:p>
    <w:p w:rsidR="00365E38" w:rsidRPr="001C49E8" w:rsidP="00195AFA" w14:paraId="3A475AEC" w14:textId="77777777">
      <w:pPr>
        <w:pStyle w:val="HTMLPreformatted"/>
        <w:rPr>
          <w:rFonts w:ascii="Times New Roman" w:hAnsi="Times New Roman" w:cs="Times New Roman"/>
          <w:b/>
          <w:sz w:val="22"/>
          <w:szCs w:val="22"/>
          <w:shd w:val="clear" w:color="auto" w:fill="FFFFFF"/>
        </w:rPr>
      </w:pPr>
    </w:p>
    <w:p w:rsidR="00195AFA" w:rsidRPr="001C49E8" w:rsidP="00195AFA" w14:paraId="5E77E839"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25.701(c)(1)(i)(D</w:t>
      </w:r>
      <w:r w:rsidRPr="001C49E8">
        <w:rPr>
          <w:rFonts w:ascii="Times New Roman" w:hAnsi="Times New Roman" w:cs="Times New Roman"/>
          <w:sz w:val="22"/>
          <w:szCs w:val="22"/>
          <w:shd w:val="clear" w:color="auto" w:fill="FFFFFF"/>
        </w:rPr>
        <w:t>) states</w:t>
      </w:r>
      <w:r w:rsidRPr="001C49E8">
        <w:rPr>
          <w:rFonts w:ascii="Times New Roman" w:hAnsi="Times New Roman" w:cs="Times New Roman"/>
          <w:sz w:val="22"/>
          <w:szCs w:val="22"/>
        </w:rPr>
        <w:t xml:space="preserve"> DBS providers may establish reasonable classes of preemptible with notice time so long as they clearly define all such classes, fully disclose them and make them available to candidates.</w:t>
      </w:r>
    </w:p>
    <w:p w:rsidR="00365E38" w:rsidRPr="001C49E8" w:rsidP="00195AFA" w14:paraId="3914C067" w14:textId="77777777">
      <w:pPr>
        <w:pStyle w:val="HTMLPreformatted"/>
        <w:rPr>
          <w:rFonts w:ascii="Times New Roman" w:hAnsi="Times New Roman" w:cs="Times New Roman"/>
          <w:sz w:val="22"/>
          <w:szCs w:val="22"/>
        </w:rPr>
      </w:pPr>
    </w:p>
    <w:p w:rsidR="00195AFA" w:rsidRPr="001C49E8" w:rsidP="00195AFA" w14:paraId="6C260642"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w:t>
      </w:r>
      <w:r w:rsidRPr="001C49E8" w:rsidR="00365E38">
        <w:rPr>
          <w:rFonts w:ascii="Times New Roman" w:hAnsi="Times New Roman" w:cs="Times New Roman"/>
          <w:b/>
          <w:sz w:val="22"/>
          <w:szCs w:val="22"/>
          <w:shd w:val="clear" w:color="auto" w:fill="FFFFFF"/>
        </w:rPr>
        <w:t>47 CFR 25.701(c)(1)(i)(E</w:t>
      </w:r>
      <w:r w:rsidRPr="001C49E8" w:rsidR="00365E38">
        <w:rPr>
          <w:rFonts w:ascii="Times New Roman" w:hAnsi="Times New Roman" w:cs="Times New Roman"/>
          <w:sz w:val="22"/>
          <w:szCs w:val="22"/>
          <w:shd w:val="clear" w:color="auto" w:fill="FFFFFF"/>
        </w:rPr>
        <w:t>) states</w:t>
      </w:r>
      <w:r w:rsidRPr="001C49E8">
        <w:rPr>
          <w:rFonts w:ascii="Times New Roman" w:hAnsi="Times New Roman" w:cs="Times New Roman"/>
          <w:sz w:val="22"/>
          <w:szCs w:val="22"/>
        </w:rPr>
        <w:t xml:space="preserve"> DBS providers may treat non preemptible and fixed position as distinct classes of time provided that they articulate clearly the differences between such classes, fully disclose them, and make them available to candidates.</w:t>
      </w:r>
    </w:p>
    <w:p w:rsidR="00195AFA" w:rsidRPr="001C49E8" w:rsidP="00C745A7" w14:paraId="09CAFFD3" w14:textId="77777777">
      <w:pPr>
        <w:tabs>
          <w:tab w:val="left" w:pos="720"/>
        </w:tabs>
        <w:rPr>
          <w:sz w:val="22"/>
          <w:szCs w:val="22"/>
          <w:shd w:val="clear" w:color="auto" w:fill="FFFFFF"/>
        </w:rPr>
      </w:pPr>
    </w:p>
    <w:p w:rsidR="00195AFA" w:rsidRPr="001C49E8" w:rsidP="00195AFA" w14:paraId="4BC50038"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25.701(c)(1)(i)(I)</w:t>
      </w:r>
      <w:r w:rsidRPr="001C49E8">
        <w:rPr>
          <w:rFonts w:ascii="Times New Roman" w:hAnsi="Times New Roman" w:cs="Times New Roman"/>
          <w:sz w:val="22"/>
          <w:szCs w:val="22"/>
          <w:shd w:val="clear" w:color="auto" w:fill="FFFFFF"/>
        </w:rPr>
        <w:t xml:space="preserve"> states </w:t>
      </w:r>
      <w:r w:rsidRPr="001C49E8">
        <w:rPr>
          <w:rFonts w:ascii="Times New Roman" w:hAnsi="Times New Roman" w:cs="Times New Roman"/>
          <w:sz w:val="22"/>
          <w:szCs w:val="22"/>
        </w:rPr>
        <w:t>DBS providers shall review their advertising records periodically throughout the election period to determine whether compliance with this section requires that candidates receive rebates or credits. Where necessary, DBS providers shall issue such rebates or credits promptly.</w:t>
      </w:r>
    </w:p>
    <w:p w:rsidR="00195AFA" w:rsidRPr="001C49E8" w:rsidP="00195AFA" w14:paraId="5FA63185" w14:textId="77777777">
      <w:pPr>
        <w:tabs>
          <w:tab w:val="left" w:pos="360"/>
          <w:tab w:val="left" w:pos="720"/>
        </w:tabs>
        <w:rPr>
          <w:sz w:val="22"/>
          <w:szCs w:val="22"/>
          <w:shd w:val="clear" w:color="auto" w:fill="FFFFFF"/>
        </w:rPr>
      </w:pPr>
    </w:p>
    <w:p w:rsidR="00195AFA" w:rsidRPr="001C49E8" w:rsidP="00195AFA" w14:paraId="05C6989B"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25.701(c)(1)(i)(M)</w:t>
      </w:r>
      <w:r w:rsidRPr="001C49E8">
        <w:rPr>
          <w:rFonts w:ascii="Times New Roman" w:hAnsi="Times New Roman" w:cs="Times New Roman"/>
          <w:sz w:val="22"/>
          <w:szCs w:val="22"/>
          <w:shd w:val="clear" w:color="auto" w:fill="FFFFFF"/>
        </w:rPr>
        <w:t xml:space="preserve"> states </w:t>
      </w:r>
      <w:r w:rsidRPr="001C49E8">
        <w:rPr>
          <w:rFonts w:ascii="Times New Roman" w:hAnsi="Times New Roman" w:cs="Times New Roman"/>
          <w:sz w:val="22"/>
          <w:szCs w:val="22"/>
        </w:rPr>
        <w:t>DBS providers must disclose and make available to candidates any make good policies provided to commercial advertisers. If a DBS provider places a make good</w:t>
      </w:r>
      <w:r>
        <w:rPr>
          <w:rStyle w:val="FootnoteReference"/>
          <w:rFonts w:ascii="Times New Roman" w:hAnsi="Times New Roman" w:cs="Times New Roman"/>
          <w:sz w:val="22"/>
          <w:szCs w:val="22"/>
        </w:rPr>
        <w:footnoteReference w:id="2"/>
      </w:r>
      <w:r w:rsidRPr="001C49E8">
        <w:rPr>
          <w:rFonts w:ascii="Times New Roman" w:hAnsi="Times New Roman" w:cs="Times New Roman"/>
          <w:sz w:val="22"/>
          <w:szCs w:val="22"/>
        </w:rPr>
        <w:t xml:space="preserve"> for any commercial advertiser or other candidate in a more valuable program or daypart, the value of such make good must be included in the calculation of the lowest unit charge for that program or daypart.</w:t>
      </w:r>
    </w:p>
    <w:p w:rsidR="00195AFA" w:rsidRPr="001C49E8" w:rsidP="00195AFA" w14:paraId="2ED92B41" w14:textId="77777777">
      <w:pPr>
        <w:tabs>
          <w:tab w:val="left" w:pos="360"/>
          <w:tab w:val="left" w:pos="720"/>
        </w:tabs>
        <w:rPr>
          <w:sz w:val="22"/>
          <w:szCs w:val="22"/>
          <w:shd w:val="clear" w:color="auto" w:fill="FFFFFF"/>
        </w:rPr>
      </w:pPr>
    </w:p>
    <w:p w:rsidR="00E44B7B" w:rsidRPr="001C49E8" w:rsidP="00195AFA" w14:paraId="5C5D3840" w14:textId="77777777">
      <w:pPr>
        <w:pStyle w:val="HTMLPreformatted"/>
        <w:rPr>
          <w:rFonts w:ascii="Times New Roman" w:hAnsi="Times New Roman" w:cs="Times New Roman"/>
          <w:b/>
          <w:sz w:val="22"/>
          <w:szCs w:val="22"/>
        </w:rPr>
      </w:pPr>
    </w:p>
    <w:p w:rsidR="00E44B7B" w:rsidRPr="001C49E8" w:rsidP="00195AFA" w14:paraId="7F43CEB5" w14:textId="77777777">
      <w:pPr>
        <w:pStyle w:val="HTMLPreformatted"/>
        <w:rPr>
          <w:rFonts w:ascii="Times New Roman" w:hAnsi="Times New Roman" w:cs="Times New Roman"/>
          <w:b/>
          <w:sz w:val="22"/>
          <w:szCs w:val="22"/>
        </w:rPr>
      </w:pPr>
    </w:p>
    <w:p w:rsidR="00E44B7B" w:rsidRPr="001C49E8" w:rsidP="00195AFA" w14:paraId="675DDF53" w14:textId="77777777">
      <w:pPr>
        <w:pStyle w:val="HTMLPreformatted"/>
        <w:rPr>
          <w:rFonts w:ascii="Times New Roman" w:hAnsi="Times New Roman" w:cs="Times New Roman"/>
          <w:b/>
          <w:sz w:val="22"/>
          <w:szCs w:val="22"/>
        </w:rPr>
      </w:pPr>
    </w:p>
    <w:p w:rsidR="00195AFA" w:rsidRPr="001C49E8" w:rsidP="00195AFA" w14:paraId="174D70CF"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rPr>
        <w:t>47 CFR 25.701(c)(1)</w:t>
      </w:r>
      <w:r w:rsidRPr="001C49E8" w:rsidR="00365E38">
        <w:rPr>
          <w:rFonts w:ascii="Times New Roman" w:hAnsi="Times New Roman" w:cs="Times New Roman"/>
          <w:b/>
          <w:sz w:val="22"/>
          <w:szCs w:val="22"/>
        </w:rPr>
        <w:t>(</w:t>
      </w:r>
      <w:r w:rsidRPr="001C49E8">
        <w:rPr>
          <w:rFonts w:ascii="Times New Roman" w:hAnsi="Times New Roman" w:cs="Times New Roman"/>
          <w:b/>
          <w:sz w:val="22"/>
          <w:szCs w:val="22"/>
        </w:rPr>
        <w:t>ii)</w:t>
      </w:r>
      <w:r w:rsidRPr="001C49E8">
        <w:rPr>
          <w:rFonts w:ascii="Times New Roman" w:hAnsi="Times New Roman" w:cs="Times New Roman"/>
          <w:sz w:val="22"/>
          <w:szCs w:val="22"/>
        </w:rPr>
        <w:t xml:space="preserve"> states at any time other than the respective periods set forth in </w:t>
      </w:r>
    </w:p>
    <w:p w:rsidR="00195AFA" w:rsidRPr="001C49E8" w:rsidP="00195AFA" w14:paraId="10ED8021"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paragraph (c)(1)(i) of this section, DBS providers may charge legally qualified candidates for public office no more than the charges made for comparable use of the facility by commercial advertisers. The rates, if any, charged all such candidates for the same office shall be uniform and shall not be rebated by any means, direct or indirect. A candidate shall be charged no more than the rate the DBS provider would charge for comparable commercial advertising. All discount privileges otherwise offered by a DBS provider to commercial advertisers must be disclosed and made available upon equal terms to all candidates for public office.</w:t>
      </w:r>
    </w:p>
    <w:p w:rsidR="00195AFA" w:rsidRPr="001C49E8" w:rsidP="00C745A7" w14:paraId="02593E0B" w14:textId="77777777">
      <w:pPr>
        <w:tabs>
          <w:tab w:val="left" w:pos="720"/>
        </w:tabs>
        <w:rPr>
          <w:sz w:val="22"/>
          <w:szCs w:val="22"/>
          <w:shd w:val="clear" w:color="auto" w:fill="FFFFFF"/>
        </w:rPr>
      </w:pPr>
    </w:p>
    <w:p w:rsidR="00D4632A" w:rsidRPr="001C49E8" w:rsidP="00D4632A" w14:paraId="34ADED7C"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25.701(d)</w:t>
      </w:r>
      <w:r w:rsidRPr="001C49E8">
        <w:rPr>
          <w:rFonts w:ascii="Times New Roman" w:hAnsi="Times New Roman" w:cs="Times New Roman"/>
          <w:sz w:val="22"/>
          <w:szCs w:val="22"/>
          <w:shd w:val="clear" w:color="auto" w:fill="FFFFFF"/>
        </w:rPr>
        <w:t xml:space="preserve"> states </w:t>
      </w:r>
      <w:r w:rsidRPr="001C49E8">
        <w:rPr>
          <w:rFonts w:ascii="Times New Roman" w:hAnsi="Times New Roman" w:cs="Times New Roman"/>
          <w:sz w:val="22"/>
          <w:szCs w:val="22"/>
        </w:rPr>
        <w:t xml:space="preserve">each DBS provider shall keep and permit public inspection of a complete and orderly political file and shall prominently disclose the physical location of the file, and the </w:t>
      </w:r>
    </w:p>
    <w:p w:rsidR="00D4632A" w:rsidRPr="001C49E8" w:rsidP="00D4632A" w14:paraId="0F7C7E73"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telephonic and electronic means to access the file.</w:t>
      </w:r>
    </w:p>
    <w:p w:rsidR="00D4632A" w:rsidRPr="001C49E8" w:rsidP="00D4632A" w14:paraId="360BC870"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(1) The political file shall contain, at a minimum:</w:t>
      </w:r>
    </w:p>
    <w:p w:rsidR="00D4632A" w:rsidRPr="001C49E8" w:rsidP="00D4632A" w14:paraId="7D152F2D"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(i) A record of all requests for DBS origination time, the disposition of those requests, and the charges made, if any, if the request is granted. The ``disposition'' includes the schedule of time purchased, when spots actually aired, the rates charged, and the classes of time purchased; and</w:t>
      </w:r>
    </w:p>
    <w:p w:rsidR="00D4632A" w:rsidRPr="001C49E8" w:rsidP="00D4632A" w14:paraId="30BFBDEC"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(ii) A record of the free time provided if free time is provided for use by or on behalf of candidates.</w:t>
      </w:r>
    </w:p>
    <w:p w:rsidR="00D4632A" w:rsidRPr="001C49E8" w:rsidP="00D4632A" w14:paraId="46E5C1DA"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(2) DBS providers shall place all records required by this section in a file available to the public as soon as</w:t>
      </w:r>
      <w:r w:rsidRPr="001C49E8" w:rsidR="00565860">
        <w:rPr>
          <w:rFonts w:ascii="Times New Roman" w:hAnsi="Times New Roman" w:cs="Times New Roman"/>
          <w:sz w:val="22"/>
          <w:szCs w:val="22"/>
        </w:rPr>
        <w:t xml:space="preserve"> </w:t>
      </w:r>
      <w:r w:rsidRPr="001C49E8">
        <w:rPr>
          <w:rFonts w:ascii="Times New Roman" w:hAnsi="Times New Roman" w:cs="Times New Roman"/>
          <w:sz w:val="22"/>
          <w:szCs w:val="22"/>
        </w:rPr>
        <w:t>possible and shall be retained for a period of four years until December 31, 2006, and thereafter for a period of two years.</w:t>
      </w:r>
    </w:p>
    <w:p w:rsidR="00C10157" w:rsidRPr="001C49E8" w:rsidP="00F11086" w14:paraId="774AAE18" w14:textId="77777777">
      <w:pPr>
        <w:pStyle w:val="HTMLPreformatted"/>
        <w:rPr>
          <w:rFonts w:ascii="Times New Roman" w:hAnsi="Times New Roman" w:cs="Times New Roman"/>
          <w:sz w:val="22"/>
          <w:szCs w:val="22"/>
        </w:rPr>
      </w:pPr>
    </w:p>
    <w:p w:rsidR="001B0E78" w:rsidRPr="001C49E8" w:rsidP="001B0E78" w14:paraId="0705D020" w14:textId="77777777">
      <w:pPr>
        <w:pStyle w:val="HTMLPreformatted"/>
        <w:rPr>
          <w:rFonts w:ascii="Times New Roman" w:hAnsi="Times New Roman" w:cs="Times New Roman"/>
          <w:sz w:val="22"/>
          <w:szCs w:val="22"/>
          <w:shd w:val="clear" w:color="auto" w:fill="FFFFFF"/>
        </w:rPr>
      </w:pPr>
      <w:bookmarkStart w:id="0" w:name="_Hlk13391382"/>
      <w:r w:rsidRPr="001C49E8">
        <w:rPr>
          <w:rFonts w:ascii="Times New Roman" w:hAnsi="Times New Roman" w:cs="Times New Roman"/>
          <w:b/>
          <w:sz w:val="22"/>
          <w:szCs w:val="22"/>
        </w:rPr>
        <w:t>47 CFR Section 25.701(e)(3)</w:t>
      </w:r>
      <w:r w:rsidRPr="001C49E8">
        <w:rPr>
          <w:rFonts w:ascii="Times New Roman" w:hAnsi="Times New Roman" w:cs="Times New Roman"/>
          <w:sz w:val="22"/>
          <w:szCs w:val="22"/>
        </w:rPr>
        <w:t xml:space="preserve"> requires Direct Broadcasting Satellite (DBS) providers airing children's programming to maintain records sufficient to verify compliance with this rule and make such records available to the public. Such records must be maintained for a period sufficient to cover the limitations period specified in 47 U.S.C.  Section 503(b)(6)(B).  </w:t>
      </w:r>
      <w:r w:rsidRPr="001C49E8">
        <w:rPr>
          <w:rFonts w:ascii="Times New Roman" w:hAnsi="Times New Roman" w:cs="Times New Roman"/>
          <w:sz w:val="22"/>
          <w:szCs w:val="22"/>
          <w:shd w:val="clear" w:color="auto" w:fill="FFFFFF"/>
        </w:rPr>
        <w:t xml:space="preserve">In the </w:t>
      </w:r>
      <w:r w:rsidRPr="001C49E8">
        <w:rPr>
          <w:rFonts w:ascii="Times New Roman" w:hAnsi="Times New Roman" w:cs="Times New Roman"/>
          <w:i/>
          <w:sz w:val="22"/>
          <w:szCs w:val="22"/>
          <w:shd w:val="clear" w:color="auto" w:fill="FFFFFF"/>
        </w:rPr>
        <w:t>Report and Order</w:t>
      </w:r>
      <w:r w:rsidRPr="001C49E8">
        <w:rPr>
          <w:rFonts w:ascii="Times New Roman" w:hAnsi="Times New Roman" w:cs="Times New Roman"/>
          <w:sz w:val="22"/>
          <w:szCs w:val="22"/>
          <w:shd w:val="clear" w:color="auto" w:fill="FFFFFF"/>
        </w:rPr>
        <w:t>, the Commission revises the rules to permit DBS operators to file their certifications of compliance with the commercial limits in children’s programming annually rather than quarterly and to permit the filing of these certifications within 30 days after the end of the calendar year.</w:t>
      </w:r>
    </w:p>
    <w:bookmarkEnd w:id="0"/>
    <w:p w:rsidR="00A30AB9" w:rsidRPr="001C49E8" w:rsidP="00B31ABD" w14:paraId="050E036A" w14:textId="77777777">
      <w:pPr>
        <w:tabs>
          <w:tab w:val="left" w:pos="720"/>
        </w:tabs>
        <w:ind w:left="720" w:hanging="360"/>
        <w:rPr>
          <w:sz w:val="22"/>
          <w:szCs w:val="22"/>
        </w:rPr>
      </w:pPr>
      <w:r w:rsidRPr="001C49E8">
        <w:rPr>
          <w:sz w:val="22"/>
          <w:szCs w:val="22"/>
        </w:rPr>
        <w:t xml:space="preserve">              </w:t>
      </w:r>
    </w:p>
    <w:p w:rsidR="00F11086" w:rsidRPr="001C49E8" w:rsidP="00F11086" w14:paraId="05A5BE4C" w14:textId="77777777">
      <w:pPr>
        <w:pStyle w:val="HTMLPreformatted"/>
        <w:rPr>
          <w:rFonts w:ascii="Times New Roman" w:hAnsi="Times New Roman" w:cs="Times New Roman"/>
          <w:sz w:val="22"/>
          <w:szCs w:val="22"/>
        </w:rPr>
      </w:pPr>
      <w:r w:rsidRPr="001C49E8">
        <w:rPr>
          <w:rFonts w:ascii="Times New Roman" w:hAnsi="Times New Roman" w:cs="Times New Roman"/>
          <w:b/>
          <w:sz w:val="22"/>
          <w:szCs w:val="22"/>
        </w:rPr>
        <w:t>47 CFR 25.701(f)(6)</w:t>
      </w:r>
      <w:r w:rsidRPr="001C49E8">
        <w:rPr>
          <w:rFonts w:ascii="Times New Roman" w:hAnsi="Times New Roman" w:cs="Times New Roman"/>
          <w:sz w:val="22"/>
          <w:szCs w:val="22"/>
        </w:rPr>
        <w:t xml:space="preserve"> states</w:t>
      </w:r>
      <w:r w:rsidRPr="001C49E8">
        <w:rPr>
          <w:rFonts w:ascii="Times New Roman" w:hAnsi="Times New Roman" w:cs="Times New Roman"/>
          <w:sz w:val="22"/>
          <w:szCs w:val="22"/>
        </w:rPr>
        <w:t xml:space="preserve"> </w:t>
      </w:r>
      <w:r w:rsidRPr="001C49E8" w:rsidR="00B37C72">
        <w:rPr>
          <w:rFonts w:ascii="Times New Roman" w:hAnsi="Times New Roman" w:cs="Times New Roman"/>
          <w:sz w:val="22"/>
          <w:szCs w:val="22"/>
        </w:rPr>
        <w:t>that each</w:t>
      </w:r>
      <w:r w:rsidRPr="001C49E8">
        <w:rPr>
          <w:rFonts w:ascii="Times New Roman" w:hAnsi="Times New Roman" w:cs="Times New Roman"/>
          <w:sz w:val="22"/>
          <w:szCs w:val="22"/>
        </w:rPr>
        <w:t xml:space="preserve"> DBS provider shall keep and permit public inspection of a complete and orderly record of:</w:t>
      </w:r>
    </w:p>
    <w:p w:rsidR="00F11086" w:rsidRPr="001C49E8" w:rsidP="00F11086" w14:paraId="42821358"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(A) Quarterly measurements of channel capacity and yearly average calculations on which it bases its four percent reservation, as well as its response to any capacity changes;</w:t>
      </w:r>
    </w:p>
    <w:p w:rsidR="00F11086" w:rsidRPr="001C49E8" w:rsidP="00F11086" w14:paraId="132CF77B"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(B) A record of entities to whom noncommercial capacity is being provided, the amount of capacity being provided to each entity, the conditions under which it is being provided and the rates, if any, being </w:t>
      </w:r>
    </w:p>
    <w:p w:rsidR="00F11086" w:rsidRPr="001C49E8" w:rsidP="00F11086" w14:paraId="3F1EDB5D"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paid by the entity;</w:t>
      </w:r>
    </w:p>
    <w:p w:rsidR="00F11086" w:rsidRPr="001C49E8" w:rsidP="00F11086" w14:paraId="1DD242AC"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(C) A record of entities that have requested capacity, disposition of those requests and reasons for the disposition.</w:t>
      </w:r>
    </w:p>
    <w:p w:rsidR="00F11086" w:rsidRPr="001C49E8" w:rsidP="00F11086" w14:paraId="265489B1" w14:textId="77777777">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(ii) All records required by this paragraph shall be placed in a file available to the public as soon as possible and shall be retained for a period of two years.</w:t>
      </w:r>
    </w:p>
    <w:p w:rsidR="00B37C72" w:rsidRPr="001C49E8" w:rsidP="00172F9E" w14:paraId="1433108A" w14:textId="77777777">
      <w:pPr>
        <w:tabs>
          <w:tab w:val="left" w:pos="720"/>
        </w:tabs>
        <w:rPr>
          <w:sz w:val="22"/>
          <w:szCs w:val="22"/>
        </w:rPr>
      </w:pPr>
    </w:p>
    <w:p w:rsidR="00B37C72" w:rsidRPr="001C49E8" w:rsidP="00172F9E" w14:paraId="060E2B52" w14:textId="77777777">
      <w:pPr>
        <w:tabs>
          <w:tab w:val="left" w:pos="720"/>
        </w:tabs>
        <w:rPr>
          <w:sz w:val="22"/>
          <w:szCs w:val="22"/>
        </w:rPr>
      </w:pPr>
      <w:r w:rsidRPr="001C49E8">
        <w:rPr>
          <w:sz w:val="22"/>
          <w:szCs w:val="22"/>
        </w:rPr>
        <w:t>The statutory authorit</w:t>
      </w:r>
      <w:r w:rsidRPr="001C49E8" w:rsidR="00AD0B02">
        <w:rPr>
          <w:sz w:val="22"/>
          <w:szCs w:val="22"/>
        </w:rPr>
        <w:t>y</w:t>
      </w:r>
      <w:r w:rsidRPr="001C49E8">
        <w:rPr>
          <w:sz w:val="22"/>
          <w:szCs w:val="22"/>
        </w:rPr>
        <w:t xml:space="preserve"> </w:t>
      </w:r>
      <w:r w:rsidRPr="001C49E8" w:rsidR="00AD0B02">
        <w:rPr>
          <w:sz w:val="22"/>
          <w:szCs w:val="22"/>
        </w:rPr>
        <w:t xml:space="preserve">which </w:t>
      </w:r>
      <w:r w:rsidRPr="001C49E8">
        <w:rPr>
          <w:sz w:val="22"/>
          <w:szCs w:val="22"/>
        </w:rPr>
        <w:t>cover</w:t>
      </w:r>
      <w:r w:rsidRPr="001C49E8" w:rsidR="00AD0B02">
        <w:rPr>
          <w:sz w:val="22"/>
          <w:szCs w:val="22"/>
        </w:rPr>
        <w:t>s</w:t>
      </w:r>
      <w:r w:rsidRPr="001C49E8">
        <w:rPr>
          <w:sz w:val="22"/>
          <w:szCs w:val="22"/>
        </w:rPr>
        <w:t xml:space="preserve"> this information collection </w:t>
      </w:r>
      <w:r w:rsidRPr="001C49E8" w:rsidR="00AD0B02">
        <w:rPr>
          <w:sz w:val="22"/>
          <w:szCs w:val="22"/>
        </w:rPr>
        <w:t>is</w:t>
      </w:r>
      <w:r w:rsidRPr="001C49E8">
        <w:rPr>
          <w:sz w:val="22"/>
          <w:szCs w:val="22"/>
        </w:rPr>
        <w:t xml:space="preserve"> </w:t>
      </w:r>
      <w:r w:rsidRPr="001C49E8" w:rsidR="00AD0B02">
        <w:rPr>
          <w:sz w:val="22"/>
          <w:szCs w:val="22"/>
        </w:rPr>
        <w:t xml:space="preserve">contained </w:t>
      </w:r>
      <w:r w:rsidRPr="001C49E8">
        <w:rPr>
          <w:sz w:val="22"/>
          <w:szCs w:val="22"/>
        </w:rPr>
        <w:t>in</w:t>
      </w:r>
      <w:r w:rsidRPr="001C49E8" w:rsidR="00AD0B02">
        <w:rPr>
          <w:sz w:val="22"/>
          <w:szCs w:val="22"/>
        </w:rPr>
        <w:t xml:space="preserve"> 47 USC 335 of the Communication</w:t>
      </w:r>
      <w:r w:rsidRPr="001C49E8" w:rsidR="009E15A6">
        <w:rPr>
          <w:sz w:val="22"/>
          <w:szCs w:val="22"/>
        </w:rPr>
        <w:t>s</w:t>
      </w:r>
      <w:r w:rsidRPr="001C49E8" w:rsidR="00AD0B02">
        <w:rPr>
          <w:sz w:val="22"/>
          <w:szCs w:val="22"/>
        </w:rPr>
        <w:t xml:space="preserve"> Act of 1934, as amended.</w:t>
      </w:r>
      <w:r w:rsidRPr="001C49E8">
        <w:rPr>
          <w:sz w:val="22"/>
          <w:szCs w:val="22"/>
        </w:rPr>
        <w:t xml:space="preserve"> </w:t>
      </w:r>
    </w:p>
    <w:p w:rsidR="009D3FCF" w:rsidRPr="001C49E8" w:rsidP="00172F9E" w14:paraId="68A08A34" w14:textId="77777777">
      <w:pPr>
        <w:tabs>
          <w:tab w:val="left" w:pos="720"/>
        </w:tabs>
        <w:rPr>
          <w:sz w:val="22"/>
          <w:szCs w:val="22"/>
        </w:rPr>
      </w:pPr>
    </w:p>
    <w:p w:rsidR="00AD05A5" w:rsidRPr="001C49E8" w:rsidP="00AD05A5" w14:paraId="71E2ED8A" w14:textId="77777777">
      <w:pPr>
        <w:tabs>
          <w:tab w:val="left" w:pos="720"/>
          <w:tab w:val="left" w:pos="1080"/>
        </w:tabs>
        <w:jc w:val="both"/>
        <w:rPr>
          <w:sz w:val="22"/>
          <w:szCs w:val="22"/>
        </w:rPr>
      </w:pPr>
      <w:r w:rsidRPr="001C49E8">
        <w:rPr>
          <w:sz w:val="22"/>
          <w:szCs w:val="22"/>
        </w:rPr>
        <w:t>T</w:t>
      </w:r>
      <w:r w:rsidRPr="001C49E8">
        <w:rPr>
          <w:sz w:val="22"/>
          <w:szCs w:val="22"/>
        </w:rPr>
        <w:t>his information collection does not affect individuals or households; thus, there are no impacts under the Privacy Act.</w:t>
      </w:r>
    </w:p>
    <w:p w:rsidR="00E44B7B" w:rsidRPr="001C49E8" w:rsidP="00553F1B" w14:paraId="29BFC29E" w14:textId="77777777">
      <w:pPr>
        <w:tabs>
          <w:tab w:val="left" w:pos="720"/>
          <w:tab w:val="left" w:pos="1080"/>
        </w:tabs>
        <w:ind w:left="1080" w:hanging="360"/>
        <w:rPr>
          <w:sz w:val="22"/>
          <w:szCs w:val="22"/>
        </w:rPr>
      </w:pPr>
    </w:p>
    <w:p w:rsidR="00E44B7B" w:rsidRPr="001C49E8" w:rsidP="00553F1B" w14:paraId="3C99E810" w14:textId="77777777">
      <w:pPr>
        <w:tabs>
          <w:tab w:val="left" w:pos="720"/>
          <w:tab w:val="left" w:pos="1080"/>
        </w:tabs>
        <w:ind w:left="1080" w:hanging="360"/>
        <w:rPr>
          <w:sz w:val="22"/>
          <w:szCs w:val="22"/>
        </w:rPr>
      </w:pPr>
    </w:p>
    <w:p w:rsidR="00E44B7B" w:rsidRPr="001C49E8" w:rsidP="00553F1B" w14:paraId="77687E48" w14:textId="77777777">
      <w:pPr>
        <w:tabs>
          <w:tab w:val="left" w:pos="720"/>
          <w:tab w:val="left" w:pos="1080"/>
        </w:tabs>
        <w:ind w:left="1080" w:hanging="360"/>
        <w:rPr>
          <w:sz w:val="22"/>
          <w:szCs w:val="22"/>
        </w:rPr>
      </w:pPr>
    </w:p>
    <w:p w:rsidR="00660542" w:rsidRPr="001C49E8" w:rsidP="00553F1B" w14:paraId="7EC19381" w14:textId="77777777">
      <w:pPr>
        <w:tabs>
          <w:tab w:val="left" w:pos="720"/>
          <w:tab w:val="left" w:pos="1080"/>
        </w:tabs>
        <w:ind w:left="1080" w:hanging="360"/>
        <w:rPr>
          <w:sz w:val="22"/>
          <w:szCs w:val="22"/>
        </w:rPr>
      </w:pPr>
      <w:r w:rsidRPr="001C49E8">
        <w:rPr>
          <w:sz w:val="22"/>
          <w:szCs w:val="22"/>
        </w:rPr>
        <w:tab/>
      </w:r>
      <w:r w:rsidRPr="001C49E8" w:rsidR="00EB57F7">
        <w:rPr>
          <w:sz w:val="22"/>
          <w:szCs w:val="22"/>
        </w:rPr>
        <w:t xml:space="preserve"> </w:t>
      </w:r>
    </w:p>
    <w:p w:rsidR="002408C1" w:rsidRPr="001C49E8" w:rsidP="00F11086" w14:paraId="6344A5BC" w14:textId="77777777">
      <w:pPr>
        <w:tabs>
          <w:tab w:val="left" w:pos="360"/>
        </w:tabs>
        <w:rPr>
          <w:sz w:val="22"/>
          <w:szCs w:val="22"/>
        </w:rPr>
      </w:pPr>
      <w:r w:rsidRPr="001C49E8">
        <w:rPr>
          <w:sz w:val="22"/>
          <w:szCs w:val="22"/>
        </w:rPr>
        <w:t xml:space="preserve">2. </w:t>
      </w:r>
      <w:r w:rsidRPr="001C49E8" w:rsidR="00105606">
        <w:rPr>
          <w:sz w:val="22"/>
          <w:szCs w:val="22"/>
        </w:rPr>
        <w:t>The political broadcasting reporting</w:t>
      </w:r>
      <w:r w:rsidRPr="001C49E8" w:rsidR="00B37C72">
        <w:rPr>
          <w:sz w:val="22"/>
          <w:szCs w:val="22"/>
        </w:rPr>
        <w:t>,</w:t>
      </w:r>
      <w:r w:rsidRPr="001C49E8" w:rsidR="00105606">
        <w:rPr>
          <w:sz w:val="22"/>
          <w:szCs w:val="22"/>
        </w:rPr>
        <w:t xml:space="preserve"> recordkeeping requirement</w:t>
      </w:r>
      <w:r w:rsidRPr="001C49E8" w:rsidR="00B37C72">
        <w:rPr>
          <w:sz w:val="22"/>
          <w:szCs w:val="22"/>
        </w:rPr>
        <w:t>, and third</w:t>
      </w:r>
      <w:r w:rsidRPr="001C49E8" w:rsidR="00E44B7B">
        <w:rPr>
          <w:sz w:val="22"/>
          <w:szCs w:val="22"/>
        </w:rPr>
        <w:t>-</w:t>
      </w:r>
      <w:r w:rsidRPr="001C49E8" w:rsidR="00B37C72">
        <w:rPr>
          <w:sz w:val="22"/>
          <w:szCs w:val="22"/>
        </w:rPr>
        <w:t xml:space="preserve">party disclosure requirements in this information collection </w:t>
      </w:r>
      <w:r w:rsidRPr="001C49E8" w:rsidR="00105606">
        <w:rPr>
          <w:sz w:val="22"/>
          <w:szCs w:val="22"/>
        </w:rPr>
        <w:t xml:space="preserve">will be used by the public to assess money expended and time allotted to a political candidate and by the Commission to ensure that equal access is afforded to other qualified candidates.  The Commission will use the children’s programming recordkeeping burden to verify compliance with the commercial limits established in 47 </w:t>
      </w:r>
      <w:r w:rsidRPr="001C49E8" w:rsidR="003604EA">
        <w:rPr>
          <w:sz w:val="22"/>
          <w:szCs w:val="22"/>
        </w:rPr>
        <w:t>CFR</w:t>
      </w:r>
      <w:r w:rsidRPr="001C49E8" w:rsidR="000667E6">
        <w:rPr>
          <w:sz w:val="22"/>
          <w:szCs w:val="22"/>
        </w:rPr>
        <w:t xml:space="preserve"> §</w:t>
      </w:r>
      <w:r w:rsidRPr="001C49E8" w:rsidR="00105606">
        <w:rPr>
          <w:sz w:val="22"/>
          <w:szCs w:val="22"/>
        </w:rPr>
        <w:t xml:space="preserve"> 25.701(e), and by the public to assess the DBS provider’s compliance with the commercial limits.  </w:t>
      </w:r>
      <w:r w:rsidRPr="001C49E8" w:rsidR="00561CA3">
        <w:rPr>
          <w:sz w:val="22"/>
          <w:szCs w:val="22"/>
        </w:rPr>
        <w:t xml:space="preserve">The carriage election contact information will be used by broadcasters to </w:t>
      </w:r>
      <w:r w:rsidRPr="001C49E8" w:rsidR="005C1CA1">
        <w:rPr>
          <w:sz w:val="22"/>
          <w:szCs w:val="22"/>
        </w:rPr>
        <w:t>notify DBS providers when their carriage election changes from retransmission consent to must carry, or vice versa.</w:t>
      </w:r>
    </w:p>
    <w:p w:rsidR="002408C1" w:rsidRPr="001C49E8" w:rsidP="00105606" w14:paraId="5B971076" w14:textId="77777777">
      <w:pPr>
        <w:tabs>
          <w:tab w:val="left" w:pos="720"/>
        </w:tabs>
        <w:rPr>
          <w:sz w:val="22"/>
          <w:szCs w:val="22"/>
        </w:rPr>
      </w:pPr>
    </w:p>
    <w:p w:rsidR="00F07CF6" w:rsidRPr="001C49E8" w:rsidP="000C7337" w14:paraId="4D5F5FAD" w14:textId="77777777">
      <w:pPr>
        <w:tabs>
          <w:tab w:val="left" w:pos="360"/>
        </w:tabs>
        <w:rPr>
          <w:sz w:val="22"/>
          <w:szCs w:val="22"/>
        </w:rPr>
      </w:pPr>
      <w:r w:rsidRPr="001C49E8">
        <w:rPr>
          <w:sz w:val="22"/>
          <w:szCs w:val="22"/>
        </w:rPr>
        <w:t xml:space="preserve">3. </w:t>
      </w:r>
      <w:r w:rsidRPr="001C49E8">
        <w:rPr>
          <w:sz w:val="22"/>
          <w:szCs w:val="22"/>
        </w:rPr>
        <w:t xml:space="preserve">The </w:t>
      </w:r>
      <w:r w:rsidRPr="001C49E8" w:rsidR="002408C1">
        <w:rPr>
          <w:sz w:val="22"/>
          <w:szCs w:val="22"/>
        </w:rPr>
        <w:t xml:space="preserve">Commission finds that the use of information technology is not appropriate for the recordkeeping requirements </w:t>
      </w:r>
      <w:r w:rsidRPr="001C49E8" w:rsidR="00565860">
        <w:rPr>
          <w:sz w:val="22"/>
          <w:szCs w:val="22"/>
        </w:rPr>
        <w:t>and third</w:t>
      </w:r>
      <w:r w:rsidRPr="001C49E8" w:rsidR="0061189F">
        <w:rPr>
          <w:sz w:val="22"/>
          <w:szCs w:val="22"/>
        </w:rPr>
        <w:t>-</w:t>
      </w:r>
      <w:r w:rsidRPr="001C49E8" w:rsidR="00565860">
        <w:rPr>
          <w:sz w:val="22"/>
          <w:szCs w:val="22"/>
        </w:rPr>
        <w:t xml:space="preserve">party disclosure requirements </w:t>
      </w:r>
      <w:r w:rsidRPr="001C49E8" w:rsidR="002408C1">
        <w:rPr>
          <w:sz w:val="22"/>
          <w:szCs w:val="22"/>
        </w:rPr>
        <w:t xml:space="preserve">adopted in the </w:t>
      </w:r>
      <w:r w:rsidRPr="001C49E8" w:rsidR="003604EA">
        <w:rPr>
          <w:i/>
          <w:sz w:val="22"/>
          <w:szCs w:val="22"/>
        </w:rPr>
        <w:t>Second Order</w:t>
      </w:r>
      <w:r w:rsidRPr="001C49E8" w:rsidR="002408C1">
        <w:rPr>
          <w:sz w:val="22"/>
          <w:szCs w:val="22"/>
        </w:rPr>
        <w:t xml:space="preserve">.  However, the </w:t>
      </w:r>
      <w:r w:rsidRPr="001C49E8" w:rsidR="003604EA">
        <w:rPr>
          <w:i/>
          <w:sz w:val="22"/>
          <w:szCs w:val="22"/>
        </w:rPr>
        <w:t>Second Order</w:t>
      </w:r>
      <w:r w:rsidRPr="001C49E8" w:rsidR="002408C1">
        <w:rPr>
          <w:sz w:val="22"/>
          <w:szCs w:val="22"/>
        </w:rPr>
        <w:t xml:space="preserve"> does make provisions for the use of electronic technology in making information available to the public.  For example, rather than responding to individual requests from members of the public to view political broadcasting files, the </w:t>
      </w:r>
      <w:r w:rsidRPr="001C49E8" w:rsidR="003604EA">
        <w:rPr>
          <w:i/>
          <w:sz w:val="22"/>
          <w:szCs w:val="22"/>
        </w:rPr>
        <w:t>Second Order</w:t>
      </w:r>
      <w:r w:rsidRPr="001C49E8" w:rsidR="002408C1">
        <w:rPr>
          <w:sz w:val="22"/>
          <w:szCs w:val="22"/>
        </w:rPr>
        <w:t xml:space="preserve"> finds that DBS providers may place their political files on their webpage.  </w:t>
      </w:r>
      <w:r w:rsidRPr="001C49E8" w:rsidR="005C1CA1">
        <w:rPr>
          <w:sz w:val="22"/>
          <w:szCs w:val="22"/>
        </w:rPr>
        <w:t>The carriage election contact information will be available electronically via each DBS provider’s Online Public Information File.</w:t>
      </w:r>
    </w:p>
    <w:p w:rsidR="002408C1" w:rsidRPr="001C49E8" w:rsidP="002408C1" w14:paraId="5EE63D66" w14:textId="77777777">
      <w:pPr>
        <w:tabs>
          <w:tab w:val="left" w:pos="720"/>
        </w:tabs>
        <w:rPr>
          <w:sz w:val="22"/>
          <w:szCs w:val="22"/>
        </w:rPr>
      </w:pPr>
    </w:p>
    <w:p w:rsidR="00F07CF6" w:rsidRPr="001C49E8" w:rsidP="00F11086" w14:paraId="41CE4BD2" w14:textId="77777777">
      <w:pPr>
        <w:rPr>
          <w:sz w:val="22"/>
          <w:szCs w:val="22"/>
        </w:rPr>
      </w:pPr>
      <w:r w:rsidRPr="001C49E8">
        <w:rPr>
          <w:sz w:val="22"/>
          <w:szCs w:val="22"/>
        </w:rPr>
        <w:t xml:space="preserve">4. </w:t>
      </w:r>
      <w:r w:rsidRPr="001C49E8">
        <w:rPr>
          <w:sz w:val="22"/>
          <w:szCs w:val="22"/>
        </w:rPr>
        <w:t xml:space="preserve">The Commission does not impose a similar information collection on the respondents.  There </w:t>
      </w:r>
      <w:r w:rsidRPr="001C49E8" w:rsidR="00840A39">
        <w:rPr>
          <w:sz w:val="22"/>
          <w:szCs w:val="22"/>
        </w:rPr>
        <w:t xml:space="preserve">are </w:t>
      </w:r>
      <w:r w:rsidRPr="001C49E8">
        <w:rPr>
          <w:sz w:val="22"/>
          <w:szCs w:val="22"/>
        </w:rPr>
        <w:t>no similar data available.</w:t>
      </w:r>
    </w:p>
    <w:p w:rsidR="00F07CF6" w:rsidRPr="001C49E8" w:rsidP="00F07CF6" w14:paraId="223F81FF" w14:textId="77777777">
      <w:pPr>
        <w:tabs>
          <w:tab w:val="left" w:pos="720"/>
        </w:tabs>
        <w:rPr>
          <w:sz w:val="22"/>
          <w:szCs w:val="22"/>
        </w:rPr>
      </w:pPr>
    </w:p>
    <w:p w:rsidR="00F07CF6" w:rsidRPr="001C49E8" w:rsidP="00F11086" w14:paraId="796ACAC8" w14:textId="77777777">
      <w:pPr>
        <w:tabs>
          <w:tab w:val="left" w:pos="360"/>
        </w:tabs>
        <w:rPr>
          <w:sz w:val="22"/>
          <w:szCs w:val="22"/>
        </w:rPr>
      </w:pPr>
      <w:r w:rsidRPr="001C49E8">
        <w:rPr>
          <w:sz w:val="22"/>
          <w:szCs w:val="22"/>
        </w:rPr>
        <w:t>5.</w:t>
      </w:r>
      <w:r w:rsidRPr="001C49E8" w:rsidR="00D57EC2">
        <w:rPr>
          <w:sz w:val="22"/>
          <w:szCs w:val="22"/>
        </w:rPr>
        <w:t>.</w:t>
      </w:r>
      <w:r w:rsidRPr="001C49E8">
        <w:rPr>
          <w:sz w:val="22"/>
          <w:szCs w:val="22"/>
        </w:rPr>
        <w:t xml:space="preserve">   </w:t>
      </w:r>
      <w:r w:rsidRPr="001C49E8" w:rsidR="0061189F">
        <w:rPr>
          <w:sz w:val="22"/>
          <w:szCs w:val="22"/>
        </w:rPr>
        <w:t xml:space="preserve">This information collection does not impose any significant economic impact on a substantial number of small businesses/entities.  However, any entity can request a waiver of the Commission’s rules, under 47 CFR § 1.3, which allows the Commission to waive rules where good cause has been shown.   </w:t>
      </w:r>
    </w:p>
    <w:p w:rsidR="00F07CF6" w:rsidRPr="001C49E8" w:rsidP="00F07CF6" w14:paraId="10F24EE0" w14:textId="77777777">
      <w:pPr>
        <w:tabs>
          <w:tab w:val="left" w:pos="720"/>
        </w:tabs>
        <w:rPr>
          <w:sz w:val="22"/>
          <w:szCs w:val="22"/>
        </w:rPr>
      </w:pPr>
    </w:p>
    <w:p w:rsidR="00F07CF6" w:rsidRPr="001C49E8" w:rsidP="00F11086" w14:paraId="3AC8905D" w14:textId="77777777">
      <w:pPr>
        <w:tabs>
          <w:tab w:val="left" w:pos="360"/>
        </w:tabs>
        <w:rPr>
          <w:sz w:val="22"/>
          <w:szCs w:val="22"/>
        </w:rPr>
      </w:pPr>
      <w:r w:rsidRPr="001C49E8">
        <w:rPr>
          <w:sz w:val="22"/>
          <w:szCs w:val="22"/>
        </w:rPr>
        <w:t xml:space="preserve">6. </w:t>
      </w:r>
      <w:r w:rsidRPr="001C49E8" w:rsidR="00B37C72">
        <w:rPr>
          <w:sz w:val="22"/>
          <w:szCs w:val="22"/>
        </w:rPr>
        <w:t xml:space="preserve">If this information collection was not collected the </w:t>
      </w:r>
      <w:r w:rsidRPr="001C49E8" w:rsidR="007964DA">
        <w:rPr>
          <w:sz w:val="22"/>
          <w:szCs w:val="22"/>
        </w:rPr>
        <w:t xml:space="preserve">Commission would have no way of assuring that the public has access to the political broadcasting and children’s programming information relating to DBS services.  Equally important, the Commission would have no way of verifying whether DBS providers are complying with its political broadcasting and children’s programming commercial limits.  This could lead to favoritism in according political broadcast time, or an excessive, potentially harmful amount of commercials on children’s programming.  </w:t>
      </w:r>
      <w:r w:rsidRPr="001C49E8" w:rsidR="005C1CA1">
        <w:rPr>
          <w:sz w:val="22"/>
          <w:szCs w:val="22"/>
        </w:rPr>
        <w:t>If the carriage election contact information were not collected, broadcasters would be unable to notify DBS providers of their carriage election status, jeopardizing either their availability to DBS subscribers or potential revenues for retransmission consent.</w:t>
      </w:r>
    </w:p>
    <w:p w:rsidR="00F07CF6" w:rsidRPr="001C49E8" w:rsidP="00F07CF6" w14:paraId="3B5700F9" w14:textId="77777777">
      <w:pPr>
        <w:tabs>
          <w:tab w:val="left" w:pos="540"/>
          <w:tab w:val="left" w:pos="810"/>
        </w:tabs>
        <w:rPr>
          <w:sz w:val="22"/>
          <w:szCs w:val="22"/>
        </w:rPr>
      </w:pPr>
    </w:p>
    <w:p w:rsidR="00F07CF6" w:rsidRPr="001C49E8" w:rsidP="000C7337" w14:paraId="13CD2B59" w14:textId="77777777">
      <w:pPr>
        <w:tabs>
          <w:tab w:val="left" w:pos="360"/>
        </w:tabs>
        <w:rPr>
          <w:sz w:val="22"/>
          <w:szCs w:val="22"/>
          <w:shd w:val="clear" w:color="auto" w:fill="FFFFFF"/>
        </w:rPr>
      </w:pPr>
      <w:r w:rsidRPr="001C49E8">
        <w:rPr>
          <w:sz w:val="22"/>
          <w:szCs w:val="22"/>
        </w:rPr>
        <w:t xml:space="preserve">7. </w:t>
      </w:r>
      <w:r w:rsidRPr="001C49E8">
        <w:rPr>
          <w:sz w:val="22"/>
          <w:szCs w:val="22"/>
        </w:rPr>
        <w:t xml:space="preserve">Current data </w:t>
      </w:r>
      <w:r w:rsidRPr="001C49E8" w:rsidR="00813C3A">
        <w:rPr>
          <w:sz w:val="22"/>
          <w:szCs w:val="22"/>
        </w:rPr>
        <w:t>is</w:t>
      </w:r>
      <w:r w:rsidRPr="001C49E8" w:rsidR="00A31AD0">
        <w:rPr>
          <w:sz w:val="22"/>
          <w:szCs w:val="22"/>
        </w:rPr>
        <w:t xml:space="preserve"> </w:t>
      </w:r>
      <w:r w:rsidRPr="001C49E8" w:rsidR="003B6D4B">
        <w:rPr>
          <w:sz w:val="22"/>
          <w:szCs w:val="22"/>
        </w:rPr>
        <w:t xml:space="preserve">consistent with 5 CFR </w:t>
      </w:r>
      <w:r w:rsidRPr="001C49E8" w:rsidR="00B25A9F">
        <w:rPr>
          <w:sz w:val="22"/>
          <w:szCs w:val="22"/>
        </w:rPr>
        <w:t xml:space="preserve">§ </w:t>
      </w:r>
      <w:r w:rsidRPr="001C49E8" w:rsidR="003B6D4B">
        <w:rPr>
          <w:sz w:val="22"/>
          <w:szCs w:val="22"/>
        </w:rPr>
        <w:t>1320.</w:t>
      </w:r>
      <w:r w:rsidRPr="001C49E8" w:rsidR="009D3FCF">
        <w:rPr>
          <w:sz w:val="22"/>
          <w:szCs w:val="22"/>
        </w:rPr>
        <w:t>5.</w:t>
      </w:r>
      <w:r w:rsidRPr="001C49E8" w:rsidR="003B6D4B">
        <w:rPr>
          <w:sz w:val="22"/>
          <w:szCs w:val="22"/>
        </w:rPr>
        <w:t xml:space="preserve"> </w:t>
      </w:r>
    </w:p>
    <w:p w:rsidR="00F07CF6" w:rsidRPr="001C49E8" w:rsidP="00F07CF6" w14:paraId="4104B579" w14:textId="77777777">
      <w:pPr>
        <w:tabs>
          <w:tab w:val="left" w:pos="540"/>
          <w:tab w:val="left" w:pos="810"/>
        </w:tabs>
        <w:rPr>
          <w:sz w:val="22"/>
          <w:szCs w:val="22"/>
        </w:rPr>
      </w:pPr>
    </w:p>
    <w:p w:rsidR="00FF5FD2" w:rsidRPr="001C49E8" w:rsidP="00E1068A" w14:paraId="6CB2A903" w14:textId="34840709">
      <w:pPr>
        <w:rPr>
          <w:spacing w:val="-3"/>
          <w:sz w:val="22"/>
          <w:szCs w:val="22"/>
        </w:rPr>
      </w:pPr>
      <w:r w:rsidRPr="001C49E8">
        <w:rPr>
          <w:spacing w:val="-3"/>
          <w:sz w:val="22"/>
          <w:szCs w:val="22"/>
        </w:rPr>
        <w:t xml:space="preserve">8. </w:t>
      </w:r>
      <w:r w:rsidRPr="001C49E8">
        <w:rPr>
          <w:spacing w:val="-3"/>
          <w:sz w:val="22"/>
          <w:szCs w:val="22"/>
        </w:rPr>
        <w:t xml:space="preserve">The Commission published a Notice in the </w:t>
      </w:r>
      <w:r w:rsidRPr="001C49E8">
        <w:rPr>
          <w:i/>
          <w:spacing w:val="-3"/>
          <w:sz w:val="22"/>
          <w:szCs w:val="22"/>
        </w:rPr>
        <w:t>Federal Register</w:t>
      </w:r>
      <w:r w:rsidRPr="001C49E8">
        <w:rPr>
          <w:spacing w:val="-3"/>
          <w:sz w:val="22"/>
          <w:szCs w:val="22"/>
        </w:rPr>
        <w:t xml:space="preserve"> </w:t>
      </w:r>
      <w:r w:rsidRPr="001C49E8" w:rsidR="00BA30F1">
        <w:rPr>
          <w:spacing w:val="-3"/>
          <w:sz w:val="22"/>
          <w:szCs w:val="22"/>
        </w:rPr>
        <w:t xml:space="preserve">on </w:t>
      </w:r>
      <w:r w:rsidR="00B276A7">
        <w:rPr>
          <w:spacing w:val="-3"/>
          <w:sz w:val="22"/>
          <w:szCs w:val="22"/>
        </w:rPr>
        <w:t xml:space="preserve">September </w:t>
      </w:r>
      <w:r w:rsidR="00700076">
        <w:rPr>
          <w:spacing w:val="-3"/>
          <w:sz w:val="22"/>
          <w:szCs w:val="22"/>
        </w:rPr>
        <w:t>7</w:t>
      </w:r>
      <w:r w:rsidR="00B276A7">
        <w:rPr>
          <w:spacing w:val="-3"/>
          <w:sz w:val="22"/>
          <w:szCs w:val="22"/>
        </w:rPr>
        <w:t>, 2022</w:t>
      </w:r>
      <w:r w:rsidRPr="001C49E8" w:rsidR="0061189F">
        <w:rPr>
          <w:spacing w:val="-3"/>
          <w:sz w:val="22"/>
          <w:szCs w:val="22"/>
        </w:rPr>
        <w:t xml:space="preserve"> </w:t>
      </w:r>
      <w:r w:rsidRPr="001C49E8" w:rsidR="00487732">
        <w:rPr>
          <w:spacing w:val="-3"/>
          <w:sz w:val="22"/>
          <w:szCs w:val="22"/>
        </w:rPr>
        <w:t xml:space="preserve"> (</w:t>
      </w:r>
      <w:r w:rsidRPr="001C49E8" w:rsidR="009D3FCF">
        <w:rPr>
          <w:spacing w:val="-3"/>
          <w:sz w:val="22"/>
          <w:szCs w:val="22"/>
        </w:rPr>
        <w:t>8</w:t>
      </w:r>
      <w:r w:rsidR="00B276A7">
        <w:rPr>
          <w:spacing w:val="-3"/>
          <w:sz w:val="22"/>
          <w:szCs w:val="22"/>
        </w:rPr>
        <w:t>7</w:t>
      </w:r>
      <w:r w:rsidRPr="001C49E8" w:rsidR="00487732">
        <w:rPr>
          <w:spacing w:val="-3"/>
          <w:sz w:val="22"/>
          <w:szCs w:val="22"/>
        </w:rPr>
        <w:t xml:space="preserve"> FR</w:t>
      </w:r>
      <w:r w:rsidR="00700076">
        <w:rPr>
          <w:spacing w:val="-3"/>
          <w:sz w:val="22"/>
          <w:szCs w:val="22"/>
        </w:rPr>
        <w:t xml:space="preserve"> 54688</w:t>
      </w:r>
      <w:r w:rsidRPr="001C49E8" w:rsidR="00487732">
        <w:rPr>
          <w:spacing w:val="-3"/>
          <w:sz w:val="22"/>
          <w:szCs w:val="22"/>
        </w:rPr>
        <w:t>)</w:t>
      </w:r>
      <w:r w:rsidRPr="001C49E8">
        <w:rPr>
          <w:spacing w:val="-3"/>
          <w:sz w:val="22"/>
          <w:szCs w:val="22"/>
        </w:rPr>
        <w:t xml:space="preserve">.  </w:t>
      </w:r>
      <w:r w:rsidRPr="001C49E8" w:rsidR="00132032">
        <w:rPr>
          <w:spacing w:val="-3"/>
          <w:sz w:val="22"/>
          <w:szCs w:val="22"/>
        </w:rPr>
        <w:t>The Commission received n</w:t>
      </w:r>
      <w:r w:rsidRPr="001C49E8">
        <w:rPr>
          <w:spacing w:val="-3"/>
          <w:sz w:val="22"/>
          <w:szCs w:val="22"/>
        </w:rPr>
        <w:t xml:space="preserve">o comments </w:t>
      </w:r>
      <w:r w:rsidRPr="001C49E8" w:rsidR="00132032">
        <w:rPr>
          <w:spacing w:val="-3"/>
          <w:sz w:val="22"/>
          <w:szCs w:val="22"/>
        </w:rPr>
        <w:t xml:space="preserve">following publication </w:t>
      </w:r>
      <w:r w:rsidRPr="001C49E8" w:rsidR="009D3FCF">
        <w:rPr>
          <w:spacing w:val="-3"/>
          <w:sz w:val="22"/>
          <w:szCs w:val="22"/>
        </w:rPr>
        <w:t xml:space="preserve">of the Notice.  </w:t>
      </w:r>
    </w:p>
    <w:p w:rsidR="00E44B7B" w:rsidRPr="001C49E8" w:rsidP="00E1068A" w14:paraId="1D0AD1ED" w14:textId="77777777">
      <w:pPr>
        <w:rPr>
          <w:sz w:val="22"/>
          <w:szCs w:val="22"/>
        </w:rPr>
      </w:pPr>
    </w:p>
    <w:p w:rsidR="00F07CF6" w:rsidRPr="001C49E8" w:rsidP="00F11086" w14:paraId="43243210" w14:textId="77777777">
      <w:pPr>
        <w:rPr>
          <w:sz w:val="22"/>
          <w:szCs w:val="22"/>
        </w:rPr>
      </w:pPr>
      <w:r w:rsidRPr="001C49E8">
        <w:rPr>
          <w:sz w:val="22"/>
          <w:szCs w:val="22"/>
        </w:rPr>
        <w:t xml:space="preserve">9. </w:t>
      </w:r>
      <w:r w:rsidRPr="001C49E8">
        <w:rPr>
          <w:sz w:val="22"/>
          <w:szCs w:val="22"/>
        </w:rPr>
        <w:t>Respondents will not receive any payments.</w:t>
      </w:r>
    </w:p>
    <w:p w:rsidR="00F07CF6" w:rsidRPr="001C49E8" w:rsidP="00F07CF6" w14:paraId="5EA155CB" w14:textId="77777777">
      <w:pPr>
        <w:tabs>
          <w:tab w:val="left" w:pos="720"/>
        </w:tabs>
        <w:rPr>
          <w:sz w:val="22"/>
          <w:szCs w:val="22"/>
        </w:rPr>
      </w:pPr>
    </w:p>
    <w:p w:rsidR="00F07CF6" w:rsidRPr="001C49E8" w:rsidP="00F11086" w14:paraId="6E653F9C" w14:textId="77777777">
      <w:pPr>
        <w:rPr>
          <w:sz w:val="22"/>
          <w:szCs w:val="22"/>
        </w:rPr>
      </w:pPr>
      <w:r w:rsidRPr="001C49E8">
        <w:rPr>
          <w:sz w:val="22"/>
          <w:szCs w:val="22"/>
        </w:rPr>
        <w:t xml:space="preserve">10. </w:t>
      </w:r>
      <w:r w:rsidRPr="001C49E8">
        <w:rPr>
          <w:sz w:val="22"/>
          <w:szCs w:val="22"/>
        </w:rPr>
        <w:t xml:space="preserve">Although the Commission does not believe that any confidential information will need to be disclosed in order to comply with the </w:t>
      </w:r>
      <w:r w:rsidRPr="001C49E8" w:rsidR="00363BC2">
        <w:rPr>
          <w:sz w:val="22"/>
          <w:szCs w:val="22"/>
        </w:rPr>
        <w:t>information collection requirements</w:t>
      </w:r>
      <w:r w:rsidRPr="001C49E8">
        <w:rPr>
          <w:sz w:val="22"/>
          <w:szCs w:val="22"/>
        </w:rPr>
        <w:t>, applicants are free to request that materials or information submitted to the Commission be withheld from public inspection.  (</w:t>
      </w:r>
      <w:r w:rsidRPr="001C49E8">
        <w:rPr>
          <w:i/>
          <w:sz w:val="22"/>
          <w:szCs w:val="22"/>
        </w:rPr>
        <w:t>See</w:t>
      </w:r>
      <w:r w:rsidRPr="001C49E8">
        <w:rPr>
          <w:sz w:val="22"/>
          <w:szCs w:val="22"/>
        </w:rPr>
        <w:t xml:space="preserve"> </w:t>
      </w:r>
      <w:r w:rsidRPr="001C49E8" w:rsidR="002A1FE9">
        <w:rPr>
          <w:sz w:val="22"/>
          <w:szCs w:val="22"/>
        </w:rPr>
        <w:t>47 CFR §</w:t>
      </w:r>
      <w:r w:rsidRPr="001C49E8">
        <w:rPr>
          <w:sz w:val="22"/>
          <w:szCs w:val="22"/>
        </w:rPr>
        <w:t xml:space="preserve"> 0.459 of the Commission’s Rules)</w:t>
      </w:r>
      <w:r w:rsidRPr="001C49E8" w:rsidR="00363BC2">
        <w:rPr>
          <w:sz w:val="22"/>
          <w:szCs w:val="22"/>
        </w:rPr>
        <w:t>.</w:t>
      </w:r>
    </w:p>
    <w:p w:rsidR="00F07CF6" w:rsidRPr="001C49E8" w:rsidP="00F07CF6" w14:paraId="3D462EF8" w14:textId="77777777">
      <w:pPr>
        <w:tabs>
          <w:tab w:val="left" w:pos="720"/>
        </w:tabs>
        <w:ind w:left="360"/>
        <w:rPr>
          <w:b/>
          <w:sz w:val="22"/>
          <w:szCs w:val="22"/>
        </w:rPr>
      </w:pPr>
    </w:p>
    <w:p w:rsidR="00FF5FD2" w:rsidRPr="001C49E8" w:rsidP="00F11086" w14:paraId="4884BE21" w14:textId="77777777">
      <w:pPr>
        <w:rPr>
          <w:sz w:val="22"/>
          <w:szCs w:val="22"/>
        </w:rPr>
      </w:pPr>
      <w:r w:rsidRPr="001C49E8">
        <w:rPr>
          <w:sz w:val="22"/>
          <w:szCs w:val="22"/>
        </w:rPr>
        <w:t xml:space="preserve">11. </w:t>
      </w:r>
      <w:r w:rsidRPr="001C49E8" w:rsidR="00363BC2">
        <w:rPr>
          <w:sz w:val="22"/>
          <w:szCs w:val="22"/>
        </w:rPr>
        <w:t xml:space="preserve">This information collection does not address any private matters of a sensitive nature.  </w:t>
      </w:r>
    </w:p>
    <w:p w:rsidR="00FF5FD2" w:rsidRPr="001C49E8" w:rsidP="00FF5FD2" w14:paraId="277ED041" w14:textId="77777777">
      <w:pPr>
        <w:rPr>
          <w:sz w:val="22"/>
          <w:szCs w:val="22"/>
        </w:rPr>
      </w:pPr>
    </w:p>
    <w:p w:rsidR="009F37F3" w:rsidRPr="001C49E8" w:rsidP="00F11086" w14:paraId="5E983E07" w14:textId="77777777">
      <w:pPr>
        <w:rPr>
          <w:sz w:val="22"/>
          <w:szCs w:val="22"/>
          <w:shd w:val="clear" w:color="auto" w:fill="FFFFFF"/>
        </w:rPr>
      </w:pPr>
      <w:r w:rsidRPr="001C49E8">
        <w:rPr>
          <w:sz w:val="22"/>
          <w:szCs w:val="22"/>
        </w:rPr>
        <w:t>12.</w:t>
      </w:r>
      <w:r w:rsidRPr="001C49E8" w:rsidR="00D473C0">
        <w:rPr>
          <w:b/>
          <w:sz w:val="22"/>
          <w:szCs w:val="22"/>
        </w:rPr>
        <w:t xml:space="preserve">  </w:t>
      </w:r>
      <w:r w:rsidRPr="001C49E8">
        <w:rPr>
          <w:sz w:val="22"/>
          <w:szCs w:val="22"/>
        </w:rPr>
        <w:t xml:space="preserve">The </w:t>
      </w:r>
      <w:r w:rsidRPr="001C49E8" w:rsidR="004C21A2">
        <w:rPr>
          <w:sz w:val="22"/>
          <w:szCs w:val="22"/>
        </w:rPr>
        <w:t>public burden is as follows:</w:t>
      </w:r>
      <w:r w:rsidRPr="001C49E8">
        <w:rPr>
          <w:sz w:val="22"/>
          <w:szCs w:val="22"/>
          <w:shd w:val="clear" w:color="auto" w:fill="FFFFFF"/>
        </w:rPr>
        <w:t xml:space="preserve">  </w:t>
      </w:r>
    </w:p>
    <w:p w:rsidR="00195AFA" w:rsidRPr="001C49E8" w:rsidP="00F07CF6" w14:paraId="1190693D" w14:textId="77777777">
      <w:pPr>
        <w:tabs>
          <w:tab w:val="left" w:pos="720"/>
        </w:tabs>
        <w:rPr>
          <w:b/>
          <w:sz w:val="22"/>
          <w:szCs w:val="22"/>
        </w:rPr>
      </w:pPr>
    </w:p>
    <w:p w:rsidR="00E164B5" w:rsidRPr="001C49E8" w:rsidP="00F07CF6" w14:paraId="6C2202B4" w14:textId="77777777">
      <w:pPr>
        <w:tabs>
          <w:tab w:val="left" w:pos="720"/>
        </w:tabs>
        <w:rPr>
          <w:b/>
          <w:sz w:val="22"/>
          <w:szCs w:val="22"/>
        </w:rPr>
      </w:pPr>
      <w:r w:rsidRPr="001C49E8">
        <w:rPr>
          <w:b/>
          <w:sz w:val="22"/>
          <w:szCs w:val="22"/>
        </w:rPr>
        <w:t xml:space="preserve">Number of </w:t>
      </w:r>
      <w:r w:rsidRPr="001C49E8" w:rsidR="002B19A1">
        <w:rPr>
          <w:b/>
          <w:sz w:val="22"/>
          <w:szCs w:val="22"/>
        </w:rPr>
        <w:t xml:space="preserve">Annual </w:t>
      </w:r>
      <w:r w:rsidRPr="001C49E8">
        <w:rPr>
          <w:b/>
          <w:sz w:val="22"/>
          <w:szCs w:val="22"/>
        </w:rPr>
        <w:t xml:space="preserve">Respondents: </w:t>
      </w:r>
      <w:r w:rsidRPr="001C49E8" w:rsidR="00ED54E2">
        <w:rPr>
          <w:b/>
          <w:sz w:val="22"/>
          <w:szCs w:val="22"/>
        </w:rPr>
        <w:t>2</w:t>
      </w:r>
      <w:r w:rsidRPr="001C49E8" w:rsidR="00363BC2">
        <w:rPr>
          <w:b/>
          <w:sz w:val="22"/>
          <w:szCs w:val="22"/>
        </w:rPr>
        <w:t xml:space="preserve"> DBS Providers</w:t>
      </w:r>
      <w:r>
        <w:rPr>
          <w:rStyle w:val="FootnoteReference"/>
          <w:b/>
          <w:sz w:val="22"/>
          <w:szCs w:val="22"/>
        </w:rPr>
        <w:footnoteReference w:id="3"/>
      </w:r>
    </w:p>
    <w:p w:rsidR="00195AFA" w:rsidRPr="001C49E8" w:rsidP="00F07CF6" w14:paraId="6FCEA069" w14:textId="77777777">
      <w:pPr>
        <w:tabs>
          <w:tab w:val="left" w:pos="720"/>
        </w:tabs>
        <w:rPr>
          <w:b/>
          <w:sz w:val="22"/>
          <w:szCs w:val="22"/>
        </w:rPr>
      </w:pPr>
    </w:p>
    <w:p w:rsidR="00195AFA" w:rsidRPr="001C49E8" w:rsidP="00195AFA" w14:paraId="64ECC112" w14:textId="77777777">
      <w:pPr>
        <w:tabs>
          <w:tab w:val="left" w:pos="720"/>
        </w:tabs>
        <w:rPr>
          <w:b/>
          <w:sz w:val="22"/>
          <w:szCs w:val="22"/>
        </w:rPr>
      </w:pPr>
      <w:r w:rsidRPr="001C49E8">
        <w:rPr>
          <w:b/>
          <w:sz w:val="22"/>
          <w:szCs w:val="22"/>
        </w:rPr>
        <w:t xml:space="preserve">Number of </w:t>
      </w:r>
      <w:r w:rsidRPr="001C49E8" w:rsidR="002B19A1">
        <w:rPr>
          <w:b/>
          <w:sz w:val="22"/>
          <w:szCs w:val="22"/>
        </w:rPr>
        <w:t xml:space="preserve">Annual </w:t>
      </w:r>
      <w:r w:rsidRPr="001C49E8">
        <w:rPr>
          <w:b/>
          <w:sz w:val="22"/>
          <w:szCs w:val="22"/>
        </w:rPr>
        <w:t>Responses:</w:t>
      </w:r>
      <w:r w:rsidRPr="001C49E8" w:rsidR="004C21A2">
        <w:rPr>
          <w:b/>
          <w:sz w:val="22"/>
          <w:szCs w:val="22"/>
        </w:rPr>
        <w:t xml:space="preserve"> </w:t>
      </w:r>
      <w:r w:rsidRPr="001C49E8" w:rsidR="00ED54E2">
        <w:rPr>
          <w:b/>
          <w:sz w:val="22"/>
          <w:szCs w:val="22"/>
        </w:rPr>
        <w:t>2</w:t>
      </w:r>
      <w:r w:rsidRPr="001C49E8" w:rsidR="00363BC2">
        <w:rPr>
          <w:b/>
          <w:sz w:val="22"/>
          <w:szCs w:val="22"/>
        </w:rPr>
        <w:t xml:space="preserve"> responses</w:t>
      </w:r>
      <w:r>
        <w:rPr>
          <w:rStyle w:val="FootnoteReference"/>
          <w:b/>
          <w:sz w:val="22"/>
          <w:szCs w:val="22"/>
        </w:rPr>
        <w:footnoteReference w:id="4"/>
      </w:r>
    </w:p>
    <w:p w:rsidR="00195AFA" w:rsidRPr="001C49E8" w:rsidP="00F07CF6" w14:paraId="69B7C327" w14:textId="77777777">
      <w:pPr>
        <w:tabs>
          <w:tab w:val="left" w:pos="720"/>
        </w:tabs>
        <w:rPr>
          <w:b/>
          <w:sz w:val="22"/>
          <w:szCs w:val="22"/>
          <w:shd w:val="clear" w:color="auto" w:fill="FFFFFF"/>
        </w:rPr>
      </w:pPr>
    </w:p>
    <w:p w:rsidR="00D87C69" w:rsidRPr="001C49E8" w:rsidP="00D95E82" w14:paraId="49C6936C" w14:textId="77777777">
      <w:pPr>
        <w:tabs>
          <w:tab w:val="left" w:pos="360"/>
        </w:tabs>
        <w:rPr>
          <w:b/>
          <w:sz w:val="22"/>
          <w:szCs w:val="22"/>
          <w:shd w:val="clear" w:color="auto" w:fill="FFFFFF"/>
        </w:rPr>
      </w:pPr>
      <w:r w:rsidRPr="001C49E8">
        <w:rPr>
          <w:b/>
          <w:sz w:val="22"/>
          <w:szCs w:val="22"/>
          <w:shd w:val="clear" w:color="auto" w:fill="FFFFFF"/>
        </w:rPr>
        <w:tab/>
      </w:r>
    </w:p>
    <w:p w:rsidR="00D87C69" w:rsidRPr="001C49E8" w:rsidP="00D87C69" w14:paraId="6212716C" w14:textId="77777777">
      <w:pPr>
        <w:numPr>
          <w:ilvl w:val="0"/>
          <w:numId w:val="48"/>
        </w:numPr>
        <w:tabs>
          <w:tab w:val="left" w:pos="720"/>
        </w:tabs>
        <w:rPr>
          <w:sz w:val="22"/>
          <w:szCs w:val="22"/>
          <w:shd w:val="clear" w:color="auto" w:fill="FFFFFF"/>
        </w:rPr>
      </w:pPr>
      <w:r w:rsidRPr="001C49E8">
        <w:rPr>
          <w:b/>
          <w:sz w:val="22"/>
          <w:szCs w:val="22"/>
        </w:rPr>
        <w:t>47 CFR 25.701(c)(1)(i)(C)</w:t>
      </w:r>
      <w:r w:rsidRPr="001C49E8" w:rsidR="00363BC2">
        <w:rPr>
          <w:b/>
          <w:sz w:val="22"/>
          <w:szCs w:val="22"/>
        </w:rPr>
        <w:t>, 47 CFR 25.701(c)(i)(D), and 47 CFR 27701(c)(1)(i)</w:t>
      </w:r>
      <w:r w:rsidRPr="001C49E8">
        <w:rPr>
          <w:b/>
          <w:sz w:val="22"/>
          <w:szCs w:val="22"/>
        </w:rPr>
        <w:t>(E) Establishment, Definition, and Disclosure of Classes</w:t>
      </w:r>
      <w:r w:rsidRPr="001C49E8" w:rsidR="004C21A2">
        <w:rPr>
          <w:b/>
          <w:sz w:val="22"/>
          <w:szCs w:val="22"/>
        </w:rPr>
        <w:t>:</w:t>
      </w:r>
      <w:r w:rsidRPr="001C49E8">
        <w:rPr>
          <w:sz w:val="22"/>
          <w:szCs w:val="22"/>
        </w:rPr>
        <w:t xml:space="preserve"> The Commission </w:t>
      </w:r>
      <w:r w:rsidRPr="001C49E8" w:rsidR="004C21A2">
        <w:rPr>
          <w:sz w:val="22"/>
          <w:szCs w:val="22"/>
        </w:rPr>
        <w:t>estimates</w:t>
      </w:r>
      <w:r w:rsidRPr="001C49E8">
        <w:rPr>
          <w:sz w:val="22"/>
          <w:szCs w:val="22"/>
        </w:rPr>
        <w:t xml:space="preserve"> 2 hours</w:t>
      </w:r>
      <w:r w:rsidRPr="001C49E8" w:rsidR="004C21A2">
        <w:rPr>
          <w:sz w:val="22"/>
          <w:szCs w:val="22"/>
        </w:rPr>
        <w:t xml:space="preserve"> for each task: 1)</w:t>
      </w:r>
      <w:r w:rsidRPr="001C49E8">
        <w:rPr>
          <w:sz w:val="22"/>
          <w:szCs w:val="22"/>
        </w:rPr>
        <w:t xml:space="preserve"> establish, define, and disclose their own classes of immediately preemptible time for political candidates, 2</w:t>
      </w:r>
      <w:r w:rsidRPr="001C49E8" w:rsidR="004C21A2">
        <w:rPr>
          <w:sz w:val="22"/>
          <w:szCs w:val="22"/>
        </w:rPr>
        <w:t>)</w:t>
      </w:r>
      <w:r w:rsidRPr="001C49E8">
        <w:rPr>
          <w:sz w:val="22"/>
          <w:szCs w:val="22"/>
        </w:rPr>
        <w:t xml:space="preserve"> establish, clearly define, and disclose classes of preemptible with notice time for political candidates, and </w:t>
      </w:r>
      <w:r w:rsidRPr="001C49E8" w:rsidR="004C21A2">
        <w:rPr>
          <w:sz w:val="22"/>
          <w:szCs w:val="22"/>
        </w:rPr>
        <w:t>3)</w:t>
      </w:r>
      <w:r w:rsidRPr="001C49E8">
        <w:rPr>
          <w:sz w:val="22"/>
          <w:szCs w:val="22"/>
        </w:rPr>
        <w:t xml:space="preserve"> clearly define and disclose the difference between non preemptible and fixed positions classes of time.  This should be a one-time burden</w:t>
      </w:r>
      <w:r w:rsidRPr="001C49E8" w:rsidR="004C21A2">
        <w:rPr>
          <w:sz w:val="22"/>
          <w:szCs w:val="22"/>
        </w:rPr>
        <w:t xml:space="preserve"> --</w:t>
      </w:r>
      <w:r w:rsidRPr="001C49E8">
        <w:rPr>
          <w:sz w:val="22"/>
          <w:szCs w:val="22"/>
          <w:shd w:val="clear" w:color="auto" w:fill="FFFFFF"/>
        </w:rPr>
        <w:t xml:space="preserve"> approximately 6 hours per licensee. </w:t>
      </w:r>
    </w:p>
    <w:p w:rsidR="00D87C69" w:rsidRPr="001C49E8" w:rsidP="00D87C69" w14:paraId="7896183E" w14:textId="77777777">
      <w:pPr>
        <w:tabs>
          <w:tab w:val="left" w:pos="720"/>
        </w:tabs>
        <w:rPr>
          <w:sz w:val="22"/>
          <w:szCs w:val="22"/>
          <w:shd w:val="clear" w:color="auto" w:fill="FFFFFF"/>
        </w:rPr>
      </w:pPr>
    </w:p>
    <w:p w:rsidR="00D87C69" w:rsidRPr="001C49E8" w:rsidP="00D87C69" w14:paraId="312D04D3" w14:textId="77777777">
      <w:pPr>
        <w:tabs>
          <w:tab w:val="left" w:pos="360"/>
          <w:tab w:val="left" w:pos="720"/>
        </w:tabs>
        <w:rPr>
          <w:b/>
          <w:sz w:val="22"/>
          <w:szCs w:val="22"/>
        </w:rPr>
      </w:pPr>
      <w:r w:rsidRPr="001C49E8">
        <w:rPr>
          <w:b/>
          <w:sz w:val="22"/>
          <w:szCs w:val="22"/>
        </w:rPr>
        <w:tab/>
      </w:r>
      <w:r w:rsidRPr="001C49E8" w:rsidR="00ED54E2">
        <w:rPr>
          <w:sz w:val="22"/>
          <w:szCs w:val="22"/>
        </w:rPr>
        <w:t>2</w:t>
      </w:r>
      <w:r w:rsidRPr="001C49E8">
        <w:rPr>
          <w:sz w:val="22"/>
          <w:szCs w:val="22"/>
        </w:rPr>
        <w:t xml:space="preserve"> DBS provider x 6 hours</w:t>
      </w:r>
      <w:r w:rsidRPr="001C49E8" w:rsidR="00363BC2">
        <w:rPr>
          <w:sz w:val="22"/>
          <w:szCs w:val="22"/>
        </w:rPr>
        <w:t>/task</w:t>
      </w:r>
      <w:r w:rsidRPr="001C49E8">
        <w:rPr>
          <w:sz w:val="22"/>
          <w:szCs w:val="22"/>
        </w:rPr>
        <w:t xml:space="preserve"> =</w:t>
      </w:r>
      <w:r w:rsidRPr="001C49E8">
        <w:rPr>
          <w:b/>
          <w:sz w:val="22"/>
          <w:szCs w:val="22"/>
        </w:rPr>
        <w:t xml:space="preserve"> </w:t>
      </w:r>
      <w:r w:rsidRPr="001C49E8" w:rsidR="00ED54E2">
        <w:rPr>
          <w:b/>
          <w:sz w:val="22"/>
          <w:szCs w:val="22"/>
        </w:rPr>
        <w:t>12</w:t>
      </w:r>
      <w:r w:rsidRPr="001C49E8">
        <w:rPr>
          <w:b/>
          <w:sz w:val="22"/>
          <w:szCs w:val="22"/>
        </w:rPr>
        <w:t xml:space="preserve"> hours </w:t>
      </w:r>
    </w:p>
    <w:p w:rsidR="00D87C69" w:rsidRPr="001C49E8" w:rsidP="00D95E82" w14:paraId="271EE7B3" w14:textId="77777777">
      <w:pPr>
        <w:tabs>
          <w:tab w:val="left" w:pos="360"/>
        </w:tabs>
        <w:rPr>
          <w:b/>
          <w:sz w:val="22"/>
          <w:szCs w:val="22"/>
          <w:shd w:val="clear" w:color="auto" w:fill="FFFFFF"/>
        </w:rPr>
      </w:pPr>
    </w:p>
    <w:p w:rsidR="00D87C69" w:rsidRPr="001C49E8" w:rsidP="00D87C69" w14:paraId="67AB77B8" w14:textId="77777777">
      <w:pPr>
        <w:numPr>
          <w:ilvl w:val="0"/>
          <w:numId w:val="48"/>
        </w:numPr>
        <w:tabs>
          <w:tab w:val="left" w:pos="720"/>
        </w:tabs>
        <w:rPr>
          <w:sz w:val="22"/>
          <w:szCs w:val="22"/>
        </w:rPr>
      </w:pPr>
      <w:r w:rsidRPr="001C49E8">
        <w:rPr>
          <w:b/>
          <w:sz w:val="22"/>
          <w:szCs w:val="22"/>
        </w:rPr>
        <w:t xml:space="preserve">47 CFR  25.701(c)(1)(i)(I) Periodic Review of Advertising Records and Issuance of Rebates or Credits Where Appropriate: </w:t>
      </w:r>
      <w:r w:rsidRPr="001C49E8">
        <w:rPr>
          <w:sz w:val="22"/>
          <w:szCs w:val="22"/>
        </w:rPr>
        <w:t xml:space="preserve">The Commission estimates  about 2 hours annually to conduct periodically a thorough review of advertising records and  issue rebates or credits where appropriate.  </w:t>
      </w:r>
    </w:p>
    <w:p w:rsidR="00D87C69" w:rsidRPr="001C49E8" w:rsidP="00D87C69" w14:paraId="381CC8CD" w14:textId="77777777">
      <w:pPr>
        <w:tabs>
          <w:tab w:val="left" w:pos="720"/>
        </w:tabs>
        <w:rPr>
          <w:sz w:val="22"/>
          <w:szCs w:val="22"/>
        </w:rPr>
      </w:pPr>
    </w:p>
    <w:p w:rsidR="00D87C69" w:rsidRPr="001C49E8" w:rsidP="00D87C69" w14:paraId="43503D16" w14:textId="77777777">
      <w:pPr>
        <w:tabs>
          <w:tab w:val="left" w:pos="360"/>
        </w:tabs>
        <w:rPr>
          <w:b/>
          <w:sz w:val="22"/>
          <w:szCs w:val="22"/>
        </w:rPr>
      </w:pPr>
      <w:r w:rsidRPr="001C49E8">
        <w:rPr>
          <w:b/>
          <w:sz w:val="22"/>
          <w:szCs w:val="22"/>
        </w:rPr>
        <w:t xml:space="preserve">  </w:t>
      </w:r>
      <w:r w:rsidRPr="001C49E8" w:rsidR="00E67C89">
        <w:rPr>
          <w:b/>
          <w:sz w:val="22"/>
          <w:szCs w:val="22"/>
        </w:rPr>
        <w:tab/>
      </w:r>
      <w:r w:rsidRPr="001C49E8" w:rsidR="00ED54E2">
        <w:rPr>
          <w:sz w:val="22"/>
          <w:szCs w:val="22"/>
        </w:rPr>
        <w:t>2</w:t>
      </w:r>
      <w:r w:rsidRPr="001C49E8">
        <w:rPr>
          <w:sz w:val="22"/>
          <w:szCs w:val="22"/>
        </w:rPr>
        <w:t xml:space="preserve"> DBS providers x 2 hours</w:t>
      </w:r>
      <w:r w:rsidRPr="001C49E8" w:rsidR="00363BC2">
        <w:rPr>
          <w:sz w:val="22"/>
          <w:szCs w:val="22"/>
        </w:rPr>
        <w:t>/task</w:t>
      </w:r>
      <w:r w:rsidRPr="001C49E8">
        <w:rPr>
          <w:sz w:val="22"/>
          <w:szCs w:val="22"/>
        </w:rPr>
        <w:t xml:space="preserve"> =</w:t>
      </w:r>
      <w:r w:rsidRPr="001C49E8">
        <w:rPr>
          <w:b/>
          <w:sz w:val="22"/>
          <w:szCs w:val="22"/>
        </w:rPr>
        <w:t xml:space="preserve"> </w:t>
      </w:r>
      <w:r w:rsidRPr="001C49E8" w:rsidR="00ED54E2">
        <w:rPr>
          <w:b/>
          <w:sz w:val="22"/>
          <w:szCs w:val="22"/>
        </w:rPr>
        <w:t>4</w:t>
      </w:r>
      <w:r w:rsidRPr="001C49E8">
        <w:rPr>
          <w:b/>
          <w:sz w:val="22"/>
          <w:szCs w:val="22"/>
        </w:rPr>
        <w:t xml:space="preserve"> hours</w:t>
      </w:r>
    </w:p>
    <w:p w:rsidR="00D87C69" w:rsidRPr="001C49E8" w:rsidP="00D87C69" w14:paraId="78443BF2" w14:textId="77777777">
      <w:pPr>
        <w:tabs>
          <w:tab w:val="left" w:pos="360"/>
        </w:tabs>
        <w:rPr>
          <w:b/>
          <w:sz w:val="22"/>
          <w:szCs w:val="22"/>
        </w:rPr>
      </w:pPr>
    </w:p>
    <w:p w:rsidR="00D87C69" w:rsidRPr="001C49E8" w:rsidP="00D87C69" w14:paraId="6CBCB3A3" w14:textId="77777777">
      <w:pPr>
        <w:tabs>
          <w:tab w:val="left" w:pos="360"/>
        </w:tabs>
        <w:rPr>
          <w:b/>
          <w:sz w:val="22"/>
          <w:szCs w:val="22"/>
        </w:rPr>
      </w:pPr>
    </w:p>
    <w:p w:rsidR="00D87C69" w:rsidRPr="001C49E8" w:rsidP="00D87C69" w14:paraId="1E4476D1" w14:textId="77777777">
      <w:pPr>
        <w:numPr>
          <w:ilvl w:val="0"/>
          <w:numId w:val="48"/>
        </w:numPr>
        <w:tabs>
          <w:tab w:val="left" w:pos="720"/>
        </w:tabs>
        <w:rPr>
          <w:sz w:val="22"/>
          <w:szCs w:val="22"/>
        </w:rPr>
      </w:pPr>
      <w:r w:rsidRPr="001C49E8">
        <w:rPr>
          <w:b/>
          <w:sz w:val="22"/>
          <w:szCs w:val="22"/>
        </w:rPr>
        <w:t>47 CFR  25.701(c)(1)(i)(M</w:t>
      </w:r>
      <w:r w:rsidRPr="001C49E8" w:rsidR="00363BC2">
        <w:rPr>
          <w:b/>
          <w:sz w:val="22"/>
          <w:szCs w:val="22"/>
        </w:rPr>
        <w:t>)</w:t>
      </w:r>
      <w:r w:rsidRPr="001C49E8">
        <w:rPr>
          <w:b/>
          <w:sz w:val="22"/>
          <w:szCs w:val="22"/>
        </w:rPr>
        <w:t xml:space="preserve">  Disclosure of “Make Good” Policies:</w:t>
      </w:r>
      <w:r w:rsidRPr="001C49E8">
        <w:rPr>
          <w:sz w:val="22"/>
          <w:szCs w:val="22"/>
        </w:rPr>
        <w:tab/>
        <w:t xml:space="preserve">The Commission estimates </w:t>
      </w:r>
      <w:r w:rsidRPr="001C49E8" w:rsidR="004C21A2">
        <w:rPr>
          <w:sz w:val="22"/>
          <w:szCs w:val="22"/>
        </w:rPr>
        <w:t>a</w:t>
      </w:r>
      <w:r w:rsidRPr="001C49E8">
        <w:rPr>
          <w:sz w:val="22"/>
          <w:szCs w:val="22"/>
        </w:rPr>
        <w:t>bout 1 hour to make available any make good policies</w:t>
      </w:r>
      <w:r w:rsidRPr="001C49E8" w:rsidR="00804B88">
        <w:rPr>
          <w:sz w:val="22"/>
          <w:szCs w:val="22"/>
        </w:rPr>
        <w:t>.</w:t>
      </w:r>
      <w:r w:rsidRPr="001C49E8">
        <w:rPr>
          <w:sz w:val="22"/>
          <w:szCs w:val="22"/>
        </w:rPr>
        <w:t xml:space="preserve">  This should be a one-time burden.  </w:t>
      </w:r>
    </w:p>
    <w:p w:rsidR="00D87C69" w:rsidRPr="001C49E8" w:rsidP="00D87C69" w14:paraId="438EFA7B" w14:textId="77777777">
      <w:pPr>
        <w:tabs>
          <w:tab w:val="left" w:pos="720"/>
        </w:tabs>
        <w:rPr>
          <w:sz w:val="22"/>
          <w:szCs w:val="22"/>
        </w:rPr>
      </w:pPr>
    </w:p>
    <w:p w:rsidR="00D87C69" w:rsidRPr="001C49E8" w:rsidP="00D87C69" w14:paraId="5F2C1042" w14:textId="77777777">
      <w:pPr>
        <w:tabs>
          <w:tab w:val="left" w:pos="720"/>
        </w:tabs>
        <w:ind w:left="720" w:hanging="360"/>
        <w:rPr>
          <w:b/>
          <w:sz w:val="22"/>
          <w:szCs w:val="22"/>
        </w:rPr>
      </w:pPr>
      <w:r w:rsidRPr="001C49E8">
        <w:rPr>
          <w:sz w:val="22"/>
          <w:szCs w:val="22"/>
        </w:rPr>
        <w:t>2</w:t>
      </w:r>
      <w:r w:rsidRPr="001C49E8">
        <w:rPr>
          <w:sz w:val="22"/>
          <w:szCs w:val="22"/>
        </w:rPr>
        <w:t xml:space="preserve"> DBS providers 1 hour</w:t>
      </w:r>
      <w:r w:rsidRPr="001C49E8" w:rsidR="00DB10A2">
        <w:rPr>
          <w:sz w:val="22"/>
          <w:szCs w:val="22"/>
        </w:rPr>
        <w:t>/task</w:t>
      </w:r>
      <w:r w:rsidRPr="001C49E8">
        <w:rPr>
          <w:sz w:val="22"/>
          <w:szCs w:val="22"/>
        </w:rPr>
        <w:t xml:space="preserve"> =</w:t>
      </w:r>
      <w:r w:rsidRPr="001C49E8">
        <w:rPr>
          <w:b/>
          <w:sz w:val="22"/>
          <w:szCs w:val="22"/>
        </w:rPr>
        <w:t xml:space="preserve"> </w:t>
      </w:r>
      <w:r w:rsidRPr="001C49E8">
        <w:rPr>
          <w:b/>
          <w:sz w:val="22"/>
          <w:szCs w:val="22"/>
        </w:rPr>
        <w:t>2</w:t>
      </w:r>
      <w:r w:rsidRPr="001C49E8">
        <w:rPr>
          <w:b/>
          <w:sz w:val="22"/>
          <w:szCs w:val="22"/>
        </w:rPr>
        <w:t xml:space="preserve"> hours</w:t>
      </w:r>
    </w:p>
    <w:p w:rsidR="00D87C69" w:rsidRPr="001C49E8" w:rsidP="00D87C69" w14:paraId="38788A12" w14:textId="77777777">
      <w:pPr>
        <w:tabs>
          <w:tab w:val="left" w:pos="720"/>
        </w:tabs>
        <w:rPr>
          <w:b/>
          <w:sz w:val="22"/>
          <w:szCs w:val="22"/>
        </w:rPr>
      </w:pPr>
    </w:p>
    <w:p w:rsidR="00D87C69" w:rsidRPr="001C49E8" w:rsidP="00D87C69" w14:paraId="0355A311" w14:textId="77777777">
      <w:pPr>
        <w:numPr>
          <w:ilvl w:val="0"/>
          <w:numId w:val="48"/>
        </w:numPr>
        <w:tabs>
          <w:tab w:val="left" w:pos="720"/>
        </w:tabs>
        <w:rPr>
          <w:sz w:val="22"/>
          <w:szCs w:val="22"/>
        </w:rPr>
      </w:pPr>
      <w:r w:rsidRPr="001C49E8">
        <w:rPr>
          <w:b/>
          <w:sz w:val="22"/>
          <w:szCs w:val="22"/>
        </w:rPr>
        <w:t>47 CFR  25.701(c)(1)(i</w:t>
      </w:r>
      <w:r w:rsidRPr="001C49E8" w:rsidR="00B736D2">
        <w:rPr>
          <w:b/>
          <w:sz w:val="22"/>
          <w:szCs w:val="22"/>
        </w:rPr>
        <w:t>i</w:t>
      </w:r>
      <w:r w:rsidRPr="001C49E8">
        <w:rPr>
          <w:b/>
          <w:sz w:val="22"/>
          <w:szCs w:val="22"/>
        </w:rPr>
        <w:t>)</w:t>
      </w:r>
      <w:r w:rsidRPr="001C49E8" w:rsidR="00B736D2">
        <w:rPr>
          <w:b/>
          <w:sz w:val="22"/>
          <w:szCs w:val="22"/>
        </w:rPr>
        <w:t xml:space="preserve"> </w:t>
      </w:r>
      <w:r w:rsidRPr="001C49E8">
        <w:rPr>
          <w:b/>
          <w:sz w:val="22"/>
          <w:szCs w:val="22"/>
        </w:rPr>
        <w:t>Disclosure of Other Discount Privileges</w:t>
      </w:r>
      <w:r w:rsidRPr="001C49E8">
        <w:rPr>
          <w:b/>
          <w:sz w:val="22"/>
          <w:szCs w:val="22"/>
        </w:rPr>
        <w:t>:</w:t>
      </w:r>
      <w:r w:rsidRPr="001C49E8" w:rsidR="00B736D2">
        <w:rPr>
          <w:b/>
          <w:sz w:val="22"/>
          <w:szCs w:val="22"/>
        </w:rPr>
        <w:t xml:space="preserve"> </w:t>
      </w:r>
      <w:r w:rsidRPr="001C49E8">
        <w:rPr>
          <w:sz w:val="22"/>
          <w:szCs w:val="22"/>
        </w:rPr>
        <w:tab/>
        <w:t xml:space="preserve">The Commission </w:t>
      </w:r>
      <w:r w:rsidRPr="001C49E8" w:rsidR="00804B88">
        <w:rPr>
          <w:sz w:val="22"/>
          <w:szCs w:val="22"/>
        </w:rPr>
        <w:t>estimates</w:t>
      </w:r>
      <w:r w:rsidRPr="001C49E8">
        <w:rPr>
          <w:sz w:val="22"/>
          <w:szCs w:val="22"/>
        </w:rPr>
        <w:t xml:space="preserve"> 1 hour annually </w:t>
      </w:r>
      <w:r w:rsidRPr="001C49E8" w:rsidR="00804B88">
        <w:rPr>
          <w:sz w:val="22"/>
          <w:szCs w:val="22"/>
        </w:rPr>
        <w:t>for</w:t>
      </w:r>
      <w:r w:rsidRPr="001C49E8">
        <w:rPr>
          <w:sz w:val="22"/>
          <w:szCs w:val="22"/>
        </w:rPr>
        <w:t xml:space="preserve"> disclosure requirements.</w:t>
      </w:r>
    </w:p>
    <w:p w:rsidR="00D87C69" w:rsidRPr="001C49E8" w:rsidP="00D87C69" w14:paraId="075D8471" w14:textId="77777777">
      <w:pPr>
        <w:tabs>
          <w:tab w:val="left" w:pos="720"/>
        </w:tabs>
        <w:rPr>
          <w:sz w:val="22"/>
          <w:szCs w:val="22"/>
        </w:rPr>
      </w:pPr>
    </w:p>
    <w:p w:rsidR="00D87C69" w:rsidRPr="001C49E8" w:rsidP="006D525C" w14:paraId="29AE9E8C" w14:textId="77777777">
      <w:pPr>
        <w:tabs>
          <w:tab w:val="left" w:pos="720"/>
        </w:tabs>
        <w:ind w:left="360" w:hanging="360"/>
        <w:rPr>
          <w:b/>
          <w:sz w:val="22"/>
          <w:szCs w:val="22"/>
        </w:rPr>
      </w:pPr>
      <w:r w:rsidRPr="001C49E8">
        <w:rPr>
          <w:b/>
          <w:sz w:val="22"/>
          <w:szCs w:val="22"/>
        </w:rPr>
        <w:tab/>
      </w:r>
      <w:r w:rsidRPr="001C49E8" w:rsidR="00ED54E2">
        <w:rPr>
          <w:sz w:val="22"/>
          <w:szCs w:val="22"/>
        </w:rPr>
        <w:t>2</w:t>
      </w:r>
      <w:r w:rsidRPr="001C49E8">
        <w:rPr>
          <w:sz w:val="22"/>
          <w:szCs w:val="22"/>
        </w:rPr>
        <w:t xml:space="preserve"> licensees x 1 hour</w:t>
      </w:r>
      <w:r w:rsidRPr="001C49E8" w:rsidR="00DB10A2">
        <w:rPr>
          <w:sz w:val="22"/>
          <w:szCs w:val="22"/>
        </w:rPr>
        <w:t>/disclosure</w:t>
      </w:r>
      <w:r w:rsidRPr="001C49E8">
        <w:rPr>
          <w:sz w:val="22"/>
          <w:szCs w:val="22"/>
        </w:rPr>
        <w:t xml:space="preserve"> = </w:t>
      </w:r>
      <w:r w:rsidRPr="001C49E8" w:rsidR="00ED54E2">
        <w:rPr>
          <w:b/>
          <w:sz w:val="22"/>
          <w:szCs w:val="22"/>
        </w:rPr>
        <w:t>2</w:t>
      </w:r>
      <w:r w:rsidRPr="001C49E8">
        <w:rPr>
          <w:b/>
          <w:sz w:val="22"/>
          <w:szCs w:val="22"/>
        </w:rPr>
        <w:t xml:space="preserve"> hours</w:t>
      </w:r>
    </w:p>
    <w:p w:rsidR="00B736D2" w:rsidRPr="001C49E8" w:rsidP="006D525C" w14:paraId="2B051CE1" w14:textId="77777777">
      <w:pPr>
        <w:tabs>
          <w:tab w:val="left" w:pos="720"/>
        </w:tabs>
        <w:ind w:left="360" w:hanging="360"/>
        <w:rPr>
          <w:b/>
          <w:sz w:val="22"/>
          <w:szCs w:val="22"/>
        </w:rPr>
      </w:pPr>
    </w:p>
    <w:p w:rsidR="00FD7AF0" w:rsidRPr="001C49E8" w:rsidP="006D525C" w14:paraId="7E31AA2B" w14:textId="77777777">
      <w:pPr>
        <w:numPr>
          <w:ilvl w:val="0"/>
          <w:numId w:val="48"/>
        </w:numPr>
        <w:tabs>
          <w:tab w:val="left" w:pos="720"/>
        </w:tabs>
        <w:rPr>
          <w:sz w:val="22"/>
          <w:szCs w:val="22"/>
        </w:rPr>
      </w:pPr>
      <w:r w:rsidRPr="001C49E8">
        <w:rPr>
          <w:b/>
          <w:sz w:val="22"/>
          <w:szCs w:val="22"/>
          <w:shd w:val="clear" w:color="auto" w:fill="FFFFFF"/>
        </w:rPr>
        <w:t>47 CFR § 25.701(d)</w:t>
      </w:r>
      <w:r w:rsidRPr="001C49E8" w:rsidR="0010774B">
        <w:rPr>
          <w:b/>
          <w:sz w:val="22"/>
          <w:szCs w:val="22"/>
          <w:shd w:val="clear" w:color="auto" w:fill="FFFFFF"/>
        </w:rPr>
        <w:t xml:space="preserve"> Political File and Public Availability Burden</w:t>
      </w:r>
      <w:r w:rsidRPr="001C49E8">
        <w:rPr>
          <w:b/>
          <w:sz w:val="22"/>
          <w:szCs w:val="22"/>
          <w:shd w:val="clear" w:color="auto" w:fill="FFFFFF"/>
        </w:rPr>
        <w:t xml:space="preserve">: </w:t>
      </w:r>
      <w:r w:rsidRPr="001C49E8" w:rsidR="00036779">
        <w:rPr>
          <w:sz w:val="22"/>
          <w:szCs w:val="22"/>
          <w:shd w:val="clear" w:color="auto" w:fill="FFFFFF"/>
        </w:rPr>
        <w:t xml:space="preserve">The Commission estimates </w:t>
      </w:r>
      <w:r w:rsidRPr="001C49E8">
        <w:rPr>
          <w:sz w:val="22"/>
          <w:szCs w:val="22"/>
          <w:shd w:val="clear" w:color="auto" w:fill="FFFFFF"/>
        </w:rPr>
        <w:t xml:space="preserve">10 hours </w:t>
      </w:r>
      <w:r w:rsidRPr="001C49E8">
        <w:rPr>
          <w:sz w:val="22"/>
          <w:szCs w:val="22"/>
        </w:rPr>
        <w:t>annually to establish and maintain political broadcasting files</w:t>
      </w:r>
      <w:r w:rsidRPr="001C49E8" w:rsidR="00804B88">
        <w:rPr>
          <w:sz w:val="22"/>
          <w:szCs w:val="22"/>
        </w:rPr>
        <w:t>.</w:t>
      </w:r>
      <w:r w:rsidRPr="001C49E8">
        <w:rPr>
          <w:sz w:val="22"/>
          <w:szCs w:val="22"/>
        </w:rPr>
        <w:t xml:space="preserve">  </w:t>
      </w:r>
    </w:p>
    <w:p w:rsidR="00FD7AF0" w:rsidRPr="001C49E8" w:rsidP="00F07CF6" w14:paraId="525A29EF" w14:textId="77777777">
      <w:pPr>
        <w:tabs>
          <w:tab w:val="left" w:pos="720"/>
        </w:tabs>
        <w:rPr>
          <w:sz w:val="22"/>
          <w:szCs w:val="22"/>
        </w:rPr>
      </w:pPr>
    </w:p>
    <w:p w:rsidR="00FD7AF0" w:rsidP="003325B3" w14:paraId="68078878" w14:textId="77777777">
      <w:pPr>
        <w:tabs>
          <w:tab w:val="left" w:pos="720"/>
        </w:tabs>
        <w:ind w:left="720" w:hanging="360"/>
        <w:rPr>
          <w:b/>
          <w:sz w:val="22"/>
          <w:szCs w:val="22"/>
        </w:rPr>
      </w:pPr>
      <w:r w:rsidRPr="001C49E8">
        <w:rPr>
          <w:sz w:val="22"/>
          <w:szCs w:val="22"/>
        </w:rPr>
        <w:t>2</w:t>
      </w:r>
      <w:r w:rsidRPr="001C49E8">
        <w:rPr>
          <w:sz w:val="22"/>
          <w:szCs w:val="22"/>
        </w:rPr>
        <w:t xml:space="preserve"> </w:t>
      </w:r>
      <w:r w:rsidRPr="001C49E8" w:rsidR="003C6437">
        <w:rPr>
          <w:sz w:val="22"/>
          <w:szCs w:val="22"/>
        </w:rPr>
        <w:t xml:space="preserve">DBS </w:t>
      </w:r>
      <w:r w:rsidRPr="001C49E8" w:rsidR="00382A6C">
        <w:rPr>
          <w:sz w:val="22"/>
          <w:szCs w:val="22"/>
        </w:rPr>
        <w:t>providers</w:t>
      </w:r>
      <w:r w:rsidRPr="001C49E8">
        <w:rPr>
          <w:sz w:val="22"/>
          <w:szCs w:val="22"/>
        </w:rPr>
        <w:t xml:space="preserve"> 10 hours</w:t>
      </w:r>
      <w:r w:rsidRPr="001C49E8" w:rsidR="00DB10A2">
        <w:rPr>
          <w:sz w:val="22"/>
          <w:szCs w:val="22"/>
        </w:rPr>
        <w:t xml:space="preserve"> of maintaining files</w:t>
      </w:r>
      <w:r w:rsidRPr="001C49E8">
        <w:rPr>
          <w:sz w:val="22"/>
          <w:szCs w:val="22"/>
        </w:rPr>
        <w:t xml:space="preserve"> =</w:t>
      </w:r>
      <w:r w:rsidRPr="001C49E8">
        <w:rPr>
          <w:b/>
          <w:sz w:val="22"/>
          <w:szCs w:val="22"/>
        </w:rPr>
        <w:t xml:space="preserve"> </w:t>
      </w:r>
      <w:r w:rsidRPr="001C49E8">
        <w:rPr>
          <w:b/>
          <w:sz w:val="22"/>
          <w:szCs w:val="22"/>
        </w:rPr>
        <w:t>20</w:t>
      </w:r>
      <w:r w:rsidRPr="001C49E8">
        <w:rPr>
          <w:b/>
          <w:sz w:val="22"/>
          <w:szCs w:val="22"/>
        </w:rPr>
        <w:t xml:space="preserve"> hours </w:t>
      </w:r>
    </w:p>
    <w:p w:rsidR="003E77F4" w:rsidP="003325B3" w14:paraId="040B4AD9" w14:textId="77777777">
      <w:pPr>
        <w:tabs>
          <w:tab w:val="left" w:pos="720"/>
        </w:tabs>
        <w:ind w:left="720" w:hanging="360"/>
        <w:rPr>
          <w:b/>
          <w:sz w:val="22"/>
          <w:szCs w:val="22"/>
        </w:rPr>
      </w:pPr>
    </w:p>
    <w:p w:rsidR="00DB7535" w:rsidRPr="003E77F4" w:rsidP="003E77F4" w14:paraId="6CD700E3" w14:textId="77777777">
      <w:pPr>
        <w:numPr>
          <w:ilvl w:val="0"/>
          <w:numId w:val="48"/>
        </w:numPr>
        <w:tabs>
          <w:tab w:val="left" w:pos="720"/>
        </w:tabs>
        <w:rPr>
          <w:sz w:val="22"/>
          <w:szCs w:val="22"/>
        </w:rPr>
      </w:pPr>
      <w:r w:rsidRPr="003E77F4">
        <w:rPr>
          <w:b/>
          <w:sz w:val="22"/>
          <w:szCs w:val="22"/>
        </w:rPr>
        <w:t>47 CFR § 25.701(e)(3)</w:t>
      </w:r>
      <w:r w:rsidRPr="003E77F4" w:rsidR="002F108A">
        <w:rPr>
          <w:b/>
          <w:sz w:val="22"/>
          <w:szCs w:val="22"/>
        </w:rPr>
        <w:t xml:space="preserve"> </w:t>
      </w:r>
      <w:r w:rsidRPr="003E77F4" w:rsidR="000623CF">
        <w:rPr>
          <w:b/>
          <w:sz w:val="22"/>
          <w:szCs w:val="22"/>
        </w:rPr>
        <w:t>Children’s Programming Recordkeeping</w:t>
      </w:r>
      <w:r w:rsidRPr="003E77F4">
        <w:rPr>
          <w:b/>
          <w:sz w:val="22"/>
          <w:szCs w:val="22"/>
        </w:rPr>
        <w:t xml:space="preserve">: </w:t>
      </w:r>
      <w:r w:rsidRPr="003E77F4" w:rsidR="003A1BB4">
        <w:rPr>
          <w:sz w:val="22"/>
          <w:szCs w:val="22"/>
        </w:rPr>
        <w:tab/>
      </w:r>
      <w:r w:rsidRPr="003E77F4">
        <w:rPr>
          <w:sz w:val="22"/>
          <w:szCs w:val="22"/>
        </w:rPr>
        <w:t xml:space="preserve">The Commission </w:t>
      </w:r>
      <w:r w:rsidRPr="003E77F4" w:rsidR="00804B88">
        <w:rPr>
          <w:sz w:val="22"/>
          <w:szCs w:val="22"/>
        </w:rPr>
        <w:t xml:space="preserve">estimates </w:t>
      </w:r>
      <w:r w:rsidRPr="003E77F4" w:rsidR="0072393B">
        <w:rPr>
          <w:sz w:val="22"/>
          <w:szCs w:val="22"/>
        </w:rPr>
        <w:t>1</w:t>
      </w:r>
      <w:r w:rsidRPr="003E77F4" w:rsidR="00804B88">
        <w:rPr>
          <w:sz w:val="22"/>
          <w:szCs w:val="22"/>
        </w:rPr>
        <w:t xml:space="preserve"> hour</w:t>
      </w:r>
      <w:r w:rsidRPr="003E77F4" w:rsidR="0072393B">
        <w:rPr>
          <w:sz w:val="22"/>
          <w:szCs w:val="22"/>
        </w:rPr>
        <w:t>1 i</w:t>
      </w:r>
      <w:r w:rsidRPr="003E77F4" w:rsidR="00804B88">
        <w:rPr>
          <w:sz w:val="22"/>
          <w:szCs w:val="22"/>
        </w:rPr>
        <w:t xml:space="preserve"> annually for the</w:t>
      </w:r>
      <w:r w:rsidRPr="003E77F4">
        <w:rPr>
          <w:sz w:val="22"/>
          <w:szCs w:val="22"/>
        </w:rPr>
        <w:t xml:space="preserve"> recordkeeping requirement  </w:t>
      </w:r>
    </w:p>
    <w:p w:rsidR="00DB7535" w:rsidRPr="001C49E8" w:rsidP="00F07CF6" w14:paraId="0F49FDA1" w14:textId="77777777">
      <w:pPr>
        <w:tabs>
          <w:tab w:val="left" w:pos="720"/>
        </w:tabs>
        <w:rPr>
          <w:sz w:val="22"/>
          <w:szCs w:val="22"/>
        </w:rPr>
      </w:pPr>
    </w:p>
    <w:p w:rsidR="00DB7535" w:rsidRPr="001C49E8" w:rsidP="00C23526" w14:paraId="2493B207" w14:textId="77777777">
      <w:pPr>
        <w:tabs>
          <w:tab w:val="left" w:pos="360"/>
          <w:tab w:val="left" w:pos="720"/>
        </w:tabs>
        <w:rPr>
          <w:b/>
          <w:sz w:val="22"/>
          <w:szCs w:val="22"/>
        </w:rPr>
      </w:pPr>
      <w:r w:rsidRPr="001C49E8">
        <w:rPr>
          <w:b/>
          <w:sz w:val="22"/>
          <w:szCs w:val="22"/>
        </w:rPr>
        <w:tab/>
      </w:r>
      <w:r w:rsidRPr="001C49E8" w:rsidR="00ED54E2">
        <w:rPr>
          <w:sz w:val="22"/>
          <w:szCs w:val="22"/>
        </w:rPr>
        <w:t>2</w:t>
      </w:r>
      <w:r w:rsidRPr="001C49E8">
        <w:rPr>
          <w:sz w:val="22"/>
          <w:szCs w:val="22"/>
        </w:rPr>
        <w:t xml:space="preserve"> licensees x </w:t>
      </w:r>
      <w:r w:rsidRPr="001C49E8" w:rsidR="002F108A">
        <w:rPr>
          <w:sz w:val="22"/>
          <w:szCs w:val="22"/>
        </w:rPr>
        <w:t>1</w:t>
      </w:r>
      <w:r w:rsidRPr="001C49E8">
        <w:rPr>
          <w:sz w:val="22"/>
          <w:szCs w:val="22"/>
        </w:rPr>
        <w:t xml:space="preserve"> </w:t>
      </w:r>
      <w:r w:rsidRPr="001C49E8" w:rsidR="005856D3">
        <w:rPr>
          <w:sz w:val="22"/>
          <w:szCs w:val="22"/>
        </w:rPr>
        <w:t>hour</w:t>
      </w:r>
      <w:r w:rsidRPr="001C49E8" w:rsidR="00DB10A2">
        <w:rPr>
          <w:sz w:val="22"/>
          <w:szCs w:val="22"/>
        </w:rPr>
        <w:t xml:space="preserve"> of recordkeeping</w:t>
      </w:r>
      <w:r w:rsidRPr="001C49E8" w:rsidR="005856D3">
        <w:rPr>
          <w:sz w:val="22"/>
          <w:szCs w:val="22"/>
        </w:rPr>
        <w:t xml:space="preserve"> </w:t>
      </w:r>
      <w:r w:rsidRPr="001C49E8" w:rsidR="006D525C">
        <w:rPr>
          <w:sz w:val="22"/>
          <w:szCs w:val="22"/>
        </w:rPr>
        <w:t xml:space="preserve">= </w:t>
      </w:r>
      <w:r w:rsidRPr="003E77F4" w:rsidR="002F108A">
        <w:rPr>
          <w:b/>
          <w:sz w:val="22"/>
          <w:szCs w:val="22"/>
        </w:rPr>
        <w:t>2</w:t>
      </w:r>
      <w:r w:rsidRPr="001C49E8">
        <w:rPr>
          <w:b/>
          <w:sz w:val="22"/>
          <w:szCs w:val="22"/>
        </w:rPr>
        <w:t xml:space="preserve"> hours</w:t>
      </w:r>
    </w:p>
    <w:p w:rsidR="00DF67DD" w:rsidP="00E1068A" w14:paraId="51217448" w14:textId="77777777">
      <w:pPr>
        <w:tabs>
          <w:tab w:val="left" w:pos="720"/>
        </w:tabs>
        <w:ind w:left="360"/>
        <w:rPr>
          <w:sz w:val="22"/>
          <w:szCs w:val="22"/>
        </w:rPr>
      </w:pPr>
    </w:p>
    <w:p w:rsidR="003E77F4" w:rsidRPr="001C49E8" w:rsidP="00E1068A" w14:paraId="0B76E1C6" w14:textId="77777777">
      <w:pPr>
        <w:tabs>
          <w:tab w:val="left" w:pos="720"/>
        </w:tabs>
        <w:ind w:left="360"/>
        <w:rPr>
          <w:sz w:val="22"/>
          <w:szCs w:val="22"/>
        </w:rPr>
      </w:pPr>
    </w:p>
    <w:p w:rsidR="00DB7535" w:rsidRPr="001C49E8" w:rsidP="006D525C" w14:paraId="6AC026D1" w14:textId="77777777">
      <w:pPr>
        <w:numPr>
          <w:ilvl w:val="0"/>
          <w:numId w:val="48"/>
        </w:numPr>
        <w:tabs>
          <w:tab w:val="left" w:pos="720"/>
        </w:tabs>
        <w:rPr>
          <w:sz w:val="22"/>
          <w:szCs w:val="22"/>
        </w:rPr>
      </w:pPr>
      <w:r w:rsidRPr="001C49E8">
        <w:rPr>
          <w:b/>
          <w:sz w:val="22"/>
          <w:szCs w:val="22"/>
        </w:rPr>
        <w:t>47 CFR § 25.701(f)(6).</w:t>
      </w:r>
      <w:r w:rsidRPr="001C49E8">
        <w:rPr>
          <w:b/>
          <w:sz w:val="22"/>
          <w:szCs w:val="22"/>
        </w:rPr>
        <w:t xml:space="preserve"> Channel Capacity and Noncommercial Entity Recordkeeping </w:t>
      </w:r>
      <w:r w:rsidRPr="001C49E8">
        <w:rPr>
          <w:b/>
          <w:sz w:val="22"/>
          <w:szCs w:val="22"/>
        </w:rPr>
        <w:t>Requirement:</w:t>
      </w:r>
      <w:r w:rsidRPr="001C49E8">
        <w:rPr>
          <w:sz w:val="22"/>
          <w:szCs w:val="22"/>
        </w:rPr>
        <w:t xml:space="preserve"> The</w:t>
      </w:r>
      <w:r w:rsidRPr="001C49E8">
        <w:rPr>
          <w:sz w:val="22"/>
          <w:szCs w:val="22"/>
        </w:rPr>
        <w:t xml:space="preserve"> Commission estimates that this burden will take each DBS provider about 3 hours to comply with on an annual basis.  </w:t>
      </w:r>
    </w:p>
    <w:p w:rsidR="00E52458" w:rsidRPr="001C49E8" w:rsidP="00F07CF6" w14:paraId="689E217A" w14:textId="77777777">
      <w:pPr>
        <w:tabs>
          <w:tab w:val="left" w:pos="720"/>
        </w:tabs>
        <w:rPr>
          <w:sz w:val="22"/>
          <w:szCs w:val="22"/>
        </w:rPr>
      </w:pPr>
    </w:p>
    <w:p w:rsidR="00DB7535" w:rsidP="005C4759" w14:paraId="15772156" w14:textId="77777777">
      <w:pPr>
        <w:tabs>
          <w:tab w:val="left" w:pos="720"/>
        </w:tabs>
        <w:ind w:left="360" w:hanging="360"/>
        <w:rPr>
          <w:b/>
          <w:sz w:val="22"/>
          <w:szCs w:val="22"/>
        </w:rPr>
      </w:pPr>
      <w:r w:rsidRPr="001C49E8">
        <w:rPr>
          <w:b/>
          <w:sz w:val="22"/>
          <w:szCs w:val="22"/>
        </w:rPr>
        <w:tab/>
      </w:r>
      <w:r w:rsidRPr="001C49E8" w:rsidR="00ED54E2">
        <w:rPr>
          <w:sz w:val="22"/>
          <w:szCs w:val="22"/>
        </w:rPr>
        <w:t>2</w:t>
      </w:r>
      <w:r w:rsidRPr="001C49E8">
        <w:rPr>
          <w:sz w:val="22"/>
          <w:szCs w:val="22"/>
        </w:rPr>
        <w:t xml:space="preserve"> licensees x 3 hours</w:t>
      </w:r>
      <w:r w:rsidRPr="001C49E8" w:rsidR="00363BC2">
        <w:rPr>
          <w:sz w:val="22"/>
          <w:szCs w:val="22"/>
        </w:rPr>
        <w:t>/task</w:t>
      </w:r>
      <w:r w:rsidRPr="001C49E8">
        <w:rPr>
          <w:sz w:val="22"/>
          <w:szCs w:val="22"/>
        </w:rPr>
        <w:t xml:space="preserve"> =</w:t>
      </w:r>
      <w:r w:rsidRPr="001C49E8">
        <w:rPr>
          <w:b/>
          <w:sz w:val="22"/>
          <w:szCs w:val="22"/>
        </w:rPr>
        <w:t xml:space="preserve"> </w:t>
      </w:r>
      <w:r w:rsidRPr="001C49E8" w:rsidR="00ED54E2">
        <w:rPr>
          <w:b/>
          <w:sz w:val="22"/>
          <w:szCs w:val="22"/>
        </w:rPr>
        <w:t>6</w:t>
      </w:r>
      <w:r w:rsidRPr="001C49E8">
        <w:rPr>
          <w:b/>
          <w:sz w:val="22"/>
          <w:szCs w:val="22"/>
        </w:rPr>
        <w:t xml:space="preserve"> hours</w:t>
      </w:r>
    </w:p>
    <w:p w:rsidR="00C73A15" w:rsidP="005C4759" w14:paraId="164695D2" w14:textId="77777777">
      <w:pPr>
        <w:tabs>
          <w:tab w:val="left" w:pos="720"/>
        </w:tabs>
        <w:ind w:left="360" w:hanging="360"/>
        <w:rPr>
          <w:b/>
          <w:sz w:val="22"/>
          <w:szCs w:val="22"/>
        </w:rPr>
      </w:pPr>
    </w:p>
    <w:p w:rsidR="00C73A15" w:rsidP="005C4759" w14:paraId="2CEE47E5" w14:textId="77777777">
      <w:pPr>
        <w:tabs>
          <w:tab w:val="left" w:pos="720"/>
        </w:tabs>
        <w:ind w:left="360" w:hanging="360"/>
        <w:rPr>
          <w:b/>
          <w:sz w:val="22"/>
          <w:szCs w:val="22"/>
        </w:rPr>
      </w:pPr>
    </w:p>
    <w:p w:rsidR="00C73A15" w:rsidRPr="001C49E8" w:rsidP="00C73A15" w14:paraId="4C48F548" w14:textId="77777777">
      <w:pPr>
        <w:numPr>
          <w:ilvl w:val="0"/>
          <w:numId w:val="48"/>
        </w:numPr>
        <w:tabs>
          <w:tab w:val="left" w:pos="720"/>
        </w:tabs>
        <w:rPr>
          <w:sz w:val="22"/>
          <w:szCs w:val="22"/>
        </w:rPr>
      </w:pPr>
      <w:r w:rsidRPr="001C49E8">
        <w:rPr>
          <w:b/>
          <w:sz w:val="22"/>
          <w:szCs w:val="22"/>
        </w:rPr>
        <w:t>47 CFR § 25.701(</w:t>
      </w:r>
      <w:r>
        <w:rPr>
          <w:b/>
          <w:sz w:val="22"/>
          <w:szCs w:val="22"/>
        </w:rPr>
        <w:t>f</w:t>
      </w:r>
      <w:r w:rsidRPr="001C49E8">
        <w:rPr>
          <w:b/>
          <w:sz w:val="22"/>
          <w:szCs w:val="22"/>
        </w:rPr>
        <w:t>)(6)</w:t>
      </w:r>
      <w:r>
        <w:rPr>
          <w:b/>
          <w:sz w:val="22"/>
          <w:szCs w:val="22"/>
        </w:rPr>
        <w:t>(i)</w:t>
      </w:r>
      <w:r w:rsidRPr="001C49E8">
        <w:rPr>
          <w:b/>
          <w:sz w:val="22"/>
          <w:szCs w:val="22"/>
        </w:rPr>
        <w:t xml:space="preserve">(D) Post Contact Information:  </w:t>
      </w:r>
      <w:r w:rsidRPr="001C49E8">
        <w:rPr>
          <w:sz w:val="22"/>
          <w:szCs w:val="22"/>
        </w:rPr>
        <w:t>The Commission estimates 0.5 hours annually for the</w:t>
      </w:r>
      <w:r w:rsidR="00DC7FE2">
        <w:rPr>
          <w:sz w:val="22"/>
          <w:szCs w:val="22"/>
        </w:rPr>
        <w:t xml:space="preserve"> </w:t>
      </w:r>
      <w:r w:rsidRPr="001C49E8">
        <w:rPr>
          <w:sz w:val="22"/>
          <w:szCs w:val="22"/>
        </w:rPr>
        <w:t>requirement</w:t>
      </w:r>
      <w:r w:rsidR="00DC7FE2">
        <w:rPr>
          <w:sz w:val="22"/>
          <w:szCs w:val="22"/>
        </w:rPr>
        <w:t>s covered under this rule section.</w:t>
      </w:r>
      <w:r w:rsidRPr="001C49E8">
        <w:rPr>
          <w:sz w:val="22"/>
          <w:szCs w:val="22"/>
        </w:rPr>
        <w:t xml:space="preserve">  </w:t>
      </w:r>
    </w:p>
    <w:p w:rsidR="00C73A15" w:rsidRPr="001C49E8" w:rsidP="00C73A15" w14:paraId="25F6A3E0" w14:textId="77777777">
      <w:pPr>
        <w:tabs>
          <w:tab w:val="left" w:pos="720"/>
        </w:tabs>
        <w:rPr>
          <w:sz w:val="22"/>
          <w:szCs w:val="22"/>
        </w:rPr>
      </w:pPr>
    </w:p>
    <w:p w:rsidR="00C73A15" w:rsidP="00C73A15" w14:paraId="01F97E41" w14:textId="77777777">
      <w:pPr>
        <w:tabs>
          <w:tab w:val="left" w:pos="360"/>
          <w:tab w:val="left" w:pos="720"/>
        </w:tabs>
        <w:rPr>
          <w:b/>
          <w:sz w:val="22"/>
          <w:szCs w:val="22"/>
        </w:rPr>
      </w:pPr>
      <w:r w:rsidRPr="001C49E8">
        <w:rPr>
          <w:b/>
          <w:sz w:val="22"/>
          <w:szCs w:val="22"/>
        </w:rPr>
        <w:tab/>
      </w:r>
      <w:r w:rsidRPr="001C49E8">
        <w:rPr>
          <w:sz w:val="22"/>
          <w:szCs w:val="22"/>
        </w:rPr>
        <w:t xml:space="preserve">2 licensees x 0.5 hours </w:t>
      </w:r>
      <w:r w:rsidR="00DC7FE2">
        <w:rPr>
          <w:sz w:val="22"/>
          <w:szCs w:val="22"/>
        </w:rPr>
        <w:t>per response</w:t>
      </w:r>
      <w:r w:rsidRPr="001C49E8">
        <w:rPr>
          <w:sz w:val="22"/>
          <w:szCs w:val="22"/>
        </w:rPr>
        <w:t xml:space="preserve"> = </w:t>
      </w:r>
      <w:r w:rsidRPr="001C49E8">
        <w:rPr>
          <w:b/>
          <w:sz w:val="22"/>
          <w:szCs w:val="22"/>
        </w:rPr>
        <w:t>1 hour</w:t>
      </w:r>
    </w:p>
    <w:p w:rsidR="00C73A15" w:rsidRPr="001C49E8" w:rsidP="005C4759" w14:paraId="5B6D27BA" w14:textId="77777777">
      <w:pPr>
        <w:tabs>
          <w:tab w:val="left" w:pos="720"/>
        </w:tabs>
        <w:ind w:left="360" w:hanging="360"/>
        <w:rPr>
          <w:b/>
          <w:sz w:val="22"/>
          <w:szCs w:val="22"/>
        </w:rPr>
      </w:pPr>
    </w:p>
    <w:p w:rsidR="00CF3C18" w:rsidRPr="001C49E8" w:rsidP="00D473C0" w14:paraId="0599F98C" w14:textId="77777777">
      <w:pPr>
        <w:tabs>
          <w:tab w:val="left" w:pos="720"/>
        </w:tabs>
        <w:ind w:left="720"/>
        <w:rPr>
          <w:b/>
          <w:sz w:val="22"/>
          <w:szCs w:val="22"/>
        </w:rPr>
      </w:pPr>
    </w:p>
    <w:p w:rsidR="00424DBC" w:rsidRPr="001C49E8" w:rsidP="00DD5C9E" w14:paraId="7F071459" w14:textId="77777777">
      <w:pPr>
        <w:shd w:val="clear" w:color="auto" w:fill="FFFFFF"/>
        <w:tabs>
          <w:tab w:val="left" w:pos="360"/>
        </w:tabs>
        <w:ind w:left="360"/>
        <w:rPr>
          <w:b/>
          <w:sz w:val="22"/>
          <w:szCs w:val="22"/>
          <w:shd w:val="clear" w:color="auto" w:fill="FFFFFF"/>
        </w:rPr>
      </w:pPr>
      <w:r w:rsidRPr="001C49E8">
        <w:rPr>
          <w:b/>
          <w:sz w:val="22"/>
          <w:szCs w:val="22"/>
          <w:shd w:val="clear" w:color="auto" w:fill="FFFFFF"/>
        </w:rPr>
        <w:t xml:space="preserve">Total Annual </w:t>
      </w:r>
      <w:r w:rsidRPr="001C49E8" w:rsidR="00363BC2">
        <w:rPr>
          <w:b/>
          <w:sz w:val="22"/>
          <w:szCs w:val="22"/>
          <w:shd w:val="clear" w:color="auto" w:fill="FFFFFF"/>
        </w:rPr>
        <w:t xml:space="preserve">Burden </w:t>
      </w:r>
      <w:r w:rsidRPr="001C49E8">
        <w:rPr>
          <w:b/>
          <w:sz w:val="22"/>
          <w:szCs w:val="22"/>
          <w:shd w:val="clear" w:color="auto" w:fill="FFFFFF"/>
        </w:rPr>
        <w:t>Hour</w:t>
      </w:r>
      <w:r w:rsidRPr="001C49E8" w:rsidR="00363BC2">
        <w:rPr>
          <w:b/>
          <w:sz w:val="22"/>
          <w:szCs w:val="22"/>
          <w:shd w:val="clear" w:color="auto" w:fill="FFFFFF"/>
        </w:rPr>
        <w:t>s</w:t>
      </w:r>
      <w:r w:rsidRPr="001C49E8">
        <w:rPr>
          <w:b/>
          <w:sz w:val="22"/>
          <w:szCs w:val="22"/>
          <w:shd w:val="clear" w:color="auto" w:fill="FFFFFF"/>
        </w:rPr>
        <w:t xml:space="preserve">: </w:t>
      </w:r>
      <w:r w:rsidRPr="001C49E8" w:rsidR="00ED54E2">
        <w:rPr>
          <w:sz w:val="22"/>
          <w:szCs w:val="22"/>
          <w:shd w:val="clear" w:color="auto" w:fill="FFFFFF"/>
        </w:rPr>
        <w:t>12</w:t>
      </w:r>
      <w:r w:rsidRPr="001C49E8" w:rsidR="00FB6076">
        <w:rPr>
          <w:sz w:val="22"/>
          <w:szCs w:val="22"/>
          <w:shd w:val="clear" w:color="auto" w:fill="FFFFFF"/>
        </w:rPr>
        <w:t xml:space="preserve"> + </w:t>
      </w:r>
      <w:r w:rsidRPr="001C49E8" w:rsidR="00ED54E2">
        <w:rPr>
          <w:sz w:val="22"/>
          <w:szCs w:val="22"/>
          <w:shd w:val="clear" w:color="auto" w:fill="FFFFFF"/>
        </w:rPr>
        <w:t>4</w:t>
      </w:r>
      <w:r w:rsidRPr="001C49E8" w:rsidR="00FB6076">
        <w:rPr>
          <w:sz w:val="22"/>
          <w:szCs w:val="22"/>
          <w:shd w:val="clear" w:color="auto" w:fill="FFFFFF"/>
        </w:rPr>
        <w:t xml:space="preserve"> + </w:t>
      </w:r>
      <w:r w:rsidRPr="001C49E8" w:rsidR="00ED54E2">
        <w:rPr>
          <w:sz w:val="22"/>
          <w:szCs w:val="22"/>
          <w:shd w:val="clear" w:color="auto" w:fill="FFFFFF"/>
        </w:rPr>
        <w:t>2</w:t>
      </w:r>
      <w:r w:rsidRPr="001C49E8" w:rsidR="00FB6076">
        <w:rPr>
          <w:sz w:val="22"/>
          <w:szCs w:val="22"/>
          <w:shd w:val="clear" w:color="auto" w:fill="FFFFFF"/>
        </w:rPr>
        <w:t xml:space="preserve"> + </w:t>
      </w:r>
      <w:r w:rsidRPr="001C49E8" w:rsidR="00ED54E2">
        <w:rPr>
          <w:sz w:val="22"/>
          <w:szCs w:val="22"/>
          <w:shd w:val="clear" w:color="auto" w:fill="FFFFFF"/>
        </w:rPr>
        <w:t>2</w:t>
      </w:r>
      <w:r w:rsidRPr="001C49E8" w:rsidR="00257C90">
        <w:rPr>
          <w:sz w:val="22"/>
          <w:szCs w:val="22"/>
          <w:shd w:val="clear" w:color="auto" w:fill="FFFFFF"/>
        </w:rPr>
        <w:t xml:space="preserve"> </w:t>
      </w:r>
      <w:r w:rsidRPr="001C49E8" w:rsidR="00FB6076">
        <w:rPr>
          <w:sz w:val="22"/>
          <w:szCs w:val="22"/>
          <w:shd w:val="clear" w:color="auto" w:fill="FFFFFF"/>
        </w:rPr>
        <w:t xml:space="preserve">+ </w:t>
      </w:r>
      <w:r w:rsidRPr="001C49E8" w:rsidR="00ED54E2">
        <w:rPr>
          <w:sz w:val="22"/>
          <w:szCs w:val="22"/>
          <w:shd w:val="clear" w:color="auto" w:fill="FFFFFF"/>
        </w:rPr>
        <w:t>20</w:t>
      </w:r>
      <w:r w:rsidRPr="001C49E8" w:rsidR="00257C90">
        <w:rPr>
          <w:sz w:val="22"/>
          <w:szCs w:val="22"/>
          <w:shd w:val="clear" w:color="auto" w:fill="FFFFFF"/>
        </w:rPr>
        <w:t xml:space="preserve"> +</w:t>
      </w:r>
      <w:r w:rsidRPr="001C49E8" w:rsidR="00E67C89">
        <w:rPr>
          <w:sz w:val="22"/>
          <w:szCs w:val="22"/>
          <w:shd w:val="clear" w:color="auto" w:fill="FFFFFF"/>
        </w:rPr>
        <w:t xml:space="preserve"> </w:t>
      </w:r>
      <w:r w:rsidR="003E77F4">
        <w:rPr>
          <w:sz w:val="22"/>
          <w:szCs w:val="22"/>
          <w:shd w:val="clear" w:color="auto" w:fill="FFFFFF"/>
        </w:rPr>
        <w:t>2</w:t>
      </w:r>
      <w:r w:rsidRPr="001C49E8" w:rsidR="0072393B">
        <w:rPr>
          <w:sz w:val="22"/>
          <w:szCs w:val="22"/>
          <w:shd w:val="clear" w:color="auto" w:fill="FFFFFF"/>
        </w:rPr>
        <w:t xml:space="preserve"> </w:t>
      </w:r>
      <w:r w:rsidRPr="001C49E8" w:rsidR="00DF67DD">
        <w:rPr>
          <w:sz w:val="22"/>
          <w:szCs w:val="22"/>
          <w:shd w:val="clear" w:color="auto" w:fill="FFFFFF"/>
        </w:rPr>
        <w:t xml:space="preserve">+ </w:t>
      </w:r>
      <w:r w:rsidRPr="001C49E8" w:rsidR="00ED54E2">
        <w:rPr>
          <w:sz w:val="22"/>
          <w:szCs w:val="22"/>
          <w:shd w:val="clear" w:color="auto" w:fill="FFFFFF"/>
        </w:rPr>
        <w:t>6</w:t>
      </w:r>
      <w:r w:rsidR="00DC7FE2">
        <w:rPr>
          <w:sz w:val="22"/>
          <w:szCs w:val="22"/>
          <w:shd w:val="clear" w:color="auto" w:fill="FFFFFF"/>
        </w:rPr>
        <w:t xml:space="preserve"> + 1</w:t>
      </w:r>
      <w:r w:rsidRPr="001C49E8" w:rsidR="00FB6076">
        <w:rPr>
          <w:sz w:val="22"/>
          <w:szCs w:val="22"/>
          <w:shd w:val="clear" w:color="auto" w:fill="FFFFFF"/>
        </w:rPr>
        <w:t xml:space="preserve"> = </w:t>
      </w:r>
      <w:r w:rsidRPr="001C49E8" w:rsidR="002F108A">
        <w:rPr>
          <w:b/>
          <w:sz w:val="22"/>
          <w:szCs w:val="22"/>
          <w:shd w:val="clear" w:color="auto" w:fill="FFFFFF"/>
        </w:rPr>
        <w:t>49</w:t>
      </w:r>
      <w:r w:rsidRPr="001C49E8" w:rsidR="009C2373">
        <w:rPr>
          <w:b/>
          <w:sz w:val="22"/>
          <w:szCs w:val="22"/>
          <w:shd w:val="clear" w:color="auto" w:fill="FFFFFF"/>
        </w:rPr>
        <w:t xml:space="preserve"> hours</w:t>
      </w:r>
    </w:p>
    <w:p w:rsidR="00DD5C9E" w:rsidRPr="001C49E8" w:rsidP="00DD5C9E" w14:paraId="4DA485C7" w14:textId="77777777">
      <w:pPr>
        <w:shd w:val="clear" w:color="auto" w:fill="FFFFFF"/>
        <w:tabs>
          <w:tab w:val="left" w:pos="360"/>
        </w:tabs>
        <w:ind w:left="360"/>
        <w:rPr>
          <w:b/>
          <w:sz w:val="22"/>
          <w:szCs w:val="22"/>
        </w:rPr>
      </w:pPr>
    </w:p>
    <w:p w:rsidR="00804B88" w:rsidRPr="001C49E8" w:rsidP="00C65212" w14:paraId="3BAD0F6A" w14:textId="77777777">
      <w:pPr>
        <w:tabs>
          <w:tab w:val="left" w:pos="720"/>
        </w:tabs>
        <w:ind w:left="360" w:hanging="360"/>
        <w:rPr>
          <w:sz w:val="22"/>
          <w:szCs w:val="22"/>
        </w:rPr>
      </w:pPr>
      <w:r w:rsidRPr="001C49E8">
        <w:rPr>
          <w:sz w:val="22"/>
          <w:szCs w:val="22"/>
        </w:rPr>
        <w:tab/>
      </w:r>
    </w:p>
    <w:p w:rsidR="0043138D" w:rsidRPr="001C49E8" w:rsidP="00804B88" w14:paraId="79353377" w14:textId="0A5D3515">
      <w:pPr>
        <w:tabs>
          <w:tab w:val="left" w:pos="720"/>
        </w:tabs>
        <w:rPr>
          <w:sz w:val="22"/>
          <w:szCs w:val="22"/>
        </w:rPr>
      </w:pPr>
      <w:r w:rsidRPr="001C49E8">
        <w:rPr>
          <w:b/>
          <w:sz w:val="22"/>
          <w:szCs w:val="22"/>
        </w:rPr>
        <w:t>Annual “In-house” Cost:</w:t>
      </w:r>
      <w:r w:rsidRPr="001C49E8" w:rsidR="00DB10A2">
        <w:rPr>
          <w:b/>
          <w:sz w:val="22"/>
          <w:szCs w:val="22"/>
        </w:rPr>
        <w:t xml:space="preserve">  </w:t>
      </w:r>
      <w:r w:rsidRPr="001C49E8">
        <w:rPr>
          <w:sz w:val="22"/>
          <w:szCs w:val="22"/>
        </w:rPr>
        <w:t>The Commission believes that all of the burdens will be carried out by management or sales staff of the DBS service provider at approximately $</w:t>
      </w:r>
      <w:r w:rsidR="00B276A7">
        <w:rPr>
          <w:sz w:val="22"/>
          <w:szCs w:val="22"/>
        </w:rPr>
        <w:t>48.08</w:t>
      </w:r>
      <w:r w:rsidRPr="001C49E8">
        <w:rPr>
          <w:sz w:val="22"/>
          <w:szCs w:val="22"/>
        </w:rPr>
        <w:t xml:space="preserve"> per hour</w:t>
      </w:r>
      <w:r w:rsidRPr="001C49E8" w:rsidR="00396B20">
        <w:rPr>
          <w:sz w:val="22"/>
          <w:szCs w:val="22"/>
        </w:rPr>
        <w:t xml:space="preserve">:  </w:t>
      </w:r>
    </w:p>
    <w:p w:rsidR="005222BA" w:rsidRPr="001C49E8" w:rsidP="00C65212" w14:paraId="090453E5" w14:textId="77777777">
      <w:pPr>
        <w:tabs>
          <w:tab w:val="left" w:pos="360"/>
        </w:tabs>
        <w:ind w:left="360"/>
        <w:rPr>
          <w:b/>
          <w:sz w:val="22"/>
          <w:szCs w:val="22"/>
        </w:rPr>
      </w:pPr>
    </w:p>
    <w:p w:rsidR="0043138D" w:rsidRPr="001C49E8" w:rsidP="006C4B34" w14:paraId="06132ED1" w14:textId="77777777">
      <w:pPr>
        <w:tabs>
          <w:tab w:val="left" w:pos="360"/>
        </w:tabs>
        <w:ind w:left="360"/>
        <w:rPr>
          <w:b/>
          <w:sz w:val="22"/>
          <w:szCs w:val="22"/>
        </w:rPr>
      </w:pPr>
      <w:r w:rsidRPr="001C49E8">
        <w:rPr>
          <w:sz w:val="22"/>
          <w:szCs w:val="22"/>
        </w:rPr>
        <w:t>49</w:t>
      </w:r>
      <w:r w:rsidRPr="001C49E8" w:rsidR="00E52458">
        <w:rPr>
          <w:sz w:val="22"/>
          <w:szCs w:val="22"/>
        </w:rPr>
        <w:t xml:space="preserve"> hours</w:t>
      </w:r>
      <w:r w:rsidRPr="001C49E8" w:rsidR="005222BA">
        <w:rPr>
          <w:sz w:val="22"/>
          <w:szCs w:val="22"/>
        </w:rPr>
        <w:t xml:space="preserve"> x $</w:t>
      </w:r>
      <w:r w:rsidRPr="001C49E8" w:rsidR="00A928B3">
        <w:rPr>
          <w:sz w:val="22"/>
          <w:szCs w:val="22"/>
        </w:rPr>
        <w:t>48.08</w:t>
      </w:r>
      <w:r w:rsidRPr="001C49E8" w:rsidR="005222BA">
        <w:rPr>
          <w:sz w:val="22"/>
          <w:szCs w:val="22"/>
        </w:rPr>
        <w:t>/hour for staff time</w:t>
      </w:r>
      <w:r w:rsidRPr="001C49E8" w:rsidR="00E52458">
        <w:rPr>
          <w:sz w:val="22"/>
          <w:szCs w:val="22"/>
        </w:rPr>
        <w:t xml:space="preserve"> =</w:t>
      </w:r>
      <w:r w:rsidRPr="001C49E8" w:rsidR="00E52458">
        <w:rPr>
          <w:b/>
          <w:sz w:val="22"/>
          <w:szCs w:val="22"/>
        </w:rPr>
        <w:t xml:space="preserve"> </w:t>
      </w:r>
      <w:r w:rsidRPr="001C49E8" w:rsidR="006D525C">
        <w:rPr>
          <w:b/>
          <w:sz w:val="22"/>
          <w:szCs w:val="22"/>
        </w:rPr>
        <w:t>$</w:t>
      </w:r>
      <w:r w:rsidRPr="001C49E8" w:rsidR="00A928B3">
        <w:rPr>
          <w:b/>
          <w:sz w:val="22"/>
          <w:szCs w:val="22"/>
        </w:rPr>
        <w:t>2,</w:t>
      </w:r>
      <w:r w:rsidRPr="001C49E8">
        <w:rPr>
          <w:b/>
          <w:sz w:val="22"/>
          <w:szCs w:val="22"/>
        </w:rPr>
        <w:t>355.92</w:t>
      </w:r>
      <w:r w:rsidRPr="001C49E8" w:rsidR="00A928B3">
        <w:rPr>
          <w:b/>
          <w:sz w:val="22"/>
          <w:szCs w:val="22"/>
        </w:rPr>
        <w:t xml:space="preserve"> </w:t>
      </w:r>
      <w:r w:rsidRPr="001C49E8" w:rsidR="00C50CA6">
        <w:rPr>
          <w:b/>
          <w:sz w:val="22"/>
          <w:szCs w:val="22"/>
        </w:rPr>
        <w:t xml:space="preserve">Total </w:t>
      </w:r>
      <w:r w:rsidRPr="001C49E8">
        <w:rPr>
          <w:b/>
          <w:sz w:val="22"/>
          <w:szCs w:val="22"/>
        </w:rPr>
        <w:t xml:space="preserve">Annual </w:t>
      </w:r>
      <w:r w:rsidRPr="001C49E8" w:rsidR="00C50CA6">
        <w:rPr>
          <w:b/>
          <w:sz w:val="22"/>
          <w:szCs w:val="22"/>
        </w:rPr>
        <w:t xml:space="preserve">“In House” </w:t>
      </w:r>
      <w:r w:rsidRPr="001C49E8">
        <w:rPr>
          <w:b/>
          <w:sz w:val="22"/>
          <w:szCs w:val="22"/>
        </w:rPr>
        <w:t>Cost</w:t>
      </w:r>
      <w:r w:rsidRPr="001C49E8" w:rsidR="00C50CA6">
        <w:rPr>
          <w:b/>
          <w:sz w:val="22"/>
          <w:szCs w:val="22"/>
        </w:rPr>
        <w:t>s</w:t>
      </w:r>
    </w:p>
    <w:p w:rsidR="00B97B6E" w:rsidRPr="001C49E8" w:rsidP="00B97B6E" w14:paraId="28F7CB5D" w14:textId="77777777">
      <w:pPr>
        <w:suppressAutoHyphens/>
        <w:ind w:firstLine="720"/>
        <w:jc w:val="both"/>
        <w:rPr>
          <w:spacing w:val="-3"/>
          <w:sz w:val="22"/>
          <w:szCs w:val="22"/>
        </w:rPr>
      </w:pPr>
      <w:r w:rsidRPr="001C49E8">
        <w:rPr>
          <w:spacing w:val="-3"/>
          <w:sz w:val="22"/>
          <w:szCs w:val="22"/>
        </w:rPr>
        <w:t xml:space="preserve"> </w:t>
      </w:r>
    </w:p>
    <w:p w:rsidR="00B97B6E" w:rsidRPr="001C49E8" w:rsidP="003F4669" w14:paraId="4541748B" w14:textId="77777777">
      <w:pPr>
        <w:pStyle w:val="ParaNum"/>
        <w:numPr>
          <w:ilvl w:val="0"/>
          <w:numId w:val="4"/>
        </w:numPr>
        <w:tabs>
          <w:tab w:val="num" w:pos="360"/>
          <w:tab w:val="clear" w:pos="720"/>
        </w:tabs>
        <w:spacing w:after="0"/>
        <w:ind w:left="720" w:hanging="720"/>
        <w:rPr>
          <w:b/>
          <w:szCs w:val="22"/>
        </w:rPr>
      </w:pPr>
      <w:r w:rsidRPr="001C49E8">
        <w:rPr>
          <w:b/>
          <w:szCs w:val="22"/>
        </w:rPr>
        <w:t xml:space="preserve">Annual Cost Burden: </w:t>
      </w:r>
    </w:p>
    <w:p w:rsidR="00B97B6E" w:rsidRPr="001C49E8" w:rsidP="00B97B6E" w14:paraId="7B20D674" w14:textId="77777777">
      <w:pPr>
        <w:suppressAutoHyphens/>
        <w:jc w:val="both"/>
        <w:rPr>
          <w:spacing w:val="-3"/>
          <w:sz w:val="22"/>
          <w:szCs w:val="22"/>
        </w:rPr>
      </w:pPr>
    </w:p>
    <w:p w:rsidR="00B97B6E" w:rsidRPr="001C49E8" w:rsidP="003F4669" w14:paraId="35D017CD" w14:textId="77777777">
      <w:pPr>
        <w:widowControl w:val="0"/>
        <w:numPr>
          <w:ilvl w:val="0"/>
          <w:numId w:val="14"/>
        </w:numPr>
        <w:tabs>
          <w:tab w:val="left" w:pos="-1440"/>
          <w:tab w:val="left" w:pos="-720"/>
          <w:tab w:val="left" w:pos="0"/>
          <w:tab w:val="num" w:pos="720"/>
          <w:tab w:val="clear"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360"/>
        <w:rPr>
          <w:spacing w:val="-3"/>
          <w:sz w:val="22"/>
          <w:szCs w:val="22"/>
        </w:rPr>
      </w:pPr>
      <w:r w:rsidRPr="001C49E8">
        <w:rPr>
          <w:spacing w:val="-3"/>
          <w:sz w:val="22"/>
          <w:szCs w:val="22"/>
        </w:rPr>
        <w:t>Total annualized capital/startup costs: None</w:t>
      </w:r>
    </w:p>
    <w:p w:rsidR="00B11178" w:rsidRPr="001C49E8" w:rsidP="00B11178" w14:paraId="0B2DF076"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 w:val="22"/>
          <w:szCs w:val="22"/>
        </w:rPr>
      </w:pPr>
    </w:p>
    <w:p w:rsidR="00B97B6E" w:rsidRPr="001C49E8" w:rsidP="00F01EA4" w14:paraId="7C6EA24D" w14:textId="77777777">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60"/>
        <w:rPr>
          <w:spacing w:val="-3"/>
          <w:sz w:val="22"/>
          <w:szCs w:val="22"/>
        </w:rPr>
      </w:pPr>
      <w:r w:rsidRPr="001C49E8">
        <w:rPr>
          <w:spacing w:val="-3"/>
          <w:sz w:val="22"/>
          <w:szCs w:val="22"/>
        </w:rPr>
        <w:tab/>
      </w:r>
      <w:r w:rsidRPr="001C49E8">
        <w:rPr>
          <w:spacing w:val="-3"/>
          <w:sz w:val="22"/>
          <w:szCs w:val="22"/>
        </w:rPr>
        <w:tab/>
        <w:t>(b)</w:t>
      </w:r>
      <w:r w:rsidRPr="001C49E8" w:rsidR="00F01EA4">
        <w:rPr>
          <w:spacing w:val="-3"/>
          <w:sz w:val="22"/>
          <w:szCs w:val="22"/>
        </w:rPr>
        <w:tab/>
      </w:r>
      <w:r w:rsidRPr="001C49E8">
        <w:rPr>
          <w:spacing w:val="-3"/>
          <w:sz w:val="22"/>
          <w:szCs w:val="22"/>
        </w:rPr>
        <w:t>Total annual costs (O&amp;M): None</w:t>
      </w:r>
    </w:p>
    <w:p w:rsidR="00B97B6E" w:rsidRPr="001C49E8" w:rsidP="00B97B6E" w14:paraId="3B55501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A92FA4" w:rsidRPr="001C49E8" w:rsidP="00B11178" w14:paraId="52EE86C1" w14:textId="77777777">
      <w:pPr>
        <w:pStyle w:val="ParaNum"/>
        <w:numPr>
          <w:ilvl w:val="0"/>
          <w:numId w:val="0"/>
        </w:numPr>
        <w:tabs>
          <w:tab w:val="left" w:pos="360"/>
          <w:tab w:val="left" w:pos="720"/>
        </w:tabs>
        <w:spacing w:after="0"/>
        <w:rPr>
          <w:b/>
          <w:bCs/>
          <w:szCs w:val="22"/>
        </w:rPr>
      </w:pPr>
      <w:r w:rsidRPr="001C49E8">
        <w:rPr>
          <w:spacing w:val="-3"/>
          <w:szCs w:val="22"/>
        </w:rPr>
        <w:tab/>
        <w:t xml:space="preserve">(c) </w:t>
      </w:r>
      <w:r w:rsidRPr="001C49E8" w:rsidR="00B11178">
        <w:rPr>
          <w:spacing w:val="-3"/>
          <w:szCs w:val="22"/>
        </w:rPr>
        <w:t xml:space="preserve">  </w:t>
      </w:r>
      <w:r w:rsidRPr="001C49E8">
        <w:rPr>
          <w:spacing w:val="-3"/>
          <w:szCs w:val="22"/>
        </w:rPr>
        <w:t xml:space="preserve">Total annualized cost requested: </w:t>
      </w:r>
      <w:r w:rsidRPr="001C49E8">
        <w:rPr>
          <w:b/>
          <w:spacing w:val="-3"/>
          <w:szCs w:val="22"/>
        </w:rPr>
        <w:t>None</w:t>
      </w:r>
    </w:p>
    <w:p w:rsidR="00B97B6E" w:rsidRPr="001C49E8" w:rsidP="00B97B6E" w14:paraId="23B47262" w14:textId="77777777">
      <w:pPr>
        <w:pStyle w:val="ParaNum"/>
        <w:numPr>
          <w:ilvl w:val="0"/>
          <w:numId w:val="0"/>
        </w:numPr>
        <w:spacing w:after="0"/>
        <w:rPr>
          <w:b/>
          <w:bCs/>
          <w:szCs w:val="22"/>
        </w:rPr>
      </w:pPr>
    </w:p>
    <w:p w:rsidR="00046B46" w:rsidRPr="001C49E8" w:rsidP="00E1068A" w14:paraId="5C94CC07" w14:textId="77777777">
      <w:pPr>
        <w:pStyle w:val="ParaNum"/>
        <w:numPr>
          <w:ilvl w:val="0"/>
          <w:numId w:val="4"/>
        </w:numPr>
        <w:tabs>
          <w:tab w:val="num" w:pos="360"/>
          <w:tab w:val="clear" w:pos="720"/>
        </w:tabs>
        <w:spacing w:after="0"/>
        <w:ind w:left="360" w:hanging="360"/>
        <w:rPr>
          <w:b/>
          <w:bCs/>
          <w:szCs w:val="22"/>
        </w:rPr>
      </w:pPr>
      <w:r w:rsidRPr="001C49E8">
        <w:rPr>
          <w:bCs/>
          <w:szCs w:val="22"/>
        </w:rPr>
        <w:t>There is no cost to the Federal Government.</w:t>
      </w:r>
    </w:p>
    <w:p w:rsidR="00E1068A" w:rsidRPr="001C49E8" w:rsidP="00E1068A" w14:paraId="53640BBF" w14:textId="77777777">
      <w:pPr>
        <w:pStyle w:val="ParaNum"/>
        <w:numPr>
          <w:ilvl w:val="0"/>
          <w:numId w:val="0"/>
        </w:numPr>
        <w:spacing w:after="0"/>
        <w:ind w:left="360"/>
        <w:rPr>
          <w:b/>
          <w:bCs/>
          <w:szCs w:val="22"/>
        </w:rPr>
      </w:pPr>
    </w:p>
    <w:p w:rsidR="002F108A" w:rsidRPr="001C49E8" w:rsidP="00CB5B4F" w14:paraId="40238B1C" w14:textId="525F5624">
      <w:pPr>
        <w:pStyle w:val="ParaNum"/>
        <w:numPr>
          <w:ilvl w:val="0"/>
          <w:numId w:val="0"/>
        </w:numPr>
        <w:tabs>
          <w:tab w:val="num" w:pos="360"/>
        </w:tabs>
        <w:spacing w:after="0"/>
        <w:rPr>
          <w:bCs/>
          <w:szCs w:val="22"/>
        </w:rPr>
      </w:pPr>
      <w:r w:rsidRPr="001C49E8">
        <w:rPr>
          <w:bCs/>
          <w:szCs w:val="22"/>
        </w:rPr>
        <w:t xml:space="preserve">15.  There </w:t>
      </w:r>
      <w:r w:rsidR="00B276A7">
        <w:rPr>
          <w:bCs/>
          <w:szCs w:val="22"/>
        </w:rPr>
        <w:t xml:space="preserve">are no </w:t>
      </w:r>
      <w:r w:rsidRPr="001C49E8">
        <w:rPr>
          <w:bCs/>
          <w:szCs w:val="22"/>
        </w:rPr>
        <w:t>program change</w:t>
      </w:r>
      <w:r w:rsidR="00B276A7">
        <w:rPr>
          <w:bCs/>
          <w:szCs w:val="22"/>
        </w:rPr>
        <w:t>s</w:t>
      </w:r>
      <w:r w:rsidRPr="001C49E8">
        <w:rPr>
          <w:bCs/>
          <w:szCs w:val="22"/>
        </w:rPr>
        <w:t xml:space="preserve"> </w:t>
      </w:r>
      <w:r w:rsidR="00B276A7">
        <w:rPr>
          <w:bCs/>
          <w:szCs w:val="22"/>
        </w:rPr>
        <w:t xml:space="preserve">or adjustments </w:t>
      </w:r>
      <w:r w:rsidRPr="001C49E8">
        <w:rPr>
          <w:bCs/>
          <w:szCs w:val="22"/>
        </w:rPr>
        <w:t>to this collection</w:t>
      </w:r>
      <w:r w:rsidR="00B276A7">
        <w:rPr>
          <w:bCs/>
          <w:szCs w:val="22"/>
        </w:rPr>
        <w:t>.</w:t>
      </w:r>
    </w:p>
    <w:p w:rsidR="002F108A" w:rsidRPr="001C49E8" w:rsidP="00CB5B4F" w14:paraId="2E9C7A27" w14:textId="77777777">
      <w:pPr>
        <w:pStyle w:val="ParaNum"/>
        <w:numPr>
          <w:ilvl w:val="0"/>
          <w:numId w:val="0"/>
        </w:numPr>
        <w:tabs>
          <w:tab w:val="num" w:pos="360"/>
        </w:tabs>
        <w:spacing w:after="0"/>
        <w:rPr>
          <w:bCs/>
          <w:szCs w:val="22"/>
        </w:rPr>
      </w:pPr>
    </w:p>
    <w:p w:rsidR="001C10A9" w:rsidRPr="001C49E8" w:rsidP="00071716" w14:paraId="5D3CCD09" w14:textId="77777777">
      <w:pPr>
        <w:pStyle w:val="ParaNum"/>
        <w:numPr>
          <w:ilvl w:val="0"/>
          <w:numId w:val="0"/>
        </w:numPr>
        <w:spacing w:after="0"/>
        <w:rPr>
          <w:b/>
          <w:bCs/>
          <w:szCs w:val="22"/>
        </w:rPr>
      </w:pPr>
      <w:r w:rsidRPr="001C49E8">
        <w:rPr>
          <w:bCs/>
          <w:szCs w:val="22"/>
        </w:rPr>
        <w:t xml:space="preserve">16.  </w:t>
      </w:r>
      <w:r w:rsidRPr="001C49E8" w:rsidR="007B280A">
        <w:rPr>
          <w:bCs/>
          <w:szCs w:val="22"/>
        </w:rPr>
        <w:t>The data will not be published.</w:t>
      </w:r>
    </w:p>
    <w:p w:rsidR="001C10A9" w:rsidRPr="001C49E8" w:rsidP="001C10A9" w14:paraId="0092B721" w14:textId="77777777">
      <w:pPr>
        <w:pStyle w:val="ParaNum"/>
        <w:numPr>
          <w:ilvl w:val="0"/>
          <w:numId w:val="0"/>
        </w:numPr>
        <w:spacing w:after="0"/>
        <w:rPr>
          <w:bCs/>
          <w:szCs w:val="22"/>
        </w:rPr>
      </w:pPr>
    </w:p>
    <w:p w:rsidR="001C10A9" w:rsidRPr="001C49E8" w:rsidP="00071716" w14:paraId="17880CD6" w14:textId="77777777">
      <w:pPr>
        <w:pStyle w:val="ParaNum"/>
        <w:numPr>
          <w:ilvl w:val="0"/>
          <w:numId w:val="0"/>
        </w:numPr>
        <w:spacing w:after="0"/>
        <w:rPr>
          <w:b/>
          <w:bCs/>
          <w:szCs w:val="22"/>
        </w:rPr>
      </w:pPr>
      <w:r w:rsidRPr="001C49E8">
        <w:rPr>
          <w:bCs/>
          <w:szCs w:val="22"/>
        </w:rPr>
        <w:t xml:space="preserve">17.  </w:t>
      </w:r>
      <w:r w:rsidRPr="001C49E8">
        <w:rPr>
          <w:bCs/>
          <w:szCs w:val="22"/>
        </w:rPr>
        <w:t xml:space="preserve">OMB approval of the expiration of the information collection will be displayed at 47 </w:t>
      </w:r>
      <w:r w:rsidRPr="001C49E8" w:rsidR="00B16F59">
        <w:rPr>
          <w:bCs/>
          <w:szCs w:val="22"/>
        </w:rPr>
        <w:t>CFR §</w:t>
      </w:r>
      <w:r w:rsidRPr="001C49E8">
        <w:rPr>
          <w:bCs/>
          <w:szCs w:val="22"/>
        </w:rPr>
        <w:t xml:space="preserve"> 0.408.</w:t>
      </w:r>
    </w:p>
    <w:p w:rsidR="001C10A9" w:rsidRPr="001C49E8" w:rsidP="003F4669" w14:paraId="596128C9" w14:textId="77777777">
      <w:pPr>
        <w:pStyle w:val="ParaNum"/>
        <w:numPr>
          <w:ilvl w:val="0"/>
          <w:numId w:val="0"/>
        </w:numPr>
        <w:tabs>
          <w:tab w:val="left" w:pos="360"/>
        </w:tabs>
        <w:spacing w:after="0"/>
        <w:rPr>
          <w:bCs/>
          <w:szCs w:val="22"/>
        </w:rPr>
      </w:pPr>
    </w:p>
    <w:p w:rsidR="001C10A9" w:rsidRPr="001C49E8" w:rsidP="00071716" w14:paraId="7F669174" w14:textId="77777777">
      <w:pPr>
        <w:pStyle w:val="ParaNum"/>
        <w:numPr>
          <w:ilvl w:val="0"/>
          <w:numId w:val="0"/>
        </w:numPr>
        <w:spacing w:after="0"/>
        <w:rPr>
          <w:b/>
          <w:bCs/>
          <w:szCs w:val="22"/>
        </w:rPr>
      </w:pPr>
      <w:r w:rsidRPr="001C49E8">
        <w:rPr>
          <w:bCs/>
          <w:spacing w:val="-3"/>
          <w:szCs w:val="22"/>
        </w:rPr>
        <w:t xml:space="preserve">18.  </w:t>
      </w:r>
      <w:r w:rsidRPr="001C49E8" w:rsidR="00A54EFA">
        <w:rPr>
          <w:bCs/>
          <w:spacing w:val="-3"/>
          <w:szCs w:val="22"/>
        </w:rPr>
        <w:t xml:space="preserve">There are no </w:t>
      </w:r>
      <w:r w:rsidRPr="001C49E8" w:rsidR="00FF5FD2">
        <w:rPr>
          <w:bCs/>
          <w:spacing w:val="-3"/>
          <w:szCs w:val="22"/>
        </w:rPr>
        <w:t>exceptions to the Certification Statement</w:t>
      </w:r>
      <w:r w:rsidRPr="001C49E8" w:rsidR="00133F6F">
        <w:rPr>
          <w:bCs/>
          <w:spacing w:val="-3"/>
          <w:szCs w:val="22"/>
        </w:rPr>
        <w:t>.</w:t>
      </w:r>
    </w:p>
    <w:p w:rsidR="001C10A9" w:rsidRPr="001C49E8" w:rsidP="001C10A9" w14:paraId="1CE6FCFD" w14:textId="77777777">
      <w:pPr>
        <w:pStyle w:val="ParaNum"/>
        <w:numPr>
          <w:ilvl w:val="0"/>
          <w:numId w:val="0"/>
        </w:numPr>
        <w:spacing w:after="0"/>
        <w:rPr>
          <w:bCs/>
          <w:szCs w:val="22"/>
        </w:rPr>
      </w:pPr>
    </w:p>
    <w:p w:rsidR="001C10A9" w:rsidRPr="001C49E8" w:rsidP="001C10A9" w14:paraId="64843479" w14:textId="77777777">
      <w:pPr>
        <w:pStyle w:val="ParaNum"/>
        <w:numPr>
          <w:ilvl w:val="0"/>
          <w:numId w:val="1"/>
        </w:numPr>
        <w:spacing w:after="0"/>
        <w:rPr>
          <w:b/>
          <w:bCs/>
          <w:szCs w:val="22"/>
        </w:rPr>
      </w:pPr>
      <w:r w:rsidRPr="001C49E8">
        <w:rPr>
          <w:bCs/>
          <w:szCs w:val="22"/>
        </w:rPr>
        <w:t xml:space="preserve"> </w:t>
      </w:r>
      <w:r w:rsidRPr="001C49E8">
        <w:rPr>
          <w:b/>
          <w:bCs/>
          <w:szCs w:val="22"/>
        </w:rPr>
        <w:t>Collections of Information Employing Statistical Methods</w:t>
      </w:r>
    </w:p>
    <w:p w:rsidR="001C10A9" w:rsidRPr="001C49E8" w:rsidP="001C10A9" w14:paraId="3EDDF97F" w14:textId="77777777">
      <w:pPr>
        <w:pStyle w:val="ParaNum"/>
        <w:numPr>
          <w:ilvl w:val="0"/>
          <w:numId w:val="0"/>
        </w:numPr>
        <w:spacing w:after="0"/>
        <w:rPr>
          <w:b/>
          <w:bCs/>
          <w:szCs w:val="22"/>
        </w:rPr>
      </w:pPr>
    </w:p>
    <w:p w:rsidR="00701A97" w:rsidRPr="001337EB" w:rsidP="0098005B" w14:paraId="64B95A6C" w14:textId="77777777">
      <w:pPr>
        <w:pStyle w:val="ParaNum"/>
        <w:numPr>
          <w:ilvl w:val="0"/>
          <w:numId w:val="0"/>
        </w:numPr>
        <w:spacing w:after="0"/>
      </w:pPr>
      <w:r w:rsidRPr="001C49E8">
        <w:rPr>
          <w:szCs w:val="22"/>
        </w:rPr>
        <w:t>This information collection does n</w:t>
      </w:r>
      <w:r w:rsidRPr="001337EB">
        <w:rPr>
          <w:szCs w:val="22"/>
        </w:rPr>
        <w:t xml:space="preserve">ot employ any </w:t>
      </w:r>
      <w:r w:rsidRPr="001337EB" w:rsidR="001C10A9">
        <w:rPr>
          <w:szCs w:val="22"/>
        </w:rPr>
        <w:t>statistical methods.</w:t>
      </w:r>
    </w:p>
    <w:sectPr w:rsidSect="000C7337">
      <w:headerReference w:type="default" r:id="rId6"/>
      <w:footerReference w:type="even" r:id="rId7"/>
      <w:footerReference w:type="default" r:id="rId8"/>
      <w:headerReference w:type="firs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rsidP="000B1661" w14:paraId="0501B1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64A4" w14:paraId="2CF904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rsidRPr="005D5E26" w:rsidP="000B1661" w14:paraId="15028D33" w14:textId="77777777">
    <w:pPr>
      <w:pStyle w:val="Footer"/>
      <w:framePr w:wrap="around" w:vAnchor="text" w:hAnchor="margin" w:xAlign="center" w:y="1"/>
      <w:rPr>
        <w:rStyle w:val="PageNumber"/>
        <w:sz w:val="20"/>
      </w:rPr>
    </w:pPr>
    <w:r w:rsidRPr="005D5E26">
      <w:rPr>
        <w:rStyle w:val="PageNumber"/>
        <w:sz w:val="20"/>
      </w:rPr>
      <w:fldChar w:fldCharType="begin"/>
    </w:r>
    <w:r w:rsidRPr="005D5E26">
      <w:rPr>
        <w:rStyle w:val="PageNumber"/>
        <w:sz w:val="20"/>
      </w:rPr>
      <w:instrText xml:space="preserve">PAGE  </w:instrText>
    </w:r>
    <w:r w:rsidRPr="005D5E26">
      <w:rPr>
        <w:rStyle w:val="PageNumber"/>
        <w:sz w:val="20"/>
      </w:rPr>
      <w:fldChar w:fldCharType="separate"/>
    </w:r>
    <w:r w:rsidR="00B004DE">
      <w:rPr>
        <w:rStyle w:val="PageNumber"/>
        <w:noProof/>
        <w:sz w:val="20"/>
      </w:rPr>
      <w:t>1</w:t>
    </w:r>
    <w:r w:rsidRPr="005D5E26">
      <w:rPr>
        <w:rStyle w:val="PageNumber"/>
        <w:sz w:val="20"/>
      </w:rPr>
      <w:fldChar w:fldCharType="end"/>
    </w:r>
  </w:p>
  <w:p w:rsidR="006664A4" w:rsidRPr="00595F47" w14:paraId="1DEFA2FD" w14:textId="77777777">
    <w:pPr>
      <w:pStyle w:val="Footer"/>
      <w:jc w:val="center"/>
      <w:rPr>
        <w:sz w:val="20"/>
      </w:rPr>
    </w:pPr>
    <w:r>
      <w:t xml:space="preserve"> </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09DF" w14:paraId="35CEC08B" w14:textId="77777777">
      <w:r>
        <w:separator/>
      </w:r>
    </w:p>
  </w:footnote>
  <w:footnote w:type="continuationSeparator" w:id="1">
    <w:p w:rsidR="001E09DF" w14:paraId="1983A7D0" w14:textId="77777777">
      <w:r>
        <w:continuationSeparator/>
      </w:r>
    </w:p>
  </w:footnote>
  <w:footnote w:id="2">
    <w:p w:rsidR="006664A4" w:rsidP="00195AFA" w14:paraId="4302266A" w14:textId="77777777">
      <w:pPr>
        <w:pStyle w:val="FootnoteText"/>
      </w:pPr>
      <w:r>
        <w:rPr>
          <w:rStyle w:val="FootnoteReference"/>
        </w:rPr>
        <w:footnoteRef/>
      </w:r>
      <w:r w:rsidRPr="00F821C8">
        <w:rPr>
          <w:sz w:val="22"/>
          <w:szCs w:val="22"/>
          <w:shd w:val="clear" w:color="auto" w:fill="FFFFFF"/>
        </w:rPr>
        <w:t>“Make goods” are defined as the rescheduling of preempted advertising.</w:t>
      </w:r>
    </w:p>
  </w:footnote>
  <w:footnote w:id="3">
    <w:p w:rsidR="00133F6F" w14:paraId="44887F08" w14:textId="77777777">
      <w:pPr>
        <w:pStyle w:val="FootnoteText"/>
      </w:pPr>
      <w:r>
        <w:rPr>
          <w:rStyle w:val="FootnoteReference"/>
        </w:rPr>
        <w:footnoteRef/>
      </w:r>
      <w:r>
        <w:t xml:space="preserve"> These respondents make up the majority of </w:t>
      </w:r>
      <w:r w:rsidR="00EB6A55">
        <w:t>their</w:t>
      </w:r>
      <w:r>
        <w:t xml:space="preserve"> universe of respondents.  Therefore, OMB approval is needed for this collection.</w:t>
      </w:r>
    </w:p>
  </w:footnote>
  <w:footnote w:id="4">
    <w:p w:rsidR="00133F6F" w14:paraId="437E3D88" w14:textId="77777777">
      <w:pPr>
        <w:pStyle w:val="FootnoteText"/>
      </w:pPr>
      <w:r>
        <w:rPr>
          <w:rStyle w:val="FootnoteReference"/>
        </w:rPr>
        <w:footnoteRef/>
      </w:r>
      <w:r>
        <w:t xml:space="preserve"> Since the requirements are done in terms of tasks, it is difficult for the Commission to quantify the number of responses.</w:t>
      </w:r>
      <w:r w:rsidR="00CE1D1E">
        <w:t xml:space="preserve">  </w:t>
      </w:r>
      <w:r w:rsidR="0061189F">
        <w:t xml:space="preserve">Section </w:t>
      </w:r>
      <w:r w:rsidR="00CE1D1E">
        <w:t>25.701(</w:t>
      </w:r>
      <w:r w:rsidR="003E77F4">
        <w:t>f</w:t>
      </w:r>
      <w:r w:rsidR="00CE1D1E">
        <w:t>)(6)</w:t>
      </w:r>
      <w:r w:rsidR="003E77F4">
        <w:t>(i)</w:t>
      </w:r>
      <w:r w:rsidR="00CE1D1E">
        <w:t>(D) requires a single initial response,</w:t>
      </w:r>
      <w:r w:rsidR="0061189F">
        <w:t xml:space="preserve"> </w:t>
      </w:r>
      <w:r w:rsidR="00CE1D1E">
        <w:t xml:space="preserve">but will </w:t>
      </w:r>
      <w:r w:rsidR="005C1CA1">
        <w:t>not</w:t>
      </w:r>
      <w:r w:rsidR="00CE1D1E">
        <w:t xml:space="preserve"> require any additional responses if the relevant contact phone number and email address do not change.</w:t>
      </w:r>
      <w:r w:rsidR="0061189F">
        <w:t xml:space="preserve">  Therefore, the Commission is leaving the number of responses</w:t>
      </w:r>
      <w:r w:rsidR="0072393B">
        <w:t xml:space="preserve"> </w:t>
      </w:r>
      <w:r w:rsidR="0061189F">
        <w:t xml:space="preserve">as they currently are approved in OMB’s inventory.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rsidP="00C745A7" w14:paraId="7BFEFA9D" w14:textId="7A4E7326">
    <w:pPr>
      <w:pStyle w:val="Header"/>
      <w:rPr>
        <w:b/>
      </w:rPr>
    </w:pPr>
    <w:r>
      <w:rPr>
        <w:b/>
      </w:rPr>
      <w:t>OMB Control Number:  3060-1065</w:t>
    </w:r>
    <w:r>
      <w:rPr>
        <w:b/>
      </w:rPr>
      <w:tab/>
    </w:r>
    <w:r>
      <w:rPr>
        <w:b/>
      </w:rPr>
      <w:tab/>
    </w:r>
    <w:r w:rsidR="00B276A7">
      <w:rPr>
        <w:b/>
      </w:rPr>
      <w:t>November 2022</w:t>
    </w:r>
  </w:p>
  <w:p w:rsidR="006664A4" w:rsidP="00C745A7" w14:paraId="7FE143A8" w14:textId="77777777">
    <w:pPr>
      <w:pStyle w:val="Header"/>
      <w:rPr>
        <w:b/>
      </w:rPr>
    </w:pPr>
    <w:r>
      <w:rPr>
        <w:b/>
      </w:rPr>
      <w:t>Section 25.701</w:t>
    </w:r>
    <w:r w:rsidR="00453D52">
      <w:rPr>
        <w:b/>
      </w:rPr>
      <w:t>,</w:t>
    </w:r>
    <w:r>
      <w:rPr>
        <w:b/>
      </w:rPr>
      <w:t xml:space="preserve"> Direct Broadcast Satellite </w:t>
    </w:r>
    <w:r w:rsidR="001B0E78">
      <w:rPr>
        <w:b/>
      </w:rPr>
      <w:t xml:space="preserve">(DBS) </w:t>
    </w:r>
    <w:r>
      <w:rPr>
        <w:b/>
      </w:rPr>
      <w:t>Public Interest Obligations</w:t>
    </w:r>
  </w:p>
  <w:p w:rsidR="006664A4" w:rsidRPr="00091827" w:rsidP="00C745A7" w14:paraId="7FED7026"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14:paraId="4BBD696B" w14:textId="77777777">
    <w:pPr>
      <w:pStyle w:val="Header"/>
      <w:rPr>
        <w:b/>
      </w:rPr>
    </w:pPr>
    <w:r>
      <w:rPr>
        <w:b/>
      </w:rPr>
      <w:t>3060-XXXX</w:t>
    </w:r>
    <w:r>
      <w:rPr>
        <w:b/>
      </w:rPr>
      <w:tab/>
    </w:r>
    <w:r>
      <w:rPr>
        <w:b/>
      </w:rPr>
      <w:tab/>
      <w:t>July 2004</w:t>
    </w:r>
  </w:p>
  <w:p w:rsidR="006664A4" w:rsidRPr="00091827" w14:paraId="3C820949" w14:textId="77777777">
    <w:pPr>
      <w:pStyle w:val="Header"/>
      <w:rPr>
        <w:b/>
      </w:rPr>
    </w:pPr>
    <w:r>
      <w:rPr>
        <w:b/>
      </w:rPr>
      <w:t>Section 25.701, Direct Broadcast Satellite Public Interest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AA0252"/>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B87903"/>
    <w:multiLevelType w:val="hybridMultilevel"/>
    <w:tmpl w:val="67802738"/>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733957"/>
    <w:multiLevelType w:val="hybridMultilevel"/>
    <w:tmpl w:val="EDCC62B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D291C15"/>
    <w:multiLevelType w:val="hybridMultilevel"/>
    <w:tmpl w:val="0E981A08"/>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990CAD"/>
    <w:multiLevelType w:val="hybridMultilevel"/>
    <w:tmpl w:val="E5CC5C9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0A25231"/>
    <w:multiLevelType w:val="hybridMultilevel"/>
    <w:tmpl w:val="BF00F732"/>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3A97F7B"/>
    <w:multiLevelType w:val="hybridMultilevel"/>
    <w:tmpl w:val="4E020CB6"/>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9C67E2"/>
    <w:multiLevelType w:val="hybridMultilevel"/>
    <w:tmpl w:val="C4A6C5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0">
    <w:nsid w:val="1D073D1F"/>
    <w:multiLevelType w:val="hybridMultilevel"/>
    <w:tmpl w:val="752A2C5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8F31A6"/>
    <w:multiLevelType w:val="hybridMultilevel"/>
    <w:tmpl w:val="DA2C6570"/>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F134ABF"/>
    <w:multiLevelType w:val="hybridMultilevel"/>
    <w:tmpl w:val="CDFE43E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EB3DCA"/>
    <w:multiLevelType w:val="hybridMultilevel"/>
    <w:tmpl w:val="4956DBCC"/>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B4D521D"/>
    <w:multiLevelType w:val="hybridMultilevel"/>
    <w:tmpl w:val="E9447EA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E3B3EC9"/>
    <w:multiLevelType w:val="singleLevel"/>
    <w:tmpl w:val="0DEEC354"/>
    <w:lvl w:ilvl="0">
      <w:start w:val="15"/>
      <w:numFmt w:val="decimal"/>
      <w:lvlText w:val="%1."/>
      <w:lvlJc w:val="left"/>
      <w:pPr>
        <w:tabs>
          <w:tab w:val="num" w:pos="1080"/>
        </w:tabs>
        <w:ind w:left="0" w:firstLine="720"/>
      </w:pPr>
      <w:rPr>
        <w:b w:val="0"/>
        <w:i w:val="0"/>
        <w:strike w:val="0"/>
        <w:dstrike w:val="0"/>
      </w:rPr>
    </w:lvl>
  </w:abstractNum>
  <w:abstractNum w:abstractNumId="16">
    <w:nsid w:val="2EDA1A27"/>
    <w:multiLevelType w:val="hybridMultilevel"/>
    <w:tmpl w:val="0BEEEC8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0DE6503"/>
    <w:multiLevelType w:val="hybridMultilevel"/>
    <w:tmpl w:val="7478BF18"/>
    <w:lvl w:ilvl="0">
      <w:start w:val="1"/>
      <w:numFmt w:val="lowerLetter"/>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3A6335A2"/>
    <w:multiLevelType w:val="singleLevel"/>
    <w:tmpl w:val="D7BCF026"/>
    <w:lvl w:ilvl="0">
      <w:start w:val="1"/>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9">
    <w:nsid w:val="3B30609B"/>
    <w:multiLevelType w:val="hybridMultilevel"/>
    <w:tmpl w:val="AC3E5B16"/>
    <w:lvl w:ilvl="0">
      <w:start w:val="13"/>
      <w:numFmt w:val="decimal"/>
      <w:lvlText w:val="%1."/>
      <w:lvlJc w:val="left"/>
      <w:pPr>
        <w:tabs>
          <w:tab w:val="num" w:pos="288"/>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8322F2"/>
    <w:multiLevelType w:val="singleLevel"/>
    <w:tmpl w:val="04090015"/>
    <w:lvl w:ilvl="0">
      <w:start w:val="1"/>
      <w:numFmt w:val="upperLetter"/>
      <w:lvlText w:val="%1."/>
      <w:lvlJc w:val="left"/>
      <w:pPr>
        <w:tabs>
          <w:tab w:val="num" w:pos="360"/>
        </w:tabs>
        <w:ind w:left="360" w:hanging="360"/>
      </w:pPr>
    </w:lvl>
  </w:abstractNum>
  <w:abstractNum w:abstractNumId="21">
    <w:nsid w:val="3DF46F18"/>
    <w:multiLevelType w:val="hybridMultilevel"/>
    <w:tmpl w:val="6E181666"/>
    <w:lvl w:ilvl="0">
      <w:start w:val="7"/>
      <w:numFmt w:val="decimal"/>
      <w:lvlText w:val="%1."/>
      <w:lvlJc w:val="left"/>
      <w:pPr>
        <w:tabs>
          <w:tab w:val="num" w:pos="1800"/>
        </w:tabs>
        <w:ind w:left="2160" w:hanging="108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3F9912E3"/>
    <w:multiLevelType w:val="hybridMultilevel"/>
    <w:tmpl w:val="A2FC3FF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40D271F3"/>
    <w:multiLevelType w:val="hybridMultilevel"/>
    <w:tmpl w:val="6E46D44A"/>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1C318E7"/>
    <w:multiLevelType w:val="hybridMultilevel"/>
    <w:tmpl w:val="39D0516E"/>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2527CF7"/>
    <w:multiLevelType w:val="hybridMultilevel"/>
    <w:tmpl w:val="E66A2B3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4F4E2D87"/>
    <w:multiLevelType w:val="hybridMultilevel"/>
    <w:tmpl w:val="A8649AD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0D66769"/>
    <w:multiLevelType w:val="hybridMultilevel"/>
    <w:tmpl w:val="E85A8B0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4865C1"/>
    <w:multiLevelType w:val="hybridMultilevel"/>
    <w:tmpl w:val="CD804E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5352784"/>
    <w:multiLevelType w:val="hybridMultilevel"/>
    <w:tmpl w:val="76203A20"/>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B65F81"/>
    <w:multiLevelType w:val="hybridMultilevel"/>
    <w:tmpl w:val="335EF7BC"/>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AC92BA9"/>
    <w:multiLevelType w:val="hybridMultilevel"/>
    <w:tmpl w:val="F4446A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803B23"/>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7E2780"/>
    <w:multiLevelType w:val="hybridMultilevel"/>
    <w:tmpl w:val="093C88AA"/>
    <w:lvl w:ilvl="0">
      <w:start w:val="1"/>
      <w:numFmt w:val="lowerLetter"/>
      <w:lvlText w:val="(%1)"/>
      <w:lvlJc w:val="left"/>
      <w:pPr>
        <w:tabs>
          <w:tab w:val="num" w:pos="1152"/>
        </w:tabs>
        <w:ind w:left="1152" w:hanging="432"/>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631612DE"/>
    <w:multiLevelType w:val="hybridMultilevel"/>
    <w:tmpl w:val="1CF8A4FC"/>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A9A60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802F27"/>
    <w:multiLevelType w:val="hybridMultilevel"/>
    <w:tmpl w:val="50D0A944"/>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CD31680"/>
    <w:multiLevelType w:val="hybridMultilevel"/>
    <w:tmpl w:val="D374A47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D6C0FC5"/>
    <w:multiLevelType w:val="hybridMultilevel"/>
    <w:tmpl w:val="4CEEC9AC"/>
    <w:lvl w:ilvl="0">
      <w:start w:val="1"/>
      <w:numFmt w:val="lowerLetter"/>
      <w:lvlText w:val="(%1)"/>
      <w:lvlJc w:val="left"/>
      <w:pPr>
        <w:tabs>
          <w:tab w:val="num" w:pos="1440"/>
        </w:tabs>
        <w:ind w:left="151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FAC71BB"/>
    <w:multiLevelType w:val="hybridMultilevel"/>
    <w:tmpl w:val="BCE64F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FE027CC"/>
    <w:multiLevelType w:val="hybridMultilevel"/>
    <w:tmpl w:val="0C9E5C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0BF1912"/>
    <w:multiLevelType w:val="singleLevel"/>
    <w:tmpl w:val="7BAA8486"/>
    <w:lvl w:ilvl="0">
      <w:start w:val="13"/>
      <w:numFmt w:val="decimal"/>
      <w:lvlText w:val="%1."/>
      <w:lvlJc w:val="left"/>
      <w:pPr>
        <w:tabs>
          <w:tab w:val="num" w:pos="720"/>
        </w:tabs>
        <w:ind w:left="1080" w:hanging="1080"/>
      </w:pPr>
      <w:rPr>
        <w:rFonts w:hint="default"/>
        <w:b w:val="0"/>
        <w:i w:val="0"/>
        <w:strike w:val="0"/>
        <w:dstrike w:val="0"/>
      </w:rPr>
    </w:lvl>
  </w:abstractNum>
  <w:abstractNum w:abstractNumId="42">
    <w:nsid w:val="71D672BE"/>
    <w:multiLevelType w:val="hybridMultilevel"/>
    <w:tmpl w:val="15A01F98"/>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800"/>
        </w:tabs>
        <w:ind w:left="2160" w:hanging="108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37062F6"/>
    <w:multiLevelType w:val="hybridMultilevel"/>
    <w:tmpl w:val="A50E8B3A"/>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447150E"/>
    <w:multiLevelType w:val="hybridMultilevel"/>
    <w:tmpl w:val="C2C811B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9377D28"/>
    <w:multiLevelType w:val="hybridMultilevel"/>
    <w:tmpl w:val="76D08E32"/>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7B0958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C6461F7"/>
    <w:multiLevelType w:val="hybridMultilevel"/>
    <w:tmpl w:val="2708CA5E"/>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21304991">
    <w:abstractNumId w:val="20"/>
  </w:num>
  <w:num w:numId="2" w16cid:durableId="1911501259">
    <w:abstractNumId w:val="9"/>
  </w:num>
  <w:num w:numId="3" w16cid:durableId="2039431504">
    <w:abstractNumId w:val="18"/>
  </w:num>
  <w:num w:numId="4" w16cid:durableId="1997830547">
    <w:abstractNumId w:val="41"/>
  </w:num>
  <w:num w:numId="5" w16cid:durableId="1134759356">
    <w:abstractNumId w:val="15"/>
  </w:num>
  <w:num w:numId="6" w16cid:durableId="64646275">
    <w:abstractNumId w:val="7"/>
  </w:num>
  <w:num w:numId="7" w16cid:durableId="2031712903">
    <w:abstractNumId w:val="5"/>
  </w:num>
  <w:num w:numId="8" w16cid:durableId="1029330263">
    <w:abstractNumId w:val="46"/>
  </w:num>
  <w:num w:numId="9" w16cid:durableId="615798322">
    <w:abstractNumId w:val="3"/>
  </w:num>
  <w:num w:numId="10" w16cid:durableId="1898322381">
    <w:abstractNumId w:val="35"/>
  </w:num>
  <w:num w:numId="11" w16cid:durableId="2067990681">
    <w:abstractNumId w:val="19"/>
  </w:num>
  <w:num w:numId="12" w16cid:durableId="370692452">
    <w:abstractNumId w:val="1"/>
  </w:num>
  <w:num w:numId="13" w16cid:durableId="608507145">
    <w:abstractNumId w:val="32"/>
  </w:num>
  <w:num w:numId="14" w16cid:durableId="555434744">
    <w:abstractNumId w:val="0"/>
  </w:num>
  <w:num w:numId="15" w16cid:durableId="823469438">
    <w:abstractNumId w:val="8"/>
  </w:num>
  <w:num w:numId="16" w16cid:durableId="172574894">
    <w:abstractNumId w:val="37"/>
  </w:num>
  <w:num w:numId="17" w16cid:durableId="1478720850">
    <w:abstractNumId w:val="12"/>
  </w:num>
  <w:num w:numId="18" w16cid:durableId="1620646647">
    <w:abstractNumId w:val="16"/>
  </w:num>
  <w:num w:numId="19" w16cid:durableId="472330592">
    <w:abstractNumId w:val="38"/>
  </w:num>
  <w:num w:numId="20" w16cid:durableId="177080280">
    <w:abstractNumId w:val="33"/>
  </w:num>
  <w:num w:numId="21" w16cid:durableId="1514876273">
    <w:abstractNumId w:val="13"/>
  </w:num>
  <w:num w:numId="22" w16cid:durableId="1539512434">
    <w:abstractNumId w:val="31"/>
  </w:num>
  <w:num w:numId="23" w16cid:durableId="879242109">
    <w:abstractNumId w:val="22"/>
  </w:num>
  <w:num w:numId="24" w16cid:durableId="1338969711">
    <w:abstractNumId w:val="14"/>
  </w:num>
  <w:num w:numId="25" w16cid:durableId="1743866799">
    <w:abstractNumId w:val="28"/>
  </w:num>
  <w:num w:numId="26" w16cid:durableId="66801887">
    <w:abstractNumId w:val="44"/>
  </w:num>
  <w:num w:numId="27" w16cid:durableId="2014452616">
    <w:abstractNumId w:val="26"/>
  </w:num>
  <w:num w:numId="28" w16cid:durableId="1357344357">
    <w:abstractNumId w:val="27"/>
  </w:num>
  <w:num w:numId="29" w16cid:durableId="1289817627">
    <w:abstractNumId w:val="40"/>
  </w:num>
  <w:num w:numId="30" w16cid:durableId="672997289">
    <w:abstractNumId w:val="42"/>
  </w:num>
  <w:num w:numId="31" w16cid:durableId="1166550426">
    <w:abstractNumId w:val="10"/>
  </w:num>
  <w:num w:numId="32" w16cid:durableId="1045258946">
    <w:abstractNumId w:val="21"/>
  </w:num>
  <w:num w:numId="33" w16cid:durableId="1582252431">
    <w:abstractNumId w:val="34"/>
  </w:num>
  <w:num w:numId="34" w16cid:durableId="1224219512">
    <w:abstractNumId w:val="36"/>
  </w:num>
  <w:num w:numId="35" w16cid:durableId="1888951228">
    <w:abstractNumId w:val="11"/>
  </w:num>
  <w:num w:numId="36" w16cid:durableId="71045166">
    <w:abstractNumId w:val="2"/>
  </w:num>
  <w:num w:numId="37" w16cid:durableId="198905998">
    <w:abstractNumId w:val="4"/>
  </w:num>
  <w:num w:numId="38" w16cid:durableId="365639269">
    <w:abstractNumId w:val="43"/>
  </w:num>
  <w:num w:numId="39" w16cid:durableId="897670446">
    <w:abstractNumId w:val="29"/>
  </w:num>
  <w:num w:numId="40" w16cid:durableId="1089615071">
    <w:abstractNumId w:val="6"/>
  </w:num>
  <w:num w:numId="41" w16cid:durableId="1544056378">
    <w:abstractNumId w:val="47"/>
  </w:num>
  <w:num w:numId="42" w16cid:durableId="1203832586">
    <w:abstractNumId w:val="45"/>
  </w:num>
  <w:num w:numId="43" w16cid:durableId="690761024">
    <w:abstractNumId w:val="30"/>
  </w:num>
  <w:num w:numId="44" w16cid:durableId="1133518445">
    <w:abstractNumId w:val="24"/>
  </w:num>
  <w:num w:numId="45" w16cid:durableId="228662854">
    <w:abstractNumId w:val="23"/>
  </w:num>
  <w:num w:numId="46" w16cid:durableId="1179931526">
    <w:abstractNumId w:val="25"/>
  </w:num>
  <w:num w:numId="47" w16cid:durableId="1839417600">
    <w:abstractNumId w:val="39"/>
  </w:num>
  <w:num w:numId="48" w16cid:durableId="269504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7043"/>
    <w:rsid w:val="00020398"/>
    <w:rsid w:val="00020CD1"/>
    <w:rsid w:val="00036779"/>
    <w:rsid w:val="00046B46"/>
    <w:rsid w:val="00047643"/>
    <w:rsid w:val="00054211"/>
    <w:rsid w:val="00056421"/>
    <w:rsid w:val="000603A9"/>
    <w:rsid w:val="000623CF"/>
    <w:rsid w:val="000643A7"/>
    <w:rsid w:val="000648D5"/>
    <w:rsid w:val="00065116"/>
    <w:rsid w:val="000667E6"/>
    <w:rsid w:val="00071716"/>
    <w:rsid w:val="00076654"/>
    <w:rsid w:val="00084850"/>
    <w:rsid w:val="00091827"/>
    <w:rsid w:val="00092A40"/>
    <w:rsid w:val="00094E39"/>
    <w:rsid w:val="000958EC"/>
    <w:rsid w:val="000A5011"/>
    <w:rsid w:val="000B0211"/>
    <w:rsid w:val="000B151F"/>
    <w:rsid w:val="000B1661"/>
    <w:rsid w:val="000B2752"/>
    <w:rsid w:val="000C47B8"/>
    <w:rsid w:val="000C7337"/>
    <w:rsid w:val="000E38CA"/>
    <w:rsid w:val="000F1E2F"/>
    <w:rsid w:val="00102186"/>
    <w:rsid w:val="00105599"/>
    <w:rsid w:val="00105606"/>
    <w:rsid w:val="00106301"/>
    <w:rsid w:val="0010774B"/>
    <w:rsid w:val="00122D41"/>
    <w:rsid w:val="0012460F"/>
    <w:rsid w:val="00126C44"/>
    <w:rsid w:val="0013134B"/>
    <w:rsid w:val="00132032"/>
    <w:rsid w:val="001337EB"/>
    <w:rsid w:val="00133F6F"/>
    <w:rsid w:val="00147BBC"/>
    <w:rsid w:val="00171C8E"/>
    <w:rsid w:val="00172F9E"/>
    <w:rsid w:val="0018054B"/>
    <w:rsid w:val="00191EA1"/>
    <w:rsid w:val="00195AFA"/>
    <w:rsid w:val="001A501A"/>
    <w:rsid w:val="001B0E78"/>
    <w:rsid w:val="001B35D7"/>
    <w:rsid w:val="001B55DD"/>
    <w:rsid w:val="001C10A9"/>
    <w:rsid w:val="001C287F"/>
    <w:rsid w:val="001C3BAF"/>
    <w:rsid w:val="001C49E8"/>
    <w:rsid w:val="001C7E15"/>
    <w:rsid w:val="001E09DF"/>
    <w:rsid w:val="001E0AAE"/>
    <w:rsid w:val="001E3FFB"/>
    <w:rsid w:val="001E504F"/>
    <w:rsid w:val="001E570F"/>
    <w:rsid w:val="001E7B15"/>
    <w:rsid w:val="001F12E5"/>
    <w:rsid w:val="002037AB"/>
    <w:rsid w:val="00225CAE"/>
    <w:rsid w:val="002311B5"/>
    <w:rsid w:val="00237431"/>
    <w:rsid w:val="002404E1"/>
    <w:rsid w:val="002408C1"/>
    <w:rsid w:val="0025338D"/>
    <w:rsid w:val="00257C90"/>
    <w:rsid w:val="00276186"/>
    <w:rsid w:val="00280A4F"/>
    <w:rsid w:val="002864EA"/>
    <w:rsid w:val="002879A7"/>
    <w:rsid w:val="0029127E"/>
    <w:rsid w:val="002A1FE9"/>
    <w:rsid w:val="002B19A1"/>
    <w:rsid w:val="002B66F3"/>
    <w:rsid w:val="002C10A7"/>
    <w:rsid w:val="002C179F"/>
    <w:rsid w:val="002D0669"/>
    <w:rsid w:val="002D1867"/>
    <w:rsid w:val="002E0B25"/>
    <w:rsid w:val="002E5DBD"/>
    <w:rsid w:val="002F108A"/>
    <w:rsid w:val="002F34D9"/>
    <w:rsid w:val="00304908"/>
    <w:rsid w:val="00314DE0"/>
    <w:rsid w:val="003325B3"/>
    <w:rsid w:val="00337B15"/>
    <w:rsid w:val="00343A8D"/>
    <w:rsid w:val="0035037D"/>
    <w:rsid w:val="003604EA"/>
    <w:rsid w:val="003618B4"/>
    <w:rsid w:val="00363BC2"/>
    <w:rsid w:val="00365E38"/>
    <w:rsid w:val="00372CB3"/>
    <w:rsid w:val="0038203C"/>
    <w:rsid w:val="00382A6C"/>
    <w:rsid w:val="00386D36"/>
    <w:rsid w:val="00390E87"/>
    <w:rsid w:val="00396B20"/>
    <w:rsid w:val="003A1BB4"/>
    <w:rsid w:val="003A25CA"/>
    <w:rsid w:val="003A5DA7"/>
    <w:rsid w:val="003B05D1"/>
    <w:rsid w:val="003B383D"/>
    <w:rsid w:val="003B6D4B"/>
    <w:rsid w:val="003C6437"/>
    <w:rsid w:val="003E60DB"/>
    <w:rsid w:val="003E77F4"/>
    <w:rsid w:val="003F29C5"/>
    <w:rsid w:val="003F323F"/>
    <w:rsid w:val="003F4669"/>
    <w:rsid w:val="003F4CDE"/>
    <w:rsid w:val="00404470"/>
    <w:rsid w:val="004069E7"/>
    <w:rsid w:val="00407CA6"/>
    <w:rsid w:val="0041229A"/>
    <w:rsid w:val="0041288C"/>
    <w:rsid w:val="0042189C"/>
    <w:rsid w:val="00424DBC"/>
    <w:rsid w:val="00431299"/>
    <w:rsid w:val="0043138D"/>
    <w:rsid w:val="004329EA"/>
    <w:rsid w:val="004424C8"/>
    <w:rsid w:val="0044301C"/>
    <w:rsid w:val="00452B49"/>
    <w:rsid w:val="00452B5B"/>
    <w:rsid w:val="00453D52"/>
    <w:rsid w:val="00464F42"/>
    <w:rsid w:val="004656F2"/>
    <w:rsid w:val="00467CE9"/>
    <w:rsid w:val="00471D22"/>
    <w:rsid w:val="0047273D"/>
    <w:rsid w:val="004777BC"/>
    <w:rsid w:val="004777EC"/>
    <w:rsid w:val="004827E4"/>
    <w:rsid w:val="0048557B"/>
    <w:rsid w:val="00486925"/>
    <w:rsid w:val="00487732"/>
    <w:rsid w:val="00492F8F"/>
    <w:rsid w:val="004A0BD6"/>
    <w:rsid w:val="004A7DD3"/>
    <w:rsid w:val="004B6A0F"/>
    <w:rsid w:val="004C0BCB"/>
    <w:rsid w:val="004C21A2"/>
    <w:rsid w:val="004D0EC1"/>
    <w:rsid w:val="004E2BFE"/>
    <w:rsid w:val="004E5C31"/>
    <w:rsid w:val="004F0F96"/>
    <w:rsid w:val="00502B7B"/>
    <w:rsid w:val="00505CBC"/>
    <w:rsid w:val="00511570"/>
    <w:rsid w:val="005222BA"/>
    <w:rsid w:val="005234C1"/>
    <w:rsid w:val="00540B92"/>
    <w:rsid w:val="00553F1B"/>
    <w:rsid w:val="00561058"/>
    <w:rsid w:val="00561CA3"/>
    <w:rsid w:val="00565860"/>
    <w:rsid w:val="00570271"/>
    <w:rsid w:val="005703DB"/>
    <w:rsid w:val="00573034"/>
    <w:rsid w:val="00580AEE"/>
    <w:rsid w:val="005856D3"/>
    <w:rsid w:val="00586C57"/>
    <w:rsid w:val="005929CC"/>
    <w:rsid w:val="00593128"/>
    <w:rsid w:val="00595F47"/>
    <w:rsid w:val="0059791A"/>
    <w:rsid w:val="005B2D76"/>
    <w:rsid w:val="005C1CA1"/>
    <w:rsid w:val="005C4759"/>
    <w:rsid w:val="005D5E26"/>
    <w:rsid w:val="005E2864"/>
    <w:rsid w:val="005F09D0"/>
    <w:rsid w:val="00600A43"/>
    <w:rsid w:val="006011CD"/>
    <w:rsid w:val="00601B55"/>
    <w:rsid w:val="0061189F"/>
    <w:rsid w:val="00634485"/>
    <w:rsid w:val="00647D96"/>
    <w:rsid w:val="0065433A"/>
    <w:rsid w:val="00657363"/>
    <w:rsid w:val="00660542"/>
    <w:rsid w:val="006664A4"/>
    <w:rsid w:val="006740B6"/>
    <w:rsid w:val="0067533E"/>
    <w:rsid w:val="00692C11"/>
    <w:rsid w:val="006A3648"/>
    <w:rsid w:val="006C2077"/>
    <w:rsid w:val="006C4B34"/>
    <w:rsid w:val="006C56D5"/>
    <w:rsid w:val="006D525C"/>
    <w:rsid w:val="006E1EA5"/>
    <w:rsid w:val="006F2EEA"/>
    <w:rsid w:val="006F2FF2"/>
    <w:rsid w:val="006F4473"/>
    <w:rsid w:val="00700076"/>
    <w:rsid w:val="00701A97"/>
    <w:rsid w:val="00716840"/>
    <w:rsid w:val="0072393B"/>
    <w:rsid w:val="00731BA6"/>
    <w:rsid w:val="00736361"/>
    <w:rsid w:val="0074267A"/>
    <w:rsid w:val="00744A17"/>
    <w:rsid w:val="00746046"/>
    <w:rsid w:val="00751D4C"/>
    <w:rsid w:val="00752DE2"/>
    <w:rsid w:val="007559AE"/>
    <w:rsid w:val="00755B9D"/>
    <w:rsid w:val="007632ED"/>
    <w:rsid w:val="007712C5"/>
    <w:rsid w:val="00771EDA"/>
    <w:rsid w:val="007733DD"/>
    <w:rsid w:val="0077709F"/>
    <w:rsid w:val="00790699"/>
    <w:rsid w:val="00792925"/>
    <w:rsid w:val="007929C5"/>
    <w:rsid w:val="00793A78"/>
    <w:rsid w:val="007964DA"/>
    <w:rsid w:val="007A055B"/>
    <w:rsid w:val="007A6262"/>
    <w:rsid w:val="007B1729"/>
    <w:rsid w:val="007B280A"/>
    <w:rsid w:val="007D3322"/>
    <w:rsid w:val="007E5A3F"/>
    <w:rsid w:val="007E70A1"/>
    <w:rsid w:val="007F1854"/>
    <w:rsid w:val="007F3670"/>
    <w:rsid w:val="007F5B11"/>
    <w:rsid w:val="008001F5"/>
    <w:rsid w:val="008012A3"/>
    <w:rsid w:val="00804B88"/>
    <w:rsid w:val="00813C3A"/>
    <w:rsid w:val="00816460"/>
    <w:rsid w:val="00817079"/>
    <w:rsid w:val="008228E1"/>
    <w:rsid w:val="00826506"/>
    <w:rsid w:val="00830A88"/>
    <w:rsid w:val="008320CD"/>
    <w:rsid w:val="008408DF"/>
    <w:rsid w:val="00840A39"/>
    <w:rsid w:val="00841AAA"/>
    <w:rsid w:val="00843D71"/>
    <w:rsid w:val="00854E30"/>
    <w:rsid w:val="008629ED"/>
    <w:rsid w:val="00862FA0"/>
    <w:rsid w:val="00876AFB"/>
    <w:rsid w:val="00880E9E"/>
    <w:rsid w:val="00890630"/>
    <w:rsid w:val="00892DB0"/>
    <w:rsid w:val="008A4276"/>
    <w:rsid w:val="008C4926"/>
    <w:rsid w:val="008D0E06"/>
    <w:rsid w:val="008D1334"/>
    <w:rsid w:val="008D1658"/>
    <w:rsid w:val="008D369D"/>
    <w:rsid w:val="008D7710"/>
    <w:rsid w:val="008E110B"/>
    <w:rsid w:val="008F19EF"/>
    <w:rsid w:val="008F24A5"/>
    <w:rsid w:val="008F2F97"/>
    <w:rsid w:val="008F7365"/>
    <w:rsid w:val="00907D34"/>
    <w:rsid w:val="00911EFC"/>
    <w:rsid w:val="009156DC"/>
    <w:rsid w:val="00933437"/>
    <w:rsid w:val="00934D16"/>
    <w:rsid w:val="009362CD"/>
    <w:rsid w:val="00936AE7"/>
    <w:rsid w:val="009379EB"/>
    <w:rsid w:val="00943A66"/>
    <w:rsid w:val="00964E7D"/>
    <w:rsid w:val="00975113"/>
    <w:rsid w:val="0097777D"/>
    <w:rsid w:val="0098005B"/>
    <w:rsid w:val="00981DAC"/>
    <w:rsid w:val="009863FD"/>
    <w:rsid w:val="00987340"/>
    <w:rsid w:val="009A16C1"/>
    <w:rsid w:val="009A3683"/>
    <w:rsid w:val="009B1510"/>
    <w:rsid w:val="009B281D"/>
    <w:rsid w:val="009C0A11"/>
    <w:rsid w:val="009C1CB2"/>
    <w:rsid w:val="009C2373"/>
    <w:rsid w:val="009C6D29"/>
    <w:rsid w:val="009D250C"/>
    <w:rsid w:val="009D3FCF"/>
    <w:rsid w:val="009E15A6"/>
    <w:rsid w:val="009E18D5"/>
    <w:rsid w:val="009E4DFE"/>
    <w:rsid w:val="009E7657"/>
    <w:rsid w:val="009F0035"/>
    <w:rsid w:val="009F050A"/>
    <w:rsid w:val="009F1D8D"/>
    <w:rsid w:val="009F37F3"/>
    <w:rsid w:val="00A115B8"/>
    <w:rsid w:val="00A2406E"/>
    <w:rsid w:val="00A30AB9"/>
    <w:rsid w:val="00A30E6C"/>
    <w:rsid w:val="00A31520"/>
    <w:rsid w:val="00A31AD0"/>
    <w:rsid w:val="00A4703F"/>
    <w:rsid w:val="00A54EFA"/>
    <w:rsid w:val="00A56E91"/>
    <w:rsid w:val="00A6219A"/>
    <w:rsid w:val="00A741DF"/>
    <w:rsid w:val="00A86A9F"/>
    <w:rsid w:val="00A928B3"/>
    <w:rsid w:val="00A92FA4"/>
    <w:rsid w:val="00A97DDB"/>
    <w:rsid w:val="00AA2478"/>
    <w:rsid w:val="00AA2E19"/>
    <w:rsid w:val="00AA5974"/>
    <w:rsid w:val="00AA5F69"/>
    <w:rsid w:val="00AC07DC"/>
    <w:rsid w:val="00AD05A5"/>
    <w:rsid w:val="00AD0B02"/>
    <w:rsid w:val="00AD3E1B"/>
    <w:rsid w:val="00AD7F3F"/>
    <w:rsid w:val="00AE4E5E"/>
    <w:rsid w:val="00AE62B4"/>
    <w:rsid w:val="00AE6692"/>
    <w:rsid w:val="00AF2C85"/>
    <w:rsid w:val="00AF48D1"/>
    <w:rsid w:val="00B004DE"/>
    <w:rsid w:val="00B01C16"/>
    <w:rsid w:val="00B11178"/>
    <w:rsid w:val="00B11BE2"/>
    <w:rsid w:val="00B16F59"/>
    <w:rsid w:val="00B25A9F"/>
    <w:rsid w:val="00B276A7"/>
    <w:rsid w:val="00B31ABD"/>
    <w:rsid w:val="00B34C76"/>
    <w:rsid w:val="00B37C72"/>
    <w:rsid w:val="00B5245A"/>
    <w:rsid w:val="00B575FB"/>
    <w:rsid w:val="00B611B4"/>
    <w:rsid w:val="00B62025"/>
    <w:rsid w:val="00B736D2"/>
    <w:rsid w:val="00B73B34"/>
    <w:rsid w:val="00B97B6E"/>
    <w:rsid w:val="00BA055A"/>
    <w:rsid w:val="00BA1075"/>
    <w:rsid w:val="00BA2196"/>
    <w:rsid w:val="00BA30F1"/>
    <w:rsid w:val="00BB10DD"/>
    <w:rsid w:val="00BB3449"/>
    <w:rsid w:val="00BC25A0"/>
    <w:rsid w:val="00BD4E6F"/>
    <w:rsid w:val="00BE7814"/>
    <w:rsid w:val="00BF6806"/>
    <w:rsid w:val="00C10157"/>
    <w:rsid w:val="00C109E7"/>
    <w:rsid w:val="00C12C46"/>
    <w:rsid w:val="00C177EC"/>
    <w:rsid w:val="00C23526"/>
    <w:rsid w:val="00C36A93"/>
    <w:rsid w:val="00C457C2"/>
    <w:rsid w:val="00C50CA6"/>
    <w:rsid w:val="00C52ACA"/>
    <w:rsid w:val="00C54142"/>
    <w:rsid w:val="00C569E1"/>
    <w:rsid w:val="00C6201C"/>
    <w:rsid w:val="00C65212"/>
    <w:rsid w:val="00C73A15"/>
    <w:rsid w:val="00C745A7"/>
    <w:rsid w:val="00C76707"/>
    <w:rsid w:val="00C77540"/>
    <w:rsid w:val="00C95322"/>
    <w:rsid w:val="00C9553C"/>
    <w:rsid w:val="00CA3251"/>
    <w:rsid w:val="00CA43C4"/>
    <w:rsid w:val="00CA4EC5"/>
    <w:rsid w:val="00CB3369"/>
    <w:rsid w:val="00CB5B4F"/>
    <w:rsid w:val="00CC1AA6"/>
    <w:rsid w:val="00CE1D1E"/>
    <w:rsid w:val="00CF3C18"/>
    <w:rsid w:val="00CF57F4"/>
    <w:rsid w:val="00D03BB1"/>
    <w:rsid w:val="00D041AC"/>
    <w:rsid w:val="00D061A7"/>
    <w:rsid w:val="00D25222"/>
    <w:rsid w:val="00D40A20"/>
    <w:rsid w:val="00D44529"/>
    <w:rsid w:val="00D4632A"/>
    <w:rsid w:val="00D473C0"/>
    <w:rsid w:val="00D50D62"/>
    <w:rsid w:val="00D57EC2"/>
    <w:rsid w:val="00D618EA"/>
    <w:rsid w:val="00D63B03"/>
    <w:rsid w:val="00D86673"/>
    <w:rsid w:val="00D87C69"/>
    <w:rsid w:val="00D9174C"/>
    <w:rsid w:val="00D95E82"/>
    <w:rsid w:val="00DA038D"/>
    <w:rsid w:val="00DA1EDF"/>
    <w:rsid w:val="00DA2FD8"/>
    <w:rsid w:val="00DA528A"/>
    <w:rsid w:val="00DB10A2"/>
    <w:rsid w:val="00DB2231"/>
    <w:rsid w:val="00DB7535"/>
    <w:rsid w:val="00DC2C6F"/>
    <w:rsid w:val="00DC74C9"/>
    <w:rsid w:val="00DC7FE2"/>
    <w:rsid w:val="00DD5C9E"/>
    <w:rsid w:val="00DE2CAF"/>
    <w:rsid w:val="00DF4D94"/>
    <w:rsid w:val="00DF67DD"/>
    <w:rsid w:val="00E01441"/>
    <w:rsid w:val="00E1068A"/>
    <w:rsid w:val="00E164B5"/>
    <w:rsid w:val="00E3148E"/>
    <w:rsid w:val="00E40ED0"/>
    <w:rsid w:val="00E44B7B"/>
    <w:rsid w:val="00E52458"/>
    <w:rsid w:val="00E5327E"/>
    <w:rsid w:val="00E55900"/>
    <w:rsid w:val="00E67C89"/>
    <w:rsid w:val="00E85783"/>
    <w:rsid w:val="00E85DBA"/>
    <w:rsid w:val="00E865B4"/>
    <w:rsid w:val="00E911CD"/>
    <w:rsid w:val="00EB57F7"/>
    <w:rsid w:val="00EB6A55"/>
    <w:rsid w:val="00EC54B3"/>
    <w:rsid w:val="00ED54E2"/>
    <w:rsid w:val="00F01EA4"/>
    <w:rsid w:val="00F07CF6"/>
    <w:rsid w:val="00F11086"/>
    <w:rsid w:val="00F2713F"/>
    <w:rsid w:val="00F303E2"/>
    <w:rsid w:val="00F37C6D"/>
    <w:rsid w:val="00F53B35"/>
    <w:rsid w:val="00F66F9C"/>
    <w:rsid w:val="00F73202"/>
    <w:rsid w:val="00F821C8"/>
    <w:rsid w:val="00F828A9"/>
    <w:rsid w:val="00F92D1B"/>
    <w:rsid w:val="00F95C40"/>
    <w:rsid w:val="00FA144A"/>
    <w:rsid w:val="00FA1575"/>
    <w:rsid w:val="00FA2C54"/>
    <w:rsid w:val="00FB3A3D"/>
    <w:rsid w:val="00FB4F5C"/>
    <w:rsid w:val="00FB6076"/>
    <w:rsid w:val="00FB6D40"/>
    <w:rsid w:val="00FC0A1F"/>
    <w:rsid w:val="00FC171A"/>
    <w:rsid w:val="00FC3191"/>
    <w:rsid w:val="00FD7AF0"/>
    <w:rsid w:val="00FE6CC8"/>
    <w:rsid w:val="00FF5F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3807A3"/>
  <w15:chartTrackingRefBased/>
  <w15:docId w15:val="{EF9335AA-11CD-4644-AF38-43EA8F30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5FD2"/>
    <w:rPr>
      <w:sz w:val="24"/>
    </w:rPr>
  </w:style>
  <w:style w:type="paragraph" w:styleId="Heading1">
    <w:name w:val="heading 1"/>
    <w:basedOn w:val="Normal"/>
    <w:next w:val="Normal"/>
    <w:qFormat/>
    <w:rsid w:val="00F07CF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F07CF6"/>
    <w:pPr>
      <w:numPr>
        <w:numId w:val="2"/>
      </w:numPr>
      <w:tabs>
        <w:tab w:val="left" w:pos="-1440"/>
        <w:tab w:val="left" w:pos="-720"/>
        <w:tab w:val="num" w:pos="720"/>
        <w:tab w:val="clear" w:pos="1080"/>
      </w:tabs>
      <w:suppressAutoHyphens/>
      <w:spacing w:after="240"/>
    </w:pPr>
    <w:rPr>
      <w:sz w:val="22"/>
    </w:rPr>
  </w:style>
  <w:style w:type="paragraph" w:styleId="Footer">
    <w:name w:val="footer"/>
    <w:basedOn w:val="Normal"/>
    <w:rsid w:val="00F07CF6"/>
    <w:pPr>
      <w:tabs>
        <w:tab w:val="center" w:pos="4320"/>
        <w:tab w:val="right" w:pos="8640"/>
      </w:tabs>
    </w:pPr>
  </w:style>
  <w:style w:type="character" w:styleId="PageNumber">
    <w:name w:val="page number"/>
    <w:basedOn w:val="DefaultParagraphFont"/>
    <w:rsid w:val="00F07CF6"/>
  </w:style>
  <w:style w:type="paragraph" w:styleId="BlockText">
    <w:name w:val="Block Text"/>
    <w:basedOn w:val="Normal"/>
    <w:rsid w:val="00F07CF6"/>
    <w:pPr>
      <w:ind w:left="-576" w:right="144" w:firstLine="576"/>
    </w:pPr>
  </w:style>
  <w:style w:type="paragraph" w:styleId="FootnoteText">
    <w:name w:val="footnote text"/>
    <w:basedOn w:val="Normal"/>
    <w:semiHidden/>
    <w:rsid w:val="00F07CF6"/>
    <w:rPr>
      <w:sz w:val="20"/>
    </w:rPr>
  </w:style>
  <w:style w:type="character" w:styleId="FootnoteReference">
    <w:name w:val="footnote reference"/>
    <w:semiHidden/>
    <w:rsid w:val="00F07CF6"/>
    <w:rPr>
      <w:vertAlign w:val="superscript"/>
    </w:rPr>
  </w:style>
  <w:style w:type="paragraph" w:styleId="Header">
    <w:name w:val="header"/>
    <w:basedOn w:val="Normal"/>
    <w:rsid w:val="00F07CF6"/>
    <w:pPr>
      <w:tabs>
        <w:tab w:val="center" w:pos="4320"/>
        <w:tab w:val="right" w:pos="8640"/>
      </w:tabs>
    </w:pPr>
  </w:style>
  <w:style w:type="character" w:styleId="EndnoteReference">
    <w:name w:val="endnote reference"/>
    <w:semiHidden/>
    <w:rsid w:val="002F34D9"/>
    <w:rPr>
      <w:vertAlign w:val="superscript"/>
    </w:rPr>
  </w:style>
  <w:style w:type="paragraph" w:styleId="BalloonText">
    <w:name w:val="Balloon Text"/>
    <w:basedOn w:val="Normal"/>
    <w:semiHidden/>
    <w:rsid w:val="009C1CB2"/>
    <w:rPr>
      <w:rFonts w:ascii="Tahoma" w:hAnsi="Tahoma" w:cs="Tahoma"/>
      <w:sz w:val="16"/>
      <w:szCs w:val="16"/>
    </w:rPr>
  </w:style>
  <w:style w:type="paragraph" w:styleId="HTMLPreformatted">
    <w:name w:val="HTML Preformatted"/>
    <w:basedOn w:val="Normal"/>
    <w:rsid w:val="00D46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rsid w:val="004777EC"/>
    <w:rPr>
      <w:sz w:val="16"/>
      <w:szCs w:val="16"/>
    </w:rPr>
  </w:style>
  <w:style w:type="paragraph" w:styleId="CommentText">
    <w:name w:val="annotation text"/>
    <w:basedOn w:val="Normal"/>
    <w:link w:val="CommentTextChar"/>
    <w:rsid w:val="004777EC"/>
    <w:rPr>
      <w:sz w:val="20"/>
    </w:rPr>
  </w:style>
  <w:style w:type="character" w:customStyle="1" w:styleId="CommentTextChar">
    <w:name w:val="Comment Text Char"/>
    <w:basedOn w:val="DefaultParagraphFont"/>
    <w:link w:val="CommentText"/>
    <w:rsid w:val="004777EC"/>
  </w:style>
  <w:style w:type="paragraph" w:styleId="CommentSubject">
    <w:name w:val="annotation subject"/>
    <w:basedOn w:val="CommentText"/>
    <w:next w:val="CommentText"/>
    <w:link w:val="CommentSubjectChar"/>
    <w:rsid w:val="004777EC"/>
    <w:rPr>
      <w:b/>
      <w:bCs/>
    </w:rPr>
  </w:style>
  <w:style w:type="character" w:customStyle="1" w:styleId="CommentSubjectChar">
    <w:name w:val="Comment Subject Char"/>
    <w:link w:val="CommentSubject"/>
    <w:rsid w:val="004777EC"/>
    <w:rPr>
      <w:b/>
      <w:bCs/>
    </w:rPr>
  </w:style>
  <w:style w:type="paragraph" w:styleId="Revision">
    <w:name w:val="Revision"/>
    <w:hidden/>
    <w:uiPriority w:val="99"/>
    <w:semiHidden/>
    <w:rsid w:val="004777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A9EA-B2D4-4803-BD7A-EED84967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2010</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Rita.McDonald</dc:creator>
  <cp:lastModifiedBy>Cathy Williams</cp:lastModifiedBy>
  <cp:revision>3</cp:revision>
  <cp:lastPrinted>2007-06-14T12:01:00Z</cp:lastPrinted>
  <dcterms:created xsi:type="dcterms:W3CDTF">2022-08-31T16:02:00Z</dcterms:created>
  <dcterms:modified xsi:type="dcterms:W3CDTF">2022-11-14T13:25:00Z</dcterms:modified>
</cp:coreProperties>
</file>