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E6C" w:rsidP="006B5E6C" w14:paraId="53B006AC" w14:textId="77777777"/>
    <w:p w:rsidR="006B5E6C" w:rsidP="006B5E6C" w14:paraId="22FCC81B" w14:textId="77777777">
      <w:pPr>
        <w:jc w:val="center"/>
      </w:pPr>
      <w:r>
        <w:t>SUPPORTING STATEMENT</w:t>
      </w:r>
    </w:p>
    <w:p w:rsidR="006B5E6C" w:rsidP="006B5E6C" w14:paraId="5695828F" w14:textId="77777777"/>
    <w:p w:rsidR="006B5E6C" w:rsidP="006B5E6C" w14:paraId="40BE7E1E" w14:textId="7A069A44">
      <w:pPr>
        <w:numPr>
          <w:ilvl w:val="0"/>
          <w:numId w:val="7"/>
        </w:numPr>
      </w:pPr>
      <w:r>
        <w:t xml:space="preserve"> The Federal Communications Commission (Commission) is requesting that the </w:t>
      </w:r>
    </w:p>
    <w:p w:rsidR="006B5E6C" w:rsidP="006B5E6C" w14:paraId="66F91A64" w14:textId="77777777">
      <w:r>
        <w:t xml:space="preserve">Office of Management and Budget (OMB) approve an extension of OMB Control No. </w:t>
      </w:r>
    </w:p>
    <w:p w:rsidR="006B5E6C" w:rsidP="00DD57BA" w14:paraId="7D7651D4" w14:textId="0F8FDD44">
      <w:pPr>
        <w:tabs>
          <w:tab w:val="left" w:pos="-720"/>
        </w:tabs>
        <w:suppressAutoHyphens/>
        <w:rPr>
          <w:bCs/>
        </w:rPr>
      </w:pPr>
      <w:r>
        <w:t>3060-1108 titled, “Consummation of Assignments</w:t>
      </w:r>
      <w:r>
        <w:rPr>
          <w:rStyle w:val="FootnoteReference"/>
        </w:rPr>
        <w:footnoteReference w:id="3"/>
      </w:r>
      <w:r>
        <w:t xml:space="preserve"> and Transfers of Control</w:t>
      </w:r>
      <w:r>
        <w:rPr>
          <w:rStyle w:val="FootnoteReference"/>
        </w:rPr>
        <w:footnoteReference w:id="4"/>
      </w:r>
      <w:r>
        <w:t xml:space="preserve"> of Authorization.”  </w:t>
      </w:r>
      <w:r>
        <w:rPr>
          <w:bCs/>
        </w:rPr>
        <w:t xml:space="preserve">This Supporting Statement reflects an increase in the cost of +$27,900, which is a direct result of an increase in the number of filings anticipated each year.  There has been no change to the actual information collection authorized in </w:t>
      </w:r>
      <w:r w:rsidRPr="00275212">
        <w:rPr>
          <w:bCs/>
        </w:rPr>
        <w:t>OMB Control No. 3060-1108</w:t>
      </w:r>
      <w:r>
        <w:rPr>
          <w:bCs/>
        </w:rPr>
        <w:t>.</w:t>
      </w:r>
    </w:p>
    <w:p w:rsidR="006B5E6C" w:rsidP="006B5E6C" w14:paraId="3F2E3A9C" w14:textId="77777777"/>
    <w:p w:rsidR="006B5E6C" w:rsidP="006B5E6C" w14:paraId="5AC68677" w14:textId="1D282C48">
      <w:pPr>
        <w:tabs>
          <w:tab w:val="left" w:pos="720"/>
          <w:tab w:val="center" w:pos="4680"/>
        </w:tabs>
        <w:suppressAutoHyphens/>
      </w:pPr>
      <w:r>
        <w:t>A consummation is a party’s notification to the Commission that a transaction (e.g., assignment or transfer of control of authorization) has been completed.</w:t>
      </w:r>
      <w:r>
        <w:rPr>
          <w:rStyle w:val="FootnoteReference"/>
        </w:rPr>
        <w:footnoteReference w:id="5"/>
      </w:r>
      <w:r>
        <w:t xml:space="preserve">  A consummation is applicable to all international telecommunications and satellite services, such as International High Frequency (IHF), Section 214 Applications (ITC), and Submarine Cable Landing Licenses (SCL).</w:t>
      </w:r>
    </w:p>
    <w:p w:rsidR="006B5E6C" w:rsidP="006B5E6C" w14:paraId="0D217773" w14:textId="77777777">
      <w:pPr>
        <w:tabs>
          <w:tab w:val="left" w:pos="720"/>
          <w:tab w:val="center" w:pos="4680"/>
        </w:tabs>
        <w:suppressAutoHyphens/>
      </w:pPr>
    </w:p>
    <w:p w:rsidR="006B5E6C" w:rsidP="006B5E6C" w14:paraId="57F01FB0" w14:textId="106E8A56">
      <w:pPr>
        <w:tabs>
          <w:tab w:val="left" w:pos="720"/>
          <w:tab w:val="center" w:pos="4680"/>
        </w:tabs>
        <w:suppressAutoHyphens/>
      </w:pPr>
      <w:r>
        <w:t>The applicant completes an online form (consummation module) in the International Bureau Filing System (IBFS).  After the applicant enters the FCC Registration Number (FRN) in the form, the system generates a list of file numbers and call signs that are related to the FRN.  The applicant can select the file numbers and call signs that are part of the consummation.  The consummation module saves time for the applicants and Commission staff because the information is readily accessible for viewing and processing 24 hours a day/7 days a week.  Furthermore, the consummation module eliminated the requirement that an applicant complete and mail letters and expedited the Commission staff’s receipt of consummations in a timely manner.</w:t>
      </w:r>
    </w:p>
    <w:p w:rsidR="006B5E6C" w:rsidP="006B5E6C" w14:paraId="31FC8385" w14:textId="77777777">
      <w:pPr>
        <w:tabs>
          <w:tab w:val="left" w:pos="720"/>
          <w:tab w:val="center" w:pos="4680"/>
        </w:tabs>
        <w:suppressAutoHyphens/>
      </w:pPr>
    </w:p>
    <w:p w:rsidR="006B5E6C" w:rsidRPr="00D22106" w:rsidP="006B5E6C" w14:paraId="3F4E6453" w14:textId="77777777">
      <w:pPr>
        <w:tabs>
          <w:tab w:val="left" w:pos="720"/>
          <w:tab w:val="center" w:pos="4680"/>
        </w:tabs>
        <w:suppressAutoHyphens/>
      </w:pPr>
      <w:r w:rsidRPr="004710CA">
        <w:t xml:space="preserve">The Commission has authority for this information collection pursuant to </w:t>
      </w:r>
      <w:r>
        <w:t>47 U.S.C. 154(i) of the Communications Act of 1934.</w:t>
      </w:r>
    </w:p>
    <w:p w:rsidR="006B5E6C" w:rsidP="006B5E6C" w14:paraId="3D6BAA48" w14:textId="77777777">
      <w:pPr>
        <w:tabs>
          <w:tab w:val="left" w:pos="720"/>
          <w:tab w:val="center" w:pos="4680"/>
        </w:tabs>
        <w:suppressAutoHyphens/>
      </w:pPr>
    </w:p>
    <w:p w:rsidR="006B5E6C" w:rsidP="006B5E6C" w14:paraId="667055BC" w14:textId="77777777">
      <w:r>
        <w:t>This information collection does not affect individuals or households, thus, there are no impacts under the Privacy Act.</w:t>
      </w:r>
    </w:p>
    <w:p w:rsidR="006B5E6C" w:rsidP="006B5E6C" w14:paraId="7E95F55E" w14:textId="77777777"/>
    <w:p w:rsidR="006B5E6C" w:rsidP="006B5E6C" w14:paraId="59F322D0" w14:textId="77777777">
      <w:pPr>
        <w:tabs>
          <w:tab w:val="left" w:pos="720"/>
          <w:tab w:val="center" w:pos="4680"/>
        </w:tabs>
        <w:suppressAutoHyphens/>
      </w:pPr>
      <w:r>
        <w:t xml:space="preserve">2.   </w:t>
      </w:r>
      <w:r w:rsidRPr="00FD77BF">
        <w:rPr>
          <w:b/>
          <w:bCs/>
          <w:sz w:val="22"/>
          <w:szCs w:val="22"/>
          <w:u w:val="single"/>
        </w:rPr>
        <w:t>Use of the Information</w:t>
      </w:r>
    </w:p>
    <w:p w:rsidR="006B5E6C" w:rsidP="006B5E6C" w14:paraId="5F8B7594" w14:textId="77777777">
      <w:pPr>
        <w:tabs>
          <w:tab w:val="left" w:pos="720"/>
          <w:tab w:val="center" w:pos="4680"/>
        </w:tabs>
        <w:suppressAutoHyphens/>
      </w:pPr>
    </w:p>
    <w:p w:rsidR="006B5E6C" w:rsidP="006B5E6C" w14:paraId="042A9DD0" w14:textId="169A3274">
      <w:pPr>
        <w:tabs>
          <w:tab w:val="left" w:pos="720"/>
          <w:tab w:val="center" w:pos="4680"/>
        </w:tabs>
        <w:suppressAutoHyphens/>
      </w:pPr>
      <w:r>
        <w:t xml:space="preserve">The Commission implemented the consummation module in IBFS to keep Commission staff informed of critical information such as the date of consummation or whether there was </w:t>
      </w:r>
      <w:r w:rsidRPr="00F7220C">
        <w:t xml:space="preserve">a </w:t>
      </w:r>
      <w:r w:rsidRPr="00F7220C">
        <w:t>decision not to consummate the proposed assignment or transfer of control.</w:t>
      </w:r>
      <w:r>
        <w:t xml:space="preserve">  The Applicants utilize IBFS to inform the Commission of consummations of assignments and transfers of control of authorization</w:t>
      </w:r>
      <w:r w:rsidRPr="00DF42AC">
        <w:t xml:space="preserve"> </w:t>
      </w:r>
      <w:r>
        <w:t>for international telecommunications and satellite services, such as IHF, ITC, SCL applications.</w:t>
      </w:r>
    </w:p>
    <w:p w:rsidR="006B5E6C" w:rsidP="006B5E6C" w14:paraId="71F4EF61" w14:textId="77777777"/>
    <w:p w:rsidR="006B5E6C" w:rsidP="006B5E6C" w14:paraId="5C904CA1" w14:textId="0E51F26F">
      <w:pPr>
        <w:tabs>
          <w:tab w:val="left" w:pos="720"/>
          <w:tab w:val="center" w:pos="4680"/>
        </w:tabs>
        <w:suppressAutoHyphens/>
      </w:pPr>
      <w:r>
        <w:t xml:space="preserve">The information is used by the Commission staff in carrying out its duties under the Communications Act.  The information collections are necessary largely to ensure compliance with the Commission’s rules and regulations and ensure </w:t>
      </w:r>
      <w:r w:rsidR="00FB3DBB">
        <w:t>regulatees</w:t>
      </w:r>
      <w:r w:rsidR="00FB3DBB">
        <w:t xml:space="preserve"> </w:t>
      </w:r>
      <w:r>
        <w:t xml:space="preserve">are providing international telecommunications service pursuant to their authorization or license issued by the Commission.  The information also allows the Commission to determine whether and under what conditions the authorizations and licenses are in the public interest, convenience, and necessity.  The information collections are necessary for the Commission to maintain effective oversight of U.S. providers of international telecommunications services, maintain up-to-date ownership information of international telecommunications service providers, and their services that are provided pursuant to the providers’ approved 214 authorization and the approved transaction..  </w:t>
      </w:r>
      <w:smartTag w:uri="urn:schemas-microsoft-com:office:smarttags" w:element="country-region"/>
      <w:smartTag w:uri="urn:schemas-microsoft-com:office:smarttags" w:element="place"/>
    </w:p>
    <w:p w:rsidR="006B5E6C" w:rsidP="006B5E6C" w14:paraId="26D8A803" w14:textId="77777777"/>
    <w:p w:rsidR="006B5E6C" w:rsidP="006B5E6C" w14:paraId="60B247AA" w14:textId="78CE4711">
      <w:pPr>
        <w:numPr>
          <w:ilvl w:val="0"/>
          <w:numId w:val="8"/>
        </w:numPr>
        <w:ind w:left="360"/>
      </w:pPr>
      <w:r>
        <w:t xml:space="preserve"> </w:t>
      </w:r>
      <w:r w:rsidRPr="00FD77BF">
        <w:rPr>
          <w:b/>
          <w:bCs/>
          <w:sz w:val="22"/>
          <w:szCs w:val="22"/>
          <w:u w:val="single"/>
        </w:rPr>
        <w:t>Use of Information Technology</w:t>
      </w:r>
    </w:p>
    <w:p w:rsidR="006B5E6C" w:rsidP="006B5E6C" w14:paraId="32743706" w14:textId="77777777"/>
    <w:p w:rsidR="006B5E6C" w:rsidP="00DD57BA" w14:paraId="2F6FBB18" w14:textId="77777777">
      <w:r>
        <w:t>In September 2007, the OMB approved mandatory electronic filing of</w:t>
      </w:r>
    </w:p>
    <w:p w:rsidR="006B5E6C" w:rsidP="006B5E6C" w14:paraId="6C69605B" w14:textId="77777777">
      <w:r>
        <w:t>consummations</w:t>
      </w:r>
      <w:r w:rsidRPr="003D3FEC">
        <w:t xml:space="preserve"> </w:t>
      </w:r>
      <w:r>
        <w:t>of assignments and transfers of control of licenses for all telecommunications services.  A total of 100 percent of the collection involves the use of electronic collection techniques.</w:t>
      </w:r>
    </w:p>
    <w:p w:rsidR="006B5E6C" w:rsidP="006B5E6C" w14:paraId="21A27EB1" w14:textId="77777777"/>
    <w:p w:rsidR="006B5E6C" w:rsidP="006B5E6C" w14:paraId="71E31B0C" w14:textId="1C89409A">
      <w:pPr>
        <w:numPr>
          <w:ilvl w:val="0"/>
          <w:numId w:val="8"/>
        </w:numPr>
        <w:ind w:left="360"/>
        <w:rPr>
          <w:bCs/>
        </w:rPr>
      </w:pPr>
      <w:r w:rsidRPr="00FD77BF">
        <w:rPr>
          <w:b/>
          <w:bCs/>
          <w:sz w:val="22"/>
          <w:szCs w:val="22"/>
          <w:u w:val="single"/>
        </w:rPr>
        <w:t>Non-Duplication</w:t>
      </w:r>
      <w:r w:rsidRPr="0065096F">
        <w:rPr>
          <w:bCs/>
        </w:rPr>
        <w:t xml:space="preserve"> </w:t>
      </w:r>
    </w:p>
    <w:p w:rsidR="006B5E6C" w:rsidP="006B5E6C" w14:paraId="309197E4" w14:textId="77777777">
      <w:pPr>
        <w:ind w:left="360"/>
        <w:rPr>
          <w:bCs/>
        </w:rPr>
      </w:pPr>
    </w:p>
    <w:p w:rsidR="006B5E6C" w:rsidP="006B5E6C" w14:paraId="5C7CDB78" w14:textId="77777777">
      <w:pPr>
        <w:rPr>
          <w:bCs/>
        </w:rPr>
      </w:pPr>
      <w:r w:rsidRPr="0065096F">
        <w:rPr>
          <w:bCs/>
        </w:rPr>
        <w:t>This information collection requirement is not duplicated elsewhere</w:t>
      </w:r>
      <w:r>
        <w:rPr>
          <w:bCs/>
        </w:rPr>
        <w:t>.</w:t>
      </w:r>
    </w:p>
    <w:p w:rsidR="006B5E6C" w:rsidP="006B5E6C" w14:paraId="3CFC7C09" w14:textId="77777777">
      <w:pPr>
        <w:rPr>
          <w:bCs/>
        </w:rPr>
      </w:pPr>
    </w:p>
    <w:p w:rsidR="006B5E6C" w:rsidP="006B5E6C" w14:paraId="3D2F3F42" w14:textId="58801D4D">
      <w:r>
        <w:t xml:space="preserve">5.   </w:t>
      </w:r>
      <w:r w:rsidRPr="00CF4A80">
        <w:rPr>
          <w:b/>
          <w:bCs/>
          <w:sz w:val="22"/>
          <w:szCs w:val="22"/>
          <w:u w:val="single"/>
        </w:rPr>
        <w:t>Burden on Small Business</w:t>
      </w:r>
      <w:r>
        <w:t xml:space="preserve"> </w:t>
      </w:r>
    </w:p>
    <w:p w:rsidR="006B5E6C" w:rsidP="006B5E6C" w14:paraId="589AA695" w14:textId="07893BEC">
      <w:r>
        <w:t>The Commission’s implementation of the consummation module will decrease costs for small businesses or other small entities because they would not have to incur postage costs to mail letters to various Divisions within the agency.  Furthermore, there is no cost to the applicant to complete an online form (consummation module) in IBFS.  Therefore, the consummation module benefits small businesses or other small entities because it eliminates the cost of postage and the need to mail letters to the Commission.</w:t>
      </w:r>
    </w:p>
    <w:p w:rsidR="006B5E6C" w:rsidP="006B5E6C" w14:paraId="3FF599A4" w14:textId="77777777"/>
    <w:p w:rsidR="006B5E6C" w:rsidP="006B5E6C" w14:paraId="4C13F78D" w14:textId="5D6274AB">
      <w:r w:rsidRPr="00DD57BA">
        <w:rPr>
          <w:sz w:val="22"/>
          <w:szCs w:val="22"/>
        </w:rPr>
        <w:t>6.</w:t>
      </w:r>
      <w:r w:rsidRPr="00DD57BA">
        <w:rPr>
          <w:b/>
          <w:bCs/>
          <w:sz w:val="22"/>
          <w:szCs w:val="22"/>
        </w:rPr>
        <w:t xml:space="preserve">  </w:t>
      </w:r>
      <w:r>
        <w:rPr>
          <w:b/>
          <w:bCs/>
          <w:sz w:val="22"/>
          <w:szCs w:val="22"/>
          <w:u w:val="single"/>
        </w:rPr>
        <w:t>Critical Nature of</w:t>
      </w:r>
      <w:r w:rsidRPr="3BF0E7D8">
        <w:rPr>
          <w:b/>
          <w:bCs/>
          <w:sz w:val="22"/>
          <w:szCs w:val="22"/>
          <w:u w:val="single"/>
        </w:rPr>
        <w:t xml:space="preserve"> Collection</w:t>
      </w:r>
      <w:r>
        <w:t xml:space="preserve"> </w:t>
      </w:r>
    </w:p>
    <w:p w:rsidR="006B5E6C" w:rsidP="006B5E6C" w14:paraId="350CC74C" w14:textId="77777777">
      <w:pPr>
        <w:tabs>
          <w:tab w:val="left" w:pos="720"/>
          <w:tab w:val="center" w:pos="4680"/>
        </w:tabs>
        <w:suppressAutoHyphens/>
      </w:pPr>
    </w:p>
    <w:p w:rsidR="006B5E6C" w:rsidP="006B5E6C" w14:paraId="186C724B" w14:textId="2AE49564">
      <w:r w:rsidRPr="004710CA">
        <w:t xml:space="preserve">Without this collection of information, </w:t>
      </w:r>
      <w:r>
        <w:t xml:space="preserve">the Commission would not have critical information such as confirmation of the </w:t>
      </w:r>
      <w:r w:rsidRPr="00EE58E2">
        <w:t>consummation of the proposed assignment or transfer of control, or a decision not to consummate the proposed assignment or transfer of control.</w:t>
      </w:r>
      <w:r>
        <w:t xml:space="preserve">  The Commission would not be able to </w:t>
      </w:r>
      <w:r w:rsidRPr="000239EE">
        <w:t xml:space="preserve">ensure compliance with the Commission’s rules and </w:t>
      </w:r>
      <w:r>
        <w:t>regulations.</w:t>
      </w:r>
      <w:r w:rsidRPr="000239EE">
        <w:t xml:space="preserve">  The information collections are necessary for the Commission to maintain effective oversight of U.S. providers of international telecommunications services.  </w:t>
      </w:r>
    </w:p>
    <w:p w:rsidR="002F25C2" w:rsidRPr="000239EE" w:rsidP="006B5E6C" w14:paraId="1E43ECAE" w14:textId="77777777"/>
    <w:p w:rsidR="006B5E6C" w:rsidRPr="004710CA" w:rsidP="006B5E6C" w14:paraId="4B76E0A1" w14:textId="77777777">
      <w:pPr>
        <w:tabs>
          <w:tab w:val="left" w:pos="720"/>
          <w:tab w:val="center" w:pos="4680"/>
        </w:tabs>
        <w:suppressAutoHyphens/>
        <w:rPr>
          <w:szCs w:val="32"/>
          <w:u w:val="single"/>
        </w:rPr>
      </w:pPr>
    </w:p>
    <w:p w:rsidR="006B5E6C" w:rsidP="006B5E6C" w14:paraId="2A945E4D" w14:textId="77777777">
      <w:pPr>
        <w:tabs>
          <w:tab w:val="left" w:pos="-720"/>
        </w:tabs>
        <w:suppressAutoHyphens/>
      </w:pPr>
      <w:r>
        <w:t xml:space="preserve">7.   </w:t>
      </w:r>
      <w:r w:rsidRPr="006E65B3">
        <w:rPr>
          <w:b/>
          <w:bCs/>
          <w:u w:val="single"/>
        </w:rPr>
        <w:t>Special Circumstances</w:t>
      </w:r>
      <w:r w:rsidRPr="006E65B3">
        <w:t xml:space="preserve"> </w:t>
      </w:r>
    </w:p>
    <w:p w:rsidR="006B5E6C" w:rsidP="006B5E6C" w14:paraId="18F27356" w14:textId="77777777">
      <w:pPr>
        <w:tabs>
          <w:tab w:val="left" w:pos="-720"/>
        </w:tabs>
        <w:suppressAutoHyphens/>
      </w:pPr>
    </w:p>
    <w:p w:rsidR="006B5E6C" w:rsidP="006B5E6C" w14:paraId="283F6909" w14:textId="77777777">
      <w:pPr>
        <w:tabs>
          <w:tab w:val="left" w:pos="-720"/>
        </w:tabs>
        <w:suppressAutoHyphens/>
      </w:pPr>
      <w:r>
        <w:t>The collection of information is not being conducted in any manner known to be inconsistent with the guidelines in 5 CFR 1320.  There are no special circumstances associated with this collection.</w:t>
      </w:r>
    </w:p>
    <w:p w:rsidR="006B5E6C" w:rsidP="006B5E6C" w14:paraId="23AD39FD" w14:textId="77777777"/>
    <w:p w:rsidR="006B5E6C" w:rsidP="006B5E6C" w14:paraId="47966FD5" w14:textId="77777777">
      <w:r>
        <w:t xml:space="preserve">8.   </w:t>
      </w:r>
      <w:r w:rsidRPr="006E65B3">
        <w:rPr>
          <w:b/>
          <w:bCs/>
          <w:u w:val="single"/>
        </w:rPr>
        <w:t>Federal Register of the Agency’s Notice</w:t>
      </w:r>
      <w:r w:rsidRPr="006E65B3">
        <w:t xml:space="preserve"> </w:t>
      </w:r>
    </w:p>
    <w:p w:rsidR="006B5E6C" w:rsidP="006B5E6C" w14:paraId="714D1ECF" w14:textId="77777777"/>
    <w:p w:rsidR="006B5E6C" w:rsidP="006B5E6C" w14:paraId="36A3E2A3" w14:textId="4A8C240F">
      <w:r>
        <w:t xml:space="preserve">On </w:t>
      </w:r>
      <w:r w:rsidR="00BD75F8">
        <w:t xml:space="preserve">August 30, </w:t>
      </w:r>
      <w:r w:rsidRPr="00BD75F8" w:rsidR="00BD75F8">
        <w:t>2022</w:t>
      </w:r>
      <w:r w:rsidRPr="00BD75F8">
        <w:t>, the Commission published a 60-day notice in the Federal Register (</w:t>
      </w:r>
      <w:r w:rsidRPr="00BD75F8" w:rsidR="00BD75F8">
        <w:t>87 FR 52969</w:t>
      </w:r>
      <w:r w:rsidRPr="00BD75F8">
        <w:t>) to solicit co</w:t>
      </w:r>
      <w:r>
        <w:t>mments from the public with regard to the revision of this collection.  No comments were received from the public.</w:t>
      </w:r>
    </w:p>
    <w:p w:rsidR="006B5E6C" w:rsidP="006B5E6C" w14:paraId="483A4F5F" w14:textId="77777777"/>
    <w:p w:rsidR="006B5E6C" w:rsidP="006B5E6C" w14:paraId="0003C648" w14:textId="77777777">
      <w:pPr>
        <w:tabs>
          <w:tab w:val="left" w:pos="-720"/>
        </w:tabs>
        <w:suppressAutoHyphens/>
      </w:pPr>
      <w:r>
        <w:t xml:space="preserve">9.     </w:t>
      </w:r>
      <w:r w:rsidRPr="006E65B3">
        <w:rPr>
          <w:b/>
          <w:bCs/>
          <w:u w:val="single"/>
        </w:rPr>
        <w:t>Gifts or Payment</w:t>
      </w:r>
      <w:r w:rsidRPr="006E65B3">
        <w:t xml:space="preserve"> </w:t>
      </w:r>
    </w:p>
    <w:p w:rsidR="006B5E6C" w:rsidP="006B5E6C" w14:paraId="2BDA78AC" w14:textId="77777777">
      <w:pPr>
        <w:tabs>
          <w:tab w:val="left" w:pos="-720"/>
        </w:tabs>
        <w:suppressAutoHyphens/>
      </w:pPr>
    </w:p>
    <w:p w:rsidR="006B5E6C" w:rsidP="006B5E6C" w14:paraId="77542105" w14:textId="77777777">
      <w:pPr>
        <w:tabs>
          <w:tab w:val="left" w:pos="-720"/>
        </w:tabs>
        <w:suppressAutoHyphens/>
      </w:pPr>
      <w:r>
        <w:t>The Commission does not provide any payment or gift to respondents.</w:t>
      </w:r>
    </w:p>
    <w:p w:rsidR="006B5E6C" w:rsidP="006B5E6C" w14:paraId="7183AFDE" w14:textId="77777777">
      <w:pPr>
        <w:tabs>
          <w:tab w:val="left" w:pos="-720"/>
        </w:tabs>
        <w:suppressAutoHyphens/>
        <w:rPr>
          <w:b/>
        </w:rPr>
      </w:pPr>
    </w:p>
    <w:p w:rsidR="006B5E6C" w:rsidP="006B5E6C" w14:paraId="63FEC138" w14:textId="77777777">
      <w:pPr>
        <w:tabs>
          <w:tab w:val="left" w:pos="-720"/>
        </w:tabs>
        <w:suppressAutoHyphens/>
      </w:pPr>
      <w:r>
        <w:t xml:space="preserve">10.   </w:t>
      </w:r>
      <w:r w:rsidRPr="006E65B3">
        <w:rPr>
          <w:b/>
          <w:bCs/>
          <w:u w:val="single"/>
        </w:rPr>
        <w:t>Confidentiality</w:t>
      </w:r>
      <w:r w:rsidRPr="006E65B3">
        <w:t xml:space="preserve"> </w:t>
      </w:r>
    </w:p>
    <w:p w:rsidR="006B5E6C" w:rsidP="006B5E6C" w14:paraId="3F477F00" w14:textId="77777777">
      <w:pPr>
        <w:tabs>
          <w:tab w:val="left" w:pos="-720"/>
        </w:tabs>
        <w:suppressAutoHyphens/>
      </w:pPr>
    </w:p>
    <w:p w:rsidR="006B5E6C" w:rsidP="006B5E6C" w14:paraId="34DFEDEE" w14:textId="4BEE0F19">
      <w:pPr>
        <w:tabs>
          <w:tab w:val="left" w:pos="-720"/>
        </w:tabs>
        <w:suppressAutoHyphens/>
      </w:pPr>
      <w:r>
        <w:t>The Commission does not provide assurances of confidentiality to entities submitting their filings and applications.  However, entities may request confidential treatment of their applications and filings under 47 CFR 0.459 of the Commission's rules.  With regard to certifications filed pursuant to Part 2 of the Commission’s rules, parties receive minimal exemption from the Freedom of Information Act (FOIA).</w:t>
      </w:r>
    </w:p>
    <w:p w:rsidR="006B5E6C" w:rsidP="006B5E6C" w14:paraId="0DB78F84" w14:textId="77777777">
      <w:pPr>
        <w:tabs>
          <w:tab w:val="left" w:pos="-720"/>
        </w:tabs>
        <w:suppressAutoHyphens/>
        <w:rPr>
          <w:b/>
        </w:rPr>
      </w:pPr>
    </w:p>
    <w:p w:rsidR="006B5E6C" w:rsidP="006B5E6C" w14:paraId="56097C70" w14:textId="06C60957">
      <w:pPr>
        <w:tabs>
          <w:tab w:val="left" w:pos="-720"/>
        </w:tabs>
        <w:suppressAutoHyphens/>
      </w:pPr>
      <w:r>
        <w:t xml:space="preserve">11.   </w:t>
      </w:r>
      <w:r w:rsidRPr="006E65B3">
        <w:rPr>
          <w:b/>
          <w:bCs/>
          <w:u w:val="single"/>
        </w:rPr>
        <w:t>Sensitive Questions</w:t>
      </w:r>
      <w:r w:rsidRPr="006E65B3">
        <w:t xml:space="preserve"> </w:t>
      </w:r>
    </w:p>
    <w:p w:rsidR="006B5E6C" w:rsidP="006B5E6C" w14:paraId="44F7CB73" w14:textId="77777777">
      <w:pPr>
        <w:tabs>
          <w:tab w:val="left" w:pos="-720"/>
        </w:tabs>
        <w:suppressAutoHyphens/>
      </w:pPr>
    </w:p>
    <w:p w:rsidR="006B5E6C" w:rsidP="006B5E6C" w14:paraId="7144D0CB" w14:textId="77777777">
      <w:pPr>
        <w:tabs>
          <w:tab w:val="left" w:pos="-720"/>
        </w:tabs>
        <w:suppressAutoHyphens/>
      </w:pPr>
      <w:r>
        <w:t>This collection does not contain questions of a sensitive nature.</w:t>
      </w:r>
    </w:p>
    <w:p w:rsidR="006B5E6C" w:rsidP="006B5E6C" w14:paraId="780AE9AA" w14:textId="77777777">
      <w:pPr>
        <w:tabs>
          <w:tab w:val="left" w:pos="-720"/>
        </w:tabs>
        <w:suppressAutoHyphens/>
        <w:rPr>
          <w:b/>
        </w:rPr>
      </w:pPr>
    </w:p>
    <w:p w:rsidR="006B5E6C" w:rsidRPr="00DD57BA" w:rsidP="006B5E6C" w14:paraId="55B30A94" w14:textId="09434924">
      <w:pPr>
        <w:suppressAutoHyphens/>
        <w:rPr>
          <w:b/>
          <w:bCs/>
          <w:u w:val="single"/>
        </w:rPr>
      </w:pPr>
      <w:r>
        <w:br w:type="page"/>
      </w:r>
      <w:r>
        <w:t xml:space="preserve">12.   </w:t>
      </w:r>
      <w:r w:rsidRPr="00DD57BA">
        <w:rPr>
          <w:b/>
          <w:bCs/>
          <w:u w:val="single"/>
        </w:rPr>
        <w:t xml:space="preserve">Respondent </w:t>
      </w:r>
      <w:r w:rsidR="002C27C5">
        <w:rPr>
          <w:b/>
          <w:bCs/>
          <w:u w:val="single"/>
        </w:rPr>
        <w:t xml:space="preserve">Estimated </w:t>
      </w:r>
      <w:r w:rsidRPr="4894549D">
        <w:rPr>
          <w:b/>
          <w:bCs/>
          <w:u w:val="single"/>
        </w:rPr>
        <w:t>Burden</w:t>
      </w:r>
    </w:p>
    <w:p w:rsidR="006B5E6C" w:rsidRPr="00DD57BA" w:rsidP="006B5E6C" w14:paraId="50A9B84A" w14:textId="77777777">
      <w:pPr>
        <w:tabs>
          <w:tab w:val="left" w:pos="-720"/>
        </w:tabs>
        <w:suppressAutoHyphens/>
      </w:pPr>
    </w:p>
    <w:p w:rsidR="006B5E6C" w:rsidP="006B5E6C" w14:paraId="1A0FD7A3" w14:textId="77777777">
      <w:pPr>
        <w:tabs>
          <w:tab w:val="left" w:pos="-720"/>
        </w:tabs>
        <w:suppressAutoHyphens/>
        <w:rPr>
          <w:spacing w:val="-3"/>
        </w:rPr>
      </w:pPr>
      <w:r>
        <w:rPr>
          <w:spacing w:val="-3"/>
        </w:rPr>
        <w:t>Please see the chart below for the number of responses, frequency of response, time per</w:t>
      </w:r>
    </w:p>
    <w:p w:rsidR="006B5E6C" w:rsidP="006B5E6C" w14:paraId="6CD03924" w14:textId="474C001D">
      <w:pPr>
        <w:tabs>
          <w:tab w:val="left" w:pos="-720"/>
        </w:tabs>
        <w:suppressAutoHyphens/>
        <w:rPr>
          <w:spacing w:val="-3"/>
        </w:rPr>
      </w:pPr>
      <w:r>
        <w:rPr>
          <w:spacing w:val="-3"/>
        </w:rPr>
        <w:t xml:space="preserve">response, total annual burden hours, and explanation of burden estimate for the </w:t>
      </w:r>
      <w:r>
        <w:rPr>
          <w:b/>
          <w:spacing w:val="-3"/>
        </w:rPr>
        <w:t>405</w:t>
      </w:r>
      <w:r w:rsidRPr="00B801DC">
        <w:rPr>
          <w:b/>
          <w:spacing w:val="-3"/>
        </w:rPr>
        <w:t xml:space="preserve"> respondents</w:t>
      </w:r>
      <w:r>
        <w:rPr>
          <w:spacing w:val="-3"/>
        </w:rPr>
        <w:t xml:space="preserve"> to this information collection.  We estimate that the average time that the respondents spend entering information in the IBFS is one hour.  Please note that the time spent gathering the information would have been completed prior to submitting the initial application to the Commission via IBFS.  </w:t>
      </w:r>
    </w:p>
    <w:p w:rsidR="006B5E6C" w:rsidP="006B5E6C" w14:paraId="0B2D0B60" w14:textId="77777777">
      <w:pPr>
        <w:tabs>
          <w:tab w:val="left" w:pos="-720"/>
        </w:tabs>
        <w:suppressAutoHyphens/>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089"/>
        <w:gridCol w:w="1105"/>
        <w:gridCol w:w="1230"/>
        <w:gridCol w:w="1088"/>
        <w:gridCol w:w="1090"/>
        <w:gridCol w:w="1083"/>
        <w:gridCol w:w="1072"/>
      </w:tblGrid>
      <w:tr w14:paraId="11C22046" w14:textId="77777777" w:rsidTr="009B4E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9" w:type="dxa"/>
            <w:shd w:val="clear" w:color="auto" w:fill="auto"/>
          </w:tcPr>
          <w:p w:rsidR="006B5E6C" w:rsidRPr="00A062D8" w:rsidP="009B4E3F" w14:paraId="5A1A0790" w14:textId="77777777">
            <w:pPr>
              <w:tabs>
                <w:tab w:val="left" w:pos="-720"/>
              </w:tabs>
              <w:suppressAutoHyphens/>
              <w:jc w:val="center"/>
              <w:rPr>
                <w:b/>
                <w:spacing w:val="-3"/>
                <w:sz w:val="16"/>
                <w:szCs w:val="16"/>
              </w:rPr>
            </w:pPr>
          </w:p>
        </w:tc>
        <w:tc>
          <w:tcPr>
            <w:tcW w:w="1089" w:type="dxa"/>
            <w:shd w:val="clear" w:color="auto" w:fill="auto"/>
          </w:tcPr>
          <w:p w:rsidR="006B5E6C" w:rsidP="009B4E3F" w14:paraId="33A1072A" w14:textId="77777777">
            <w:pPr>
              <w:tabs>
                <w:tab w:val="left" w:pos="-720"/>
              </w:tabs>
              <w:suppressAutoHyphens/>
              <w:jc w:val="center"/>
              <w:rPr>
                <w:b/>
                <w:spacing w:val="-3"/>
                <w:sz w:val="16"/>
                <w:szCs w:val="16"/>
              </w:rPr>
            </w:pPr>
          </w:p>
          <w:p w:rsidR="006B5E6C" w:rsidP="009B4E3F" w14:paraId="439CA6A8" w14:textId="77777777">
            <w:pPr>
              <w:tabs>
                <w:tab w:val="left" w:pos="-720"/>
              </w:tabs>
              <w:suppressAutoHyphens/>
              <w:jc w:val="center"/>
              <w:rPr>
                <w:b/>
                <w:spacing w:val="-3"/>
                <w:sz w:val="16"/>
                <w:szCs w:val="16"/>
              </w:rPr>
            </w:pPr>
          </w:p>
          <w:p w:rsidR="006B5E6C" w:rsidRPr="00A062D8" w:rsidP="009B4E3F" w14:paraId="6BB2510C" w14:textId="77777777">
            <w:pPr>
              <w:tabs>
                <w:tab w:val="left" w:pos="-720"/>
              </w:tabs>
              <w:suppressAutoHyphens/>
              <w:jc w:val="center"/>
              <w:rPr>
                <w:b/>
                <w:spacing w:val="-3"/>
                <w:sz w:val="16"/>
                <w:szCs w:val="16"/>
              </w:rPr>
            </w:pPr>
            <w:r w:rsidRPr="00A062D8">
              <w:rPr>
                <w:b/>
                <w:spacing w:val="-3"/>
                <w:sz w:val="16"/>
                <w:szCs w:val="16"/>
              </w:rPr>
              <w:t>47 CFR</w:t>
            </w:r>
          </w:p>
        </w:tc>
        <w:tc>
          <w:tcPr>
            <w:tcW w:w="1105" w:type="dxa"/>
            <w:shd w:val="clear" w:color="auto" w:fill="auto"/>
          </w:tcPr>
          <w:p w:rsidR="006B5E6C" w:rsidRPr="00A062D8" w:rsidP="009B4E3F" w14:paraId="32DC2748" w14:textId="77777777">
            <w:pPr>
              <w:tabs>
                <w:tab w:val="left" w:pos="-720"/>
              </w:tabs>
              <w:suppressAutoHyphens/>
              <w:jc w:val="center"/>
              <w:rPr>
                <w:b/>
                <w:spacing w:val="-3"/>
                <w:sz w:val="16"/>
                <w:szCs w:val="16"/>
              </w:rPr>
            </w:pPr>
          </w:p>
        </w:tc>
        <w:tc>
          <w:tcPr>
            <w:tcW w:w="1230" w:type="dxa"/>
            <w:shd w:val="clear" w:color="auto" w:fill="auto"/>
          </w:tcPr>
          <w:p w:rsidR="006B5E6C" w:rsidRPr="00A062D8" w:rsidP="009B4E3F" w14:paraId="42DBBA9D" w14:textId="77777777">
            <w:pPr>
              <w:tabs>
                <w:tab w:val="left" w:pos="-720"/>
              </w:tabs>
              <w:suppressAutoHyphens/>
              <w:jc w:val="center"/>
              <w:rPr>
                <w:b/>
                <w:spacing w:val="-3"/>
                <w:sz w:val="16"/>
                <w:szCs w:val="16"/>
              </w:rPr>
            </w:pPr>
            <w:r>
              <w:rPr>
                <w:b/>
                <w:spacing w:val="-3"/>
                <w:sz w:val="16"/>
                <w:szCs w:val="16"/>
              </w:rPr>
              <w:t>Assignments and Transfers of Control</w:t>
            </w:r>
          </w:p>
        </w:tc>
        <w:tc>
          <w:tcPr>
            <w:tcW w:w="1088" w:type="dxa"/>
            <w:shd w:val="clear" w:color="auto" w:fill="auto"/>
          </w:tcPr>
          <w:p w:rsidR="006B5E6C" w:rsidRPr="00A062D8" w:rsidP="009B4E3F" w14:paraId="0293017D" w14:textId="77777777">
            <w:pPr>
              <w:tabs>
                <w:tab w:val="left" w:pos="-720"/>
              </w:tabs>
              <w:suppressAutoHyphens/>
              <w:jc w:val="center"/>
              <w:rPr>
                <w:b/>
                <w:spacing w:val="-3"/>
                <w:sz w:val="16"/>
                <w:szCs w:val="16"/>
              </w:rPr>
            </w:pPr>
          </w:p>
        </w:tc>
        <w:tc>
          <w:tcPr>
            <w:tcW w:w="1090" w:type="dxa"/>
            <w:shd w:val="clear" w:color="auto" w:fill="auto"/>
          </w:tcPr>
          <w:p w:rsidR="006B5E6C" w:rsidRPr="00A062D8" w:rsidP="009B4E3F" w14:paraId="5CACD3D4" w14:textId="77777777">
            <w:pPr>
              <w:tabs>
                <w:tab w:val="left" w:pos="-720"/>
              </w:tabs>
              <w:suppressAutoHyphens/>
              <w:jc w:val="center"/>
              <w:rPr>
                <w:b/>
                <w:spacing w:val="-3"/>
                <w:sz w:val="16"/>
                <w:szCs w:val="16"/>
              </w:rPr>
            </w:pPr>
          </w:p>
        </w:tc>
        <w:tc>
          <w:tcPr>
            <w:tcW w:w="1083" w:type="dxa"/>
            <w:shd w:val="clear" w:color="auto" w:fill="auto"/>
          </w:tcPr>
          <w:p w:rsidR="006B5E6C" w:rsidRPr="00A062D8" w:rsidP="009B4E3F" w14:paraId="6D47476E" w14:textId="77777777">
            <w:pPr>
              <w:tabs>
                <w:tab w:val="left" w:pos="-720"/>
              </w:tabs>
              <w:suppressAutoHyphens/>
              <w:jc w:val="center"/>
              <w:rPr>
                <w:b/>
                <w:spacing w:val="-3"/>
                <w:sz w:val="16"/>
                <w:szCs w:val="16"/>
              </w:rPr>
            </w:pPr>
          </w:p>
        </w:tc>
        <w:tc>
          <w:tcPr>
            <w:tcW w:w="1072" w:type="dxa"/>
            <w:shd w:val="clear" w:color="auto" w:fill="auto"/>
          </w:tcPr>
          <w:p w:rsidR="006B5E6C" w:rsidP="009B4E3F" w14:paraId="628C2884" w14:textId="77777777">
            <w:pPr>
              <w:tabs>
                <w:tab w:val="left" w:pos="-720"/>
              </w:tabs>
              <w:suppressAutoHyphens/>
              <w:jc w:val="center"/>
              <w:rPr>
                <w:b/>
                <w:spacing w:val="-3"/>
                <w:sz w:val="16"/>
                <w:szCs w:val="16"/>
              </w:rPr>
            </w:pPr>
          </w:p>
          <w:p w:rsidR="006B5E6C" w:rsidP="009B4E3F" w14:paraId="35FB3CFA" w14:textId="77777777">
            <w:pPr>
              <w:tabs>
                <w:tab w:val="left" w:pos="-720"/>
              </w:tabs>
              <w:suppressAutoHyphens/>
              <w:jc w:val="center"/>
              <w:rPr>
                <w:b/>
                <w:spacing w:val="-3"/>
                <w:sz w:val="16"/>
                <w:szCs w:val="16"/>
              </w:rPr>
            </w:pPr>
          </w:p>
          <w:p w:rsidR="006B5E6C" w:rsidRPr="00A062D8" w:rsidP="009B4E3F" w14:paraId="025F0151" w14:textId="77777777">
            <w:pPr>
              <w:tabs>
                <w:tab w:val="left" w:pos="-720"/>
              </w:tabs>
              <w:suppressAutoHyphens/>
              <w:jc w:val="center"/>
              <w:rPr>
                <w:b/>
                <w:spacing w:val="-3"/>
                <w:sz w:val="16"/>
                <w:szCs w:val="16"/>
              </w:rPr>
            </w:pPr>
            <w:r w:rsidRPr="00A062D8">
              <w:rPr>
                <w:b/>
                <w:spacing w:val="-3"/>
                <w:sz w:val="16"/>
                <w:szCs w:val="16"/>
              </w:rPr>
              <w:t>Total</w:t>
            </w:r>
          </w:p>
        </w:tc>
      </w:tr>
      <w:tr w14:paraId="10C8EF4F" w14:textId="77777777" w:rsidTr="009B4E3F">
        <w:tblPrEx>
          <w:tblW w:w="0" w:type="auto"/>
          <w:tblLook w:val="04A0"/>
        </w:tblPrEx>
        <w:tc>
          <w:tcPr>
            <w:tcW w:w="1099" w:type="dxa"/>
            <w:shd w:val="clear" w:color="auto" w:fill="auto"/>
          </w:tcPr>
          <w:p w:rsidR="006B5E6C" w:rsidRPr="00A062D8" w:rsidP="009B4E3F" w14:paraId="5F5CD879" w14:textId="77777777">
            <w:pPr>
              <w:tabs>
                <w:tab w:val="left" w:pos="-720"/>
              </w:tabs>
              <w:suppressAutoHyphens/>
              <w:jc w:val="center"/>
              <w:rPr>
                <w:b/>
                <w:spacing w:val="-3"/>
                <w:sz w:val="16"/>
                <w:szCs w:val="16"/>
              </w:rPr>
            </w:pPr>
            <w:r w:rsidRPr="00A062D8">
              <w:rPr>
                <w:b/>
                <w:spacing w:val="-3"/>
                <w:sz w:val="16"/>
                <w:szCs w:val="16"/>
              </w:rPr>
              <w:t>Explanation</w:t>
            </w:r>
          </w:p>
        </w:tc>
        <w:tc>
          <w:tcPr>
            <w:tcW w:w="1089" w:type="dxa"/>
            <w:shd w:val="clear" w:color="auto" w:fill="auto"/>
          </w:tcPr>
          <w:p w:rsidR="006B5E6C" w:rsidRPr="00A062D8" w:rsidP="009B4E3F" w14:paraId="07E98FE6" w14:textId="77777777">
            <w:pPr>
              <w:tabs>
                <w:tab w:val="left" w:pos="-720"/>
              </w:tabs>
              <w:suppressAutoHyphens/>
              <w:jc w:val="center"/>
              <w:rPr>
                <w:b/>
                <w:spacing w:val="-3"/>
                <w:sz w:val="16"/>
                <w:szCs w:val="16"/>
              </w:rPr>
            </w:pPr>
            <w:r w:rsidRPr="00A062D8">
              <w:rPr>
                <w:b/>
                <w:spacing w:val="-3"/>
                <w:sz w:val="16"/>
                <w:szCs w:val="16"/>
              </w:rPr>
              <w:t>Rule</w:t>
            </w:r>
          </w:p>
        </w:tc>
        <w:tc>
          <w:tcPr>
            <w:tcW w:w="1105" w:type="dxa"/>
            <w:shd w:val="clear" w:color="auto" w:fill="auto"/>
          </w:tcPr>
          <w:p w:rsidR="006B5E6C" w:rsidRPr="00A062D8" w:rsidP="009B4E3F" w14:paraId="26421A49" w14:textId="77777777">
            <w:pPr>
              <w:tabs>
                <w:tab w:val="left" w:pos="-720"/>
              </w:tabs>
              <w:suppressAutoHyphens/>
              <w:jc w:val="center"/>
              <w:rPr>
                <w:b/>
                <w:spacing w:val="-3"/>
                <w:sz w:val="16"/>
                <w:szCs w:val="16"/>
              </w:rPr>
            </w:pPr>
          </w:p>
        </w:tc>
        <w:tc>
          <w:tcPr>
            <w:tcW w:w="1230" w:type="dxa"/>
            <w:shd w:val="clear" w:color="auto" w:fill="auto"/>
          </w:tcPr>
          <w:p w:rsidR="006B5E6C" w:rsidRPr="00A062D8" w:rsidP="009B4E3F" w14:paraId="50F7310B" w14:textId="77777777">
            <w:pPr>
              <w:tabs>
                <w:tab w:val="left" w:pos="-720"/>
              </w:tabs>
              <w:suppressAutoHyphens/>
              <w:jc w:val="center"/>
              <w:rPr>
                <w:b/>
                <w:spacing w:val="-3"/>
                <w:sz w:val="16"/>
                <w:szCs w:val="16"/>
              </w:rPr>
            </w:pPr>
            <w:r w:rsidRPr="00A062D8">
              <w:rPr>
                <w:b/>
                <w:spacing w:val="-3"/>
                <w:sz w:val="16"/>
                <w:szCs w:val="16"/>
              </w:rPr>
              <w:t>Application</w:t>
            </w:r>
          </w:p>
        </w:tc>
        <w:tc>
          <w:tcPr>
            <w:tcW w:w="1088" w:type="dxa"/>
            <w:shd w:val="clear" w:color="auto" w:fill="auto"/>
          </w:tcPr>
          <w:p w:rsidR="006B5E6C" w:rsidRPr="00A062D8" w:rsidP="009B4E3F" w14:paraId="36215A9F" w14:textId="77777777">
            <w:pPr>
              <w:tabs>
                <w:tab w:val="left" w:pos="-720"/>
              </w:tabs>
              <w:suppressAutoHyphens/>
              <w:jc w:val="center"/>
              <w:rPr>
                <w:b/>
                <w:spacing w:val="-3"/>
                <w:sz w:val="16"/>
                <w:szCs w:val="16"/>
              </w:rPr>
            </w:pPr>
          </w:p>
        </w:tc>
        <w:tc>
          <w:tcPr>
            <w:tcW w:w="1090" w:type="dxa"/>
            <w:shd w:val="clear" w:color="auto" w:fill="auto"/>
          </w:tcPr>
          <w:p w:rsidR="006B5E6C" w:rsidRPr="00A062D8" w:rsidP="009B4E3F" w14:paraId="389E679E" w14:textId="77777777">
            <w:pPr>
              <w:tabs>
                <w:tab w:val="left" w:pos="-720"/>
              </w:tabs>
              <w:suppressAutoHyphens/>
              <w:jc w:val="center"/>
              <w:rPr>
                <w:b/>
                <w:spacing w:val="-3"/>
                <w:sz w:val="16"/>
                <w:szCs w:val="16"/>
              </w:rPr>
            </w:pPr>
            <w:r w:rsidRPr="00A062D8">
              <w:rPr>
                <w:b/>
                <w:spacing w:val="-3"/>
                <w:sz w:val="16"/>
                <w:szCs w:val="16"/>
              </w:rPr>
              <w:t>Frequency</w:t>
            </w:r>
          </w:p>
        </w:tc>
        <w:tc>
          <w:tcPr>
            <w:tcW w:w="1083" w:type="dxa"/>
            <w:shd w:val="clear" w:color="auto" w:fill="auto"/>
          </w:tcPr>
          <w:p w:rsidR="006B5E6C" w:rsidRPr="00A062D8" w:rsidP="009B4E3F" w14:paraId="2FF9FAC8" w14:textId="77777777">
            <w:pPr>
              <w:tabs>
                <w:tab w:val="left" w:pos="-720"/>
              </w:tabs>
              <w:suppressAutoHyphens/>
              <w:jc w:val="center"/>
              <w:rPr>
                <w:b/>
                <w:spacing w:val="-3"/>
                <w:sz w:val="16"/>
                <w:szCs w:val="16"/>
              </w:rPr>
            </w:pPr>
            <w:r w:rsidRPr="00A062D8">
              <w:rPr>
                <w:b/>
                <w:spacing w:val="-3"/>
                <w:sz w:val="16"/>
                <w:szCs w:val="16"/>
              </w:rPr>
              <w:t>Time</w:t>
            </w:r>
          </w:p>
        </w:tc>
        <w:tc>
          <w:tcPr>
            <w:tcW w:w="1072" w:type="dxa"/>
            <w:shd w:val="clear" w:color="auto" w:fill="auto"/>
          </w:tcPr>
          <w:p w:rsidR="006B5E6C" w:rsidRPr="00A062D8" w:rsidP="009B4E3F" w14:paraId="24169117" w14:textId="77777777">
            <w:pPr>
              <w:tabs>
                <w:tab w:val="left" w:pos="-720"/>
              </w:tabs>
              <w:suppressAutoHyphens/>
              <w:jc w:val="center"/>
              <w:rPr>
                <w:b/>
                <w:spacing w:val="-3"/>
                <w:sz w:val="16"/>
                <w:szCs w:val="16"/>
              </w:rPr>
            </w:pPr>
            <w:r w:rsidRPr="00A062D8">
              <w:rPr>
                <w:b/>
                <w:spacing w:val="-3"/>
                <w:sz w:val="16"/>
                <w:szCs w:val="16"/>
              </w:rPr>
              <w:t>Burden</w:t>
            </w:r>
          </w:p>
        </w:tc>
      </w:tr>
      <w:tr w14:paraId="73864355" w14:textId="77777777" w:rsidTr="009B4E3F">
        <w:tblPrEx>
          <w:tblW w:w="0" w:type="auto"/>
          <w:tblLook w:val="04A0"/>
        </w:tblPrEx>
        <w:tc>
          <w:tcPr>
            <w:tcW w:w="1099" w:type="dxa"/>
            <w:shd w:val="clear" w:color="auto" w:fill="auto"/>
          </w:tcPr>
          <w:p w:rsidR="006B5E6C" w:rsidRPr="00F444AE" w:rsidP="009B4E3F" w14:paraId="079155E9" w14:textId="77777777">
            <w:pPr>
              <w:tabs>
                <w:tab w:val="left" w:pos="-720"/>
              </w:tabs>
              <w:suppressAutoHyphens/>
              <w:jc w:val="center"/>
              <w:rPr>
                <w:b/>
                <w:spacing w:val="-3"/>
                <w:sz w:val="16"/>
                <w:szCs w:val="16"/>
                <w:u w:val="single"/>
              </w:rPr>
            </w:pPr>
            <w:r w:rsidRPr="00F444AE">
              <w:rPr>
                <w:b/>
                <w:spacing w:val="-3"/>
                <w:sz w:val="16"/>
                <w:szCs w:val="16"/>
                <w:u w:val="single"/>
              </w:rPr>
              <w:t>of Burden</w:t>
            </w:r>
          </w:p>
        </w:tc>
        <w:tc>
          <w:tcPr>
            <w:tcW w:w="1089" w:type="dxa"/>
            <w:shd w:val="clear" w:color="auto" w:fill="auto"/>
          </w:tcPr>
          <w:p w:rsidR="006B5E6C" w:rsidRPr="00F444AE" w:rsidP="009B4E3F" w14:paraId="6D998590" w14:textId="77777777">
            <w:pPr>
              <w:tabs>
                <w:tab w:val="left" w:pos="-720"/>
              </w:tabs>
              <w:suppressAutoHyphens/>
              <w:jc w:val="center"/>
              <w:rPr>
                <w:b/>
                <w:spacing w:val="-3"/>
                <w:sz w:val="16"/>
                <w:szCs w:val="16"/>
                <w:u w:val="single"/>
              </w:rPr>
            </w:pPr>
            <w:r w:rsidRPr="00F444AE">
              <w:rPr>
                <w:b/>
                <w:spacing w:val="-3"/>
                <w:sz w:val="16"/>
                <w:szCs w:val="16"/>
                <w:u w:val="single"/>
              </w:rPr>
              <w:t>Section</w:t>
            </w:r>
          </w:p>
        </w:tc>
        <w:tc>
          <w:tcPr>
            <w:tcW w:w="1105" w:type="dxa"/>
            <w:shd w:val="clear" w:color="auto" w:fill="auto"/>
          </w:tcPr>
          <w:p w:rsidR="006B5E6C" w:rsidRPr="00F444AE" w:rsidP="009B4E3F" w14:paraId="35A5CED0" w14:textId="77777777">
            <w:pPr>
              <w:tabs>
                <w:tab w:val="left" w:pos="-720"/>
              </w:tabs>
              <w:suppressAutoHyphens/>
              <w:jc w:val="center"/>
              <w:rPr>
                <w:b/>
                <w:spacing w:val="-3"/>
                <w:sz w:val="16"/>
                <w:szCs w:val="16"/>
                <w:u w:val="single"/>
              </w:rPr>
            </w:pPr>
            <w:r w:rsidRPr="00F444AE">
              <w:rPr>
                <w:b/>
                <w:spacing w:val="-3"/>
                <w:sz w:val="16"/>
                <w:szCs w:val="16"/>
                <w:u w:val="single"/>
              </w:rPr>
              <w:t>Abbreviation</w:t>
            </w:r>
          </w:p>
        </w:tc>
        <w:tc>
          <w:tcPr>
            <w:tcW w:w="1230" w:type="dxa"/>
            <w:shd w:val="clear" w:color="auto" w:fill="auto"/>
          </w:tcPr>
          <w:p w:rsidR="006B5E6C" w:rsidRPr="00F444AE" w:rsidP="009B4E3F" w14:paraId="34FBD1D0" w14:textId="77777777">
            <w:pPr>
              <w:tabs>
                <w:tab w:val="left" w:pos="-720"/>
              </w:tabs>
              <w:suppressAutoHyphens/>
              <w:jc w:val="center"/>
              <w:rPr>
                <w:b/>
                <w:spacing w:val="-3"/>
                <w:sz w:val="16"/>
                <w:szCs w:val="16"/>
                <w:u w:val="single"/>
              </w:rPr>
            </w:pPr>
            <w:r w:rsidRPr="00F444AE">
              <w:rPr>
                <w:b/>
                <w:spacing w:val="-3"/>
                <w:sz w:val="16"/>
                <w:szCs w:val="16"/>
                <w:u w:val="single"/>
              </w:rPr>
              <w:t>Type</w:t>
            </w:r>
          </w:p>
        </w:tc>
        <w:tc>
          <w:tcPr>
            <w:tcW w:w="1088" w:type="dxa"/>
            <w:shd w:val="clear" w:color="auto" w:fill="auto"/>
          </w:tcPr>
          <w:p w:rsidR="006B5E6C" w:rsidRPr="00F444AE" w:rsidP="009B4E3F" w14:paraId="3BACE0A5" w14:textId="77777777">
            <w:pPr>
              <w:tabs>
                <w:tab w:val="left" w:pos="-720"/>
              </w:tabs>
              <w:suppressAutoHyphens/>
              <w:jc w:val="center"/>
              <w:rPr>
                <w:b/>
                <w:spacing w:val="-3"/>
                <w:sz w:val="16"/>
                <w:szCs w:val="16"/>
                <w:u w:val="single"/>
              </w:rPr>
            </w:pPr>
            <w:r w:rsidRPr="00F444AE">
              <w:rPr>
                <w:b/>
                <w:spacing w:val="-3"/>
                <w:sz w:val="16"/>
                <w:szCs w:val="16"/>
                <w:u w:val="single"/>
              </w:rPr>
              <w:t>Responses</w:t>
            </w:r>
          </w:p>
        </w:tc>
        <w:tc>
          <w:tcPr>
            <w:tcW w:w="1090" w:type="dxa"/>
            <w:shd w:val="clear" w:color="auto" w:fill="auto"/>
          </w:tcPr>
          <w:p w:rsidR="006B5E6C" w:rsidRPr="00F444AE" w:rsidP="009B4E3F" w14:paraId="7232E9BD" w14:textId="77777777">
            <w:pPr>
              <w:tabs>
                <w:tab w:val="left" w:pos="-720"/>
              </w:tabs>
              <w:suppressAutoHyphens/>
              <w:jc w:val="center"/>
              <w:rPr>
                <w:b/>
                <w:spacing w:val="-3"/>
                <w:sz w:val="16"/>
                <w:szCs w:val="16"/>
                <w:u w:val="single"/>
              </w:rPr>
            </w:pPr>
            <w:r w:rsidRPr="00F444AE">
              <w:rPr>
                <w:b/>
                <w:spacing w:val="-3"/>
                <w:sz w:val="16"/>
                <w:szCs w:val="16"/>
                <w:u w:val="single"/>
              </w:rPr>
              <w:t>Of Response</w:t>
            </w:r>
          </w:p>
        </w:tc>
        <w:tc>
          <w:tcPr>
            <w:tcW w:w="1083" w:type="dxa"/>
            <w:shd w:val="clear" w:color="auto" w:fill="auto"/>
          </w:tcPr>
          <w:p w:rsidR="006B5E6C" w:rsidRPr="00F444AE" w:rsidP="009B4E3F" w14:paraId="263DE2A9" w14:textId="77777777">
            <w:pPr>
              <w:tabs>
                <w:tab w:val="left" w:pos="-720"/>
              </w:tabs>
              <w:suppressAutoHyphens/>
              <w:jc w:val="center"/>
              <w:rPr>
                <w:b/>
                <w:spacing w:val="-3"/>
                <w:sz w:val="16"/>
                <w:szCs w:val="16"/>
                <w:u w:val="single"/>
              </w:rPr>
            </w:pPr>
            <w:r w:rsidRPr="00F444AE">
              <w:rPr>
                <w:b/>
                <w:spacing w:val="-3"/>
                <w:sz w:val="16"/>
                <w:szCs w:val="16"/>
                <w:u w:val="single"/>
              </w:rPr>
              <w:t>Per Response</w:t>
            </w:r>
          </w:p>
        </w:tc>
        <w:tc>
          <w:tcPr>
            <w:tcW w:w="1072" w:type="dxa"/>
            <w:shd w:val="clear" w:color="auto" w:fill="auto"/>
          </w:tcPr>
          <w:p w:rsidR="006B5E6C" w:rsidRPr="00F444AE" w:rsidP="009B4E3F" w14:paraId="2F2D2F8F" w14:textId="77777777">
            <w:pPr>
              <w:tabs>
                <w:tab w:val="left" w:pos="-720"/>
              </w:tabs>
              <w:suppressAutoHyphens/>
              <w:jc w:val="center"/>
              <w:rPr>
                <w:b/>
                <w:spacing w:val="-3"/>
                <w:sz w:val="16"/>
                <w:szCs w:val="16"/>
                <w:u w:val="single"/>
              </w:rPr>
            </w:pPr>
            <w:r w:rsidRPr="00F444AE">
              <w:rPr>
                <w:b/>
                <w:spacing w:val="-3"/>
                <w:sz w:val="16"/>
                <w:szCs w:val="16"/>
                <w:u w:val="single"/>
              </w:rPr>
              <w:t>Hours</w:t>
            </w:r>
          </w:p>
        </w:tc>
      </w:tr>
      <w:tr w14:paraId="7964EC73" w14:textId="77777777" w:rsidTr="009B4E3F">
        <w:tblPrEx>
          <w:tblW w:w="0" w:type="auto"/>
          <w:tblLook w:val="04A0"/>
        </w:tblPrEx>
        <w:tc>
          <w:tcPr>
            <w:tcW w:w="1099" w:type="dxa"/>
            <w:shd w:val="clear" w:color="auto" w:fill="auto"/>
          </w:tcPr>
          <w:p w:rsidR="006B5E6C" w:rsidRPr="002C4DCA" w:rsidP="009B4E3F" w14:paraId="00D2118A" w14:textId="77777777">
            <w:pPr>
              <w:tabs>
                <w:tab w:val="left" w:pos="-720"/>
              </w:tabs>
              <w:suppressAutoHyphens/>
              <w:rPr>
                <w:spacing w:val="-3"/>
                <w:sz w:val="16"/>
                <w:szCs w:val="16"/>
              </w:rPr>
            </w:pPr>
            <w:r>
              <w:rPr>
                <w:spacing w:val="-3"/>
                <w:sz w:val="16"/>
                <w:szCs w:val="16"/>
              </w:rPr>
              <w:t>Section 214 Application</w:t>
            </w:r>
          </w:p>
        </w:tc>
        <w:tc>
          <w:tcPr>
            <w:tcW w:w="1089" w:type="dxa"/>
            <w:shd w:val="clear" w:color="auto" w:fill="auto"/>
          </w:tcPr>
          <w:p w:rsidR="006B5E6C" w:rsidRPr="002C4DCA" w:rsidP="009B4E3F" w14:paraId="15F77FC7" w14:textId="77777777">
            <w:pPr>
              <w:tabs>
                <w:tab w:val="left" w:pos="-720"/>
              </w:tabs>
              <w:suppressAutoHyphens/>
              <w:jc w:val="center"/>
              <w:rPr>
                <w:spacing w:val="-3"/>
                <w:sz w:val="16"/>
                <w:szCs w:val="16"/>
              </w:rPr>
            </w:pPr>
            <w:r>
              <w:rPr>
                <w:spacing w:val="-3"/>
                <w:sz w:val="16"/>
                <w:szCs w:val="16"/>
              </w:rPr>
              <w:t>63.24(e)(4)</w:t>
            </w:r>
          </w:p>
        </w:tc>
        <w:tc>
          <w:tcPr>
            <w:tcW w:w="1105" w:type="dxa"/>
            <w:shd w:val="clear" w:color="auto" w:fill="auto"/>
          </w:tcPr>
          <w:p w:rsidR="006B5E6C" w:rsidRPr="002C4DCA" w:rsidP="009B4E3F" w14:paraId="52EDA1F3" w14:textId="77777777">
            <w:pPr>
              <w:tabs>
                <w:tab w:val="left" w:pos="-720"/>
              </w:tabs>
              <w:suppressAutoHyphens/>
              <w:jc w:val="center"/>
              <w:rPr>
                <w:spacing w:val="-3"/>
                <w:sz w:val="16"/>
                <w:szCs w:val="16"/>
              </w:rPr>
            </w:pPr>
            <w:r>
              <w:rPr>
                <w:spacing w:val="-3"/>
                <w:sz w:val="16"/>
                <w:szCs w:val="16"/>
              </w:rPr>
              <w:t>ITC</w:t>
            </w:r>
          </w:p>
        </w:tc>
        <w:tc>
          <w:tcPr>
            <w:tcW w:w="1230" w:type="dxa"/>
            <w:shd w:val="clear" w:color="auto" w:fill="auto"/>
          </w:tcPr>
          <w:p w:rsidR="006B5E6C" w:rsidRPr="002C4DCA" w:rsidP="009B4E3F" w14:paraId="016AD683" w14:textId="151BF6EB">
            <w:pPr>
              <w:tabs>
                <w:tab w:val="left" w:pos="-720"/>
              </w:tabs>
              <w:suppressAutoHyphens/>
              <w:rPr>
                <w:spacing w:val="-3"/>
                <w:sz w:val="16"/>
                <w:szCs w:val="16"/>
              </w:rPr>
            </w:pPr>
            <w:r>
              <w:rPr>
                <w:spacing w:val="-3"/>
                <w:sz w:val="16"/>
                <w:szCs w:val="16"/>
              </w:rPr>
              <w:t>Consummation notification</w:t>
            </w:r>
          </w:p>
        </w:tc>
        <w:tc>
          <w:tcPr>
            <w:tcW w:w="1088" w:type="dxa"/>
            <w:shd w:val="clear" w:color="auto" w:fill="auto"/>
          </w:tcPr>
          <w:p w:rsidR="006B5E6C" w:rsidRPr="002C4DCA" w:rsidP="009B4E3F" w14:paraId="7AB418AF" w14:textId="6CDC61CC">
            <w:pPr>
              <w:tabs>
                <w:tab w:val="left" w:pos="-720"/>
              </w:tabs>
              <w:suppressAutoHyphens/>
              <w:jc w:val="center"/>
              <w:rPr>
                <w:spacing w:val="-3"/>
                <w:sz w:val="16"/>
                <w:szCs w:val="16"/>
              </w:rPr>
            </w:pPr>
            <w:r>
              <w:rPr>
                <w:spacing w:val="-3"/>
                <w:sz w:val="16"/>
                <w:szCs w:val="16"/>
              </w:rPr>
              <w:t>132</w:t>
            </w:r>
          </w:p>
        </w:tc>
        <w:tc>
          <w:tcPr>
            <w:tcW w:w="1090" w:type="dxa"/>
            <w:shd w:val="clear" w:color="auto" w:fill="auto"/>
          </w:tcPr>
          <w:p w:rsidR="006B5E6C" w:rsidRPr="002C4DCA" w:rsidP="009B4E3F" w14:paraId="6A23DB26" w14:textId="77777777">
            <w:pPr>
              <w:tabs>
                <w:tab w:val="left" w:pos="-720"/>
              </w:tabs>
              <w:suppressAutoHyphens/>
              <w:rPr>
                <w:spacing w:val="-3"/>
                <w:sz w:val="16"/>
                <w:szCs w:val="16"/>
              </w:rPr>
            </w:pPr>
            <w:r>
              <w:rPr>
                <w:spacing w:val="-3"/>
                <w:sz w:val="16"/>
                <w:szCs w:val="16"/>
              </w:rPr>
              <w:t>On occasion</w:t>
            </w:r>
          </w:p>
        </w:tc>
        <w:tc>
          <w:tcPr>
            <w:tcW w:w="1083" w:type="dxa"/>
            <w:shd w:val="clear" w:color="auto" w:fill="auto"/>
          </w:tcPr>
          <w:p w:rsidR="006B5E6C" w:rsidRPr="002C4DCA" w:rsidP="009B4E3F" w14:paraId="7C9B23A2" w14:textId="77777777">
            <w:pPr>
              <w:tabs>
                <w:tab w:val="left" w:pos="-720"/>
              </w:tabs>
              <w:suppressAutoHyphens/>
              <w:jc w:val="center"/>
              <w:rPr>
                <w:spacing w:val="-3"/>
                <w:sz w:val="16"/>
                <w:szCs w:val="16"/>
              </w:rPr>
            </w:pPr>
            <w:r>
              <w:rPr>
                <w:spacing w:val="-3"/>
                <w:sz w:val="16"/>
                <w:szCs w:val="16"/>
              </w:rPr>
              <w:t>1 hour</w:t>
            </w:r>
          </w:p>
        </w:tc>
        <w:tc>
          <w:tcPr>
            <w:tcW w:w="1072" w:type="dxa"/>
            <w:shd w:val="clear" w:color="auto" w:fill="auto"/>
          </w:tcPr>
          <w:p w:rsidR="006B5E6C" w:rsidRPr="002C4DCA" w:rsidP="009B4E3F" w14:paraId="66B2EE18" w14:textId="5DA0B370">
            <w:pPr>
              <w:tabs>
                <w:tab w:val="left" w:pos="-720"/>
              </w:tabs>
              <w:suppressAutoHyphens/>
              <w:jc w:val="center"/>
              <w:rPr>
                <w:spacing w:val="-3"/>
                <w:sz w:val="16"/>
                <w:szCs w:val="16"/>
              </w:rPr>
            </w:pPr>
            <w:r>
              <w:rPr>
                <w:spacing w:val="-3"/>
                <w:sz w:val="16"/>
                <w:szCs w:val="16"/>
              </w:rPr>
              <w:t>132</w:t>
            </w:r>
          </w:p>
        </w:tc>
      </w:tr>
      <w:tr w14:paraId="0A323403" w14:textId="77777777" w:rsidTr="009B4E3F">
        <w:tblPrEx>
          <w:tblW w:w="0" w:type="auto"/>
          <w:tblLook w:val="04A0"/>
        </w:tblPrEx>
        <w:tc>
          <w:tcPr>
            <w:tcW w:w="1099" w:type="dxa"/>
            <w:shd w:val="clear" w:color="auto" w:fill="auto"/>
          </w:tcPr>
          <w:p w:rsidR="006B5E6C" w:rsidRPr="002C4DCA" w:rsidP="009B4E3F" w14:paraId="3F1C5EA3" w14:textId="7910B1EA">
            <w:pPr>
              <w:tabs>
                <w:tab w:val="left" w:pos="-720"/>
              </w:tabs>
              <w:suppressAutoHyphens/>
              <w:rPr>
                <w:spacing w:val="-3"/>
                <w:sz w:val="16"/>
                <w:szCs w:val="16"/>
              </w:rPr>
            </w:pPr>
            <w:r>
              <w:rPr>
                <w:spacing w:val="-3"/>
                <w:sz w:val="16"/>
                <w:szCs w:val="16"/>
              </w:rPr>
              <w:t>Submarine Cable Landing License</w:t>
            </w:r>
          </w:p>
        </w:tc>
        <w:tc>
          <w:tcPr>
            <w:tcW w:w="1089" w:type="dxa"/>
            <w:shd w:val="clear" w:color="auto" w:fill="auto"/>
          </w:tcPr>
          <w:p w:rsidR="006B5E6C" w:rsidRPr="002C4DCA" w:rsidP="009B4E3F" w14:paraId="3E67572D" w14:textId="77777777">
            <w:pPr>
              <w:tabs>
                <w:tab w:val="left" w:pos="-720"/>
              </w:tabs>
              <w:suppressAutoHyphens/>
              <w:jc w:val="center"/>
              <w:rPr>
                <w:spacing w:val="-3"/>
                <w:sz w:val="16"/>
                <w:szCs w:val="16"/>
              </w:rPr>
            </w:pPr>
            <w:r>
              <w:rPr>
                <w:spacing w:val="-3"/>
                <w:sz w:val="16"/>
                <w:szCs w:val="16"/>
              </w:rPr>
              <w:t>1.767</w:t>
            </w:r>
          </w:p>
        </w:tc>
        <w:tc>
          <w:tcPr>
            <w:tcW w:w="1105" w:type="dxa"/>
            <w:shd w:val="clear" w:color="auto" w:fill="auto"/>
          </w:tcPr>
          <w:p w:rsidR="006B5E6C" w:rsidRPr="002C4DCA" w:rsidP="009B4E3F" w14:paraId="1D882986" w14:textId="77777777">
            <w:pPr>
              <w:tabs>
                <w:tab w:val="left" w:pos="-720"/>
              </w:tabs>
              <w:suppressAutoHyphens/>
              <w:jc w:val="center"/>
              <w:rPr>
                <w:spacing w:val="-3"/>
                <w:sz w:val="16"/>
                <w:szCs w:val="16"/>
              </w:rPr>
            </w:pPr>
            <w:r>
              <w:rPr>
                <w:spacing w:val="-3"/>
                <w:sz w:val="16"/>
                <w:szCs w:val="16"/>
              </w:rPr>
              <w:t>SCL</w:t>
            </w:r>
          </w:p>
        </w:tc>
        <w:tc>
          <w:tcPr>
            <w:tcW w:w="1230" w:type="dxa"/>
            <w:shd w:val="clear" w:color="auto" w:fill="auto"/>
          </w:tcPr>
          <w:p w:rsidR="006B5E6C" w:rsidRPr="002C4DCA" w:rsidP="009B4E3F" w14:paraId="0BADBACC" w14:textId="1086633C">
            <w:pPr>
              <w:tabs>
                <w:tab w:val="left" w:pos="-720"/>
              </w:tabs>
              <w:suppressAutoHyphens/>
              <w:rPr>
                <w:spacing w:val="-3"/>
                <w:sz w:val="16"/>
                <w:szCs w:val="16"/>
              </w:rPr>
            </w:pPr>
            <w:r>
              <w:rPr>
                <w:spacing w:val="-3"/>
                <w:sz w:val="16"/>
                <w:szCs w:val="16"/>
              </w:rPr>
              <w:t>Consummation notification</w:t>
            </w:r>
          </w:p>
        </w:tc>
        <w:tc>
          <w:tcPr>
            <w:tcW w:w="1088" w:type="dxa"/>
            <w:shd w:val="clear" w:color="auto" w:fill="auto"/>
          </w:tcPr>
          <w:p w:rsidR="006B5E6C" w:rsidRPr="002C4DCA" w:rsidP="009B4E3F" w14:paraId="22E3D1AB" w14:textId="0E99A6C7">
            <w:pPr>
              <w:tabs>
                <w:tab w:val="left" w:pos="-720"/>
              </w:tabs>
              <w:suppressAutoHyphens/>
              <w:jc w:val="center"/>
              <w:rPr>
                <w:spacing w:val="-3"/>
                <w:sz w:val="16"/>
                <w:szCs w:val="16"/>
              </w:rPr>
            </w:pPr>
            <w:r>
              <w:rPr>
                <w:spacing w:val="-3"/>
                <w:sz w:val="16"/>
                <w:szCs w:val="16"/>
              </w:rPr>
              <w:t>15</w:t>
            </w:r>
          </w:p>
        </w:tc>
        <w:tc>
          <w:tcPr>
            <w:tcW w:w="1090" w:type="dxa"/>
            <w:shd w:val="clear" w:color="auto" w:fill="auto"/>
          </w:tcPr>
          <w:p w:rsidR="006B5E6C" w:rsidRPr="002C4DCA" w:rsidP="009B4E3F" w14:paraId="18EF5162" w14:textId="77777777">
            <w:pPr>
              <w:tabs>
                <w:tab w:val="left" w:pos="-720"/>
              </w:tabs>
              <w:suppressAutoHyphens/>
              <w:rPr>
                <w:spacing w:val="-3"/>
                <w:sz w:val="16"/>
                <w:szCs w:val="16"/>
              </w:rPr>
            </w:pPr>
            <w:r>
              <w:rPr>
                <w:spacing w:val="-3"/>
                <w:sz w:val="16"/>
                <w:szCs w:val="16"/>
              </w:rPr>
              <w:t>On occasion</w:t>
            </w:r>
          </w:p>
        </w:tc>
        <w:tc>
          <w:tcPr>
            <w:tcW w:w="1083" w:type="dxa"/>
            <w:shd w:val="clear" w:color="auto" w:fill="auto"/>
          </w:tcPr>
          <w:p w:rsidR="006B5E6C" w:rsidRPr="002C4DCA" w:rsidP="009B4E3F" w14:paraId="3011E249" w14:textId="77777777">
            <w:pPr>
              <w:tabs>
                <w:tab w:val="left" w:pos="-720"/>
              </w:tabs>
              <w:suppressAutoHyphens/>
              <w:jc w:val="center"/>
              <w:rPr>
                <w:spacing w:val="-3"/>
                <w:sz w:val="16"/>
                <w:szCs w:val="16"/>
              </w:rPr>
            </w:pPr>
            <w:r>
              <w:rPr>
                <w:spacing w:val="-3"/>
                <w:sz w:val="16"/>
                <w:szCs w:val="16"/>
              </w:rPr>
              <w:t>1 hour</w:t>
            </w:r>
          </w:p>
        </w:tc>
        <w:tc>
          <w:tcPr>
            <w:tcW w:w="1072" w:type="dxa"/>
            <w:shd w:val="clear" w:color="auto" w:fill="auto"/>
          </w:tcPr>
          <w:p w:rsidR="006B5E6C" w:rsidRPr="002C4DCA" w:rsidP="009B4E3F" w14:paraId="3922E183" w14:textId="379FD9B0">
            <w:pPr>
              <w:tabs>
                <w:tab w:val="left" w:pos="-720"/>
              </w:tabs>
              <w:suppressAutoHyphens/>
              <w:jc w:val="center"/>
              <w:rPr>
                <w:spacing w:val="-3"/>
                <w:sz w:val="16"/>
                <w:szCs w:val="16"/>
              </w:rPr>
            </w:pPr>
            <w:r>
              <w:rPr>
                <w:spacing w:val="-3"/>
                <w:sz w:val="16"/>
                <w:szCs w:val="16"/>
              </w:rPr>
              <w:t>15</w:t>
            </w:r>
          </w:p>
        </w:tc>
      </w:tr>
      <w:tr w14:paraId="38D1C7AE" w14:textId="77777777" w:rsidTr="009B4E3F">
        <w:tblPrEx>
          <w:tblW w:w="0" w:type="auto"/>
          <w:tblLook w:val="04A0"/>
        </w:tblPrEx>
        <w:tc>
          <w:tcPr>
            <w:tcW w:w="1099" w:type="dxa"/>
            <w:shd w:val="clear" w:color="auto" w:fill="auto"/>
          </w:tcPr>
          <w:p w:rsidR="006B5E6C" w:rsidRPr="00242DAD" w:rsidP="009B4E3F" w14:paraId="43020D43" w14:textId="625FF0E9">
            <w:pPr>
              <w:tabs>
                <w:tab w:val="left" w:pos="-720"/>
              </w:tabs>
              <w:suppressAutoHyphens/>
              <w:rPr>
                <w:bCs/>
                <w:spacing w:val="-3"/>
                <w:sz w:val="16"/>
                <w:szCs w:val="16"/>
              </w:rPr>
            </w:pPr>
            <w:r>
              <w:rPr>
                <w:bCs/>
                <w:spacing w:val="-3"/>
                <w:sz w:val="16"/>
                <w:szCs w:val="16"/>
              </w:rPr>
              <w:t>Satellite Space Station</w:t>
            </w:r>
          </w:p>
          <w:p w:rsidR="006B5E6C" w:rsidRPr="00DD57BA" w:rsidP="009B4E3F" w14:paraId="40C3A9B1" w14:textId="77777777">
            <w:pPr>
              <w:tabs>
                <w:tab w:val="left" w:pos="-720"/>
              </w:tabs>
              <w:suppressAutoHyphens/>
              <w:rPr>
                <w:b/>
                <w:spacing w:val="-3"/>
                <w:sz w:val="16"/>
              </w:rPr>
            </w:pPr>
          </w:p>
        </w:tc>
        <w:tc>
          <w:tcPr>
            <w:tcW w:w="1089" w:type="dxa"/>
            <w:shd w:val="clear" w:color="auto" w:fill="auto"/>
          </w:tcPr>
          <w:p w:rsidR="006B5E6C" w:rsidRPr="00410C46" w:rsidP="009B4E3F" w14:paraId="2D51C9C9" w14:textId="15AA0678">
            <w:pPr>
              <w:tabs>
                <w:tab w:val="left" w:pos="-720"/>
              </w:tabs>
              <w:suppressAutoHyphens/>
              <w:jc w:val="center"/>
              <w:rPr>
                <w:bCs/>
                <w:spacing w:val="-3"/>
                <w:sz w:val="16"/>
                <w:szCs w:val="16"/>
              </w:rPr>
            </w:pPr>
            <w:r w:rsidRPr="00410C46">
              <w:rPr>
                <w:bCs/>
                <w:spacing w:val="-3"/>
                <w:sz w:val="16"/>
                <w:szCs w:val="16"/>
              </w:rPr>
              <w:t>25.119</w:t>
            </w:r>
          </w:p>
        </w:tc>
        <w:tc>
          <w:tcPr>
            <w:tcW w:w="1105" w:type="dxa"/>
            <w:shd w:val="clear" w:color="auto" w:fill="auto"/>
          </w:tcPr>
          <w:p w:rsidR="006B5E6C" w:rsidRPr="006B7C74" w:rsidP="009B4E3F" w14:paraId="35B6FFBC" w14:textId="36C6EBAE">
            <w:pPr>
              <w:tabs>
                <w:tab w:val="left" w:pos="-720"/>
              </w:tabs>
              <w:suppressAutoHyphens/>
              <w:jc w:val="center"/>
              <w:rPr>
                <w:bCs/>
                <w:spacing w:val="-3"/>
                <w:sz w:val="16"/>
                <w:szCs w:val="16"/>
              </w:rPr>
            </w:pPr>
            <w:r w:rsidRPr="006B7C74">
              <w:rPr>
                <w:bCs/>
                <w:spacing w:val="-3"/>
                <w:sz w:val="16"/>
                <w:szCs w:val="16"/>
              </w:rPr>
              <w:t>SAT</w:t>
            </w:r>
          </w:p>
        </w:tc>
        <w:tc>
          <w:tcPr>
            <w:tcW w:w="1230" w:type="dxa"/>
            <w:shd w:val="clear" w:color="auto" w:fill="auto"/>
          </w:tcPr>
          <w:p w:rsidR="006B5E6C" w:rsidRPr="00DD57BA" w:rsidP="009B4E3F" w14:paraId="13F1A1E1" w14:textId="733F12AF">
            <w:pPr>
              <w:tabs>
                <w:tab w:val="left" w:pos="-720"/>
              </w:tabs>
              <w:suppressAutoHyphens/>
              <w:rPr>
                <w:b/>
                <w:spacing w:val="-3"/>
                <w:sz w:val="16"/>
              </w:rPr>
            </w:pPr>
            <w:r>
              <w:rPr>
                <w:spacing w:val="-3"/>
                <w:sz w:val="16"/>
                <w:szCs w:val="16"/>
              </w:rPr>
              <w:t>Consummation notification</w:t>
            </w:r>
          </w:p>
        </w:tc>
        <w:tc>
          <w:tcPr>
            <w:tcW w:w="1088" w:type="dxa"/>
            <w:shd w:val="clear" w:color="auto" w:fill="auto"/>
          </w:tcPr>
          <w:p w:rsidR="006B5E6C" w:rsidRPr="00555E09" w:rsidP="009B4E3F" w14:paraId="37DBE5F8" w14:textId="55BCB47D">
            <w:pPr>
              <w:tabs>
                <w:tab w:val="left" w:pos="-720"/>
              </w:tabs>
              <w:suppressAutoHyphens/>
              <w:jc w:val="center"/>
              <w:rPr>
                <w:bCs/>
                <w:spacing w:val="-3"/>
                <w:sz w:val="16"/>
                <w:szCs w:val="16"/>
              </w:rPr>
            </w:pPr>
            <w:r w:rsidRPr="00555E09">
              <w:rPr>
                <w:bCs/>
                <w:spacing w:val="-3"/>
                <w:sz w:val="16"/>
                <w:szCs w:val="16"/>
              </w:rPr>
              <w:t>6</w:t>
            </w:r>
          </w:p>
        </w:tc>
        <w:tc>
          <w:tcPr>
            <w:tcW w:w="1090" w:type="dxa"/>
            <w:shd w:val="clear" w:color="auto" w:fill="auto"/>
          </w:tcPr>
          <w:p w:rsidR="006B5E6C" w:rsidRPr="00DD57BA" w:rsidP="00DD57BA" w14:paraId="0A121B89" w14:textId="77777777">
            <w:pPr>
              <w:tabs>
                <w:tab w:val="left" w:pos="-720"/>
              </w:tabs>
              <w:suppressAutoHyphens/>
              <w:jc w:val="center"/>
              <w:rPr>
                <w:b/>
                <w:spacing w:val="-3"/>
                <w:sz w:val="16"/>
              </w:rPr>
            </w:pPr>
            <w:r>
              <w:rPr>
                <w:spacing w:val="-3"/>
                <w:sz w:val="16"/>
                <w:szCs w:val="16"/>
              </w:rPr>
              <w:t>On occasion</w:t>
            </w:r>
          </w:p>
        </w:tc>
        <w:tc>
          <w:tcPr>
            <w:tcW w:w="1083" w:type="dxa"/>
            <w:shd w:val="clear" w:color="auto" w:fill="auto"/>
          </w:tcPr>
          <w:p w:rsidR="006B5E6C" w:rsidRPr="00555E09" w:rsidP="009B4E3F" w14:paraId="73B71256" w14:textId="77777777">
            <w:pPr>
              <w:tabs>
                <w:tab w:val="left" w:pos="-720"/>
              </w:tabs>
              <w:suppressAutoHyphens/>
              <w:jc w:val="center"/>
              <w:rPr>
                <w:bCs/>
                <w:spacing w:val="-3"/>
                <w:sz w:val="16"/>
                <w:szCs w:val="16"/>
              </w:rPr>
            </w:pPr>
            <w:r w:rsidRPr="00555E09">
              <w:rPr>
                <w:bCs/>
                <w:spacing w:val="-3"/>
                <w:sz w:val="16"/>
                <w:szCs w:val="16"/>
              </w:rPr>
              <w:t>1 hour</w:t>
            </w:r>
          </w:p>
        </w:tc>
        <w:tc>
          <w:tcPr>
            <w:tcW w:w="1072" w:type="dxa"/>
            <w:shd w:val="clear" w:color="auto" w:fill="auto"/>
          </w:tcPr>
          <w:p w:rsidR="006B5E6C" w:rsidRPr="00DD57BA" w:rsidP="009B4E3F" w14:paraId="51475697" w14:textId="4365156C">
            <w:pPr>
              <w:tabs>
                <w:tab w:val="left" w:pos="-720"/>
              </w:tabs>
              <w:suppressAutoHyphens/>
              <w:jc w:val="center"/>
              <w:rPr>
                <w:spacing w:val="-3"/>
                <w:sz w:val="20"/>
              </w:rPr>
            </w:pPr>
            <w:r w:rsidRPr="006B7C74">
              <w:rPr>
                <w:bCs/>
                <w:spacing w:val="-3"/>
                <w:sz w:val="20"/>
                <w:szCs w:val="20"/>
              </w:rPr>
              <w:t>6</w:t>
            </w:r>
          </w:p>
        </w:tc>
      </w:tr>
      <w:tr w14:paraId="13ADCA0B" w14:textId="77777777" w:rsidTr="009B4E3F">
        <w:tblPrEx>
          <w:tblW w:w="0" w:type="auto"/>
          <w:tblLook w:val="04A0"/>
        </w:tblPrEx>
        <w:tc>
          <w:tcPr>
            <w:tcW w:w="1099" w:type="dxa"/>
            <w:shd w:val="clear" w:color="auto" w:fill="auto"/>
          </w:tcPr>
          <w:p w:rsidR="006B5E6C" w:rsidRPr="00242DAD" w:rsidP="009B4E3F" w14:paraId="62E63C78" w14:textId="77777777">
            <w:pPr>
              <w:tabs>
                <w:tab w:val="left" w:pos="-720"/>
              </w:tabs>
              <w:suppressAutoHyphens/>
              <w:rPr>
                <w:bCs/>
                <w:spacing w:val="-3"/>
                <w:sz w:val="16"/>
                <w:szCs w:val="16"/>
              </w:rPr>
            </w:pPr>
            <w:r>
              <w:rPr>
                <w:bCs/>
                <w:spacing w:val="-3"/>
                <w:sz w:val="16"/>
                <w:szCs w:val="16"/>
              </w:rPr>
              <w:t>Satellite Earth Station</w:t>
            </w:r>
          </w:p>
        </w:tc>
        <w:tc>
          <w:tcPr>
            <w:tcW w:w="1089" w:type="dxa"/>
            <w:shd w:val="clear" w:color="auto" w:fill="auto"/>
          </w:tcPr>
          <w:p w:rsidR="006B5E6C" w:rsidRPr="00410C46" w:rsidP="009B4E3F" w14:paraId="35AAB4C4" w14:textId="77777777">
            <w:pPr>
              <w:tabs>
                <w:tab w:val="left" w:pos="-720"/>
              </w:tabs>
              <w:suppressAutoHyphens/>
              <w:jc w:val="center"/>
              <w:rPr>
                <w:bCs/>
                <w:spacing w:val="-3"/>
                <w:sz w:val="16"/>
                <w:szCs w:val="16"/>
              </w:rPr>
            </w:pPr>
            <w:r w:rsidRPr="00410C46">
              <w:rPr>
                <w:bCs/>
                <w:spacing w:val="-3"/>
                <w:sz w:val="16"/>
                <w:szCs w:val="16"/>
              </w:rPr>
              <w:t>25.119</w:t>
            </w:r>
          </w:p>
        </w:tc>
        <w:tc>
          <w:tcPr>
            <w:tcW w:w="1105" w:type="dxa"/>
            <w:shd w:val="clear" w:color="auto" w:fill="auto"/>
          </w:tcPr>
          <w:p w:rsidR="006B5E6C" w:rsidRPr="006B7C74" w:rsidP="009B4E3F" w14:paraId="70E58FA1" w14:textId="77777777">
            <w:pPr>
              <w:tabs>
                <w:tab w:val="left" w:pos="-720"/>
              </w:tabs>
              <w:suppressAutoHyphens/>
              <w:jc w:val="center"/>
              <w:rPr>
                <w:bCs/>
                <w:spacing w:val="-3"/>
                <w:sz w:val="16"/>
                <w:szCs w:val="16"/>
              </w:rPr>
            </w:pPr>
            <w:r w:rsidRPr="006B7C74">
              <w:rPr>
                <w:bCs/>
                <w:spacing w:val="-3"/>
                <w:sz w:val="16"/>
                <w:szCs w:val="16"/>
              </w:rPr>
              <w:t>SES</w:t>
            </w:r>
          </w:p>
        </w:tc>
        <w:tc>
          <w:tcPr>
            <w:tcW w:w="1230" w:type="dxa"/>
            <w:shd w:val="clear" w:color="auto" w:fill="auto"/>
          </w:tcPr>
          <w:p w:rsidR="006B5E6C" w:rsidP="009B4E3F" w14:paraId="31C3F7D2" w14:textId="77777777">
            <w:pPr>
              <w:tabs>
                <w:tab w:val="left" w:pos="-720"/>
              </w:tabs>
              <w:suppressAutoHyphens/>
              <w:rPr>
                <w:b/>
                <w:spacing w:val="-3"/>
                <w:sz w:val="16"/>
                <w:szCs w:val="16"/>
              </w:rPr>
            </w:pPr>
            <w:r>
              <w:rPr>
                <w:spacing w:val="-3"/>
                <w:sz w:val="16"/>
                <w:szCs w:val="16"/>
              </w:rPr>
              <w:t>Consummation notification</w:t>
            </w:r>
          </w:p>
        </w:tc>
        <w:tc>
          <w:tcPr>
            <w:tcW w:w="1088" w:type="dxa"/>
            <w:shd w:val="clear" w:color="auto" w:fill="auto"/>
          </w:tcPr>
          <w:p w:rsidR="006B5E6C" w:rsidRPr="00555E09" w:rsidP="009B4E3F" w14:paraId="4606EF28" w14:textId="77777777">
            <w:pPr>
              <w:tabs>
                <w:tab w:val="left" w:pos="-720"/>
              </w:tabs>
              <w:suppressAutoHyphens/>
              <w:jc w:val="center"/>
              <w:rPr>
                <w:bCs/>
                <w:spacing w:val="-3"/>
                <w:sz w:val="16"/>
                <w:szCs w:val="16"/>
              </w:rPr>
            </w:pPr>
            <w:r w:rsidRPr="00555E09">
              <w:rPr>
                <w:bCs/>
                <w:spacing w:val="-3"/>
                <w:sz w:val="16"/>
                <w:szCs w:val="16"/>
              </w:rPr>
              <w:t>252</w:t>
            </w:r>
          </w:p>
        </w:tc>
        <w:tc>
          <w:tcPr>
            <w:tcW w:w="1090" w:type="dxa"/>
            <w:shd w:val="clear" w:color="auto" w:fill="auto"/>
          </w:tcPr>
          <w:p w:rsidR="006B5E6C" w:rsidRPr="00B801DC" w:rsidP="009B4E3F" w14:paraId="1311B065" w14:textId="77777777">
            <w:pPr>
              <w:tabs>
                <w:tab w:val="left" w:pos="-720"/>
              </w:tabs>
              <w:suppressAutoHyphens/>
              <w:jc w:val="center"/>
              <w:rPr>
                <w:b/>
                <w:spacing w:val="-3"/>
                <w:sz w:val="16"/>
                <w:szCs w:val="16"/>
              </w:rPr>
            </w:pPr>
            <w:r>
              <w:rPr>
                <w:spacing w:val="-3"/>
                <w:sz w:val="16"/>
                <w:szCs w:val="16"/>
              </w:rPr>
              <w:t>On occasion</w:t>
            </w:r>
          </w:p>
        </w:tc>
        <w:tc>
          <w:tcPr>
            <w:tcW w:w="1083" w:type="dxa"/>
            <w:shd w:val="clear" w:color="auto" w:fill="auto"/>
          </w:tcPr>
          <w:p w:rsidR="006B5E6C" w:rsidRPr="00555E09" w:rsidP="009B4E3F" w14:paraId="28A8C485" w14:textId="77777777">
            <w:pPr>
              <w:tabs>
                <w:tab w:val="left" w:pos="-720"/>
              </w:tabs>
              <w:suppressAutoHyphens/>
              <w:jc w:val="center"/>
              <w:rPr>
                <w:bCs/>
                <w:spacing w:val="-3"/>
                <w:sz w:val="16"/>
                <w:szCs w:val="16"/>
              </w:rPr>
            </w:pPr>
            <w:r w:rsidRPr="00555E09">
              <w:rPr>
                <w:bCs/>
                <w:spacing w:val="-3"/>
                <w:sz w:val="16"/>
                <w:szCs w:val="16"/>
              </w:rPr>
              <w:t>1 hour</w:t>
            </w:r>
          </w:p>
        </w:tc>
        <w:tc>
          <w:tcPr>
            <w:tcW w:w="1072" w:type="dxa"/>
            <w:shd w:val="clear" w:color="auto" w:fill="auto"/>
          </w:tcPr>
          <w:p w:rsidR="006B5E6C" w:rsidRPr="006B7C74" w:rsidP="009B4E3F" w14:paraId="6D87F423" w14:textId="77777777">
            <w:pPr>
              <w:tabs>
                <w:tab w:val="left" w:pos="-720"/>
              </w:tabs>
              <w:suppressAutoHyphens/>
              <w:jc w:val="center"/>
              <w:rPr>
                <w:bCs/>
                <w:spacing w:val="-3"/>
                <w:sz w:val="20"/>
                <w:szCs w:val="20"/>
              </w:rPr>
            </w:pPr>
            <w:r w:rsidRPr="006B7C74">
              <w:rPr>
                <w:bCs/>
                <w:spacing w:val="-3"/>
                <w:sz w:val="20"/>
                <w:szCs w:val="20"/>
              </w:rPr>
              <w:t>252</w:t>
            </w:r>
          </w:p>
        </w:tc>
      </w:tr>
      <w:tr w14:paraId="4AEC86E5" w14:textId="77777777" w:rsidTr="00A91BD1">
        <w:tblPrEx>
          <w:tblW w:w="0" w:type="auto"/>
          <w:tblLook w:val="04A0"/>
        </w:tblPrEx>
        <w:trPr>
          <w:trHeight w:val="863"/>
        </w:trPr>
        <w:tc>
          <w:tcPr>
            <w:tcW w:w="1099" w:type="dxa"/>
            <w:shd w:val="clear" w:color="auto" w:fill="auto"/>
          </w:tcPr>
          <w:p w:rsidR="006B5E6C" w:rsidRPr="00242DAD" w:rsidP="009B4E3F" w14:paraId="0D2CCE0F" w14:textId="77777777">
            <w:pPr>
              <w:tabs>
                <w:tab w:val="left" w:pos="-720"/>
              </w:tabs>
              <w:suppressAutoHyphens/>
              <w:rPr>
                <w:bCs/>
                <w:spacing w:val="-3"/>
                <w:sz w:val="16"/>
                <w:szCs w:val="16"/>
              </w:rPr>
            </w:pPr>
            <w:r w:rsidRPr="006B7C74">
              <w:rPr>
                <w:bCs/>
                <w:spacing w:val="-3"/>
                <w:sz w:val="16"/>
                <w:szCs w:val="16"/>
              </w:rPr>
              <w:t>International High Frequency</w:t>
            </w:r>
          </w:p>
          <w:p w:rsidR="006B5E6C" w:rsidRPr="00B801DC" w:rsidP="009B4E3F" w14:paraId="0AE9C28F" w14:textId="77777777">
            <w:pPr>
              <w:tabs>
                <w:tab w:val="left" w:pos="-720"/>
              </w:tabs>
              <w:suppressAutoHyphens/>
              <w:rPr>
                <w:b/>
                <w:spacing w:val="-3"/>
                <w:sz w:val="16"/>
                <w:szCs w:val="16"/>
              </w:rPr>
            </w:pPr>
          </w:p>
        </w:tc>
        <w:tc>
          <w:tcPr>
            <w:tcW w:w="1089" w:type="dxa"/>
            <w:shd w:val="clear" w:color="auto" w:fill="auto"/>
          </w:tcPr>
          <w:p w:rsidR="006B5E6C" w:rsidRPr="00410C46" w:rsidP="009B4E3F" w14:paraId="44D9A8C3" w14:textId="77777777">
            <w:pPr>
              <w:rPr>
                <w:bCs/>
                <w:spacing w:val="-3"/>
                <w:sz w:val="16"/>
                <w:szCs w:val="16"/>
              </w:rPr>
            </w:pPr>
            <w:r w:rsidRPr="00410C46">
              <w:rPr>
                <w:bCs/>
                <w:spacing w:val="-3"/>
                <w:sz w:val="16"/>
                <w:szCs w:val="16"/>
              </w:rPr>
              <w:t>73.3540; 73.3541</w:t>
            </w:r>
          </w:p>
          <w:p w:rsidR="006B5E6C" w:rsidRPr="00A77A17" w:rsidP="009B4E3F" w14:paraId="6D2C1F3F" w14:textId="77777777">
            <w:pPr>
              <w:tabs>
                <w:tab w:val="left" w:pos="-720"/>
              </w:tabs>
              <w:suppressAutoHyphens/>
              <w:jc w:val="center"/>
              <w:rPr>
                <w:bCs/>
                <w:spacing w:val="-3"/>
                <w:sz w:val="16"/>
                <w:szCs w:val="16"/>
              </w:rPr>
            </w:pPr>
          </w:p>
        </w:tc>
        <w:tc>
          <w:tcPr>
            <w:tcW w:w="1105" w:type="dxa"/>
            <w:shd w:val="clear" w:color="auto" w:fill="auto"/>
          </w:tcPr>
          <w:p w:rsidR="006B5E6C" w:rsidRPr="006B7C74" w:rsidP="009B4E3F" w14:paraId="50B7AEFE" w14:textId="77777777">
            <w:pPr>
              <w:tabs>
                <w:tab w:val="left" w:pos="-720"/>
              </w:tabs>
              <w:suppressAutoHyphens/>
              <w:jc w:val="center"/>
              <w:rPr>
                <w:bCs/>
                <w:spacing w:val="-3"/>
                <w:sz w:val="16"/>
                <w:szCs w:val="16"/>
              </w:rPr>
            </w:pPr>
            <w:r w:rsidRPr="006B7C74">
              <w:rPr>
                <w:bCs/>
                <w:spacing w:val="-3"/>
                <w:sz w:val="16"/>
                <w:szCs w:val="16"/>
              </w:rPr>
              <w:t>IHF</w:t>
            </w:r>
          </w:p>
        </w:tc>
        <w:tc>
          <w:tcPr>
            <w:tcW w:w="1230" w:type="dxa"/>
            <w:shd w:val="clear" w:color="auto" w:fill="auto"/>
          </w:tcPr>
          <w:p w:rsidR="006B5E6C" w:rsidRPr="00242DAD" w:rsidP="009B4E3F" w14:paraId="31C130E6" w14:textId="77777777">
            <w:pPr>
              <w:tabs>
                <w:tab w:val="left" w:pos="-720"/>
              </w:tabs>
              <w:suppressAutoHyphens/>
              <w:rPr>
                <w:bCs/>
                <w:spacing w:val="-3"/>
                <w:sz w:val="16"/>
                <w:szCs w:val="16"/>
              </w:rPr>
            </w:pPr>
            <w:r w:rsidRPr="00242DAD">
              <w:rPr>
                <w:bCs/>
                <w:spacing w:val="-3"/>
                <w:sz w:val="16"/>
                <w:szCs w:val="16"/>
              </w:rPr>
              <w:t>Consummation notification</w:t>
            </w:r>
          </w:p>
        </w:tc>
        <w:tc>
          <w:tcPr>
            <w:tcW w:w="1088" w:type="dxa"/>
            <w:shd w:val="clear" w:color="auto" w:fill="auto"/>
          </w:tcPr>
          <w:p w:rsidR="006B5E6C" w:rsidRPr="00242DAD" w:rsidP="009B4E3F" w14:paraId="5B7DAD3D" w14:textId="77777777">
            <w:pPr>
              <w:tabs>
                <w:tab w:val="left" w:pos="-720"/>
              </w:tabs>
              <w:suppressAutoHyphens/>
              <w:jc w:val="center"/>
              <w:rPr>
                <w:bCs/>
                <w:spacing w:val="-3"/>
                <w:sz w:val="16"/>
                <w:szCs w:val="16"/>
              </w:rPr>
            </w:pPr>
            <w:r w:rsidRPr="00242DAD">
              <w:rPr>
                <w:bCs/>
                <w:spacing w:val="-3"/>
                <w:sz w:val="16"/>
                <w:szCs w:val="16"/>
              </w:rPr>
              <w:t>0</w:t>
            </w:r>
          </w:p>
        </w:tc>
        <w:tc>
          <w:tcPr>
            <w:tcW w:w="1090" w:type="dxa"/>
            <w:shd w:val="clear" w:color="auto" w:fill="auto"/>
          </w:tcPr>
          <w:p w:rsidR="006B5E6C" w:rsidRPr="00242DAD" w:rsidP="009B4E3F" w14:paraId="7F6BD426" w14:textId="77777777">
            <w:pPr>
              <w:tabs>
                <w:tab w:val="left" w:pos="-720"/>
              </w:tabs>
              <w:suppressAutoHyphens/>
              <w:jc w:val="center"/>
              <w:rPr>
                <w:bCs/>
                <w:spacing w:val="-3"/>
                <w:sz w:val="16"/>
                <w:szCs w:val="16"/>
              </w:rPr>
            </w:pPr>
            <w:r w:rsidRPr="00242DAD">
              <w:rPr>
                <w:bCs/>
                <w:spacing w:val="-3"/>
                <w:sz w:val="16"/>
                <w:szCs w:val="16"/>
              </w:rPr>
              <w:t>On occasion</w:t>
            </w:r>
          </w:p>
        </w:tc>
        <w:tc>
          <w:tcPr>
            <w:tcW w:w="1083" w:type="dxa"/>
            <w:shd w:val="clear" w:color="auto" w:fill="auto"/>
          </w:tcPr>
          <w:p w:rsidR="006B5E6C" w:rsidRPr="00242DAD" w:rsidP="009B4E3F" w14:paraId="66B6B196" w14:textId="77777777">
            <w:pPr>
              <w:tabs>
                <w:tab w:val="left" w:pos="-720"/>
              </w:tabs>
              <w:suppressAutoHyphens/>
              <w:jc w:val="center"/>
              <w:rPr>
                <w:bCs/>
                <w:spacing w:val="-3"/>
                <w:sz w:val="16"/>
                <w:szCs w:val="16"/>
              </w:rPr>
            </w:pPr>
            <w:r w:rsidRPr="00242DAD">
              <w:rPr>
                <w:bCs/>
                <w:spacing w:val="-3"/>
                <w:sz w:val="16"/>
                <w:szCs w:val="16"/>
              </w:rPr>
              <w:t>1 hour</w:t>
            </w:r>
          </w:p>
        </w:tc>
        <w:tc>
          <w:tcPr>
            <w:tcW w:w="1072" w:type="dxa"/>
            <w:shd w:val="clear" w:color="auto" w:fill="auto"/>
          </w:tcPr>
          <w:p w:rsidR="006B5E6C" w:rsidRPr="00242DAD" w:rsidP="009B4E3F" w14:paraId="09C7A408" w14:textId="77777777">
            <w:pPr>
              <w:tabs>
                <w:tab w:val="left" w:pos="-720"/>
              </w:tabs>
              <w:suppressAutoHyphens/>
              <w:jc w:val="center"/>
              <w:rPr>
                <w:bCs/>
                <w:spacing w:val="-3"/>
                <w:sz w:val="16"/>
                <w:szCs w:val="16"/>
              </w:rPr>
            </w:pPr>
            <w:r w:rsidRPr="00242DAD">
              <w:rPr>
                <w:bCs/>
                <w:spacing w:val="-3"/>
                <w:sz w:val="16"/>
                <w:szCs w:val="16"/>
              </w:rPr>
              <w:t>0</w:t>
            </w:r>
          </w:p>
        </w:tc>
      </w:tr>
      <w:tr w14:paraId="611C6A6D" w14:textId="77777777" w:rsidTr="009B4E3F">
        <w:tblPrEx>
          <w:tblW w:w="0" w:type="auto"/>
          <w:tblLook w:val="04A0"/>
        </w:tblPrEx>
        <w:tc>
          <w:tcPr>
            <w:tcW w:w="1099" w:type="dxa"/>
            <w:shd w:val="clear" w:color="auto" w:fill="auto"/>
          </w:tcPr>
          <w:p w:rsidR="006B5E6C" w:rsidRPr="00B801DC" w:rsidP="009B4E3F" w14:paraId="6EFFDDAC" w14:textId="77777777">
            <w:pPr>
              <w:tabs>
                <w:tab w:val="left" w:pos="-720"/>
              </w:tabs>
              <w:suppressAutoHyphens/>
              <w:rPr>
                <w:b/>
                <w:spacing w:val="-3"/>
                <w:sz w:val="16"/>
                <w:szCs w:val="16"/>
              </w:rPr>
            </w:pPr>
            <w:r w:rsidRPr="00B801DC">
              <w:rPr>
                <w:b/>
                <w:spacing w:val="-3"/>
                <w:sz w:val="16"/>
                <w:szCs w:val="16"/>
              </w:rPr>
              <w:t>TOTALS:</w:t>
            </w:r>
          </w:p>
          <w:p w:rsidR="006B5E6C" w:rsidRPr="00B801DC" w:rsidP="009B4E3F" w14:paraId="68E8118F" w14:textId="77777777">
            <w:pPr>
              <w:tabs>
                <w:tab w:val="left" w:pos="-720"/>
              </w:tabs>
              <w:suppressAutoHyphens/>
              <w:rPr>
                <w:b/>
                <w:spacing w:val="-3"/>
                <w:sz w:val="16"/>
                <w:szCs w:val="16"/>
              </w:rPr>
            </w:pPr>
          </w:p>
        </w:tc>
        <w:tc>
          <w:tcPr>
            <w:tcW w:w="1089" w:type="dxa"/>
            <w:shd w:val="clear" w:color="auto" w:fill="auto"/>
          </w:tcPr>
          <w:p w:rsidR="006B5E6C" w:rsidRPr="00B801DC" w:rsidP="009B4E3F" w14:paraId="29F68161" w14:textId="77777777">
            <w:pPr>
              <w:tabs>
                <w:tab w:val="left" w:pos="-720"/>
              </w:tabs>
              <w:suppressAutoHyphens/>
              <w:jc w:val="center"/>
              <w:rPr>
                <w:b/>
                <w:spacing w:val="-3"/>
                <w:sz w:val="16"/>
                <w:szCs w:val="16"/>
              </w:rPr>
            </w:pPr>
          </w:p>
        </w:tc>
        <w:tc>
          <w:tcPr>
            <w:tcW w:w="1105" w:type="dxa"/>
            <w:shd w:val="clear" w:color="auto" w:fill="auto"/>
          </w:tcPr>
          <w:p w:rsidR="006B5E6C" w:rsidRPr="00B801DC" w:rsidP="009B4E3F" w14:paraId="70CE2553" w14:textId="77777777">
            <w:pPr>
              <w:tabs>
                <w:tab w:val="left" w:pos="-720"/>
              </w:tabs>
              <w:suppressAutoHyphens/>
              <w:jc w:val="center"/>
              <w:rPr>
                <w:b/>
                <w:spacing w:val="-3"/>
                <w:sz w:val="16"/>
                <w:szCs w:val="16"/>
              </w:rPr>
            </w:pPr>
          </w:p>
        </w:tc>
        <w:tc>
          <w:tcPr>
            <w:tcW w:w="1230" w:type="dxa"/>
            <w:shd w:val="clear" w:color="auto" w:fill="auto"/>
          </w:tcPr>
          <w:p w:rsidR="006B5E6C" w:rsidRPr="00B801DC" w:rsidP="009B4E3F" w14:paraId="2F7ADF1C" w14:textId="77777777">
            <w:pPr>
              <w:tabs>
                <w:tab w:val="left" w:pos="-720"/>
              </w:tabs>
              <w:suppressAutoHyphens/>
              <w:rPr>
                <w:b/>
                <w:spacing w:val="-3"/>
                <w:sz w:val="16"/>
                <w:szCs w:val="16"/>
              </w:rPr>
            </w:pPr>
          </w:p>
        </w:tc>
        <w:tc>
          <w:tcPr>
            <w:tcW w:w="1088" w:type="dxa"/>
            <w:shd w:val="clear" w:color="auto" w:fill="auto"/>
          </w:tcPr>
          <w:p w:rsidR="006B5E6C" w:rsidRPr="00A91BD1" w:rsidP="009B4E3F" w14:paraId="17CDF5B0" w14:textId="17F3AD4C">
            <w:pPr>
              <w:tabs>
                <w:tab w:val="left" w:pos="-720"/>
              </w:tabs>
              <w:suppressAutoHyphens/>
              <w:jc w:val="center"/>
              <w:rPr>
                <w:b/>
                <w:spacing w:val="-3"/>
                <w:sz w:val="28"/>
                <w:szCs w:val="28"/>
              </w:rPr>
            </w:pPr>
            <w:r>
              <w:rPr>
                <w:b/>
                <w:spacing w:val="-3"/>
                <w:sz w:val="16"/>
                <w:szCs w:val="16"/>
              </w:rPr>
              <w:t>405</w:t>
            </w:r>
          </w:p>
        </w:tc>
        <w:tc>
          <w:tcPr>
            <w:tcW w:w="1090" w:type="dxa"/>
            <w:shd w:val="clear" w:color="auto" w:fill="auto"/>
          </w:tcPr>
          <w:p w:rsidR="006B5E6C" w:rsidRPr="00B801DC" w:rsidP="009B4E3F" w14:paraId="53572379" w14:textId="77777777">
            <w:pPr>
              <w:tabs>
                <w:tab w:val="left" w:pos="-720"/>
              </w:tabs>
              <w:suppressAutoHyphens/>
              <w:jc w:val="center"/>
              <w:rPr>
                <w:b/>
                <w:spacing w:val="-3"/>
                <w:sz w:val="16"/>
                <w:szCs w:val="16"/>
              </w:rPr>
            </w:pPr>
          </w:p>
        </w:tc>
        <w:tc>
          <w:tcPr>
            <w:tcW w:w="1083" w:type="dxa"/>
            <w:shd w:val="clear" w:color="auto" w:fill="auto"/>
          </w:tcPr>
          <w:p w:rsidR="006B5E6C" w:rsidRPr="00B801DC" w:rsidP="009B4E3F" w14:paraId="50F8BE2F" w14:textId="77777777">
            <w:pPr>
              <w:tabs>
                <w:tab w:val="left" w:pos="-720"/>
              </w:tabs>
              <w:suppressAutoHyphens/>
              <w:jc w:val="center"/>
              <w:rPr>
                <w:b/>
                <w:spacing w:val="-3"/>
                <w:sz w:val="16"/>
                <w:szCs w:val="16"/>
              </w:rPr>
            </w:pPr>
          </w:p>
        </w:tc>
        <w:tc>
          <w:tcPr>
            <w:tcW w:w="1072" w:type="dxa"/>
            <w:shd w:val="clear" w:color="auto" w:fill="auto"/>
          </w:tcPr>
          <w:p w:rsidR="006B5E6C" w:rsidRPr="00B801DC" w:rsidP="009B4E3F" w14:paraId="71A4FA1F" w14:textId="7A4C0703">
            <w:pPr>
              <w:tabs>
                <w:tab w:val="left" w:pos="-720"/>
              </w:tabs>
              <w:suppressAutoHyphens/>
              <w:jc w:val="center"/>
              <w:rPr>
                <w:b/>
                <w:spacing w:val="-3"/>
                <w:sz w:val="16"/>
                <w:szCs w:val="16"/>
              </w:rPr>
            </w:pPr>
            <w:r>
              <w:rPr>
                <w:b/>
                <w:spacing w:val="-3"/>
                <w:sz w:val="16"/>
                <w:szCs w:val="16"/>
              </w:rPr>
              <w:t>405</w:t>
            </w:r>
          </w:p>
        </w:tc>
      </w:tr>
    </w:tbl>
    <w:p w:rsidR="006B5E6C" w:rsidRPr="007A675B" w:rsidP="006B5E6C" w14:paraId="1A2BB87C" w14:textId="77777777">
      <w:pPr>
        <w:rPr>
          <w:vanish/>
        </w:rPr>
      </w:pPr>
    </w:p>
    <w:tbl>
      <w:tblPr>
        <w:tblW w:w="11520" w:type="dxa"/>
        <w:tblInd w:w="-1152" w:type="dxa"/>
        <w:tblLook w:val="0000"/>
      </w:tblPr>
      <w:tblGrid>
        <w:gridCol w:w="2700"/>
        <w:gridCol w:w="1440"/>
        <w:gridCol w:w="1080"/>
        <w:gridCol w:w="1080"/>
        <w:gridCol w:w="1643"/>
        <w:gridCol w:w="1237"/>
        <w:gridCol w:w="1080"/>
        <w:gridCol w:w="1260"/>
      </w:tblGrid>
      <w:tr w14:paraId="35538D0E" w14:textId="77777777" w:rsidTr="009B4E3F">
        <w:tblPrEx>
          <w:tblW w:w="11520" w:type="dxa"/>
          <w:tblInd w:w="-1152" w:type="dxa"/>
          <w:tblLook w:val="0000"/>
        </w:tblPrEx>
        <w:trPr>
          <w:trHeight w:val="225"/>
        </w:trPr>
        <w:tc>
          <w:tcPr>
            <w:tcW w:w="2700" w:type="dxa"/>
            <w:tcBorders>
              <w:top w:val="nil"/>
              <w:left w:val="nil"/>
              <w:bottom w:val="nil"/>
              <w:right w:val="nil"/>
            </w:tcBorders>
            <w:shd w:val="clear" w:color="auto" w:fill="auto"/>
            <w:noWrap/>
            <w:vAlign w:val="bottom"/>
          </w:tcPr>
          <w:p w:rsidR="006B5E6C" w:rsidP="009B4E3F" w14:paraId="1A511B35" w14:textId="77777777">
            <w:pPr>
              <w:rPr>
                <w:rFonts w:ascii="Arial" w:hAnsi="Arial"/>
                <w:sz w:val="16"/>
                <w:szCs w:val="16"/>
              </w:rPr>
            </w:pPr>
          </w:p>
        </w:tc>
        <w:tc>
          <w:tcPr>
            <w:tcW w:w="1440" w:type="dxa"/>
            <w:tcBorders>
              <w:top w:val="nil"/>
              <w:left w:val="nil"/>
              <w:bottom w:val="nil"/>
              <w:right w:val="nil"/>
            </w:tcBorders>
          </w:tcPr>
          <w:p w:rsidR="006B5E6C" w:rsidP="009B4E3F" w14:paraId="348D6F89" w14:textId="77777777">
            <w:pPr>
              <w:rPr>
                <w:rFonts w:ascii="Arial" w:hAnsi="Arial"/>
                <w:sz w:val="16"/>
                <w:szCs w:val="16"/>
              </w:rPr>
            </w:pPr>
          </w:p>
        </w:tc>
        <w:tc>
          <w:tcPr>
            <w:tcW w:w="1080" w:type="dxa"/>
            <w:tcBorders>
              <w:top w:val="nil"/>
              <w:left w:val="nil"/>
              <w:bottom w:val="nil"/>
              <w:right w:val="nil"/>
            </w:tcBorders>
            <w:shd w:val="clear" w:color="auto" w:fill="auto"/>
            <w:noWrap/>
            <w:vAlign w:val="bottom"/>
          </w:tcPr>
          <w:p w:rsidR="006B5E6C" w:rsidP="009B4E3F" w14:paraId="30FCA5D9" w14:textId="77777777">
            <w:pPr>
              <w:rPr>
                <w:rFonts w:ascii="Arial" w:hAnsi="Arial"/>
                <w:sz w:val="16"/>
                <w:szCs w:val="16"/>
              </w:rPr>
            </w:pPr>
          </w:p>
        </w:tc>
        <w:tc>
          <w:tcPr>
            <w:tcW w:w="1080" w:type="dxa"/>
            <w:tcBorders>
              <w:top w:val="nil"/>
              <w:left w:val="nil"/>
              <w:bottom w:val="nil"/>
              <w:right w:val="nil"/>
            </w:tcBorders>
            <w:shd w:val="clear" w:color="auto" w:fill="auto"/>
            <w:noWrap/>
            <w:vAlign w:val="bottom"/>
          </w:tcPr>
          <w:p w:rsidR="006B5E6C" w:rsidP="009B4E3F" w14:paraId="67734FD2" w14:textId="77777777">
            <w:pPr>
              <w:rPr>
                <w:rFonts w:ascii="Arial" w:hAnsi="Arial"/>
                <w:sz w:val="16"/>
                <w:szCs w:val="16"/>
              </w:rPr>
            </w:pPr>
          </w:p>
        </w:tc>
        <w:tc>
          <w:tcPr>
            <w:tcW w:w="1643" w:type="dxa"/>
            <w:tcBorders>
              <w:top w:val="nil"/>
              <w:left w:val="nil"/>
              <w:bottom w:val="nil"/>
              <w:right w:val="nil"/>
            </w:tcBorders>
            <w:shd w:val="clear" w:color="auto" w:fill="auto"/>
            <w:noWrap/>
            <w:vAlign w:val="bottom"/>
          </w:tcPr>
          <w:p w:rsidR="006B5E6C" w:rsidP="009B4E3F" w14:paraId="4DCA0AE6" w14:textId="77777777">
            <w:pPr>
              <w:rPr>
                <w:rFonts w:ascii="Arial" w:hAnsi="Arial"/>
                <w:sz w:val="16"/>
                <w:szCs w:val="16"/>
              </w:rPr>
            </w:pPr>
          </w:p>
        </w:tc>
        <w:tc>
          <w:tcPr>
            <w:tcW w:w="1237" w:type="dxa"/>
            <w:tcBorders>
              <w:top w:val="nil"/>
              <w:left w:val="nil"/>
              <w:bottom w:val="nil"/>
              <w:right w:val="nil"/>
            </w:tcBorders>
            <w:shd w:val="clear" w:color="auto" w:fill="auto"/>
            <w:noWrap/>
            <w:vAlign w:val="bottom"/>
          </w:tcPr>
          <w:p w:rsidR="006B5E6C" w:rsidP="009B4E3F" w14:paraId="5B10EAB3" w14:textId="77777777">
            <w:pPr>
              <w:rPr>
                <w:rFonts w:ascii="Arial" w:hAnsi="Arial"/>
                <w:sz w:val="16"/>
                <w:szCs w:val="16"/>
              </w:rPr>
            </w:pPr>
          </w:p>
        </w:tc>
        <w:tc>
          <w:tcPr>
            <w:tcW w:w="1080" w:type="dxa"/>
            <w:tcBorders>
              <w:top w:val="nil"/>
              <w:left w:val="nil"/>
              <w:bottom w:val="nil"/>
              <w:right w:val="nil"/>
            </w:tcBorders>
            <w:shd w:val="clear" w:color="auto" w:fill="auto"/>
            <w:noWrap/>
            <w:vAlign w:val="bottom"/>
          </w:tcPr>
          <w:p w:rsidR="006B5E6C" w:rsidP="009B4E3F" w14:paraId="3308CA5E" w14:textId="77777777">
            <w:pPr>
              <w:rPr>
                <w:rFonts w:ascii="Arial" w:hAnsi="Arial"/>
                <w:sz w:val="16"/>
                <w:szCs w:val="16"/>
              </w:rPr>
            </w:pPr>
          </w:p>
        </w:tc>
        <w:tc>
          <w:tcPr>
            <w:tcW w:w="1260" w:type="dxa"/>
            <w:tcBorders>
              <w:top w:val="nil"/>
              <w:left w:val="nil"/>
              <w:bottom w:val="nil"/>
              <w:right w:val="nil"/>
            </w:tcBorders>
            <w:shd w:val="clear" w:color="auto" w:fill="auto"/>
            <w:noWrap/>
            <w:vAlign w:val="bottom"/>
          </w:tcPr>
          <w:p w:rsidR="006B5E6C" w:rsidP="009B4E3F" w14:paraId="73483CDB" w14:textId="77777777">
            <w:pPr>
              <w:rPr>
                <w:rFonts w:ascii="Arial" w:hAnsi="Arial"/>
                <w:sz w:val="16"/>
                <w:szCs w:val="16"/>
              </w:rPr>
            </w:pPr>
          </w:p>
        </w:tc>
      </w:tr>
      <w:tr w14:paraId="1F070DAE" w14:textId="77777777" w:rsidTr="009B4E3F">
        <w:tblPrEx>
          <w:tblW w:w="11520" w:type="dxa"/>
          <w:tblInd w:w="-1152" w:type="dxa"/>
          <w:tblLook w:val="0000"/>
        </w:tblPrEx>
        <w:trPr>
          <w:trHeight w:val="225"/>
        </w:trPr>
        <w:tc>
          <w:tcPr>
            <w:tcW w:w="2700" w:type="dxa"/>
            <w:tcBorders>
              <w:top w:val="nil"/>
              <w:left w:val="nil"/>
              <w:bottom w:val="nil"/>
              <w:right w:val="nil"/>
            </w:tcBorders>
            <w:shd w:val="clear" w:color="auto" w:fill="auto"/>
            <w:noWrap/>
            <w:vAlign w:val="bottom"/>
          </w:tcPr>
          <w:p w:rsidR="006B5E6C" w:rsidP="009B4E3F" w14:paraId="6157105A" w14:textId="77777777">
            <w:pPr>
              <w:rPr>
                <w:rFonts w:ascii="Arial" w:hAnsi="Arial"/>
                <w:sz w:val="16"/>
                <w:szCs w:val="16"/>
              </w:rPr>
            </w:pPr>
          </w:p>
        </w:tc>
        <w:tc>
          <w:tcPr>
            <w:tcW w:w="1440" w:type="dxa"/>
            <w:tcBorders>
              <w:top w:val="nil"/>
              <w:left w:val="nil"/>
              <w:bottom w:val="nil"/>
              <w:right w:val="nil"/>
            </w:tcBorders>
          </w:tcPr>
          <w:p w:rsidR="006B5E6C" w:rsidP="009B4E3F" w14:paraId="641B245C" w14:textId="77777777">
            <w:pPr>
              <w:rPr>
                <w:rFonts w:ascii="Arial" w:hAnsi="Arial"/>
                <w:sz w:val="16"/>
                <w:szCs w:val="16"/>
              </w:rPr>
            </w:pPr>
          </w:p>
        </w:tc>
        <w:tc>
          <w:tcPr>
            <w:tcW w:w="1080" w:type="dxa"/>
            <w:tcBorders>
              <w:top w:val="nil"/>
              <w:left w:val="nil"/>
              <w:bottom w:val="nil"/>
              <w:right w:val="nil"/>
            </w:tcBorders>
            <w:shd w:val="clear" w:color="auto" w:fill="auto"/>
            <w:noWrap/>
            <w:vAlign w:val="bottom"/>
          </w:tcPr>
          <w:p w:rsidR="006B5E6C" w:rsidP="009B4E3F" w14:paraId="004ECB32" w14:textId="77777777">
            <w:pPr>
              <w:rPr>
                <w:rFonts w:ascii="Arial" w:hAnsi="Arial"/>
                <w:sz w:val="16"/>
                <w:szCs w:val="16"/>
              </w:rPr>
            </w:pPr>
          </w:p>
        </w:tc>
        <w:tc>
          <w:tcPr>
            <w:tcW w:w="1080" w:type="dxa"/>
            <w:tcBorders>
              <w:top w:val="nil"/>
              <w:left w:val="nil"/>
              <w:bottom w:val="nil"/>
              <w:right w:val="nil"/>
            </w:tcBorders>
            <w:shd w:val="clear" w:color="auto" w:fill="auto"/>
            <w:noWrap/>
            <w:vAlign w:val="bottom"/>
          </w:tcPr>
          <w:p w:rsidR="006B5E6C" w:rsidP="009B4E3F" w14:paraId="69D5F49C" w14:textId="77777777">
            <w:pPr>
              <w:rPr>
                <w:rFonts w:ascii="Arial" w:hAnsi="Arial"/>
                <w:sz w:val="16"/>
                <w:szCs w:val="16"/>
              </w:rPr>
            </w:pPr>
          </w:p>
        </w:tc>
        <w:tc>
          <w:tcPr>
            <w:tcW w:w="1643" w:type="dxa"/>
            <w:tcBorders>
              <w:top w:val="nil"/>
              <w:left w:val="nil"/>
              <w:bottom w:val="nil"/>
              <w:right w:val="nil"/>
            </w:tcBorders>
            <w:shd w:val="clear" w:color="auto" w:fill="auto"/>
            <w:noWrap/>
            <w:vAlign w:val="bottom"/>
          </w:tcPr>
          <w:p w:rsidR="006B5E6C" w:rsidP="009B4E3F" w14:paraId="5015EE66" w14:textId="77777777">
            <w:pPr>
              <w:rPr>
                <w:rFonts w:ascii="Arial" w:hAnsi="Arial"/>
                <w:sz w:val="16"/>
                <w:szCs w:val="16"/>
              </w:rPr>
            </w:pPr>
          </w:p>
        </w:tc>
        <w:tc>
          <w:tcPr>
            <w:tcW w:w="1237" w:type="dxa"/>
            <w:tcBorders>
              <w:top w:val="nil"/>
              <w:left w:val="nil"/>
              <w:bottom w:val="nil"/>
              <w:right w:val="nil"/>
            </w:tcBorders>
            <w:shd w:val="clear" w:color="auto" w:fill="auto"/>
            <w:noWrap/>
            <w:vAlign w:val="bottom"/>
          </w:tcPr>
          <w:p w:rsidR="006B5E6C" w:rsidP="009B4E3F" w14:paraId="74678C3A" w14:textId="77777777">
            <w:pPr>
              <w:rPr>
                <w:rFonts w:ascii="Arial" w:hAnsi="Arial"/>
                <w:sz w:val="16"/>
                <w:szCs w:val="16"/>
              </w:rPr>
            </w:pPr>
          </w:p>
        </w:tc>
        <w:tc>
          <w:tcPr>
            <w:tcW w:w="1080" w:type="dxa"/>
            <w:tcBorders>
              <w:top w:val="nil"/>
              <w:left w:val="nil"/>
              <w:bottom w:val="nil"/>
              <w:right w:val="nil"/>
            </w:tcBorders>
            <w:shd w:val="clear" w:color="auto" w:fill="auto"/>
            <w:noWrap/>
            <w:vAlign w:val="bottom"/>
          </w:tcPr>
          <w:p w:rsidR="006B5E6C" w:rsidP="009B4E3F" w14:paraId="437B90B8" w14:textId="77777777">
            <w:pPr>
              <w:rPr>
                <w:rFonts w:ascii="Arial" w:hAnsi="Arial"/>
                <w:sz w:val="16"/>
                <w:szCs w:val="16"/>
              </w:rPr>
            </w:pPr>
          </w:p>
        </w:tc>
        <w:tc>
          <w:tcPr>
            <w:tcW w:w="1260" w:type="dxa"/>
            <w:tcBorders>
              <w:top w:val="nil"/>
              <w:left w:val="nil"/>
              <w:bottom w:val="nil"/>
              <w:right w:val="nil"/>
            </w:tcBorders>
            <w:shd w:val="clear" w:color="auto" w:fill="auto"/>
            <w:noWrap/>
            <w:vAlign w:val="bottom"/>
          </w:tcPr>
          <w:p w:rsidR="006B5E6C" w:rsidP="009B4E3F" w14:paraId="766BC239" w14:textId="77777777">
            <w:pPr>
              <w:rPr>
                <w:rFonts w:ascii="Arial" w:hAnsi="Arial"/>
                <w:sz w:val="16"/>
                <w:szCs w:val="16"/>
              </w:rPr>
            </w:pPr>
          </w:p>
        </w:tc>
      </w:tr>
    </w:tbl>
    <w:p w:rsidR="006B5E6C" w:rsidP="006B5E6C" w14:paraId="6CA4812F" w14:textId="51B5E617">
      <w:r w:rsidRPr="00693A0F">
        <w:rPr>
          <w:b/>
        </w:rPr>
        <w:t>“In-house” Costs</w:t>
      </w:r>
      <w:r>
        <w:t xml:space="preserve">:  Respondents are expected to have an hourly salary rate of $40/hour.  Therefore, the in-house costs for respondents to complete their portion of these information collection requirements are calculated as follows:  </w:t>
      </w:r>
    </w:p>
    <w:p w:rsidR="006B5E6C" w:rsidP="006B5E6C" w14:paraId="7DFCD205" w14:textId="77777777"/>
    <w:p w:rsidR="006B5E6C" w:rsidP="006B5E6C" w14:paraId="67120406" w14:textId="0FED9993">
      <w:pPr>
        <w:rPr>
          <w:b/>
        </w:rPr>
      </w:pPr>
      <w:r>
        <w:tab/>
      </w:r>
      <w:r>
        <w:tab/>
        <w:t xml:space="preserve">405 burden hours X $40/hour = </w:t>
      </w:r>
      <w:r>
        <w:rPr>
          <w:b/>
        </w:rPr>
        <w:t>$16,200</w:t>
      </w:r>
    </w:p>
    <w:p w:rsidR="006B5E6C" w:rsidP="006B5E6C" w14:paraId="39313DE9" w14:textId="77777777"/>
    <w:p w:rsidR="006B5E6C" w:rsidP="006B5E6C" w14:paraId="3120E46B" w14:textId="77777777">
      <w:r>
        <w:t xml:space="preserve">13.   </w:t>
      </w:r>
      <w:r w:rsidRPr="006E65B3">
        <w:rPr>
          <w:b/>
          <w:bCs/>
          <w:u w:val="single"/>
        </w:rPr>
        <w:t>Estimate of the Total Annual Cost Burden to Respondents or Recordkeepers</w:t>
      </w:r>
    </w:p>
    <w:p w:rsidR="006B5E6C" w:rsidP="006B5E6C" w14:paraId="55E7AF5E" w14:textId="77777777"/>
    <w:p w:rsidR="006B5E6C" w:rsidP="006B5E6C" w14:paraId="673D4948" w14:textId="1AFE5BAF">
      <w:r>
        <w:t>The total capital and start-up costs are zero.  We estimate that the respondent will require outside legal and engineering assistance</w:t>
      </w:r>
      <w:r w:rsidR="00A65F52">
        <w:t xml:space="preserve"> </w:t>
      </w:r>
      <w:r>
        <w:t>for 50% of the responses (202).  The costs of outside legal assistance are an average of $300 per hour.  The figure is based on a small survey of local firms in the D.C. area and is considered a conservative estimate.</w:t>
      </w:r>
    </w:p>
    <w:p w:rsidR="006B5E6C" w:rsidP="006B5E6C" w14:paraId="35314120" w14:textId="77777777"/>
    <w:p w:rsidR="006B5E6C" w:rsidP="006B5E6C" w14:paraId="3D9C26AB" w14:textId="1FEC08E5">
      <w:r>
        <w:t xml:space="preserve">$300/hour X 1 hour/response X 202 responses = </w:t>
      </w:r>
      <w:r w:rsidRPr="00CB4318">
        <w:rPr>
          <w:b/>
        </w:rPr>
        <w:t>$</w:t>
      </w:r>
      <w:r>
        <w:rPr>
          <w:b/>
        </w:rPr>
        <w:t xml:space="preserve">60,600 </w:t>
      </w:r>
      <w:r>
        <w:t>Total for outside legal</w:t>
      </w:r>
      <w:r>
        <w:tab/>
        <w:t xml:space="preserve">      </w:t>
      </w:r>
      <w:r>
        <w:tab/>
      </w:r>
      <w:r>
        <w:tab/>
      </w:r>
      <w:r>
        <w:tab/>
      </w:r>
      <w:r>
        <w:tab/>
      </w:r>
      <w:r>
        <w:tab/>
      </w:r>
      <w:r>
        <w:tab/>
      </w:r>
      <w:r>
        <w:tab/>
        <w:t xml:space="preserve">        assistance</w:t>
      </w:r>
    </w:p>
    <w:p w:rsidR="006B5E6C" w:rsidP="006B5E6C" w14:paraId="2C5421DF" w14:textId="3D1E09BD"/>
    <w:p w:rsidR="006B5E6C" w:rsidP="006B5E6C" w14:paraId="32A444B3" w14:textId="1AD8C077"/>
    <w:p w:rsidR="006B5E6C" w:rsidP="006B5E6C" w14:paraId="230CBFB3" w14:textId="08BA3022"/>
    <w:p w:rsidR="002F25C2" w:rsidP="006B5E6C" w14:paraId="69D531C9" w14:textId="32E3E565"/>
    <w:p w:rsidR="002F25C2" w:rsidP="006B5E6C" w14:paraId="6BE42822" w14:textId="77777777"/>
    <w:p w:rsidR="006B5E6C" w:rsidP="006B5E6C" w14:paraId="3B22F245" w14:textId="77777777">
      <w:r>
        <w:t xml:space="preserve">14.    </w:t>
      </w:r>
      <w:r w:rsidRPr="006E65B3">
        <w:rPr>
          <w:b/>
          <w:bCs/>
          <w:u w:val="single"/>
        </w:rPr>
        <w:t>Estimates of Annualized Cost to the Federal Government</w:t>
      </w:r>
      <w:r w:rsidRPr="006E65B3">
        <w:t xml:space="preserve"> </w:t>
      </w:r>
    </w:p>
    <w:p w:rsidR="006B5E6C" w:rsidP="006B5E6C" w14:paraId="46B51C67" w14:textId="77777777"/>
    <w:p w:rsidR="006B5E6C" w:rsidP="006B5E6C" w14:paraId="2D0F855E" w14:textId="77777777">
      <w:r>
        <w:t>There are no annualized costs to the Federal government because the consummation is simply a notification to the Commission that a transaction has been completed by the applicants.</w:t>
      </w:r>
    </w:p>
    <w:p w:rsidR="006B5E6C" w:rsidP="006B5E6C" w14:paraId="477C3AD8" w14:textId="77777777"/>
    <w:p w:rsidR="006B5E6C" w:rsidP="006B5E6C" w14:paraId="03EA4631" w14:textId="77777777">
      <w:pPr>
        <w:widowControl w:val="0"/>
        <w:tabs>
          <w:tab w:val="left" w:pos="-720"/>
        </w:tabs>
        <w:suppressAutoHyphens/>
        <w:rPr>
          <w:bCs/>
        </w:rPr>
      </w:pPr>
      <w:r w:rsidRPr="00475910">
        <w:rPr>
          <w:bCs/>
        </w:rPr>
        <w:t xml:space="preserve">15.     </w:t>
      </w:r>
      <w:r w:rsidRPr="005158C4">
        <w:rPr>
          <w:b/>
          <w:u w:val="single"/>
        </w:rPr>
        <w:t>Reasons for Change in Burden</w:t>
      </w:r>
      <w:r w:rsidRPr="005158C4">
        <w:rPr>
          <w:bCs/>
        </w:rPr>
        <w:t xml:space="preserve"> </w:t>
      </w:r>
    </w:p>
    <w:p w:rsidR="006B5E6C" w:rsidP="006B5E6C" w14:paraId="4D93717C" w14:textId="77777777">
      <w:pPr>
        <w:widowControl w:val="0"/>
        <w:tabs>
          <w:tab w:val="left" w:pos="-720"/>
        </w:tabs>
        <w:suppressAutoHyphens/>
        <w:rPr>
          <w:bCs/>
        </w:rPr>
      </w:pPr>
    </w:p>
    <w:p w:rsidR="006B5E6C" w:rsidP="006B5E6C" w14:paraId="2C7577EB" w14:textId="304D9B9E">
      <w:pPr>
        <w:widowControl w:val="0"/>
        <w:tabs>
          <w:tab w:val="left" w:pos="-720"/>
        </w:tabs>
        <w:suppressAutoHyphens/>
      </w:pPr>
      <w:r>
        <w:rPr>
          <w:bCs/>
        </w:rPr>
        <w:t xml:space="preserve">There are no program changes in this collection.  There is an adjustment </w:t>
      </w:r>
      <w:r w:rsidR="002C27C5">
        <w:rPr>
          <w:bCs/>
        </w:rPr>
        <w:t xml:space="preserve">as follows:  +242 to the number of respondents, +242 to the annual number of responses, </w:t>
      </w:r>
      <w:r w:rsidR="00FF6303">
        <w:rPr>
          <w:bCs/>
        </w:rPr>
        <w:t xml:space="preserve">+242 to the annual burden hours and +$11,700 to the annual cost.  These increases are due to </w:t>
      </w:r>
      <w:r>
        <w:rPr>
          <w:bCs/>
        </w:rPr>
        <w:t xml:space="preserve">an increase in the number of consummation notifications filed each year (based on new averages as calculated for the years 2019-2021).  </w:t>
      </w:r>
    </w:p>
    <w:p w:rsidR="006B5E6C" w:rsidRPr="001E41E0" w:rsidP="006B5E6C" w14:paraId="31862BFE" w14:textId="77777777">
      <w:pPr>
        <w:tabs>
          <w:tab w:val="left" w:pos="-720"/>
        </w:tabs>
        <w:suppressAutoHyphens/>
        <w:rPr>
          <w:b/>
        </w:rPr>
      </w:pPr>
    </w:p>
    <w:p w:rsidR="006B5E6C" w:rsidP="006B5E6C" w14:paraId="03527CE7" w14:textId="77777777">
      <w:pPr>
        <w:tabs>
          <w:tab w:val="left" w:pos="-720"/>
        </w:tabs>
        <w:suppressAutoHyphens/>
      </w:pPr>
      <w:r>
        <w:t xml:space="preserve">16.     </w:t>
      </w:r>
      <w:r w:rsidRPr="005158C4">
        <w:rPr>
          <w:b/>
          <w:bCs/>
          <w:u w:val="single"/>
        </w:rPr>
        <w:t>Publication of Results</w:t>
      </w:r>
      <w:r w:rsidRPr="005158C4">
        <w:t xml:space="preserve"> </w:t>
      </w:r>
    </w:p>
    <w:p w:rsidR="006B5E6C" w:rsidP="006B5E6C" w14:paraId="0E8E644A" w14:textId="77777777">
      <w:pPr>
        <w:tabs>
          <w:tab w:val="left" w:pos="-720"/>
        </w:tabs>
        <w:suppressAutoHyphens/>
      </w:pPr>
    </w:p>
    <w:p w:rsidR="006B5E6C" w:rsidP="006B5E6C" w14:paraId="07AA3179" w14:textId="77777777">
      <w:pPr>
        <w:tabs>
          <w:tab w:val="left" w:pos="-720"/>
        </w:tabs>
        <w:suppressAutoHyphens/>
      </w:pPr>
      <w:r>
        <w:t>The results of this information collection requirement will not be published for statistical use.</w:t>
      </w:r>
    </w:p>
    <w:p w:rsidR="006B5E6C" w:rsidP="006B5E6C" w14:paraId="2738971F" w14:textId="77777777">
      <w:pPr>
        <w:tabs>
          <w:tab w:val="left" w:pos="-720"/>
        </w:tabs>
        <w:suppressAutoHyphens/>
      </w:pPr>
    </w:p>
    <w:p w:rsidR="006B5E6C" w:rsidRPr="005158C4" w:rsidP="006B5E6C" w14:paraId="410A4186" w14:textId="0EA1BE7A">
      <w:pPr>
        <w:tabs>
          <w:tab w:val="left" w:pos="-720"/>
        </w:tabs>
        <w:suppressAutoHyphens/>
        <w:rPr>
          <w:b/>
          <w:bCs/>
          <w:u w:val="single"/>
        </w:rPr>
      </w:pPr>
      <w:r>
        <w:t xml:space="preserve">17.  </w:t>
      </w:r>
      <w:r w:rsidRPr="005158C4">
        <w:rPr>
          <w:b/>
          <w:bCs/>
          <w:u w:val="single"/>
        </w:rPr>
        <w:t>Non-Display of OMB Expiration</w:t>
      </w:r>
    </w:p>
    <w:p w:rsidR="006B5E6C" w:rsidP="006B5E6C" w14:paraId="41809389" w14:textId="77777777">
      <w:pPr>
        <w:tabs>
          <w:tab w:val="left" w:pos="-720"/>
        </w:tabs>
        <w:suppressAutoHyphens/>
      </w:pPr>
    </w:p>
    <w:p w:rsidR="006B5E6C" w:rsidP="006B5E6C" w14:paraId="7CA8D126" w14:textId="77777777">
      <w:pPr>
        <w:tabs>
          <w:tab w:val="left" w:pos="-720"/>
        </w:tabs>
        <w:suppressAutoHyphens/>
      </w:pPr>
      <w:r>
        <w:t xml:space="preserve"> Not applicable. The Commission is not seeking approval to not display the expiration date for OMB approval of this information collection.  </w:t>
      </w:r>
    </w:p>
    <w:p w:rsidR="006B5E6C" w:rsidP="006B5E6C" w14:paraId="736C8B99" w14:textId="77777777">
      <w:pPr>
        <w:tabs>
          <w:tab w:val="left" w:pos="-720"/>
        </w:tabs>
        <w:suppressAutoHyphens/>
      </w:pPr>
    </w:p>
    <w:p w:rsidR="006B5E6C" w:rsidP="006B5E6C" w14:paraId="263462E5" w14:textId="6E150B16">
      <w:pPr>
        <w:tabs>
          <w:tab w:val="left" w:pos="-720"/>
        </w:tabs>
        <w:suppressAutoHyphens/>
      </w:pPr>
      <w:r>
        <w:t xml:space="preserve">18.   </w:t>
      </w:r>
      <w:r w:rsidRPr="005158C4">
        <w:rPr>
          <w:b/>
          <w:bCs/>
          <w:u w:val="single"/>
        </w:rPr>
        <w:t>Exceptions to “Certification for Paperwork Reduction Submissions”</w:t>
      </w:r>
    </w:p>
    <w:p w:rsidR="006B5E6C" w:rsidP="006B5E6C" w14:paraId="42C2BDD6" w14:textId="77777777">
      <w:pPr>
        <w:tabs>
          <w:tab w:val="left" w:pos="-720"/>
        </w:tabs>
        <w:suppressAutoHyphens/>
      </w:pPr>
    </w:p>
    <w:p w:rsidR="006B5E6C" w:rsidP="006B5E6C" w14:paraId="43F9A1FE" w14:textId="26D55464">
      <w:pPr>
        <w:tabs>
          <w:tab w:val="left" w:pos="-720"/>
        </w:tabs>
        <w:suppressAutoHyphens/>
      </w:pPr>
      <w:r>
        <w:t xml:space="preserve">The Commission published a 60-day notice in the Federal Register.  The published numbers should have been as follows in the notice:  405 as the number of respondents, 405 as the annual number of responses, 405 as the annual burden hours an $60,600 to the annual cost.  </w:t>
      </w:r>
      <w:r>
        <w:t xml:space="preserve">There are no </w:t>
      </w:r>
      <w:r>
        <w:t xml:space="preserve">other </w:t>
      </w:r>
      <w:r>
        <w:t xml:space="preserve">exceptions to the certification statement. </w:t>
      </w:r>
      <w:r w:rsidRPr="00F04FEF">
        <w:t xml:space="preserve"> </w:t>
      </w:r>
      <w:r>
        <w:t xml:space="preserve">  </w:t>
      </w:r>
    </w:p>
    <w:p w:rsidR="006B5E6C" w:rsidP="006B5E6C" w14:paraId="5AC872A6" w14:textId="77777777">
      <w:pPr>
        <w:widowControl w:val="0"/>
        <w:tabs>
          <w:tab w:val="left" w:pos="-720"/>
        </w:tabs>
        <w:suppressAutoHyphens/>
      </w:pPr>
    </w:p>
    <w:p w:rsidR="006B5E6C" w:rsidP="006B5E6C" w14:paraId="56E3414A" w14:textId="77777777">
      <w:pPr>
        <w:tabs>
          <w:tab w:val="left" w:pos="-720"/>
        </w:tabs>
        <w:suppressAutoHyphens/>
        <w:rPr>
          <w:b/>
          <w:u w:val="single"/>
        </w:rPr>
      </w:pPr>
      <w:r>
        <w:rPr>
          <w:b/>
          <w:u w:val="single"/>
        </w:rPr>
        <w:t>B.  Collections of Information Employing Statistical Methods:</w:t>
      </w:r>
    </w:p>
    <w:p w:rsidR="006B5E6C" w:rsidP="006B5E6C" w14:paraId="674C9ECE" w14:textId="77777777">
      <w:pPr>
        <w:tabs>
          <w:tab w:val="left" w:pos="-720"/>
        </w:tabs>
        <w:suppressAutoHyphens/>
        <w:ind w:left="1440"/>
      </w:pPr>
      <w:r>
        <w:t xml:space="preserve"> </w:t>
      </w:r>
    </w:p>
    <w:p w:rsidR="006B5E6C" w:rsidP="006B5E6C" w14:paraId="01752666" w14:textId="77777777">
      <w:pPr>
        <w:tabs>
          <w:tab w:val="left" w:pos="-720"/>
        </w:tabs>
        <w:suppressAutoHyphens/>
      </w:pPr>
      <w:r>
        <w:t>Not applicable.  This information collection does not employ statistical methods.</w:t>
      </w:r>
    </w:p>
    <w:p w:rsidR="00412FC5" w:rsidP="006B5E6C" w14:paraId="359BDA76" w14:textId="77777777">
      <w:pPr>
        <w:pStyle w:val="Heading1"/>
        <w:numPr>
          <w:ilvl w:val="0"/>
          <w:numId w:val="0"/>
        </w:numPr>
      </w:pPr>
    </w:p>
    <w:sectPr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536E" w14:paraId="4A6963FD" w14:textId="77777777">
      <w:pPr>
        <w:spacing w:line="20" w:lineRule="exact"/>
      </w:pPr>
    </w:p>
  </w:endnote>
  <w:endnote w:type="continuationSeparator" w:id="1">
    <w:p w:rsidR="0013536E" w14:paraId="1FC0AE23" w14:textId="77777777">
      <w:r>
        <w:t xml:space="preserve"> </w:t>
      </w:r>
    </w:p>
  </w:endnote>
  <w:endnote w:type="continuationNotice" w:id="2">
    <w:p w:rsidR="0013536E" w14:paraId="1D1DFC2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613D6E2"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22768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185C621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2B2C7C3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E6C" w14:paraId="0C2C90F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6DDD9C3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536E" w14:paraId="742F18C2" w14:textId="77777777">
      <w:r>
        <w:separator/>
      </w:r>
    </w:p>
  </w:footnote>
  <w:footnote w:type="continuationSeparator" w:id="1">
    <w:p w:rsidR="0013536E" w:rsidP="00C721AC" w14:paraId="1A6C0DF6" w14:textId="77777777">
      <w:pPr>
        <w:spacing w:before="120"/>
        <w:rPr>
          <w:sz w:val="20"/>
        </w:rPr>
      </w:pPr>
      <w:r>
        <w:rPr>
          <w:sz w:val="20"/>
        </w:rPr>
        <w:t xml:space="preserve">(Continued from previous page)  </w:t>
      </w:r>
      <w:r>
        <w:rPr>
          <w:sz w:val="20"/>
        </w:rPr>
        <w:separator/>
      </w:r>
    </w:p>
  </w:footnote>
  <w:footnote w:type="continuationNotice" w:id="2">
    <w:p w:rsidR="0013536E" w:rsidP="00C721AC" w14:paraId="12EEA7C0" w14:textId="77777777">
      <w:pPr>
        <w:jc w:val="right"/>
        <w:rPr>
          <w:sz w:val="20"/>
        </w:rPr>
      </w:pPr>
      <w:r>
        <w:rPr>
          <w:sz w:val="20"/>
        </w:rPr>
        <w:t>(continued….)</w:t>
      </w:r>
    </w:p>
  </w:footnote>
  <w:footnote w:id="3">
    <w:p w:rsidR="006B5E6C" w:rsidRPr="006B5E6C" w:rsidP="006B5E6C" w14:paraId="5C07C800" w14:textId="03F5DCA4">
      <w:pPr>
        <w:pStyle w:val="FootnoteText"/>
      </w:pPr>
      <w:r w:rsidRPr="00DD57BA">
        <w:rPr>
          <w:rStyle w:val="FootnoteReference"/>
        </w:rPr>
        <w:footnoteRef/>
      </w:r>
      <w:r w:rsidRPr="00DD57BA">
        <w:t xml:space="preserve"> An assignment of an authorization is a transaction in which the authorization is assigned from one entity to another entity.  Following an assignment, the authorization is held by an entity other than the one to which </w:t>
      </w:r>
      <w:r w:rsidRPr="006B5E6C">
        <w:t xml:space="preserve">the authorization </w:t>
      </w:r>
      <w:r w:rsidRPr="00DD57BA">
        <w:t>was originally granted.</w:t>
      </w:r>
    </w:p>
  </w:footnote>
  <w:footnote w:id="4">
    <w:p w:rsidR="006B5E6C" w:rsidRPr="006B5E6C" w:rsidP="006B5E6C" w14:paraId="0F816A67" w14:textId="0A1E3D79">
      <w:pPr>
        <w:pStyle w:val="FootnoteText"/>
      </w:pPr>
      <w:r w:rsidRPr="00DD57BA">
        <w:rPr>
          <w:rStyle w:val="FootnoteReference"/>
        </w:rPr>
        <w:footnoteRef/>
      </w:r>
      <w:r w:rsidRPr="00DD57BA">
        <w:t xml:space="preserve"> A transfer of control is a transaction in which the authorization remains held by the same entity, but there is a change in the entity or entities that control</w:t>
      </w:r>
      <w:r w:rsidRPr="006B5E6C">
        <w:t>(s)</w:t>
      </w:r>
      <w:r w:rsidRPr="00DD57BA">
        <w:t xml:space="preserve"> the authorization holder.  A change from less than 50 percent ownership to 50 percent or more ownership shall always be considered a transfer of control.  In all other situations, whether the interest being transferred is controlling must be determined on a case-by-case basis.</w:t>
      </w:r>
    </w:p>
  </w:footnote>
  <w:footnote w:id="5">
    <w:p w:rsidR="006B5E6C" w:rsidRPr="00DD57BA" w:rsidP="006B5E6C" w14:paraId="72DBA4BE" w14:textId="79D9D4F5">
      <w:pPr>
        <w:pStyle w:val="FootnoteText"/>
      </w:pPr>
      <w:r w:rsidRPr="00DD57BA">
        <w:rPr>
          <w:rStyle w:val="FootnoteReference"/>
        </w:rPr>
        <w:footnoteRef/>
      </w:r>
      <w:r w:rsidRPr="00DD57BA">
        <w:t xml:space="preserve">  For example, 47 CFR 63.24(e)(4) states that “an assignee or transferee must notify the Commission no later than thirty (30) days after either consummation of the proposed assignment or transfer of control, or a decision not to consummate the proposed assignment or transfer of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AE0" w:rsidRPr="00D22106" w:rsidP="00F15543" w14:paraId="3344953F" w14:textId="77777777">
    <w:pPr>
      <w:pStyle w:val="Header"/>
    </w:pPr>
    <w:r>
      <w:t>OMB Control No.  3060-1108</w:t>
    </w:r>
  </w:p>
  <w:p w:rsidR="006A4AE0" w:rsidRPr="0009292E" w:rsidP="00F15543" w14:paraId="691E4DFA" w14:textId="77777777">
    <w:pPr>
      <w:pStyle w:val="Header"/>
    </w:pPr>
    <w:r w:rsidRPr="0009292E">
      <w:t xml:space="preserve">Consummations of Assignments </w:t>
    </w:r>
  </w:p>
  <w:p w:rsidR="006A4AE0" w:rsidRPr="0009292E" w:rsidP="00F15543" w14:paraId="4AA26396" w14:textId="77777777">
    <w:pPr>
      <w:pStyle w:val="Header"/>
    </w:pPr>
    <w:r w:rsidRPr="0009292E">
      <w:t>and Transfers of Control of Authorization</w:t>
    </w:r>
  </w:p>
  <w:p w:rsidR="006A4AE0" w:rsidRPr="00F15543" w:rsidP="00F15543" w14:paraId="52D33D52" w14:textId="671EF990">
    <w:pPr>
      <w:pStyle w:val="Header"/>
    </w:pPr>
    <w:r w:rsidRPr="00F15543">
      <w:t>August 2022</w:t>
    </w:r>
  </w:p>
  <w:p w:rsidR="00D25FB5" w:rsidRPr="006A4AE0" w:rsidP="00F15543" w14:paraId="7A4A6913" w14:textId="217B0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E6C" w:rsidRPr="00D22106" w:rsidP="00F15543" w14:paraId="5198F5F8" w14:textId="77777777">
    <w:pPr>
      <w:pStyle w:val="Header"/>
    </w:pPr>
    <w:r>
      <w:t>OMB Control No.  3060-1108</w:t>
    </w:r>
  </w:p>
  <w:p w:rsidR="006B5E6C" w:rsidRPr="0009292E" w:rsidP="00F15543" w14:paraId="742117BD" w14:textId="77777777">
    <w:pPr>
      <w:pStyle w:val="Header"/>
    </w:pPr>
    <w:r w:rsidRPr="0009292E">
      <w:t xml:space="preserve">Consummations of Assignments </w:t>
    </w:r>
  </w:p>
  <w:p w:rsidR="006B5E6C" w:rsidRPr="0009292E" w:rsidP="00F15543" w14:paraId="34989609" w14:textId="77777777">
    <w:pPr>
      <w:pStyle w:val="Header"/>
    </w:pPr>
    <w:r w:rsidRPr="0009292E">
      <w:t>and Transfers of Control of Authorization</w:t>
    </w:r>
  </w:p>
  <w:p w:rsidR="006B5E6C" w:rsidRPr="00F15543" w:rsidP="00F15543" w14:paraId="23BE8A97" w14:textId="68FADB16">
    <w:pPr>
      <w:pStyle w:val="Header"/>
    </w:pPr>
    <w:r>
      <w:tab/>
    </w:r>
    <w:r>
      <w:tab/>
    </w:r>
    <w:r w:rsidR="00BD75F8">
      <w:t>November</w:t>
    </w:r>
    <w:r w:rsidR="002F25C2">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593B773E"/>
    <w:multiLevelType w:val="hybridMultilevel"/>
    <w:tmpl w:val="D19C0F18"/>
    <w:lvl w:ilvl="0">
      <w:start w:val="1"/>
      <w:numFmt w:val="decimal"/>
      <w:lvlText w:val="%1."/>
      <w:lvlJc w:val="left"/>
      <w:pPr>
        <w:ind w:left="420" w:hanging="4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nsid w:val="630C1832"/>
    <w:multiLevelType w:val="hybridMultilevel"/>
    <w:tmpl w:val="DF5A2A7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151F68"/>
    <w:multiLevelType w:val="hybridMultilevel"/>
    <w:tmpl w:val="1B8AE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4800292">
    <w:abstractNumId w:val="1"/>
  </w:num>
  <w:num w:numId="2" w16cid:durableId="1562402268">
    <w:abstractNumId w:val="6"/>
  </w:num>
  <w:num w:numId="3" w16cid:durableId="67654877">
    <w:abstractNumId w:val="3"/>
  </w:num>
  <w:num w:numId="4" w16cid:durableId="1627658845">
    <w:abstractNumId w:val="4"/>
  </w:num>
  <w:num w:numId="5" w16cid:durableId="290133219">
    <w:abstractNumId w:val="2"/>
  </w:num>
  <w:num w:numId="6" w16cid:durableId="2071074717">
    <w:abstractNumId w:val="0"/>
  </w:num>
  <w:num w:numId="7" w16cid:durableId="1290015918">
    <w:abstractNumId w:val="8"/>
  </w:num>
  <w:num w:numId="8" w16cid:durableId="2138134109">
    <w:abstractNumId w:val="7"/>
  </w:num>
  <w:num w:numId="9" w16cid:durableId="38537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6C"/>
    <w:rsid w:val="000239EE"/>
    <w:rsid w:val="00036039"/>
    <w:rsid w:val="00037F90"/>
    <w:rsid w:val="00044007"/>
    <w:rsid w:val="000875BF"/>
    <w:rsid w:val="0009292E"/>
    <w:rsid w:val="00096D8C"/>
    <w:rsid w:val="000C0B65"/>
    <w:rsid w:val="000E05FE"/>
    <w:rsid w:val="000E3D42"/>
    <w:rsid w:val="000E7139"/>
    <w:rsid w:val="00122BD5"/>
    <w:rsid w:val="00133F79"/>
    <w:rsid w:val="0013536E"/>
    <w:rsid w:val="00194A66"/>
    <w:rsid w:val="00196858"/>
    <w:rsid w:val="001D6BCF"/>
    <w:rsid w:val="001E01CA"/>
    <w:rsid w:val="001E41E0"/>
    <w:rsid w:val="00236E20"/>
    <w:rsid w:val="00242DAD"/>
    <w:rsid w:val="00275212"/>
    <w:rsid w:val="00275CF5"/>
    <w:rsid w:val="0028301F"/>
    <w:rsid w:val="00285017"/>
    <w:rsid w:val="002910EC"/>
    <w:rsid w:val="00292EA1"/>
    <w:rsid w:val="002A2D2E"/>
    <w:rsid w:val="002C00E8"/>
    <w:rsid w:val="002C27C5"/>
    <w:rsid w:val="002C4DCA"/>
    <w:rsid w:val="002F1747"/>
    <w:rsid w:val="002F25C2"/>
    <w:rsid w:val="00317714"/>
    <w:rsid w:val="00343749"/>
    <w:rsid w:val="003660ED"/>
    <w:rsid w:val="003B0550"/>
    <w:rsid w:val="003B694F"/>
    <w:rsid w:val="003D3FEC"/>
    <w:rsid w:val="003F171C"/>
    <w:rsid w:val="00410C46"/>
    <w:rsid w:val="00412FC5"/>
    <w:rsid w:val="00422276"/>
    <w:rsid w:val="004242F1"/>
    <w:rsid w:val="00445A00"/>
    <w:rsid w:val="00451B0F"/>
    <w:rsid w:val="004710CA"/>
    <w:rsid w:val="00475910"/>
    <w:rsid w:val="004C2EE3"/>
    <w:rsid w:val="004E4A22"/>
    <w:rsid w:val="00511968"/>
    <w:rsid w:val="005158C4"/>
    <w:rsid w:val="0055139B"/>
    <w:rsid w:val="00555E09"/>
    <w:rsid w:val="0055614C"/>
    <w:rsid w:val="00566D06"/>
    <w:rsid w:val="005E14C2"/>
    <w:rsid w:val="00607BA5"/>
    <w:rsid w:val="0061180A"/>
    <w:rsid w:val="00626EB6"/>
    <w:rsid w:val="0065096F"/>
    <w:rsid w:val="00655D03"/>
    <w:rsid w:val="0066748D"/>
    <w:rsid w:val="00683388"/>
    <w:rsid w:val="00683F84"/>
    <w:rsid w:val="00693A0F"/>
    <w:rsid w:val="0069598A"/>
    <w:rsid w:val="006A4AE0"/>
    <w:rsid w:val="006A6A81"/>
    <w:rsid w:val="006B5E6C"/>
    <w:rsid w:val="006B7C74"/>
    <w:rsid w:val="006E54F7"/>
    <w:rsid w:val="006E65B3"/>
    <w:rsid w:val="006F7393"/>
    <w:rsid w:val="0070224F"/>
    <w:rsid w:val="007115F7"/>
    <w:rsid w:val="00785689"/>
    <w:rsid w:val="0079754B"/>
    <w:rsid w:val="007A1E6D"/>
    <w:rsid w:val="007A675B"/>
    <w:rsid w:val="007B0EB2"/>
    <w:rsid w:val="00802ADE"/>
    <w:rsid w:val="00803416"/>
    <w:rsid w:val="00810B6F"/>
    <w:rsid w:val="00822CE0"/>
    <w:rsid w:val="00841AB1"/>
    <w:rsid w:val="00846933"/>
    <w:rsid w:val="008C68F1"/>
    <w:rsid w:val="00921803"/>
    <w:rsid w:val="00926503"/>
    <w:rsid w:val="009726D8"/>
    <w:rsid w:val="00983F33"/>
    <w:rsid w:val="009A5E63"/>
    <w:rsid w:val="009B4E3F"/>
    <w:rsid w:val="009D7308"/>
    <w:rsid w:val="009F4F12"/>
    <w:rsid w:val="009F76DB"/>
    <w:rsid w:val="00A062D8"/>
    <w:rsid w:val="00A30402"/>
    <w:rsid w:val="00A32C3B"/>
    <w:rsid w:val="00A45F4F"/>
    <w:rsid w:val="00A600A9"/>
    <w:rsid w:val="00A65F52"/>
    <w:rsid w:val="00A77A17"/>
    <w:rsid w:val="00A91BD1"/>
    <w:rsid w:val="00AA55B7"/>
    <w:rsid w:val="00AA5B9E"/>
    <w:rsid w:val="00AB2407"/>
    <w:rsid w:val="00AB53DF"/>
    <w:rsid w:val="00B07BBB"/>
    <w:rsid w:val="00B07E5C"/>
    <w:rsid w:val="00B425D6"/>
    <w:rsid w:val="00B801DC"/>
    <w:rsid w:val="00B811F7"/>
    <w:rsid w:val="00BA5DC6"/>
    <w:rsid w:val="00BA6196"/>
    <w:rsid w:val="00BB500E"/>
    <w:rsid w:val="00BC6D8C"/>
    <w:rsid w:val="00BD75F8"/>
    <w:rsid w:val="00C34006"/>
    <w:rsid w:val="00C36B4C"/>
    <w:rsid w:val="00C426B1"/>
    <w:rsid w:val="00C521DA"/>
    <w:rsid w:val="00C66160"/>
    <w:rsid w:val="00C721AC"/>
    <w:rsid w:val="00C90D6A"/>
    <w:rsid w:val="00CA247E"/>
    <w:rsid w:val="00CA6D21"/>
    <w:rsid w:val="00CB4318"/>
    <w:rsid w:val="00CC72B6"/>
    <w:rsid w:val="00CF4A80"/>
    <w:rsid w:val="00D0218D"/>
    <w:rsid w:val="00D22106"/>
    <w:rsid w:val="00D25FB5"/>
    <w:rsid w:val="00D44223"/>
    <w:rsid w:val="00D66836"/>
    <w:rsid w:val="00DA2529"/>
    <w:rsid w:val="00DB130A"/>
    <w:rsid w:val="00DB2EBB"/>
    <w:rsid w:val="00DC10A1"/>
    <w:rsid w:val="00DC655F"/>
    <w:rsid w:val="00DD0B59"/>
    <w:rsid w:val="00DD57BA"/>
    <w:rsid w:val="00DD7EBD"/>
    <w:rsid w:val="00DF42AC"/>
    <w:rsid w:val="00DF62B6"/>
    <w:rsid w:val="00E07225"/>
    <w:rsid w:val="00E5409F"/>
    <w:rsid w:val="00E61D14"/>
    <w:rsid w:val="00EE58E2"/>
    <w:rsid w:val="00EE6488"/>
    <w:rsid w:val="00F021FA"/>
    <w:rsid w:val="00F04FEF"/>
    <w:rsid w:val="00F15543"/>
    <w:rsid w:val="00F444AE"/>
    <w:rsid w:val="00F62E97"/>
    <w:rsid w:val="00F64209"/>
    <w:rsid w:val="00F647E6"/>
    <w:rsid w:val="00F7220C"/>
    <w:rsid w:val="00F93BF5"/>
    <w:rsid w:val="00FB2610"/>
    <w:rsid w:val="00FB3DBB"/>
    <w:rsid w:val="00FD77BF"/>
    <w:rsid w:val="00FF4166"/>
    <w:rsid w:val="00FF6303"/>
    <w:rsid w:val="033673D2"/>
    <w:rsid w:val="0ACEF9CE"/>
    <w:rsid w:val="11BF725C"/>
    <w:rsid w:val="15562E89"/>
    <w:rsid w:val="1A3D102A"/>
    <w:rsid w:val="21F33BDF"/>
    <w:rsid w:val="3380FE8C"/>
    <w:rsid w:val="33E37E8E"/>
    <w:rsid w:val="386B3A2C"/>
    <w:rsid w:val="3BF0E7D8"/>
    <w:rsid w:val="3D8FBDA9"/>
    <w:rsid w:val="440F0B14"/>
    <w:rsid w:val="45AADB75"/>
    <w:rsid w:val="4894549D"/>
    <w:rsid w:val="4E99A466"/>
    <w:rsid w:val="56010993"/>
    <w:rsid w:val="5B5EFF11"/>
    <w:rsid w:val="5C7BF648"/>
    <w:rsid w:val="5E17C6A9"/>
    <w:rsid w:val="5F5149D9"/>
    <w:rsid w:val="6DEB8DD2"/>
    <w:rsid w:val="71232E94"/>
    <w:rsid w:val="72330E41"/>
    <w:rsid w:val="7B4D72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6439A4"/>
  <w15:chartTrackingRefBased/>
  <w15:docId w15:val="{2E8280E7-1CAF-4C9C-A4D0-235EFEF5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5E6C"/>
    <w:rPr>
      <w:sz w:val="24"/>
      <w:szCs w:val="24"/>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link w:val="FootnoteTextChar2"/>
    <w:qFormat/>
    <w:rsid w:val="000E3D42"/>
    <w:pPr>
      <w:spacing w:after="120"/>
    </w:pPr>
  </w:style>
  <w:style w:type="character" w:styleId="FootnoteReference">
    <w:name w:val="footnote reference"/>
    <w:aliases w:val="(NECG) Footnote Reference,-E Funotenzeichen,A,Appel note de bas de p,FR,Footnote Reference/,Footnote Reference1,Ref,Style 124,Style 13,Style 17,Style 20,Style 34,Style 9,callout,fr,o"/>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F15543"/>
    <w:pPr>
      <w:tabs>
        <w:tab w:val="center" w:pos="4680"/>
        <w:tab w:val="right" w:pos="9360"/>
      </w:tabs>
      <w:jc w:val="right"/>
    </w:pPr>
    <w:rPr>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styleId="CommentReference">
    <w:name w:val="annotation reference"/>
    <w:rsid w:val="006B5E6C"/>
    <w:rPr>
      <w:sz w:val="16"/>
      <w:szCs w:val="16"/>
    </w:rPr>
  </w:style>
  <w:style w:type="paragraph" w:styleId="CommentText">
    <w:name w:val="annotation text"/>
    <w:basedOn w:val="Normal"/>
    <w:link w:val="CommentTextChar"/>
    <w:rsid w:val="006B5E6C"/>
    <w:rPr>
      <w:sz w:val="20"/>
      <w:szCs w:val="20"/>
    </w:rPr>
  </w:style>
  <w:style w:type="character" w:customStyle="1" w:styleId="CommentTextChar">
    <w:name w:val="Comment Text Char"/>
    <w:basedOn w:val="DefaultParagraphFont"/>
    <w:link w:val="CommentText"/>
    <w:rsid w:val="006B5E6C"/>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link w:val="FootnoteText"/>
    <w:rsid w:val="006B5E6C"/>
  </w:style>
  <w:style w:type="character" w:styleId="Mention">
    <w:name w:val="Mention"/>
    <w:uiPriority w:val="99"/>
    <w:unhideWhenUsed/>
    <w:rsid w:val="006B5E6C"/>
    <w:rPr>
      <w:color w:val="2B579A"/>
      <w:shd w:val="clear" w:color="auto" w:fill="E1DFDD"/>
    </w:rPr>
  </w:style>
  <w:style w:type="paragraph" w:styleId="CommentSubject">
    <w:name w:val="annotation subject"/>
    <w:basedOn w:val="CommentText"/>
    <w:next w:val="CommentText"/>
    <w:link w:val="CommentSubjectChar"/>
    <w:rsid w:val="00846933"/>
    <w:rPr>
      <w:b/>
      <w:bCs/>
    </w:rPr>
  </w:style>
  <w:style w:type="character" w:customStyle="1" w:styleId="CommentSubjectChar">
    <w:name w:val="Comment Subject Char"/>
    <w:basedOn w:val="CommentTextChar"/>
    <w:link w:val="CommentSubject"/>
    <w:rsid w:val="00846933"/>
    <w:rPr>
      <w:b/>
      <w:bCs/>
    </w:rPr>
  </w:style>
  <w:style w:type="paragraph" w:styleId="Revision">
    <w:name w:val="Revision"/>
    <w:hidden/>
    <w:uiPriority w:val="99"/>
    <w:semiHidden/>
    <w:rsid w:val="00FB26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72D4-F57D-46AE-97B4-9B79DBAB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11</TotalTime>
  <Pages>5</Pages>
  <Words>1386</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Arthur Lechtman</dc:creator>
  <cp:lastModifiedBy>Cathy Williams</cp:lastModifiedBy>
  <cp:revision>7</cp:revision>
  <cp:lastPrinted>2005-07-20T13:06:00Z</cp:lastPrinted>
  <dcterms:created xsi:type="dcterms:W3CDTF">2022-08-18T19:21:00Z</dcterms:created>
  <dcterms:modified xsi:type="dcterms:W3CDTF">2022-11-06T17:12:00Z</dcterms:modified>
</cp:coreProperties>
</file>