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6457" w:rsidRPr="00446457" w:rsidP="00446457" w14:paraId="3A8FA29E" w14:textId="77777777">
      <w:pPr>
        <w:pStyle w:val="Heading3"/>
        <w:numPr>
          <w:ilvl w:val="0"/>
          <w:numId w:val="0"/>
        </w:numPr>
        <w:jc w:val="center"/>
        <w:rPr>
          <w:sz w:val="24"/>
          <w:szCs w:val="24"/>
        </w:rPr>
      </w:pPr>
      <w:r w:rsidRPr="00446457">
        <w:rPr>
          <w:sz w:val="24"/>
          <w:szCs w:val="24"/>
        </w:rPr>
        <w:t>SUPPORTING STATEMENT</w:t>
      </w:r>
    </w:p>
    <w:p w:rsidR="00446457" w:rsidP="00446457" w14:paraId="335E4D75" w14:textId="77777777"/>
    <w:p w:rsidR="00446457" w:rsidP="00446457" w14:paraId="43CE54F9" w14:textId="7272B408">
      <w:pPr>
        <w:tabs>
          <w:tab w:val="left" w:pos="-720"/>
        </w:tabs>
        <w:suppressAutoHyphens/>
        <w:rPr>
          <w:b/>
          <w:sz w:val="24"/>
        </w:rPr>
      </w:pPr>
      <w:r>
        <w:rPr>
          <w:b/>
          <w:sz w:val="24"/>
        </w:rPr>
        <w:t xml:space="preserve">A.  </w:t>
      </w:r>
      <w:r w:rsidRPr="00610881">
        <w:rPr>
          <w:b/>
          <w:sz w:val="24"/>
          <w:u w:val="single"/>
        </w:rPr>
        <w:t>Justification</w:t>
      </w:r>
    </w:p>
    <w:p w:rsidR="00446457" w:rsidP="00446457" w14:paraId="5D9EBBA2" w14:textId="77777777">
      <w:pPr>
        <w:tabs>
          <w:tab w:val="left" w:pos="-720"/>
        </w:tabs>
        <w:suppressAutoHyphens/>
        <w:rPr>
          <w:sz w:val="24"/>
        </w:rPr>
      </w:pPr>
    </w:p>
    <w:p w:rsidR="00446457" w:rsidP="00446457" w14:paraId="2D911443" w14:textId="36894FBE">
      <w:pPr>
        <w:tabs>
          <w:tab w:val="left" w:pos="-720"/>
        </w:tabs>
        <w:suppressAutoHyphens/>
        <w:rPr>
          <w:bCs/>
          <w:sz w:val="24"/>
        </w:rPr>
      </w:pPr>
      <w:r>
        <w:rPr>
          <w:sz w:val="24"/>
          <w:szCs w:val="24"/>
        </w:rPr>
        <w:t xml:space="preserve">1.    The Federal Communications Commission (Commission) is requesting that the Office of Management and Budget (OMB) approve a three-year extension of the information collection, “Data Network Identification Code (DNIC)” under OMB Control No. 3060-1029 (Delegated Authority Information Collection).  </w:t>
      </w:r>
      <w:r>
        <w:rPr>
          <w:bCs/>
          <w:sz w:val="24"/>
        </w:rPr>
        <w:t xml:space="preserve">This </w:t>
      </w:r>
      <w:r w:rsidR="006D5E8A">
        <w:rPr>
          <w:bCs/>
          <w:sz w:val="24"/>
        </w:rPr>
        <w:t>collection</w:t>
      </w:r>
      <w:r>
        <w:rPr>
          <w:bCs/>
          <w:sz w:val="24"/>
        </w:rPr>
        <w:t xml:space="preserve"> seeks continued approval for the current forms, and reflects changes in the costs that are associated with new application fees and updated burden hour estimates.  The application and actual collection has not changed.  </w:t>
      </w:r>
    </w:p>
    <w:p w:rsidR="00446457" w:rsidP="00446457" w14:paraId="31C32316" w14:textId="77777777">
      <w:pPr>
        <w:tabs>
          <w:tab w:val="left" w:pos="-720"/>
        </w:tabs>
        <w:suppressAutoHyphens/>
        <w:rPr>
          <w:bCs/>
          <w:sz w:val="24"/>
        </w:rPr>
      </w:pPr>
    </w:p>
    <w:p w:rsidR="00446457" w:rsidRPr="00E92C78" w:rsidP="00446457" w14:paraId="2625C72E" w14:textId="77777777">
      <w:pPr>
        <w:tabs>
          <w:tab w:val="left" w:pos="-720"/>
        </w:tabs>
        <w:suppressAutoHyphens/>
        <w:rPr>
          <w:sz w:val="24"/>
          <w:szCs w:val="24"/>
          <w:u w:val="single"/>
        </w:rPr>
      </w:pPr>
      <w:r w:rsidRPr="00E92C78">
        <w:rPr>
          <w:sz w:val="24"/>
          <w:szCs w:val="24"/>
          <w:u w:val="single"/>
        </w:rPr>
        <w:t>Background:</w:t>
      </w:r>
    </w:p>
    <w:p w:rsidR="00446457" w:rsidP="00446457" w14:paraId="1256EE6E" w14:textId="77777777">
      <w:pPr>
        <w:tabs>
          <w:tab w:val="left" w:pos="-720"/>
        </w:tabs>
        <w:suppressAutoHyphens/>
        <w:rPr>
          <w:sz w:val="24"/>
          <w:szCs w:val="24"/>
        </w:rPr>
      </w:pPr>
    </w:p>
    <w:p w:rsidR="00446457" w:rsidP="00446457" w14:paraId="2C05A6B6" w14:textId="14FC1B6A">
      <w:pPr>
        <w:tabs>
          <w:tab w:val="left" w:pos="-720"/>
        </w:tabs>
        <w:suppressAutoHyphens/>
        <w:rPr>
          <w:sz w:val="24"/>
          <w:szCs w:val="24"/>
        </w:rPr>
      </w:pPr>
      <w:r>
        <w:rPr>
          <w:sz w:val="24"/>
          <w:szCs w:val="24"/>
        </w:rPr>
        <w:t xml:space="preserve">A </w:t>
      </w:r>
      <w:r w:rsidRPr="000201C4">
        <w:rPr>
          <w:sz w:val="24"/>
          <w:szCs w:val="24"/>
        </w:rPr>
        <w:t xml:space="preserve">Data Network Identification Code (DNIC) is a unique, four-digit number designed to provide discrete identification of individual public data networks.  </w:t>
      </w:r>
      <w:r>
        <w:rPr>
          <w:sz w:val="24"/>
          <w:szCs w:val="24"/>
        </w:rPr>
        <w:t xml:space="preserve">The DNIC is intended to identify and permit automated switching of data traffic to particular networks. </w:t>
      </w:r>
      <w:r w:rsidRPr="004426E5">
        <w:t xml:space="preserve"> </w:t>
      </w:r>
      <w:r>
        <w:rPr>
          <w:sz w:val="24"/>
          <w:szCs w:val="24"/>
        </w:rPr>
        <w:t>The DNIC</w:t>
      </w:r>
      <w:r w:rsidRPr="005C3FA1">
        <w:rPr>
          <w:sz w:val="24"/>
          <w:szCs w:val="24"/>
        </w:rPr>
        <w:t xml:space="preserve"> is the central device of the international data numbering plan developed by the International Telecommunication Union (ITU) a</w:t>
      </w:r>
      <w:r>
        <w:rPr>
          <w:sz w:val="24"/>
          <w:szCs w:val="24"/>
        </w:rPr>
        <w:t>s</w:t>
      </w:r>
      <w:r w:rsidRPr="005C3FA1">
        <w:rPr>
          <w:sz w:val="24"/>
          <w:szCs w:val="24"/>
        </w:rPr>
        <w:t xml:space="preserve"> set forth in </w:t>
      </w:r>
      <w:r>
        <w:rPr>
          <w:sz w:val="24"/>
          <w:szCs w:val="24"/>
        </w:rPr>
        <w:t xml:space="preserve">ITU-T </w:t>
      </w:r>
      <w:r w:rsidRPr="005C3FA1">
        <w:rPr>
          <w:sz w:val="24"/>
          <w:szCs w:val="24"/>
        </w:rPr>
        <w:t>Recommendation X.121.</w:t>
      </w:r>
      <w:r>
        <w:rPr>
          <w:rStyle w:val="FootnoteReference"/>
          <w:szCs w:val="24"/>
        </w:rPr>
        <w:footnoteReference w:id="3"/>
      </w:r>
      <w:r>
        <w:rPr>
          <w:sz w:val="24"/>
          <w:szCs w:val="24"/>
        </w:rPr>
        <w:t xml:space="preserve">  </w:t>
      </w:r>
    </w:p>
    <w:p w:rsidR="00446457" w:rsidP="00446457" w14:paraId="6FD96929" w14:textId="77777777">
      <w:pPr>
        <w:tabs>
          <w:tab w:val="left" w:pos="-720"/>
        </w:tabs>
        <w:suppressAutoHyphens/>
        <w:rPr>
          <w:sz w:val="24"/>
          <w:szCs w:val="24"/>
        </w:rPr>
      </w:pPr>
    </w:p>
    <w:p w:rsidR="00446457" w:rsidP="00446457" w14:paraId="02A429F5" w14:textId="6E7068A5">
      <w:pPr>
        <w:tabs>
          <w:tab w:val="left" w:pos="-720"/>
        </w:tabs>
        <w:suppressAutoHyphens/>
        <w:rPr>
          <w:sz w:val="24"/>
          <w:szCs w:val="24"/>
        </w:rPr>
      </w:pPr>
      <w:r>
        <w:rPr>
          <w:sz w:val="24"/>
          <w:szCs w:val="24"/>
        </w:rPr>
        <w:t xml:space="preserve">Prior to the availability of electronic application forms in 1999, the Commission used an informal process for assigning DNICs.   Under the informal system, a company desiring a code would </w:t>
      </w:r>
      <w:r w:rsidRPr="0058281E">
        <w:rPr>
          <w:sz w:val="24"/>
          <w:szCs w:val="24"/>
        </w:rPr>
        <w:t>notif</w:t>
      </w:r>
      <w:r>
        <w:rPr>
          <w:sz w:val="24"/>
          <w:szCs w:val="24"/>
        </w:rPr>
        <w:t>y</w:t>
      </w:r>
      <w:r w:rsidRPr="0058281E">
        <w:rPr>
          <w:sz w:val="24"/>
          <w:szCs w:val="24"/>
        </w:rPr>
        <w:t xml:space="preserve"> the Commission that it </w:t>
      </w:r>
      <w:r>
        <w:rPr>
          <w:sz w:val="24"/>
          <w:szCs w:val="24"/>
        </w:rPr>
        <w:t>wanted a DNIC</w:t>
      </w:r>
      <w:r w:rsidRPr="0058281E">
        <w:rPr>
          <w:sz w:val="24"/>
          <w:szCs w:val="24"/>
        </w:rPr>
        <w:t xml:space="preserve"> and </w:t>
      </w:r>
      <w:r>
        <w:rPr>
          <w:sz w:val="24"/>
          <w:szCs w:val="24"/>
        </w:rPr>
        <w:t>demonstrate</w:t>
      </w:r>
      <w:r w:rsidRPr="0058281E">
        <w:rPr>
          <w:sz w:val="24"/>
          <w:szCs w:val="24"/>
        </w:rPr>
        <w:t xml:space="preserve"> that it has the ability to originate and terminate international traffic</w:t>
      </w:r>
      <w:r>
        <w:rPr>
          <w:sz w:val="24"/>
          <w:szCs w:val="24"/>
        </w:rPr>
        <w:t xml:space="preserve"> (e.g., by </w:t>
      </w:r>
      <w:r w:rsidRPr="0058281E">
        <w:rPr>
          <w:sz w:val="24"/>
          <w:szCs w:val="24"/>
        </w:rPr>
        <w:t>showing an interconnection arrangement with a U.S. international carrier</w:t>
      </w:r>
      <w:r>
        <w:rPr>
          <w:sz w:val="24"/>
          <w:szCs w:val="24"/>
        </w:rPr>
        <w:t>), and the Commission would assign the company a DNIC.</w:t>
      </w:r>
      <w:r>
        <w:rPr>
          <w:rStyle w:val="FootnoteReference"/>
          <w:szCs w:val="24"/>
        </w:rPr>
        <w:footnoteReference w:id="4"/>
      </w:r>
      <w:r>
        <w:rPr>
          <w:sz w:val="24"/>
          <w:szCs w:val="24"/>
        </w:rPr>
        <w:t xml:space="preserve">  In 1986, the Commission established procedures for the assignment of DNICs to interested data network operators.</w:t>
      </w:r>
      <w:r>
        <w:rPr>
          <w:rStyle w:val="FootnoteReference"/>
          <w:sz w:val="24"/>
          <w:szCs w:val="24"/>
        </w:rPr>
        <w:footnoteReference w:id="5"/>
      </w:r>
      <w:r>
        <w:rPr>
          <w:sz w:val="24"/>
          <w:szCs w:val="24"/>
        </w:rPr>
        <w:t xml:space="preserve">  </w:t>
      </w:r>
      <w:r w:rsidRPr="000201C4">
        <w:rPr>
          <w:sz w:val="24"/>
          <w:szCs w:val="24"/>
        </w:rPr>
        <w:t>T</w:t>
      </w:r>
      <w:r>
        <w:rPr>
          <w:sz w:val="24"/>
          <w:szCs w:val="24"/>
        </w:rPr>
        <w:t>oday, t</w:t>
      </w:r>
      <w:r w:rsidRPr="000201C4">
        <w:rPr>
          <w:sz w:val="24"/>
          <w:szCs w:val="24"/>
        </w:rPr>
        <w:t xml:space="preserve">he operators of public data networks file an application for a DNIC </w:t>
      </w:r>
      <w:r>
        <w:rPr>
          <w:sz w:val="24"/>
          <w:szCs w:val="24"/>
        </w:rPr>
        <w:t>i</w:t>
      </w:r>
      <w:r w:rsidRPr="000201C4">
        <w:rPr>
          <w:sz w:val="24"/>
          <w:szCs w:val="24"/>
        </w:rPr>
        <w:t>n</w:t>
      </w:r>
      <w:r>
        <w:rPr>
          <w:sz w:val="24"/>
          <w:szCs w:val="24"/>
        </w:rPr>
        <w:t xml:space="preserve"> the International Bureau Filing System (</w:t>
      </w:r>
      <w:r w:rsidRPr="000201C4">
        <w:rPr>
          <w:sz w:val="24"/>
          <w:szCs w:val="24"/>
        </w:rPr>
        <w:t>IBFS</w:t>
      </w:r>
      <w:r>
        <w:rPr>
          <w:sz w:val="24"/>
          <w:szCs w:val="24"/>
        </w:rPr>
        <w:t>)</w:t>
      </w:r>
      <w:r w:rsidRPr="000201C4">
        <w:rPr>
          <w:sz w:val="24"/>
          <w:szCs w:val="24"/>
        </w:rPr>
        <w:t xml:space="preserve">.  The DNIC is obtained on a one-time only basis unless there is a change in ownership or the owner chooses to relinquish the code to the </w:t>
      </w:r>
      <w:r>
        <w:rPr>
          <w:sz w:val="24"/>
          <w:szCs w:val="24"/>
        </w:rPr>
        <w:t>Commission.</w:t>
      </w:r>
    </w:p>
    <w:p w:rsidR="00446457" w:rsidP="00446457" w14:paraId="6EEA4A62" w14:textId="77777777">
      <w:pPr>
        <w:suppressAutoHyphens/>
        <w:rPr>
          <w:bCs/>
          <w:sz w:val="24"/>
          <w:szCs w:val="24"/>
          <w:u w:val="single"/>
        </w:rPr>
      </w:pPr>
    </w:p>
    <w:p w:rsidR="00446457" w:rsidRPr="00C53304" w:rsidP="00446457" w14:paraId="2D347C27" w14:textId="696B81FE">
      <w:pPr>
        <w:suppressAutoHyphens/>
        <w:rPr>
          <w:sz w:val="24"/>
          <w:szCs w:val="24"/>
        </w:rPr>
      </w:pPr>
      <w:r>
        <w:rPr>
          <w:bCs/>
          <w:sz w:val="24"/>
          <w:szCs w:val="24"/>
        </w:rPr>
        <w:t xml:space="preserve">In 2005, the Commission received approval from the OMB for mandatory electronic filing and other information collection requirements based </w:t>
      </w:r>
      <w:r>
        <w:rPr>
          <w:sz w:val="24"/>
          <w:szCs w:val="24"/>
        </w:rPr>
        <w:t>on</w:t>
      </w:r>
      <w:r w:rsidRPr="00C53304">
        <w:rPr>
          <w:sz w:val="24"/>
          <w:szCs w:val="24"/>
        </w:rPr>
        <w:t xml:space="preserve"> the Commission’s </w:t>
      </w:r>
      <w:r>
        <w:rPr>
          <w:i/>
          <w:iCs/>
          <w:sz w:val="24"/>
          <w:szCs w:val="24"/>
        </w:rPr>
        <w:t xml:space="preserve">2005 International </w:t>
      </w:r>
      <w:r w:rsidRPr="004426E5">
        <w:rPr>
          <w:i/>
          <w:sz w:val="24"/>
        </w:rPr>
        <w:t xml:space="preserve">Electronic Filing </w:t>
      </w:r>
      <w:r>
        <w:rPr>
          <w:i/>
          <w:iCs/>
          <w:sz w:val="24"/>
          <w:szCs w:val="24"/>
        </w:rPr>
        <w:t>Order</w:t>
      </w:r>
      <w:r>
        <w:rPr>
          <w:iCs/>
          <w:sz w:val="24"/>
          <w:szCs w:val="24"/>
        </w:rPr>
        <w:t>.</w:t>
      </w:r>
      <w:r>
        <w:rPr>
          <w:rStyle w:val="FootnoteReference"/>
          <w:iCs/>
          <w:szCs w:val="24"/>
        </w:rPr>
        <w:footnoteReference w:id="6"/>
      </w:r>
      <w:r>
        <w:rPr>
          <w:iCs/>
          <w:sz w:val="24"/>
          <w:szCs w:val="24"/>
        </w:rPr>
        <w:t xml:space="preserve">  </w:t>
      </w:r>
      <w:r w:rsidRPr="00C53304">
        <w:rPr>
          <w:sz w:val="24"/>
          <w:szCs w:val="24"/>
        </w:rPr>
        <w:t xml:space="preserve">The </w:t>
      </w:r>
      <w:r>
        <w:rPr>
          <w:i/>
          <w:iCs/>
          <w:sz w:val="24"/>
          <w:szCs w:val="24"/>
        </w:rPr>
        <w:t>2005</w:t>
      </w:r>
      <w:r w:rsidRPr="004426E5">
        <w:rPr>
          <w:i/>
          <w:sz w:val="24"/>
        </w:rPr>
        <w:t xml:space="preserve"> International </w:t>
      </w:r>
      <w:r>
        <w:rPr>
          <w:i/>
          <w:iCs/>
          <w:sz w:val="24"/>
          <w:szCs w:val="24"/>
        </w:rPr>
        <w:t xml:space="preserve">Electronic </w:t>
      </w:r>
      <w:r w:rsidRPr="004426E5">
        <w:rPr>
          <w:i/>
          <w:sz w:val="24"/>
        </w:rPr>
        <w:t xml:space="preserve">Filing </w:t>
      </w:r>
      <w:r>
        <w:rPr>
          <w:i/>
          <w:iCs/>
          <w:sz w:val="24"/>
          <w:szCs w:val="24"/>
        </w:rPr>
        <w:t>Order</w:t>
      </w:r>
      <w:r w:rsidRPr="00C53304">
        <w:rPr>
          <w:sz w:val="24"/>
          <w:szCs w:val="24"/>
        </w:rPr>
        <w:t xml:space="preserve"> eliminate</w:t>
      </w:r>
      <w:r>
        <w:rPr>
          <w:sz w:val="24"/>
          <w:szCs w:val="24"/>
        </w:rPr>
        <w:t>d</w:t>
      </w:r>
      <w:r w:rsidRPr="00C53304">
        <w:rPr>
          <w:sz w:val="24"/>
          <w:szCs w:val="24"/>
        </w:rPr>
        <w:t xml:space="preserve"> paper filings and require</w:t>
      </w:r>
      <w:r>
        <w:rPr>
          <w:sz w:val="24"/>
          <w:szCs w:val="24"/>
        </w:rPr>
        <w:t>d</w:t>
      </w:r>
      <w:r w:rsidRPr="00C53304">
        <w:rPr>
          <w:sz w:val="24"/>
          <w:szCs w:val="24"/>
        </w:rPr>
        <w:t xml:space="preserve"> applicants to file all applications and other filings related to international telecommunications services</w:t>
      </w:r>
      <w:r w:rsidRPr="008A7E13">
        <w:rPr>
          <w:sz w:val="24"/>
          <w:szCs w:val="24"/>
        </w:rPr>
        <w:t xml:space="preserve"> </w:t>
      </w:r>
      <w:r w:rsidRPr="00C53304">
        <w:rPr>
          <w:sz w:val="24"/>
          <w:szCs w:val="24"/>
        </w:rPr>
        <w:t>electronically via IBFS.</w:t>
      </w:r>
      <w:r>
        <w:rPr>
          <w:sz w:val="24"/>
          <w:szCs w:val="24"/>
        </w:rPr>
        <w:t xml:space="preserve">  At that time</w:t>
      </w:r>
      <w:r w:rsidR="005C7D0F">
        <w:rPr>
          <w:sz w:val="24"/>
          <w:szCs w:val="24"/>
        </w:rPr>
        <w:t>,</w:t>
      </w:r>
      <w:r>
        <w:rPr>
          <w:sz w:val="24"/>
          <w:szCs w:val="24"/>
        </w:rPr>
        <w:t xml:space="preserve"> the only DNIC application available on IBFS was DNC-NEW, </w:t>
      </w:r>
      <w:r w:rsidR="009A7643">
        <w:rPr>
          <w:sz w:val="24"/>
          <w:szCs w:val="24"/>
        </w:rPr>
        <w:t xml:space="preserve">which was </w:t>
      </w:r>
      <w:r>
        <w:rPr>
          <w:sz w:val="24"/>
          <w:szCs w:val="24"/>
        </w:rPr>
        <w:t>used for applications for new DNIC assignments as a well as DNIC assignments and transfers of control to other operators.</w:t>
      </w:r>
      <w:r w:rsidRPr="00C53304">
        <w:rPr>
          <w:sz w:val="24"/>
          <w:szCs w:val="24"/>
        </w:rPr>
        <w:t xml:space="preserve">  </w:t>
      </w:r>
      <w:r>
        <w:rPr>
          <w:sz w:val="24"/>
          <w:szCs w:val="24"/>
        </w:rPr>
        <w:t>OMB approved the DNC-NEW form as well as three then-undeveloped forms</w:t>
      </w:r>
      <w:r>
        <w:rPr>
          <w:rStyle w:val="FootnoteReference"/>
          <w:szCs w:val="24"/>
        </w:rPr>
        <w:footnoteReference w:id="7"/>
      </w:r>
      <w:r>
        <w:rPr>
          <w:sz w:val="24"/>
          <w:szCs w:val="24"/>
        </w:rPr>
        <w:t xml:space="preserve"> in authorizing </w:t>
      </w:r>
      <w:r w:rsidRPr="003055F5">
        <w:rPr>
          <w:sz w:val="24"/>
          <w:szCs w:val="24"/>
        </w:rPr>
        <w:t>OMB Control No. 3060-1029</w:t>
      </w:r>
      <w:r>
        <w:rPr>
          <w:sz w:val="24"/>
          <w:szCs w:val="24"/>
        </w:rPr>
        <w:t>.</w:t>
      </w:r>
    </w:p>
    <w:p w:rsidR="00446457" w:rsidRPr="00C53304" w:rsidP="00446457" w14:paraId="518BB9F6" w14:textId="77777777">
      <w:pPr>
        <w:suppressAutoHyphens/>
        <w:rPr>
          <w:sz w:val="24"/>
          <w:szCs w:val="24"/>
        </w:rPr>
      </w:pPr>
    </w:p>
    <w:p w:rsidR="00446457" w:rsidP="00446457" w14:paraId="7869EB61" w14:textId="77777777">
      <w:pPr>
        <w:suppressAutoHyphens/>
        <w:rPr>
          <w:sz w:val="24"/>
          <w:szCs w:val="24"/>
        </w:rPr>
      </w:pPr>
      <w:r>
        <w:rPr>
          <w:sz w:val="24"/>
          <w:szCs w:val="24"/>
        </w:rPr>
        <w:t xml:space="preserve">The Commission stated in its October 2019 supporting statement for renewal of </w:t>
      </w:r>
      <w:r w:rsidRPr="0056412E">
        <w:rPr>
          <w:sz w:val="24"/>
          <w:szCs w:val="24"/>
        </w:rPr>
        <w:t>OMB Control No. 3060-1029</w:t>
      </w:r>
      <w:r>
        <w:rPr>
          <w:sz w:val="24"/>
          <w:szCs w:val="24"/>
        </w:rPr>
        <w:t xml:space="preserve"> that it had </w:t>
      </w:r>
      <w:r w:rsidRPr="00C53304">
        <w:rPr>
          <w:sz w:val="24"/>
          <w:szCs w:val="24"/>
        </w:rPr>
        <w:t xml:space="preserve">plans to </w:t>
      </w:r>
      <w:r>
        <w:rPr>
          <w:sz w:val="24"/>
          <w:szCs w:val="24"/>
        </w:rPr>
        <w:t>replace the IBFS with a new electronic filing system</w:t>
      </w:r>
      <w:r w:rsidRPr="00745B96">
        <w:rPr>
          <w:sz w:val="24"/>
          <w:szCs w:val="24"/>
        </w:rPr>
        <w:t>.</w:t>
      </w:r>
      <w:r>
        <w:rPr>
          <w:rStyle w:val="FootnoteReference"/>
          <w:szCs w:val="24"/>
        </w:rPr>
        <w:footnoteReference w:id="8"/>
      </w:r>
      <w:r w:rsidRPr="00745B96">
        <w:rPr>
          <w:sz w:val="24"/>
          <w:szCs w:val="24"/>
        </w:rPr>
        <w:t xml:space="preserve">  OMB approved the extension of this collection, without change, in 2020.</w:t>
      </w:r>
      <w:r>
        <w:rPr>
          <w:rStyle w:val="FootnoteReference"/>
          <w:szCs w:val="24"/>
        </w:rPr>
        <w:footnoteReference w:id="9"/>
      </w:r>
      <w:r>
        <w:rPr>
          <w:sz w:val="24"/>
          <w:szCs w:val="24"/>
        </w:rPr>
        <w:t xml:space="preserve">  We also note that in our October 2019 supporting statement, we inadvertently omitted our request to retain continued approval for the DNC-NEW form and we correct that error here.  </w:t>
      </w:r>
    </w:p>
    <w:p w:rsidR="00446457" w:rsidP="00446457" w14:paraId="1277E05A" w14:textId="77777777">
      <w:pPr>
        <w:suppressAutoHyphens/>
        <w:rPr>
          <w:sz w:val="24"/>
          <w:szCs w:val="24"/>
        </w:rPr>
      </w:pPr>
    </w:p>
    <w:p w:rsidR="00446457" w:rsidRPr="00C53304" w:rsidP="00446457" w14:paraId="1BE696C4" w14:textId="70641903">
      <w:pPr>
        <w:suppressAutoHyphens/>
        <w:rPr>
          <w:sz w:val="24"/>
          <w:szCs w:val="24"/>
        </w:rPr>
      </w:pPr>
      <w:r w:rsidRPr="00C53304">
        <w:rPr>
          <w:sz w:val="24"/>
          <w:szCs w:val="24"/>
        </w:rPr>
        <w:t>We</w:t>
      </w:r>
      <w:r>
        <w:rPr>
          <w:sz w:val="24"/>
          <w:szCs w:val="24"/>
        </w:rPr>
        <w:t xml:space="preserve"> seek to retain </w:t>
      </w:r>
      <w:r w:rsidRPr="00C53304">
        <w:rPr>
          <w:sz w:val="24"/>
          <w:szCs w:val="24"/>
        </w:rPr>
        <w:t>blanket OMB approval</w:t>
      </w:r>
      <w:r>
        <w:rPr>
          <w:sz w:val="24"/>
          <w:szCs w:val="24"/>
        </w:rPr>
        <w:t xml:space="preserve"> of all the </w:t>
      </w:r>
      <w:r w:rsidRPr="00C53304">
        <w:rPr>
          <w:sz w:val="24"/>
          <w:szCs w:val="24"/>
        </w:rPr>
        <w:t xml:space="preserve">applications listed below.  </w:t>
      </w:r>
    </w:p>
    <w:p w:rsidR="00446457" w:rsidRPr="00C53304" w:rsidP="00446457" w14:paraId="7832AE46" w14:textId="77777777">
      <w:pPr>
        <w:suppressAutoHyphens/>
        <w:rPr>
          <w:sz w:val="24"/>
          <w:szCs w:val="24"/>
        </w:rPr>
      </w:pPr>
    </w:p>
    <w:p w:rsidR="00446457" w:rsidRPr="00C53304" w:rsidP="00446457" w14:paraId="08CFFE62" w14:textId="77777777">
      <w:pPr>
        <w:suppressAutoHyphen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4"/>
        <w:gridCol w:w="3114"/>
        <w:gridCol w:w="3122"/>
      </w:tblGrid>
      <w:tr w14:paraId="027D16C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14" w:type="dxa"/>
            <w:shd w:val="clear" w:color="auto" w:fill="C0C0C0"/>
          </w:tcPr>
          <w:p w:rsidR="00446457" w:rsidRPr="005B02A1" w14:paraId="2E5E9EF7" w14:textId="77777777">
            <w:pPr>
              <w:suppressAutoHyphens/>
              <w:jc w:val="center"/>
              <w:rPr>
                <w:b/>
                <w:bCs/>
                <w:sz w:val="24"/>
                <w:szCs w:val="24"/>
              </w:rPr>
            </w:pPr>
            <w:r w:rsidRPr="005B02A1">
              <w:rPr>
                <w:b/>
                <w:bCs/>
                <w:sz w:val="24"/>
                <w:szCs w:val="24"/>
              </w:rPr>
              <w:t xml:space="preserve">Name </w:t>
            </w:r>
          </w:p>
          <w:p w:rsidR="00446457" w:rsidRPr="005B02A1" w14:paraId="7F052765" w14:textId="77777777">
            <w:pPr>
              <w:suppressAutoHyphens/>
              <w:jc w:val="center"/>
              <w:rPr>
                <w:b/>
                <w:bCs/>
                <w:sz w:val="24"/>
                <w:szCs w:val="24"/>
              </w:rPr>
            </w:pPr>
            <w:r w:rsidRPr="005B02A1">
              <w:rPr>
                <w:b/>
                <w:bCs/>
                <w:sz w:val="24"/>
                <w:szCs w:val="24"/>
              </w:rPr>
              <w:t>of Form</w:t>
            </w:r>
          </w:p>
        </w:tc>
        <w:tc>
          <w:tcPr>
            <w:tcW w:w="3114" w:type="dxa"/>
            <w:shd w:val="clear" w:color="auto" w:fill="C0C0C0"/>
          </w:tcPr>
          <w:p w:rsidR="00446457" w:rsidRPr="005B02A1" w14:paraId="03C53A57" w14:textId="77777777">
            <w:pPr>
              <w:suppressAutoHyphens/>
              <w:jc w:val="center"/>
              <w:rPr>
                <w:b/>
                <w:bCs/>
                <w:sz w:val="24"/>
                <w:szCs w:val="24"/>
              </w:rPr>
            </w:pPr>
            <w:r w:rsidRPr="005B02A1">
              <w:rPr>
                <w:b/>
                <w:bCs/>
                <w:sz w:val="24"/>
                <w:szCs w:val="24"/>
              </w:rPr>
              <w:t xml:space="preserve">Brief </w:t>
            </w:r>
          </w:p>
          <w:p w:rsidR="00446457" w:rsidRPr="005B02A1" w14:paraId="405BDDC4" w14:textId="77777777">
            <w:pPr>
              <w:suppressAutoHyphens/>
              <w:jc w:val="center"/>
              <w:rPr>
                <w:b/>
                <w:bCs/>
                <w:sz w:val="24"/>
                <w:szCs w:val="24"/>
              </w:rPr>
            </w:pPr>
            <w:r w:rsidRPr="005B02A1">
              <w:rPr>
                <w:b/>
                <w:bCs/>
                <w:sz w:val="24"/>
                <w:szCs w:val="24"/>
              </w:rPr>
              <w:t>Description</w:t>
            </w:r>
          </w:p>
        </w:tc>
        <w:tc>
          <w:tcPr>
            <w:tcW w:w="3122" w:type="dxa"/>
            <w:shd w:val="clear" w:color="auto" w:fill="C0C0C0"/>
          </w:tcPr>
          <w:p w:rsidR="00446457" w:rsidRPr="005B02A1" w14:paraId="1F5790F5" w14:textId="77777777">
            <w:pPr>
              <w:suppressAutoHyphens/>
              <w:jc w:val="center"/>
              <w:rPr>
                <w:b/>
                <w:bCs/>
                <w:sz w:val="24"/>
                <w:szCs w:val="24"/>
              </w:rPr>
            </w:pPr>
            <w:r w:rsidRPr="005B02A1">
              <w:rPr>
                <w:b/>
                <w:bCs/>
                <w:sz w:val="24"/>
                <w:szCs w:val="24"/>
              </w:rPr>
              <w:t xml:space="preserve">Rule </w:t>
            </w:r>
          </w:p>
          <w:p w:rsidR="00446457" w:rsidRPr="005B02A1" w14:paraId="7D60B7EE" w14:textId="77777777">
            <w:pPr>
              <w:suppressAutoHyphens/>
              <w:jc w:val="center"/>
              <w:rPr>
                <w:b/>
                <w:bCs/>
                <w:sz w:val="24"/>
                <w:szCs w:val="24"/>
              </w:rPr>
            </w:pPr>
            <w:r w:rsidRPr="005B02A1">
              <w:rPr>
                <w:b/>
                <w:bCs/>
                <w:sz w:val="24"/>
                <w:szCs w:val="24"/>
              </w:rPr>
              <w:t>Section</w:t>
            </w:r>
          </w:p>
        </w:tc>
      </w:tr>
      <w:tr w14:paraId="52B96C86" w14:textId="77777777">
        <w:tblPrEx>
          <w:tblW w:w="0" w:type="auto"/>
          <w:tblLook w:val="01E0"/>
        </w:tblPrEx>
        <w:tc>
          <w:tcPr>
            <w:tcW w:w="3114" w:type="dxa"/>
            <w:shd w:val="clear" w:color="auto" w:fill="auto"/>
          </w:tcPr>
          <w:p w:rsidR="00446457" w:rsidRPr="005C3FA1" w14:paraId="13DEB62B" w14:textId="77777777">
            <w:pPr>
              <w:suppressAutoHyphens/>
              <w:rPr>
                <w:sz w:val="24"/>
                <w:szCs w:val="24"/>
              </w:rPr>
            </w:pPr>
            <w:r w:rsidRPr="005C3FA1">
              <w:rPr>
                <w:sz w:val="24"/>
                <w:szCs w:val="24"/>
              </w:rPr>
              <w:t>1.</w:t>
            </w:r>
            <w:r>
              <w:rPr>
                <w:sz w:val="24"/>
                <w:szCs w:val="24"/>
              </w:rPr>
              <w:t xml:space="preserve"> </w:t>
            </w:r>
            <w:r w:rsidRPr="005C3FA1">
              <w:rPr>
                <w:sz w:val="24"/>
                <w:szCs w:val="24"/>
              </w:rPr>
              <w:t>Request for</w:t>
            </w:r>
          </w:p>
          <w:p w:rsidR="00446457" w:rsidRPr="005C3FA1" w14:paraId="61FF511C" w14:textId="77777777">
            <w:pPr>
              <w:suppressAutoHyphens/>
              <w:rPr>
                <w:sz w:val="24"/>
                <w:szCs w:val="24"/>
              </w:rPr>
            </w:pPr>
            <w:r w:rsidRPr="005C3FA1">
              <w:rPr>
                <w:sz w:val="24"/>
                <w:szCs w:val="24"/>
              </w:rPr>
              <w:t>Assignment of Data</w:t>
            </w:r>
          </w:p>
          <w:p w:rsidR="00446457" w:rsidRPr="005C3FA1" w14:paraId="1AD78693" w14:textId="77777777">
            <w:pPr>
              <w:suppressAutoHyphens/>
              <w:rPr>
                <w:sz w:val="24"/>
                <w:szCs w:val="24"/>
              </w:rPr>
            </w:pPr>
            <w:r w:rsidRPr="005C3FA1">
              <w:rPr>
                <w:sz w:val="24"/>
                <w:szCs w:val="24"/>
              </w:rPr>
              <w:t>Network</w:t>
            </w:r>
          </w:p>
          <w:p w:rsidR="00446457" w:rsidRPr="005C3FA1" w14:paraId="5952825A" w14:textId="77777777">
            <w:pPr>
              <w:suppressAutoHyphens/>
              <w:rPr>
                <w:sz w:val="24"/>
                <w:szCs w:val="24"/>
              </w:rPr>
            </w:pPr>
            <w:r w:rsidRPr="005C3FA1">
              <w:rPr>
                <w:sz w:val="24"/>
                <w:szCs w:val="24"/>
              </w:rPr>
              <w:t>Identification Code</w:t>
            </w:r>
          </w:p>
          <w:p w:rsidR="00446457" w14:paraId="4D5FA570" w14:textId="77777777">
            <w:pPr>
              <w:suppressAutoHyphens/>
              <w:rPr>
                <w:sz w:val="24"/>
                <w:szCs w:val="24"/>
              </w:rPr>
            </w:pPr>
            <w:r w:rsidRPr="005C3FA1">
              <w:rPr>
                <w:sz w:val="24"/>
                <w:szCs w:val="24"/>
              </w:rPr>
              <w:t>(DNC</w:t>
            </w:r>
            <w:r>
              <w:rPr>
                <w:sz w:val="24"/>
                <w:szCs w:val="24"/>
              </w:rPr>
              <w:t>-NEW</w:t>
            </w:r>
            <w:r w:rsidRPr="005C3FA1">
              <w:rPr>
                <w:sz w:val="24"/>
                <w:szCs w:val="24"/>
              </w:rPr>
              <w:t>)</w:t>
            </w:r>
          </w:p>
          <w:p w:rsidR="00446457" w:rsidRPr="005B02A1" w14:paraId="695AA55B" w14:textId="77777777">
            <w:pPr>
              <w:suppressAutoHyphens/>
              <w:rPr>
                <w:sz w:val="24"/>
                <w:szCs w:val="24"/>
              </w:rPr>
            </w:pPr>
          </w:p>
        </w:tc>
        <w:tc>
          <w:tcPr>
            <w:tcW w:w="3114" w:type="dxa"/>
            <w:shd w:val="clear" w:color="auto" w:fill="auto"/>
          </w:tcPr>
          <w:p w:rsidR="00446457" w:rsidRPr="005B02A1" w14:paraId="558694EF" w14:textId="77777777">
            <w:pPr>
              <w:suppressAutoHyphens/>
              <w:rPr>
                <w:sz w:val="24"/>
                <w:szCs w:val="24"/>
              </w:rPr>
            </w:pPr>
            <w:r>
              <w:rPr>
                <w:sz w:val="24"/>
                <w:szCs w:val="24"/>
              </w:rPr>
              <w:t xml:space="preserve">Request for a new DNIC or a reassignment of a </w:t>
            </w:r>
            <w:r w:rsidRPr="005B02A1">
              <w:rPr>
                <w:sz w:val="24"/>
                <w:szCs w:val="24"/>
              </w:rPr>
              <w:t>DN</w:t>
            </w:r>
            <w:r>
              <w:rPr>
                <w:sz w:val="24"/>
                <w:szCs w:val="24"/>
              </w:rPr>
              <w:t>I</w:t>
            </w:r>
            <w:r w:rsidRPr="005B02A1">
              <w:rPr>
                <w:sz w:val="24"/>
                <w:szCs w:val="24"/>
              </w:rPr>
              <w:t>C when one company acquires the packet-switched operations of another company, or when a company reorganizes.</w:t>
            </w:r>
            <w:r>
              <w:rPr>
                <w:sz w:val="24"/>
                <w:szCs w:val="24"/>
              </w:rPr>
              <w:t xml:space="preserve">  </w:t>
            </w:r>
          </w:p>
          <w:p w:rsidR="00446457" w:rsidRPr="005B02A1" w14:paraId="270C7ED9" w14:textId="77777777">
            <w:pPr>
              <w:suppressAutoHyphens/>
              <w:rPr>
                <w:sz w:val="24"/>
                <w:szCs w:val="24"/>
              </w:rPr>
            </w:pPr>
          </w:p>
        </w:tc>
        <w:tc>
          <w:tcPr>
            <w:tcW w:w="3122" w:type="dxa"/>
            <w:shd w:val="clear" w:color="auto" w:fill="auto"/>
          </w:tcPr>
          <w:p w:rsidR="00446457" w:rsidRPr="005C3FA1" w14:paraId="256B257F" w14:textId="77777777">
            <w:pPr>
              <w:suppressAutoHyphens/>
              <w:jc w:val="center"/>
              <w:rPr>
                <w:sz w:val="24"/>
                <w:szCs w:val="24"/>
              </w:rPr>
            </w:pPr>
            <w:r w:rsidRPr="005C3FA1">
              <w:rPr>
                <w:sz w:val="24"/>
                <w:szCs w:val="24"/>
              </w:rPr>
              <w:t>R&amp;O in Docket</w:t>
            </w:r>
          </w:p>
          <w:p w:rsidR="00446457" w:rsidRPr="005C3FA1" w14:paraId="1A8A4ABC" w14:textId="77777777">
            <w:pPr>
              <w:suppressAutoHyphens/>
              <w:jc w:val="center"/>
              <w:rPr>
                <w:sz w:val="24"/>
                <w:szCs w:val="24"/>
              </w:rPr>
            </w:pPr>
            <w:r w:rsidRPr="005C3FA1">
              <w:rPr>
                <w:sz w:val="24"/>
                <w:szCs w:val="24"/>
              </w:rPr>
              <w:t>83-1230,</w:t>
            </w:r>
          </w:p>
          <w:p w:rsidR="00446457" w:rsidRPr="005C3FA1" w14:paraId="4661E0B8" w14:textId="77777777">
            <w:pPr>
              <w:suppressAutoHyphens/>
              <w:jc w:val="center"/>
              <w:rPr>
                <w:sz w:val="24"/>
                <w:szCs w:val="24"/>
              </w:rPr>
            </w:pPr>
            <w:r w:rsidRPr="005C3FA1">
              <w:rPr>
                <w:sz w:val="24"/>
                <w:szCs w:val="24"/>
              </w:rPr>
              <w:t>104 FCC 2d 208,</w:t>
            </w:r>
          </w:p>
          <w:p w:rsidR="00446457" w:rsidRPr="005C3FA1" w14:paraId="33F6C531" w14:textId="77777777">
            <w:pPr>
              <w:suppressAutoHyphens/>
              <w:jc w:val="center"/>
              <w:rPr>
                <w:sz w:val="24"/>
                <w:szCs w:val="24"/>
              </w:rPr>
            </w:pPr>
            <w:r w:rsidRPr="005C3FA1">
              <w:rPr>
                <w:sz w:val="24"/>
                <w:szCs w:val="24"/>
              </w:rPr>
              <w:t>262-7, paras. 70-77</w:t>
            </w:r>
          </w:p>
          <w:p w:rsidR="00446457" w:rsidRPr="000C50A0" w14:paraId="1CF7B42E" w14:textId="77777777">
            <w:pPr>
              <w:suppressAutoHyphens/>
              <w:jc w:val="center"/>
              <w:rPr>
                <w:i/>
                <w:sz w:val="24"/>
                <w:szCs w:val="24"/>
              </w:rPr>
            </w:pPr>
            <w:r w:rsidRPr="005C3FA1">
              <w:rPr>
                <w:sz w:val="24"/>
                <w:szCs w:val="24"/>
              </w:rPr>
              <w:t xml:space="preserve">(1986), </w:t>
            </w:r>
            <w:r w:rsidRPr="000C50A0">
              <w:rPr>
                <w:i/>
                <w:sz w:val="24"/>
                <w:szCs w:val="24"/>
              </w:rPr>
              <w:t>reconsideration granted</w:t>
            </w:r>
            <w:r w:rsidRPr="005C3FA1">
              <w:rPr>
                <w:sz w:val="24"/>
                <w:szCs w:val="24"/>
              </w:rPr>
              <w:t xml:space="preserve"> </w:t>
            </w:r>
            <w:r w:rsidRPr="000C50A0">
              <w:rPr>
                <w:i/>
                <w:sz w:val="24"/>
                <w:szCs w:val="24"/>
              </w:rPr>
              <w:t>in</w:t>
            </w:r>
          </w:p>
          <w:p w:rsidR="00446457" w:rsidRPr="005C3FA1" w14:paraId="65C81835" w14:textId="77777777">
            <w:pPr>
              <w:suppressAutoHyphens/>
              <w:jc w:val="center"/>
              <w:rPr>
                <w:sz w:val="24"/>
                <w:szCs w:val="24"/>
              </w:rPr>
            </w:pPr>
            <w:r w:rsidRPr="000C50A0">
              <w:rPr>
                <w:i/>
                <w:sz w:val="24"/>
                <w:szCs w:val="24"/>
              </w:rPr>
              <w:t>part</w:t>
            </w:r>
            <w:r w:rsidRPr="005C3FA1">
              <w:rPr>
                <w:sz w:val="24"/>
                <w:szCs w:val="24"/>
              </w:rPr>
              <w:t>,</w:t>
            </w:r>
          </w:p>
          <w:p w:rsidR="00446457" w:rsidRPr="005C3FA1" w14:paraId="48559EBE" w14:textId="77777777">
            <w:pPr>
              <w:suppressAutoHyphens/>
              <w:jc w:val="center"/>
              <w:rPr>
                <w:sz w:val="24"/>
                <w:szCs w:val="24"/>
              </w:rPr>
            </w:pPr>
            <w:r w:rsidRPr="005C3FA1">
              <w:rPr>
                <w:sz w:val="24"/>
                <w:szCs w:val="24"/>
              </w:rPr>
              <w:t xml:space="preserve">2 FCC </w:t>
            </w:r>
            <w:r w:rsidRPr="005C3FA1">
              <w:rPr>
                <w:sz w:val="24"/>
                <w:szCs w:val="24"/>
              </w:rPr>
              <w:t>Rcd</w:t>
            </w:r>
            <w:r w:rsidRPr="005C3FA1">
              <w:rPr>
                <w:sz w:val="24"/>
                <w:szCs w:val="24"/>
              </w:rPr>
              <w:t xml:space="preserve"> 7375,</w:t>
            </w:r>
          </w:p>
          <w:p w:rsidR="00446457" w:rsidRPr="005C3FA1" w14:paraId="17B7B1AC" w14:textId="77777777">
            <w:pPr>
              <w:suppressAutoHyphens/>
              <w:jc w:val="center"/>
              <w:rPr>
                <w:sz w:val="24"/>
                <w:szCs w:val="24"/>
              </w:rPr>
            </w:pPr>
            <w:r w:rsidRPr="005C3FA1">
              <w:rPr>
                <w:sz w:val="24"/>
                <w:szCs w:val="24"/>
              </w:rPr>
              <w:t>7378-80 paras. 26-34</w:t>
            </w:r>
          </w:p>
          <w:p w:rsidR="00446457" w14:paraId="7D27D45E" w14:textId="77777777">
            <w:pPr>
              <w:suppressAutoHyphens/>
              <w:jc w:val="center"/>
              <w:rPr>
                <w:sz w:val="24"/>
                <w:szCs w:val="24"/>
              </w:rPr>
            </w:pPr>
            <w:r w:rsidRPr="005C3FA1">
              <w:rPr>
                <w:sz w:val="24"/>
                <w:szCs w:val="24"/>
              </w:rPr>
              <w:t>(1987)</w:t>
            </w:r>
          </w:p>
          <w:p w:rsidR="00446457" w:rsidRPr="005B02A1" w14:paraId="7C0B25E3" w14:textId="77777777">
            <w:pPr>
              <w:suppressAutoHyphens/>
              <w:jc w:val="center"/>
              <w:rPr>
                <w:sz w:val="24"/>
                <w:szCs w:val="24"/>
              </w:rPr>
            </w:pPr>
          </w:p>
        </w:tc>
      </w:tr>
      <w:tr w14:paraId="2C05271B" w14:textId="77777777">
        <w:tblPrEx>
          <w:tblW w:w="0" w:type="auto"/>
          <w:tblLook w:val="01E0"/>
        </w:tblPrEx>
        <w:tc>
          <w:tcPr>
            <w:tcW w:w="3114" w:type="dxa"/>
            <w:shd w:val="clear" w:color="auto" w:fill="auto"/>
          </w:tcPr>
          <w:p w:rsidR="00446457" w:rsidRPr="005B02A1" w14:paraId="2E8542A6" w14:textId="77777777">
            <w:pPr>
              <w:suppressAutoHyphens/>
              <w:rPr>
                <w:sz w:val="24"/>
                <w:szCs w:val="24"/>
              </w:rPr>
            </w:pPr>
            <w:r>
              <w:rPr>
                <w:sz w:val="24"/>
                <w:szCs w:val="24"/>
              </w:rPr>
              <w:t>2</w:t>
            </w:r>
            <w:r w:rsidRPr="005B02A1">
              <w:rPr>
                <w:sz w:val="24"/>
                <w:szCs w:val="24"/>
              </w:rPr>
              <w:t>.  Data Network Identification Codes – Other Filings</w:t>
            </w:r>
          </w:p>
          <w:p w:rsidR="00446457" w:rsidRPr="005B02A1" w14:paraId="495A9858" w14:textId="77777777">
            <w:pPr>
              <w:suppressAutoHyphens/>
              <w:rPr>
                <w:sz w:val="24"/>
                <w:szCs w:val="24"/>
              </w:rPr>
            </w:pPr>
          </w:p>
          <w:p w:rsidR="00446457" w:rsidRPr="005B02A1" w14:paraId="33935118" w14:textId="77777777">
            <w:pPr>
              <w:suppressAutoHyphens/>
              <w:rPr>
                <w:sz w:val="24"/>
                <w:szCs w:val="24"/>
              </w:rPr>
            </w:pPr>
          </w:p>
        </w:tc>
        <w:tc>
          <w:tcPr>
            <w:tcW w:w="3114" w:type="dxa"/>
            <w:shd w:val="clear" w:color="auto" w:fill="auto"/>
          </w:tcPr>
          <w:p w:rsidR="00446457" w:rsidRPr="005B02A1" w14:paraId="359AD97D" w14:textId="77777777">
            <w:pPr>
              <w:suppressAutoHyphens/>
              <w:rPr>
                <w:sz w:val="24"/>
                <w:szCs w:val="24"/>
              </w:rPr>
            </w:pPr>
            <w:r w:rsidRPr="005B02A1">
              <w:rPr>
                <w:sz w:val="24"/>
                <w:szCs w:val="24"/>
              </w:rPr>
              <w:t>Notification of miscellaneous items.</w:t>
            </w:r>
          </w:p>
        </w:tc>
        <w:tc>
          <w:tcPr>
            <w:tcW w:w="3122" w:type="dxa"/>
            <w:shd w:val="clear" w:color="auto" w:fill="auto"/>
          </w:tcPr>
          <w:p w:rsidR="00446457" w:rsidRPr="005B02A1" w14:paraId="10966D1A" w14:textId="77777777">
            <w:pPr>
              <w:suppressAutoHyphens/>
              <w:jc w:val="center"/>
              <w:rPr>
                <w:sz w:val="24"/>
                <w:szCs w:val="24"/>
              </w:rPr>
            </w:pPr>
            <w:r w:rsidRPr="005B02A1">
              <w:rPr>
                <w:sz w:val="24"/>
                <w:szCs w:val="24"/>
              </w:rPr>
              <w:t xml:space="preserve">R&amp;O in Docket 83-1230 </w:t>
            </w:r>
          </w:p>
          <w:p w:rsidR="00446457" w:rsidRPr="005B02A1" w14:paraId="75E42601" w14:textId="77777777">
            <w:pPr>
              <w:suppressAutoHyphens/>
              <w:jc w:val="center"/>
              <w:rPr>
                <w:sz w:val="24"/>
                <w:szCs w:val="24"/>
              </w:rPr>
            </w:pPr>
            <w:r w:rsidRPr="005B02A1">
              <w:rPr>
                <w:sz w:val="24"/>
                <w:szCs w:val="24"/>
              </w:rPr>
              <w:t>104 FCC 2d 208 (1986),</w:t>
            </w:r>
          </w:p>
          <w:p w:rsidR="00446457" w:rsidRPr="005B02A1" w14:paraId="4C92F0F8" w14:textId="77777777">
            <w:pPr>
              <w:suppressAutoHyphens/>
              <w:jc w:val="center"/>
              <w:rPr>
                <w:i/>
                <w:iCs/>
                <w:sz w:val="24"/>
                <w:szCs w:val="24"/>
              </w:rPr>
            </w:pPr>
            <w:r w:rsidRPr="005B02A1">
              <w:rPr>
                <w:i/>
                <w:iCs/>
                <w:sz w:val="24"/>
                <w:szCs w:val="24"/>
              </w:rPr>
              <w:t xml:space="preserve">reconsideration granted </w:t>
            </w:r>
          </w:p>
          <w:p w:rsidR="00446457" w:rsidRPr="005B02A1" w14:paraId="3C3336A1" w14:textId="77777777">
            <w:pPr>
              <w:suppressAutoHyphens/>
              <w:jc w:val="center"/>
              <w:rPr>
                <w:sz w:val="24"/>
                <w:szCs w:val="24"/>
              </w:rPr>
            </w:pPr>
            <w:r w:rsidRPr="005B02A1">
              <w:rPr>
                <w:i/>
                <w:iCs/>
                <w:sz w:val="24"/>
                <w:szCs w:val="24"/>
              </w:rPr>
              <w:t>in part</w:t>
            </w:r>
            <w:r w:rsidRPr="005B02A1">
              <w:rPr>
                <w:sz w:val="24"/>
                <w:szCs w:val="24"/>
              </w:rPr>
              <w:t>,</w:t>
            </w:r>
          </w:p>
          <w:p w:rsidR="00446457" w:rsidRPr="005B02A1" w14:paraId="13C3A4D8" w14:textId="77777777">
            <w:pPr>
              <w:suppressAutoHyphens/>
              <w:jc w:val="center"/>
              <w:rPr>
                <w:sz w:val="24"/>
                <w:szCs w:val="24"/>
              </w:rPr>
            </w:pPr>
            <w:r w:rsidRPr="005B02A1">
              <w:rPr>
                <w:sz w:val="24"/>
                <w:szCs w:val="24"/>
              </w:rPr>
              <w:t xml:space="preserve">2 FCC </w:t>
            </w:r>
            <w:r w:rsidRPr="005B02A1">
              <w:rPr>
                <w:sz w:val="24"/>
                <w:szCs w:val="24"/>
              </w:rPr>
              <w:t>Rcd</w:t>
            </w:r>
            <w:r w:rsidRPr="005B02A1">
              <w:rPr>
                <w:sz w:val="24"/>
                <w:szCs w:val="24"/>
              </w:rPr>
              <w:t xml:space="preserve"> 7375</w:t>
            </w:r>
          </w:p>
          <w:p w:rsidR="00446457" w:rsidRPr="005B02A1" w14:paraId="5397AA97" w14:textId="77777777">
            <w:pPr>
              <w:suppressAutoHyphens/>
              <w:jc w:val="center"/>
              <w:rPr>
                <w:sz w:val="24"/>
                <w:szCs w:val="24"/>
              </w:rPr>
            </w:pPr>
            <w:r w:rsidRPr="005B02A1">
              <w:rPr>
                <w:sz w:val="24"/>
                <w:szCs w:val="24"/>
              </w:rPr>
              <w:t>(1987)</w:t>
            </w:r>
          </w:p>
          <w:p w:rsidR="00446457" w:rsidRPr="005B02A1" w14:paraId="7C783E90" w14:textId="77777777">
            <w:pPr>
              <w:suppressAutoHyphens/>
              <w:jc w:val="center"/>
              <w:rPr>
                <w:sz w:val="24"/>
                <w:szCs w:val="24"/>
              </w:rPr>
            </w:pPr>
          </w:p>
        </w:tc>
      </w:tr>
      <w:tr w14:paraId="6B5A1B74" w14:textId="77777777">
        <w:tblPrEx>
          <w:tblW w:w="0" w:type="auto"/>
          <w:tblLook w:val="01E0"/>
        </w:tblPrEx>
        <w:tc>
          <w:tcPr>
            <w:tcW w:w="3114" w:type="dxa"/>
            <w:shd w:val="clear" w:color="auto" w:fill="auto"/>
          </w:tcPr>
          <w:p w:rsidR="00446457" w:rsidRPr="005B02A1" w14:paraId="5CB9F5F9" w14:textId="77777777">
            <w:pPr>
              <w:suppressAutoHyphens/>
              <w:rPr>
                <w:sz w:val="24"/>
                <w:szCs w:val="24"/>
              </w:rPr>
            </w:pPr>
            <w:r>
              <w:rPr>
                <w:sz w:val="24"/>
                <w:szCs w:val="24"/>
              </w:rPr>
              <w:t>3</w:t>
            </w:r>
            <w:r w:rsidRPr="005B02A1">
              <w:rPr>
                <w:sz w:val="24"/>
                <w:szCs w:val="24"/>
              </w:rPr>
              <w:t>.   Data Network Identification Codes – Code Reassignment</w:t>
            </w:r>
          </w:p>
          <w:p w:rsidR="00446457" w:rsidRPr="005B02A1" w14:paraId="651E3004" w14:textId="77777777">
            <w:pPr>
              <w:suppressAutoHyphens/>
              <w:rPr>
                <w:sz w:val="24"/>
                <w:szCs w:val="24"/>
              </w:rPr>
            </w:pPr>
          </w:p>
        </w:tc>
        <w:tc>
          <w:tcPr>
            <w:tcW w:w="3114" w:type="dxa"/>
            <w:shd w:val="clear" w:color="auto" w:fill="auto"/>
          </w:tcPr>
          <w:p w:rsidR="00446457" w:rsidRPr="005B02A1" w14:paraId="5224EC22" w14:textId="77777777">
            <w:pPr>
              <w:suppressAutoHyphens/>
              <w:rPr>
                <w:sz w:val="24"/>
                <w:szCs w:val="24"/>
              </w:rPr>
            </w:pPr>
            <w:r w:rsidRPr="005B02A1">
              <w:rPr>
                <w:sz w:val="24"/>
                <w:szCs w:val="24"/>
              </w:rPr>
              <w:t>Request for reassignment of the DNC when one company acquires the packet-switched operations of another company, or when a company reorganizes.</w:t>
            </w:r>
          </w:p>
          <w:p w:rsidR="00446457" w:rsidRPr="005B02A1" w14:paraId="6D83B6A8" w14:textId="77777777">
            <w:pPr>
              <w:suppressAutoHyphens/>
              <w:rPr>
                <w:sz w:val="24"/>
                <w:szCs w:val="24"/>
              </w:rPr>
            </w:pPr>
          </w:p>
        </w:tc>
        <w:tc>
          <w:tcPr>
            <w:tcW w:w="3122" w:type="dxa"/>
            <w:shd w:val="clear" w:color="auto" w:fill="auto"/>
          </w:tcPr>
          <w:p w:rsidR="00446457" w:rsidRPr="005B02A1" w14:paraId="710330DB" w14:textId="77777777">
            <w:pPr>
              <w:suppressAutoHyphens/>
              <w:jc w:val="center"/>
              <w:rPr>
                <w:sz w:val="24"/>
                <w:szCs w:val="24"/>
              </w:rPr>
            </w:pPr>
            <w:r w:rsidRPr="005B02A1">
              <w:rPr>
                <w:sz w:val="24"/>
                <w:szCs w:val="24"/>
              </w:rPr>
              <w:t xml:space="preserve">R&amp;O in Docket 83-1230 </w:t>
            </w:r>
          </w:p>
          <w:p w:rsidR="00446457" w:rsidRPr="005B02A1" w14:paraId="22763C12" w14:textId="77777777">
            <w:pPr>
              <w:suppressAutoHyphens/>
              <w:jc w:val="center"/>
              <w:rPr>
                <w:sz w:val="24"/>
                <w:szCs w:val="24"/>
              </w:rPr>
            </w:pPr>
            <w:r w:rsidRPr="005B02A1">
              <w:rPr>
                <w:sz w:val="24"/>
                <w:szCs w:val="24"/>
              </w:rPr>
              <w:t>104 FCC 2d 208,</w:t>
            </w:r>
          </w:p>
          <w:p w:rsidR="00446457" w:rsidRPr="005B02A1" w14:paraId="2CEB316B" w14:textId="77777777">
            <w:pPr>
              <w:suppressAutoHyphens/>
              <w:jc w:val="center"/>
              <w:rPr>
                <w:sz w:val="24"/>
                <w:szCs w:val="24"/>
              </w:rPr>
            </w:pPr>
            <w:r w:rsidRPr="005B02A1">
              <w:rPr>
                <w:sz w:val="24"/>
                <w:szCs w:val="24"/>
              </w:rPr>
              <w:t xml:space="preserve">7378-80 paragraphs; </w:t>
            </w:r>
          </w:p>
          <w:p w:rsidR="00446457" w:rsidRPr="005B02A1" w14:paraId="55D39629" w14:textId="77777777">
            <w:pPr>
              <w:suppressAutoHyphens/>
              <w:jc w:val="center"/>
              <w:rPr>
                <w:sz w:val="24"/>
                <w:szCs w:val="24"/>
              </w:rPr>
            </w:pPr>
            <w:r w:rsidRPr="005B02A1">
              <w:rPr>
                <w:sz w:val="24"/>
                <w:szCs w:val="24"/>
              </w:rPr>
              <w:t xml:space="preserve">70-77 (1986), </w:t>
            </w:r>
            <w:r w:rsidRPr="005B02A1">
              <w:rPr>
                <w:i/>
                <w:iCs/>
                <w:sz w:val="24"/>
                <w:szCs w:val="24"/>
              </w:rPr>
              <w:t>reconsideration granted in part</w:t>
            </w:r>
            <w:r w:rsidRPr="005B02A1">
              <w:rPr>
                <w:sz w:val="24"/>
                <w:szCs w:val="24"/>
              </w:rPr>
              <w:t>,</w:t>
            </w:r>
          </w:p>
          <w:p w:rsidR="00446457" w:rsidRPr="005B02A1" w14:paraId="313476E4" w14:textId="77777777">
            <w:pPr>
              <w:suppressAutoHyphens/>
              <w:jc w:val="center"/>
              <w:rPr>
                <w:sz w:val="24"/>
                <w:szCs w:val="24"/>
              </w:rPr>
            </w:pPr>
            <w:r w:rsidRPr="005B02A1">
              <w:rPr>
                <w:sz w:val="24"/>
                <w:szCs w:val="24"/>
              </w:rPr>
              <w:t xml:space="preserve">2 FCC </w:t>
            </w:r>
            <w:r w:rsidRPr="005B02A1">
              <w:rPr>
                <w:sz w:val="24"/>
                <w:szCs w:val="24"/>
              </w:rPr>
              <w:t>Rcd</w:t>
            </w:r>
            <w:r w:rsidRPr="005B02A1">
              <w:rPr>
                <w:sz w:val="24"/>
                <w:szCs w:val="24"/>
              </w:rPr>
              <w:t xml:space="preserve"> 7375</w:t>
            </w:r>
          </w:p>
          <w:p w:rsidR="00446457" w:rsidRPr="005B02A1" w14:paraId="44C1D40E" w14:textId="77777777">
            <w:pPr>
              <w:suppressAutoHyphens/>
              <w:jc w:val="center"/>
              <w:rPr>
                <w:sz w:val="24"/>
                <w:szCs w:val="24"/>
              </w:rPr>
            </w:pPr>
            <w:r w:rsidRPr="005B02A1">
              <w:rPr>
                <w:sz w:val="24"/>
                <w:szCs w:val="24"/>
              </w:rPr>
              <w:t>(1987)</w:t>
            </w:r>
          </w:p>
          <w:p w:rsidR="00446457" w:rsidRPr="005B02A1" w14:paraId="5AF10503" w14:textId="77777777">
            <w:pPr>
              <w:suppressAutoHyphens/>
              <w:jc w:val="center"/>
              <w:rPr>
                <w:sz w:val="24"/>
                <w:szCs w:val="24"/>
              </w:rPr>
            </w:pPr>
          </w:p>
        </w:tc>
      </w:tr>
      <w:tr w14:paraId="24BFDCB8" w14:textId="77777777">
        <w:tblPrEx>
          <w:tblW w:w="0" w:type="auto"/>
          <w:tblLook w:val="01E0"/>
        </w:tblPrEx>
        <w:tc>
          <w:tcPr>
            <w:tcW w:w="3114" w:type="dxa"/>
            <w:shd w:val="clear" w:color="auto" w:fill="auto"/>
          </w:tcPr>
          <w:p w:rsidR="00446457" w:rsidRPr="005B02A1" w14:paraId="7ADC2966" w14:textId="77777777">
            <w:pPr>
              <w:suppressAutoHyphens/>
              <w:rPr>
                <w:sz w:val="24"/>
                <w:szCs w:val="24"/>
              </w:rPr>
            </w:pPr>
            <w:r>
              <w:rPr>
                <w:sz w:val="24"/>
                <w:szCs w:val="24"/>
              </w:rPr>
              <w:t>4</w:t>
            </w:r>
            <w:r w:rsidRPr="005B02A1">
              <w:rPr>
                <w:sz w:val="24"/>
                <w:szCs w:val="24"/>
              </w:rPr>
              <w:t>.  Data Network Identification Codes – Code Surrender</w:t>
            </w:r>
          </w:p>
          <w:p w:rsidR="00446457" w:rsidRPr="005B02A1" w14:paraId="6B2D1C6C" w14:textId="77777777">
            <w:pPr>
              <w:suppressAutoHyphens/>
              <w:rPr>
                <w:sz w:val="24"/>
                <w:szCs w:val="24"/>
              </w:rPr>
            </w:pPr>
          </w:p>
        </w:tc>
        <w:tc>
          <w:tcPr>
            <w:tcW w:w="3114" w:type="dxa"/>
            <w:shd w:val="clear" w:color="auto" w:fill="auto"/>
          </w:tcPr>
          <w:p w:rsidR="00446457" w:rsidRPr="005B02A1" w14:paraId="3CA84A81" w14:textId="77777777">
            <w:pPr>
              <w:suppressAutoHyphens/>
              <w:rPr>
                <w:sz w:val="24"/>
                <w:szCs w:val="24"/>
              </w:rPr>
            </w:pPr>
            <w:r w:rsidRPr="005B02A1">
              <w:rPr>
                <w:sz w:val="24"/>
                <w:szCs w:val="24"/>
              </w:rPr>
              <w:t>Request to surrender its DNC code for reassignment when a company operating a packet-switched network ceases operations.</w:t>
            </w:r>
          </w:p>
          <w:p w:rsidR="00446457" w:rsidRPr="005B02A1" w14:paraId="1F3F06AA" w14:textId="77777777">
            <w:pPr>
              <w:suppressAutoHyphens/>
              <w:rPr>
                <w:sz w:val="24"/>
                <w:szCs w:val="24"/>
              </w:rPr>
            </w:pPr>
          </w:p>
        </w:tc>
        <w:tc>
          <w:tcPr>
            <w:tcW w:w="3122" w:type="dxa"/>
            <w:shd w:val="clear" w:color="auto" w:fill="auto"/>
          </w:tcPr>
          <w:p w:rsidR="00446457" w:rsidRPr="005B02A1" w14:paraId="4FEF6C64" w14:textId="77777777">
            <w:pPr>
              <w:suppressAutoHyphens/>
              <w:jc w:val="center"/>
              <w:rPr>
                <w:sz w:val="24"/>
                <w:szCs w:val="24"/>
              </w:rPr>
            </w:pPr>
            <w:r w:rsidRPr="005B02A1">
              <w:rPr>
                <w:sz w:val="24"/>
                <w:szCs w:val="24"/>
              </w:rPr>
              <w:t xml:space="preserve">R&amp;O in Docket 83-1230 </w:t>
            </w:r>
          </w:p>
          <w:p w:rsidR="00446457" w:rsidRPr="005B02A1" w14:paraId="2F1E20DB" w14:textId="77777777">
            <w:pPr>
              <w:suppressAutoHyphens/>
              <w:jc w:val="center"/>
              <w:rPr>
                <w:sz w:val="24"/>
                <w:szCs w:val="24"/>
              </w:rPr>
            </w:pPr>
            <w:r w:rsidRPr="005B02A1">
              <w:rPr>
                <w:sz w:val="24"/>
                <w:szCs w:val="24"/>
              </w:rPr>
              <w:t>104 FCC 2d 208 (1986),</w:t>
            </w:r>
          </w:p>
          <w:p w:rsidR="00446457" w:rsidRPr="005B02A1" w14:paraId="31DF33F2" w14:textId="77777777">
            <w:pPr>
              <w:suppressAutoHyphens/>
              <w:jc w:val="center"/>
              <w:rPr>
                <w:i/>
                <w:iCs/>
                <w:sz w:val="24"/>
                <w:szCs w:val="24"/>
              </w:rPr>
            </w:pPr>
            <w:r w:rsidRPr="005B02A1">
              <w:rPr>
                <w:i/>
                <w:iCs/>
                <w:sz w:val="24"/>
                <w:szCs w:val="24"/>
              </w:rPr>
              <w:t xml:space="preserve">reconsideration granted </w:t>
            </w:r>
          </w:p>
          <w:p w:rsidR="00446457" w:rsidRPr="005B02A1" w14:paraId="5AD8A234" w14:textId="77777777">
            <w:pPr>
              <w:suppressAutoHyphens/>
              <w:jc w:val="center"/>
              <w:rPr>
                <w:sz w:val="24"/>
                <w:szCs w:val="24"/>
              </w:rPr>
            </w:pPr>
            <w:r w:rsidRPr="005B02A1">
              <w:rPr>
                <w:i/>
                <w:iCs/>
                <w:sz w:val="24"/>
                <w:szCs w:val="24"/>
              </w:rPr>
              <w:t>in part</w:t>
            </w:r>
            <w:r w:rsidRPr="005B02A1">
              <w:rPr>
                <w:sz w:val="24"/>
                <w:szCs w:val="24"/>
              </w:rPr>
              <w:t>,</w:t>
            </w:r>
          </w:p>
          <w:p w:rsidR="00446457" w:rsidRPr="005B02A1" w14:paraId="43D3962F" w14:textId="77777777">
            <w:pPr>
              <w:suppressAutoHyphens/>
              <w:jc w:val="center"/>
              <w:rPr>
                <w:sz w:val="24"/>
                <w:szCs w:val="24"/>
              </w:rPr>
            </w:pPr>
            <w:r w:rsidRPr="005B02A1">
              <w:rPr>
                <w:sz w:val="24"/>
                <w:szCs w:val="24"/>
              </w:rPr>
              <w:t xml:space="preserve">2 FCC </w:t>
            </w:r>
            <w:r w:rsidRPr="005B02A1">
              <w:rPr>
                <w:sz w:val="24"/>
                <w:szCs w:val="24"/>
              </w:rPr>
              <w:t>Rcd</w:t>
            </w:r>
            <w:r w:rsidRPr="005B02A1">
              <w:rPr>
                <w:sz w:val="24"/>
                <w:szCs w:val="24"/>
              </w:rPr>
              <w:t xml:space="preserve"> 7375</w:t>
            </w:r>
          </w:p>
          <w:p w:rsidR="00446457" w:rsidRPr="005B02A1" w14:paraId="27355521" w14:textId="77777777">
            <w:pPr>
              <w:suppressAutoHyphens/>
              <w:jc w:val="center"/>
              <w:rPr>
                <w:sz w:val="24"/>
                <w:szCs w:val="24"/>
              </w:rPr>
            </w:pPr>
            <w:r w:rsidRPr="005B02A1">
              <w:rPr>
                <w:sz w:val="24"/>
                <w:szCs w:val="24"/>
              </w:rPr>
              <w:t>(1987)</w:t>
            </w:r>
          </w:p>
          <w:p w:rsidR="00446457" w:rsidRPr="005B02A1" w14:paraId="440F947A" w14:textId="77777777">
            <w:pPr>
              <w:suppressAutoHyphens/>
              <w:jc w:val="center"/>
              <w:rPr>
                <w:sz w:val="24"/>
                <w:szCs w:val="24"/>
              </w:rPr>
            </w:pPr>
          </w:p>
        </w:tc>
      </w:tr>
    </w:tbl>
    <w:p w:rsidR="00446457" w:rsidRPr="00C53304" w:rsidP="00446457" w14:paraId="6F8354DC" w14:textId="77777777">
      <w:pPr>
        <w:rPr>
          <w:sz w:val="24"/>
          <w:szCs w:val="24"/>
        </w:rPr>
      </w:pPr>
    </w:p>
    <w:p w:rsidR="00446457" w:rsidRPr="00C53304" w:rsidP="00446457" w14:paraId="1C5B69D8" w14:textId="77777777">
      <w:pPr>
        <w:pStyle w:val="ParaNum"/>
        <w:numPr>
          <w:ilvl w:val="0"/>
          <w:numId w:val="0"/>
        </w:numPr>
        <w:tabs>
          <w:tab w:val="left" w:pos="720"/>
        </w:tabs>
        <w:rPr>
          <w:sz w:val="24"/>
          <w:szCs w:val="24"/>
        </w:rPr>
      </w:pPr>
      <w:r>
        <w:rPr>
          <w:sz w:val="24"/>
          <w:szCs w:val="24"/>
        </w:rPr>
        <w:t>T</w:t>
      </w:r>
      <w:r w:rsidRPr="00C53304">
        <w:rPr>
          <w:sz w:val="24"/>
          <w:szCs w:val="24"/>
        </w:rPr>
        <w:t>his information collection does not affect individuals or households; thus, there are no impacts under the Privacy Act.</w:t>
      </w:r>
    </w:p>
    <w:p w:rsidR="00446457" w:rsidP="00446457" w14:paraId="79F848ED" w14:textId="77777777">
      <w:pPr>
        <w:suppressAutoHyphens/>
        <w:rPr>
          <w:spacing w:val="-3"/>
          <w:sz w:val="24"/>
        </w:rPr>
      </w:pPr>
      <w:r>
        <w:rPr>
          <w:sz w:val="24"/>
        </w:rPr>
        <w:t>The statutory authority for this collection is contained in Sections 1, 4(i)-(j), 201-205, 211, 214, 219-220, 303(r), 309, and 403 of the Communications Act of 1934, as amended, 47 U.S.C. §§ 151, 154(i)-(j), 201-205, 211, 214, 219-220, 303(r), 309 and 403.</w:t>
      </w:r>
    </w:p>
    <w:p w:rsidR="00446457" w:rsidP="00446457" w14:paraId="74D9A0CA" w14:textId="77777777">
      <w:pPr>
        <w:tabs>
          <w:tab w:val="left" w:pos="-720"/>
        </w:tabs>
        <w:suppressAutoHyphens/>
        <w:rPr>
          <w:sz w:val="24"/>
        </w:rPr>
      </w:pPr>
    </w:p>
    <w:p w:rsidR="00446457" w:rsidP="00446457" w14:paraId="5BFA4EBB" w14:textId="77777777">
      <w:pPr>
        <w:tabs>
          <w:tab w:val="left" w:pos="-720"/>
        </w:tabs>
        <w:suppressAutoHyphens/>
        <w:rPr>
          <w:sz w:val="24"/>
        </w:rPr>
      </w:pPr>
      <w:r w:rsidRPr="00E37C85">
        <w:rPr>
          <w:sz w:val="24"/>
        </w:rPr>
        <w:t xml:space="preserve">2.  </w:t>
      </w:r>
      <w:r>
        <w:rPr>
          <w:sz w:val="24"/>
        </w:rPr>
        <w:t xml:space="preserve"> </w:t>
      </w:r>
      <w:r w:rsidRPr="00FD77BF">
        <w:rPr>
          <w:b/>
          <w:bCs/>
          <w:snapToGrid/>
          <w:sz w:val="22"/>
          <w:szCs w:val="22"/>
          <w:u w:val="single"/>
        </w:rPr>
        <w:t>Use of the Information</w:t>
      </w:r>
      <w:r>
        <w:rPr>
          <w:sz w:val="24"/>
        </w:rPr>
        <w:t xml:space="preserve"> </w:t>
      </w:r>
    </w:p>
    <w:p w:rsidR="00446457" w:rsidP="00446457" w14:paraId="2CAB44C3" w14:textId="77777777">
      <w:pPr>
        <w:tabs>
          <w:tab w:val="left" w:pos="-720"/>
        </w:tabs>
        <w:suppressAutoHyphens/>
        <w:rPr>
          <w:sz w:val="24"/>
        </w:rPr>
      </w:pPr>
    </w:p>
    <w:p w:rsidR="00446457" w:rsidP="00446457" w14:paraId="4179A4BD" w14:textId="77777777">
      <w:pPr>
        <w:tabs>
          <w:tab w:val="left" w:pos="-720"/>
        </w:tabs>
        <w:suppressAutoHyphens/>
        <w:rPr>
          <w:sz w:val="24"/>
          <w:szCs w:val="24"/>
        </w:rPr>
      </w:pPr>
      <w:r>
        <w:rPr>
          <w:sz w:val="24"/>
        </w:rPr>
        <w:t xml:space="preserve">The Commission obtains relevant information from </w:t>
      </w:r>
      <w:r w:rsidRPr="000201C4">
        <w:rPr>
          <w:sz w:val="24"/>
          <w:szCs w:val="24"/>
        </w:rPr>
        <w:t>operators of public data networks</w:t>
      </w:r>
      <w:r>
        <w:rPr>
          <w:sz w:val="24"/>
          <w:szCs w:val="24"/>
        </w:rPr>
        <w:t xml:space="preserve"> through the filing of applications for DNICs on IBFS.  This information is collected by the Commission to assign DNICs to operators of public data networks to identify and permit automated switching of data traffic to particular networks.  </w:t>
      </w:r>
    </w:p>
    <w:p w:rsidR="00446457" w:rsidP="00446457" w14:paraId="72B1AD77" w14:textId="77777777">
      <w:pPr>
        <w:tabs>
          <w:tab w:val="left" w:pos="-720"/>
        </w:tabs>
        <w:suppressAutoHyphens/>
        <w:rPr>
          <w:sz w:val="24"/>
        </w:rPr>
      </w:pPr>
    </w:p>
    <w:p w:rsidR="00446457" w:rsidP="00446457" w14:paraId="2558A106" w14:textId="77777777">
      <w:pPr>
        <w:tabs>
          <w:tab w:val="left" w:pos="-720"/>
        </w:tabs>
        <w:suppressAutoHyphens/>
        <w:rPr>
          <w:b/>
          <w:bCs/>
          <w:snapToGrid/>
          <w:sz w:val="22"/>
          <w:szCs w:val="22"/>
          <w:u w:val="single"/>
        </w:rPr>
      </w:pPr>
      <w:r w:rsidRPr="00E37C85">
        <w:rPr>
          <w:sz w:val="24"/>
        </w:rPr>
        <w:t xml:space="preserve">3.  </w:t>
      </w:r>
      <w:r w:rsidRPr="00FD77BF">
        <w:rPr>
          <w:b/>
          <w:bCs/>
          <w:snapToGrid/>
          <w:sz w:val="22"/>
          <w:szCs w:val="22"/>
          <w:u w:val="single"/>
        </w:rPr>
        <w:t>Use of Information Technology</w:t>
      </w:r>
    </w:p>
    <w:p w:rsidR="00446457" w:rsidP="00446457" w14:paraId="54262125" w14:textId="77777777">
      <w:pPr>
        <w:tabs>
          <w:tab w:val="left" w:pos="-720"/>
        </w:tabs>
        <w:suppressAutoHyphens/>
        <w:rPr>
          <w:b/>
          <w:bCs/>
          <w:snapToGrid/>
          <w:sz w:val="22"/>
          <w:szCs w:val="22"/>
          <w:u w:val="single"/>
        </w:rPr>
      </w:pPr>
    </w:p>
    <w:p w:rsidR="00446457" w:rsidP="00446457" w14:paraId="55D26A99" w14:textId="2ACCFA59">
      <w:pPr>
        <w:tabs>
          <w:tab w:val="left" w:pos="-720"/>
        </w:tabs>
        <w:suppressAutoHyphens/>
        <w:rPr>
          <w:spacing w:val="-3"/>
          <w:sz w:val="24"/>
        </w:rPr>
      </w:pPr>
      <w:r>
        <w:rPr>
          <w:spacing w:val="-3"/>
          <w:sz w:val="24"/>
        </w:rPr>
        <w:t xml:space="preserve">All applicants must file the DNIC application in IBFS.  The electronic collection of information expedites the Commission’s review and approval of DNIC applications for </w:t>
      </w:r>
      <w:r w:rsidRPr="000201C4">
        <w:rPr>
          <w:sz w:val="24"/>
          <w:szCs w:val="24"/>
        </w:rPr>
        <w:t>operators of public data networks</w:t>
      </w:r>
      <w:r>
        <w:rPr>
          <w:spacing w:val="-3"/>
          <w:sz w:val="24"/>
        </w:rPr>
        <w:t>.  A total of 100 percent of applications are filed with the Commission electronically in the IBFS.</w:t>
      </w:r>
    </w:p>
    <w:p w:rsidR="00446457" w:rsidP="00446457" w14:paraId="0450477A" w14:textId="77777777">
      <w:pPr>
        <w:pStyle w:val="BodyText2"/>
        <w:rPr>
          <w:spacing w:val="-3"/>
        </w:rPr>
      </w:pPr>
    </w:p>
    <w:p w:rsidR="00446457" w:rsidP="00446457" w14:paraId="16D2C946" w14:textId="77777777">
      <w:pPr>
        <w:tabs>
          <w:tab w:val="left" w:pos="-720"/>
        </w:tabs>
        <w:suppressAutoHyphens/>
        <w:rPr>
          <w:b/>
          <w:bCs/>
          <w:snapToGrid/>
          <w:sz w:val="22"/>
          <w:szCs w:val="22"/>
          <w:u w:val="single"/>
        </w:rPr>
      </w:pPr>
      <w:r w:rsidRPr="00E462A6">
        <w:rPr>
          <w:sz w:val="24"/>
        </w:rPr>
        <w:t xml:space="preserve">4.  </w:t>
      </w:r>
      <w:r w:rsidRPr="00FD77BF">
        <w:rPr>
          <w:b/>
          <w:bCs/>
          <w:snapToGrid/>
          <w:sz w:val="22"/>
          <w:szCs w:val="22"/>
          <w:u w:val="single"/>
        </w:rPr>
        <w:t>Non-Duplication</w:t>
      </w:r>
    </w:p>
    <w:p w:rsidR="00446457" w:rsidP="00446457" w14:paraId="2F802D84" w14:textId="77777777">
      <w:pPr>
        <w:tabs>
          <w:tab w:val="left" w:pos="-720"/>
        </w:tabs>
        <w:suppressAutoHyphens/>
        <w:rPr>
          <w:sz w:val="24"/>
        </w:rPr>
      </w:pPr>
      <w:r>
        <w:rPr>
          <w:sz w:val="24"/>
        </w:rPr>
        <w:t xml:space="preserve"> </w:t>
      </w:r>
    </w:p>
    <w:p w:rsidR="00446457" w:rsidP="00446457" w14:paraId="635EE570" w14:textId="3A859337">
      <w:pPr>
        <w:tabs>
          <w:tab w:val="left" w:pos="-720"/>
        </w:tabs>
        <w:suppressAutoHyphens/>
        <w:rPr>
          <w:sz w:val="24"/>
        </w:rPr>
      </w:pPr>
      <w:r>
        <w:rPr>
          <w:sz w:val="24"/>
        </w:rPr>
        <w:t>The Commission does not impose similar information collections on the respondents.  There are no similar data available.</w:t>
      </w:r>
    </w:p>
    <w:p w:rsidR="00EA1448" w:rsidP="00446457" w14:paraId="316D863D" w14:textId="77777777">
      <w:pPr>
        <w:tabs>
          <w:tab w:val="left" w:pos="-720"/>
        </w:tabs>
        <w:suppressAutoHyphens/>
        <w:rPr>
          <w:sz w:val="24"/>
        </w:rPr>
      </w:pPr>
    </w:p>
    <w:p w:rsidR="00446457" w:rsidP="00446457" w14:paraId="4A94D447" w14:textId="77777777">
      <w:pPr>
        <w:pStyle w:val="BodyText2"/>
      </w:pPr>
    </w:p>
    <w:p w:rsidR="00446457" w:rsidP="00446457" w14:paraId="4AA0726C" w14:textId="77777777">
      <w:pPr>
        <w:pStyle w:val="BodyText2"/>
        <w:rPr>
          <w:snapToGrid/>
          <w:sz w:val="22"/>
          <w:szCs w:val="22"/>
          <w:u w:val="single"/>
        </w:rPr>
      </w:pPr>
      <w:r w:rsidRPr="00E462A6">
        <w:rPr>
          <w:b w:val="0"/>
        </w:rPr>
        <w:t>5.</w:t>
      </w:r>
      <w:r>
        <w:rPr>
          <w:b w:val="0"/>
        </w:rPr>
        <w:t xml:space="preserve">  </w:t>
      </w:r>
      <w:r w:rsidRPr="00FD77BF">
        <w:rPr>
          <w:snapToGrid/>
          <w:sz w:val="22"/>
          <w:szCs w:val="22"/>
          <w:u w:val="single"/>
        </w:rPr>
        <w:t>Burden on Small Business</w:t>
      </w:r>
    </w:p>
    <w:p w:rsidR="00446457" w:rsidP="00446457" w14:paraId="08526FC8" w14:textId="77777777">
      <w:pPr>
        <w:pStyle w:val="BodyText2"/>
        <w:rPr>
          <w:snapToGrid/>
          <w:sz w:val="22"/>
          <w:szCs w:val="22"/>
          <w:u w:val="single"/>
        </w:rPr>
      </w:pPr>
    </w:p>
    <w:p w:rsidR="00446457" w:rsidRPr="00E462A6" w:rsidP="00446457" w14:paraId="5D96F743" w14:textId="77777777">
      <w:pPr>
        <w:pStyle w:val="BodyText2"/>
        <w:rPr>
          <w:b w:val="0"/>
        </w:rPr>
      </w:pPr>
      <w:r w:rsidRPr="00E462A6">
        <w:rPr>
          <w:b w:val="0"/>
        </w:rPr>
        <w:t>This collection of information does not significantly impact small businesses or other small entities.</w:t>
      </w:r>
    </w:p>
    <w:p w:rsidR="00446457" w:rsidP="00446457" w14:paraId="0398BA9B" w14:textId="77777777">
      <w:pPr>
        <w:tabs>
          <w:tab w:val="left" w:pos="-720"/>
        </w:tabs>
        <w:suppressAutoHyphens/>
        <w:rPr>
          <w:sz w:val="24"/>
        </w:rPr>
      </w:pPr>
    </w:p>
    <w:p w:rsidR="00446457" w:rsidP="00446457" w14:paraId="153B8A0D" w14:textId="77777777">
      <w:pPr>
        <w:tabs>
          <w:tab w:val="left" w:pos="-720"/>
        </w:tabs>
        <w:suppressAutoHyphens/>
        <w:rPr>
          <w:b/>
          <w:bCs/>
          <w:snapToGrid/>
          <w:sz w:val="22"/>
          <w:szCs w:val="22"/>
          <w:u w:val="single"/>
        </w:rPr>
      </w:pPr>
      <w:r w:rsidRPr="00E462A6">
        <w:rPr>
          <w:sz w:val="24"/>
        </w:rPr>
        <w:t>6.</w:t>
      </w:r>
      <w:r>
        <w:rPr>
          <w:sz w:val="24"/>
        </w:rPr>
        <w:t xml:space="preserve">  </w:t>
      </w:r>
      <w:r w:rsidRPr="00FD77BF">
        <w:rPr>
          <w:b/>
          <w:bCs/>
          <w:snapToGrid/>
          <w:sz w:val="22"/>
          <w:szCs w:val="22"/>
          <w:u w:val="single"/>
        </w:rPr>
        <w:t xml:space="preserve">Less </w:t>
      </w:r>
      <w:r w:rsidRPr="00476B78">
        <w:rPr>
          <w:b/>
          <w:bCs/>
          <w:sz w:val="22"/>
          <w:szCs w:val="22"/>
          <w:u w:val="single"/>
        </w:rPr>
        <w:t>Frequent</w:t>
      </w:r>
      <w:r w:rsidRPr="00FD77BF">
        <w:rPr>
          <w:b/>
          <w:bCs/>
          <w:snapToGrid/>
          <w:sz w:val="22"/>
          <w:szCs w:val="22"/>
          <w:u w:val="single"/>
        </w:rPr>
        <w:t xml:space="preserve"> Collection</w:t>
      </w:r>
    </w:p>
    <w:p w:rsidR="00446457" w:rsidP="00446457" w14:paraId="282BE1FA" w14:textId="77777777">
      <w:pPr>
        <w:tabs>
          <w:tab w:val="left" w:pos="-720"/>
        </w:tabs>
        <w:suppressAutoHyphens/>
        <w:rPr>
          <w:b/>
          <w:bCs/>
          <w:snapToGrid/>
          <w:sz w:val="22"/>
          <w:szCs w:val="22"/>
          <w:u w:val="single"/>
        </w:rPr>
      </w:pPr>
    </w:p>
    <w:p w:rsidR="00446457" w:rsidP="00446457" w14:paraId="3688F1B6" w14:textId="72CCF4FE">
      <w:pPr>
        <w:tabs>
          <w:tab w:val="left" w:pos="-720"/>
        </w:tabs>
        <w:suppressAutoHyphens/>
        <w:rPr>
          <w:sz w:val="24"/>
        </w:rPr>
      </w:pPr>
      <w:r>
        <w:rPr>
          <w:sz w:val="24"/>
        </w:rPr>
        <w:t xml:space="preserve">The Commission’s assignment of </w:t>
      </w:r>
      <w:r>
        <w:rPr>
          <w:sz w:val="24"/>
          <w:szCs w:val="24"/>
        </w:rPr>
        <w:t xml:space="preserve">DNICs to operators of public data networks ensures the identification and automated switching of data traffic to particular networks.  </w:t>
      </w:r>
    </w:p>
    <w:p w:rsidR="00446457" w:rsidP="00446457" w14:paraId="3EADAE4E" w14:textId="77777777">
      <w:pPr>
        <w:tabs>
          <w:tab w:val="left" w:pos="-720"/>
        </w:tabs>
        <w:suppressAutoHyphens/>
        <w:rPr>
          <w:sz w:val="24"/>
        </w:rPr>
      </w:pPr>
    </w:p>
    <w:p w:rsidR="00446457" w:rsidP="00446457" w14:paraId="2804C25A" w14:textId="77777777">
      <w:pPr>
        <w:tabs>
          <w:tab w:val="left" w:pos="-720"/>
        </w:tabs>
        <w:suppressAutoHyphens/>
        <w:rPr>
          <w:sz w:val="24"/>
        </w:rPr>
      </w:pPr>
      <w:r w:rsidRPr="00E4219F">
        <w:rPr>
          <w:sz w:val="24"/>
        </w:rPr>
        <w:t>7.</w:t>
      </w:r>
      <w:r>
        <w:rPr>
          <w:sz w:val="24"/>
        </w:rPr>
        <w:t xml:space="preserve">  </w:t>
      </w:r>
      <w:r w:rsidRPr="006A7996">
        <w:rPr>
          <w:b/>
          <w:bCs/>
          <w:sz w:val="24"/>
          <w:u w:val="single"/>
        </w:rPr>
        <w:t>Special Circumstances</w:t>
      </w:r>
    </w:p>
    <w:p w:rsidR="00446457" w:rsidP="00446457" w14:paraId="59A0AC45" w14:textId="77777777">
      <w:pPr>
        <w:tabs>
          <w:tab w:val="left" w:pos="-720"/>
        </w:tabs>
        <w:suppressAutoHyphens/>
        <w:rPr>
          <w:sz w:val="24"/>
        </w:rPr>
      </w:pPr>
    </w:p>
    <w:p w:rsidR="00446457" w:rsidP="00446457" w14:paraId="03FDA80A" w14:textId="77777777">
      <w:pPr>
        <w:tabs>
          <w:tab w:val="left" w:pos="-720"/>
        </w:tabs>
        <w:suppressAutoHyphens/>
        <w:rPr>
          <w:sz w:val="24"/>
        </w:rPr>
      </w:pPr>
      <w:r w:rsidRPr="0065462A">
        <w:rPr>
          <w:sz w:val="24"/>
        </w:rPr>
        <w:t xml:space="preserve">There are no special circumstances associated with this collection of information.  </w:t>
      </w:r>
    </w:p>
    <w:p w:rsidR="00446457" w:rsidP="00446457" w14:paraId="49DFB423" w14:textId="77777777">
      <w:pPr>
        <w:tabs>
          <w:tab w:val="left" w:pos="-720"/>
        </w:tabs>
        <w:suppressAutoHyphens/>
        <w:rPr>
          <w:b/>
          <w:sz w:val="24"/>
        </w:rPr>
      </w:pPr>
    </w:p>
    <w:p w:rsidR="00446457" w:rsidRPr="008F0F15" w:rsidP="00446457" w14:paraId="260E7EF4" w14:textId="77777777">
      <w:pPr>
        <w:tabs>
          <w:tab w:val="left" w:pos="-720"/>
        </w:tabs>
        <w:suppressAutoHyphens/>
        <w:rPr>
          <w:b/>
          <w:bCs/>
          <w:sz w:val="24"/>
          <w:szCs w:val="24"/>
        </w:rPr>
      </w:pPr>
      <w:r w:rsidRPr="008F0F15">
        <w:rPr>
          <w:sz w:val="24"/>
          <w:szCs w:val="24"/>
        </w:rPr>
        <w:t xml:space="preserve">8.  </w:t>
      </w:r>
      <w:r w:rsidRPr="008F0F15">
        <w:rPr>
          <w:b/>
          <w:bCs/>
          <w:sz w:val="24"/>
          <w:szCs w:val="24"/>
          <w:u w:val="single"/>
        </w:rPr>
        <w:t>Federal Register of the Agency’s Notice</w:t>
      </w:r>
      <w:r w:rsidRPr="008F0F15">
        <w:rPr>
          <w:b/>
          <w:bCs/>
          <w:sz w:val="24"/>
          <w:szCs w:val="24"/>
        </w:rPr>
        <w:t xml:space="preserve"> </w:t>
      </w:r>
    </w:p>
    <w:p w:rsidR="00446457" w:rsidP="00446457" w14:paraId="1529211F" w14:textId="77777777">
      <w:pPr>
        <w:tabs>
          <w:tab w:val="left" w:pos="-720"/>
        </w:tabs>
        <w:suppressAutoHyphens/>
        <w:rPr>
          <w:sz w:val="24"/>
          <w:highlight w:val="yellow"/>
        </w:rPr>
      </w:pPr>
    </w:p>
    <w:p w:rsidR="00446457" w:rsidP="00446457" w14:paraId="65E86ADE" w14:textId="3D614085">
      <w:pPr>
        <w:tabs>
          <w:tab w:val="left" w:pos="-720"/>
        </w:tabs>
        <w:suppressAutoHyphens/>
        <w:rPr>
          <w:sz w:val="24"/>
        </w:rPr>
      </w:pPr>
      <w:r w:rsidRPr="00BD19A7">
        <w:rPr>
          <w:sz w:val="24"/>
        </w:rPr>
        <w:t xml:space="preserve">On </w:t>
      </w:r>
      <w:r w:rsidRPr="00BD19A7" w:rsidR="00BD19A7">
        <w:rPr>
          <w:sz w:val="24"/>
        </w:rPr>
        <w:t>August 30, 2022</w:t>
      </w:r>
      <w:r w:rsidRPr="00BD19A7">
        <w:rPr>
          <w:sz w:val="24"/>
        </w:rPr>
        <w:t>, a 60-day notice was published in the Federal Register (</w:t>
      </w:r>
      <w:r w:rsidRPr="00BD19A7" w:rsidR="00BD19A7">
        <w:rPr>
          <w:sz w:val="24"/>
        </w:rPr>
        <w:t xml:space="preserve">87 </w:t>
      </w:r>
      <w:r w:rsidRPr="00BD19A7">
        <w:rPr>
          <w:sz w:val="24"/>
        </w:rPr>
        <w:t>FR</w:t>
      </w:r>
      <w:r w:rsidRPr="00BD19A7" w:rsidR="00BD19A7">
        <w:rPr>
          <w:sz w:val="24"/>
        </w:rPr>
        <w:t xml:space="preserve"> 52969</w:t>
      </w:r>
      <w:r w:rsidRPr="00BD19A7">
        <w:rPr>
          <w:sz w:val="24"/>
        </w:rPr>
        <w:t xml:space="preserve">) to request comments from the public.  </w:t>
      </w:r>
      <w:r>
        <w:rPr>
          <w:sz w:val="24"/>
        </w:rPr>
        <w:t>No comments were received from the public.</w:t>
      </w:r>
    </w:p>
    <w:p w:rsidR="00446457" w:rsidP="00446457" w14:paraId="2058A0DD" w14:textId="77777777">
      <w:pPr>
        <w:tabs>
          <w:tab w:val="left" w:pos="-720"/>
        </w:tabs>
        <w:suppressAutoHyphens/>
        <w:rPr>
          <w:b/>
          <w:sz w:val="24"/>
        </w:rPr>
      </w:pPr>
    </w:p>
    <w:p w:rsidR="00446457" w:rsidRPr="008F0F15" w:rsidP="00446457" w14:paraId="03200C70" w14:textId="77777777">
      <w:pPr>
        <w:tabs>
          <w:tab w:val="left" w:pos="-720"/>
        </w:tabs>
        <w:suppressAutoHyphens/>
        <w:rPr>
          <w:sz w:val="24"/>
          <w:szCs w:val="24"/>
        </w:rPr>
      </w:pPr>
      <w:r w:rsidRPr="008F0F15">
        <w:rPr>
          <w:sz w:val="24"/>
          <w:szCs w:val="24"/>
        </w:rPr>
        <w:t xml:space="preserve">9.  </w:t>
      </w:r>
      <w:r w:rsidRPr="008F0F15">
        <w:rPr>
          <w:b/>
          <w:sz w:val="24"/>
          <w:szCs w:val="24"/>
          <w:u w:val="single"/>
        </w:rPr>
        <w:t>Gifts or Payment</w:t>
      </w:r>
      <w:r w:rsidRPr="008F0F15">
        <w:rPr>
          <w:sz w:val="24"/>
          <w:szCs w:val="24"/>
        </w:rPr>
        <w:t xml:space="preserve"> </w:t>
      </w:r>
    </w:p>
    <w:p w:rsidR="00446457" w:rsidP="00446457" w14:paraId="7F89E978" w14:textId="77777777">
      <w:pPr>
        <w:tabs>
          <w:tab w:val="left" w:pos="-720"/>
        </w:tabs>
        <w:suppressAutoHyphens/>
        <w:rPr>
          <w:sz w:val="24"/>
          <w:szCs w:val="24"/>
        </w:rPr>
      </w:pPr>
    </w:p>
    <w:p w:rsidR="00446457" w:rsidRPr="00912848" w:rsidP="00446457" w14:paraId="68CE970E" w14:textId="77777777">
      <w:pPr>
        <w:tabs>
          <w:tab w:val="left" w:pos="-720"/>
        </w:tabs>
        <w:suppressAutoHyphens/>
        <w:rPr>
          <w:sz w:val="24"/>
          <w:szCs w:val="24"/>
        </w:rPr>
      </w:pPr>
      <w:r w:rsidRPr="00912848">
        <w:rPr>
          <w:sz w:val="24"/>
          <w:szCs w:val="24"/>
        </w:rPr>
        <w:t>The Commission will not provide any payment or gift to respondents.</w:t>
      </w:r>
    </w:p>
    <w:p w:rsidR="00446457" w:rsidP="00446457" w14:paraId="5885EB98" w14:textId="77777777">
      <w:pPr>
        <w:pStyle w:val="BodyText"/>
      </w:pPr>
    </w:p>
    <w:p w:rsidR="00446457" w:rsidRPr="008F0F15" w:rsidP="00446457" w14:paraId="24AC1B8F" w14:textId="77777777">
      <w:pPr>
        <w:tabs>
          <w:tab w:val="left" w:pos="-720"/>
        </w:tabs>
        <w:suppressAutoHyphens/>
        <w:rPr>
          <w:b/>
          <w:sz w:val="24"/>
          <w:szCs w:val="24"/>
          <w:u w:val="single"/>
        </w:rPr>
      </w:pPr>
      <w:r w:rsidRPr="008F0F15">
        <w:rPr>
          <w:sz w:val="24"/>
          <w:szCs w:val="24"/>
        </w:rPr>
        <w:t xml:space="preserve">10.  </w:t>
      </w:r>
      <w:r w:rsidRPr="008F0F15">
        <w:rPr>
          <w:b/>
          <w:sz w:val="24"/>
          <w:szCs w:val="24"/>
          <w:u w:val="single"/>
        </w:rPr>
        <w:t>Confidentiality</w:t>
      </w:r>
    </w:p>
    <w:p w:rsidR="00446457" w:rsidP="00446457" w14:paraId="79AA01A8" w14:textId="77777777">
      <w:pPr>
        <w:tabs>
          <w:tab w:val="left" w:pos="-720"/>
        </w:tabs>
        <w:suppressAutoHyphens/>
        <w:rPr>
          <w:b/>
          <w:sz w:val="22"/>
          <w:szCs w:val="22"/>
          <w:u w:val="single"/>
        </w:rPr>
      </w:pPr>
    </w:p>
    <w:p w:rsidR="00446457" w:rsidP="00446457" w14:paraId="0A0E7987" w14:textId="77777777">
      <w:pPr>
        <w:tabs>
          <w:tab w:val="left" w:pos="-720"/>
        </w:tabs>
        <w:suppressAutoHyphens/>
        <w:rPr>
          <w:sz w:val="24"/>
        </w:rPr>
      </w:pPr>
      <w:r>
        <w:rPr>
          <w:spacing w:val="-3"/>
          <w:sz w:val="24"/>
        </w:rPr>
        <w:t xml:space="preserve">There is no need for confidentiality of information contained in the applications filed with the Commission.  </w:t>
      </w:r>
    </w:p>
    <w:p w:rsidR="00446457" w:rsidP="00446457" w14:paraId="6858EE4E" w14:textId="77777777">
      <w:pPr>
        <w:tabs>
          <w:tab w:val="left" w:pos="-720"/>
        </w:tabs>
        <w:suppressAutoHyphens/>
        <w:rPr>
          <w:sz w:val="24"/>
        </w:rPr>
      </w:pPr>
    </w:p>
    <w:p w:rsidR="00446457" w:rsidRPr="004426E5" w:rsidP="00446457" w14:paraId="36BB245E" w14:textId="77777777">
      <w:pPr>
        <w:tabs>
          <w:tab w:val="left" w:pos="-720"/>
        </w:tabs>
        <w:suppressAutoHyphens/>
        <w:rPr>
          <w:b/>
          <w:sz w:val="24"/>
          <w:u w:val="single"/>
        </w:rPr>
      </w:pPr>
      <w:r w:rsidRPr="008F0F15">
        <w:rPr>
          <w:sz w:val="24"/>
          <w:szCs w:val="24"/>
        </w:rPr>
        <w:t xml:space="preserve">11.  </w:t>
      </w:r>
      <w:r w:rsidRPr="008F0F15">
        <w:rPr>
          <w:b/>
          <w:bCs/>
          <w:snapToGrid/>
          <w:sz w:val="24"/>
          <w:szCs w:val="24"/>
          <w:u w:val="single"/>
        </w:rPr>
        <w:t>Sensitive Questions</w:t>
      </w:r>
    </w:p>
    <w:p w:rsidR="00446457" w:rsidRPr="00F639A0" w:rsidP="00F639A0" w14:paraId="446EF18E" w14:textId="7D8C2DE8">
      <w:pPr>
        <w:tabs>
          <w:tab w:val="left" w:pos="-720"/>
          <w:tab w:val="left" w:pos="3120"/>
        </w:tabs>
        <w:suppressAutoHyphens/>
        <w:rPr>
          <w:b/>
          <w:bCs/>
          <w:snapToGrid/>
          <w:sz w:val="22"/>
          <w:szCs w:val="22"/>
        </w:rPr>
      </w:pPr>
      <w:r w:rsidRPr="00F639A0">
        <w:rPr>
          <w:b/>
          <w:bCs/>
          <w:snapToGrid/>
          <w:sz w:val="22"/>
          <w:szCs w:val="22"/>
        </w:rPr>
        <w:tab/>
      </w:r>
    </w:p>
    <w:p w:rsidR="00446457" w:rsidP="00446457" w14:paraId="6F35B265" w14:textId="77777777">
      <w:pPr>
        <w:tabs>
          <w:tab w:val="left" w:pos="-720"/>
        </w:tabs>
        <w:suppressAutoHyphens/>
        <w:rPr>
          <w:sz w:val="24"/>
        </w:rPr>
      </w:pPr>
      <w:r>
        <w:rPr>
          <w:sz w:val="24"/>
        </w:rPr>
        <w:t>This collection of information does not contain questions of a sensitive nature.</w:t>
      </w:r>
    </w:p>
    <w:p w:rsidR="00446457" w:rsidP="00446457" w14:paraId="7A09B669" w14:textId="77777777">
      <w:pPr>
        <w:tabs>
          <w:tab w:val="left" w:pos="-720"/>
        </w:tabs>
        <w:suppressAutoHyphens/>
        <w:rPr>
          <w:sz w:val="24"/>
        </w:rPr>
      </w:pPr>
    </w:p>
    <w:p w:rsidR="00446457" w:rsidRPr="008F0F15" w:rsidP="00446457" w14:paraId="61A7E5BC" w14:textId="77777777">
      <w:pPr>
        <w:suppressAutoHyphens/>
        <w:rPr>
          <w:b/>
          <w:sz w:val="24"/>
          <w:szCs w:val="24"/>
        </w:rPr>
      </w:pPr>
      <w:r w:rsidRPr="008F0F15">
        <w:rPr>
          <w:sz w:val="24"/>
          <w:szCs w:val="24"/>
        </w:rPr>
        <w:t>12.</w:t>
      </w:r>
      <w:r w:rsidRPr="004426E5">
        <w:rPr>
          <w:sz w:val="24"/>
        </w:rPr>
        <w:t xml:space="preserve">  </w:t>
      </w:r>
      <w:r w:rsidRPr="008F0F15">
        <w:rPr>
          <w:b/>
          <w:sz w:val="24"/>
          <w:szCs w:val="24"/>
          <w:u w:val="single"/>
        </w:rPr>
        <w:t>Respondent Burden, and its Labor Costs</w:t>
      </w:r>
    </w:p>
    <w:p w:rsidR="00446457" w:rsidP="00446457" w14:paraId="0125466D" w14:textId="77777777">
      <w:pPr>
        <w:pStyle w:val="BodyText"/>
      </w:pPr>
    </w:p>
    <w:p w:rsidR="00446457" w:rsidRPr="004426E5" w:rsidP="00446457" w14:paraId="0E0B7102" w14:textId="67CF88E7">
      <w:pPr>
        <w:pStyle w:val="BodyText"/>
      </w:pPr>
      <w:r w:rsidRPr="00F73725">
        <w:t xml:space="preserve">The Commission receives </w:t>
      </w:r>
      <w:r>
        <w:t xml:space="preserve">on average no more than </w:t>
      </w:r>
      <w:r w:rsidRPr="008D2B71" w:rsidR="008A1194">
        <w:rPr>
          <w:b/>
          <w:bCs/>
        </w:rPr>
        <w:t>2</w:t>
      </w:r>
      <w:r w:rsidRPr="008D2B71">
        <w:rPr>
          <w:b/>
          <w:bCs/>
        </w:rPr>
        <w:t xml:space="preserve"> responses</w:t>
      </w:r>
      <w:r w:rsidRPr="00F73725">
        <w:t xml:space="preserve"> (</w:t>
      </w:r>
      <w:r>
        <w:t>DNC-NEW</w:t>
      </w:r>
      <w:r w:rsidRPr="00F73725">
        <w:t xml:space="preserve"> applications) from respondents annually.</w:t>
      </w:r>
      <w:r>
        <w:rPr>
          <w:rStyle w:val="FootnoteReference"/>
        </w:rPr>
        <w:footnoteReference w:id="10"/>
      </w:r>
      <w:r w:rsidRPr="00F73725">
        <w:t xml:space="preserve">  </w:t>
      </w:r>
      <w:r>
        <w:t>We estimate that three of the</w:t>
      </w:r>
      <w:r w:rsidRPr="00F73725">
        <w:t xml:space="preserve"> respondents</w:t>
      </w:r>
      <w:r>
        <w:t xml:space="preserve"> filed these with the use of their in-house staff and undergo an average paperwork burden of three hours to prepare and file each application.  We estimate that two</w:t>
      </w:r>
      <w:r w:rsidRPr="004426E5">
        <w:t xml:space="preserve"> respondents </w:t>
      </w:r>
      <w:r>
        <w:t>still rely on outside legal assistance to file their applications.  These respondents undergo a paperwork burden of two hours to coordinate with outside legal assistance who then prepare and file the application.  The maximum predicted annual paperwork burden for this collection is therefore:</w:t>
      </w:r>
    </w:p>
    <w:p w:rsidR="00446457" w:rsidP="00446457" w14:paraId="67FB100C" w14:textId="030EF11C">
      <w:pPr>
        <w:tabs>
          <w:tab w:val="left" w:pos="-720"/>
        </w:tabs>
        <w:suppressAutoHyphens/>
        <w:rPr>
          <w:sz w:val="24"/>
        </w:rPr>
      </w:pPr>
    </w:p>
    <w:p w:rsidR="00DF080A" w:rsidP="00446457" w14:paraId="6F447EC9" w14:textId="7D17CF67">
      <w:pPr>
        <w:tabs>
          <w:tab w:val="left" w:pos="-720"/>
        </w:tabs>
        <w:suppressAutoHyphens/>
        <w:rPr>
          <w:sz w:val="24"/>
        </w:rPr>
      </w:pPr>
    </w:p>
    <w:p w:rsidR="00DF080A" w:rsidP="00446457" w14:paraId="157CAE76" w14:textId="77777777">
      <w:pPr>
        <w:tabs>
          <w:tab w:val="left" w:pos="-720"/>
        </w:tabs>
        <w:suppressAutoHyphens/>
        <w:rPr>
          <w:sz w:val="24"/>
        </w:rPr>
      </w:pPr>
    </w:p>
    <w:p w:rsidR="00446457" w:rsidRPr="00F608E4" w:rsidP="00446457" w14:paraId="25A39C27" w14:textId="77777777">
      <w:pPr>
        <w:tabs>
          <w:tab w:val="left" w:pos="-720"/>
        </w:tabs>
        <w:suppressAutoHyphens/>
        <w:rPr>
          <w:sz w:val="24"/>
          <w:u w:val="single"/>
        </w:rPr>
      </w:pPr>
      <w:r>
        <w:rPr>
          <w:sz w:val="24"/>
          <w:u w:val="single"/>
        </w:rPr>
        <w:t>DNC-NEW</w:t>
      </w:r>
    </w:p>
    <w:p w:rsidR="00446457" w:rsidP="00446457" w14:paraId="10AA42A9" w14:textId="45923054">
      <w:pPr>
        <w:pStyle w:val="BodyText"/>
      </w:pPr>
      <w:r>
        <w:t>1</w:t>
      </w:r>
      <w:r>
        <w:t xml:space="preserve"> respondents using in-house staff</w:t>
      </w:r>
      <w:r>
        <w:tab/>
      </w:r>
      <w:r>
        <w:tab/>
        <w:t>x 3 hrs.</w:t>
      </w:r>
      <w:r>
        <w:tab/>
        <w:t>(preparing applications)</w:t>
      </w:r>
      <w:r>
        <w:tab/>
        <w:t xml:space="preserve">= </w:t>
      </w:r>
      <w:r>
        <w:t>3</w:t>
      </w:r>
      <w:r>
        <w:t>hrs.</w:t>
      </w:r>
    </w:p>
    <w:p w:rsidR="00446457" w:rsidP="00446457" w14:paraId="6ECC139A" w14:textId="05C4D8E6">
      <w:pPr>
        <w:tabs>
          <w:tab w:val="left" w:pos="-720"/>
        </w:tabs>
        <w:suppressAutoHyphens/>
        <w:rPr>
          <w:sz w:val="24"/>
          <w:u w:val="single"/>
        </w:rPr>
      </w:pPr>
      <w:r>
        <w:rPr>
          <w:sz w:val="24"/>
        </w:rPr>
        <w:t>1</w:t>
      </w:r>
      <w:r>
        <w:rPr>
          <w:sz w:val="24"/>
        </w:rPr>
        <w:t xml:space="preserve"> respondents using outside legal assistance</w:t>
      </w:r>
      <w:r>
        <w:rPr>
          <w:sz w:val="24"/>
        </w:rPr>
        <w:tab/>
        <w:t xml:space="preserve">x 2 hrs. (consulting)       </w:t>
      </w:r>
      <w:r>
        <w:rPr>
          <w:sz w:val="24"/>
        </w:rPr>
        <w:tab/>
      </w:r>
      <w:r>
        <w:rPr>
          <w:sz w:val="24"/>
        </w:rPr>
        <w:tab/>
        <w:t xml:space="preserve">= </w:t>
      </w:r>
      <w:r>
        <w:rPr>
          <w:sz w:val="24"/>
          <w:u w:val="single"/>
        </w:rPr>
        <w:t>2</w:t>
      </w:r>
      <w:r>
        <w:rPr>
          <w:sz w:val="24"/>
          <w:u w:val="single"/>
        </w:rPr>
        <w:t xml:space="preserve"> hrs.</w:t>
      </w:r>
    </w:p>
    <w:p w:rsidR="00446457" w:rsidRPr="0096493E" w:rsidP="00446457" w14:paraId="2618DC5B" w14:textId="6BC1A114">
      <w:pPr>
        <w:tabs>
          <w:tab w:val="left" w:pos="-720"/>
        </w:tabs>
        <w:suppressAutoHyphens/>
        <w:rPr>
          <w:b/>
          <w:sz w:val="24"/>
        </w:rPr>
      </w:pPr>
      <w:r>
        <w:rPr>
          <w:sz w:val="24"/>
        </w:rPr>
        <w:t>Total annual paperwork burden</w:t>
      </w:r>
      <w:r>
        <w:rPr>
          <w:sz w:val="24"/>
        </w:rPr>
        <w:tab/>
      </w:r>
      <w:r>
        <w:rPr>
          <w:sz w:val="24"/>
        </w:rPr>
        <w:tab/>
      </w:r>
      <w:r>
        <w:rPr>
          <w:sz w:val="24"/>
        </w:rPr>
        <w:tab/>
      </w:r>
      <w:r>
        <w:rPr>
          <w:sz w:val="24"/>
        </w:rPr>
        <w:tab/>
        <w:t xml:space="preserve">                                    = </w:t>
      </w:r>
      <w:r w:rsidRPr="008D2B71" w:rsidR="00DC35AB">
        <w:rPr>
          <w:b/>
          <w:bCs/>
          <w:sz w:val="24"/>
        </w:rPr>
        <w:t>5</w:t>
      </w:r>
      <w:r w:rsidRPr="008D2B71">
        <w:rPr>
          <w:b/>
          <w:bCs/>
          <w:sz w:val="24"/>
        </w:rPr>
        <w:t xml:space="preserve"> hrs.</w:t>
      </w:r>
    </w:p>
    <w:p w:rsidR="00446457" w:rsidP="00446457" w14:paraId="22CA47A2" w14:textId="77777777">
      <w:pPr>
        <w:tabs>
          <w:tab w:val="left" w:pos="-720"/>
        </w:tabs>
        <w:suppressAutoHyphens/>
        <w:rPr>
          <w:sz w:val="24"/>
        </w:rPr>
      </w:pPr>
    </w:p>
    <w:p w:rsidR="00446457" w:rsidRPr="00BF10D5" w:rsidP="00BF10D5" w14:paraId="452ACAA6" w14:textId="77777777">
      <w:pPr>
        <w:pStyle w:val="FootnoteText"/>
        <w:rPr>
          <w:sz w:val="24"/>
          <w:szCs w:val="24"/>
        </w:rPr>
      </w:pPr>
      <w:r w:rsidRPr="00BF10D5">
        <w:rPr>
          <w:sz w:val="24"/>
          <w:szCs w:val="24"/>
        </w:rPr>
        <w:t xml:space="preserve">Respondents’ In-House Costs:  We estimate that the loaded hourly rate for in-house staff at respondents’ companies to prepare and file the applications and to consult with outside consultants will be $40.  </w:t>
      </w:r>
    </w:p>
    <w:p w:rsidR="00446457" w:rsidP="00446457" w14:paraId="15AD1002" w14:textId="77777777">
      <w:pPr>
        <w:tabs>
          <w:tab w:val="left" w:pos="-720"/>
        </w:tabs>
        <w:suppressAutoHyphens/>
        <w:rPr>
          <w:sz w:val="24"/>
        </w:rPr>
      </w:pPr>
    </w:p>
    <w:p w:rsidR="00446457" w:rsidRPr="004426E5" w:rsidP="00446457" w14:paraId="2B4BDE11" w14:textId="7E0BB4FF">
      <w:pPr>
        <w:tabs>
          <w:tab w:val="left" w:pos="-720"/>
        </w:tabs>
        <w:suppressAutoHyphens/>
        <w:rPr>
          <w:sz w:val="24"/>
        </w:rPr>
      </w:pPr>
      <w:r>
        <w:rPr>
          <w:sz w:val="24"/>
        </w:rPr>
        <w:tab/>
      </w:r>
      <w:r>
        <w:rPr>
          <w:sz w:val="24"/>
        </w:rPr>
        <w:tab/>
      </w:r>
      <w:r>
        <w:rPr>
          <w:sz w:val="24"/>
        </w:rPr>
        <w:tab/>
      </w:r>
      <w:r w:rsidR="00945B4D">
        <w:rPr>
          <w:sz w:val="24"/>
        </w:rPr>
        <w:t>5</w:t>
      </w:r>
      <w:r>
        <w:rPr>
          <w:sz w:val="24"/>
        </w:rPr>
        <w:t xml:space="preserve"> hrs. x $40 per hr. = $</w:t>
      </w:r>
      <w:r w:rsidR="00945B4D">
        <w:rPr>
          <w:sz w:val="24"/>
        </w:rPr>
        <w:t>200</w:t>
      </w:r>
      <w:r>
        <w:rPr>
          <w:sz w:val="24"/>
        </w:rPr>
        <w:t xml:space="preserve"> (In House Costs</w:t>
      </w:r>
      <w:r w:rsidRPr="004426E5">
        <w:rPr>
          <w:sz w:val="24"/>
        </w:rPr>
        <w:t>)</w:t>
      </w:r>
    </w:p>
    <w:p w:rsidR="00446457" w:rsidP="00446457" w14:paraId="1892F4A4" w14:textId="77777777">
      <w:pPr>
        <w:tabs>
          <w:tab w:val="left" w:pos="-720"/>
        </w:tabs>
        <w:suppressAutoHyphens/>
        <w:rPr>
          <w:sz w:val="24"/>
        </w:rPr>
      </w:pPr>
    </w:p>
    <w:p w:rsidR="00446457" w:rsidRPr="006A7996" w:rsidP="00446457" w14:paraId="58BFEF79" w14:textId="77777777">
      <w:pPr>
        <w:pStyle w:val="BodyText"/>
        <w:rPr>
          <w:b/>
          <w:bCs/>
          <w:szCs w:val="24"/>
        </w:rPr>
      </w:pPr>
      <w:r w:rsidRPr="00F73725">
        <w:t xml:space="preserve">13. </w:t>
      </w:r>
      <w:r w:rsidRPr="006A7996">
        <w:rPr>
          <w:b/>
          <w:szCs w:val="24"/>
          <w:u w:val="single"/>
        </w:rPr>
        <w:t>Estimate of the Total Annual Cost Burden to Respondents or Recordkeepers</w:t>
      </w:r>
    </w:p>
    <w:p w:rsidR="00446457" w:rsidP="00446457" w14:paraId="5652E220" w14:textId="77777777">
      <w:pPr>
        <w:pStyle w:val="BodyText"/>
      </w:pPr>
    </w:p>
    <w:p w:rsidR="00446457" w:rsidP="00446457" w14:paraId="44B9D86A" w14:textId="77777777">
      <w:pPr>
        <w:pStyle w:val="BodyText"/>
      </w:pPr>
      <w:r>
        <w:t>(a).  T</w:t>
      </w:r>
      <w:r w:rsidRPr="004F5F3E">
        <w:t xml:space="preserve">otal </w:t>
      </w:r>
      <w:r>
        <w:t>C</w:t>
      </w:r>
      <w:r w:rsidRPr="004F5F3E">
        <w:t xml:space="preserve">apital and </w:t>
      </w:r>
      <w:r>
        <w:t>S</w:t>
      </w:r>
      <w:r w:rsidRPr="004F5F3E">
        <w:t xml:space="preserve">tart-up </w:t>
      </w:r>
      <w:r>
        <w:t>C</w:t>
      </w:r>
      <w:r w:rsidRPr="004F5F3E">
        <w:t>ost</w:t>
      </w:r>
      <w:r>
        <w:t xml:space="preserve">. </w:t>
      </w:r>
      <w:r w:rsidRPr="00E3341E">
        <w:t xml:space="preserve"> </w:t>
      </w:r>
      <w:r>
        <w:t>None.</w:t>
      </w:r>
    </w:p>
    <w:p w:rsidR="00446457" w:rsidP="00446457" w14:paraId="28B03ED7" w14:textId="77777777">
      <w:pPr>
        <w:pStyle w:val="BodyText"/>
      </w:pPr>
      <w:r>
        <w:tab/>
      </w:r>
    </w:p>
    <w:p w:rsidR="00446457" w:rsidP="00446457" w14:paraId="0C6779E7" w14:textId="77777777">
      <w:pPr>
        <w:pStyle w:val="BodyText"/>
      </w:pPr>
      <w:r>
        <w:t xml:space="preserve">(b).  Total operation and maintenance </w:t>
      </w:r>
      <w:r w:rsidRPr="00F73725">
        <w:t>costs</w:t>
      </w:r>
      <w:r>
        <w:t xml:space="preserve">:  </w:t>
      </w:r>
    </w:p>
    <w:p w:rsidR="00446457" w:rsidP="00446457" w14:paraId="78BC4471" w14:textId="77777777">
      <w:pPr>
        <w:pStyle w:val="BodyText"/>
      </w:pPr>
    </w:p>
    <w:p w:rsidR="00446457" w:rsidP="00446457" w14:paraId="699AA5B9" w14:textId="7AAFA094">
      <w:pPr>
        <w:pStyle w:val="BodyText"/>
      </w:pPr>
      <w:r>
        <w:t>For this collection, we estimate</w:t>
      </w:r>
      <w:r w:rsidRPr="00F73725">
        <w:t xml:space="preserve"> that </w:t>
      </w:r>
      <w:r>
        <w:t xml:space="preserve">roughly half of the respondents will use outside legal assistance to prepare and file their applications.  We estimate that respondents pay outside legal assistance approximately $300 per hour for their assistance.  The paperwork burden for each DNC-NEW application is 3 hours.  Therefore, </w:t>
      </w:r>
      <w:r w:rsidR="004A6950">
        <w:t>1</w:t>
      </w:r>
      <w:r>
        <w:t xml:space="preserve"> applications x 3 hrs. each x $300 per hr. = </w:t>
      </w:r>
      <w:r w:rsidRPr="002D668F">
        <w:rPr>
          <w:b/>
          <w:bCs/>
        </w:rPr>
        <w:t>$</w:t>
      </w:r>
      <w:r w:rsidRPr="002D668F" w:rsidR="00FC3351">
        <w:rPr>
          <w:b/>
          <w:bCs/>
        </w:rPr>
        <w:t>900</w:t>
      </w:r>
      <w:r>
        <w:t>.</w:t>
      </w:r>
    </w:p>
    <w:p w:rsidR="00446457" w:rsidP="00446457" w14:paraId="6CD4A204" w14:textId="77777777">
      <w:pPr>
        <w:pStyle w:val="BodyText"/>
      </w:pPr>
    </w:p>
    <w:p w:rsidR="00446457" w:rsidRPr="000F7724" w:rsidP="00446457" w14:paraId="34585E4D" w14:textId="39BED2C6">
      <w:pPr>
        <w:tabs>
          <w:tab w:val="left" w:pos="-720"/>
        </w:tabs>
        <w:suppressAutoHyphens/>
        <w:rPr>
          <w:sz w:val="24"/>
        </w:rPr>
      </w:pPr>
      <w:r w:rsidRPr="00172954">
        <w:rPr>
          <w:sz w:val="24"/>
        </w:rPr>
        <w:t>The Commission adopted a new schedule of application fees in 2020.</w:t>
      </w:r>
      <w:r>
        <w:rPr>
          <w:rStyle w:val="FootnoteReference"/>
          <w:sz w:val="24"/>
        </w:rPr>
        <w:footnoteReference w:id="11"/>
      </w:r>
      <w:r>
        <w:rPr>
          <w:sz w:val="24"/>
        </w:rPr>
        <w:t xml:space="preserve"> </w:t>
      </w:r>
      <w:r w:rsidRPr="00172954">
        <w:rPr>
          <w:sz w:val="24"/>
        </w:rPr>
        <w:t xml:space="preserve"> </w:t>
      </w:r>
      <w:r w:rsidRPr="000F7724">
        <w:rPr>
          <w:sz w:val="24"/>
          <w:szCs w:val="24"/>
        </w:rPr>
        <w:t>The new fees for DNC applications are as follows:</w:t>
      </w:r>
    </w:p>
    <w:p w:rsidR="00446457" w:rsidRPr="000F7724" w:rsidP="00446457" w14:paraId="3D268AB6" w14:textId="77777777">
      <w:pPr>
        <w:rPr>
          <w:sz w:val="24"/>
          <w:szCs w:val="24"/>
        </w:rPr>
      </w:pPr>
    </w:p>
    <w:p w:rsidR="00446457" w:rsidRPr="000F7724" w:rsidP="00446457" w14:paraId="0AA440B0" w14:textId="77777777">
      <w:pPr>
        <w:rPr>
          <w:sz w:val="24"/>
          <w:szCs w:val="24"/>
        </w:rPr>
      </w:pPr>
      <w:r w:rsidRPr="000F7724">
        <w:rPr>
          <w:sz w:val="24"/>
          <w:szCs w:val="24"/>
        </w:rPr>
        <w:t xml:space="preserve">DNC-NEW: </w:t>
      </w:r>
      <w:r w:rsidRPr="000F7724">
        <w:t xml:space="preserve"> </w:t>
      </w:r>
      <w:r w:rsidRPr="000F7724">
        <w:rPr>
          <w:sz w:val="24"/>
          <w:szCs w:val="24"/>
        </w:rPr>
        <w:t>$785 (a new fee</w:t>
      </w:r>
      <w:r w:rsidRPr="000F7724">
        <w:rPr>
          <w:sz w:val="24"/>
        </w:rPr>
        <w:t>)</w:t>
      </w:r>
    </w:p>
    <w:p w:rsidR="00446457" w:rsidRPr="000F7724" w:rsidP="00446457" w14:paraId="5A5247DF" w14:textId="77777777">
      <w:pPr>
        <w:rPr>
          <w:sz w:val="24"/>
          <w:szCs w:val="24"/>
        </w:rPr>
      </w:pPr>
    </w:p>
    <w:p w:rsidR="00446457" w:rsidRPr="000F7724" w:rsidP="00446457" w14:paraId="219C2F19" w14:textId="77777777">
      <w:pPr>
        <w:rPr>
          <w:sz w:val="24"/>
          <w:szCs w:val="24"/>
        </w:rPr>
      </w:pPr>
      <w:r w:rsidRPr="000F7724">
        <w:rPr>
          <w:sz w:val="24"/>
          <w:szCs w:val="24"/>
        </w:rPr>
        <w:t>Accordingly, the annual costs associated with these applications are as follows:</w:t>
      </w:r>
    </w:p>
    <w:p w:rsidR="00446457" w:rsidRPr="000F7724" w:rsidP="00446457" w14:paraId="7FC799EF" w14:textId="77777777">
      <w:pPr>
        <w:rPr>
          <w:sz w:val="24"/>
          <w:szCs w:val="24"/>
        </w:rPr>
      </w:pPr>
    </w:p>
    <w:p w:rsidR="00446457" w:rsidP="00F639A0" w14:paraId="6D6EFBD5" w14:textId="7A1DB024">
      <w:pPr>
        <w:rPr>
          <w:sz w:val="24"/>
        </w:rPr>
      </w:pPr>
      <w:r w:rsidRPr="000F7724">
        <w:rPr>
          <w:sz w:val="24"/>
          <w:szCs w:val="24"/>
        </w:rPr>
        <w:t xml:space="preserve">DNC-NEW:  </w:t>
      </w:r>
      <w:r w:rsidR="00FC3351">
        <w:rPr>
          <w:sz w:val="24"/>
          <w:szCs w:val="24"/>
        </w:rPr>
        <w:t>2</w:t>
      </w:r>
      <w:r w:rsidRPr="000F7724">
        <w:rPr>
          <w:sz w:val="24"/>
          <w:szCs w:val="24"/>
        </w:rPr>
        <w:t xml:space="preserve"> applications x $785 per application = $</w:t>
      </w:r>
      <w:r w:rsidR="00CA1ED1">
        <w:rPr>
          <w:sz w:val="24"/>
          <w:szCs w:val="24"/>
        </w:rPr>
        <w:t>1,570</w:t>
      </w:r>
    </w:p>
    <w:p w:rsidR="00446457" w:rsidRPr="00EE0453" w:rsidP="00446457" w14:paraId="55C004ED" w14:textId="77777777">
      <w:pPr>
        <w:rPr>
          <w:b/>
          <w:bCs/>
          <w:sz w:val="24"/>
          <w:szCs w:val="24"/>
        </w:rPr>
      </w:pPr>
    </w:p>
    <w:p w:rsidR="00446457" w:rsidP="00446457" w14:paraId="4289DD53" w14:textId="77777777">
      <w:pPr>
        <w:tabs>
          <w:tab w:val="left" w:pos="-720"/>
        </w:tabs>
        <w:suppressAutoHyphens/>
        <w:rPr>
          <w:sz w:val="24"/>
        </w:rPr>
      </w:pPr>
      <w:r>
        <w:rPr>
          <w:sz w:val="24"/>
        </w:rPr>
        <w:t xml:space="preserve">  (c).   </w:t>
      </w:r>
      <w:r>
        <w:rPr>
          <w:sz w:val="24"/>
        </w:rPr>
        <w:tab/>
        <w:t>Total annual costs.</w:t>
      </w:r>
    </w:p>
    <w:p w:rsidR="00446457" w:rsidP="00446457" w14:paraId="3DFCA234" w14:textId="77777777">
      <w:pPr>
        <w:tabs>
          <w:tab w:val="left" w:pos="-720"/>
        </w:tabs>
        <w:suppressAutoHyphens/>
        <w:rPr>
          <w:sz w:val="24"/>
        </w:rPr>
      </w:pPr>
    </w:p>
    <w:p w:rsidR="00446457" w:rsidP="00446457" w14:paraId="1FE771B2" w14:textId="7DFDC9C6">
      <w:pPr>
        <w:tabs>
          <w:tab w:val="left" w:pos="-720"/>
        </w:tabs>
        <w:suppressAutoHyphens/>
        <w:rPr>
          <w:b/>
          <w:sz w:val="24"/>
        </w:rPr>
      </w:pPr>
      <w:r>
        <w:rPr>
          <w:sz w:val="24"/>
        </w:rPr>
        <w:t>$</w:t>
      </w:r>
      <w:r w:rsidR="005C7491">
        <w:rPr>
          <w:sz w:val="24"/>
        </w:rPr>
        <w:t>900</w:t>
      </w:r>
      <w:r>
        <w:rPr>
          <w:sz w:val="24"/>
        </w:rPr>
        <w:t xml:space="preserve"> (outside counsel costs) + $</w:t>
      </w:r>
      <w:r w:rsidR="00EA626C">
        <w:rPr>
          <w:sz w:val="24"/>
        </w:rPr>
        <w:t>1,570</w:t>
      </w:r>
      <w:r>
        <w:rPr>
          <w:sz w:val="24"/>
        </w:rPr>
        <w:t xml:space="preserve"> (application fees) = </w:t>
      </w:r>
      <w:r w:rsidRPr="00AC5AC7">
        <w:rPr>
          <w:b/>
          <w:sz w:val="24"/>
        </w:rPr>
        <w:t>$</w:t>
      </w:r>
      <w:r w:rsidR="007A7649">
        <w:rPr>
          <w:b/>
          <w:sz w:val="24"/>
        </w:rPr>
        <w:t>2,</w:t>
      </w:r>
      <w:r w:rsidR="00EA1448">
        <w:rPr>
          <w:b/>
          <w:sz w:val="24"/>
        </w:rPr>
        <w:t>4</w:t>
      </w:r>
      <w:r w:rsidR="007A7649">
        <w:rPr>
          <w:b/>
          <w:sz w:val="24"/>
        </w:rPr>
        <w:t>70</w:t>
      </w:r>
      <w:r>
        <w:rPr>
          <w:b/>
          <w:sz w:val="24"/>
        </w:rPr>
        <w:t xml:space="preserve"> (for DNC -NEW)</w:t>
      </w:r>
    </w:p>
    <w:p w:rsidR="00446457" w:rsidP="00446457" w14:paraId="0D01741D" w14:textId="4B00FBF1">
      <w:pPr>
        <w:tabs>
          <w:tab w:val="left" w:pos="-720"/>
        </w:tabs>
        <w:suppressAutoHyphens/>
        <w:rPr>
          <w:sz w:val="24"/>
        </w:rPr>
      </w:pPr>
    </w:p>
    <w:p w:rsidR="00446457" w:rsidRPr="008F0F15" w:rsidP="00446457" w14:paraId="0BD023BA" w14:textId="77777777">
      <w:pPr>
        <w:tabs>
          <w:tab w:val="left" w:pos="-720"/>
        </w:tabs>
        <w:suppressAutoHyphens/>
        <w:rPr>
          <w:sz w:val="24"/>
          <w:szCs w:val="24"/>
        </w:rPr>
      </w:pPr>
      <w:r w:rsidRPr="008F0F15">
        <w:rPr>
          <w:sz w:val="24"/>
          <w:szCs w:val="24"/>
        </w:rPr>
        <w:t xml:space="preserve">14.   </w:t>
      </w:r>
      <w:r w:rsidRPr="008F0F15">
        <w:rPr>
          <w:b/>
          <w:sz w:val="24"/>
          <w:szCs w:val="24"/>
          <w:u w:val="single"/>
        </w:rPr>
        <w:t>Estimates of Annualized Cost to</w:t>
      </w:r>
      <w:r w:rsidRPr="004426E5">
        <w:rPr>
          <w:b/>
          <w:sz w:val="24"/>
          <w:u w:val="single"/>
        </w:rPr>
        <w:t xml:space="preserve"> the </w:t>
      </w:r>
      <w:r w:rsidRPr="008F0F15">
        <w:rPr>
          <w:b/>
          <w:sz w:val="24"/>
          <w:szCs w:val="24"/>
          <w:u w:val="single"/>
        </w:rPr>
        <w:t>Federal Government</w:t>
      </w:r>
    </w:p>
    <w:p w:rsidR="00446457" w:rsidRPr="008F0F15" w:rsidP="00446457" w14:paraId="50562268" w14:textId="77777777">
      <w:pPr>
        <w:tabs>
          <w:tab w:val="left" w:pos="-1440"/>
          <w:tab w:val="left" w:pos="-720"/>
          <w:tab w:val="left" w:pos="720"/>
        </w:tabs>
        <w:suppressAutoHyphens/>
        <w:rPr>
          <w:sz w:val="24"/>
          <w:szCs w:val="24"/>
        </w:rPr>
      </w:pPr>
    </w:p>
    <w:p w:rsidR="00446457" w:rsidRPr="008F0F15" w:rsidP="00446457" w14:paraId="1372BDA3" w14:textId="0BE8D67C">
      <w:pPr>
        <w:tabs>
          <w:tab w:val="left" w:pos="-1440"/>
          <w:tab w:val="left" w:pos="-720"/>
          <w:tab w:val="left" w:pos="720"/>
        </w:tabs>
        <w:suppressAutoHyphens/>
        <w:rPr>
          <w:sz w:val="24"/>
          <w:szCs w:val="24"/>
        </w:rPr>
      </w:pPr>
      <w:r w:rsidRPr="008F0F15">
        <w:rPr>
          <w:sz w:val="24"/>
          <w:szCs w:val="24"/>
        </w:rPr>
        <w:tab/>
        <w:t xml:space="preserve">The cost-based </w:t>
      </w:r>
      <w:r w:rsidR="00920A45">
        <w:rPr>
          <w:sz w:val="24"/>
          <w:szCs w:val="24"/>
        </w:rPr>
        <w:t xml:space="preserve">application </w:t>
      </w:r>
      <w:r w:rsidRPr="008F0F15">
        <w:rPr>
          <w:sz w:val="24"/>
          <w:szCs w:val="24"/>
        </w:rPr>
        <w:t xml:space="preserve">fees that the Commission adopted for DNIC applications are provided in item 13 above.  The fee indicated is a reflection of the cost incurred by the </w:t>
      </w:r>
      <w:r w:rsidRPr="008F0F15">
        <w:rPr>
          <w:sz w:val="24"/>
          <w:szCs w:val="24"/>
        </w:rPr>
        <w:t xml:space="preserve">Commission for review of that application.  As the Commission stated in the </w:t>
      </w:r>
      <w:r w:rsidRPr="00F639A0">
        <w:rPr>
          <w:i/>
          <w:sz w:val="24"/>
          <w:szCs w:val="24"/>
        </w:rPr>
        <w:t xml:space="preserve">2020 Application Fees </w:t>
      </w:r>
      <w:r w:rsidR="005B4BC8">
        <w:rPr>
          <w:i/>
          <w:iCs/>
          <w:sz w:val="24"/>
          <w:szCs w:val="24"/>
        </w:rPr>
        <w:t xml:space="preserve">Notice </w:t>
      </w:r>
      <w:r w:rsidR="005B4BC8">
        <w:rPr>
          <w:sz w:val="24"/>
          <w:szCs w:val="24"/>
        </w:rPr>
        <w:t>(</w:t>
      </w:r>
      <w:r w:rsidRPr="0018589B" w:rsidR="005B4BC8">
        <w:rPr>
          <w:sz w:val="24"/>
          <w:szCs w:val="24"/>
        </w:rPr>
        <w:t xml:space="preserve">and adopted in the </w:t>
      </w:r>
      <w:r w:rsidRPr="00172954" w:rsidR="005B4BC8">
        <w:rPr>
          <w:i/>
          <w:iCs/>
          <w:sz w:val="24"/>
          <w:szCs w:val="24"/>
        </w:rPr>
        <w:t>2020 Application Fee</w:t>
      </w:r>
      <w:r w:rsidR="005B4BC8">
        <w:rPr>
          <w:i/>
          <w:iCs/>
          <w:sz w:val="24"/>
          <w:szCs w:val="24"/>
        </w:rPr>
        <w:t>s</w:t>
      </w:r>
      <w:r w:rsidRPr="00172954" w:rsidR="005B4BC8">
        <w:rPr>
          <w:i/>
          <w:iCs/>
          <w:sz w:val="24"/>
          <w:szCs w:val="24"/>
        </w:rPr>
        <w:t xml:space="preserve"> Report and Order</w:t>
      </w:r>
      <w:r w:rsidRPr="00172954" w:rsidR="005B4BC8">
        <w:rPr>
          <w:sz w:val="24"/>
          <w:szCs w:val="24"/>
        </w:rPr>
        <w:t>)</w:t>
      </w:r>
      <w:r w:rsidRPr="008F0F15">
        <w:rPr>
          <w:sz w:val="24"/>
          <w:szCs w:val="24"/>
        </w:rPr>
        <w:t>, review of all DNIC applications includes industry analyst processing and review, staff attorney review, and supervisory review.</w:t>
      </w:r>
      <w:r w:rsidRPr="005B4BC8" w:rsidR="005B4BC8">
        <w:rPr>
          <w:rStyle w:val="FootnoteReference"/>
          <w:sz w:val="24"/>
          <w:szCs w:val="24"/>
        </w:rPr>
        <w:t xml:space="preserve"> </w:t>
      </w:r>
      <w:r>
        <w:rPr>
          <w:rStyle w:val="FootnoteReference"/>
          <w:sz w:val="24"/>
          <w:szCs w:val="24"/>
        </w:rPr>
        <w:footnoteReference w:id="12"/>
      </w:r>
      <w:r w:rsidRPr="008F0F15" w:rsidR="005B4BC8">
        <w:rPr>
          <w:sz w:val="24"/>
          <w:szCs w:val="24"/>
        </w:rPr>
        <w:t xml:space="preserve"> </w:t>
      </w:r>
      <w:r w:rsidRPr="008F0F15">
        <w:rPr>
          <w:sz w:val="24"/>
          <w:szCs w:val="24"/>
        </w:rPr>
        <w:t xml:space="preserve"> The Commission’s resources to process a typical new DNIC application consist of the following (generally): industry analyst processing and review (GS-11/Step 5 employee), staff attorney review (GS-14/Step 5 employee), and supervisory review (GS-15/Step 5 employee).</w:t>
      </w:r>
    </w:p>
    <w:p w:rsidR="00446457" w:rsidRPr="00C8209D" w:rsidP="00446457" w14:paraId="774A4343" w14:textId="77777777">
      <w:pPr>
        <w:tabs>
          <w:tab w:val="left" w:pos="-1440"/>
          <w:tab w:val="left" w:pos="-720"/>
          <w:tab w:val="left" w:pos="720"/>
        </w:tabs>
        <w:suppressAutoHyphens/>
        <w:rPr>
          <w:sz w:val="22"/>
          <w:szCs w:val="22"/>
        </w:rPr>
      </w:pPr>
      <w:r w:rsidRPr="00C8209D">
        <w:rPr>
          <w:sz w:val="22"/>
          <w:szCs w:val="22"/>
        </w:rPr>
        <w:t xml:space="preserve">   </w:t>
      </w:r>
    </w:p>
    <w:p w:rsidR="00446457" w:rsidP="00446457" w14:paraId="77034777" w14:textId="77777777">
      <w:pPr>
        <w:tabs>
          <w:tab w:val="left" w:pos="-720"/>
        </w:tabs>
        <w:suppressAutoHyphens/>
        <w:rPr>
          <w:sz w:val="24"/>
        </w:rPr>
      </w:pPr>
    </w:p>
    <w:tbl>
      <w:tblPr>
        <w:tblW w:w="10042" w:type="dxa"/>
        <w:tblInd w:w="120" w:type="dxa"/>
        <w:tblLayout w:type="fixed"/>
        <w:tblCellMar>
          <w:left w:w="120" w:type="dxa"/>
          <w:right w:w="120" w:type="dxa"/>
        </w:tblCellMar>
        <w:tblLook w:val="0000"/>
      </w:tblPr>
      <w:tblGrid>
        <w:gridCol w:w="1582"/>
        <w:gridCol w:w="1170"/>
        <w:gridCol w:w="990"/>
        <w:gridCol w:w="990"/>
        <w:gridCol w:w="1800"/>
        <w:gridCol w:w="3510"/>
      </w:tblGrid>
      <w:tr w14:paraId="3D90DAA4" w14:textId="77777777" w:rsidTr="00BD32E7">
        <w:tblPrEx>
          <w:tblW w:w="10042" w:type="dxa"/>
          <w:tblInd w:w="120" w:type="dxa"/>
          <w:tblLayout w:type="fixed"/>
          <w:tblCellMar>
            <w:left w:w="120" w:type="dxa"/>
            <w:right w:w="120" w:type="dxa"/>
          </w:tblCellMar>
          <w:tblLook w:val="0000"/>
        </w:tblPrEx>
        <w:trPr>
          <w:trHeight w:val="881"/>
        </w:trPr>
        <w:tc>
          <w:tcPr>
            <w:tcW w:w="1582" w:type="dxa"/>
            <w:tcBorders>
              <w:top w:val="double" w:sz="2" w:space="0" w:color="auto"/>
              <w:left w:val="double" w:sz="2" w:space="0" w:color="auto"/>
              <w:bottom w:val="double" w:sz="2" w:space="0" w:color="auto"/>
            </w:tcBorders>
          </w:tcPr>
          <w:p w:rsidR="002D668F" w14:paraId="53D9903F" w14:textId="77777777">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Federal Government Staff</w:t>
            </w:r>
          </w:p>
        </w:tc>
        <w:tc>
          <w:tcPr>
            <w:tcW w:w="1170" w:type="dxa"/>
            <w:tcBorders>
              <w:top w:val="double" w:sz="2" w:space="0" w:color="auto"/>
              <w:left w:val="double" w:sz="7" w:space="0" w:color="auto"/>
              <w:bottom w:val="double" w:sz="2" w:space="0" w:color="auto"/>
            </w:tcBorders>
          </w:tcPr>
          <w:p w:rsidR="002D668F" w14:paraId="5C7FB001" w14:textId="77777777">
            <w:pPr>
              <w:tabs>
                <w:tab w:val="left" w:pos="-720"/>
              </w:tabs>
              <w:suppressAutoHyphens/>
              <w:spacing w:before="90" w:after="54"/>
              <w:jc w:val="center"/>
              <w:rPr>
                <w:sz w:val="24"/>
              </w:rPr>
            </w:pPr>
            <w:r>
              <w:rPr>
                <w:sz w:val="24"/>
              </w:rPr>
              <w:t>No.  of Responses</w:t>
            </w:r>
          </w:p>
        </w:tc>
        <w:tc>
          <w:tcPr>
            <w:tcW w:w="990" w:type="dxa"/>
            <w:tcBorders>
              <w:top w:val="double" w:sz="2" w:space="0" w:color="auto"/>
              <w:left w:val="single" w:sz="7" w:space="0" w:color="auto"/>
              <w:bottom w:val="double" w:sz="2" w:space="0" w:color="auto"/>
            </w:tcBorders>
          </w:tcPr>
          <w:p w:rsidR="002D668F" w14:paraId="298FFE84" w14:textId="77777777">
            <w:pPr>
              <w:tabs>
                <w:tab w:val="left" w:pos="-720"/>
              </w:tabs>
              <w:suppressAutoHyphens/>
              <w:spacing w:before="90"/>
              <w:jc w:val="center"/>
              <w:rPr>
                <w:sz w:val="24"/>
              </w:rPr>
            </w:pPr>
            <w:r>
              <w:rPr>
                <w:sz w:val="24"/>
              </w:rPr>
              <w:t>Burden</w:t>
            </w:r>
          </w:p>
          <w:p w:rsidR="002D668F" w14:paraId="1423D3DD" w14:textId="77777777">
            <w:pPr>
              <w:tabs>
                <w:tab w:val="left" w:pos="-720"/>
              </w:tabs>
              <w:suppressAutoHyphens/>
              <w:spacing w:after="54"/>
              <w:jc w:val="center"/>
              <w:rPr>
                <w:sz w:val="24"/>
              </w:rPr>
            </w:pPr>
            <w:r>
              <w:rPr>
                <w:sz w:val="24"/>
              </w:rPr>
              <w:t>Hours</w:t>
            </w:r>
          </w:p>
        </w:tc>
        <w:tc>
          <w:tcPr>
            <w:tcW w:w="990" w:type="dxa"/>
            <w:tcBorders>
              <w:top w:val="double" w:sz="2" w:space="0" w:color="auto"/>
              <w:left w:val="single" w:sz="7" w:space="0" w:color="auto"/>
              <w:bottom w:val="double" w:sz="2" w:space="0" w:color="auto"/>
            </w:tcBorders>
          </w:tcPr>
          <w:p w:rsidR="002D668F" w14:paraId="3D838AD2" w14:textId="77777777">
            <w:pPr>
              <w:tabs>
                <w:tab w:val="left" w:pos="-720"/>
              </w:tabs>
              <w:suppressAutoHyphens/>
              <w:spacing w:before="90" w:after="54"/>
              <w:jc w:val="center"/>
              <w:rPr>
                <w:sz w:val="24"/>
              </w:rPr>
            </w:pPr>
            <w:r>
              <w:rPr>
                <w:sz w:val="24"/>
              </w:rPr>
              <w:t>Total Hours</w:t>
            </w:r>
          </w:p>
        </w:tc>
        <w:tc>
          <w:tcPr>
            <w:tcW w:w="1800" w:type="dxa"/>
            <w:tcBorders>
              <w:top w:val="double" w:sz="2" w:space="0" w:color="auto"/>
              <w:left w:val="single" w:sz="7" w:space="0" w:color="auto"/>
              <w:bottom w:val="double" w:sz="2" w:space="0" w:color="auto"/>
            </w:tcBorders>
          </w:tcPr>
          <w:p w:rsidR="002D668F" w14:paraId="7A716357" w14:textId="77777777">
            <w:pPr>
              <w:tabs>
                <w:tab w:val="left" w:pos="-720"/>
              </w:tabs>
              <w:suppressAutoHyphens/>
              <w:spacing w:before="90" w:after="54"/>
              <w:rPr>
                <w:sz w:val="24"/>
              </w:rPr>
            </w:pPr>
            <w:r>
              <w:rPr>
                <w:sz w:val="24"/>
              </w:rPr>
              <w:t>Salary per/hour</w:t>
            </w:r>
          </w:p>
        </w:tc>
        <w:tc>
          <w:tcPr>
            <w:tcW w:w="3510" w:type="dxa"/>
            <w:tcBorders>
              <w:top w:val="double" w:sz="2" w:space="0" w:color="auto"/>
              <w:left w:val="single" w:sz="7" w:space="0" w:color="auto"/>
              <w:bottom w:val="double" w:sz="2" w:space="0" w:color="auto"/>
              <w:right w:val="double" w:sz="2" w:space="0" w:color="auto"/>
            </w:tcBorders>
          </w:tcPr>
          <w:p w:rsidR="002D668F" w14:paraId="07A7706E" w14:textId="77777777">
            <w:pPr>
              <w:tabs>
                <w:tab w:val="left" w:pos="-720"/>
              </w:tabs>
              <w:suppressAutoHyphens/>
              <w:spacing w:before="90" w:after="54"/>
              <w:jc w:val="center"/>
              <w:rPr>
                <w:sz w:val="24"/>
              </w:rPr>
            </w:pPr>
            <w:r>
              <w:rPr>
                <w:sz w:val="24"/>
              </w:rPr>
              <w:t>Total costs</w:t>
            </w:r>
          </w:p>
        </w:tc>
      </w:tr>
      <w:tr w14:paraId="586B7113" w14:textId="77777777" w:rsidTr="00BD32E7">
        <w:tblPrEx>
          <w:tblW w:w="10042" w:type="dxa"/>
          <w:tblInd w:w="120" w:type="dxa"/>
          <w:tblLayout w:type="fixed"/>
          <w:tblCellMar>
            <w:left w:w="120" w:type="dxa"/>
            <w:right w:w="120" w:type="dxa"/>
          </w:tblCellMar>
          <w:tblLook w:val="0000"/>
        </w:tblPrEx>
        <w:trPr>
          <w:trHeight w:val="467"/>
        </w:trPr>
        <w:tc>
          <w:tcPr>
            <w:tcW w:w="1582" w:type="dxa"/>
            <w:tcBorders>
              <w:top w:val="double" w:sz="2" w:space="0" w:color="auto"/>
              <w:left w:val="double" w:sz="2" w:space="0" w:color="auto"/>
              <w:bottom w:val="double" w:sz="2" w:space="0" w:color="auto"/>
            </w:tcBorders>
            <w:vAlign w:val="center"/>
          </w:tcPr>
          <w:p w:rsidR="002D668F" w14:paraId="7920A5A2" w14:textId="77777777">
            <w:pPr>
              <w:tabs>
                <w:tab w:val="left" w:pos="-720"/>
              </w:tabs>
              <w:suppressAutoHyphens/>
              <w:spacing w:before="90" w:after="54"/>
              <w:jc w:val="center"/>
              <w:rPr>
                <w:sz w:val="24"/>
              </w:rPr>
            </w:pPr>
            <w:r w:rsidRPr="00C8209D">
              <w:rPr>
                <w:color w:val="000000"/>
                <w:sz w:val="22"/>
                <w:szCs w:val="22"/>
              </w:rPr>
              <w:t>GS-15/Step 5 Attorney</w:t>
            </w:r>
            <w:r>
              <w:rPr>
                <w:color w:val="000000"/>
                <w:sz w:val="22"/>
                <w:szCs w:val="22"/>
              </w:rPr>
              <w:t xml:space="preserve"> (1)</w:t>
            </w:r>
          </w:p>
        </w:tc>
        <w:tc>
          <w:tcPr>
            <w:tcW w:w="1170" w:type="dxa"/>
            <w:tcBorders>
              <w:top w:val="double" w:sz="2" w:space="0" w:color="auto"/>
              <w:left w:val="double" w:sz="7" w:space="0" w:color="auto"/>
              <w:bottom w:val="double" w:sz="2" w:space="0" w:color="auto"/>
            </w:tcBorders>
          </w:tcPr>
          <w:p w:rsidR="002D668F" w14:paraId="747F32CE" w14:textId="785533A0">
            <w:pPr>
              <w:tabs>
                <w:tab w:val="left" w:pos="-720"/>
              </w:tabs>
              <w:suppressAutoHyphens/>
              <w:spacing w:before="90" w:after="54"/>
              <w:jc w:val="center"/>
              <w:rPr>
                <w:sz w:val="24"/>
              </w:rPr>
            </w:pPr>
            <w:r>
              <w:rPr>
                <w:sz w:val="24"/>
              </w:rPr>
              <w:t>2</w:t>
            </w:r>
          </w:p>
        </w:tc>
        <w:tc>
          <w:tcPr>
            <w:tcW w:w="990" w:type="dxa"/>
            <w:tcBorders>
              <w:top w:val="double" w:sz="2" w:space="0" w:color="auto"/>
              <w:left w:val="single" w:sz="7" w:space="0" w:color="auto"/>
              <w:bottom w:val="double" w:sz="2" w:space="0" w:color="auto"/>
            </w:tcBorders>
          </w:tcPr>
          <w:p w:rsidR="002D668F" w14:paraId="4ECD0BE3" w14:textId="77777777">
            <w:pPr>
              <w:tabs>
                <w:tab w:val="left" w:pos="-720"/>
              </w:tabs>
              <w:suppressAutoHyphens/>
              <w:spacing w:before="90" w:after="54"/>
              <w:jc w:val="center"/>
              <w:rPr>
                <w:sz w:val="24"/>
              </w:rPr>
            </w:pPr>
            <w:r>
              <w:rPr>
                <w:sz w:val="24"/>
              </w:rPr>
              <w:t>2</w:t>
            </w:r>
          </w:p>
        </w:tc>
        <w:tc>
          <w:tcPr>
            <w:tcW w:w="990" w:type="dxa"/>
            <w:tcBorders>
              <w:top w:val="double" w:sz="2" w:space="0" w:color="auto"/>
              <w:left w:val="single" w:sz="7" w:space="0" w:color="auto"/>
              <w:bottom w:val="double" w:sz="2" w:space="0" w:color="auto"/>
            </w:tcBorders>
          </w:tcPr>
          <w:p w:rsidR="002D668F" w14:paraId="2B4DD177" w14:textId="77AA8299">
            <w:pPr>
              <w:tabs>
                <w:tab w:val="left" w:pos="-720"/>
              </w:tabs>
              <w:suppressAutoHyphens/>
              <w:spacing w:before="90" w:after="54"/>
              <w:jc w:val="center"/>
              <w:rPr>
                <w:sz w:val="24"/>
              </w:rPr>
            </w:pPr>
            <w:r>
              <w:rPr>
                <w:sz w:val="24"/>
              </w:rPr>
              <w:t>4</w:t>
            </w:r>
          </w:p>
        </w:tc>
        <w:tc>
          <w:tcPr>
            <w:tcW w:w="1800" w:type="dxa"/>
            <w:tcBorders>
              <w:top w:val="double" w:sz="2" w:space="0" w:color="auto"/>
              <w:left w:val="single" w:sz="7" w:space="0" w:color="auto"/>
              <w:bottom w:val="double" w:sz="2" w:space="0" w:color="auto"/>
            </w:tcBorders>
          </w:tcPr>
          <w:p w:rsidR="002D668F" w14:paraId="63699F70" w14:textId="77777777">
            <w:pPr>
              <w:tabs>
                <w:tab w:val="left" w:pos="-720"/>
              </w:tabs>
              <w:suppressAutoHyphens/>
              <w:spacing w:before="90" w:after="54"/>
              <w:jc w:val="center"/>
              <w:rPr>
                <w:sz w:val="24"/>
              </w:rPr>
            </w:pPr>
            <w:r>
              <w:rPr>
                <w:sz w:val="24"/>
              </w:rPr>
              <w:t>$80.63</w:t>
            </w:r>
          </w:p>
        </w:tc>
        <w:tc>
          <w:tcPr>
            <w:tcW w:w="3510" w:type="dxa"/>
            <w:tcBorders>
              <w:top w:val="double" w:sz="2" w:space="0" w:color="auto"/>
              <w:left w:val="single" w:sz="7" w:space="0" w:color="auto"/>
              <w:bottom w:val="double" w:sz="2" w:space="0" w:color="auto"/>
              <w:right w:val="double" w:sz="2" w:space="0" w:color="auto"/>
            </w:tcBorders>
          </w:tcPr>
          <w:p w:rsidR="002D668F" w:rsidRPr="00AC5AC7" w14:paraId="09C7FE17" w14:textId="4CF0B00C">
            <w:pPr>
              <w:tabs>
                <w:tab w:val="left" w:pos="-720"/>
              </w:tabs>
              <w:suppressAutoHyphens/>
              <w:spacing w:before="90" w:after="54"/>
              <w:jc w:val="center"/>
              <w:rPr>
                <w:b/>
                <w:sz w:val="24"/>
              </w:rPr>
            </w:pPr>
            <w:r>
              <w:rPr>
                <w:b/>
                <w:sz w:val="24"/>
              </w:rPr>
              <w:t>$322.52</w:t>
            </w:r>
          </w:p>
        </w:tc>
      </w:tr>
      <w:tr w14:paraId="1E092362" w14:textId="77777777" w:rsidTr="00BD32E7">
        <w:tblPrEx>
          <w:tblW w:w="10042" w:type="dxa"/>
          <w:tblInd w:w="120" w:type="dxa"/>
          <w:tblLayout w:type="fixed"/>
          <w:tblCellMar>
            <w:left w:w="120" w:type="dxa"/>
            <w:right w:w="120" w:type="dxa"/>
          </w:tblCellMar>
          <w:tblLook w:val="0000"/>
        </w:tblPrEx>
        <w:trPr>
          <w:trHeight w:val="467"/>
        </w:trPr>
        <w:tc>
          <w:tcPr>
            <w:tcW w:w="1582" w:type="dxa"/>
            <w:tcBorders>
              <w:top w:val="double" w:sz="2" w:space="0" w:color="auto"/>
              <w:left w:val="double" w:sz="2" w:space="0" w:color="auto"/>
              <w:bottom w:val="double" w:sz="2" w:space="0" w:color="auto"/>
            </w:tcBorders>
            <w:vAlign w:val="center"/>
          </w:tcPr>
          <w:p w:rsidR="002D668F" w14:paraId="2CDDD300" w14:textId="77777777">
            <w:pPr>
              <w:tabs>
                <w:tab w:val="left" w:pos="-720"/>
              </w:tabs>
              <w:suppressAutoHyphens/>
              <w:spacing w:before="90" w:after="54"/>
              <w:jc w:val="center"/>
              <w:rPr>
                <w:sz w:val="24"/>
              </w:rPr>
            </w:pPr>
            <w:r w:rsidRPr="00C8209D">
              <w:rPr>
                <w:color w:val="000000"/>
                <w:sz w:val="22"/>
                <w:szCs w:val="22"/>
              </w:rPr>
              <w:t>GS-14/Step 5 Attorney</w:t>
            </w:r>
            <w:r>
              <w:rPr>
                <w:color w:val="000000"/>
                <w:sz w:val="22"/>
                <w:szCs w:val="22"/>
              </w:rPr>
              <w:t xml:space="preserve"> (1)</w:t>
            </w:r>
          </w:p>
        </w:tc>
        <w:tc>
          <w:tcPr>
            <w:tcW w:w="1170" w:type="dxa"/>
            <w:tcBorders>
              <w:top w:val="double" w:sz="2" w:space="0" w:color="auto"/>
              <w:left w:val="double" w:sz="7" w:space="0" w:color="auto"/>
              <w:bottom w:val="double" w:sz="2" w:space="0" w:color="auto"/>
            </w:tcBorders>
          </w:tcPr>
          <w:p w:rsidR="002D668F" w14:paraId="54F46C75" w14:textId="2088240C">
            <w:pPr>
              <w:tabs>
                <w:tab w:val="left" w:pos="-720"/>
              </w:tabs>
              <w:suppressAutoHyphens/>
              <w:spacing w:before="90" w:after="54"/>
              <w:jc w:val="center"/>
              <w:rPr>
                <w:sz w:val="24"/>
              </w:rPr>
            </w:pPr>
            <w:r>
              <w:rPr>
                <w:sz w:val="24"/>
              </w:rPr>
              <w:t>2</w:t>
            </w:r>
          </w:p>
        </w:tc>
        <w:tc>
          <w:tcPr>
            <w:tcW w:w="990" w:type="dxa"/>
            <w:tcBorders>
              <w:top w:val="double" w:sz="2" w:space="0" w:color="auto"/>
              <w:left w:val="single" w:sz="7" w:space="0" w:color="auto"/>
              <w:bottom w:val="double" w:sz="2" w:space="0" w:color="auto"/>
            </w:tcBorders>
          </w:tcPr>
          <w:p w:rsidR="002D668F" w14:paraId="3FF1ACF4" w14:textId="77777777">
            <w:pPr>
              <w:tabs>
                <w:tab w:val="left" w:pos="-720"/>
              </w:tabs>
              <w:suppressAutoHyphens/>
              <w:spacing w:before="90" w:after="54"/>
              <w:jc w:val="center"/>
              <w:rPr>
                <w:sz w:val="24"/>
              </w:rPr>
            </w:pPr>
            <w:r>
              <w:rPr>
                <w:sz w:val="24"/>
              </w:rPr>
              <w:t>4</w:t>
            </w:r>
          </w:p>
        </w:tc>
        <w:tc>
          <w:tcPr>
            <w:tcW w:w="990" w:type="dxa"/>
            <w:tcBorders>
              <w:top w:val="double" w:sz="2" w:space="0" w:color="auto"/>
              <w:left w:val="single" w:sz="7" w:space="0" w:color="auto"/>
              <w:bottom w:val="double" w:sz="2" w:space="0" w:color="auto"/>
            </w:tcBorders>
          </w:tcPr>
          <w:p w:rsidR="002D668F" w14:paraId="3584EE6C" w14:textId="21DB9590">
            <w:pPr>
              <w:tabs>
                <w:tab w:val="left" w:pos="-720"/>
              </w:tabs>
              <w:suppressAutoHyphens/>
              <w:spacing w:before="90" w:after="54"/>
              <w:jc w:val="center"/>
              <w:rPr>
                <w:sz w:val="24"/>
              </w:rPr>
            </w:pPr>
            <w:r>
              <w:rPr>
                <w:sz w:val="24"/>
              </w:rPr>
              <w:t>8</w:t>
            </w:r>
          </w:p>
        </w:tc>
        <w:tc>
          <w:tcPr>
            <w:tcW w:w="1800" w:type="dxa"/>
            <w:tcBorders>
              <w:top w:val="double" w:sz="2" w:space="0" w:color="auto"/>
              <w:left w:val="single" w:sz="7" w:space="0" w:color="auto"/>
              <w:bottom w:val="double" w:sz="2" w:space="0" w:color="auto"/>
            </w:tcBorders>
          </w:tcPr>
          <w:p w:rsidR="002D668F" w14:paraId="47BB80A6" w14:textId="77777777">
            <w:pPr>
              <w:tabs>
                <w:tab w:val="left" w:pos="-720"/>
              </w:tabs>
              <w:suppressAutoHyphens/>
              <w:spacing w:before="90" w:after="54"/>
              <w:jc w:val="center"/>
              <w:rPr>
                <w:sz w:val="24"/>
              </w:rPr>
            </w:pPr>
            <w:r>
              <w:rPr>
                <w:sz w:val="24"/>
              </w:rPr>
              <w:t>$68.55</w:t>
            </w:r>
          </w:p>
        </w:tc>
        <w:tc>
          <w:tcPr>
            <w:tcW w:w="3510" w:type="dxa"/>
            <w:tcBorders>
              <w:top w:val="double" w:sz="2" w:space="0" w:color="auto"/>
              <w:left w:val="single" w:sz="7" w:space="0" w:color="auto"/>
              <w:bottom w:val="double" w:sz="2" w:space="0" w:color="auto"/>
              <w:right w:val="double" w:sz="2" w:space="0" w:color="auto"/>
            </w:tcBorders>
          </w:tcPr>
          <w:p w:rsidR="002D668F" w:rsidRPr="00AC5AC7" w14:paraId="4ED0097F" w14:textId="2028CB34">
            <w:pPr>
              <w:tabs>
                <w:tab w:val="left" w:pos="-720"/>
              </w:tabs>
              <w:suppressAutoHyphens/>
              <w:spacing w:before="90" w:after="54"/>
              <w:jc w:val="center"/>
              <w:rPr>
                <w:b/>
                <w:sz w:val="24"/>
              </w:rPr>
            </w:pPr>
            <w:r>
              <w:rPr>
                <w:b/>
                <w:sz w:val="24"/>
              </w:rPr>
              <w:t>$548.40</w:t>
            </w:r>
          </w:p>
        </w:tc>
      </w:tr>
      <w:tr w14:paraId="4C2E215B" w14:textId="77777777" w:rsidTr="00BD32E7">
        <w:tblPrEx>
          <w:tblW w:w="10042" w:type="dxa"/>
          <w:tblInd w:w="120" w:type="dxa"/>
          <w:tblLayout w:type="fixed"/>
          <w:tblCellMar>
            <w:left w:w="120" w:type="dxa"/>
            <w:right w:w="120" w:type="dxa"/>
          </w:tblCellMar>
          <w:tblLook w:val="0000"/>
        </w:tblPrEx>
        <w:trPr>
          <w:trHeight w:val="467"/>
        </w:trPr>
        <w:tc>
          <w:tcPr>
            <w:tcW w:w="1582" w:type="dxa"/>
            <w:tcBorders>
              <w:top w:val="double" w:sz="2" w:space="0" w:color="auto"/>
              <w:left w:val="double" w:sz="2" w:space="0" w:color="auto"/>
              <w:bottom w:val="double" w:sz="2" w:space="0" w:color="auto"/>
            </w:tcBorders>
            <w:vAlign w:val="center"/>
          </w:tcPr>
          <w:p w:rsidR="002D668F" w14:paraId="5F9F1CB3" w14:textId="77777777">
            <w:pPr>
              <w:tabs>
                <w:tab w:val="left" w:pos="-720"/>
              </w:tabs>
              <w:suppressAutoHyphens/>
              <w:spacing w:before="90" w:after="54"/>
              <w:jc w:val="center"/>
              <w:rPr>
                <w:sz w:val="24"/>
              </w:rPr>
            </w:pPr>
            <w:r w:rsidRPr="00C8209D">
              <w:rPr>
                <w:color w:val="000000"/>
                <w:sz w:val="22"/>
                <w:szCs w:val="22"/>
              </w:rPr>
              <w:t>GS-11/Step 5 Administrative Assistant</w:t>
            </w:r>
            <w:r>
              <w:rPr>
                <w:color w:val="000000"/>
                <w:sz w:val="22"/>
                <w:szCs w:val="22"/>
              </w:rPr>
              <w:t xml:space="preserve"> (1)</w:t>
            </w:r>
          </w:p>
        </w:tc>
        <w:tc>
          <w:tcPr>
            <w:tcW w:w="1170" w:type="dxa"/>
            <w:tcBorders>
              <w:top w:val="double" w:sz="2" w:space="0" w:color="auto"/>
              <w:left w:val="double" w:sz="7" w:space="0" w:color="auto"/>
              <w:bottom w:val="double" w:sz="2" w:space="0" w:color="auto"/>
            </w:tcBorders>
          </w:tcPr>
          <w:p w:rsidR="002D668F" w14:paraId="761CDE68" w14:textId="6A5E2161">
            <w:pPr>
              <w:tabs>
                <w:tab w:val="left" w:pos="-720"/>
              </w:tabs>
              <w:suppressAutoHyphens/>
              <w:spacing w:before="90" w:after="54"/>
              <w:jc w:val="center"/>
              <w:rPr>
                <w:sz w:val="24"/>
              </w:rPr>
            </w:pPr>
            <w:r>
              <w:rPr>
                <w:sz w:val="24"/>
              </w:rPr>
              <w:t>2</w:t>
            </w:r>
          </w:p>
        </w:tc>
        <w:tc>
          <w:tcPr>
            <w:tcW w:w="990" w:type="dxa"/>
            <w:tcBorders>
              <w:top w:val="double" w:sz="2" w:space="0" w:color="auto"/>
              <w:left w:val="single" w:sz="7" w:space="0" w:color="auto"/>
              <w:bottom w:val="double" w:sz="2" w:space="0" w:color="auto"/>
            </w:tcBorders>
          </w:tcPr>
          <w:p w:rsidR="002D668F" w14:paraId="4C8D44C0" w14:textId="77777777">
            <w:pPr>
              <w:tabs>
                <w:tab w:val="left" w:pos="-720"/>
              </w:tabs>
              <w:suppressAutoHyphens/>
              <w:spacing w:before="90" w:after="54"/>
              <w:jc w:val="center"/>
              <w:rPr>
                <w:sz w:val="24"/>
              </w:rPr>
            </w:pPr>
            <w:r>
              <w:rPr>
                <w:sz w:val="24"/>
              </w:rPr>
              <w:t>2</w:t>
            </w:r>
          </w:p>
        </w:tc>
        <w:tc>
          <w:tcPr>
            <w:tcW w:w="990" w:type="dxa"/>
            <w:tcBorders>
              <w:top w:val="double" w:sz="2" w:space="0" w:color="auto"/>
              <w:left w:val="single" w:sz="7" w:space="0" w:color="auto"/>
              <w:bottom w:val="double" w:sz="2" w:space="0" w:color="auto"/>
            </w:tcBorders>
          </w:tcPr>
          <w:p w:rsidR="002D668F" w14:paraId="62935516" w14:textId="38338372">
            <w:pPr>
              <w:tabs>
                <w:tab w:val="left" w:pos="-720"/>
              </w:tabs>
              <w:suppressAutoHyphens/>
              <w:spacing w:before="90" w:after="54"/>
              <w:jc w:val="center"/>
              <w:rPr>
                <w:sz w:val="24"/>
              </w:rPr>
            </w:pPr>
            <w:r>
              <w:rPr>
                <w:sz w:val="24"/>
              </w:rPr>
              <w:t>4</w:t>
            </w:r>
          </w:p>
        </w:tc>
        <w:tc>
          <w:tcPr>
            <w:tcW w:w="1800" w:type="dxa"/>
            <w:tcBorders>
              <w:top w:val="double" w:sz="2" w:space="0" w:color="auto"/>
              <w:left w:val="single" w:sz="7" w:space="0" w:color="auto"/>
              <w:bottom w:val="double" w:sz="2" w:space="0" w:color="auto"/>
            </w:tcBorders>
          </w:tcPr>
          <w:p w:rsidR="002D668F" w14:paraId="493416F1" w14:textId="77777777">
            <w:pPr>
              <w:tabs>
                <w:tab w:val="left" w:pos="-720"/>
              </w:tabs>
              <w:suppressAutoHyphens/>
              <w:spacing w:before="90" w:after="54"/>
              <w:jc w:val="center"/>
              <w:rPr>
                <w:sz w:val="24"/>
              </w:rPr>
            </w:pPr>
            <w:r>
              <w:rPr>
                <w:sz w:val="24"/>
              </w:rPr>
              <w:t>$40.70</w:t>
            </w:r>
          </w:p>
        </w:tc>
        <w:tc>
          <w:tcPr>
            <w:tcW w:w="3510" w:type="dxa"/>
            <w:tcBorders>
              <w:top w:val="double" w:sz="2" w:space="0" w:color="auto"/>
              <w:left w:val="single" w:sz="7" w:space="0" w:color="auto"/>
              <w:bottom w:val="double" w:sz="2" w:space="0" w:color="auto"/>
              <w:right w:val="double" w:sz="2" w:space="0" w:color="auto"/>
            </w:tcBorders>
          </w:tcPr>
          <w:p w:rsidR="002D668F" w:rsidRPr="00AC5AC7" w14:paraId="17C7199C" w14:textId="6095B2B2">
            <w:pPr>
              <w:tabs>
                <w:tab w:val="left" w:pos="-720"/>
              </w:tabs>
              <w:suppressAutoHyphens/>
              <w:spacing w:before="90" w:after="54"/>
              <w:jc w:val="center"/>
              <w:rPr>
                <w:b/>
                <w:sz w:val="24"/>
              </w:rPr>
            </w:pPr>
            <w:r>
              <w:rPr>
                <w:b/>
                <w:sz w:val="24"/>
              </w:rPr>
              <w:t>$</w:t>
            </w:r>
            <w:r w:rsidR="0053418A">
              <w:rPr>
                <w:b/>
                <w:sz w:val="24"/>
              </w:rPr>
              <w:t>162.80</w:t>
            </w:r>
          </w:p>
        </w:tc>
      </w:tr>
    </w:tbl>
    <w:p w:rsidR="00446457" w:rsidP="00446457" w14:paraId="20C275EE" w14:textId="77777777">
      <w:pPr>
        <w:tabs>
          <w:tab w:val="left" w:pos="-720"/>
        </w:tabs>
        <w:suppressAutoHyphens/>
        <w:rPr>
          <w:sz w:val="24"/>
        </w:rPr>
      </w:pPr>
    </w:p>
    <w:p w:rsidR="00446457" w:rsidRPr="008F0F15" w:rsidP="00446457" w14:paraId="5F32E514" w14:textId="77777777">
      <w:pPr>
        <w:tabs>
          <w:tab w:val="left" w:pos="-720"/>
        </w:tabs>
        <w:suppressAutoHyphens/>
        <w:rPr>
          <w:sz w:val="24"/>
          <w:szCs w:val="24"/>
        </w:rPr>
      </w:pPr>
    </w:p>
    <w:p w:rsidR="00446457" w:rsidRPr="008F0F15" w:rsidP="00446457" w14:paraId="3E8B2441" w14:textId="116E4822">
      <w:pPr>
        <w:tabs>
          <w:tab w:val="left" w:pos="-720"/>
        </w:tabs>
        <w:suppressAutoHyphens/>
        <w:rPr>
          <w:sz w:val="24"/>
          <w:szCs w:val="24"/>
        </w:rPr>
      </w:pPr>
      <w:r w:rsidRPr="008F0F15">
        <w:rPr>
          <w:sz w:val="24"/>
          <w:szCs w:val="24"/>
        </w:rPr>
        <w:t>The combined cost to the Government is</w:t>
      </w:r>
      <w:r w:rsidR="009205A8">
        <w:rPr>
          <w:b/>
          <w:sz w:val="24"/>
          <w:szCs w:val="24"/>
        </w:rPr>
        <w:t xml:space="preserve"> </w:t>
      </w:r>
      <w:r w:rsidRPr="00F639A0" w:rsidR="002C4EB7">
        <w:rPr>
          <w:bCs/>
          <w:sz w:val="24"/>
          <w:szCs w:val="24"/>
        </w:rPr>
        <w:t>$</w:t>
      </w:r>
      <w:r w:rsidR="0053418A">
        <w:rPr>
          <w:bCs/>
          <w:sz w:val="24"/>
          <w:szCs w:val="24"/>
        </w:rPr>
        <w:t>322.52</w:t>
      </w:r>
      <w:r w:rsidRPr="00F639A0" w:rsidR="002C4EB7">
        <w:rPr>
          <w:bCs/>
          <w:sz w:val="24"/>
          <w:szCs w:val="24"/>
        </w:rPr>
        <w:t xml:space="preserve"> + $</w:t>
      </w:r>
      <w:r w:rsidR="0053418A">
        <w:rPr>
          <w:bCs/>
          <w:sz w:val="24"/>
          <w:szCs w:val="24"/>
        </w:rPr>
        <w:t>548.40</w:t>
      </w:r>
      <w:r w:rsidRPr="00F639A0" w:rsidR="002C4EB7">
        <w:rPr>
          <w:bCs/>
          <w:sz w:val="24"/>
          <w:szCs w:val="24"/>
        </w:rPr>
        <w:t xml:space="preserve"> + $</w:t>
      </w:r>
      <w:r w:rsidR="0053418A">
        <w:rPr>
          <w:bCs/>
          <w:sz w:val="24"/>
          <w:szCs w:val="24"/>
        </w:rPr>
        <w:t>162.80</w:t>
      </w:r>
      <w:r w:rsidRPr="00F639A0" w:rsidR="002C4EB7">
        <w:rPr>
          <w:bCs/>
          <w:sz w:val="24"/>
          <w:szCs w:val="24"/>
        </w:rPr>
        <w:t xml:space="preserve"> = </w:t>
      </w:r>
      <w:r w:rsidR="009C5F3A">
        <w:rPr>
          <w:b/>
          <w:sz w:val="24"/>
          <w:szCs w:val="24"/>
        </w:rPr>
        <w:t>$</w:t>
      </w:r>
      <w:r w:rsidR="0053418A">
        <w:rPr>
          <w:b/>
          <w:sz w:val="24"/>
          <w:szCs w:val="24"/>
        </w:rPr>
        <w:t>1,033.72</w:t>
      </w:r>
      <w:r w:rsidRPr="008F0F15">
        <w:rPr>
          <w:b/>
          <w:sz w:val="24"/>
          <w:szCs w:val="24"/>
        </w:rPr>
        <w:t>.</w:t>
      </w:r>
    </w:p>
    <w:p w:rsidR="00446457" w:rsidRPr="008F0F15" w:rsidP="00446457" w14:paraId="7AFAB258" w14:textId="77777777">
      <w:pPr>
        <w:tabs>
          <w:tab w:val="left" w:pos="-720"/>
        </w:tabs>
        <w:suppressAutoHyphens/>
        <w:rPr>
          <w:sz w:val="24"/>
          <w:szCs w:val="24"/>
        </w:rPr>
      </w:pPr>
    </w:p>
    <w:p w:rsidR="00446457" w:rsidRPr="008F0F15" w:rsidP="00446457" w14:paraId="4613DD0B" w14:textId="47D996A0">
      <w:pPr>
        <w:tabs>
          <w:tab w:val="left" w:pos="-720"/>
        </w:tabs>
        <w:suppressAutoHyphens/>
        <w:rPr>
          <w:sz w:val="24"/>
          <w:szCs w:val="24"/>
        </w:rPr>
      </w:pPr>
      <w:r w:rsidRPr="008F0F15">
        <w:rPr>
          <w:sz w:val="24"/>
          <w:szCs w:val="24"/>
        </w:rPr>
        <w:t>This figure is offset by the application fees that Commission collects with the filing of DNC-NEW applications, as discussed above.</w:t>
      </w:r>
    </w:p>
    <w:p w:rsidR="00446457" w:rsidP="00446457" w14:paraId="0313C757" w14:textId="4ED207FC">
      <w:pPr>
        <w:tabs>
          <w:tab w:val="left" w:pos="-720"/>
        </w:tabs>
        <w:suppressAutoHyphens/>
        <w:rPr>
          <w:b/>
          <w:sz w:val="24"/>
          <w:szCs w:val="24"/>
        </w:rPr>
      </w:pPr>
      <w:r w:rsidRPr="008F0F15">
        <w:rPr>
          <w:b/>
          <w:sz w:val="24"/>
          <w:szCs w:val="24"/>
        </w:rPr>
        <w:t xml:space="preserve"> </w:t>
      </w:r>
    </w:p>
    <w:p w:rsidR="0053418A" w:rsidP="00446457" w14:paraId="6A891AE6" w14:textId="28D9C6EB">
      <w:pPr>
        <w:tabs>
          <w:tab w:val="left" w:pos="-720"/>
        </w:tabs>
        <w:suppressAutoHyphens/>
        <w:rPr>
          <w:b/>
          <w:sz w:val="24"/>
          <w:szCs w:val="24"/>
        </w:rPr>
      </w:pPr>
    </w:p>
    <w:p w:rsidR="00446457" w:rsidRPr="008F0F15" w:rsidP="00446457" w14:paraId="28D30E01" w14:textId="77777777">
      <w:pPr>
        <w:tabs>
          <w:tab w:val="left" w:pos="-720"/>
        </w:tabs>
        <w:suppressAutoHyphens/>
        <w:rPr>
          <w:bCs/>
          <w:sz w:val="24"/>
          <w:szCs w:val="24"/>
        </w:rPr>
      </w:pPr>
      <w:r w:rsidRPr="008F0F15">
        <w:rPr>
          <w:sz w:val="24"/>
          <w:szCs w:val="24"/>
        </w:rPr>
        <w:t xml:space="preserve">15.   </w:t>
      </w:r>
      <w:r w:rsidRPr="008F0F15">
        <w:rPr>
          <w:b/>
          <w:snapToGrid/>
          <w:sz w:val="24"/>
          <w:szCs w:val="24"/>
          <w:u w:val="single"/>
        </w:rPr>
        <w:t>Reasons for Change in Burden</w:t>
      </w:r>
      <w:r w:rsidRPr="008F0F15">
        <w:rPr>
          <w:bCs/>
          <w:sz w:val="24"/>
          <w:szCs w:val="24"/>
        </w:rPr>
        <w:t xml:space="preserve"> </w:t>
      </w:r>
    </w:p>
    <w:p w:rsidR="00446457" w:rsidRPr="008F0F15" w:rsidP="00446457" w14:paraId="43CCF516" w14:textId="77777777">
      <w:pPr>
        <w:tabs>
          <w:tab w:val="left" w:pos="-720"/>
        </w:tabs>
        <w:suppressAutoHyphens/>
        <w:rPr>
          <w:bCs/>
          <w:sz w:val="24"/>
          <w:szCs w:val="24"/>
        </w:rPr>
      </w:pPr>
    </w:p>
    <w:p w:rsidR="00446457" w:rsidP="00446457" w14:paraId="28E32ABB" w14:textId="225F3B26">
      <w:pPr>
        <w:tabs>
          <w:tab w:val="left" w:pos="-720"/>
        </w:tabs>
        <w:suppressAutoHyphens/>
        <w:rPr>
          <w:bCs/>
          <w:sz w:val="24"/>
          <w:szCs w:val="24"/>
        </w:rPr>
      </w:pPr>
      <w:r>
        <w:rPr>
          <w:bCs/>
          <w:sz w:val="24"/>
          <w:szCs w:val="24"/>
        </w:rPr>
        <w:t xml:space="preserve">There are no program changes for this collection.  There are adjustments to this collection as follows:  -3 to the number of respondents, -3 to the annual responses, +4 to the annual burden hours and </w:t>
      </w:r>
      <w:r w:rsidR="00BD32E7">
        <w:rPr>
          <w:bCs/>
          <w:sz w:val="24"/>
          <w:szCs w:val="24"/>
        </w:rPr>
        <w:t>+</w:t>
      </w:r>
      <w:r>
        <w:rPr>
          <w:bCs/>
          <w:sz w:val="24"/>
          <w:szCs w:val="24"/>
        </w:rPr>
        <w:t>$2,470</w:t>
      </w:r>
      <w:r w:rsidR="00BD32E7">
        <w:rPr>
          <w:bCs/>
          <w:sz w:val="24"/>
          <w:szCs w:val="24"/>
        </w:rPr>
        <w:t xml:space="preserve"> which are </w:t>
      </w:r>
      <w:r w:rsidRPr="008F0F15">
        <w:rPr>
          <w:bCs/>
          <w:sz w:val="24"/>
          <w:szCs w:val="24"/>
        </w:rPr>
        <w:t xml:space="preserve">due to the introduction of </w:t>
      </w:r>
      <w:r>
        <w:rPr>
          <w:bCs/>
          <w:sz w:val="24"/>
          <w:szCs w:val="24"/>
        </w:rPr>
        <w:t xml:space="preserve">updated </w:t>
      </w:r>
      <w:r w:rsidRPr="008F0F15">
        <w:rPr>
          <w:bCs/>
          <w:sz w:val="24"/>
          <w:szCs w:val="24"/>
        </w:rPr>
        <w:t xml:space="preserve">application fees and </w:t>
      </w:r>
      <w:r>
        <w:rPr>
          <w:bCs/>
          <w:sz w:val="24"/>
          <w:szCs w:val="24"/>
        </w:rPr>
        <w:t>an updated estimate of the</w:t>
      </w:r>
      <w:r w:rsidRPr="008F0F15">
        <w:rPr>
          <w:bCs/>
          <w:sz w:val="24"/>
          <w:szCs w:val="24"/>
        </w:rPr>
        <w:t xml:space="preserve"> burden hours </w:t>
      </w:r>
      <w:r>
        <w:rPr>
          <w:bCs/>
          <w:sz w:val="24"/>
          <w:szCs w:val="24"/>
        </w:rPr>
        <w:t xml:space="preserve">and associated costs </w:t>
      </w:r>
      <w:r w:rsidRPr="008F0F15">
        <w:rPr>
          <w:bCs/>
          <w:sz w:val="24"/>
          <w:szCs w:val="24"/>
        </w:rPr>
        <w:t xml:space="preserve">for </w:t>
      </w:r>
      <w:r>
        <w:rPr>
          <w:bCs/>
          <w:sz w:val="24"/>
          <w:szCs w:val="24"/>
        </w:rPr>
        <w:t xml:space="preserve">preparing and filing </w:t>
      </w:r>
      <w:r w:rsidRPr="008F0F15">
        <w:rPr>
          <w:bCs/>
          <w:sz w:val="24"/>
          <w:szCs w:val="24"/>
        </w:rPr>
        <w:t>DNC-NEW</w:t>
      </w:r>
      <w:r>
        <w:rPr>
          <w:bCs/>
          <w:sz w:val="24"/>
          <w:szCs w:val="24"/>
        </w:rPr>
        <w:t xml:space="preserve"> applications.   </w:t>
      </w:r>
    </w:p>
    <w:p w:rsidR="00BD32E7" w:rsidRPr="008F0F15" w:rsidP="00446457" w14:paraId="3A6CD6FA" w14:textId="77777777">
      <w:pPr>
        <w:tabs>
          <w:tab w:val="left" w:pos="-720"/>
        </w:tabs>
        <w:suppressAutoHyphens/>
        <w:rPr>
          <w:bCs/>
          <w:sz w:val="24"/>
          <w:szCs w:val="24"/>
        </w:rPr>
      </w:pPr>
    </w:p>
    <w:p w:rsidR="00446457" w:rsidP="00446457" w14:paraId="2C11CD6E" w14:textId="77777777">
      <w:pPr>
        <w:tabs>
          <w:tab w:val="left" w:pos="-720"/>
        </w:tabs>
        <w:suppressAutoHyphens/>
        <w:rPr>
          <w:sz w:val="24"/>
          <w:szCs w:val="24"/>
        </w:rPr>
      </w:pPr>
      <w:r w:rsidRPr="008F0F15">
        <w:rPr>
          <w:sz w:val="24"/>
          <w:szCs w:val="24"/>
        </w:rPr>
        <w:t xml:space="preserve">16.   </w:t>
      </w:r>
      <w:r w:rsidRPr="008F0F15">
        <w:rPr>
          <w:b/>
          <w:sz w:val="24"/>
          <w:szCs w:val="24"/>
          <w:u w:val="single"/>
        </w:rPr>
        <w:t>Publication of Results</w:t>
      </w:r>
      <w:r w:rsidRPr="008F0F15">
        <w:rPr>
          <w:sz w:val="24"/>
          <w:szCs w:val="24"/>
        </w:rPr>
        <w:t xml:space="preserve"> </w:t>
      </w:r>
    </w:p>
    <w:p w:rsidR="00446457" w:rsidRPr="008F0F15" w:rsidP="00446457" w14:paraId="4202B04E" w14:textId="77777777">
      <w:pPr>
        <w:tabs>
          <w:tab w:val="left" w:pos="-720"/>
        </w:tabs>
        <w:suppressAutoHyphens/>
        <w:rPr>
          <w:sz w:val="24"/>
          <w:szCs w:val="24"/>
        </w:rPr>
      </w:pPr>
    </w:p>
    <w:p w:rsidR="00446457" w:rsidRPr="008F0F15" w:rsidP="00446457" w14:paraId="7C3274C7" w14:textId="77777777">
      <w:pPr>
        <w:tabs>
          <w:tab w:val="left" w:pos="-720"/>
        </w:tabs>
        <w:suppressAutoHyphens/>
        <w:rPr>
          <w:sz w:val="24"/>
          <w:szCs w:val="24"/>
        </w:rPr>
      </w:pPr>
      <w:r w:rsidRPr="008F0F15">
        <w:rPr>
          <w:sz w:val="24"/>
          <w:szCs w:val="24"/>
        </w:rPr>
        <w:t>The results of this collection of information are not going to be published for statistical use.</w:t>
      </w:r>
    </w:p>
    <w:p w:rsidR="00446457" w:rsidP="00446457" w14:paraId="36B6EB55" w14:textId="44AE71D1">
      <w:pPr>
        <w:tabs>
          <w:tab w:val="left" w:pos="-720"/>
        </w:tabs>
        <w:suppressAutoHyphens/>
        <w:rPr>
          <w:sz w:val="24"/>
          <w:szCs w:val="24"/>
        </w:rPr>
      </w:pPr>
      <w:r w:rsidRPr="008F0F15">
        <w:rPr>
          <w:sz w:val="24"/>
          <w:szCs w:val="24"/>
        </w:rPr>
        <w:t xml:space="preserve"> </w:t>
      </w:r>
    </w:p>
    <w:p w:rsidR="009F7B21" w:rsidRPr="008F0F15" w:rsidP="00446457" w14:paraId="73512AAD" w14:textId="77777777">
      <w:pPr>
        <w:tabs>
          <w:tab w:val="left" w:pos="-720"/>
        </w:tabs>
        <w:suppressAutoHyphens/>
        <w:rPr>
          <w:sz w:val="24"/>
          <w:szCs w:val="24"/>
        </w:rPr>
      </w:pPr>
    </w:p>
    <w:p w:rsidR="00446457" w:rsidRPr="008F0F15" w:rsidP="00446457" w14:paraId="226EEB3B" w14:textId="77777777">
      <w:pPr>
        <w:tabs>
          <w:tab w:val="left" w:pos="-720"/>
        </w:tabs>
        <w:suppressAutoHyphens/>
        <w:rPr>
          <w:sz w:val="24"/>
          <w:szCs w:val="24"/>
        </w:rPr>
      </w:pPr>
      <w:r w:rsidRPr="008F0F15">
        <w:rPr>
          <w:sz w:val="24"/>
          <w:szCs w:val="24"/>
        </w:rPr>
        <w:t xml:space="preserve">17.  </w:t>
      </w:r>
      <w:r w:rsidRPr="008F0F15">
        <w:rPr>
          <w:b/>
          <w:sz w:val="24"/>
          <w:szCs w:val="24"/>
          <w:u w:val="single"/>
        </w:rPr>
        <w:t>Non-Display of OMB Expiration Date</w:t>
      </w:r>
      <w:r w:rsidRPr="008F0F15">
        <w:rPr>
          <w:sz w:val="24"/>
          <w:szCs w:val="24"/>
        </w:rPr>
        <w:t xml:space="preserve"> </w:t>
      </w:r>
    </w:p>
    <w:p w:rsidR="00446457" w:rsidRPr="008F0F15" w:rsidP="00446457" w14:paraId="1442F7A0" w14:textId="77777777">
      <w:pPr>
        <w:tabs>
          <w:tab w:val="left" w:pos="-720"/>
        </w:tabs>
        <w:suppressAutoHyphens/>
        <w:rPr>
          <w:sz w:val="24"/>
          <w:szCs w:val="24"/>
        </w:rPr>
      </w:pPr>
    </w:p>
    <w:p w:rsidR="00446457" w:rsidRPr="008F0F15" w:rsidP="00446457" w14:paraId="682269A6" w14:textId="77777777">
      <w:pPr>
        <w:tabs>
          <w:tab w:val="left" w:pos="-720"/>
        </w:tabs>
        <w:suppressAutoHyphens/>
        <w:rPr>
          <w:sz w:val="24"/>
          <w:szCs w:val="24"/>
        </w:rPr>
      </w:pPr>
      <w:r w:rsidRPr="008F0F15">
        <w:rPr>
          <w:sz w:val="24"/>
          <w:szCs w:val="24"/>
        </w:rPr>
        <w:t xml:space="preserve">We do not seek approval to not display the expiration date for OMB approval of the information collection. </w:t>
      </w:r>
    </w:p>
    <w:p w:rsidR="00446457" w:rsidRPr="008F0F15" w:rsidP="00446457" w14:paraId="0B3BEBCF" w14:textId="77777777">
      <w:pPr>
        <w:tabs>
          <w:tab w:val="left" w:pos="-720"/>
        </w:tabs>
        <w:suppressAutoHyphens/>
        <w:rPr>
          <w:sz w:val="24"/>
          <w:szCs w:val="24"/>
        </w:rPr>
      </w:pPr>
      <w:r w:rsidRPr="008F0F15">
        <w:rPr>
          <w:sz w:val="24"/>
          <w:szCs w:val="24"/>
        </w:rPr>
        <w:t xml:space="preserve">  </w:t>
      </w:r>
    </w:p>
    <w:p w:rsidR="00446457" w:rsidRPr="008F0F15" w:rsidP="00446457" w14:paraId="14D22A43" w14:textId="77777777">
      <w:pPr>
        <w:tabs>
          <w:tab w:val="left" w:pos="-720"/>
        </w:tabs>
        <w:suppressAutoHyphens/>
        <w:rPr>
          <w:b/>
          <w:sz w:val="24"/>
          <w:szCs w:val="24"/>
          <w:u w:val="single"/>
        </w:rPr>
      </w:pPr>
      <w:r w:rsidRPr="008F0F15">
        <w:rPr>
          <w:sz w:val="24"/>
          <w:szCs w:val="24"/>
        </w:rPr>
        <w:t xml:space="preserve">18.  </w:t>
      </w:r>
      <w:r w:rsidRPr="008F0F15">
        <w:rPr>
          <w:b/>
          <w:sz w:val="24"/>
          <w:szCs w:val="24"/>
          <w:u w:val="single"/>
        </w:rPr>
        <w:t>Exceptions to "Certification for Paperwork Reduction Submissions"</w:t>
      </w:r>
    </w:p>
    <w:p w:rsidR="00446457" w:rsidRPr="008F0F15" w:rsidP="00446457" w14:paraId="5DABF972" w14:textId="77777777">
      <w:pPr>
        <w:tabs>
          <w:tab w:val="left" w:pos="-720"/>
        </w:tabs>
        <w:suppressAutoHyphens/>
        <w:rPr>
          <w:b/>
          <w:sz w:val="24"/>
          <w:szCs w:val="24"/>
          <w:u w:val="single"/>
        </w:rPr>
      </w:pPr>
    </w:p>
    <w:p w:rsidR="00446457" w:rsidRPr="008F0F15" w:rsidP="00446457" w14:paraId="298D7198" w14:textId="77777777">
      <w:pPr>
        <w:tabs>
          <w:tab w:val="left" w:pos="-720"/>
        </w:tabs>
        <w:suppressAutoHyphens/>
        <w:rPr>
          <w:sz w:val="24"/>
          <w:szCs w:val="24"/>
        </w:rPr>
      </w:pPr>
      <w:r w:rsidRPr="008F0F15">
        <w:rPr>
          <w:sz w:val="24"/>
          <w:szCs w:val="24"/>
        </w:rPr>
        <w:t>There are no exceptions to the certification statement.</w:t>
      </w:r>
    </w:p>
    <w:p w:rsidR="00446457" w:rsidRPr="008F0F15" w:rsidP="00446457" w14:paraId="324B8C44" w14:textId="77777777">
      <w:pPr>
        <w:pStyle w:val="EndnoteText"/>
        <w:tabs>
          <w:tab w:val="center" w:pos="4680"/>
        </w:tabs>
        <w:suppressAutoHyphens/>
        <w:rPr>
          <w:szCs w:val="24"/>
        </w:rPr>
      </w:pPr>
      <w:r w:rsidRPr="008F0F15">
        <w:rPr>
          <w:szCs w:val="24"/>
        </w:rPr>
        <w:tab/>
      </w:r>
    </w:p>
    <w:p w:rsidR="00446457" w:rsidRPr="008F0F15" w:rsidP="00446457" w14:paraId="1750E173" w14:textId="1C9FD559">
      <w:pPr>
        <w:tabs>
          <w:tab w:val="left" w:pos="-720"/>
        </w:tabs>
        <w:suppressAutoHyphens/>
        <w:rPr>
          <w:sz w:val="24"/>
          <w:szCs w:val="24"/>
        </w:rPr>
      </w:pPr>
      <w:r w:rsidRPr="00F639A0">
        <w:rPr>
          <w:b/>
          <w:sz w:val="24"/>
          <w:szCs w:val="24"/>
        </w:rPr>
        <w:t xml:space="preserve">B.  </w:t>
      </w:r>
      <w:r w:rsidRPr="008F0F15">
        <w:rPr>
          <w:b/>
          <w:sz w:val="24"/>
          <w:szCs w:val="24"/>
          <w:u w:val="single"/>
        </w:rPr>
        <w:t>Collections of Information Employing Statistical Methods</w:t>
      </w:r>
    </w:p>
    <w:p w:rsidR="00446457" w:rsidRPr="008F0F15" w:rsidP="00446457" w14:paraId="14E5BCF7" w14:textId="77777777">
      <w:pPr>
        <w:tabs>
          <w:tab w:val="left" w:pos="-720"/>
        </w:tabs>
        <w:suppressAutoHyphens/>
        <w:rPr>
          <w:sz w:val="24"/>
          <w:szCs w:val="24"/>
        </w:rPr>
      </w:pPr>
    </w:p>
    <w:p w:rsidR="00446457" w:rsidRPr="008F0F15" w:rsidP="00446457" w14:paraId="4C8F0E72" w14:textId="77777777">
      <w:pPr>
        <w:tabs>
          <w:tab w:val="left" w:pos="-720"/>
        </w:tabs>
        <w:suppressAutoHyphens/>
        <w:rPr>
          <w:sz w:val="24"/>
          <w:szCs w:val="24"/>
        </w:rPr>
      </w:pPr>
      <w:r w:rsidRPr="008F0F15">
        <w:rPr>
          <w:sz w:val="24"/>
          <w:szCs w:val="24"/>
        </w:rPr>
        <w:t>This information collection does not employ statistical methods.</w:t>
      </w:r>
    </w:p>
    <w:p w:rsidR="00446457" w:rsidP="00446457" w14:paraId="272A0687" w14:textId="77777777"/>
    <w:p w:rsidR="00412FC5" w:rsidRPr="00446457" w:rsidP="00446457" w14:paraId="6371B2E7" w14:textId="77777777"/>
    <w:sectPr w:rsidSect="0055614C">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57834" w14:paraId="29354C63" w14:textId="77777777">
      <w:pPr>
        <w:spacing w:line="20" w:lineRule="exact"/>
      </w:pPr>
    </w:p>
  </w:endnote>
  <w:endnote w:type="continuationSeparator" w:id="1">
    <w:p w:rsidR="00B57834" w14:paraId="779935F9" w14:textId="77777777">
      <w:r>
        <w:t xml:space="preserve"> </w:t>
      </w:r>
    </w:p>
  </w:endnote>
  <w:endnote w:type="continuationNotice" w:id="2">
    <w:p w:rsidR="00B57834" w14:paraId="7F09FC8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632DB79"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81A5C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9B6074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1741D310"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0BD0433"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7834" w14:paraId="007392EE" w14:textId="77777777">
      <w:r>
        <w:separator/>
      </w:r>
    </w:p>
  </w:footnote>
  <w:footnote w:type="continuationSeparator" w:id="1">
    <w:p w:rsidR="00B57834" w:rsidP="00C721AC" w14:paraId="44299E98" w14:textId="77777777">
      <w:pPr>
        <w:spacing w:before="120"/>
      </w:pPr>
      <w:r>
        <w:t xml:space="preserve">(Continued from previous page)  </w:t>
      </w:r>
      <w:r>
        <w:separator/>
      </w:r>
    </w:p>
  </w:footnote>
  <w:footnote w:type="continuationNotice" w:id="2">
    <w:p w:rsidR="00B57834" w:rsidP="00C721AC" w14:paraId="626A4E69" w14:textId="77777777">
      <w:pPr>
        <w:jc w:val="right"/>
      </w:pPr>
      <w:r>
        <w:t>(continued….)</w:t>
      </w:r>
    </w:p>
  </w:footnote>
  <w:footnote w:id="3">
    <w:p w:rsidR="00446457" w:rsidRPr="005B4BC8" w:rsidP="00446457" w14:paraId="56581E38" w14:textId="0A222C1F">
      <w:pPr>
        <w:spacing w:after="120"/>
      </w:pPr>
      <w:r w:rsidRPr="00446457">
        <w:rPr>
          <w:rStyle w:val="FootnoteReference"/>
        </w:rPr>
        <w:footnoteRef/>
      </w:r>
      <w:r w:rsidRPr="00446457">
        <w:t xml:space="preserve"> ITU-T Recommendation X.121, TELECOMMUNICATION STANDARDIZATION SECTOR OF ITU (10/2000) SERIES X: DATA NETWORKS AND OPEN SYSTEM COMMUNICATIONS, Public Data Networks - Network Aspects, International Numbering Plan for Public Data Networks, </w:t>
      </w:r>
      <w:hyperlink r:id="rId1" w:history="1">
        <w:r w:rsidRPr="00446457">
          <w:rPr>
            <w:rStyle w:val="Hyperlink"/>
          </w:rPr>
          <w:t>https://www.itu.int/rec/T-REC-X.121-200010-I/en</w:t>
        </w:r>
      </w:hyperlink>
      <w:r w:rsidRPr="00446457">
        <w:t xml:space="preserve"> (</w:t>
      </w:r>
      <w:r w:rsidRPr="005B4BC8">
        <w:t>ITU-T Recommendation X.121).</w:t>
      </w:r>
    </w:p>
  </w:footnote>
  <w:footnote w:id="4">
    <w:p w:rsidR="00446457" w:rsidRPr="00446457" w:rsidP="00446457" w14:paraId="0D8C266F" w14:textId="77777777">
      <w:pPr>
        <w:pStyle w:val="FootnoteText"/>
      </w:pPr>
      <w:r w:rsidRPr="00446457">
        <w:rPr>
          <w:rStyle w:val="FootnoteReference"/>
        </w:rPr>
        <w:footnoteRef/>
      </w:r>
      <w:r w:rsidRPr="00446457">
        <w:t xml:space="preserve"> </w:t>
      </w:r>
      <w:r w:rsidRPr="00F639A0">
        <w:rPr>
          <w:i/>
        </w:rPr>
        <w:t>International Communications Policies Governing Designation of Recognized Private Operating Agencies, Grants of IRUs in International Facilities and Assignment of Data Network Identification Codes</w:t>
      </w:r>
      <w:r w:rsidRPr="00446457">
        <w:t>, CC Docket No. 83–1230, Notice of Inquiry, 95 F.C.C.2d 627, 651-52, para. 64 (1983).</w:t>
      </w:r>
    </w:p>
  </w:footnote>
  <w:footnote w:id="5">
    <w:p w:rsidR="00446457" w:rsidRPr="005B4BC8" w:rsidP="00446457" w14:paraId="54AB2CDE" w14:textId="08F03027">
      <w:pPr>
        <w:pStyle w:val="FootnoteText"/>
      </w:pPr>
      <w:r w:rsidRPr="00446457">
        <w:rPr>
          <w:rStyle w:val="FootnoteReference"/>
        </w:rPr>
        <w:footnoteRef/>
      </w:r>
      <w:r w:rsidRPr="00446457">
        <w:t xml:space="preserve">  </w:t>
      </w:r>
      <w:r w:rsidRPr="00F639A0">
        <w:rPr>
          <w:i/>
          <w:iCs/>
        </w:rPr>
        <w:t>International Communications Policies Governing Designation of Recognized Private Operating Agencies, Grants of IRUs in International Facilities and Assignment of Data Network Identification Codes</w:t>
      </w:r>
      <w:r w:rsidRPr="00446457">
        <w:t xml:space="preserve">, CC Docket No. 83-1230, 104 FCC 2d 208, 262-7, paras. 70-77 (1986), reconsideration granted in part, 2 FCC </w:t>
      </w:r>
      <w:r w:rsidRPr="00446457">
        <w:t>Rcd</w:t>
      </w:r>
      <w:r w:rsidRPr="00446457">
        <w:t xml:space="preserve"> 7375, 7378-80 paras. 26-34 (1987) (DNIC Report and Order).</w:t>
      </w:r>
      <w:r w:rsidRPr="00446457">
        <w:t xml:space="preserve"> </w:t>
      </w:r>
    </w:p>
  </w:footnote>
  <w:footnote w:id="6">
    <w:p w:rsidR="00446457" w:rsidRPr="005B4BC8" w:rsidP="00446457" w14:paraId="45E5117F" w14:textId="0173F7D4">
      <w:pPr>
        <w:pStyle w:val="FootnoteText"/>
      </w:pPr>
      <w:r w:rsidRPr="00446457">
        <w:rPr>
          <w:rStyle w:val="FootnoteReference"/>
        </w:rPr>
        <w:footnoteRef/>
      </w:r>
      <w:r w:rsidRPr="00446457">
        <w:t xml:space="preserve"> </w:t>
      </w:r>
      <w:r w:rsidRPr="00446457">
        <w:rPr>
          <w:i/>
        </w:rPr>
        <w:t>Mandatory Electronic Filing For International Telecommunications Services and Other International Filings</w:t>
      </w:r>
      <w:r w:rsidRPr="00BF10D5">
        <w:t xml:space="preserve">, IB Docket No. 04-226, Report and Order, 20 FCC </w:t>
      </w:r>
      <w:r w:rsidRPr="00BF10D5">
        <w:t>Rcd</w:t>
      </w:r>
      <w:r w:rsidRPr="005B4BC8">
        <w:t xml:space="preserve"> 9292 (2005).</w:t>
      </w:r>
    </w:p>
  </w:footnote>
  <w:footnote w:id="7">
    <w:p w:rsidR="00446457" w:rsidRPr="00BF10D5" w:rsidP="00446457" w14:paraId="7FDD0E99" w14:textId="77777777">
      <w:pPr>
        <w:pStyle w:val="FootnoteText"/>
      </w:pPr>
      <w:r w:rsidRPr="00446457">
        <w:rPr>
          <w:rStyle w:val="FootnoteReference"/>
        </w:rPr>
        <w:footnoteRef/>
      </w:r>
      <w:r w:rsidRPr="00446457">
        <w:t xml:space="preserve"> These forms are described in more detail in the table below.  The three undeveloped forms in 2005 remain undeveloped today.</w:t>
      </w:r>
    </w:p>
  </w:footnote>
  <w:footnote w:id="8">
    <w:p w:rsidR="00446457" w:rsidRPr="00BF10D5" w:rsidP="00446457" w14:paraId="5E85FF23" w14:textId="77777777">
      <w:pPr>
        <w:pStyle w:val="FootnoteText"/>
      </w:pPr>
      <w:r w:rsidRPr="00446457">
        <w:rPr>
          <w:rStyle w:val="FootnoteReference"/>
        </w:rPr>
        <w:footnoteRef/>
      </w:r>
      <w:r w:rsidRPr="00446457">
        <w:t xml:space="preserve"> </w:t>
      </w:r>
      <w:r w:rsidRPr="00446457">
        <w:rPr>
          <w:i/>
        </w:rPr>
        <w:t>See</w:t>
      </w:r>
      <w:r w:rsidRPr="00BF10D5">
        <w:t xml:space="preserve"> Supporting Statement OMB 3060-1029 October 2019, Supporting Statement OMB 3060-1029 October 2019.doc: Data Network Identification Code (DNIC); OMB: 3060-1029 (</w:t>
      </w:r>
      <w:hyperlink r:id="rId2" w:history="1">
        <w:r w:rsidRPr="005B4BC8">
          <w:rPr>
            <w:rStyle w:val="Hyperlink"/>
          </w:rPr>
          <w:t>https://omb.report/icr/202001-3060-002/doc/97644101</w:t>
        </w:r>
      </w:hyperlink>
      <w:r w:rsidRPr="00446457">
        <w:t>).  A modernized IBFS is still in development.  The Commission will submit a revision for this OMB control number when the new IBFS is closer to launch.</w:t>
      </w:r>
    </w:p>
  </w:footnote>
  <w:footnote w:id="9">
    <w:p w:rsidR="00446457" w:rsidRPr="00BF10D5" w:rsidP="00446457" w14:paraId="5599CFC9" w14:textId="77777777">
      <w:pPr>
        <w:pStyle w:val="FootnoteText"/>
      </w:pPr>
      <w:r w:rsidRPr="00446457">
        <w:rPr>
          <w:rStyle w:val="FootnoteReference"/>
        </w:rPr>
        <w:footnoteRef/>
      </w:r>
      <w:r w:rsidRPr="00446457">
        <w:t xml:space="preserve"> </w:t>
      </w:r>
      <w:r w:rsidRPr="00446457">
        <w:rPr>
          <w:i/>
        </w:rPr>
        <w:t>See</w:t>
      </w:r>
      <w:r w:rsidRPr="00BF10D5">
        <w:t xml:space="preserve"> Data Network Identification Code (DNIC), ICR 202001-3060-002, OMB: 3060-1029 (</w:t>
      </w:r>
      <w:hyperlink r:id="rId3" w:history="1">
        <w:r w:rsidRPr="005B4BC8">
          <w:rPr>
            <w:rStyle w:val="Hyperlink"/>
          </w:rPr>
          <w:t>https://omb.report/icr/202001-3060-002</w:t>
        </w:r>
      </w:hyperlink>
      <w:r w:rsidRPr="00446457">
        <w:t xml:space="preserve">).  </w:t>
      </w:r>
    </w:p>
  </w:footnote>
  <w:footnote w:id="10">
    <w:p w:rsidR="00446457" w:rsidRPr="00446457" w:rsidP="00446457" w14:paraId="08C52558" w14:textId="58F72135">
      <w:pPr>
        <w:pStyle w:val="FootnoteText"/>
      </w:pPr>
      <w:r w:rsidRPr="00446457">
        <w:rPr>
          <w:rStyle w:val="FootnoteReference"/>
        </w:rPr>
        <w:footnoteRef/>
      </w:r>
      <w:r w:rsidRPr="00446457">
        <w:t xml:space="preserve"> Between the years 2019-2021, the Commission received only one DNC-NEW application</w:t>
      </w:r>
      <w:r w:rsidRPr="00DF080A">
        <w:t>.</w:t>
      </w:r>
    </w:p>
  </w:footnote>
  <w:footnote w:id="11">
    <w:p w:rsidR="005B4BC8" w:rsidRPr="00F92C93" w:rsidP="005B4BC8" w14:paraId="2E4C2C79" w14:textId="35FF7178">
      <w:pPr>
        <w:pStyle w:val="FootnoteText"/>
      </w:pPr>
      <w:r w:rsidRPr="00F92C93">
        <w:rPr>
          <w:rStyle w:val="FootnoteReference"/>
        </w:rPr>
        <w:footnoteRef/>
      </w:r>
      <w:r w:rsidRPr="00F92C93">
        <w:t xml:space="preserve"> </w:t>
      </w:r>
      <w:r w:rsidRPr="00F92C93">
        <w:rPr>
          <w:i/>
        </w:rPr>
        <w:t>See</w:t>
      </w:r>
      <w:r w:rsidRPr="00F92C93">
        <w:t xml:space="preserve"> </w:t>
      </w:r>
      <w:r w:rsidRPr="00F92C93">
        <w:rPr>
          <w:i/>
        </w:rPr>
        <w:t>Amendment of the Schedule of Application Fees Set Forth in Sections 1.1102 through 1.1109 of the Commission's Rules</w:t>
      </w:r>
      <w:r w:rsidRPr="00F92C93">
        <w:t xml:space="preserve">, MD Docket No. 20-270, Report and Order, 35 FCC </w:t>
      </w:r>
      <w:r w:rsidRPr="00F92C93">
        <w:t>Rcd</w:t>
      </w:r>
      <w:r w:rsidRPr="00F92C93">
        <w:t xml:space="preserve"> 15089 (2020)</w:t>
      </w:r>
      <w:r w:rsidR="0020245B">
        <w:t xml:space="preserve">; </w:t>
      </w:r>
      <w:bookmarkStart w:id="0" w:name="_Hlk109901166"/>
      <w:r w:rsidRPr="00BF10D5" w:rsidR="0020245B">
        <w:t>Erratum, October 25, 2021, FCC 21-110</w:t>
      </w:r>
      <w:r w:rsidRPr="00F92C93">
        <w:t xml:space="preserve"> </w:t>
      </w:r>
      <w:bookmarkEnd w:id="0"/>
      <w:r w:rsidRPr="00F92C93">
        <w:t>(</w:t>
      </w:r>
      <w:r w:rsidRPr="00172954">
        <w:rPr>
          <w:i/>
          <w:iCs/>
        </w:rPr>
        <w:t>2020 Application Fee</w:t>
      </w:r>
      <w:r>
        <w:rPr>
          <w:i/>
          <w:iCs/>
        </w:rPr>
        <w:t>s</w:t>
      </w:r>
      <w:r w:rsidRPr="00172954">
        <w:rPr>
          <w:i/>
          <w:iCs/>
        </w:rPr>
        <w:t xml:space="preserve"> Report and Order</w:t>
      </w:r>
      <w:r w:rsidRPr="00F92C93">
        <w:t xml:space="preserve">).  The new and revised application fees apply to a broad spectrum of filings processed by the Commission, including applications for </w:t>
      </w:r>
      <w:r w:rsidR="003246FC">
        <w:t>DNIC</w:t>
      </w:r>
      <w:r w:rsidRPr="00F92C93">
        <w:t>s.</w:t>
      </w:r>
      <w:r>
        <w:t xml:space="preserve"> </w:t>
      </w:r>
      <w:r w:rsidR="0020245B">
        <w:t xml:space="preserve"> </w:t>
      </w:r>
      <w:r>
        <w:t>The application fees are based on the Commission’s costs associated with processing those applications.</w:t>
      </w:r>
    </w:p>
  </w:footnote>
  <w:footnote w:id="12">
    <w:p w:rsidR="005B4BC8" w:rsidRPr="00F92C93" w:rsidP="005B4BC8" w14:paraId="404526C1" w14:textId="2CB9F78B">
      <w:pPr>
        <w:pStyle w:val="FootnoteText"/>
      </w:pPr>
      <w:r w:rsidRPr="00F92C93">
        <w:rPr>
          <w:rStyle w:val="FootnoteReference"/>
        </w:rPr>
        <w:footnoteRef/>
      </w:r>
      <w:r w:rsidRPr="00F92C93">
        <w:t xml:space="preserve"> </w:t>
      </w:r>
      <w:r w:rsidRPr="00F92C93">
        <w:rPr>
          <w:i/>
        </w:rPr>
        <w:t>Amendment of the Schedule of Application Fees Set Forth in Sections 1.1102 through 1.1109 of the Commission’s Rules</w:t>
      </w:r>
      <w:r w:rsidRPr="00F92C93">
        <w:t xml:space="preserve">, MD Docket No. 20-270, Notice of Proposed Rulemaking, 36 FCC </w:t>
      </w:r>
      <w:r w:rsidRPr="00F92C93">
        <w:t>Rcd</w:t>
      </w:r>
      <w:r w:rsidRPr="00F92C93">
        <w:t xml:space="preserve"> 1618, para. </w:t>
      </w:r>
      <w:r w:rsidR="0020245B">
        <w:t>164</w:t>
      </w:r>
      <w:r w:rsidRPr="00F92C93">
        <w:t xml:space="preserve"> (2020) (</w:t>
      </w:r>
      <w:r w:rsidRPr="00F92C93">
        <w:rPr>
          <w:i/>
          <w:iCs/>
        </w:rPr>
        <w:t xml:space="preserve">2020 </w:t>
      </w:r>
      <w:r w:rsidRPr="00F92C93">
        <w:rPr>
          <w:i/>
        </w:rPr>
        <w:t xml:space="preserve">Application Fees </w:t>
      </w:r>
      <w:r w:rsidRPr="00F92C93">
        <w:rPr>
          <w:i/>
          <w:iCs/>
        </w:rPr>
        <w:t>Notice</w:t>
      </w:r>
      <w:r w:rsidRPr="00F92C93">
        <w:t>)</w:t>
      </w:r>
      <w:r>
        <w:t xml:space="preserve">; </w:t>
      </w:r>
      <w:r w:rsidRPr="00172954">
        <w:rPr>
          <w:i/>
          <w:iCs/>
        </w:rPr>
        <w:t>2020 Application Fee</w:t>
      </w:r>
      <w:r>
        <w:rPr>
          <w:i/>
          <w:iCs/>
        </w:rPr>
        <w:t>s</w:t>
      </w:r>
      <w:r w:rsidRPr="00172954">
        <w:rPr>
          <w:i/>
          <w:iCs/>
        </w:rPr>
        <w:t xml:space="preserve"> Report and Order</w:t>
      </w:r>
      <w:r>
        <w:t xml:space="preserve">, </w:t>
      </w:r>
      <w:r w:rsidRPr="00880AB1">
        <w:t xml:space="preserve">35 FCC </w:t>
      </w:r>
      <w:r w:rsidRPr="00880AB1">
        <w:t>Rcd</w:t>
      </w:r>
      <w:r w:rsidRPr="00880AB1">
        <w:t xml:space="preserve"> 15089</w:t>
      </w:r>
      <w:r>
        <w:t>, paras. 150-151.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0B93" w:rsidP="00AF0B93" w14:paraId="31B65DE3" w14:textId="77777777">
    <w:pPr>
      <w:pStyle w:val="Header"/>
      <w:rPr>
        <w:b w:val="0"/>
        <w:sz w:val="24"/>
      </w:rPr>
    </w:pPr>
    <w:r>
      <w:rPr>
        <w:sz w:val="24"/>
      </w:rPr>
      <w:t>OMB Control No. 3060-1029</w:t>
    </w:r>
  </w:p>
  <w:p w:rsidR="00AF0B93" w:rsidP="00AF0B93" w14:paraId="3C3C9911" w14:textId="77777777">
    <w:pPr>
      <w:pStyle w:val="Header"/>
      <w:rPr>
        <w:b w:val="0"/>
        <w:sz w:val="24"/>
      </w:rPr>
    </w:pPr>
    <w:r>
      <w:rPr>
        <w:sz w:val="24"/>
      </w:rPr>
      <w:t>Data Network Identification Code (DNIC)</w:t>
    </w:r>
  </w:p>
  <w:p w:rsidR="00AF0B93" w:rsidP="00AF0B93" w14:paraId="7BC90594" w14:textId="06E16995">
    <w:pPr>
      <w:pStyle w:val="Header"/>
      <w:rPr>
        <w:b w:val="0"/>
        <w:sz w:val="24"/>
      </w:rPr>
    </w:pPr>
    <w:r>
      <w:rPr>
        <w:sz w:val="24"/>
      </w:rPr>
      <w:t xml:space="preserve"> </w:t>
    </w:r>
    <w:r w:rsidR="00BD19A7">
      <w:rPr>
        <w:sz w:val="24"/>
      </w:rPr>
      <w:t>November</w:t>
    </w:r>
    <w:r>
      <w:rPr>
        <w:sz w:val="24"/>
      </w:rPr>
      <w:t xml:space="preserve"> </w:t>
    </w:r>
    <w:r>
      <w:rPr>
        <w:sz w:val="24"/>
      </w:rPr>
      <w:t>2022</w:t>
    </w:r>
  </w:p>
  <w:p w:rsidR="00D25FB5" w:rsidP="00AF0B93" w14:paraId="193008B5"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457" w:rsidP="00446457" w14:paraId="449E2E48" w14:textId="45589BCA">
    <w:pPr>
      <w:pStyle w:val="Header"/>
      <w:rPr>
        <w:b w:val="0"/>
        <w:sz w:val="24"/>
      </w:rPr>
    </w:pPr>
    <w:r>
      <w:rPr>
        <w:sz w:val="24"/>
      </w:rPr>
      <w:tab/>
    </w:r>
    <w:r>
      <w:rPr>
        <w:sz w:val="24"/>
      </w:rPr>
      <w:tab/>
      <w:t>OMB Control No. 3060-1029</w:t>
    </w:r>
  </w:p>
  <w:p w:rsidR="00446457" w:rsidP="00446457" w14:paraId="0362696F" w14:textId="77777777">
    <w:pPr>
      <w:pStyle w:val="Header"/>
      <w:rPr>
        <w:b w:val="0"/>
        <w:sz w:val="24"/>
      </w:rPr>
    </w:pPr>
    <w:r>
      <w:rPr>
        <w:sz w:val="24"/>
      </w:rPr>
      <w:t>Data Network Identification Code (DNIC)</w:t>
    </w:r>
  </w:p>
  <w:p w:rsidR="00446457" w:rsidP="00446457" w14:paraId="717382AA" w14:textId="4D0E8C42">
    <w:pPr>
      <w:pStyle w:val="Header"/>
      <w:rPr>
        <w:b w:val="0"/>
        <w:sz w:val="24"/>
      </w:rPr>
    </w:pPr>
    <w:r>
      <w:rPr>
        <w:sz w:val="24"/>
      </w:rPr>
      <w:t>November</w:t>
    </w:r>
    <w:r w:rsidRPr="000C50A0">
      <w:rPr>
        <w:sz w:val="24"/>
      </w:rPr>
      <w:t xml:space="preserve"> </w:t>
    </w:r>
    <w:r>
      <w:rPr>
        <w:sz w:val="24"/>
      </w:rPr>
      <w:t>2022</w:t>
    </w:r>
  </w:p>
  <w:p w:rsidR="00446457" w:rsidP="00446457" w14:paraId="7768AE90" w14:textId="77777777">
    <w:pPr>
      <w:pStyle w:val="Header"/>
      <w:rPr>
        <w:b w:val="0"/>
        <w:sz w:val="24"/>
      </w:rPr>
    </w:pPr>
  </w:p>
  <w:p w:rsidR="00446457" w:rsidP="00446457" w14:paraId="747F07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472290224">
    <w:abstractNumId w:val="1"/>
  </w:num>
  <w:num w:numId="2" w16cid:durableId="1974797578">
    <w:abstractNumId w:val="6"/>
  </w:num>
  <w:num w:numId="3" w16cid:durableId="125468110">
    <w:abstractNumId w:val="3"/>
  </w:num>
  <w:num w:numId="4" w16cid:durableId="773983654">
    <w:abstractNumId w:val="5"/>
  </w:num>
  <w:num w:numId="5" w16cid:durableId="1125854068">
    <w:abstractNumId w:val="2"/>
  </w:num>
  <w:num w:numId="6" w16cid:durableId="845024506">
    <w:abstractNumId w:val="0"/>
  </w:num>
  <w:num w:numId="7" w16cid:durableId="149737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57"/>
    <w:rsid w:val="000201C4"/>
    <w:rsid w:val="00036039"/>
    <w:rsid w:val="00037F90"/>
    <w:rsid w:val="00046D34"/>
    <w:rsid w:val="000875BF"/>
    <w:rsid w:val="00096D8C"/>
    <w:rsid w:val="000B7EEA"/>
    <w:rsid w:val="000C0B65"/>
    <w:rsid w:val="000C50A0"/>
    <w:rsid w:val="000E05FE"/>
    <w:rsid w:val="000E19AF"/>
    <w:rsid w:val="000E3D42"/>
    <w:rsid w:val="000F7724"/>
    <w:rsid w:val="00122BD5"/>
    <w:rsid w:val="00133F79"/>
    <w:rsid w:val="00172954"/>
    <w:rsid w:val="0018589B"/>
    <w:rsid w:val="00194A66"/>
    <w:rsid w:val="001D4E31"/>
    <w:rsid w:val="001D6BCF"/>
    <w:rsid w:val="001E01CA"/>
    <w:rsid w:val="0020245B"/>
    <w:rsid w:val="00253C61"/>
    <w:rsid w:val="00275CF5"/>
    <w:rsid w:val="0028301F"/>
    <w:rsid w:val="00285017"/>
    <w:rsid w:val="002944A2"/>
    <w:rsid w:val="002A2D2E"/>
    <w:rsid w:val="002C00E8"/>
    <w:rsid w:val="002C4EB7"/>
    <w:rsid w:val="002D668F"/>
    <w:rsid w:val="003055F5"/>
    <w:rsid w:val="003246FC"/>
    <w:rsid w:val="00343749"/>
    <w:rsid w:val="003660ED"/>
    <w:rsid w:val="00380A22"/>
    <w:rsid w:val="003B0550"/>
    <w:rsid w:val="003B694F"/>
    <w:rsid w:val="003F171C"/>
    <w:rsid w:val="004024F4"/>
    <w:rsid w:val="00412FC5"/>
    <w:rsid w:val="00422276"/>
    <w:rsid w:val="004242F1"/>
    <w:rsid w:val="004426E5"/>
    <w:rsid w:val="004437EC"/>
    <w:rsid w:val="00445A00"/>
    <w:rsid w:val="00446457"/>
    <w:rsid w:val="00451B0F"/>
    <w:rsid w:val="00476B78"/>
    <w:rsid w:val="004A6950"/>
    <w:rsid w:val="004B3DD3"/>
    <w:rsid w:val="004C2EE3"/>
    <w:rsid w:val="004D4E5D"/>
    <w:rsid w:val="004E4A22"/>
    <w:rsid w:val="004F5F3E"/>
    <w:rsid w:val="00511968"/>
    <w:rsid w:val="0053418A"/>
    <w:rsid w:val="00544E7A"/>
    <w:rsid w:val="0055614C"/>
    <w:rsid w:val="00561793"/>
    <w:rsid w:val="0056412E"/>
    <w:rsid w:val="00566D06"/>
    <w:rsid w:val="0058281E"/>
    <w:rsid w:val="005B02A1"/>
    <w:rsid w:val="005B4BC8"/>
    <w:rsid w:val="005C3FA1"/>
    <w:rsid w:val="005C47CB"/>
    <w:rsid w:val="005C7491"/>
    <w:rsid w:val="005C7D0F"/>
    <w:rsid w:val="005E14C2"/>
    <w:rsid w:val="00607BA5"/>
    <w:rsid w:val="00610881"/>
    <w:rsid w:val="0061180A"/>
    <w:rsid w:val="00626EB6"/>
    <w:rsid w:val="0065462A"/>
    <w:rsid w:val="00655D03"/>
    <w:rsid w:val="00683388"/>
    <w:rsid w:val="00683F84"/>
    <w:rsid w:val="006A6A81"/>
    <w:rsid w:val="006A7996"/>
    <w:rsid w:val="006D5E8A"/>
    <w:rsid w:val="006F7393"/>
    <w:rsid w:val="0070224F"/>
    <w:rsid w:val="00706A8A"/>
    <w:rsid w:val="007115F7"/>
    <w:rsid w:val="00745B96"/>
    <w:rsid w:val="00785689"/>
    <w:rsid w:val="0079754B"/>
    <w:rsid w:val="007A1E6D"/>
    <w:rsid w:val="007A7649"/>
    <w:rsid w:val="007B0EB2"/>
    <w:rsid w:val="007C4B25"/>
    <w:rsid w:val="007D3A7D"/>
    <w:rsid w:val="007E53EA"/>
    <w:rsid w:val="00804ECB"/>
    <w:rsid w:val="00810B6F"/>
    <w:rsid w:val="00815442"/>
    <w:rsid w:val="00822CE0"/>
    <w:rsid w:val="0082756C"/>
    <w:rsid w:val="00841AB1"/>
    <w:rsid w:val="00880AB1"/>
    <w:rsid w:val="00892DB5"/>
    <w:rsid w:val="008A1194"/>
    <w:rsid w:val="008A7E13"/>
    <w:rsid w:val="008C68F1"/>
    <w:rsid w:val="008D2B71"/>
    <w:rsid w:val="008F0F15"/>
    <w:rsid w:val="00907600"/>
    <w:rsid w:val="00912848"/>
    <w:rsid w:val="009205A8"/>
    <w:rsid w:val="00920A45"/>
    <w:rsid w:val="00921803"/>
    <w:rsid w:val="00926503"/>
    <w:rsid w:val="009344C9"/>
    <w:rsid w:val="00945B4D"/>
    <w:rsid w:val="0096493E"/>
    <w:rsid w:val="009726D8"/>
    <w:rsid w:val="00972EEA"/>
    <w:rsid w:val="00985778"/>
    <w:rsid w:val="009A4C61"/>
    <w:rsid w:val="009A7643"/>
    <w:rsid w:val="009C5F3A"/>
    <w:rsid w:val="009D7308"/>
    <w:rsid w:val="009F76DB"/>
    <w:rsid w:val="009F7B21"/>
    <w:rsid w:val="00A32C3B"/>
    <w:rsid w:val="00A45F4F"/>
    <w:rsid w:val="00A5103B"/>
    <w:rsid w:val="00A600A9"/>
    <w:rsid w:val="00AA55B7"/>
    <w:rsid w:val="00AA5B9E"/>
    <w:rsid w:val="00AB2407"/>
    <w:rsid w:val="00AB53DF"/>
    <w:rsid w:val="00AC5AC7"/>
    <w:rsid w:val="00AF0B93"/>
    <w:rsid w:val="00B07E5C"/>
    <w:rsid w:val="00B57834"/>
    <w:rsid w:val="00B7727C"/>
    <w:rsid w:val="00B811F7"/>
    <w:rsid w:val="00BA5DC6"/>
    <w:rsid w:val="00BA6196"/>
    <w:rsid w:val="00BC6D8C"/>
    <w:rsid w:val="00BD19A7"/>
    <w:rsid w:val="00BD32E7"/>
    <w:rsid w:val="00BF10D5"/>
    <w:rsid w:val="00C34006"/>
    <w:rsid w:val="00C36B4C"/>
    <w:rsid w:val="00C426B1"/>
    <w:rsid w:val="00C53304"/>
    <w:rsid w:val="00C66160"/>
    <w:rsid w:val="00C721AC"/>
    <w:rsid w:val="00C8209D"/>
    <w:rsid w:val="00C90D6A"/>
    <w:rsid w:val="00CA1ED1"/>
    <w:rsid w:val="00CA247E"/>
    <w:rsid w:val="00CA6D21"/>
    <w:rsid w:val="00CC72B6"/>
    <w:rsid w:val="00D01942"/>
    <w:rsid w:val="00D0218D"/>
    <w:rsid w:val="00D25FB5"/>
    <w:rsid w:val="00D44223"/>
    <w:rsid w:val="00D75BE4"/>
    <w:rsid w:val="00D967BD"/>
    <w:rsid w:val="00DA2529"/>
    <w:rsid w:val="00DB130A"/>
    <w:rsid w:val="00DB2EBB"/>
    <w:rsid w:val="00DC10A1"/>
    <w:rsid w:val="00DC35AB"/>
    <w:rsid w:val="00DC655F"/>
    <w:rsid w:val="00DD0B59"/>
    <w:rsid w:val="00DD7EBD"/>
    <w:rsid w:val="00DF080A"/>
    <w:rsid w:val="00DF62B6"/>
    <w:rsid w:val="00E07225"/>
    <w:rsid w:val="00E266A5"/>
    <w:rsid w:val="00E3341E"/>
    <w:rsid w:val="00E37C85"/>
    <w:rsid w:val="00E4219F"/>
    <w:rsid w:val="00E42E64"/>
    <w:rsid w:val="00E462A6"/>
    <w:rsid w:val="00E5409F"/>
    <w:rsid w:val="00E8143A"/>
    <w:rsid w:val="00E92C78"/>
    <w:rsid w:val="00E93821"/>
    <w:rsid w:val="00EA1448"/>
    <w:rsid w:val="00EA626C"/>
    <w:rsid w:val="00EE0453"/>
    <w:rsid w:val="00EE6488"/>
    <w:rsid w:val="00F021FA"/>
    <w:rsid w:val="00F520D1"/>
    <w:rsid w:val="00F608E4"/>
    <w:rsid w:val="00F62E97"/>
    <w:rsid w:val="00F639A0"/>
    <w:rsid w:val="00F64209"/>
    <w:rsid w:val="00F73725"/>
    <w:rsid w:val="00F92C93"/>
    <w:rsid w:val="00F93BF5"/>
    <w:rsid w:val="00FA17F8"/>
    <w:rsid w:val="00FB038B"/>
    <w:rsid w:val="00FC3351"/>
    <w:rsid w:val="00FC4D35"/>
    <w:rsid w:val="00FD77BF"/>
    <w:rsid w:val="00FF4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C5C40D"/>
  <w15:chartTrackingRefBased/>
  <w15:docId w15:val="{89EBF553-3CBC-4D13-B96A-C64B5D6B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6457"/>
    <w:pPr>
      <w:widowControl w:val="0"/>
    </w:pPr>
    <w:rPr>
      <w:snapToGrid w:val="0"/>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E07225"/>
    <w:pPr>
      <w:numPr>
        <w:numId w:val="2"/>
      </w:numPr>
      <w:tabs>
        <w:tab w:val="clear" w:pos="1080"/>
        <w:tab w:val="num" w:pos="1440"/>
      </w:tabs>
      <w:spacing w:after="120"/>
    </w:p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rsid w:val="00446457"/>
    <w:pPr>
      <w:tabs>
        <w:tab w:val="center" w:pos="4680"/>
        <w:tab w:val="right" w:pos="9360"/>
      </w:tabs>
      <w:jc w:val="right"/>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ing1Char">
    <w:name w:val="Heading 1 Char"/>
    <w:link w:val="Heading1"/>
    <w:rsid w:val="00446457"/>
    <w:rPr>
      <w:rFonts w:ascii="Times New Roman Bold" w:hAnsi="Times New Roman Bold"/>
      <w:b/>
      <w:caps/>
      <w:snapToGrid w:val="0"/>
    </w:rPr>
  </w:style>
  <w:style w:type="character" w:customStyle="1" w:styleId="Heading3Char">
    <w:name w:val="Heading 3 Char"/>
    <w:link w:val="Heading3"/>
    <w:rsid w:val="00446457"/>
    <w:rPr>
      <w:b/>
      <w:snapToGrid w:val="0"/>
      <w:kern w:val="28"/>
      <w:sz w:val="22"/>
    </w:rPr>
  </w:style>
  <w:style w:type="character" w:customStyle="1" w:styleId="EndnoteTextChar">
    <w:name w:val="Endnote Text Char"/>
    <w:link w:val="EndnoteText"/>
    <w:semiHidden/>
    <w:rsid w:val="00446457"/>
    <w:rPr>
      <w:snapToGrid w:val="0"/>
      <w:kern w:val="28"/>
    </w:rPr>
  </w:style>
  <w:style w:type="character" w:customStyle="1" w:styleId="FootnoteTextChar">
    <w:name w:val="Footnote Text Char"/>
    <w:aliases w:val="ALTS FOOTNOTE Char,Footnote Text Char Char1 Char Char,Footnote Text Char Char2 Char Char Char Char,Footnote Text Char1 Char,Footnote Text Char2 Char Char Char Char,Footnote Text Char2 Char1 Char,f Char,fn Char"/>
    <w:link w:val="FootnoteText"/>
    <w:rsid w:val="00446457"/>
  </w:style>
  <w:style w:type="paragraph" w:styleId="BodyText">
    <w:name w:val="Body Text"/>
    <w:basedOn w:val="Normal"/>
    <w:link w:val="BodyTextChar"/>
    <w:rsid w:val="00446457"/>
    <w:pPr>
      <w:tabs>
        <w:tab w:val="left" w:pos="-720"/>
      </w:tabs>
      <w:suppressAutoHyphens/>
    </w:pPr>
    <w:rPr>
      <w:sz w:val="24"/>
    </w:rPr>
  </w:style>
  <w:style w:type="character" w:customStyle="1" w:styleId="BodyTextChar">
    <w:name w:val="Body Text Char"/>
    <w:basedOn w:val="DefaultParagraphFont"/>
    <w:link w:val="BodyText"/>
    <w:rsid w:val="00446457"/>
    <w:rPr>
      <w:snapToGrid w:val="0"/>
      <w:sz w:val="24"/>
    </w:rPr>
  </w:style>
  <w:style w:type="paragraph" w:styleId="BodyText2">
    <w:name w:val="Body Text 2"/>
    <w:basedOn w:val="Normal"/>
    <w:link w:val="BodyText2Char"/>
    <w:rsid w:val="00446457"/>
    <w:pPr>
      <w:tabs>
        <w:tab w:val="left" w:pos="-720"/>
      </w:tabs>
      <w:suppressAutoHyphens/>
    </w:pPr>
    <w:rPr>
      <w:b/>
      <w:sz w:val="24"/>
    </w:rPr>
  </w:style>
  <w:style w:type="character" w:customStyle="1" w:styleId="BodyText2Char">
    <w:name w:val="Body Text 2 Char"/>
    <w:basedOn w:val="DefaultParagraphFont"/>
    <w:link w:val="BodyText2"/>
    <w:rsid w:val="00446457"/>
    <w:rPr>
      <w:b/>
      <w:snapToGrid w:val="0"/>
      <w:sz w:val="24"/>
    </w:rPr>
  </w:style>
  <w:style w:type="character" w:styleId="CommentReference">
    <w:name w:val="annotation reference"/>
    <w:rsid w:val="00446457"/>
    <w:rPr>
      <w:sz w:val="16"/>
      <w:szCs w:val="16"/>
    </w:rPr>
  </w:style>
  <w:style w:type="paragraph" w:styleId="CommentText">
    <w:name w:val="annotation text"/>
    <w:basedOn w:val="Normal"/>
    <w:link w:val="CommentTextChar"/>
    <w:rsid w:val="00446457"/>
  </w:style>
  <w:style w:type="character" w:customStyle="1" w:styleId="CommentTextChar">
    <w:name w:val="Comment Text Char"/>
    <w:basedOn w:val="DefaultParagraphFont"/>
    <w:link w:val="CommentText"/>
    <w:rsid w:val="00446457"/>
    <w:rPr>
      <w:snapToGrid w:val="0"/>
    </w:rPr>
  </w:style>
  <w:style w:type="character" w:customStyle="1" w:styleId="ParaNumChar2">
    <w:name w:val="ParaNum Char2"/>
    <w:link w:val="ParaNum"/>
    <w:rsid w:val="00446457"/>
    <w:rPr>
      <w:snapToGrid w:val="0"/>
    </w:rPr>
  </w:style>
  <w:style w:type="character" w:customStyle="1" w:styleId="HeaderChar">
    <w:name w:val="Header Char"/>
    <w:link w:val="Header"/>
    <w:rsid w:val="00446457"/>
    <w:rPr>
      <w:b/>
      <w:snapToGrid w:val="0"/>
    </w:rPr>
  </w:style>
  <w:style w:type="paragraph" w:styleId="CommentSubject">
    <w:name w:val="annotation subject"/>
    <w:basedOn w:val="CommentText"/>
    <w:next w:val="CommentText"/>
    <w:link w:val="CommentSubjectChar"/>
    <w:rsid w:val="00BF10D5"/>
    <w:rPr>
      <w:b/>
      <w:bCs/>
    </w:rPr>
  </w:style>
  <w:style w:type="character" w:customStyle="1" w:styleId="CommentSubjectChar">
    <w:name w:val="Comment Subject Char"/>
    <w:basedOn w:val="CommentTextChar"/>
    <w:link w:val="CommentSubject"/>
    <w:rsid w:val="00BF10D5"/>
    <w:rPr>
      <w:b/>
      <w:bCs/>
      <w:snapToGrid w:val="0"/>
    </w:rPr>
  </w:style>
  <w:style w:type="paragraph" w:styleId="Revision">
    <w:name w:val="Revision"/>
    <w:hidden/>
    <w:uiPriority w:val="99"/>
    <w:semiHidden/>
    <w:rsid w:val="005B4BC8"/>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T-REC-X.121-200010-I/en" TargetMode="External" /><Relationship Id="rId2" Type="http://schemas.openxmlformats.org/officeDocument/2006/relationships/hyperlink" Target="https://omb.report/icr/202001-3060-002/doc/97644101" TargetMode="External" /><Relationship Id="rId3" Type="http://schemas.openxmlformats.org/officeDocument/2006/relationships/hyperlink" Target="https://omb.report/icr/202001-3060-00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6</TotalTime>
  <Pages>7</Pages>
  <Words>1632</Words>
  <Characters>9363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Arthur Lechtman</dc:creator>
  <cp:lastModifiedBy>Cathy Williams</cp:lastModifiedBy>
  <cp:revision>5</cp:revision>
  <cp:lastPrinted>2005-07-20T16:06:00Z</cp:lastPrinted>
  <dcterms:created xsi:type="dcterms:W3CDTF">2022-08-19T00:50:00Z</dcterms:created>
  <dcterms:modified xsi:type="dcterms:W3CDTF">2022-11-06T16:53:00Z</dcterms:modified>
</cp:coreProperties>
</file>