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7B8A" w:rsidP="007E72C8" w14:paraId="32311401" w14:textId="77777777">
      <w:pPr>
        <w:suppressAutoHyphens/>
        <w:jc w:val="center"/>
        <w:rPr>
          <w:b/>
          <w:sz w:val="24"/>
        </w:rPr>
      </w:pPr>
    </w:p>
    <w:p w:rsidR="00247B8A" w:rsidP="007E72C8" w14:paraId="6A7F6E90" w14:textId="77777777">
      <w:pPr>
        <w:suppressAutoHyphens/>
        <w:jc w:val="center"/>
        <w:rPr>
          <w:b/>
          <w:sz w:val="24"/>
        </w:rPr>
      </w:pPr>
    </w:p>
    <w:p w:rsidR="007E72C8" w:rsidP="007E72C8" w14:paraId="3EF615AB" w14:textId="1FD932D2">
      <w:pPr>
        <w:suppressAutoHyphens/>
        <w:jc w:val="center"/>
        <w:rPr>
          <w:b/>
          <w:sz w:val="24"/>
        </w:rPr>
      </w:pPr>
      <w:r>
        <w:rPr>
          <w:b/>
          <w:sz w:val="24"/>
        </w:rPr>
        <w:t>SUPPORTING STATEMENT</w:t>
      </w:r>
    </w:p>
    <w:p w:rsidR="007E72C8" w:rsidP="007E72C8" w14:paraId="01AA198A" w14:textId="77777777">
      <w:pPr>
        <w:pStyle w:val="EndnoteText"/>
        <w:tabs>
          <w:tab w:val="left" w:pos="-720"/>
        </w:tabs>
        <w:suppressAutoHyphens/>
      </w:pPr>
    </w:p>
    <w:p w:rsidR="007E72C8" w:rsidRPr="00E91598" w:rsidP="007E72C8" w14:paraId="75A2837E" w14:textId="3A876695">
      <w:pPr>
        <w:tabs>
          <w:tab w:val="left" w:pos="-720"/>
        </w:tabs>
        <w:suppressAutoHyphens/>
        <w:rPr>
          <w:b/>
          <w:bCs/>
          <w:sz w:val="24"/>
        </w:rPr>
      </w:pPr>
      <w:r w:rsidRPr="00E91598">
        <w:rPr>
          <w:b/>
          <w:bCs/>
          <w:sz w:val="24"/>
        </w:rPr>
        <w:t xml:space="preserve">A. </w:t>
      </w:r>
      <w:r>
        <w:rPr>
          <w:b/>
          <w:bCs/>
          <w:sz w:val="24"/>
        </w:rPr>
        <w:t xml:space="preserve"> </w:t>
      </w:r>
      <w:r w:rsidRPr="00E91598">
        <w:rPr>
          <w:b/>
          <w:bCs/>
          <w:sz w:val="24"/>
        </w:rPr>
        <w:t xml:space="preserve"> </w:t>
      </w:r>
      <w:r w:rsidRPr="00E91598">
        <w:rPr>
          <w:b/>
          <w:bCs/>
          <w:sz w:val="24"/>
          <w:u w:val="single"/>
        </w:rPr>
        <w:t>Justification</w:t>
      </w:r>
    </w:p>
    <w:p w:rsidR="007E72C8" w:rsidP="007E72C8" w14:paraId="769B7A19" w14:textId="77777777">
      <w:pPr>
        <w:tabs>
          <w:tab w:val="left" w:pos="-720"/>
        </w:tabs>
        <w:suppressAutoHyphens/>
        <w:rPr>
          <w:sz w:val="24"/>
        </w:rPr>
      </w:pPr>
    </w:p>
    <w:p w:rsidR="00247B8A" w:rsidP="007E72C8" w14:paraId="5BD42049" w14:textId="77777777">
      <w:pPr>
        <w:tabs>
          <w:tab w:val="left" w:pos="-720"/>
        </w:tabs>
        <w:suppressAutoHyphens/>
        <w:rPr>
          <w:b/>
          <w:bCs/>
          <w:i/>
          <w:sz w:val="24"/>
        </w:rPr>
      </w:pPr>
      <w:r>
        <w:rPr>
          <w:bCs/>
          <w:sz w:val="24"/>
        </w:rPr>
        <w:t xml:space="preserve">The Federal Communications Commission (Commission) is requesting that the Office of Management and Budget (OMB) approve an extension of the delegated authority information collection titled, “Recognized Private Operating Agency (RPOA) – 47 CFR 63.701” under OMB Control No. 3060-0357.  </w:t>
      </w:r>
      <w:r w:rsidRPr="005876F1">
        <w:rPr>
          <w:b/>
          <w:bCs/>
          <w:i/>
          <w:sz w:val="24"/>
        </w:rPr>
        <w:t xml:space="preserve"> </w:t>
      </w:r>
    </w:p>
    <w:p w:rsidR="00247B8A" w:rsidP="007E72C8" w14:paraId="13AB11C6" w14:textId="77777777">
      <w:pPr>
        <w:tabs>
          <w:tab w:val="left" w:pos="-720"/>
        </w:tabs>
        <w:suppressAutoHyphens/>
        <w:rPr>
          <w:b/>
          <w:bCs/>
          <w:i/>
          <w:sz w:val="24"/>
        </w:rPr>
      </w:pPr>
    </w:p>
    <w:p w:rsidR="007E72C8" w:rsidRPr="00247B8A" w:rsidP="007E72C8" w14:paraId="139F2E8F" w14:textId="73E78375">
      <w:pPr>
        <w:tabs>
          <w:tab w:val="left" w:pos="-720"/>
        </w:tabs>
        <w:suppressAutoHyphens/>
        <w:rPr>
          <w:bCs/>
          <w:sz w:val="24"/>
        </w:rPr>
      </w:pPr>
      <w:r w:rsidRPr="005876F1">
        <w:rPr>
          <w:b/>
          <w:bCs/>
          <w:i/>
          <w:sz w:val="24"/>
        </w:rPr>
        <w:t>Background Information:</w:t>
      </w:r>
    </w:p>
    <w:p w:rsidR="007E72C8" w:rsidP="007E72C8" w14:paraId="5CC9F073" w14:textId="77777777">
      <w:pPr>
        <w:tabs>
          <w:tab w:val="left" w:pos="-720"/>
        </w:tabs>
        <w:suppressAutoHyphens/>
        <w:rPr>
          <w:sz w:val="24"/>
        </w:rPr>
      </w:pPr>
    </w:p>
    <w:p w:rsidR="007E72C8" w:rsidP="007E72C8" w14:paraId="4A1A5713" w14:textId="77777777">
      <w:pPr>
        <w:tabs>
          <w:tab w:val="left" w:pos="-720"/>
        </w:tabs>
        <w:suppressAutoHyphens/>
        <w:rPr>
          <w:sz w:val="24"/>
        </w:rPr>
      </w:pPr>
      <w:r>
        <w:rPr>
          <w:sz w:val="24"/>
        </w:rPr>
        <w:t>1.   At the request of the U.S. Department of State (State Department), the Commission adopted a voluntary program by which companies that provide enhanced services could seek designation as a recognized private operating agency (RPOA).  The term RPOA was used in the International Telecommunication Convention, the international agreement that created the International Telecommunication Union (ITU), to refer to private-sector providers of international telecommunication services that had been “recognized” either by the government of the country in which they had been incorporated, or the country where they operated.</w:t>
      </w:r>
    </w:p>
    <w:p w:rsidR="007E72C8" w:rsidP="007E72C8" w14:paraId="6F8B51EF" w14:textId="77777777">
      <w:pPr>
        <w:tabs>
          <w:tab w:val="left" w:pos="-720"/>
        </w:tabs>
        <w:suppressAutoHyphens/>
        <w:rPr>
          <w:sz w:val="24"/>
        </w:rPr>
      </w:pPr>
    </w:p>
    <w:p w:rsidR="007E72C8" w:rsidP="007E72C8" w14:paraId="0CF37B69" w14:textId="6363D738">
      <w:pPr>
        <w:tabs>
          <w:tab w:val="left" w:pos="-720"/>
        </w:tabs>
        <w:suppressAutoHyphens/>
        <w:rPr>
          <w:sz w:val="24"/>
        </w:rPr>
      </w:pPr>
      <w:r>
        <w:rPr>
          <w:sz w:val="24"/>
        </w:rPr>
        <w:t xml:space="preserve">Most providers of international telecommunications services to or from the United States hold either an authorization under section 214 of the Communications Act or a radio license under section 301 of the Act.  The issuance of such authorizations or licenses is public evidence that the </w:t>
      </w:r>
      <w:smartTag w:uri="urn:schemas-microsoft-com:office:smarttags" w:element="place">
        <w:smartTag w:uri="urn:schemas-microsoft-com:office:smarttags" w:element="country-region">
          <w:r>
            <w:rPr>
              <w:sz w:val="24"/>
            </w:rPr>
            <w:t>U.S.</w:t>
          </w:r>
        </w:smartTag>
      </w:smartTag>
      <w:r>
        <w:rPr>
          <w:sz w:val="24"/>
        </w:rPr>
        <w:t xml:space="preserve"> government “recognizes” the entities to which they are issued.  However, providers of enhanced services are not licensed or authorized.</w:t>
      </w:r>
      <w:r>
        <w:rPr>
          <w:rStyle w:val="FootnoteReference"/>
        </w:rPr>
        <w:footnoteReference w:id="3"/>
      </w:r>
      <w:r>
        <w:rPr>
          <w:sz w:val="24"/>
        </w:rPr>
        <w:t xml:space="preserve">  They are permitted to begin operations without any formal applications or notifications.  It is not, therefore, immediately apparent to foreign governments that a </w:t>
      </w:r>
      <w:smartTag w:uri="urn:schemas-microsoft-com:office:smarttags" w:element="place">
        <w:smartTag w:uri="urn:schemas-microsoft-com:office:smarttags" w:element="country-region">
          <w:r>
            <w:rPr>
              <w:sz w:val="24"/>
            </w:rPr>
            <w:t>U.S.</w:t>
          </w:r>
        </w:smartTag>
      </w:smartTag>
      <w:r>
        <w:rPr>
          <w:sz w:val="24"/>
        </w:rPr>
        <w:t xml:space="preserve"> enhanced service provider has been “recognized” within the meaning of the ITU Convention.  As a consequence, such entities have sometimes found foreign governments unwilling to let them operate in those countries.  As a result, providers requested that the Commission and State Department develop a program whereby enhanced service providers could be formally designated as RPOAs.  </w:t>
      </w:r>
    </w:p>
    <w:p w:rsidR="007E72C8" w:rsidP="007E72C8" w14:paraId="73D22942" w14:textId="77777777">
      <w:pPr>
        <w:tabs>
          <w:tab w:val="left" w:pos="-720"/>
        </w:tabs>
        <w:suppressAutoHyphens/>
        <w:rPr>
          <w:sz w:val="24"/>
        </w:rPr>
      </w:pPr>
    </w:p>
    <w:p w:rsidR="007E72C8" w:rsidP="007E72C8" w14:paraId="0519B731" w14:textId="410A9964">
      <w:pPr>
        <w:tabs>
          <w:tab w:val="left" w:pos="-720"/>
        </w:tabs>
        <w:suppressAutoHyphens/>
        <w:rPr>
          <w:sz w:val="24"/>
        </w:rPr>
      </w:pPr>
      <w:r>
        <w:rPr>
          <w:sz w:val="24"/>
        </w:rPr>
        <w:t>The program that was developed allows entities wishing to obtain an RPOA designation to submit an application to the Commission.  The entity will submit information about the provider and the services it proposes to provide and a pledge by the provider that it would abide by all international obligations to which the United States is a signatory.  The Commission places the application on public notice and allows interested parties to comment on the application.  The Commission then makes a recommendation, based on the application and comments, to the State Department either to grant or deny the request.  The State Department then acts on the recommendation and notifies the ITU of any applications that it grants.  RPOA designation is voluntary.  If an enhanced service provider does not find such designation necessary, it is not required to file an application.</w:t>
      </w:r>
    </w:p>
    <w:p w:rsidR="007E72C8" w:rsidP="007E72C8" w14:paraId="46958980" w14:textId="77777777">
      <w:pPr>
        <w:tabs>
          <w:tab w:val="left" w:pos="-720"/>
        </w:tabs>
        <w:suppressAutoHyphens/>
        <w:rPr>
          <w:sz w:val="24"/>
        </w:rPr>
      </w:pPr>
    </w:p>
    <w:p w:rsidR="007E72C8" w:rsidP="007E72C8" w14:paraId="71C8BDE7" w14:textId="3E70F8E7">
      <w:pPr>
        <w:tabs>
          <w:tab w:val="left" w:pos="-720"/>
        </w:tabs>
        <w:suppressAutoHyphens/>
        <w:rPr>
          <w:sz w:val="24"/>
        </w:rPr>
      </w:pPr>
      <w:r>
        <w:rPr>
          <w:sz w:val="24"/>
        </w:rPr>
        <w:t xml:space="preserve">To implement this program, the Commission adopted section 63.701 of the Commission’s rules </w:t>
      </w:r>
      <w:r>
        <w:rPr>
          <w:sz w:val="24"/>
        </w:rPr>
        <w:t>identifying the information that must be contained in an application for designation as an RPOA.</w:t>
      </w:r>
      <w:r>
        <w:rPr>
          <w:rStyle w:val="FootnoteReference"/>
          <w:sz w:val="24"/>
        </w:rPr>
        <w:footnoteReference w:id="4"/>
      </w:r>
      <w:r>
        <w:rPr>
          <w:sz w:val="24"/>
        </w:rPr>
        <w:t xml:space="preserve">  RPOA designations do not have expiration dates and continue indefinitely, unless revoked for cause.  RPOAs are not required to file any reports or other information with the Commission throughout their indefinite period of designation.</w:t>
      </w:r>
    </w:p>
    <w:p w:rsidR="007E72C8" w:rsidP="007E72C8" w14:paraId="3D2A2EEB" w14:textId="77777777">
      <w:pPr>
        <w:tabs>
          <w:tab w:val="left" w:pos="-720"/>
        </w:tabs>
        <w:suppressAutoHyphens/>
        <w:rPr>
          <w:sz w:val="24"/>
        </w:rPr>
      </w:pPr>
    </w:p>
    <w:p w:rsidR="007E72C8" w:rsidP="007E72C8" w14:paraId="1656CBB5" w14:textId="0F099D2C">
      <w:pPr>
        <w:tabs>
          <w:tab w:val="left" w:pos="-720"/>
        </w:tabs>
        <w:suppressAutoHyphens/>
        <w:rPr>
          <w:sz w:val="24"/>
        </w:rPr>
      </w:pPr>
      <w:r>
        <w:rPr>
          <w:sz w:val="24"/>
        </w:rPr>
        <w:t>Any party requesting designation as an RPOA within the meaning of the ITU Convention must file a request for such designation with the Commission.  This filing includes a statement of the nature of the services to be provided and a statement that the applicant is aware that it is obligated under Article 6 of the ITU Constitution to obey the mandatory provisions thereof, and all regulations promulgated there under, and a pledge that it will engage in no conduct or operations that contravene such mandatory provisions and that it will otherwise obey the Convention and regulations in all respects.  The applicant must also include a statement that it is aware that failure to comply will result in an order from the Commission to cease and desist from future violations of an ITU regulation and may result in revocation of its RPOA status by the State Department.</w:t>
      </w:r>
    </w:p>
    <w:p w:rsidR="007E72C8" w:rsidP="007E72C8" w14:paraId="1AD1AC88" w14:textId="77777777">
      <w:pPr>
        <w:tabs>
          <w:tab w:val="left" w:pos="-720"/>
        </w:tabs>
        <w:suppressAutoHyphens/>
        <w:rPr>
          <w:sz w:val="24"/>
        </w:rPr>
      </w:pPr>
    </w:p>
    <w:p w:rsidR="007E72C8" w:rsidP="00580479" w14:paraId="78D4A5B5" w14:textId="5A72B09F">
      <w:pPr>
        <w:suppressAutoHyphens/>
      </w:pPr>
      <w:r>
        <w:rPr>
          <w:sz w:val="24"/>
          <w:szCs w:val="24"/>
        </w:rPr>
        <w:t>Previously, we reported that t</w:t>
      </w:r>
      <w:r w:rsidRPr="00C53304">
        <w:rPr>
          <w:sz w:val="24"/>
          <w:szCs w:val="24"/>
        </w:rPr>
        <w:t>he Commission plan</w:t>
      </w:r>
      <w:r>
        <w:rPr>
          <w:sz w:val="24"/>
          <w:szCs w:val="24"/>
        </w:rPr>
        <w:t>s</w:t>
      </w:r>
      <w:r w:rsidRPr="00C53304">
        <w:rPr>
          <w:sz w:val="24"/>
          <w:szCs w:val="24"/>
        </w:rPr>
        <w:t xml:space="preserve"> to develop </w:t>
      </w:r>
      <w:r>
        <w:rPr>
          <w:sz w:val="24"/>
          <w:szCs w:val="24"/>
        </w:rPr>
        <w:t xml:space="preserve">a new request titled, “Recognized Operating Agency (ROA) – Other Filings” </w:t>
      </w:r>
      <w:r w:rsidRPr="00C53304">
        <w:rPr>
          <w:sz w:val="24"/>
          <w:szCs w:val="24"/>
        </w:rPr>
        <w:t xml:space="preserve">that </w:t>
      </w:r>
      <w:r>
        <w:rPr>
          <w:sz w:val="24"/>
          <w:szCs w:val="24"/>
        </w:rPr>
        <w:t xml:space="preserve">will </w:t>
      </w:r>
      <w:r w:rsidRPr="00C53304">
        <w:rPr>
          <w:sz w:val="24"/>
          <w:szCs w:val="24"/>
        </w:rPr>
        <w:t>impact this information collection</w:t>
      </w:r>
      <w:r>
        <w:rPr>
          <w:sz w:val="24"/>
          <w:szCs w:val="24"/>
        </w:rPr>
        <w:t xml:space="preserve"> in the future</w:t>
      </w:r>
      <w:r w:rsidRPr="00C53304">
        <w:rPr>
          <w:sz w:val="24"/>
          <w:szCs w:val="24"/>
        </w:rPr>
        <w:t xml:space="preserve">.  </w:t>
      </w:r>
      <w:r w:rsidRPr="00363B03">
        <w:rPr>
          <w:sz w:val="24"/>
          <w:szCs w:val="24"/>
        </w:rPr>
        <w:t>In addition, t</w:t>
      </w:r>
      <w:r w:rsidRPr="00101A1C">
        <w:rPr>
          <w:sz w:val="24"/>
          <w:szCs w:val="24"/>
        </w:rPr>
        <w:t xml:space="preserve">he Commission plans to develop a modernized electronic filing system for all International Bureau applications (IBFS), including ROA applications.  We do not know the specific time frame for </w:t>
      </w:r>
      <w:r>
        <w:rPr>
          <w:sz w:val="24"/>
          <w:szCs w:val="24"/>
        </w:rPr>
        <w:t>completing</w:t>
      </w:r>
      <w:r w:rsidRPr="00101A1C">
        <w:rPr>
          <w:sz w:val="24"/>
          <w:szCs w:val="24"/>
        </w:rPr>
        <w:t xml:space="preserve"> development of </w:t>
      </w:r>
      <w:r>
        <w:rPr>
          <w:sz w:val="24"/>
          <w:szCs w:val="24"/>
        </w:rPr>
        <w:t>modernized IBFS.</w:t>
      </w:r>
      <w:r w:rsidRPr="00101A1C">
        <w:rPr>
          <w:sz w:val="24"/>
          <w:szCs w:val="24"/>
        </w:rPr>
        <w:t xml:space="preserve">  However, we estimate that the projected completion date </w:t>
      </w:r>
      <w:r>
        <w:rPr>
          <w:sz w:val="24"/>
          <w:szCs w:val="24"/>
        </w:rPr>
        <w:t>will be</w:t>
      </w:r>
      <w:r w:rsidRPr="00101A1C">
        <w:rPr>
          <w:sz w:val="24"/>
          <w:szCs w:val="24"/>
        </w:rPr>
        <w:t xml:space="preserve"> December 2023.  The development of the application forms is contingent upon the availability of budget funds, human resources and other factors.  When the new forms and IBFS modernization are closer to completion, we will submit to OMB a request to revise the </w:t>
      </w:r>
      <w:r w:rsidRPr="00101A1C">
        <w:rPr>
          <w:bCs/>
          <w:sz w:val="24"/>
          <w:szCs w:val="24"/>
        </w:rPr>
        <w:t xml:space="preserve">OMB Control No. </w:t>
      </w:r>
      <w:r w:rsidRPr="004F375D">
        <w:rPr>
          <w:bCs/>
          <w:sz w:val="24"/>
          <w:szCs w:val="24"/>
        </w:rPr>
        <w:t>3060-0357</w:t>
      </w:r>
      <w:r w:rsidRPr="00101A1C">
        <w:rPr>
          <w:bCs/>
          <w:sz w:val="24"/>
          <w:szCs w:val="24"/>
        </w:rPr>
        <w:t xml:space="preserve"> collection. </w:t>
      </w:r>
      <w:r w:rsidRPr="00101A1C">
        <w:rPr>
          <w:sz w:val="24"/>
          <w:szCs w:val="24"/>
        </w:rPr>
        <w:t xml:space="preserve">  </w:t>
      </w:r>
    </w:p>
    <w:p w:rsidR="00F40F0B" w:rsidP="007E72C8" w14:paraId="1FF54BC6" w14:textId="77777777">
      <w:pPr>
        <w:suppressAutoHyphens/>
        <w:rPr>
          <w:sz w:val="24"/>
          <w:szCs w:val="24"/>
        </w:rPr>
      </w:pPr>
    </w:p>
    <w:p w:rsidR="007E72C8" w:rsidP="007E72C8" w14:paraId="5AA9B862" w14:textId="77777777">
      <w:pPr>
        <w:tabs>
          <w:tab w:val="left" w:pos="-720"/>
        </w:tabs>
        <w:suppressAutoHyphens/>
        <w:rPr>
          <w:sz w:val="24"/>
        </w:rPr>
      </w:pPr>
      <w:r>
        <w:rPr>
          <w:sz w:val="24"/>
        </w:rPr>
        <w:t>This information collection does not affect individuals or households; thus, there are no impacts under the Privacy Act.</w:t>
      </w:r>
    </w:p>
    <w:p w:rsidR="007E72C8" w:rsidP="007E72C8" w14:paraId="3C1365C9" w14:textId="77777777">
      <w:pPr>
        <w:tabs>
          <w:tab w:val="left" w:pos="-720"/>
        </w:tabs>
        <w:suppressAutoHyphens/>
        <w:rPr>
          <w:sz w:val="24"/>
        </w:rPr>
      </w:pPr>
      <w:r>
        <w:rPr>
          <w:sz w:val="24"/>
        </w:rPr>
        <w:tab/>
      </w:r>
    </w:p>
    <w:p w:rsidR="007E72C8" w:rsidP="007E72C8" w14:paraId="2F7E0332" w14:textId="77777777">
      <w:pPr>
        <w:tabs>
          <w:tab w:val="left" w:pos="-720"/>
        </w:tabs>
        <w:suppressAutoHyphens/>
        <w:rPr>
          <w:sz w:val="24"/>
        </w:rPr>
      </w:pPr>
      <w:r>
        <w:rPr>
          <w:sz w:val="24"/>
        </w:rPr>
        <w:t>The Commission has authority for this collection pursuant to sections 4(i), 4(j), 201-205, 214 and 403 of the Communications Act of 1934, as amended, 47 U.S.C. 154(j), 201-25, 214 and 403.</w:t>
      </w:r>
    </w:p>
    <w:p w:rsidR="007E72C8" w:rsidP="007E72C8" w14:paraId="343F7942" w14:textId="77777777">
      <w:pPr>
        <w:tabs>
          <w:tab w:val="left" w:pos="-720"/>
        </w:tabs>
        <w:suppressAutoHyphens/>
        <w:rPr>
          <w:sz w:val="24"/>
        </w:rPr>
      </w:pPr>
    </w:p>
    <w:p w:rsidR="007E72C8" w:rsidP="007E72C8" w14:paraId="021B9692" w14:textId="77777777">
      <w:pPr>
        <w:pStyle w:val="BodyText"/>
        <w:tabs>
          <w:tab w:val="clear" w:pos="-720"/>
        </w:tabs>
        <w:rPr>
          <w:b/>
          <w:bCs/>
          <w:sz w:val="22"/>
          <w:szCs w:val="22"/>
          <w:u w:val="single"/>
        </w:rPr>
      </w:pPr>
      <w:r>
        <w:rPr>
          <w:spacing w:val="-3"/>
        </w:rPr>
        <w:t>2.</w:t>
      </w:r>
      <w:r>
        <w:rPr>
          <w:spacing w:val="-3"/>
        </w:rPr>
        <w:tab/>
      </w:r>
      <w:r w:rsidRPr="00FD77BF">
        <w:rPr>
          <w:b/>
          <w:bCs/>
          <w:sz w:val="22"/>
          <w:szCs w:val="22"/>
          <w:u w:val="single"/>
        </w:rPr>
        <w:t>Use of the Information</w:t>
      </w:r>
    </w:p>
    <w:p w:rsidR="007E72C8" w:rsidP="007E72C8" w14:paraId="776C1E5A" w14:textId="77777777">
      <w:pPr>
        <w:pStyle w:val="BodyText"/>
        <w:tabs>
          <w:tab w:val="clear" w:pos="-720"/>
        </w:tabs>
        <w:rPr>
          <w:spacing w:val="-3"/>
        </w:rPr>
      </w:pPr>
    </w:p>
    <w:p w:rsidR="00071941" w:rsidP="007E72C8" w14:paraId="5B9DBD4B" w14:textId="77777777">
      <w:pPr>
        <w:pStyle w:val="BodyText"/>
        <w:tabs>
          <w:tab w:val="clear" w:pos="-720"/>
        </w:tabs>
        <w:rPr>
          <w:spacing w:val="-3"/>
        </w:rPr>
      </w:pPr>
      <w:r>
        <w:rPr>
          <w:spacing w:val="-3"/>
        </w:rPr>
        <w:t xml:space="preserve">The Commission requests this information to make recommendations to the State Department for granting RPOA status to requesting entities.  The Commission does not require entities to request RPOA status.  Rather, this is a voluntary application process for use by companies to persuade foreign governments to allow them to conduct business abroad.  RPOA status also permits companies to join the ITU’s Telecommunication Standardization Sector (ITU-T), which is the </w:t>
      </w:r>
    </w:p>
    <w:p w:rsidR="00071941" w:rsidP="007E72C8" w14:paraId="6FDB9849" w14:textId="77777777">
      <w:pPr>
        <w:pStyle w:val="BodyText"/>
        <w:tabs>
          <w:tab w:val="clear" w:pos="-720"/>
        </w:tabs>
        <w:rPr>
          <w:spacing w:val="-3"/>
        </w:rPr>
      </w:pPr>
    </w:p>
    <w:p w:rsidR="00071941" w:rsidP="007E72C8" w14:paraId="5AC9B6C7" w14:textId="77777777">
      <w:pPr>
        <w:pStyle w:val="BodyText"/>
        <w:tabs>
          <w:tab w:val="clear" w:pos="-720"/>
        </w:tabs>
        <w:rPr>
          <w:spacing w:val="-3"/>
        </w:rPr>
      </w:pPr>
    </w:p>
    <w:p w:rsidR="007E72C8" w:rsidP="007E72C8" w14:paraId="09D54F33" w14:textId="566E268C">
      <w:pPr>
        <w:pStyle w:val="BodyText"/>
        <w:tabs>
          <w:tab w:val="clear" w:pos="-720"/>
        </w:tabs>
        <w:rPr>
          <w:b/>
          <w:spacing w:val="-3"/>
        </w:rPr>
      </w:pPr>
      <w:r>
        <w:rPr>
          <w:spacing w:val="-3"/>
        </w:rPr>
        <w:t>standards-setting body of the ITU.  The information furnished in RPOA requests is collected pursuant to section 63.701 of the Commission rules.</w:t>
      </w:r>
      <w:r>
        <w:rPr>
          <w:rStyle w:val="FootnoteReference"/>
          <w:spacing w:val="-3"/>
        </w:rPr>
        <w:footnoteReference w:id="5"/>
      </w:r>
      <w:r>
        <w:rPr>
          <w:spacing w:val="-3"/>
        </w:rPr>
        <w:t xml:space="preserve">  </w:t>
      </w:r>
    </w:p>
    <w:p w:rsidR="007E72C8" w:rsidP="007E72C8" w14:paraId="191B9063" w14:textId="539D956C">
      <w:pPr>
        <w:pStyle w:val="BodyText"/>
      </w:pPr>
      <w:r>
        <w:tab/>
        <w:t xml:space="preserve"> </w:t>
      </w:r>
    </w:p>
    <w:p w:rsidR="007E72C8" w:rsidP="007E72C8" w14:paraId="517EDB17" w14:textId="77777777">
      <w:pPr>
        <w:widowControl/>
      </w:pPr>
      <w:r>
        <w:rPr>
          <w:sz w:val="24"/>
        </w:rPr>
        <w:t xml:space="preserve">3.  </w:t>
      </w:r>
      <w:r w:rsidRPr="00FD77BF">
        <w:rPr>
          <w:b/>
          <w:bCs/>
          <w:sz w:val="22"/>
          <w:szCs w:val="22"/>
          <w:u w:val="single"/>
        </w:rPr>
        <w:t>Use of Information Technology</w:t>
      </w:r>
    </w:p>
    <w:p w:rsidR="007E72C8" w:rsidP="007E72C8" w14:paraId="0AA7D2E2" w14:textId="77777777">
      <w:pPr>
        <w:tabs>
          <w:tab w:val="left" w:pos="-720"/>
        </w:tabs>
        <w:suppressAutoHyphens/>
        <w:rPr>
          <w:sz w:val="24"/>
        </w:rPr>
      </w:pPr>
      <w:r>
        <w:rPr>
          <w:sz w:val="24"/>
        </w:rPr>
        <w:tab/>
      </w:r>
    </w:p>
    <w:p w:rsidR="007E72C8" w:rsidP="007E72C8" w14:paraId="6351CD30" w14:textId="66254C02">
      <w:pPr>
        <w:tabs>
          <w:tab w:val="left" w:pos="-720"/>
        </w:tabs>
        <w:suppressAutoHyphens/>
        <w:rPr>
          <w:sz w:val="24"/>
        </w:rPr>
      </w:pPr>
      <w:r>
        <w:rPr>
          <w:sz w:val="24"/>
        </w:rPr>
        <w:t xml:space="preserve">As a result of the </w:t>
      </w:r>
      <w:r w:rsidRPr="00101A1C">
        <w:rPr>
          <w:i/>
          <w:sz w:val="24"/>
        </w:rPr>
        <w:t>International E-Filing R&amp;O</w:t>
      </w:r>
      <w:r>
        <w:rPr>
          <w:sz w:val="24"/>
        </w:rPr>
        <w:t>, the Commission requires mandatory electronic filing of RPOA applications.</w:t>
      </w:r>
      <w:r>
        <w:rPr>
          <w:rStyle w:val="FootnoteReference"/>
          <w:sz w:val="24"/>
        </w:rPr>
        <w:footnoteReference w:id="6"/>
      </w:r>
      <w:r>
        <w:rPr>
          <w:sz w:val="24"/>
        </w:rPr>
        <w:t xml:space="preserve">   Therefore, this information collection reflects that </w:t>
      </w:r>
      <w:r w:rsidR="00F40F0B">
        <w:rPr>
          <w:sz w:val="24"/>
        </w:rPr>
        <w:t xml:space="preserve">all </w:t>
      </w:r>
      <w:r>
        <w:rPr>
          <w:sz w:val="24"/>
        </w:rPr>
        <w:t xml:space="preserve">RPOA applications are filed with the Commission electronically in the International Bureau Filing System (IBFS).  </w:t>
      </w:r>
    </w:p>
    <w:p w:rsidR="007E72C8" w:rsidP="007E72C8" w14:paraId="5439A744" w14:textId="77777777">
      <w:pPr>
        <w:tabs>
          <w:tab w:val="left" w:pos="-720"/>
        </w:tabs>
        <w:suppressAutoHyphens/>
        <w:rPr>
          <w:sz w:val="24"/>
        </w:rPr>
      </w:pPr>
      <w:r>
        <w:rPr>
          <w:sz w:val="24"/>
        </w:rPr>
        <w:tab/>
      </w:r>
    </w:p>
    <w:p w:rsidR="007E72C8" w:rsidP="007E72C8" w14:paraId="42D2CD12" w14:textId="77777777">
      <w:pPr>
        <w:tabs>
          <w:tab w:val="left" w:pos="-720"/>
        </w:tabs>
        <w:suppressAutoHyphens/>
        <w:rPr>
          <w:sz w:val="24"/>
        </w:rPr>
      </w:pPr>
      <w:r>
        <w:rPr>
          <w:sz w:val="24"/>
        </w:rPr>
        <w:t>4.</w:t>
      </w:r>
      <w:r>
        <w:rPr>
          <w:sz w:val="24"/>
        </w:rPr>
        <w:tab/>
      </w:r>
      <w:r w:rsidRPr="00580479">
        <w:rPr>
          <w:b/>
          <w:bCs/>
          <w:sz w:val="24"/>
          <w:u w:val="single"/>
        </w:rPr>
        <w:t>Non-Duplication</w:t>
      </w:r>
    </w:p>
    <w:p w:rsidR="007E72C8" w:rsidP="007E72C8" w14:paraId="2C11FE90" w14:textId="77777777">
      <w:pPr>
        <w:tabs>
          <w:tab w:val="left" w:pos="-720"/>
        </w:tabs>
        <w:suppressAutoHyphens/>
        <w:rPr>
          <w:sz w:val="24"/>
        </w:rPr>
      </w:pPr>
    </w:p>
    <w:p w:rsidR="007E72C8" w:rsidP="007E72C8" w14:paraId="495F97AE" w14:textId="77777777">
      <w:pPr>
        <w:tabs>
          <w:tab w:val="left" w:pos="-720"/>
        </w:tabs>
        <w:suppressAutoHyphens/>
        <w:rPr>
          <w:sz w:val="24"/>
        </w:rPr>
      </w:pPr>
      <w:r>
        <w:rPr>
          <w:sz w:val="24"/>
        </w:rPr>
        <w:t>This information that is collected in these applications is not duplicated elsewhere.  Similar information is not available.</w:t>
      </w:r>
    </w:p>
    <w:p w:rsidR="007E72C8" w:rsidP="007E72C8" w14:paraId="734ABEFB" w14:textId="77777777">
      <w:pPr>
        <w:pStyle w:val="BodyText2"/>
      </w:pPr>
    </w:p>
    <w:p w:rsidR="007E72C8" w:rsidP="007E72C8" w14:paraId="158D9C0C" w14:textId="77777777">
      <w:pPr>
        <w:tabs>
          <w:tab w:val="left" w:pos="-720"/>
        </w:tabs>
        <w:suppressAutoHyphens/>
        <w:rPr>
          <w:sz w:val="24"/>
        </w:rPr>
      </w:pPr>
      <w:r>
        <w:rPr>
          <w:sz w:val="24"/>
        </w:rPr>
        <w:t>5.</w:t>
      </w:r>
      <w:r>
        <w:rPr>
          <w:sz w:val="24"/>
        </w:rPr>
        <w:tab/>
      </w:r>
      <w:r w:rsidRPr="00580479">
        <w:rPr>
          <w:b/>
          <w:bCs/>
          <w:sz w:val="24"/>
          <w:u w:val="single"/>
        </w:rPr>
        <w:t>Burden on Small Business</w:t>
      </w:r>
      <w:r w:rsidRPr="00F878D1">
        <w:rPr>
          <w:sz w:val="24"/>
        </w:rPr>
        <w:t xml:space="preserve"> </w:t>
      </w:r>
    </w:p>
    <w:p w:rsidR="007E72C8" w:rsidP="007E72C8" w14:paraId="74A82B62" w14:textId="77777777">
      <w:pPr>
        <w:tabs>
          <w:tab w:val="left" w:pos="-720"/>
        </w:tabs>
        <w:suppressAutoHyphens/>
        <w:rPr>
          <w:sz w:val="24"/>
        </w:rPr>
      </w:pPr>
    </w:p>
    <w:p w:rsidR="007E72C8" w:rsidP="007E72C8" w14:paraId="72954330" w14:textId="549B7335">
      <w:pPr>
        <w:tabs>
          <w:tab w:val="left" w:pos="-720"/>
        </w:tabs>
        <w:suppressAutoHyphens/>
        <w:rPr>
          <w:sz w:val="24"/>
        </w:rPr>
      </w:pPr>
      <w:r>
        <w:rPr>
          <w:sz w:val="24"/>
        </w:rPr>
        <w:t>This collection of information does not have a significant impact on small entities.  Entities requesting designation as RPOAs traditionally are large entities.  Also, the number of applications the Commission received annually is minimal, and the paperwork burden per application is minimal.</w:t>
      </w:r>
    </w:p>
    <w:p w:rsidR="007E72C8" w:rsidP="007E72C8" w14:paraId="633F7A8D" w14:textId="77777777">
      <w:pPr>
        <w:tabs>
          <w:tab w:val="left" w:pos="-720"/>
        </w:tabs>
        <w:suppressAutoHyphens/>
        <w:rPr>
          <w:sz w:val="24"/>
        </w:rPr>
      </w:pPr>
    </w:p>
    <w:p w:rsidR="007E72C8" w:rsidP="007E72C8" w14:paraId="154D65A4" w14:textId="77777777">
      <w:pPr>
        <w:tabs>
          <w:tab w:val="left" w:pos="-720"/>
        </w:tabs>
        <w:suppressAutoHyphens/>
        <w:rPr>
          <w:sz w:val="24"/>
        </w:rPr>
      </w:pPr>
      <w:r>
        <w:rPr>
          <w:sz w:val="24"/>
        </w:rPr>
        <w:t>6.</w:t>
      </w:r>
      <w:r>
        <w:rPr>
          <w:sz w:val="24"/>
        </w:rPr>
        <w:tab/>
      </w:r>
      <w:r w:rsidRPr="00580479">
        <w:rPr>
          <w:b/>
          <w:bCs/>
          <w:sz w:val="24"/>
          <w:u w:val="single"/>
        </w:rPr>
        <w:t>Critical Nature of Collection</w:t>
      </w:r>
      <w:r w:rsidRPr="00BD4CE3">
        <w:rPr>
          <w:sz w:val="24"/>
        </w:rPr>
        <w:t xml:space="preserve"> </w:t>
      </w:r>
    </w:p>
    <w:p w:rsidR="007E72C8" w:rsidP="007E72C8" w14:paraId="55410611" w14:textId="77777777">
      <w:pPr>
        <w:tabs>
          <w:tab w:val="left" w:pos="-720"/>
        </w:tabs>
        <w:suppressAutoHyphens/>
        <w:rPr>
          <w:sz w:val="24"/>
        </w:rPr>
      </w:pPr>
    </w:p>
    <w:p w:rsidR="007E72C8" w:rsidP="007E72C8" w14:paraId="3A928A93" w14:textId="77777777">
      <w:pPr>
        <w:tabs>
          <w:tab w:val="left" w:pos="-720"/>
        </w:tabs>
        <w:suppressAutoHyphens/>
        <w:rPr>
          <w:sz w:val="24"/>
        </w:rPr>
      </w:pPr>
      <w:r>
        <w:rPr>
          <w:sz w:val="24"/>
        </w:rPr>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7E72C8" w:rsidP="007E72C8" w14:paraId="22DAFF6C" w14:textId="77777777">
      <w:pPr>
        <w:tabs>
          <w:tab w:val="left" w:pos="-720"/>
        </w:tabs>
        <w:suppressAutoHyphens/>
        <w:rPr>
          <w:sz w:val="24"/>
        </w:rPr>
      </w:pPr>
    </w:p>
    <w:p w:rsidR="007E72C8" w:rsidP="007E72C8" w14:paraId="468599CA" w14:textId="77777777">
      <w:pPr>
        <w:tabs>
          <w:tab w:val="left" w:pos="-720"/>
        </w:tabs>
        <w:suppressAutoHyphens/>
        <w:rPr>
          <w:sz w:val="24"/>
        </w:rPr>
      </w:pPr>
      <w:r>
        <w:rPr>
          <w:sz w:val="24"/>
        </w:rPr>
        <w:t>7.</w:t>
      </w:r>
      <w:r>
        <w:rPr>
          <w:sz w:val="24"/>
        </w:rPr>
        <w:tab/>
      </w:r>
      <w:r w:rsidRPr="00580479">
        <w:rPr>
          <w:b/>
          <w:bCs/>
          <w:sz w:val="24"/>
          <w:u w:val="single"/>
        </w:rPr>
        <w:t>Special Circumstances</w:t>
      </w:r>
      <w:r w:rsidRPr="00C2489B">
        <w:rPr>
          <w:sz w:val="24"/>
        </w:rPr>
        <w:t xml:space="preserve"> </w:t>
      </w:r>
    </w:p>
    <w:p w:rsidR="007E72C8" w:rsidP="007E72C8" w14:paraId="0E69C622" w14:textId="77777777">
      <w:pPr>
        <w:tabs>
          <w:tab w:val="left" w:pos="-720"/>
        </w:tabs>
        <w:suppressAutoHyphens/>
        <w:rPr>
          <w:sz w:val="24"/>
        </w:rPr>
      </w:pPr>
    </w:p>
    <w:p w:rsidR="007E72C8" w:rsidP="007E72C8" w14:paraId="0AE2C179" w14:textId="77777777">
      <w:pPr>
        <w:tabs>
          <w:tab w:val="left" w:pos="-720"/>
        </w:tabs>
        <w:suppressAutoHyphens/>
        <w:rPr>
          <w:sz w:val="24"/>
        </w:rPr>
      </w:pPr>
      <w:r w:rsidRPr="0065462A">
        <w:rPr>
          <w:sz w:val="24"/>
        </w:rPr>
        <w:t xml:space="preserve">There are no special circumstances associated with this collection of information.  </w:t>
      </w:r>
    </w:p>
    <w:p w:rsidR="007E72C8" w:rsidP="007E72C8" w14:paraId="3824FE7F" w14:textId="77777777">
      <w:pPr>
        <w:tabs>
          <w:tab w:val="left" w:pos="-720"/>
        </w:tabs>
        <w:suppressAutoHyphens/>
        <w:rPr>
          <w:sz w:val="24"/>
        </w:rPr>
      </w:pPr>
    </w:p>
    <w:p w:rsidR="007E72C8" w:rsidP="007E72C8" w14:paraId="7E44292C" w14:textId="77777777">
      <w:pPr>
        <w:tabs>
          <w:tab w:val="left" w:pos="-720"/>
        </w:tabs>
        <w:suppressAutoHyphens/>
        <w:rPr>
          <w:sz w:val="24"/>
          <w:szCs w:val="24"/>
        </w:rPr>
      </w:pPr>
      <w:r>
        <w:rPr>
          <w:sz w:val="24"/>
          <w:szCs w:val="24"/>
        </w:rPr>
        <w:t>8</w:t>
      </w:r>
      <w:r w:rsidRPr="00580479">
        <w:rPr>
          <w:sz w:val="24"/>
          <w:szCs w:val="24"/>
        </w:rPr>
        <w:t xml:space="preserve">.        </w:t>
      </w:r>
      <w:r w:rsidRPr="00580479">
        <w:rPr>
          <w:b/>
          <w:bCs/>
          <w:sz w:val="24"/>
          <w:szCs w:val="24"/>
          <w:u w:val="single"/>
        </w:rPr>
        <w:t>Federal Register of the Agency’s Notice</w:t>
      </w:r>
      <w:r w:rsidRPr="00FC4EA1">
        <w:rPr>
          <w:sz w:val="24"/>
          <w:szCs w:val="24"/>
        </w:rPr>
        <w:t xml:space="preserve"> </w:t>
      </w:r>
    </w:p>
    <w:p w:rsidR="007E72C8" w:rsidP="007E72C8" w14:paraId="17EC716D" w14:textId="77777777">
      <w:pPr>
        <w:tabs>
          <w:tab w:val="left" w:pos="-720"/>
        </w:tabs>
        <w:suppressAutoHyphens/>
        <w:rPr>
          <w:sz w:val="24"/>
          <w:szCs w:val="24"/>
        </w:rPr>
      </w:pPr>
    </w:p>
    <w:p w:rsidR="007E72C8" w:rsidP="007E72C8" w14:paraId="64C82090" w14:textId="73594683">
      <w:pPr>
        <w:tabs>
          <w:tab w:val="left" w:pos="-720"/>
        </w:tabs>
        <w:suppressAutoHyphens/>
        <w:rPr>
          <w:sz w:val="24"/>
        </w:rPr>
      </w:pPr>
      <w:r w:rsidRPr="00DD018C">
        <w:rPr>
          <w:sz w:val="24"/>
        </w:rPr>
        <w:t xml:space="preserve">On </w:t>
      </w:r>
      <w:r w:rsidRPr="00DD018C" w:rsidR="00DD018C">
        <w:rPr>
          <w:sz w:val="24"/>
        </w:rPr>
        <w:t>August 30, 2022 the Commission publis</w:t>
      </w:r>
      <w:r w:rsidRPr="00DD018C">
        <w:rPr>
          <w:sz w:val="24"/>
        </w:rPr>
        <w:t>hed in the Federal Register (</w:t>
      </w:r>
      <w:r w:rsidRPr="00DD018C" w:rsidR="00DD018C">
        <w:rPr>
          <w:sz w:val="24"/>
        </w:rPr>
        <w:t>87 FR 52969</w:t>
      </w:r>
      <w:r w:rsidRPr="00DD018C">
        <w:rPr>
          <w:sz w:val="24"/>
        </w:rPr>
        <w:t>)</w:t>
      </w:r>
      <w:r>
        <w:rPr>
          <w:sz w:val="24"/>
        </w:rPr>
        <w:t xml:space="preserve"> to request comments from the public on the information collection requirements contained in this collection.  No comments were received from the public.</w:t>
      </w:r>
    </w:p>
    <w:p w:rsidR="007E72C8" w:rsidP="007E72C8" w14:paraId="6C961677" w14:textId="0775DC0B">
      <w:pPr>
        <w:tabs>
          <w:tab w:val="left" w:pos="-720"/>
        </w:tabs>
        <w:suppressAutoHyphens/>
        <w:rPr>
          <w:sz w:val="24"/>
          <w:szCs w:val="24"/>
        </w:rPr>
      </w:pPr>
    </w:p>
    <w:p w:rsidR="00071941" w:rsidP="007E72C8" w14:paraId="4F874D1D" w14:textId="14A63771">
      <w:pPr>
        <w:tabs>
          <w:tab w:val="left" w:pos="-720"/>
        </w:tabs>
        <w:suppressAutoHyphens/>
        <w:rPr>
          <w:sz w:val="24"/>
          <w:szCs w:val="24"/>
        </w:rPr>
      </w:pPr>
    </w:p>
    <w:p w:rsidR="00071941" w:rsidRPr="000A429C" w:rsidP="007E72C8" w14:paraId="47A99EBA" w14:textId="77777777">
      <w:pPr>
        <w:tabs>
          <w:tab w:val="left" w:pos="-720"/>
        </w:tabs>
        <w:suppressAutoHyphens/>
        <w:rPr>
          <w:sz w:val="24"/>
          <w:szCs w:val="24"/>
        </w:rPr>
      </w:pPr>
    </w:p>
    <w:p w:rsidR="007E72C8" w:rsidP="007E72C8" w14:paraId="54E8D17C" w14:textId="77777777">
      <w:pPr>
        <w:pStyle w:val="BodyText"/>
      </w:pPr>
      <w:r>
        <w:t>9.</w:t>
      </w:r>
      <w:r>
        <w:tab/>
      </w:r>
      <w:r w:rsidRPr="00580479">
        <w:rPr>
          <w:b/>
          <w:bCs/>
          <w:u w:val="single"/>
        </w:rPr>
        <w:t>Gifts or Payment</w:t>
      </w:r>
      <w:r w:rsidRPr="00EB2A64">
        <w:t xml:space="preserve"> </w:t>
      </w:r>
    </w:p>
    <w:p w:rsidR="007E72C8" w:rsidP="007E72C8" w14:paraId="02B95E70" w14:textId="77777777">
      <w:pPr>
        <w:pStyle w:val="BodyText"/>
      </w:pPr>
    </w:p>
    <w:p w:rsidR="007E72C8" w:rsidP="007E72C8" w14:paraId="1C68A0BE" w14:textId="77777777">
      <w:pPr>
        <w:pStyle w:val="BodyText"/>
      </w:pPr>
      <w:r>
        <w:t>The Commission will not provide any payment or gift to respondents.</w:t>
      </w:r>
    </w:p>
    <w:p w:rsidR="007E72C8" w:rsidP="007E72C8" w14:paraId="74EB5963" w14:textId="77777777">
      <w:pPr>
        <w:tabs>
          <w:tab w:val="left" w:pos="-720"/>
        </w:tabs>
        <w:suppressAutoHyphens/>
        <w:rPr>
          <w:sz w:val="24"/>
        </w:rPr>
      </w:pPr>
    </w:p>
    <w:p w:rsidR="007E72C8" w:rsidP="007E72C8" w14:paraId="03D11CEF" w14:textId="77777777">
      <w:pPr>
        <w:tabs>
          <w:tab w:val="left" w:pos="-720"/>
        </w:tabs>
        <w:suppressAutoHyphens/>
        <w:rPr>
          <w:sz w:val="24"/>
        </w:rPr>
      </w:pPr>
      <w:r>
        <w:rPr>
          <w:sz w:val="24"/>
        </w:rPr>
        <w:t>10.</w:t>
      </w:r>
      <w:r>
        <w:rPr>
          <w:sz w:val="24"/>
        </w:rPr>
        <w:tab/>
      </w:r>
      <w:r w:rsidRPr="00580479">
        <w:rPr>
          <w:b/>
          <w:bCs/>
          <w:sz w:val="24"/>
          <w:u w:val="single"/>
        </w:rPr>
        <w:t>Confidentiality</w:t>
      </w:r>
    </w:p>
    <w:p w:rsidR="007E72C8" w:rsidP="007E72C8" w14:paraId="084FBAF2" w14:textId="77777777">
      <w:pPr>
        <w:tabs>
          <w:tab w:val="left" w:pos="-720"/>
        </w:tabs>
        <w:suppressAutoHyphens/>
        <w:rPr>
          <w:sz w:val="24"/>
        </w:rPr>
      </w:pPr>
    </w:p>
    <w:p w:rsidR="007E72C8" w:rsidP="007E72C8" w14:paraId="75C37947" w14:textId="248900B1">
      <w:pPr>
        <w:tabs>
          <w:tab w:val="left" w:pos="-720"/>
        </w:tabs>
        <w:suppressAutoHyphens/>
        <w:rPr>
          <w:sz w:val="24"/>
        </w:rPr>
      </w:pPr>
      <w:r>
        <w:rPr>
          <w:sz w:val="24"/>
        </w:rPr>
        <w:t>Persons who believe that the collection contains confidential information may request confidential treatment under the Commission’s rules.</w:t>
      </w:r>
      <w:r>
        <w:rPr>
          <w:rStyle w:val="FootnoteReference"/>
          <w:sz w:val="24"/>
        </w:rPr>
        <w:footnoteReference w:id="7"/>
      </w:r>
      <w:r>
        <w:rPr>
          <w:sz w:val="24"/>
        </w:rPr>
        <w:t xml:space="preserve">  </w:t>
      </w:r>
    </w:p>
    <w:p w:rsidR="007E72C8" w:rsidP="007E72C8" w14:paraId="67108ECE" w14:textId="77777777">
      <w:pPr>
        <w:tabs>
          <w:tab w:val="left" w:pos="-720"/>
        </w:tabs>
        <w:suppressAutoHyphens/>
        <w:rPr>
          <w:sz w:val="24"/>
        </w:rPr>
      </w:pPr>
    </w:p>
    <w:p w:rsidR="007E72C8" w:rsidP="007E72C8" w14:paraId="014351FA" w14:textId="77777777">
      <w:pPr>
        <w:tabs>
          <w:tab w:val="left" w:pos="-720"/>
        </w:tabs>
        <w:suppressAutoHyphens/>
        <w:rPr>
          <w:sz w:val="24"/>
        </w:rPr>
      </w:pPr>
      <w:r>
        <w:rPr>
          <w:sz w:val="24"/>
        </w:rPr>
        <w:t>11.</w:t>
      </w:r>
      <w:r>
        <w:rPr>
          <w:sz w:val="24"/>
        </w:rPr>
        <w:tab/>
      </w:r>
      <w:r w:rsidRPr="00580479">
        <w:rPr>
          <w:b/>
          <w:bCs/>
          <w:sz w:val="24"/>
          <w:u w:val="single"/>
        </w:rPr>
        <w:t>Sensitive Questions</w:t>
      </w:r>
      <w:r w:rsidRPr="004B58F1">
        <w:rPr>
          <w:sz w:val="24"/>
        </w:rPr>
        <w:t xml:space="preserve"> </w:t>
      </w:r>
    </w:p>
    <w:p w:rsidR="007E72C8" w:rsidP="007E72C8" w14:paraId="0EAC8ED5" w14:textId="77777777">
      <w:pPr>
        <w:tabs>
          <w:tab w:val="left" w:pos="-720"/>
        </w:tabs>
        <w:suppressAutoHyphens/>
        <w:rPr>
          <w:sz w:val="24"/>
        </w:rPr>
      </w:pPr>
    </w:p>
    <w:p w:rsidR="007E72C8" w:rsidP="007E72C8" w14:paraId="0CF03EE6" w14:textId="77777777">
      <w:pPr>
        <w:tabs>
          <w:tab w:val="left" w:pos="-720"/>
        </w:tabs>
        <w:suppressAutoHyphens/>
        <w:rPr>
          <w:sz w:val="24"/>
        </w:rPr>
      </w:pPr>
      <w:r>
        <w:rPr>
          <w:sz w:val="24"/>
        </w:rPr>
        <w:t>The collection does not contain questions of a sensitive nature.</w:t>
      </w:r>
    </w:p>
    <w:p w:rsidR="007E72C8" w:rsidP="007E72C8" w14:paraId="77A9C166" w14:textId="77777777">
      <w:pPr>
        <w:tabs>
          <w:tab w:val="left" w:pos="-720"/>
        </w:tabs>
        <w:suppressAutoHyphens/>
        <w:rPr>
          <w:sz w:val="24"/>
        </w:rPr>
      </w:pPr>
    </w:p>
    <w:p w:rsidR="007E72C8" w:rsidRPr="00580479" w:rsidP="007E72C8" w14:paraId="466D6552" w14:textId="77777777">
      <w:pPr>
        <w:pStyle w:val="BodyText"/>
        <w:rPr>
          <w:u w:val="single"/>
        </w:rPr>
      </w:pPr>
      <w:r>
        <w:t>12.</w:t>
      </w:r>
      <w:r>
        <w:tab/>
      </w:r>
      <w:r w:rsidRPr="00580479">
        <w:rPr>
          <w:b/>
          <w:bCs/>
          <w:u w:val="single"/>
        </w:rPr>
        <w:t>Respondent Cost: Burden, and its Labor Costs (Estimated)</w:t>
      </w:r>
    </w:p>
    <w:p w:rsidR="007E72C8" w:rsidP="007E72C8" w14:paraId="6DD4D560" w14:textId="77777777">
      <w:pPr>
        <w:pStyle w:val="BodyText"/>
      </w:pPr>
    </w:p>
    <w:p w:rsidR="007E72C8" w:rsidP="007E72C8" w14:paraId="190AB4DF" w14:textId="77777777">
      <w:pPr>
        <w:pStyle w:val="BodyText"/>
      </w:pPr>
      <w:r>
        <w:t xml:space="preserve">The Commission receives no more than </w:t>
      </w:r>
      <w:r>
        <w:rPr>
          <w:b/>
        </w:rPr>
        <w:t>five</w:t>
      </w:r>
      <w:r w:rsidRPr="00AC5AC7">
        <w:rPr>
          <w:b/>
        </w:rPr>
        <w:t xml:space="preserve"> applications</w:t>
      </w:r>
      <w:r>
        <w:t xml:space="preserve"> on an annual basis.</w:t>
      </w:r>
      <w:r>
        <w:rPr>
          <w:rStyle w:val="FootnoteReference"/>
        </w:rPr>
        <w:footnoteReference w:id="8"/>
      </w:r>
      <w:r>
        <w:t xml:space="preserve">  We estimate that half of the respondents file these with the use of their in-house staff and undergo an average paperwork burden of five hours to prepare and file each application.  We estimate that the other half of the respondents still rely on outside legal assistance to file their applications.  These respondents undergo a paperwork burden of two hours to coordinate with outside legal assistance who then prepare and file the application.  The annual paperwork burden for this collection is therefore:</w:t>
      </w:r>
    </w:p>
    <w:p w:rsidR="007E72C8" w:rsidP="007E72C8" w14:paraId="4AC97F31" w14:textId="77777777">
      <w:pPr>
        <w:tabs>
          <w:tab w:val="left" w:pos="-720"/>
        </w:tabs>
        <w:suppressAutoHyphens/>
        <w:rPr>
          <w:sz w:val="24"/>
        </w:rPr>
      </w:pPr>
    </w:p>
    <w:p w:rsidR="007E72C8" w:rsidP="007E72C8" w14:paraId="2F214CC6" w14:textId="77777777">
      <w:pPr>
        <w:pStyle w:val="BodyText"/>
      </w:pPr>
      <w:r>
        <w:t>3 respondents using in-house staff</w:t>
      </w:r>
      <w:r>
        <w:tab/>
      </w:r>
      <w:r>
        <w:tab/>
        <w:t>x 5 hrs.</w:t>
      </w:r>
      <w:r>
        <w:tab/>
        <w:t>(preparing applications)</w:t>
      </w:r>
      <w:r>
        <w:tab/>
        <w:t>= 15 hrs.</w:t>
      </w:r>
    </w:p>
    <w:p w:rsidR="007E72C8" w:rsidP="007E72C8" w14:paraId="2B8B16D5" w14:textId="77777777">
      <w:pPr>
        <w:tabs>
          <w:tab w:val="left" w:pos="-720"/>
        </w:tabs>
        <w:suppressAutoHyphens/>
        <w:rPr>
          <w:sz w:val="24"/>
          <w:u w:val="single"/>
        </w:rPr>
      </w:pPr>
      <w:r>
        <w:rPr>
          <w:sz w:val="24"/>
        </w:rPr>
        <w:t>2 respondents using outside legal assistance</w:t>
      </w:r>
      <w:r>
        <w:rPr>
          <w:sz w:val="24"/>
        </w:rPr>
        <w:tab/>
        <w:t xml:space="preserve">x 2 hrs. (consulting)       </w:t>
      </w:r>
      <w:r>
        <w:rPr>
          <w:sz w:val="24"/>
        </w:rPr>
        <w:tab/>
        <w:t xml:space="preserve"> </w:t>
      </w:r>
      <w:r>
        <w:rPr>
          <w:sz w:val="24"/>
        </w:rPr>
        <w:tab/>
        <w:t xml:space="preserve">= </w:t>
      </w:r>
      <w:r>
        <w:rPr>
          <w:sz w:val="24"/>
          <w:u w:val="single"/>
        </w:rPr>
        <w:t>4 hrs.</w:t>
      </w:r>
    </w:p>
    <w:p w:rsidR="007E72C8" w:rsidRPr="0096493E" w:rsidP="007E72C8" w14:paraId="11F7A71F" w14:textId="77777777">
      <w:pPr>
        <w:tabs>
          <w:tab w:val="left" w:pos="-720"/>
        </w:tabs>
        <w:suppressAutoHyphens/>
        <w:rPr>
          <w:b/>
          <w:sz w:val="24"/>
        </w:rPr>
      </w:pPr>
      <w:r>
        <w:rPr>
          <w:sz w:val="24"/>
        </w:rPr>
        <w:t>Total annual paperwork burden</w:t>
      </w:r>
      <w:r>
        <w:rPr>
          <w:sz w:val="24"/>
        </w:rPr>
        <w:tab/>
      </w:r>
      <w:r>
        <w:rPr>
          <w:sz w:val="24"/>
        </w:rPr>
        <w:tab/>
      </w:r>
      <w:r>
        <w:rPr>
          <w:sz w:val="24"/>
        </w:rPr>
        <w:tab/>
      </w:r>
      <w:r>
        <w:rPr>
          <w:sz w:val="24"/>
        </w:rPr>
        <w:tab/>
        <w:t xml:space="preserve">                                    = 19</w:t>
      </w:r>
      <w:r w:rsidRPr="00E627A8">
        <w:rPr>
          <w:sz w:val="24"/>
        </w:rPr>
        <w:t xml:space="preserve"> hrs.</w:t>
      </w:r>
    </w:p>
    <w:p w:rsidR="007E72C8" w:rsidP="007E72C8" w14:paraId="64D31D83" w14:textId="77777777">
      <w:pPr>
        <w:tabs>
          <w:tab w:val="left" w:pos="-720"/>
        </w:tabs>
        <w:suppressAutoHyphens/>
        <w:rPr>
          <w:sz w:val="24"/>
        </w:rPr>
      </w:pPr>
    </w:p>
    <w:p w:rsidR="007E72C8" w:rsidRPr="00F92C93" w:rsidP="00F92C93" w14:paraId="12200ED9" w14:textId="77777777">
      <w:pPr>
        <w:pStyle w:val="FootnoteText"/>
        <w:rPr>
          <w:snapToGrid w:val="0"/>
          <w:sz w:val="24"/>
        </w:rPr>
      </w:pPr>
      <w:r w:rsidRPr="00F92C93">
        <w:rPr>
          <w:sz w:val="24"/>
          <w:szCs w:val="24"/>
        </w:rPr>
        <w:t xml:space="preserve">Respondents’ In-House Costs:  We estimate that the loaded hourly rate for in-house staff at respondents' companies to prepare and file the applications and to consult with outside consultants will be $40. </w:t>
      </w:r>
      <w:r w:rsidRPr="00F92C93">
        <w:rPr>
          <w:snapToGrid w:val="0"/>
          <w:sz w:val="24"/>
        </w:rPr>
        <w:t xml:space="preserve"> </w:t>
      </w:r>
    </w:p>
    <w:p w:rsidR="007E72C8" w:rsidP="007E72C8" w14:paraId="72E64FA7" w14:textId="77777777">
      <w:pPr>
        <w:tabs>
          <w:tab w:val="left" w:pos="-720"/>
        </w:tabs>
        <w:suppressAutoHyphens/>
        <w:rPr>
          <w:sz w:val="24"/>
        </w:rPr>
      </w:pPr>
    </w:p>
    <w:p w:rsidR="007E72C8" w:rsidP="007E72C8" w14:paraId="088ABC0C" w14:textId="77777777">
      <w:pPr>
        <w:tabs>
          <w:tab w:val="left" w:pos="-720"/>
        </w:tabs>
        <w:suppressAutoHyphens/>
        <w:rPr>
          <w:sz w:val="24"/>
        </w:rPr>
      </w:pPr>
      <w:r>
        <w:rPr>
          <w:sz w:val="24"/>
        </w:rPr>
        <w:tab/>
      </w:r>
      <w:r>
        <w:rPr>
          <w:sz w:val="24"/>
        </w:rPr>
        <w:tab/>
      </w:r>
      <w:r>
        <w:rPr>
          <w:sz w:val="24"/>
        </w:rPr>
        <w:tab/>
        <w:t>19 hrs. x $40 per hr. = $760 (In House Costs)</w:t>
      </w:r>
    </w:p>
    <w:p w:rsidR="007E72C8" w:rsidP="007E72C8" w14:paraId="4D5CCDEF" w14:textId="77777777">
      <w:pPr>
        <w:tabs>
          <w:tab w:val="left" w:pos="-720"/>
        </w:tabs>
        <w:suppressAutoHyphens/>
        <w:rPr>
          <w:sz w:val="24"/>
        </w:rPr>
      </w:pPr>
    </w:p>
    <w:p w:rsidR="007E72C8" w:rsidRPr="00580479" w:rsidP="007E72C8" w14:paraId="7C551ECA" w14:textId="77777777">
      <w:pPr>
        <w:pStyle w:val="BodyText"/>
        <w:rPr>
          <w:b/>
          <w:bCs/>
          <w:u w:val="single"/>
        </w:rPr>
      </w:pPr>
      <w:r>
        <w:t>13.</w:t>
      </w:r>
      <w:r w:rsidRPr="00884F71">
        <w:t xml:space="preserve"> </w:t>
      </w:r>
      <w:r w:rsidRPr="00580479">
        <w:rPr>
          <w:b/>
          <w:bCs/>
          <w:u w:val="single"/>
        </w:rPr>
        <w:t>Estimate of the Total Annual Cost Burden to Respondents or Recordkeepers</w:t>
      </w:r>
    </w:p>
    <w:p w:rsidR="007E72C8" w:rsidP="007E72C8" w14:paraId="688B2AD5" w14:textId="77777777">
      <w:pPr>
        <w:pStyle w:val="BodyText"/>
      </w:pPr>
    </w:p>
    <w:p w:rsidR="007E72C8" w:rsidP="007E72C8" w14:paraId="3DF72C88" w14:textId="77777777">
      <w:pPr>
        <w:pStyle w:val="BodyText"/>
      </w:pPr>
      <w:r>
        <w:t xml:space="preserve"> (a).  T</w:t>
      </w:r>
      <w:r w:rsidRPr="004F5F3E">
        <w:t xml:space="preserve">otal </w:t>
      </w:r>
      <w:r>
        <w:t>C</w:t>
      </w:r>
      <w:r w:rsidRPr="004F5F3E">
        <w:t xml:space="preserve">apital and </w:t>
      </w:r>
      <w:r>
        <w:t>S</w:t>
      </w:r>
      <w:r w:rsidRPr="004F5F3E">
        <w:t xml:space="preserve">tart-up </w:t>
      </w:r>
      <w:r>
        <w:t>C</w:t>
      </w:r>
      <w:r w:rsidRPr="004F5F3E">
        <w:t>ost</w:t>
      </w:r>
      <w:r>
        <w:t>.  None.</w:t>
      </w:r>
    </w:p>
    <w:p w:rsidR="007E72C8" w:rsidP="007E72C8" w14:paraId="4E74409C" w14:textId="77777777">
      <w:pPr>
        <w:pStyle w:val="BodyText"/>
      </w:pPr>
      <w:r>
        <w:tab/>
      </w:r>
    </w:p>
    <w:p w:rsidR="007E72C8" w:rsidP="007E72C8" w14:paraId="5CDF8D64" w14:textId="77777777">
      <w:pPr>
        <w:pStyle w:val="BodyText"/>
      </w:pPr>
      <w:r>
        <w:t xml:space="preserve"> (b).  Total operation and maintenance costs:  For this collection, we estimate that half of the </w:t>
      </w:r>
      <w:r>
        <w:t>respondents will use outside legal assistance to prepare and file their applications.  We estimate that respondents pay outside legal assistance approximately $300 per hour for their assistance.  The paperwork burden for each application is 5 hours.  Therefore, 2 applications x 5 hrs. each x $300 per hr. = $3,000.</w:t>
      </w:r>
    </w:p>
    <w:p w:rsidR="007E72C8" w:rsidP="007E72C8" w14:paraId="074024AD" w14:textId="77777777">
      <w:pPr>
        <w:tabs>
          <w:tab w:val="left" w:pos="-720"/>
        </w:tabs>
        <w:suppressAutoHyphens/>
        <w:rPr>
          <w:sz w:val="24"/>
        </w:rPr>
      </w:pPr>
    </w:p>
    <w:p w:rsidR="007E72C8" w:rsidP="007E72C8" w14:paraId="42CBB12D" w14:textId="77777777">
      <w:pPr>
        <w:tabs>
          <w:tab w:val="left" w:pos="-720"/>
        </w:tabs>
        <w:suppressAutoHyphens/>
        <w:rPr>
          <w:sz w:val="24"/>
        </w:rPr>
      </w:pPr>
      <w:bookmarkStart w:id="0" w:name="_Hlk109900964"/>
      <w:r w:rsidRPr="00580479">
        <w:rPr>
          <w:sz w:val="24"/>
        </w:rPr>
        <w:t>The Commission adopted a new schedule of application fees in 2020.</w:t>
      </w:r>
      <w:r>
        <w:rPr>
          <w:rStyle w:val="FootnoteReference"/>
          <w:sz w:val="24"/>
        </w:rPr>
        <w:footnoteReference w:id="9"/>
      </w:r>
      <w:r>
        <w:rPr>
          <w:sz w:val="24"/>
        </w:rPr>
        <w:t xml:space="preserve"> </w:t>
      </w:r>
      <w:r w:rsidRPr="00580479">
        <w:rPr>
          <w:sz w:val="24"/>
        </w:rPr>
        <w:t xml:space="preserve"> </w:t>
      </w:r>
      <w:bookmarkEnd w:id="0"/>
      <w:r>
        <w:rPr>
          <w:sz w:val="24"/>
        </w:rPr>
        <w:t>The filing of each of these applications also entails a $1,145 application fee.</w:t>
      </w:r>
      <w:r>
        <w:rPr>
          <w:rStyle w:val="FootnoteReference"/>
          <w:sz w:val="24"/>
        </w:rPr>
        <w:footnoteReference w:id="10"/>
      </w:r>
      <w:r>
        <w:rPr>
          <w:sz w:val="24"/>
        </w:rPr>
        <w:t xml:space="preserve">  We estimate that five applications are filed annually (3 by in-house staff, and 2 with outside legal assistance).  Therefore, 5 applications x $1,145 = $5,725.</w:t>
      </w:r>
    </w:p>
    <w:p w:rsidR="007E72C8" w:rsidP="007E72C8" w14:paraId="1B58EB42" w14:textId="77777777">
      <w:pPr>
        <w:tabs>
          <w:tab w:val="left" w:pos="-720"/>
        </w:tabs>
        <w:suppressAutoHyphens/>
        <w:rPr>
          <w:sz w:val="24"/>
        </w:rPr>
      </w:pPr>
    </w:p>
    <w:p w:rsidR="007E72C8" w:rsidRPr="004439BC" w:rsidP="007E72C8" w14:paraId="3D4609A2" w14:textId="423CCDA1">
      <w:pPr>
        <w:tabs>
          <w:tab w:val="left" w:pos="-720"/>
        </w:tabs>
        <w:suppressAutoHyphens/>
        <w:rPr>
          <w:sz w:val="24"/>
        </w:rPr>
      </w:pPr>
      <w:r>
        <w:rPr>
          <w:sz w:val="24"/>
        </w:rPr>
        <w:t xml:space="preserve">  (c).   Total annual costs = </w:t>
      </w:r>
      <w:r w:rsidRPr="00580479">
        <w:rPr>
          <w:b/>
          <w:sz w:val="24"/>
        </w:rPr>
        <w:t xml:space="preserve"> </w:t>
      </w:r>
      <w:r w:rsidRPr="00580479">
        <w:rPr>
          <w:bCs/>
          <w:sz w:val="24"/>
        </w:rPr>
        <w:t>$3,000 + $5,725</w:t>
      </w:r>
      <w:r w:rsidRPr="00580479">
        <w:rPr>
          <w:b/>
          <w:sz w:val="24"/>
        </w:rPr>
        <w:t xml:space="preserve"> = $</w:t>
      </w:r>
      <w:r w:rsidR="00DA2A51">
        <w:rPr>
          <w:b/>
          <w:sz w:val="24"/>
        </w:rPr>
        <w:t>8,725</w:t>
      </w:r>
    </w:p>
    <w:p w:rsidR="007E72C8" w:rsidP="007E72C8" w14:paraId="42EC70B5" w14:textId="77777777">
      <w:pPr>
        <w:tabs>
          <w:tab w:val="left" w:pos="-720"/>
        </w:tabs>
        <w:suppressAutoHyphens/>
        <w:rPr>
          <w:sz w:val="24"/>
        </w:rPr>
      </w:pPr>
    </w:p>
    <w:p w:rsidR="007E72C8" w:rsidP="007E72C8" w14:paraId="03AC95F7" w14:textId="77777777">
      <w:pPr>
        <w:tabs>
          <w:tab w:val="left" w:pos="-720"/>
        </w:tabs>
        <w:suppressAutoHyphens/>
        <w:rPr>
          <w:sz w:val="24"/>
        </w:rPr>
      </w:pPr>
      <w:r>
        <w:rPr>
          <w:sz w:val="24"/>
        </w:rPr>
        <w:t>14.</w:t>
      </w:r>
      <w:r>
        <w:rPr>
          <w:sz w:val="24"/>
        </w:rPr>
        <w:tab/>
      </w:r>
      <w:r w:rsidRPr="00101A1C">
        <w:rPr>
          <w:b/>
          <w:bCs/>
          <w:sz w:val="24"/>
        </w:rPr>
        <w:t>Estimates of Annualized Cost to the Federal Government</w:t>
      </w:r>
      <w:r w:rsidRPr="00921889">
        <w:rPr>
          <w:sz w:val="24"/>
        </w:rPr>
        <w:t xml:space="preserve"> </w:t>
      </w:r>
    </w:p>
    <w:p w:rsidR="007E72C8" w:rsidP="007E72C8" w14:paraId="0F01DFC7" w14:textId="77777777">
      <w:pPr>
        <w:tabs>
          <w:tab w:val="left" w:pos="-720"/>
        </w:tabs>
        <w:suppressAutoHyphens/>
        <w:rPr>
          <w:sz w:val="24"/>
        </w:rPr>
      </w:pPr>
    </w:p>
    <w:p w:rsidR="007E72C8" w:rsidRPr="008F0F15" w:rsidP="007E72C8" w14:paraId="0EEA811E" w14:textId="6D85092D">
      <w:pPr>
        <w:tabs>
          <w:tab w:val="left" w:pos="-1440"/>
          <w:tab w:val="left" w:pos="-720"/>
          <w:tab w:val="left" w:pos="720"/>
        </w:tabs>
        <w:suppressAutoHyphens/>
        <w:rPr>
          <w:sz w:val="24"/>
          <w:szCs w:val="24"/>
        </w:rPr>
      </w:pPr>
      <w:r>
        <w:rPr>
          <w:sz w:val="24"/>
          <w:szCs w:val="24"/>
        </w:rPr>
        <w:tab/>
      </w:r>
      <w:r w:rsidRPr="008F0F15">
        <w:rPr>
          <w:sz w:val="24"/>
          <w:szCs w:val="24"/>
        </w:rPr>
        <w:t xml:space="preserve">The cost-based </w:t>
      </w:r>
      <w:r>
        <w:rPr>
          <w:sz w:val="24"/>
          <w:szCs w:val="24"/>
        </w:rPr>
        <w:t xml:space="preserve">application </w:t>
      </w:r>
      <w:r w:rsidRPr="008F0F15">
        <w:rPr>
          <w:sz w:val="24"/>
          <w:szCs w:val="24"/>
        </w:rPr>
        <w:t xml:space="preserve">fees that the Commission adopted for </w:t>
      </w:r>
      <w:r>
        <w:rPr>
          <w:sz w:val="24"/>
          <w:szCs w:val="24"/>
        </w:rPr>
        <w:t>ROA</w:t>
      </w:r>
      <w:r w:rsidRPr="008F0F15">
        <w:rPr>
          <w:sz w:val="24"/>
          <w:szCs w:val="24"/>
        </w:rPr>
        <w:t xml:space="preserve"> applications are provided in item 13 above.  The fee indicated is a reflection of the cost incurred by the Commission for review of that application.  As the Commission stated in the </w:t>
      </w:r>
      <w:r w:rsidRPr="003420A2">
        <w:rPr>
          <w:i/>
          <w:sz w:val="24"/>
          <w:szCs w:val="24"/>
        </w:rPr>
        <w:t xml:space="preserve">2020 Application Fees </w:t>
      </w:r>
      <w:r>
        <w:rPr>
          <w:i/>
          <w:iCs/>
          <w:sz w:val="24"/>
          <w:szCs w:val="24"/>
        </w:rPr>
        <w:t>Notice</w:t>
      </w:r>
      <w:r w:rsidR="0018589B">
        <w:rPr>
          <w:sz w:val="24"/>
          <w:szCs w:val="24"/>
        </w:rPr>
        <w:t xml:space="preserve"> </w:t>
      </w:r>
      <w:bookmarkStart w:id="1" w:name="_Hlk109900822"/>
      <w:r w:rsidRPr="0018589B" w:rsidR="0018589B">
        <w:rPr>
          <w:sz w:val="24"/>
          <w:szCs w:val="24"/>
        </w:rPr>
        <w:t xml:space="preserve">and adopted in the </w:t>
      </w:r>
      <w:r w:rsidRPr="00580479" w:rsidR="0018589B">
        <w:rPr>
          <w:i/>
          <w:iCs/>
          <w:sz w:val="24"/>
          <w:szCs w:val="24"/>
        </w:rPr>
        <w:t>2020 Application Fee</w:t>
      </w:r>
      <w:r w:rsidR="00880AB1">
        <w:rPr>
          <w:i/>
          <w:iCs/>
          <w:sz w:val="24"/>
          <w:szCs w:val="24"/>
        </w:rPr>
        <w:t>s</w:t>
      </w:r>
      <w:r w:rsidRPr="00580479" w:rsidR="0018589B">
        <w:rPr>
          <w:i/>
          <w:iCs/>
          <w:sz w:val="24"/>
          <w:szCs w:val="24"/>
        </w:rPr>
        <w:t xml:space="preserve"> Report and Order</w:t>
      </w:r>
      <w:bookmarkEnd w:id="1"/>
      <w:r w:rsidRPr="0018589B">
        <w:rPr>
          <w:sz w:val="24"/>
          <w:szCs w:val="24"/>
        </w:rPr>
        <w:t>,</w:t>
      </w:r>
      <w:r w:rsidRPr="008F0F15">
        <w:rPr>
          <w:sz w:val="24"/>
          <w:szCs w:val="24"/>
        </w:rPr>
        <w:t xml:space="preserve"> review of all </w:t>
      </w:r>
      <w:r>
        <w:rPr>
          <w:sz w:val="24"/>
          <w:szCs w:val="24"/>
        </w:rPr>
        <w:t>ROA</w:t>
      </w:r>
      <w:r w:rsidRPr="008F0F15">
        <w:rPr>
          <w:sz w:val="24"/>
          <w:szCs w:val="24"/>
        </w:rPr>
        <w:t xml:space="preserve"> applications includes industry analyst processing and review, staff attorney review, and supervisory review.</w:t>
      </w:r>
      <w:bookmarkStart w:id="2" w:name="_Hlk109900861"/>
      <w:r>
        <w:rPr>
          <w:rStyle w:val="FootnoteReference"/>
          <w:sz w:val="24"/>
          <w:szCs w:val="24"/>
        </w:rPr>
        <w:footnoteReference w:id="11"/>
      </w:r>
      <w:r w:rsidRPr="008F0F15">
        <w:rPr>
          <w:sz w:val="24"/>
          <w:szCs w:val="24"/>
        </w:rPr>
        <w:t xml:space="preserve"> </w:t>
      </w:r>
      <w:bookmarkEnd w:id="2"/>
      <w:r w:rsidRPr="008F0F15">
        <w:rPr>
          <w:sz w:val="24"/>
          <w:szCs w:val="24"/>
        </w:rPr>
        <w:t xml:space="preserve"> The Commission’s resources to process a typical new </w:t>
      </w:r>
      <w:r>
        <w:rPr>
          <w:sz w:val="24"/>
          <w:szCs w:val="24"/>
        </w:rPr>
        <w:t>ROA</w:t>
      </w:r>
      <w:r w:rsidRPr="008F0F15">
        <w:rPr>
          <w:sz w:val="24"/>
          <w:szCs w:val="24"/>
        </w:rPr>
        <w:t xml:space="preserve"> application consist of the following (generally): industry analyst processing and review (GS-11/Step 5 employee), staff attorney review (GS-14/Step 5 employee), and supervisory review (GS-15/Step 5 employee).</w:t>
      </w:r>
    </w:p>
    <w:p w:rsidR="007E72C8" w:rsidP="007E72C8" w14:paraId="55681D3C" w14:textId="14CBA3C7">
      <w:pPr>
        <w:tabs>
          <w:tab w:val="left" w:pos="-1440"/>
          <w:tab w:val="left" w:pos="-720"/>
          <w:tab w:val="left" w:pos="720"/>
        </w:tabs>
        <w:suppressAutoHyphens/>
        <w:rPr>
          <w:sz w:val="24"/>
          <w:szCs w:val="24"/>
        </w:rPr>
      </w:pPr>
    </w:p>
    <w:p w:rsidR="00857357" w:rsidP="007E72C8" w14:paraId="6356B905" w14:textId="1104E9B5">
      <w:pPr>
        <w:tabs>
          <w:tab w:val="left" w:pos="-1440"/>
          <w:tab w:val="left" w:pos="-720"/>
          <w:tab w:val="left" w:pos="720"/>
        </w:tabs>
        <w:suppressAutoHyphens/>
        <w:rPr>
          <w:sz w:val="24"/>
          <w:szCs w:val="24"/>
        </w:rPr>
      </w:pPr>
    </w:p>
    <w:p w:rsidR="00857357" w:rsidP="007E72C8" w14:paraId="04868605" w14:textId="37D0294F">
      <w:pPr>
        <w:tabs>
          <w:tab w:val="left" w:pos="-1440"/>
          <w:tab w:val="left" w:pos="-720"/>
          <w:tab w:val="left" w:pos="720"/>
        </w:tabs>
        <w:suppressAutoHyphens/>
        <w:rPr>
          <w:sz w:val="24"/>
          <w:szCs w:val="24"/>
        </w:rPr>
      </w:pPr>
    </w:p>
    <w:p w:rsidR="00857357" w:rsidP="007E72C8" w14:paraId="47CD9E14" w14:textId="36365210">
      <w:pPr>
        <w:tabs>
          <w:tab w:val="left" w:pos="-1440"/>
          <w:tab w:val="left" w:pos="-720"/>
          <w:tab w:val="left" w:pos="720"/>
        </w:tabs>
        <w:suppressAutoHyphens/>
        <w:rPr>
          <w:sz w:val="24"/>
          <w:szCs w:val="24"/>
        </w:rPr>
      </w:pPr>
    </w:p>
    <w:p w:rsidR="00857357" w:rsidP="007E72C8" w14:paraId="5CF6FFC2" w14:textId="0ABEAE6A">
      <w:pPr>
        <w:tabs>
          <w:tab w:val="left" w:pos="-1440"/>
          <w:tab w:val="left" w:pos="-720"/>
          <w:tab w:val="left" w:pos="720"/>
        </w:tabs>
        <w:suppressAutoHyphens/>
        <w:rPr>
          <w:sz w:val="24"/>
          <w:szCs w:val="24"/>
        </w:rPr>
      </w:pPr>
    </w:p>
    <w:p w:rsidR="00857357" w:rsidP="007E72C8" w14:paraId="5035D26D" w14:textId="3BD68919">
      <w:pPr>
        <w:tabs>
          <w:tab w:val="left" w:pos="-1440"/>
          <w:tab w:val="left" w:pos="-720"/>
          <w:tab w:val="left" w:pos="720"/>
        </w:tabs>
        <w:suppressAutoHyphens/>
        <w:rPr>
          <w:sz w:val="24"/>
          <w:szCs w:val="24"/>
        </w:rPr>
      </w:pPr>
    </w:p>
    <w:p w:rsidR="00857357" w:rsidP="007E72C8" w14:paraId="30565455" w14:textId="7AEE08F5">
      <w:pPr>
        <w:tabs>
          <w:tab w:val="left" w:pos="-1440"/>
          <w:tab w:val="left" w:pos="-720"/>
          <w:tab w:val="left" w:pos="720"/>
        </w:tabs>
        <w:suppressAutoHyphens/>
        <w:rPr>
          <w:sz w:val="24"/>
          <w:szCs w:val="24"/>
        </w:rPr>
      </w:pPr>
    </w:p>
    <w:p w:rsidR="00857357" w:rsidP="007E72C8" w14:paraId="18DA952B" w14:textId="14995755">
      <w:pPr>
        <w:tabs>
          <w:tab w:val="left" w:pos="-1440"/>
          <w:tab w:val="left" w:pos="-720"/>
          <w:tab w:val="left" w:pos="720"/>
        </w:tabs>
        <w:suppressAutoHyphens/>
        <w:rPr>
          <w:sz w:val="24"/>
          <w:szCs w:val="24"/>
        </w:rPr>
      </w:pPr>
    </w:p>
    <w:p w:rsidR="00857357" w:rsidP="007E72C8" w14:paraId="59B82102" w14:textId="07D72E5C">
      <w:pPr>
        <w:tabs>
          <w:tab w:val="left" w:pos="-1440"/>
          <w:tab w:val="left" w:pos="-720"/>
          <w:tab w:val="left" w:pos="720"/>
        </w:tabs>
        <w:suppressAutoHyphens/>
        <w:rPr>
          <w:sz w:val="24"/>
          <w:szCs w:val="24"/>
        </w:rPr>
      </w:pPr>
    </w:p>
    <w:p w:rsidR="00857357" w:rsidRPr="008F0F15" w:rsidP="007E72C8" w14:paraId="651A30B9" w14:textId="77777777">
      <w:pPr>
        <w:tabs>
          <w:tab w:val="left" w:pos="-1440"/>
          <w:tab w:val="left" w:pos="-720"/>
          <w:tab w:val="left" w:pos="720"/>
        </w:tabs>
        <w:suppressAutoHyphens/>
        <w:rPr>
          <w:sz w:val="24"/>
          <w:szCs w:val="24"/>
        </w:rPr>
      </w:pPr>
    </w:p>
    <w:tbl>
      <w:tblPr>
        <w:tblW w:w="10132" w:type="dxa"/>
        <w:tblInd w:w="120" w:type="dxa"/>
        <w:tblLayout w:type="fixed"/>
        <w:tblCellMar>
          <w:left w:w="120" w:type="dxa"/>
          <w:right w:w="120" w:type="dxa"/>
        </w:tblCellMar>
        <w:tblLook w:val="0000"/>
      </w:tblPr>
      <w:tblGrid>
        <w:gridCol w:w="1142"/>
        <w:gridCol w:w="1142"/>
        <w:gridCol w:w="1031"/>
        <w:gridCol w:w="1327"/>
        <w:gridCol w:w="1980"/>
        <w:gridCol w:w="3510"/>
      </w:tblGrid>
      <w:tr w14:paraId="2D1F2EDD" w14:textId="77777777" w:rsidTr="00857357">
        <w:tblPrEx>
          <w:tblW w:w="10132" w:type="dxa"/>
          <w:tblInd w:w="120" w:type="dxa"/>
          <w:tblLayout w:type="fixed"/>
          <w:tblCellMar>
            <w:left w:w="120" w:type="dxa"/>
            <w:right w:w="120" w:type="dxa"/>
          </w:tblCellMar>
          <w:tblLook w:val="0000"/>
        </w:tblPrEx>
        <w:trPr>
          <w:trHeight w:val="890"/>
        </w:trPr>
        <w:tc>
          <w:tcPr>
            <w:tcW w:w="1142" w:type="dxa"/>
            <w:tcBorders>
              <w:top w:val="double" w:sz="2" w:space="0" w:color="auto"/>
              <w:left w:val="double" w:sz="2" w:space="0" w:color="auto"/>
              <w:bottom w:val="double" w:sz="2" w:space="0" w:color="auto"/>
            </w:tcBorders>
          </w:tcPr>
          <w:p w:rsidR="00857357" w:rsidP="006479B4" w14:paraId="5B7E7DFC" w14:textId="77777777">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Federal Government Staff</w:t>
            </w:r>
          </w:p>
        </w:tc>
        <w:tc>
          <w:tcPr>
            <w:tcW w:w="1142" w:type="dxa"/>
            <w:tcBorders>
              <w:top w:val="double" w:sz="2" w:space="0" w:color="auto"/>
              <w:left w:val="double" w:sz="7" w:space="0" w:color="auto"/>
              <w:bottom w:val="double" w:sz="2" w:space="0" w:color="auto"/>
            </w:tcBorders>
          </w:tcPr>
          <w:p w:rsidR="00857357" w:rsidP="006479B4" w14:paraId="1EB41F57" w14:textId="77777777">
            <w:pPr>
              <w:tabs>
                <w:tab w:val="left" w:pos="-720"/>
              </w:tabs>
              <w:suppressAutoHyphens/>
              <w:spacing w:before="90" w:after="54"/>
              <w:jc w:val="center"/>
              <w:rPr>
                <w:sz w:val="24"/>
              </w:rPr>
            </w:pPr>
            <w:r>
              <w:rPr>
                <w:sz w:val="24"/>
              </w:rPr>
              <w:t>No.  of Responses</w:t>
            </w:r>
          </w:p>
        </w:tc>
        <w:tc>
          <w:tcPr>
            <w:tcW w:w="1031" w:type="dxa"/>
            <w:tcBorders>
              <w:top w:val="double" w:sz="2" w:space="0" w:color="auto"/>
              <w:left w:val="single" w:sz="7" w:space="0" w:color="auto"/>
              <w:bottom w:val="double" w:sz="2" w:space="0" w:color="auto"/>
            </w:tcBorders>
          </w:tcPr>
          <w:p w:rsidR="00857357" w:rsidP="006479B4" w14:paraId="7F230A91" w14:textId="77777777">
            <w:pPr>
              <w:tabs>
                <w:tab w:val="left" w:pos="-720"/>
              </w:tabs>
              <w:suppressAutoHyphens/>
              <w:spacing w:before="90"/>
              <w:jc w:val="center"/>
              <w:rPr>
                <w:sz w:val="24"/>
              </w:rPr>
            </w:pPr>
            <w:r>
              <w:rPr>
                <w:sz w:val="24"/>
              </w:rPr>
              <w:t>Burden</w:t>
            </w:r>
          </w:p>
          <w:p w:rsidR="00857357" w:rsidP="006479B4" w14:paraId="7E596531" w14:textId="77777777">
            <w:pPr>
              <w:tabs>
                <w:tab w:val="left" w:pos="-720"/>
              </w:tabs>
              <w:suppressAutoHyphens/>
              <w:spacing w:after="54"/>
              <w:jc w:val="center"/>
              <w:rPr>
                <w:sz w:val="24"/>
              </w:rPr>
            </w:pPr>
            <w:r>
              <w:rPr>
                <w:sz w:val="24"/>
              </w:rPr>
              <w:t>Hours</w:t>
            </w:r>
          </w:p>
        </w:tc>
        <w:tc>
          <w:tcPr>
            <w:tcW w:w="1327" w:type="dxa"/>
            <w:tcBorders>
              <w:top w:val="double" w:sz="2" w:space="0" w:color="auto"/>
              <w:left w:val="single" w:sz="7" w:space="0" w:color="auto"/>
              <w:bottom w:val="double" w:sz="2" w:space="0" w:color="auto"/>
            </w:tcBorders>
          </w:tcPr>
          <w:p w:rsidR="00857357" w:rsidP="006479B4" w14:paraId="468C0734" w14:textId="77777777">
            <w:pPr>
              <w:tabs>
                <w:tab w:val="left" w:pos="-720"/>
              </w:tabs>
              <w:suppressAutoHyphens/>
              <w:spacing w:before="90" w:after="54"/>
              <w:jc w:val="center"/>
              <w:rPr>
                <w:sz w:val="24"/>
              </w:rPr>
            </w:pPr>
            <w:r>
              <w:rPr>
                <w:sz w:val="24"/>
              </w:rPr>
              <w:t>Total Hours</w:t>
            </w:r>
          </w:p>
        </w:tc>
        <w:tc>
          <w:tcPr>
            <w:tcW w:w="1980" w:type="dxa"/>
            <w:tcBorders>
              <w:top w:val="double" w:sz="2" w:space="0" w:color="auto"/>
              <w:left w:val="single" w:sz="7" w:space="0" w:color="auto"/>
              <w:bottom w:val="double" w:sz="2" w:space="0" w:color="auto"/>
            </w:tcBorders>
          </w:tcPr>
          <w:p w:rsidR="00857357" w:rsidP="006479B4" w14:paraId="04FD4038" w14:textId="77777777">
            <w:pPr>
              <w:tabs>
                <w:tab w:val="left" w:pos="-720"/>
              </w:tabs>
              <w:suppressAutoHyphens/>
              <w:spacing w:before="90" w:after="54"/>
              <w:rPr>
                <w:sz w:val="24"/>
              </w:rPr>
            </w:pPr>
            <w:r>
              <w:rPr>
                <w:sz w:val="24"/>
              </w:rPr>
              <w:t>Salary per/hour</w:t>
            </w:r>
          </w:p>
        </w:tc>
        <w:tc>
          <w:tcPr>
            <w:tcW w:w="3510" w:type="dxa"/>
            <w:tcBorders>
              <w:top w:val="double" w:sz="2" w:space="0" w:color="auto"/>
              <w:left w:val="single" w:sz="7" w:space="0" w:color="auto"/>
              <w:bottom w:val="double" w:sz="2" w:space="0" w:color="auto"/>
              <w:right w:val="double" w:sz="2" w:space="0" w:color="auto"/>
            </w:tcBorders>
          </w:tcPr>
          <w:p w:rsidR="00857357" w:rsidP="006479B4" w14:paraId="34E415A5" w14:textId="77777777">
            <w:pPr>
              <w:tabs>
                <w:tab w:val="left" w:pos="-720"/>
              </w:tabs>
              <w:suppressAutoHyphens/>
              <w:spacing w:before="90" w:after="54"/>
              <w:jc w:val="center"/>
              <w:rPr>
                <w:sz w:val="24"/>
              </w:rPr>
            </w:pPr>
            <w:r>
              <w:rPr>
                <w:sz w:val="24"/>
              </w:rPr>
              <w:t>Total costs</w:t>
            </w:r>
          </w:p>
        </w:tc>
      </w:tr>
      <w:tr w14:paraId="33DD2B92" w14:textId="77777777" w:rsidTr="00857357">
        <w:tblPrEx>
          <w:tblW w:w="10132" w:type="dxa"/>
          <w:tblInd w:w="120" w:type="dxa"/>
          <w:tblLayout w:type="fixed"/>
          <w:tblCellMar>
            <w:left w:w="120" w:type="dxa"/>
            <w:right w:w="120" w:type="dxa"/>
          </w:tblCellMar>
          <w:tblLook w:val="0000"/>
        </w:tblPrEx>
        <w:trPr>
          <w:trHeight w:val="472"/>
        </w:trPr>
        <w:tc>
          <w:tcPr>
            <w:tcW w:w="1142" w:type="dxa"/>
            <w:tcBorders>
              <w:top w:val="double" w:sz="2" w:space="0" w:color="auto"/>
              <w:left w:val="double" w:sz="2" w:space="0" w:color="auto"/>
              <w:bottom w:val="double" w:sz="2" w:space="0" w:color="auto"/>
            </w:tcBorders>
            <w:vAlign w:val="center"/>
          </w:tcPr>
          <w:p w:rsidR="00857357" w:rsidP="006479B4" w14:paraId="2055AF8D" w14:textId="77777777">
            <w:pPr>
              <w:tabs>
                <w:tab w:val="left" w:pos="-720"/>
              </w:tabs>
              <w:suppressAutoHyphens/>
              <w:spacing w:before="90" w:after="54"/>
              <w:jc w:val="center"/>
              <w:rPr>
                <w:sz w:val="24"/>
              </w:rPr>
            </w:pPr>
            <w:r w:rsidRPr="00C8209D">
              <w:rPr>
                <w:color w:val="000000"/>
                <w:sz w:val="22"/>
                <w:szCs w:val="22"/>
              </w:rPr>
              <w:t>GS-15/Step 5 Attorney</w:t>
            </w:r>
            <w:r>
              <w:rPr>
                <w:color w:val="000000"/>
                <w:sz w:val="22"/>
                <w:szCs w:val="22"/>
              </w:rPr>
              <w:t xml:space="preserve"> (1)</w:t>
            </w:r>
          </w:p>
        </w:tc>
        <w:tc>
          <w:tcPr>
            <w:tcW w:w="1142" w:type="dxa"/>
            <w:tcBorders>
              <w:top w:val="double" w:sz="2" w:space="0" w:color="auto"/>
              <w:left w:val="double" w:sz="7" w:space="0" w:color="auto"/>
              <w:bottom w:val="double" w:sz="2" w:space="0" w:color="auto"/>
            </w:tcBorders>
          </w:tcPr>
          <w:p w:rsidR="00857357" w:rsidP="006479B4" w14:paraId="123C70D8" w14:textId="77777777">
            <w:pPr>
              <w:tabs>
                <w:tab w:val="left" w:pos="-720"/>
              </w:tabs>
              <w:suppressAutoHyphens/>
              <w:spacing w:before="90" w:after="54"/>
              <w:jc w:val="center"/>
              <w:rPr>
                <w:sz w:val="24"/>
              </w:rPr>
            </w:pPr>
            <w:r>
              <w:rPr>
                <w:sz w:val="24"/>
              </w:rPr>
              <w:t>5</w:t>
            </w:r>
          </w:p>
        </w:tc>
        <w:tc>
          <w:tcPr>
            <w:tcW w:w="1031" w:type="dxa"/>
            <w:tcBorders>
              <w:top w:val="double" w:sz="2" w:space="0" w:color="auto"/>
              <w:left w:val="single" w:sz="7" w:space="0" w:color="auto"/>
              <w:bottom w:val="double" w:sz="2" w:space="0" w:color="auto"/>
            </w:tcBorders>
          </w:tcPr>
          <w:p w:rsidR="00857357" w:rsidP="006479B4" w14:paraId="33C1BFEC" w14:textId="77777777">
            <w:pPr>
              <w:tabs>
                <w:tab w:val="left" w:pos="-720"/>
              </w:tabs>
              <w:suppressAutoHyphens/>
              <w:spacing w:before="90" w:after="54"/>
              <w:jc w:val="center"/>
              <w:rPr>
                <w:sz w:val="24"/>
              </w:rPr>
            </w:pPr>
            <w:r>
              <w:rPr>
                <w:sz w:val="24"/>
              </w:rPr>
              <w:t>3</w:t>
            </w:r>
          </w:p>
        </w:tc>
        <w:tc>
          <w:tcPr>
            <w:tcW w:w="1327" w:type="dxa"/>
            <w:tcBorders>
              <w:top w:val="double" w:sz="2" w:space="0" w:color="auto"/>
              <w:left w:val="single" w:sz="7" w:space="0" w:color="auto"/>
              <w:bottom w:val="double" w:sz="2" w:space="0" w:color="auto"/>
            </w:tcBorders>
          </w:tcPr>
          <w:p w:rsidR="00857357" w:rsidP="006479B4" w14:paraId="2AEC9614" w14:textId="77777777">
            <w:pPr>
              <w:tabs>
                <w:tab w:val="left" w:pos="-720"/>
              </w:tabs>
              <w:suppressAutoHyphens/>
              <w:spacing w:before="90" w:after="54"/>
              <w:jc w:val="center"/>
              <w:rPr>
                <w:sz w:val="24"/>
              </w:rPr>
            </w:pPr>
            <w:r>
              <w:rPr>
                <w:sz w:val="24"/>
              </w:rPr>
              <w:t>15</w:t>
            </w:r>
          </w:p>
        </w:tc>
        <w:tc>
          <w:tcPr>
            <w:tcW w:w="1980" w:type="dxa"/>
            <w:tcBorders>
              <w:top w:val="double" w:sz="2" w:space="0" w:color="auto"/>
              <w:left w:val="single" w:sz="7" w:space="0" w:color="auto"/>
              <w:bottom w:val="double" w:sz="2" w:space="0" w:color="auto"/>
            </w:tcBorders>
          </w:tcPr>
          <w:p w:rsidR="00857357" w:rsidP="006479B4" w14:paraId="514652D5" w14:textId="77777777">
            <w:pPr>
              <w:tabs>
                <w:tab w:val="left" w:pos="-720"/>
              </w:tabs>
              <w:suppressAutoHyphens/>
              <w:spacing w:before="90" w:after="54"/>
              <w:jc w:val="center"/>
              <w:rPr>
                <w:sz w:val="24"/>
              </w:rPr>
            </w:pPr>
            <w:r>
              <w:rPr>
                <w:sz w:val="24"/>
              </w:rPr>
              <w:t>$80.63</w:t>
            </w:r>
          </w:p>
        </w:tc>
        <w:tc>
          <w:tcPr>
            <w:tcW w:w="3510" w:type="dxa"/>
            <w:tcBorders>
              <w:top w:val="double" w:sz="2" w:space="0" w:color="auto"/>
              <w:left w:val="single" w:sz="7" w:space="0" w:color="auto"/>
              <w:bottom w:val="double" w:sz="2" w:space="0" w:color="auto"/>
              <w:right w:val="double" w:sz="2" w:space="0" w:color="auto"/>
            </w:tcBorders>
          </w:tcPr>
          <w:p w:rsidR="00857357" w:rsidRPr="00AC5AC7" w:rsidP="006479B4" w14:paraId="0AD54C4F" w14:textId="59C70F04">
            <w:pPr>
              <w:tabs>
                <w:tab w:val="left" w:pos="-720"/>
              </w:tabs>
              <w:suppressAutoHyphens/>
              <w:spacing w:before="90" w:after="54"/>
              <w:jc w:val="center"/>
              <w:rPr>
                <w:b/>
                <w:sz w:val="24"/>
              </w:rPr>
            </w:pPr>
            <w:r>
              <w:rPr>
                <w:b/>
                <w:sz w:val="24"/>
              </w:rPr>
              <w:t>$1,209.45</w:t>
            </w:r>
          </w:p>
        </w:tc>
      </w:tr>
      <w:tr w14:paraId="371B602B" w14:textId="77777777" w:rsidTr="00857357">
        <w:tblPrEx>
          <w:tblW w:w="10132" w:type="dxa"/>
          <w:tblInd w:w="120" w:type="dxa"/>
          <w:tblLayout w:type="fixed"/>
          <w:tblCellMar>
            <w:left w:w="120" w:type="dxa"/>
            <w:right w:w="120" w:type="dxa"/>
          </w:tblCellMar>
          <w:tblLook w:val="0000"/>
        </w:tblPrEx>
        <w:trPr>
          <w:trHeight w:val="472"/>
        </w:trPr>
        <w:tc>
          <w:tcPr>
            <w:tcW w:w="1142" w:type="dxa"/>
            <w:tcBorders>
              <w:top w:val="double" w:sz="2" w:space="0" w:color="auto"/>
              <w:left w:val="double" w:sz="2" w:space="0" w:color="auto"/>
              <w:bottom w:val="double" w:sz="2" w:space="0" w:color="auto"/>
            </w:tcBorders>
            <w:vAlign w:val="center"/>
          </w:tcPr>
          <w:p w:rsidR="00857357" w:rsidP="006479B4" w14:paraId="46DD54B5" w14:textId="77777777">
            <w:pPr>
              <w:tabs>
                <w:tab w:val="left" w:pos="-720"/>
              </w:tabs>
              <w:suppressAutoHyphens/>
              <w:spacing w:before="90" w:after="54"/>
              <w:jc w:val="center"/>
              <w:rPr>
                <w:sz w:val="24"/>
              </w:rPr>
            </w:pPr>
            <w:r w:rsidRPr="00C8209D">
              <w:rPr>
                <w:color w:val="000000"/>
                <w:sz w:val="22"/>
                <w:szCs w:val="22"/>
              </w:rPr>
              <w:t>GS-14/Step 5 Attorney</w:t>
            </w:r>
            <w:r>
              <w:rPr>
                <w:color w:val="000000"/>
                <w:sz w:val="22"/>
                <w:szCs w:val="22"/>
              </w:rPr>
              <w:t xml:space="preserve"> (1)</w:t>
            </w:r>
          </w:p>
        </w:tc>
        <w:tc>
          <w:tcPr>
            <w:tcW w:w="1142" w:type="dxa"/>
            <w:tcBorders>
              <w:top w:val="double" w:sz="2" w:space="0" w:color="auto"/>
              <w:left w:val="double" w:sz="7" w:space="0" w:color="auto"/>
              <w:bottom w:val="double" w:sz="2" w:space="0" w:color="auto"/>
            </w:tcBorders>
          </w:tcPr>
          <w:p w:rsidR="00857357" w:rsidP="006479B4" w14:paraId="34078756" w14:textId="77777777">
            <w:pPr>
              <w:tabs>
                <w:tab w:val="left" w:pos="-720"/>
              </w:tabs>
              <w:suppressAutoHyphens/>
              <w:spacing w:before="90" w:after="54"/>
              <w:jc w:val="center"/>
              <w:rPr>
                <w:sz w:val="24"/>
              </w:rPr>
            </w:pPr>
            <w:r>
              <w:rPr>
                <w:sz w:val="24"/>
              </w:rPr>
              <w:t>5</w:t>
            </w:r>
          </w:p>
        </w:tc>
        <w:tc>
          <w:tcPr>
            <w:tcW w:w="1031" w:type="dxa"/>
            <w:tcBorders>
              <w:top w:val="double" w:sz="2" w:space="0" w:color="auto"/>
              <w:left w:val="single" w:sz="7" w:space="0" w:color="auto"/>
              <w:bottom w:val="double" w:sz="2" w:space="0" w:color="auto"/>
            </w:tcBorders>
          </w:tcPr>
          <w:p w:rsidR="00857357" w:rsidP="006479B4" w14:paraId="1FDFB115" w14:textId="77777777">
            <w:pPr>
              <w:tabs>
                <w:tab w:val="left" w:pos="-720"/>
              </w:tabs>
              <w:suppressAutoHyphens/>
              <w:spacing w:before="90" w:after="54"/>
              <w:jc w:val="center"/>
              <w:rPr>
                <w:sz w:val="24"/>
              </w:rPr>
            </w:pPr>
            <w:r>
              <w:rPr>
                <w:sz w:val="24"/>
              </w:rPr>
              <w:t>6</w:t>
            </w:r>
          </w:p>
        </w:tc>
        <w:tc>
          <w:tcPr>
            <w:tcW w:w="1327" w:type="dxa"/>
            <w:tcBorders>
              <w:top w:val="double" w:sz="2" w:space="0" w:color="auto"/>
              <w:left w:val="single" w:sz="7" w:space="0" w:color="auto"/>
              <w:bottom w:val="double" w:sz="2" w:space="0" w:color="auto"/>
            </w:tcBorders>
          </w:tcPr>
          <w:p w:rsidR="00857357" w:rsidP="006479B4" w14:paraId="63992700" w14:textId="77777777">
            <w:pPr>
              <w:tabs>
                <w:tab w:val="left" w:pos="-720"/>
              </w:tabs>
              <w:suppressAutoHyphens/>
              <w:spacing w:before="90" w:after="54"/>
              <w:jc w:val="center"/>
              <w:rPr>
                <w:sz w:val="24"/>
              </w:rPr>
            </w:pPr>
            <w:r>
              <w:rPr>
                <w:sz w:val="24"/>
              </w:rPr>
              <w:t>30</w:t>
            </w:r>
          </w:p>
        </w:tc>
        <w:tc>
          <w:tcPr>
            <w:tcW w:w="1980" w:type="dxa"/>
            <w:tcBorders>
              <w:top w:val="double" w:sz="2" w:space="0" w:color="auto"/>
              <w:left w:val="single" w:sz="7" w:space="0" w:color="auto"/>
              <w:bottom w:val="double" w:sz="2" w:space="0" w:color="auto"/>
            </w:tcBorders>
          </w:tcPr>
          <w:p w:rsidR="00857357" w:rsidP="006479B4" w14:paraId="057A29EF" w14:textId="77777777">
            <w:pPr>
              <w:tabs>
                <w:tab w:val="left" w:pos="-720"/>
              </w:tabs>
              <w:suppressAutoHyphens/>
              <w:spacing w:before="90" w:after="54"/>
              <w:jc w:val="center"/>
              <w:rPr>
                <w:sz w:val="24"/>
              </w:rPr>
            </w:pPr>
            <w:r>
              <w:rPr>
                <w:sz w:val="24"/>
              </w:rPr>
              <w:t>$68.55</w:t>
            </w:r>
          </w:p>
        </w:tc>
        <w:tc>
          <w:tcPr>
            <w:tcW w:w="3510" w:type="dxa"/>
            <w:tcBorders>
              <w:top w:val="double" w:sz="2" w:space="0" w:color="auto"/>
              <w:left w:val="single" w:sz="7" w:space="0" w:color="auto"/>
              <w:bottom w:val="double" w:sz="2" w:space="0" w:color="auto"/>
              <w:right w:val="double" w:sz="2" w:space="0" w:color="auto"/>
            </w:tcBorders>
          </w:tcPr>
          <w:p w:rsidR="00857357" w:rsidRPr="00AC5AC7" w:rsidP="006479B4" w14:paraId="41C4D490" w14:textId="7D0E77D6">
            <w:pPr>
              <w:tabs>
                <w:tab w:val="left" w:pos="-720"/>
              </w:tabs>
              <w:suppressAutoHyphens/>
              <w:spacing w:before="90" w:after="54"/>
              <w:jc w:val="center"/>
              <w:rPr>
                <w:b/>
                <w:sz w:val="24"/>
              </w:rPr>
            </w:pPr>
            <w:r>
              <w:rPr>
                <w:b/>
                <w:sz w:val="24"/>
              </w:rPr>
              <w:t>$2,056.50</w:t>
            </w:r>
          </w:p>
        </w:tc>
      </w:tr>
      <w:tr w14:paraId="2CA2DB41" w14:textId="77777777" w:rsidTr="00857357">
        <w:tblPrEx>
          <w:tblW w:w="10132" w:type="dxa"/>
          <w:tblInd w:w="120" w:type="dxa"/>
          <w:tblLayout w:type="fixed"/>
          <w:tblCellMar>
            <w:left w:w="120" w:type="dxa"/>
            <w:right w:w="120" w:type="dxa"/>
          </w:tblCellMar>
          <w:tblLook w:val="0000"/>
        </w:tblPrEx>
        <w:trPr>
          <w:trHeight w:val="472"/>
        </w:trPr>
        <w:tc>
          <w:tcPr>
            <w:tcW w:w="1142" w:type="dxa"/>
            <w:tcBorders>
              <w:top w:val="double" w:sz="2" w:space="0" w:color="auto"/>
              <w:left w:val="double" w:sz="2" w:space="0" w:color="auto"/>
              <w:bottom w:val="double" w:sz="2" w:space="0" w:color="auto"/>
            </w:tcBorders>
            <w:vAlign w:val="center"/>
          </w:tcPr>
          <w:p w:rsidR="00857357" w:rsidP="006479B4" w14:paraId="304532E1" w14:textId="77777777">
            <w:pPr>
              <w:tabs>
                <w:tab w:val="left" w:pos="-720"/>
              </w:tabs>
              <w:suppressAutoHyphens/>
              <w:spacing w:before="90" w:after="54"/>
              <w:jc w:val="center"/>
              <w:rPr>
                <w:sz w:val="24"/>
              </w:rPr>
            </w:pPr>
            <w:r w:rsidRPr="00C8209D">
              <w:rPr>
                <w:color w:val="000000"/>
                <w:sz w:val="22"/>
                <w:szCs w:val="22"/>
              </w:rPr>
              <w:t>GS-11/Step 5 Administrative Assistant</w:t>
            </w:r>
            <w:r>
              <w:rPr>
                <w:color w:val="000000"/>
                <w:sz w:val="22"/>
                <w:szCs w:val="22"/>
              </w:rPr>
              <w:t xml:space="preserve"> (1)</w:t>
            </w:r>
          </w:p>
        </w:tc>
        <w:tc>
          <w:tcPr>
            <w:tcW w:w="1142" w:type="dxa"/>
            <w:tcBorders>
              <w:top w:val="double" w:sz="2" w:space="0" w:color="auto"/>
              <w:left w:val="double" w:sz="7" w:space="0" w:color="auto"/>
              <w:bottom w:val="double" w:sz="2" w:space="0" w:color="auto"/>
            </w:tcBorders>
          </w:tcPr>
          <w:p w:rsidR="00857357" w:rsidP="006479B4" w14:paraId="69BDB2BC" w14:textId="77777777">
            <w:pPr>
              <w:tabs>
                <w:tab w:val="left" w:pos="-720"/>
              </w:tabs>
              <w:suppressAutoHyphens/>
              <w:spacing w:before="90" w:after="54"/>
              <w:jc w:val="center"/>
              <w:rPr>
                <w:sz w:val="24"/>
              </w:rPr>
            </w:pPr>
            <w:r>
              <w:rPr>
                <w:sz w:val="24"/>
              </w:rPr>
              <w:t>5</w:t>
            </w:r>
          </w:p>
        </w:tc>
        <w:tc>
          <w:tcPr>
            <w:tcW w:w="1031" w:type="dxa"/>
            <w:tcBorders>
              <w:top w:val="double" w:sz="2" w:space="0" w:color="auto"/>
              <w:left w:val="single" w:sz="7" w:space="0" w:color="auto"/>
              <w:bottom w:val="double" w:sz="2" w:space="0" w:color="auto"/>
            </w:tcBorders>
          </w:tcPr>
          <w:p w:rsidR="00857357" w:rsidP="006479B4" w14:paraId="2D7EBDB3" w14:textId="77777777">
            <w:pPr>
              <w:tabs>
                <w:tab w:val="left" w:pos="-720"/>
              </w:tabs>
              <w:suppressAutoHyphens/>
              <w:spacing w:before="90" w:after="54"/>
              <w:jc w:val="center"/>
              <w:rPr>
                <w:sz w:val="24"/>
              </w:rPr>
            </w:pPr>
            <w:r>
              <w:rPr>
                <w:sz w:val="24"/>
              </w:rPr>
              <w:t>2.5</w:t>
            </w:r>
          </w:p>
        </w:tc>
        <w:tc>
          <w:tcPr>
            <w:tcW w:w="1327" w:type="dxa"/>
            <w:tcBorders>
              <w:top w:val="double" w:sz="2" w:space="0" w:color="auto"/>
              <w:left w:val="single" w:sz="7" w:space="0" w:color="auto"/>
              <w:bottom w:val="double" w:sz="2" w:space="0" w:color="auto"/>
            </w:tcBorders>
          </w:tcPr>
          <w:p w:rsidR="00857357" w:rsidP="006479B4" w14:paraId="724048FA" w14:textId="77777777">
            <w:pPr>
              <w:tabs>
                <w:tab w:val="left" w:pos="-720"/>
              </w:tabs>
              <w:suppressAutoHyphens/>
              <w:spacing w:before="90" w:after="54"/>
              <w:jc w:val="center"/>
              <w:rPr>
                <w:sz w:val="24"/>
              </w:rPr>
            </w:pPr>
            <w:r>
              <w:rPr>
                <w:sz w:val="24"/>
              </w:rPr>
              <w:t>12.5</w:t>
            </w:r>
          </w:p>
        </w:tc>
        <w:tc>
          <w:tcPr>
            <w:tcW w:w="1980" w:type="dxa"/>
            <w:tcBorders>
              <w:top w:val="double" w:sz="2" w:space="0" w:color="auto"/>
              <w:left w:val="single" w:sz="7" w:space="0" w:color="auto"/>
              <w:bottom w:val="double" w:sz="2" w:space="0" w:color="auto"/>
            </w:tcBorders>
          </w:tcPr>
          <w:p w:rsidR="00857357" w:rsidP="006479B4" w14:paraId="273C8D91" w14:textId="77777777">
            <w:pPr>
              <w:tabs>
                <w:tab w:val="left" w:pos="-720"/>
              </w:tabs>
              <w:suppressAutoHyphens/>
              <w:spacing w:before="90" w:after="54"/>
              <w:jc w:val="center"/>
              <w:rPr>
                <w:sz w:val="24"/>
              </w:rPr>
            </w:pPr>
            <w:r>
              <w:rPr>
                <w:sz w:val="24"/>
              </w:rPr>
              <w:t>$40.70</w:t>
            </w:r>
          </w:p>
        </w:tc>
        <w:tc>
          <w:tcPr>
            <w:tcW w:w="3510" w:type="dxa"/>
            <w:tcBorders>
              <w:top w:val="double" w:sz="2" w:space="0" w:color="auto"/>
              <w:left w:val="single" w:sz="7" w:space="0" w:color="auto"/>
              <w:bottom w:val="double" w:sz="2" w:space="0" w:color="auto"/>
              <w:right w:val="double" w:sz="2" w:space="0" w:color="auto"/>
            </w:tcBorders>
          </w:tcPr>
          <w:p w:rsidR="00857357" w:rsidRPr="00AC5AC7" w:rsidP="006479B4" w14:paraId="4B3E35CD" w14:textId="272DA012">
            <w:pPr>
              <w:tabs>
                <w:tab w:val="left" w:pos="-720"/>
              </w:tabs>
              <w:suppressAutoHyphens/>
              <w:spacing w:before="90" w:after="54"/>
              <w:jc w:val="center"/>
              <w:rPr>
                <w:b/>
                <w:sz w:val="24"/>
              </w:rPr>
            </w:pPr>
            <w:r>
              <w:rPr>
                <w:b/>
                <w:sz w:val="24"/>
              </w:rPr>
              <w:t>$508.75</w:t>
            </w:r>
          </w:p>
        </w:tc>
      </w:tr>
    </w:tbl>
    <w:p w:rsidR="007E72C8" w:rsidP="007E72C8" w14:paraId="7EC22806" w14:textId="77777777">
      <w:pPr>
        <w:pStyle w:val="FootnoteText"/>
      </w:pPr>
    </w:p>
    <w:p w:rsidR="007E72C8" w:rsidRPr="008F0F15" w:rsidP="007E72C8" w14:paraId="79865F18" w14:textId="085E1EE2">
      <w:pPr>
        <w:tabs>
          <w:tab w:val="left" w:pos="-720"/>
        </w:tabs>
        <w:suppressAutoHyphens/>
        <w:rPr>
          <w:sz w:val="24"/>
          <w:szCs w:val="24"/>
        </w:rPr>
      </w:pPr>
      <w:r w:rsidRPr="008F0F15">
        <w:rPr>
          <w:sz w:val="24"/>
          <w:szCs w:val="24"/>
        </w:rPr>
        <w:t>The combined cost to the</w:t>
      </w:r>
      <w:r w:rsidR="00857357">
        <w:rPr>
          <w:sz w:val="24"/>
          <w:szCs w:val="24"/>
        </w:rPr>
        <w:t xml:space="preserve"> Federal</w:t>
      </w:r>
      <w:r w:rsidRPr="008F0F15">
        <w:rPr>
          <w:sz w:val="24"/>
          <w:szCs w:val="24"/>
        </w:rPr>
        <w:t xml:space="preserve"> Government is </w:t>
      </w:r>
      <w:r>
        <w:rPr>
          <w:b/>
          <w:sz w:val="24"/>
        </w:rPr>
        <w:t>$1,</w:t>
      </w:r>
      <w:r w:rsidR="00857357">
        <w:rPr>
          <w:b/>
          <w:sz w:val="24"/>
        </w:rPr>
        <w:t>209.45</w:t>
      </w:r>
      <w:r>
        <w:rPr>
          <w:b/>
          <w:sz w:val="24"/>
        </w:rPr>
        <w:t xml:space="preserve"> + $</w:t>
      </w:r>
      <w:r w:rsidR="00857357">
        <w:rPr>
          <w:b/>
          <w:sz w:val="24"/>
        </w:rPr>
        <w:t>2,056.50</w:t>
      </w:r>
      <w:r>
        <w:rPr>
          <w:b/>
          <w:sz w:val="24"/>
        </w:rPr>
        <w:t xml:space="preserve"> + $</w:t>
      </w:r>
      <w:r w:rsidR="00857357">
        <w:rPr>
          <w:b/>
          <w:sz w:val="24"/>
        </w:rPr>
        <w:t>508.75</w:t>
      </w:r>
      <w:r>
        <w:rPr>
          <w:b/>
          <w:sz w:val="24"/>
        </w:rPr>
        <w:t xml:space="preserve"> </w:t>
      </w:r>
      <w:r w:rsidRPr="008F0F15">
        <w:rPr>
          <w:sz w:val="24"/>
          <w:szCs w:val="24"/>
        </w:rPr>
        <w:t>=</w:t>
      </w:r>
      <w:r w:rsidRPr="008F0F15">
        <w:rPr>
          <w:b/>
          <w:sz w:val="24"/>
          <w:szCs w:val="24"/>
        </w:rPr>
        <w:t xml:space="preserve"> $</w:t>
      </w:r>
      <w:r w:rsidR="00857357">
        <w:rPr>
          <w:b/>
          <w:sz w:val="24"/>
          <w:szCs w:val="24"/>
        </w:rPr>
        <w:t>3,774.70</w:t>
      </w:r>
    </w:p>
    <w:p w:rsidR="007E72C8" w:rsidP="007E72C8" w14:paraId="1C4953EA" w14:textId="77777777">
      <w:pPr>
        <w:pStyle w:val="FootnoteText"/>
      </w:pPr>
    </w:p>
    <w:p w:rsidR="007E72C8" w:rsidP="007E72C8" w14:paraId="788A6D04" w14:textId="77777777">
      <w:pPr>
        <w:tabs>
          <w:tab w:val="left" w:pos="-720"/>
        </w:tabs>
        <w:suppressAutoHyphens/>
        <w:rPr>
          <w:sz w:val="24"/>
        </w:rPr>
      </w:pPr>
      <w:r w:rsidRPr="00544065">
        <w:rPr>
          <w:sz w:val="24"/>
        </w:rPr>
        <w:t>15.</w:t>
      </w:r>
      <w:r w:rsidRPr="00544065">
        <w:rPr>
          <w:sz w:val="24"/>
        </w:rPr>
        <w:tab/>
      </w:r>
      <w:bookmarkStart w:id="3" w:name="_Hlk108006772"/>
      <w:r w:rsidRPr="00580479">
        <w:rPr>
          <w:b/>
          <w:bCs/>
          <w:sz w:val="24"/>
          <w:u w:val="single"/>
        </w:rPr>
        <w:t>Reasons for Change in Burden</w:t>
      </w:r>
      <w:r w:rsidRPr="0045303E">
        <w:rPr>
          <w:sz w:val="24"/>
        </w:rPr>
        <w:t xml:space="preserve"> </w:t>
      </w:r>
    </w:p>
    <w:p w:rsidR="007E72C8" w:rsidP="007E72C8" w14:paraId="7185332D" w14:textId="77777777">
      <w:pPr>
        <w:tabs>
          <w:tab w:val="left" w:pos="-720"/>
        </w:tabs>
        <w:suppressAutoHyphens/>
        <w:rPr>
          <w:sz w:val="24"/>
        </w:rPr>
      </w:pPr>
    </w:p>
    <w:p w:rsidR="007E72C8" w:rsidP="007E72C8" w14:paraId="1E0947F3" w14:textId="1E5E4AFF">
      <w:pPr>
        <w:tabs>
          <w:tab w:val="left" w:pos="-720"/>
        </w:tabs>
        <w:suppressAutoHyphens/>
        <w:rPr>
          <w:bCs/>
          <w:sz w:val="24"/>
        </w:rPr>
      </w:pPr>
      <w:r>
        <w:rPr>
          <w:sz w:val="24"/>
        </w:rPr>
        <w:t>There are no program changes to this collection.  There are adjustments as follows:  -5 to the number of respondents, -5 to the annual number of responses, -1</w:t>
      </w:r>
      <w:r w:rsidR="002F7C01">
        <w:rPr>
          <w:sz w:val="24"/>
        </w:rPr>
        <w:t>6</w:t>
      </w:r>
      <w:r>
        <w:rPr>
          <w:sz w:val="24"/>
        </w:rPr>
        <w:t xml:space="preserve"> to the annual burden hours and </w:t>
      </w:r>
      <w:r w:rsidR="00DA3CA8">
        <w:rPr>
          <w:sz w:val="24"/>
        </w:rPr>
        <w:t>-$10,</w:t>
      </w:r>
      <w:r w:rsidR="002F246C">
        <w:rPr>
          <w:sz w:val="24"/>
        </w:rPr>
        <w:t>7</w:t>
      </w:r>
      <w:r w:rsidR="00DA3CA8">
        <w:rPr>
          <w:sz w:val="24"/>
        </w:rPr>
        <w:t xml:space="preserve">25 to the cost burden.  These adjustments are </w:t>
      </w:r>
      <w:r>
        <w:rPr>
          <w:sz w:val="24"/>
        </w:rPr>
        <w:t xml:space="preserve">due to </w:t>
      </w:r>
      <w:r w:rsidR="00DA3CA8">
        <w:rPr>
          <w:sz w:val="24"/>
        </w:rPr>
        <w:t xml:space="preserve">re-evaluation of the figures for this collection.  </w:t>
      </w:r>
      <w:bookmarkEnd w:id="3"/>
    </w:p>
    <w:p w:rsidR="007E72C8" w:rsidRPr="00544065" w:rsidP="007E72C8" w14:paraId="6519FFD4" w14:textId="77777777">
      <w:pPr>
        <w:tabs>
          <w:tab w:val="left" w:pos="-720"/>
        </w:tabs>
        <w:suppressAutoHyphens/>
        <w:rPr>
          <w:b/>
          <w:sz w:val="24"/>
        </w:rPr>
      </w:pPr>
      <w:r w:rsidRPr="00544065">
        <w:rPr>
          <w:b/>
          <w:sz w:val="24"/>
        </w:rPr>
        <w:tab/>
      </w:r>
    </w:p>
    <w:p w:rsidR="007E72C8" w:rsidP="007E72C8" w14:paraId="31785DF4" w14:textId="77777777">
      <w:pPr>
        <w:tabs>
          <w:tab w:val="left" w:pos="-720"/>
        </w:tabs>
        <w:suppressAutoHyphens/>
        <w:rPr>
          <w:sz w:val="24"/>
        </w:rPr>
      </w:pPr>
      <w:r w:rsidRPr="00544065">
        <w:rPr>
          <w:sz w:val="24"/>
        </w:rPr>
        <w:t>16.</w:t>
      </w:r>
      <w:r w:rsidRPr="00544065">
        <w:rPr>
          <w:sz w:val="24"/>
        </w:rPr>
        <w:tab/>
      </w:r>
      <w:r w:rsidRPr="00580479">
        <w:rPr>
          <w:b/>
          <w:bCs/>
          <w:sz w:val="24"/>
          <w:u w:val="single"/>
        </w:rPr>
        <w:t>Publication of Results</w:t>
      </w:r>
      <w:r w:rsidRPr="00635FBF">
        <w:rPr>
          <w:sz w:val="24"/>
        </w:rPr>
        <w:t xml:space="preserve"> </w:t>
      </w:r>
    </w:p>
    <w:p w:rsidR="007E72C8" w:rsidP="007E72C8" w14:paraId="71B92FBB" w14:textId="77777777">
      <w:pPr>
        <w:tabs>
          <w:tab w:val="left" w:pos="-720"/>
        </w:tabs>
        <w:suppressAutoHyphens/>
        <w:rPr>
          <w:sz w:val="24"/>
        </w:rPr>
      </w:pPr>
    </w:p>
    <w:p w:rsidR="007E72C8" w:rsidRPr="00544065" w:rsidP="007E72C8" w14:paraId="68690DD2" w14:textId="77777777">
      <w:pPr>
        <w:tabs>
          <w:tab w:val="left" w:pos="-720"/>
        </w:tabs>
        <w:suppressAutoHyphens/>
        <w:rPr>
          <w:sz w:val="24"/>
        </w:rPr>
      </w:pPr>
      <w:r w:rsidRPr="00544065">
        <w:rPr>
          <w:sz w:val="24"/>
        </w:rPr>
        <w:t>This information will not be tabulated for statistical use.  The data will be used only to act on individual applications.  The Commission does not publish the information but it does make the individual application files available for public inspection.</w:t>
      </w:r>
    </w:p>
    <w:p w:rsidR="007E72C8" w:rsidRPr="00544065" w:rsidP="007E72C8" w14:paraId="214418EB" w14:textId="77777777">
      <w:pPr>
        <w:tabs>
          <w:tab w:val="left" w:pos="-720"/>
        </w:tabs>
        <w:suppressAutoHyphens/>
        <w:rPr>
          <w:sz w:val="24"/>
        </w:rPr>
      </w:pPr>
    </w:p>
    <w:p w:rsidR="007E72C8" w:rsidP="007E72C8" w14:paraId="4C7CAADD" w14:textId="77777777">
      <w:pPr>
        <w:tabs>
          <w:tab w:val="left" w:pos="-720"/>
        </w:tabs>
        <w:suppressAutoHyphens/>
        <w:rPr>
          <w:sz w:val="24"/>
        </w:rPr>
      </w:pPr>
      <w:r w:rsidRPr="00544065">
        <w:rPr>
          <w:sz w:val="24"/>
        </w:rPr>
        <w:t>17.</w:t>
      </w:r>
      <w:r w:rsidRPr="00544065">
        <w:rPr>
          <w:sz w:val="24"/>
        </w:rPr>
        <w:tab/>
      </w:r>
      <w:r w:rsidRPr="00580479">
        <w:rPr>
          <w:b/>
          <w:bCs/>
          <w:sz w:val="24"/>
          <w:u w:val="single"/>
        </w:rPr>
        <w:t>Non-Display of OMB Expiration</w:t>
      </w:r>
      <w:r w:rsidRPr="00C6491C">
        <w:rPr>
          <w:sz w:val="24"/>
        </w:rPr>
        <w:t xml:space="preserve"> </w:t>
      </w:r>
    </w:p>
    <w:p w:rsidR="007E72C8" w:rsidP="007E72C8" w14:paraId="65B3C2AA" w14:textId="77777777">
      <w:pPr>
        <w:tabs>
          <w:tab w:val="left" w:pos="-720"/>
        </w:tabs>
        <w:suppressAutoHyphens/>
        <w:rPr>
          <w:sz w:val="24"/>
        </w:rPr>
      </w:pPr>
    </w:p>
    <w:p w:rsidR="007E72C8" w:rsidRPr="00544065" w:rsidP="007E72C8" w14:paraId="3C3FE08E" w14:textId="77777777">
      <w:pPr>
        <w:tabs>
          <w:tab w:val="left" w:pos="-720"/>
        </w:tabs>
        <w:suppressAutoHyphens/>
        <w:rPr>
          <w:sz w:val="24"/>
        </w:rPr>
      </w:pPr>
      <w:r w:rsidRPr="00544065">
        <w:rPr>
          <w:sz w:val="24"/>
        </w:rPr>
        <w:t xml:space="preserve">No waiver is necessary.  </w:t>
      </w:r>
      <w:r w:rsidRPr="00101A1C">
        <w:rPr>
          <w:sz w:val="24"/>
          <w:szCs w:val="24"/>
        </w:rPr>
        <w:t>The Commission is not seeking approval to not display the expiration date for OMB approval of this information collection.</w:t>
      </w:r>
      <w:r>
        <w:t xml:space="preserve">  </w:t>
      </w:r>
    </w:p>
    <w:p w:rsidR="007E72C8" w:rsidRPr="00544065" w:rsidP="007E72C8" w14:paraId="79967788" w14:textId="77777777">
      <w:pPr>
        <w:tabs>
          <w:tab w:val="left" w:pos="-720"/>
        </w:tabs>
        <w:suppressAutoHyphens/>
        <w:rPr>
          <w:sz w:val="24"/>
        </w:rPr>
      </w:pPr>
    </w:p>
    <w:p w:rsidR="007E72C8" w:rsidP="007E72C8" w14:paraId="1C749558" w14:textId="77777777">
      <w:pPr>
        <w:tabs>
          <w:tab w:val="left" w:pos="-720"/>
        </w:tabs>
        <w:suppressAutoHyphens/>
        <w:rPr>
          <w:sz w:val="24"/>
        </w:rPr>
      </w:pPr>
      <w:r w:rsidRPr="00544065">
        <w:rPr>
          <w:sz w:val="24"/>
        </w:rPr>
        <w:t>18.</w:t>
      </w:r>
      <w:r w:rsidRPr="00544065">
        <w:rPr>
          <w:sz w:val="24"/>
        </w:rPr>
        <w:tab/>
      </w:r>
      <w:r w:rsidRPr="00580479">
        <w:rPr>
          <w:b/>
          <w:bCs/>
          <w:sz w:val="24"/>
          <w:u w:val="single"/>
        </w:rPr>
        <w:t>Exceptions to “Certification for Paperwork Reduction Submissions”</w:t>
      </w:r>
    </w:p>
    <w:p w:rsidR="007E72C8" w:rsidP="007E72C8" w14:paraId="3F920B0A" w14:textId="77777777">
      <w:pPr>
        <w:tabs>
          <w:tab w:val="left" w:pos="-720"/>
        </w:tabs>
        <w:suppressAutoHyphens/>
        <w:rPr>
          <w:sz w:val="24"/>
        </w:rPr>
      </w:pPr>
    </w:p>
    <w:p w:rsidR="007E72C8" w:rsidRPr="00544065" w:rsidP="007E72C8" w14:paraId="60BE4FB4" w14:textId="77777777">
      <w:pPr>
        <w:tabs>
          <w:tab w:val="left" w:pos="-720"/>
        </w:tabs>
        <w:suppressAutoHyphens/>
        <w:rPr>
          <w:sz w:val="24"/>
        </w:rPr>
      </w:pPr>
      <w:r>
        <w:rPr>
          <w:sz w:val="24"/>
        </w:rPr>
        <w:t>There are no exceptions to the Certification Statement</w:t>
      </w:r>
      <w:r w:rsidRPr="00544065">
        <w:rPr>
          <w:bCs/>
          <w:sz w:val="24"/>
        </w:rPr>
        <w:t>.</w:t>
      </w:r>
    </w:p>
    <w:p w:rsidR="007E72C8" w:rsidRPr="00544065" w:rsidP="007E72C8" w14:paraId="00049AC4" w14:textId="77777777">
      <w:pPr>
        <w:tabs>
          <w:tab w:val="left" w:pos="-720"/>
        </w:tabs>
        <w:suppressAutoHyphens/>
        <w:rPr>
          <w:sz w:val="24"/>
        </w:rPr>
      </w:pPr>
    </w:p>
    <w:p w:rsidR="007E72C8" w:rsidRPr="00544065" w:rsidP="007E72C8" w14:paraId="4BB1F3AB" w14:textId="77777777">
      <w:pPr>
        <w:tabs>
          <w:tab w:val="left" w:pos="-720"/>
        </w:tabs>
        <w:suppressAutoHyphens/>
        <w:rPr>
          <w:sz w:val="24"/>
          <w:u w:val="single"/>
        </w:rPr>
      </w:pPr>
      <w:r w:rsidRPr="00544065">
        <w:rPr>
          <w:b/>
          <w:sz w:val="24"/>
          <w:u w:val="single"/>
        </w:rPr>
        <w:t>B.  Collections of Information Employing Statistical Methods.</w:t>
      </w:r>
    </w:p>
    <w:p w:rsidR="007E72C8" w:rsidRPr="00544065" w:rsidP="007E72C8" w14:paraId="04DDD63F" w14:textId="77777777">
      <w:pPr>
        <w:tabs>
          <w:tab w:val="left" w:pos="-720"/>
        </w:tabs>
        <w:suppressAutoHyphens/>
        <w:rPr>
          <w:sz w:val="24"/>
        </w:rPr>
      </w:pPr>
    </w:p>
    <w:p w:rsidR="007E72C8" w:rsidP="007E72C8" w14:paraId="4D70D82C" w14:textId="77777777">
      <w:pPr>
        <w:tabs>
          <w:tab w:val="left" w:pos="-720"/>
        </w:tabs>
        <w:suppressAutoHyphens/>
        <w:rPr>
          <w:sz w:val="24"/>
        </w:rPr>
      </w:pPr>
      <w:r w:rsidRPr="00544065">
        <w:rPr>
          <w:sz w:val="24"/>
        </w:rPr>
        <w:t>The Commission does not employ statistical methods.</w:t>
      </w:r>
    </w:p>
    <w:p w:rsidR="00412FC5" w:rsidRPr="00941DFE" w:rsidP="00941DFE" w14:paraId="67B1AF91" w14:textId="77777777"/>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5DE3" w14:paraId="4C546C66" w14:textId="77777777">
      <w:pPr>
        <w:spacing w:line="20" w:lineRule="exact"/>
      </w:pPr>
    </w:p>
  </w:endnote>
  <w:endnote w:type="continuationSeparator" w:id="1">
    <w:p w:rsidR="00845DE3" w14:paraId="761F5861" w14:textId="77777777">
      <w:r>
        <w:t xml:space="preserve"> </w:t>
      </w:r>
    </w:p>
  </w:endnote>
  <w:endnote w:type="continuationNotice" w:id="2">
    <w:p w:rsidR="00845DE3" w14:paraId="145665D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0E6DA48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F4D96FA" w14:textId="77777777">
    <w:pPr>
      <w:pStyle w:val="Footer"/>
    </w:pPr>
  </w:p>
  <w:p w:rsidR="003660ED" w14:paraId="2383B97C" w14:textId="77777777"/>
  <w:p w:rsidR="003660ED" w14:paraId="094847F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65E247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54A937B4" w14:textId="77777777">
    <w:pPr>
      <w:suppressAutoHyphens/>
      <w:spacing w:line="227" w:lineRule="auto"/>
    </w:pPr>
  </w:p>
  <w:p w:rsidR="003660ED" w:rsidP="000E05FE" w14:paraId="561A85A7" w14:textId="77777777"/>
  <w:p w:rsidR="003660ED" w:rsidP="000E05FE" w14:paraId="70AE6665"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F0EE3EE"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5DE3" w14:paraId="0EE98C90" w14:textId="77777777">
      <w:r>
        <w:separator/>
      </w:r>
    </w:p>
  </w:footnote>
  <w:footnote w:type="continuationSeparator" w:id="1">
    <w:p w:rsidR="00845DE3" w:rsidP="00C721AC" w14:paraId="21A4BC69" w14:textId="77777777">
      <w:pPr>
        <w:spacing w:before="120"/>
      </w:pPr>
      <w:r>
        <w:t xml:space="preserve">(Continued from previous page)  </w:t>
      </w:r>
      <w:r>
        <w:separator/>
      </w:r>
    </w:p>
  </w:footnote>
  <w:footnote w:type="continuationNotice" w:id="2">
    <w:p w:rsidR="00845DE3" w:rsidP="00C721AC" w14:paraId="7F54F809" w14:textId="77777777">
      <w:pPr>
        <w:jc w:val="right"/>
      </w:pPr>
      <w:r>
        <w:t>(continued….)</w:t>
      </w:r>
    </w:p>
  </w:footnote>
  <w:footnote w:id="3">
    <w:p w:rsidR="006F37D9" w14:paraId="5FCC252E" w14:textId="11932800">
      <w:pPr>
        <w:pStyle w:val="FootnoteText"/>
      </w:pPr>
      <w:r>
        <w:rPr>
          <w:rStyle w:val="FootnoteReference"/>
        </w:rPr>
        <w:footnoteRef/>
      </w:r>
      <w:r>
        <w:t xml:space="preserve"> </w:t>
      </w:r>
      <w:r w:rsidR="00DA40F0">
        <w:t>Enhanced services</w:t>
      </w:r>
      <w:r w:rsidR="00C2127E">
        <w:t xml:space="preserve"> are</w:t>
      </w:r>
      <w:r w:rsidRPr="00593402" w:rsidR="00593402">
        <w:t xml:space="preserve"> </w:t>
      </w:r>
      <w:r w:rsidR="00593402">
        <w:t xml:space="preserve">defined in </w:t>
      </w:r>
      <w:r w:rsidR="0076031F">
        <w:t xml:space="preserve">section </w:t>
      </w:r>
      <w:r w:rsidR="00593402">
        <w:t>64.702(a)</w:t>
      </w:r>
      <w:r w:rsidR="0076031F">
        <w:t xml:space="preserve"> of the Commission’s rules</w:t>
      </w:r>
      <w:r w:rsidR="00C2127E">
        <w:t xml:space="preserve"> and</w:t>
      </w:r>
      <w:r w:rsidR="00DA40F0">
        <w:t xml:space="preserve"> </w:t>
      </w:r>
      <w:r w:rsidRPr="00B243BB" w:rsidR="00B243BB">
        <w:t xml:space="preserve">are not regulated under title II of the </w:t>
      </w:r>
      <w:r w:rsidR="006C6CC0">
        <w:t xml:space="preserve">Communications </w:t>
      </w:r>
      <w:r w:rsidRPr="00B243BB" w:rsidR="00B243BB">
        <w:t>Act</w:t>
      </w:r>
      <w:r w:rsidR="00945253">
        <w:t>.</w:t>
      </w:r>
      <w:r w:rsidR="00C2127E">
        <w:t xml:space="preserve">  47 CFR § 64.702(a).</w:t>
      </w:r>
    </w:p>
  </w:footnote>
  <w:footnote w:id="4">
    <w:p w:rsidR="007E72C8" w:rsidRPr="00F92C93" w:rsidP="007E72C8" w14:paraId="59975DCC" w14:textId="5572545A">
      <w:pPr>
        <w:pStyle w:val="FootnoteText"/>
      </w:pPr>
      <w:r w:rsidRPr="00F92C93">
        <w:rPr>
          <w:rStyle w:val="FootnoteReference"/>
        </w:rPr>
        <w:footnoteRef/>
      </w:r>
      <w:r w:rsidRPr="00F92C93">
        <w:t xml:space="preserve"> </w:t>
      </w:r>
      <w:r w:rsidRPr="00580479">
        <w:rPr>
          <w:i/>
          <w:iCs/>
        </w:rPr>
        <w:t>See</w:t>
      </w:r>
      <w:r w:rsidRPr="00F92C93">
        <w:t xml:space="preserve"> 47 CFR § 63.701; </w:t>
      </w:r>
      <w:r w:rsidRPr="00F92C93">
        <w:rPr>
          <w:i/>
        </w:rPr>
        <w:t>International Communications Policies Governing Designation of Recognized Private Operating Agencies, Grants of IRUs in International Facilities and Assignment of Data Network Identification Codes</w:t>
      </w:r>
      <w:r w:rsidRPr="00F92C93">
        <w:t xml:space="preserve">, CC Docket No. 83–1230, Report and Order, 104 F.C.C.2d 208 (1986).       </w:t>
      </w:r>
    </w:p>
  </w:footnote>
  <w:footnote w:id="5">
    <w:p w:rsidR="007E72C8" w:rsidRPr="00F92C93" w:rsidP="007E72C8" w14:paraId="1EF64C67" w14:textId="77777777">
      <w:pPr>
        <w:pStyle w:val="FootnoteText"/>
      </w:pPr>
      <w:r w:rsidRPr="00F92C93">
        <w:rPr>
          <w:rStyle w:val="FootnoteReference"/>
        </w:rPr>
        <w:footnoteRef/>
      </w:r>
      <w:r w:rsidRPr="00F92C93">
        <w:t xml:space="preserve"> 47 CFR § 63.701.</w:t>
      </w:r>
    </w:p>
  </w:footnote>
  <w:footnote w:id="6">
    <w:p w:rsidR="007E72C8" w:rsidRPr="00F92C93" w:rsidP="007E72C8" w14:paraId="69DDD778" w14:textId="77777777">
      <w:r w:rsidRPr="00F92C93">
        <w:rPr>
          <w:rStyle w:val="FootnoteReference"/>
        </w:rPr>
        <w:footnoteRef/>
      </w:r>
      <w:r w:rsidRPr="00F92C93">
        <w:t xml:space="preserve"> </w:t>
      </w:r>
      <w:r w:rsidRPr="00F92C93">
        <w:rPr>
          <w:i/>
          <w:iCs/>
        </w:rPr>
        <w:t>Mandatory Electronic Filing for International Telecommunications Services and Other International Filings</w:t>
      </w:r>
      <w:r w:rsidRPr="00F92C93">
        <w:t xml:space="preserve">, IB Docket No. 04-426, Report and Order, 20 FCC </w:t>
      </w:r>
      <w:r w:rsidRPr="00F92C93">
        <w:t>Rcd</w:t>
      </w:r>
      <w:r w:rsidRPr="00F92C93">
        <w:t>. 9292 (2005)</w:t>
      </w:r>
    </w:p>
    <w:p w:rsidR="007E72C8" w:rsidRPr="00F92C93" w:rsidP="007E72C8" w14:paraId="7E9FFE71" w14:textId="77777777">
      <w:pPr>
        <w:pStyle w:val="FootnoteText"/>
      </w:pPr>
    </w:p>
  </w:footnote>
  <w:footnote w:id="7">
    <w:p w:rsidR="007E72C8" w:rsidRPr="00F92C93" w:rsidP="007E72C8" w14:paraId="5AF12BD0" w14:textId="77777777">
      <w:pPr>
        <w:pStyle w:val="FootnoteText"/>
      </w:pPr>
      <w:r w:rsidRPr="00F92C93">
        <w:rPr>
          <w:rStyle w:val="FootnoteReference"/>
        </w:rPr>
        <w:footnoteRef/>
      </w:r>
      <w:r w:rsidRPr="00F92C93">
        <w:t xml:space="preserve"> </w:t>
      </w:r>
      <w:r w:rsidRPr="00580479">
        <w:rPr>
          <w:i/>
          <w:iCs/>
        </w:rPr>
        <w:t>See</w:t>
      </w:r>
      <w:r w:rsidRPr="00F92C93">
        <w:t xml:space="preserve"> 47 CFR 0.459.</w:t>
      </w:r>
    </w:p>
  </w:footnote>
  <w:footnote w:id="8">
    <w:p w:rsidR="00B4597A" w:rsidRPr="00446457" w:rsidP="00B4597A" w14:paraId="2A45E57C" w14:textId="27D7F2ED">
      <w:pPr>
        <w:pStyle w:val="FootnoteText"/>
      </w:pPr>
      <w:r w:rsidRPr="00F92C93">
        <w:rPr>
          <w:rStyle w:val="FootnoteReference"/>
        </w:rPr>
        <w:footnoteRef/>
      </w:r>
      <w:r w:rsidRPr="00F92C93">
        <w:t xml:space="preserve"> Although our records show only one ROA application filed between 2019-2021, our longer historical records show that the number of ROA filings is likely to fluctuate from year to year.</w:t>
      </w:r>
      <w:r>
        <w:t xml:space="preserve"> </w:t>
      </w:r>
    </w:p>
    <w:p w:rsidR="007E72C8" w:rsidRPr="00F92C93" w:rsidP="007E72C8" w14:paraId="712AA0A7" w14:textId="56818CB4">
      <w:pPr>
        <w:pStyle w:val="FootnoteText"/>
      </w:pPr>
    </w:p>
  </w:footnote>
  <w:footnote w:id="9">
    <w:p w:rsidR="007E72C8" w:rsidRPr="00F92C93" w:rsidP="007E72C8" w14:paraId="0B621B8F" w14:textId="1E1ADE0F">
      <w:pPr>
        <w:pStyle w:val="FootnoteText"/>
      </w:pPr>
      <w:r w:rsidRPr="00F92C93">
        <w:rPr>
          <w:rStyle w:val="FootnoteReference"/>
        </w:rPr>
        <w:footnoteRef/>
      </w:r>
      <w:r w:rsidRPr="00F92C93">
        <w:t xml:space="preserve"> </w:t>
      </w:r>
      <w:r w:rsidRPr="00F92C93">
        <w:rPr>
          <w:i/>
        </w:rPr>
        <w:t>See</w:t>
      </w:r>
      <w:r w:rsidRPr="00F92C93">
        <w:t xml:space="preserve"> </w:t>
      </w:r>
      <w:r w:rsidRPr="00F92C93">
        <w:rPr>
          <w:i/>
        </w:rPr>
        <w:t>Amendment of the Schedule of Application Fees Set Forth in Sections 1.1102 through 1.1109 of the Commission's Rules</w:t>
      </w:r>
      <w:r w:rsidRPr="00F92C93">
        <w:t xml:space="preserve">, MD Docket No. 20-270, Report and Order, 35 FCC </w:t>
      </w:r>
      <w:r w:rsidRPr="00F92C93">
        <w:t>Rcd</w:t>
      </w:r>
      <w:r w:rsidRPr="00F92C93">
        <w:t xml:space="preserve"> 15089 (2020)</w:t>
      </w:r>
      <w:r w:rsidR="00441611">
        <w:t xml:space="preserve">; </w:t>
      </w:r>
      <w:r w:rsidRPr="00BF10D5" w:rsidR="00441611">
        <w:t>Erratum, October 25, 2021, FCC 21-110</w:t>
      </w:r>
      <w:r w:rsidRPr="00F92C93" w:rsidR="00441611">
        <w:t xml:space="preserve"> </w:t>
      </w:r>
      <w:r w:rsidRPr="00F92C93">
        <w:t>(</w:t>
      </w:r>
      <w:r w:rsidRPr="00580479">
        <w:rPr>
          <w:i/>
          <w:iCs/>
        </w:rPr>
        <w:t>2020 Application Fee</w:t>
      </w:r>
      <w:r w:rsidR="00880AB1">
        <w:rPr>
          <w:i/>
          <w:iCs/>
        </w:rPr>
        <w:t>s</w:t>
      </w:r>
      <w:r w:rsidRPr="00580479">
        <w:rPr>
          <w:i/>
          <w:iCs/>
        </w:rPr>
        <w:t xml:space="preserve"> Report and Order</w:t>
      </w:r>
      <w:r w:rsidRPr="00F92C93">
        <w:t>).  The new and revised application fees apply to a broad spectrum of filings processed by the Commission, including applications for ROAs.</w:t>
      </w:r>
      <w:r w:rsidR="00F92C93">
        <w:t xml:space="preserve"> </w:t>
      </w:r>
      <w:r w:rsidR="00441611">
        <w:t xml:space="preserve"> </w:t>
      </w:r>
      <w:r w:rsidR="00F92C93">
        <w:t xml:space="preserve">The application fees are based on the Commission’s costs associated with processing </w:t>
      </w:r>
      <w:r w:rsidR="0018589B">
        <w:t>those applications.</w:t>
      </w:r>
    </w:p>
  </w:footnote>
  <w:footnote w:id="10">
    <w:p w:rsidR="007E72C8" w:rsidRPr="00F92C93" w:rsidP="007E72C8" w14:paraId="4DC7FE36" w14:textId="3BFDF6E2">
      <w:pPr>
        <w:pStyle w:val="FootnoteText"/>
      </w:pPr>
      <w:r w:rsidRPr="00F92C93">
        <w:rPr>
          <w:rStyle w:val="FootnoteReference"/>
        </w:rPr>
        <w:footnoteRef/>
      </w:r>
      <w:r w:rsidRPr="00F92C93">
        <w:t xml:space="preserve"> </w:t>
      </w:r>
      <w:r w:rsidRPr="00580479">
        <w:rPr>
          <w:i/>
          <w:iCs/>
        </w:rPr>
        <w:t>Id</w:t>
      </w:r>
      <w:r w:rsidRPr="00F92C93">
        <w:t xml:space="preserve">. at [x]. </w:t>
      </w:r>
    </w:p>
  </w:footnote>
  <w:footnote w:id="11">
    <w:p w:rsidR="007E72C8" w:rsidRPr="00F92C93" w:rsidP="007E72C8" w14:paraId="52063E95" w14:textId="18F52108">
      <w:pPr>
        <w:pStyle w:val="FootnoteText"/>
      </w:pPr>
      <w:r w:rsidRPr="00F92C93">
        <w:rPr>
          <w:rStyle w:val="FootnoteReference"/>
        </w:rPr>
        <w:footnoteRef/>
      </w:r>
      <w:r w:rsidRPr="00F92C93">
        <w:t xml:space="preserve"> </w:t>
      </w:r>
      <w:r w:rsidRPr="00F92C93">
        <w:rPr>
          <w:i/>
        </w:rPr>
        <w:t>Amendment of the Schedule of Application Fees Set Forth in Sections 1.1102 through 1.1109 of the Commission’s Rules</w:t>
      </w:r>
      <w:r w:rsidRPr="00F92C93">
        <w:t xml:space="preserve">, MD Docket No. 20-270, Notice of Proposed Rulemaking, 36 FCC </w:t>
      </w:r>
      <w:r w:rsidRPr="00F92C93">
        <w:t>Rcd</w:t>
      </w:r>
      <w:r w:rsidRPr="00F92C93">
        <w:t xml:space="preserve"> 1618, para. 160 (2020) (</w:t>
      </w:r>
      <w:r w:rsidRPr="00F92C93">
        <w:rPr>
          <w:i/>
          <w:iCs/>
        </w:rPr>
        <w:t xml:space="preserve">2020 </w:t>
      </w:r>
      <w:r w:rsidRPr="00F92C93">
        <w:rPr>
          <w:i/>
        </w:rPr>
        <w:t xml:space="preserve">Application Fees </w:t>
      </w:r>
      <w:r w:rsidRPr="00F92C93">
        <w:rPr>
          <w:i/>
          <w:iCs/>
        </w:rPr>
        <w:t>Notice</w:t>
      </w:r>
      <w:r w:rsidRPr="00F92C93">
        <w:t>)</w:t>
      </w:r>
      <w:r w:rsidR="0018589B">
        <w:t xml:space="preserve">; </w:t>
      </w:r>
      <w:r w:rsidRPr="00580479" w:rsidR="0018589B">
        <w:rPr>
          <w:i/>
          <w:iCs/>
        </w:rPr>
        <w:t>2020 Application Fee</w:t>
      </w:r>
      <w:r w:rsidR="00880AB1">
        <w:rPr>
          <w:i/>
          <w:iCs/>
        </w:rPr>
        <w:t>s</w:t>
      </w:r>
      <w:r w:rsidRPr="00580479" w:rsidR="0018589B">
        <w:rPr>
          <w:i/>
          <w:iCs/>
        </w:rPr>
        <w:t xml:space="preserve"> Report and Order</w:t>
      </w:r>
      <w:r w:rsidR="0018589B">
        <w:t xml:space="preserve">, </w:t>
      </w:r>
      <w:r w:rsidRPr="00880AB1" w:rsidR="00880AB1">
        <w:t xml:space="preserve">35 FCC </w:t>
      </w:r>
      <w:r w:rsidRPr="00880AB1" w:rsidR="00880AB1">
        <w:t>Rcd</w:t>
      </w:r>
      <w:r w:rsidRPr="00880AB1" w:rsidR="00880AB1">
        <w:t xml:space="preserve"> 15089</w:t>
      </w:r>
      <w:r w:rsidR="0018589B">
        <w:t>, para</w:t>
      </w:r>
      <w:r w:rsidR="00880AB1">
        <w:t>s. 148-149.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975B724" w14:textId="77777777">
    <w:pPr>
      <w:spacing w:after="389" w:line="100" w:lineRule="exact"/>
      <w:rPr>
        <w:sz w:val="10"/>
      </w:rPr>
    </w:pPr>
  </w:p>
  <w:p w:rsidR="003660ED" w14:paraId="2FA26277" w14:textId="77777777"/>
  <w:p w:rsidR="003660ED" w14:paraId="1D873F7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509" w:rsidRPr="00B36509" w:rsidP="00B36509" w14:paraId="0C50D1E3" w14:textId="60227CDA">
    <w:pPr>
      <w:pStyle w:val="Header"/>
      <w:rPr>
        <w:sz w:val="24"/>
        <w:szCs w:val="24"/>
      </w:rPr>
    </w:pPr>
    <w:r w:rsidRPr="00B36509">
      <w:rPr>
        <w:sz w:val="24"/>
        <w:szCs w:val="24"/>
      </w:rPr>
      <w:t>OMB Control Number:  3060-0357</w:t>
    </w:r>
    <w:r w:rsidRPr="00B36509">
      <w:rPr>
        <w:sz w:val="24"/>
        <w:szCs w:val="24"/>
      </w:rPr>
      <w:t xml:space="preserve">                      </w:t>
    </w:r>
    <w:r>
      <w:rPr>
        <w:sz w:val="24"/>
        <w:szCs w:val="24"/>
      </w:rPr>
      <w:tab/>
    </w:r>
    <w:r w:rsidR="00DD018C">
      <w:rPr>
        <w:sz w:val="24"/>
        <w:szCs w:val="24"/>
      </w:rPr>
      <w:t>November</w:t>
    </w:r>
    <w:r w:rsidRPr="00B36509">
      <w:rPr>
        <w:sz w:val="24"/>
        <w:szCs w:val="24"/>
      </w:rPr>
      <w:t xml:space="preserve"> 2022</w:t>
    </w:r>
  </w:p>
  <w:p w:rsidR="00247B8A" w:rsidRPr="00B36509" w:rsidP="00DD018C" w14:paraId="75FCB81C" w14:textId="342F3731">
    <w:pPr>
      <w:pStyle w:val="Header"/>
      <w:tabs>
        <w:tab w:val="left" w:pos="8010"/>
        <w:tab w:val="clear" w:pos="9360"/>
      </w:tabs>
      <w:rPr>
        <w:sz w:val="24"/>
        <w:szCs w:val="24"/>
      </w:rPr>
    </w:pPr>
    <w:r w:rsidRPr="00B36509">
      <w:rPr>
        <w:bCs/>
        <w:sz w:val="24"/>
        <w:szCs w:val="24"/>
      </w:rPr>
      <w:t>Recognized Private Operating Agency (RPOA) – 47 CFR 63.701</w:t>
    </w:r>
    <w:r w:rsidR="00DD018C">
      <w:rPr>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5">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214536448">
    <w:abstractNumId w:val="1"/>
  </w:num>
  <w:num w:numId="2" w16cid:durableId="1634093996">
    <w:abstractNumId w:val="7"/>
  </w:num>
  <w:num w:numId="3" w16cid:durableId="1314941970">
    <w:abstractNumId w:val="3"/>
  </w:num>
  <w:num w:numId="4" w16cid:durableId="705641017">
    <w:abstractNumId w:val="6"/>
  </w:num>
  <w:num w:numId="5" w16cid:durableId="1854418410">
    <w:abstractNumId w:val="2"/>
  </w:num>
  <w:num w:numId="6" w16cid:durableId="829096914">
    <w:abstractNumId w:val="0"/>
  </w:num>
  <w:num w:numId="7" w16cid:durableId="1209760622">
    <w:abstractNumId w:val="4"/>
  </w:num>
  <w:num w:numId="8" w16cid:durableId="198783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FE"/>
    <w:rsid w:val="00036039"/>
    <w:rsid w:val="00037F90"/>
    <w:rsid w:val="00071941"/>
    <w:rsid w:val="000875BF"/>
    <w:rsid w:val="00096D8C"/>
    <w:rsid w:val="000A372D"/>
    <w:rsid w:val="000A429C"/>
    <w:rsid w:val="000C0B65"/>
    <w:rsid w:val="000E05FE"/>
    <w:rsid w:val="000E3D42"/>
    <w:rsid w:val="00101A1C"/>
    <w:rsid w:val="00122BD5"/>
    <w:rsid w:val="00133F79"/>
    <w:rsid w:val="0018589B"/>
    <w:rsid w:val="00194A66"/>
    <w:rsid w:val="001C6200"/>
    <w:rsid w:val="001D6BCF"/>
    <w:rsid w:val="001E01CA"/>
    <w:rsid w:val="002313D8"/>
    <w:rsid w:val="00247B8A"/>
    <w:rsid w:val="00275CF5"/>
    <w:rsid w:val="0028301F"/>
    <w:rsid w:val="00285017"/>
    <w:rsid w:val="002A2D2E"/>
    <w:rsid w:val="002C00E8"/>
    <w:rsid w:val="002C0FF9"/>
    <w:rsid w:val="002D75C1"/>
    <w:rsid w:val="002F246C"/>
    <w:rsid w:val="002F357A"/>
    <w:rsid w:val="002F7C01"/>
    <w:rsid w:val="0032591C"/>
    <w:rsid w:val="003420A2"/>
    <w:rsid w:val="00343749"/>
    <w:rsid w:val="00363B03"/>
    <w:rsid w:val="003660ED"/>
    <w:rsid w:val="00393B63"/>
    <w:rsid w:val="003B0550"/>
    <w:rsid w:val="003B2BFE"/>
    <w:rsid w:val="003B694F"/>
    <w:rsid w:val="003D65CC"/>
    <w:rsid w:val="003F171C"/>
    <w:rsid w:val="00401E7F"/>
    <w:rsid w:val="00412FC5"/>
    <w:rsid w:val="00422276"/>
    <w:rsid w:val="00422648"/>
    <w:rsid w:val="004242F1"/>
    <w:rsid w:val="00441611"/>
    <w:rsid w:val="004439BC"/>
    <w:rsid w:val="00445A00"/>
    <w:rsid w:val="00446457"/>
    <w:rsid w:val="00451B0F"/>
    <w:rsid w:val="0045303E"/>
    <w:rsid w:val="004B58F1"/>
    <w:rsid w:val="004C2EE3"/>
    <w:rsid w:val="004E4A22"/>
    <w:rsid w:val="004F375D"/>
    <w:rsid w:val="004F5F3E"/>
    <w:rsid w:val="00511968"/>
    <w:rsid w:val="00514E93"/>
    <w:rsid w:val="00544065"/>
    <w:rsid w:val="0055614C"/>
    <w:rsid w:val="00566D06"/>
    <w:rsid w:val="00580479"/>
    <w:rsid w:val="005876F1"/>
    <w:rsid w:val="00593402"/>
    <w:rsid w:val="005E14C2"/>
    <w:rsid w:val="005F54AA"/>
    <w:rsid w:val="00607BA5"/>
    <w:rsid w:val="0061180A"/>
    <w:rsid w:val="00626EB6"/>
    <w:rsid w:val="00635FBF"/>
    <w:rsid w:val="006479B4"/>
    <w:rsid w:val="00650B4A"/>
    <w:rsid w:val="0065462A"/>
    <w:rsid w:val="00655D03"/>
    <w:rsid w:val="00683388"/>
    <w:rsid w:val="00683F84"/>
    <w:rsid w:val="006A6A81"/>
    <w:rsid w:val="006C682B"/>
    <w:rsid w:val="006C6CC0"/>
    <w:rsid w:val="006F37D9"/>
    <w:rsid w:val="006F7393"/>
    <w:rsid w:val="0070224F"/>
    <w:rsid w:val="007115F7"/>
    <w:rsid w:val="0076031F"/>
    <w:rsid w:val="0076293E"/>
    <w:rsid w:val="00785689"/>
    <w:rsid w:val="0079754B"/>
    <w:rsid w:val="007A1E6D"/>
    <w:rsid w:val="007B0EB2"/>
    <w:rsid w:val="007C2550"/>
    <w:rsid w:val="007D2DB7"/>
    <w:rsid w:val="007E72C8"/>
    <w:rsid w:val="00810B6F"/>
    <w:rsid w:val="00822CE0"/>
    <w:rsid w:val="00841AB1"/>
    <w:rsid w:val="00845DE3"/>
    <w:rsid w:val="00857357"/>
    <w:rsid w:val="00880AB1"/>
    <w:rsid w:val="00884F71"/>
    <w:rsid w:val="00894B02"/>
    <w:rsid w:val="008C68F1"/>
    <w:rsid w:val="008F0F15"/>
    <w:rsid w:val="00921803"/>
    <w:rsid w:val="00921889"/>
    <w:rsid w:val="00926503"/>
    <w:rsid w:val="00941DFE"/>
    <w:rsid w:val="00945253"/>
    <w:rsid w:val="0096493E"/>
    <w:rsid w:val="009726D8"/>
    <w:rsid w:val="009D7308"/>
    <w:rsid w:val="009F76DB"/>
    <w:rsid w:val="00A32C3B"/>
    <w:rsid w:val="00A45F4F"/>
    <w:rsid w:val="00A600A9"/>
    <w:rsid w:val="00A6178B"/>
    <w:rsid w:val="00A769CA"/>
    <w:rsid w:val="00A86937"/>
    <w:rsid w:val="00A90FB4"/>
    <w:rsid w:val="00AA55B7"/>
    <w:rsid w:val="00AA5B9E"/>
    <w:rsid w:val="00AB0691"/>
    <w:rsid w:val="00AB2407"/>
    <w:rsid w:val="00AB53DF"/>
    <w:rsid w:val="00AB71E6"/>
    <w:rsid w:val="00AC5AC7"/>
    <w:rsid w:val="00B07E5C"/>
    <w:rsid w:val="00B243BB"/>
    <w:rsid w:val="00B36509"/>
    <w:rsid w:val="00B447A8"/>
    <w:rsid w:val="00B4597A"/>
    <w:rsid w:val="00B811F7"/>
    <w:rsid w:val="00B96779"/>
    <w:rsid w:val="00BA5DC6"/>
    <w:rsid w:val="00BA6196"/>
    <w:rsid w:val="00BC6D8C"/>
    <w:rsid w:val="00BD4CE3"/>
    <w:rsid w:val="00BD545A"/>
    <w:rsid w:val="00BF10D5"/>
    <w:rsid w:val="00C2127E"/>
    <w:rsid w:val="00C2489B"/>
    <w:rsid w:val="00C34006"/>
    <w:rsid w:val="00C36B4C"/>
    <w:rsid w:val="00C426B1"/>
    <w:rsid w:val="00C53304"/>
    <w:rsid w:val="00C6491C"/>
    <w:rsid w:val="00C66160"/>
    <w:rsid w:val="00C721AC"/>
    <w:rsid w:val="00C8209D"/>
    <w:rsid w:val="00C90D6A"/>
    <w:rsid w:val="00CA247E"/>
    <w:rsid w:val="00CA6D21"/>
    <w:rsid w:val="00CC72B6"/>
    <w:rsid w:val="00D0218D"/>
    <w:rsid w:val="00D25FB5"/>
    <w:rsid w:val="00D44223"/>
    <w:rsid w:val="00DA1CF0"/>
    <w:rsid w:val="00DA2529"/>
    <w:rsid w:val="00DA2A51"/>
    <w:rsid w:val="00DA3CA8"/>
    <w:rsid w:val="00DA40F0"/>
    <w:rsid w:val="00DB130A"/>
    <w:rsid w:val="00DB2EBB"/>
    <w:rsid w:val="00DC10A1"/>
    <w:rsid w:val="00DC655F"/>
    <w:rsid w:val="00DD018C"/>
    <w:rsid w:val="00DD0B59"/>
    <w:rsid w:val="00DD7EBD"/>
    <w:rsid w:val="00DF62B6"/>
    <w:rsid w:val="00E07225"/>
    <w:rsid w:val="00E200ED"/>
    <w:rsid w:val="00E5409F"/>
    <w:rsid w:val="00E627A8"/>
    <w:rsid w:val="00E91598"/>
    <w:rsid w:val="00EB2A64"/>
    <w:rsid w:val="00EB3E81"/>
    <w:rsid w:val="00EE6488"/>
    <w:rsid w:val="00F021FA"/>
    <w:rsid w:val="00F40F0B"/>
    <w:rsid w:val="00F62E97"/>
    <w:rsid w:val="00F64209"/>
    <w:rsid w:val="00F878D1"/>
    <w:rsid w:val="00F92C93"/>
    <w:rsid w:val="00F93BF5"/>
    <w:rsid w:val="00FC4EA1"/>
    <w:rsid w:val="00FD77BF"/>
    <w:rsid w:val="00FF0D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F08884A"/>
  <w15:chartTrackingRefBased/>
  <w15:docId w15:val="{BA238147-B413-4AE3-8A31-DD97C541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72C8"/>
    <w:pPr>
      <w:widowControl w:val="0"/>
    </w:pPr>
    <w:rPr>
      <w:snapToGrid w:val="0"/>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B36509"/>
    <w:pPr>
      <w:tabs>
        <w:tab w:val="center" w:pos="4680"/>
        <w:tab w:val="right" w:pos="9360"/>
      </w:tabs>
    </w:pPr>
    <w:rPr>
      <w:b/>
      <w:sz w:val="32"/>
      <w:szCs w:val="3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paragraph" w:styleId="BodyText">
    <w:name w:val="Body Text"/>
    <w:basedOn w:val="Normal"/>
    <w:link w:val="BodyTextChar"/>
    <w:rsid w:val="007E72C8"/>
    <w:pPr>
      <w:tabs>
        <w:tab w:val="left" w:pos="-720"/>
      </w:tabs>
      <w:suppressAutoHyphens/>
    </w:pPr>
    <w:rPr>
      <w:sz w:val="24"/>
      <w:szCs w:val="24"/>
    </w:rPr>
  </w:style>
  <w:style w:type="character" w:customStyle="1" w:styleId="BodyTextChar">
    <w:name w:val="Body Text Char"/>
    <w:basedOn w:val="DefaultParagraphFont"/>
    <w:link w:val="BodyText"/>
    <w:rsid w:val="007E72C8"/>
    <w:rPr>
      <w:snapToGrid w:val="0"/>
      <w:sz w:val="24"/>
      <w:szCs w:val="24"/>
    </w:rPr>
  </w:style>
  <w:style w:type="paragraph" w:styleId="BodyText2">
    <w:name w:val="Body Text 2"/>
    <w:basedOn w:val="Normal"/>
    <w:link w:val="BodyText2Char"/>
    <w:rsid w:val="007E72C8"/>
    <w:pPr>
      <w:tabs>
        <w:tab w:val="left" w:pos="-720"/>
      </w:tabs>
      <w:suppressAutoHyphens/>
    </w:pPr>
    <w:rPr>
      <w:b/>
      <w:bCs/>
      <w:sz w:val="24"/>
      <w:szCs w:val="24"/>
    </w:rPr>
  </w:style>
  <w:style w:type="character" w:customStyle="1" w:styleId="BodyText2Char">
    <w:name w:val="Body Text 2 Char"/>
    <w:basedOn w:val="DefaultParagraphFont"/>
    <w:link w:val="BodyText2"/>
    <w:rsid w:val="007E72C8"/>
    <w:rPr>
      <w:b/>
      <w:bCs/>
      <w:snapToGrid w:val="0"/>
      <w:sz w:val="24"/>
      <w:szCs w:val="24"/>
    </w:rPr>
  </w:style>
  <w:style w:type="character" w:styleId="CommentReference">
    <w:name w:val="annotation reference"/>
    <w:unhideWhenUsed/>
    <w:rsid w:val="007E72C8"/>
    <w:rPr>
      <w:sz w:val="16"/>
      <w:szCs w:val="16"/>
    </w:rPr>
  </w:style>
  <w:style w:type="paragraph" w:styleId="CommentText">
    <w:name w:val="annotation text"/>
    <w:basedOn w:val="Normal"/>
    <w:link w:val="CommentTextChar"/>
    <w:unhideWhenUsed/>
    <w:rsid w:val="007E72C8"/>
  </w:style>
  <w:style w:type="character" w:customStyle="1" w:styleId="CommentTextChar">
    <w:name w:val="Comment Text Char"/>
    <w:basedOn w:val="DefaultParagraphFont"/>
    <w:link w:val="CommentText"/>
    <w:rsid w:val="007E72C8"/>
    <w:rPr>
      <w:snapToGrid w:val="0"/>
    </w:rPr>
  </w:style>
  <w:style w:type="character" w:styleId="Mention">
    <w:name w:val="Mention"/>
    <w:uiPriority w:val="99"/>
    <w:unhideWhenUsed/>
    <w:rsid w:val="007E72C8"/>
    <w:rPr>
      <w:color w:val="2B579A"/>
      <w:shd w:val="clear" w:color="auto" w:fill="E1DFDD"/>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link w:val="FootnoteText"/>
    <w:rsid w:val="007E72C8"/>
  </w:style>
  <w:style w:type="paragraph" w:styleId="Revision">
    <w:name w:val="Revision"/>
    <w:hidden/>
    <w:uiPriority w:val="99"/>
    <w:semiHidden/>
    <w:rsid w:val="00F92C93"/>
    <w:rPr>
      <w:snapToGrid w:val="0"/>
    </w:rPr>
  </w:style>
  <w:style w:type="paragraph" w:styleId="CommentSubject">
    <w:name w:val="annotation subject"/>
    <w:basedOn w:val="CommentText"/>
    <w:next w:val="CommentText"/>
    <w:link w:val="CommentSubjectChar"/>
    <w:rsid w:val="006C682B"/>
    <w:rPr>
      <w:b/>
      <w:bCs/>
    </w:rPr>
  </w:style>
  <w:style w:type="character" w:customStyle="1" w:styleId="CommentSubjectChar">
    <w:name w:val="Comment Subject Char"/>
    <w:basedOn w:val="CommentTextChar"/>
    <w:link w:val="CommentSubject"/>
    <w:rsid w:val="006C682B"/>
    <w:rPr>
      <w:b/>
      <w:bCs/>
      <w:snapToGrid w:val="0"/>
    </w:rPr>
  </w:style>
  <w:style w:type="character" w:styleId="UnresolvedMention">
    <w:name w:val="Unresolved Mention"/>
    <w:basedOn w:val="DefaultParagraphFont"/>
    <w:uiPriority w:val="99"/>
    <w:semiHidden/>
    <w:unhideWhenUsed/>
    <w:rsid w:val="003B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1</TotalTime>
  <Pages>7</Pages>
  <Words>1796</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Arthur Lechtman</dc:creator>
  <cp:lastModifiedBy>Cathy Williams</cp:lastModifiedBy>
  <cp:revision>2</cp:revision>
  <cp:lastPrinted>2005-07-20T16:06:00Z</cp:lastPrinted>
  <dcterms:created xsi:type="dcterms:W3CDTF">2022-11-06T16:22:00Z</dcterms:created>
  <dcterms:modified xsi:type="dcterms:W3CDTF">2022-11-06T16:22:00Z</dcterms:modified>
</cp:coreProperties>
</file>