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2010" w:rsidRPr="00035C01" w:rsidP="001F2C7D" w14:paraId="00ACBB3D" w14:textId="77777777">
      <w:pPr>
        <w:jc w:val="center"/>
        <w:rPr>
          <w:rFonts w:ascii="Arial" w:hAnsi="Arial" w:cs="Arial"/>
        </w:rPr>
      </w:pPr>
    </w:p>
    <w:p w:rsidR="003C2010" w:rsidRPr="00035C01" w:rsidP="001F2C7D" w14:paraId="7D97CFA0" w14:textId="45DF6F51">
      <w:pPr>
        <w:jc w:val="center"/>
        <w:rPr>
          <w:rFonts w:ascii="Arial" w:hAnsi="Arial" w:cs="Arial"/>
          <w:b/>
          <w:bCs/>
        </w:rPr>
      </w:pPr>
      <w:r w:rsidRPr="00035C01">
        <w:rPr>
          <w:rFonts w:ascii="Arial" w:hAnsi="Arial" w:cs="Arial"/>
          <w:b/>
          <w:bCs/>
        </w:rPr>
        <w:t xml:space="preserve">SUPPORTING STATEMENT </w:t>
      </w:r>
    </w:p>
    <w:p w:rsidR="003C2010" w:rsidRPr="00035C01" w:rsidP="001F2C7D" w14:paraId="44051D5E" w14:textId="12F8CC45">
      <w:pPr>
        <w:jc w:val="center"/>
        <w:rPr>
          <w:rFonts w:ascii="Arial" w:hAnsi="Arial" w:cs="Arial"/>
          <w:b/>
          <w:bCs/>
        </w:rPr>
      </w:pPr>
      <w:r w:rsidRPr="00035C01">
        <w:rPr>
          <w:rFonts w:ascii="Arial" w:hAnsi="Arial" w:cs="Arial"/>
          <w:b/>
          <w:bCs/>
        </w:rPr>
        <w:t>INTEREST RATE REDUCTION REFINANCING LOAN</w:t>
      </w:r>
      <w:r w:rsidR="008E5E15">
        <w:rPr>
          <w:rFonts w:ascii="Arial" w:hAnsi="Arial" w:cs="Arial"/>
          <w:b/>
          <w:bCs/>
        </w:rPr>
        <w:t>S</w:t>
      </w:r>
      <w:r w:rsidRPr="00035C01">
        <w:rPr>
          <w:rFonts w:ascii="Arial" w:hAnsi="Arial" w:cs="Arial"/>
          <w:b/>
          <w:bCs/>
        </w:rPr>
        <w:t xml:space="preserve"> </w:t>
      </w:r>
    </w:p>
    <w:p w:rsidR="001904DA" w:rsidRPr="00035C01" w:rsidP="001F2C7D" w14:paraId="2832ACF3" w14:textId="7073FF6F">
      <w:pPr>
        <w:jc w:val="center"/>
        <w:rPr>
          <w:rFonts w:ascii="Arial" w:hAnsi="Arial" w:cs="Arial"/>
          <w:b/>
          <w:bCs/>
        </w:rPr>
      </w:pPr>
      <w:r w:rsidRPr="00035C01">
        <w:rPr>
          <w:rFonts w:ascii="Arial" w:hAnsi="Arial" w:cs="Arial"/>
          <w:b/>
          <w:bCs/>
        </w:rPr>
        <w:t xml:space="preserve">OMB </w:t>
      </w:r>
      <w:r w:rsidRPr="00035C01" w:rsidR="001F2C7D">
        <w:rPr>
          <w:rFonts w:ascii="Arial" w:hAnsi="Arial" w:cs="Arial"/>
          <w:b/>
          <w:bCs/>
        </w:rPr>
        <w:t>2900-0386</w:t>
      </w:r>
      <w:r w:rsidRPr="00035C01">
        <w:rPr>
          <w:rFonts w:ascii="Arial" w:hAnsi="Arial" w:cs="Arial"/>
          <w:b/>
          <w:bCs/>
        </w:rPr>
        <w:t xml:space="preserve"> </w:t>
      </w:r>
    </w:p>
    <w:p w:rsidR="003C2010" w:rsidRPr="00035C01" w:rsidP="001F2C7D" w14:paraId="13448847" w14:textId="6DC12724">
      <w:pPr>
        <w:jc w:val="center"/>
        <w:rPr>
          <w:rFonts w:ascii="Arial" w:hAnsi="Arial" w:cs="Arial"/>
          <w:b/>
          <w:bCs/>
        </w:rPr>
      </w:pPr>
      <w:r>
        <w:rPr>
          <w:rFonts w:ascii="Arial" w:hAnsi="Arial" w:cs="Arial"/>
          <w:b/>
          <w:bCs/>
        </w:rPr>
        <w:t xml:space="preserve">38 CFR </w:t>
      </w:r>
      <w:r w:rsidR="00B54C23">
        <w:rPr>
          <w:rFonts w:ascii="Arial" w:hAnsi="Arial" w:cs="Arial"/>
          <w:b/>
          <w:bCs/>
        </w:rPr>
        <w:t xml:space="preserve">§ </w:t>
      </w:r>
      <w:r>
        <w:rPr>
          <w:rFonts w:ascii="Arial" w:hAnsi="Arial" w:cs="Arial"/>
          <w:b/>
          <w:bCs/>
        </w:rPr>
        <w:t>36.4307</w:t>
      </w:r>
      <w:r w:rsidR="006F0927">
        <w:rPr>
          <w:rFonts w:ascii="Arial" w:hAnsi="Arial" w:cs="Arial"/>
          <w:b/>
          <w:bCs/>
        </w:rPr>
        <w:t xml:space="preserve"> and </w:t>
      </w:r>
      <w:r w:rsidRPr="00035C01" w:rsidR="001904DA">
        <w:rPr>
          <w:rFonts w:ascii="Arial" w:hAnsi="Arial" w:cs="Arial"/>
          <w:b/>
          <w:bCs/>
        </w:rPr>
        <w:t>VA FORM</w:t>
      </w:r>
      <w:r w:rsidR="003C4DB6">
        <w:rPr>
          <w:rFonts w:ascii="Arial" w:hAnsi="Arial" w:cs="Arial"/>
          <w:b/>
          <w:bCs/>
        </w:rPr>
        <w:t>S</w:t>
      </w:r>
      <w:r w:rsidRPr="00035C01" w:rsidR="001904DA">
        <w:rPr>
          <w:rFonts w:ascii="Arial" w:hAnsi="Arial" w:cs="Arial"/>
          <w:b/>
          <w:bCs/>
        </w:rPr>
        <w:t xml:space="preserve"> 26-8923</w:t>
      </w:r>
      <w:r w:rsidR="003C4DB6">
        <w:rPr>
          <w:rFonts w:ascii="Arial" w:hAnsi="Arial" w:cs="Arial"/>
          <w:b/>
          <w:bCs/>
        </w:rPr>
        <w:t xml:space="preserve"> </w:t>
      </w:r>
      <w:r w:rsidR="006F0927">
        <w:rPr>
          <w:rFonts w:ascii="Arial" w:hAnsi="Arial" w:cs="Arial"/>
          <w:b/>
          <w:bCs/>
        </w:rPr>
        <w:t xml:space="preserve">and </w:t>
      </w:r>
      <w:r w:rsidR="00E17E0C">
        <w:rPr>
          <w:rFonts w:ascii="Arial" w:hAnsi="Arial" w:cs="Arial"/>
          <w:b/>
          <w:bCs/>
        </w:rPr>
        <w:t>26-</w:t>
      </w:r>
      <w:r w:rsidRPr="00F43F9D" w:rsidR="00E17E0C">
        <w:rPr>
          <w:rFonts w:ascii="Arial" w:hAnsi="Arial" w:cs="Arial"/>
          <w:b/>
          <w:bCs/>
        </w:rPr>
        <w:t>XXXX</w:t>
      </w:r>
    </w:p>
    <w:p w:rsidR="003C2010" w:rsidRPr="00035C01" w:rsidP="001F2C7D" w14:paraId="472CB933" w14:textId="77777777">
      <w:pPr>
        <w:jc w:val="center"/>
        <w:rPr>
          <w:rFonts w:ascii="Arial" w:hAnsi="Arial" w:cs="Arial"/>
        </w:rPr>
      </w:pPr>
    </w:p>
    <w:p w:rsidR="003C2010" w:rsidRPr="00035C01" w:rsidP="001F2C7D" w14:paraId="19C9B637" w14:textId="77777777">
      <w:pPr>
        <w:rPr>
          <w:rFonts w:ascii="Arial" w:hAnsi="Arial" w:cs="Arial"/>
          <w:b/>
          <w:u w:val="single"/>
        </w:rPr>
      </w:pPr>
      <w:r w:rsidRPr="00035C01">
        <w:rPr>
          <w:rFonts w:ascii="Arial" w:hAnsi="Arial" w:cs="Arial"/>
          <w:b/>
        </w:rPr>
        <w:t xml:space="preserve">     </w:t>
      </w:r>
      <w:r w:rsidRPr="00035C01">
        <w:rPr>
          <w:rFonts w:ascii="Arial" w:hAnsi="Arial" w:cs="Arial"/>
          <w:b/>
        </w:rPr>
        <w:t xml:space="preserve">A.  </w:t>
      </w:r>
      <w:r w:rsidRPr="00035C01">
        <w:rPr>
          <w:rFonts w:ascii="Arial" w:hAnsi="Arial" w:cs="Arial"/>
          <w:b/>
          <w:u w:val="single"/>
        </w:rPr>
        <w:t>JUSTIFICATION</w:t>
      </w:r>
    </w:p>
    <w:p w:rsidR="003C2010" w:rsidRPr="00035C01" w:rsidP="001F2C7D" w14:paraId="6A6029E7" w14:textId="77777777">
      <w:pPr>
        <w:rPr>
          <w:rFonts w:ascii="Arial" w:hAnsi="Arial" w:cs="Arial"/>
          <w:u w:val="single"/>
        </w:rPr>
      </w:pPr>
    </w:p>
    <w:p w:rsidR="00A83F83" w:rsidRPr="00035C01" w:rsidP="00D100A5" w14:paraId="6145EBB7" w14:textId="1BFC9400">
      <w:pPr>
        <w:rPr>
          <w:rFonts w:ascii="Arial" w:hAnsi="Arial" w:cs="Arial"/>
          <w:b/>
        </w:rPr>
      </w:pPr>
      <w:r w:rsidRPr="00035C01">
        <w:rPr>
          <w:rFonts w:ascii="Arial" w:hAnsi="Arial" w:cs="Arial"/>
          <w:b/>
        </w:rPr>
        <w:t xml:space="preserve">     1. Explain the circumstances that make the collection of information necessary.  Identify legal or administrative requirements that necessitate the collection of information.</w:t>
      </w:r>
    </w:p>
    <w:p w:rsidR="00A83F83" w:rsidRPr="00035C01" w:rsidP="00D100A5" w14:paraId="476AAFB8" w14:textId="097ED1DE">
      <w:pPr>
        <w:rPr>
          <w:rFonts w:ascii="Arial" w:hAnsi="Arial" w:cs="Arial"/>
        </w:rPr>
      </w:pPr>
      <w:r w:rsidRPr="00035C01">
        <w:rPr>
          <w:rFonts w:ascii="Arial" w:hAnsi="Arial" w:cs="Arial"/>
        </w:rPr>
        <w:t xml:space="preserve">  </w:t>
      </w:r>
    </w:p>
    <w:p w:rsidR="007E0591" w:rsidP="000B644F" w14:paraId="52C316CC" w14:textId="26077323">
      <w:pPr>
        <w:rPr>
          <w:rFonts w:ascii="Arial" w:hAnsi="Arial" w:cs="Arial"/>
        </w:rPr>
      </w:pPr>
      <w:r>
        <w:rPr>
          <w:rFonts w:ascii="Arial" w:hAnsi="Arial" w:cs="Arial"/>
        </w:rPr>
        <w:t xml:space="preserve">     </w:t>
      </w:r>
      <w:r w:rsidR="00E63FBA">
        <w:rPr>
          <w:rFonts w:ascii="Arial" w:hAnsi="Arial" w:cs="Arial"/>
        </w:rPr>
        <w:t xml:space="preserve">VA is submitting a revision of its information collection to conform requirements </w:t>
      </w:r>
      <w:r w:rsidR="007D7748">
        <w:rPr>
          <w:rFonts w:ascii="Arial" w:hAnsi="Arial" w:cs="Arial"/>
        </w:rPr>
        <w:t xml:space="preserve">to its rulemaking on </w:t>
      </w:r>
      <w:r w:rsidR="000E1C83">
        <w:rPr>
          <w:rFonts w:ascii="Arial" w:hAnsi="Arial" w:cs="Arial"/>
        </w:rPr>
        <w:t>interest rate reduction refinancing loans (</w:t>
      </w:r>
      <w:r w:rsidR="007D7748">
        <w:rPr>
          <w:rFonts w:ascii="Arial" w:hAnsi="Arial" w:cs="Arial"/>
        </w:rPr>
        <w:t>IRRRLs</w:t>
      </w:r>
      <w:r w:rsidR="000E1C83">
        <w:rPr>
          <w:rFonts w:ascii="Arial" w:hAnsi="Arial" w:cs="Arial"/>
        </w:rPr>
        <w:t>)</w:t>
      </w:r>
      <w:r w:rsidR="007D7748">
        <w:rPr>
          <w:rFonts w:ascii="Arial" w:hAnsi="Arial" w:cs="Arial"/>
        </w:rPr>
        <w:t>.</w:t>
      </w:r>
      <w:r w:rsidRPr="00035C01" w:rsidR="00A83F83">
        <w:rPr>
          <w:rFonts w:ascii="Arial" w:hAnsi="Arial" w:cs="Arial"/>
        </w:rPr>
        <w:t xml:space="preserve"> </w:t>
      </w:r>
      <w:r>
        <w:rPr>
          <w:rFonts w:ascii="Arial" w:hAnsi="Arial" w:cs="Arial"/>
        </w:rPr>
        <w:t xml:space="preserve">Specifically, VA is </w:t>
      </w:r>
      <w:r w:rsidR="00B92295">
        <w:rPr>
          <w:rFonts w:ascii="Arial" w:hAnsi="Arial" w:cs="Arial"/>
        </w:rPr>
        <w:t xml:space="preserve">revising its existing VA Form 26-8923, </w:t>
      </w:r>
      <w:r w:rsidRPr="00EA08C9" w:rsidR="00B92295">
        <w:rPr>
          <w:rFonts w:ascii="Arial" w:hAnsi="Arial" w:cs="Arial"/>
          <w:i/>
          <w:iCs/>
        </w:rPr>
        <w:t>Interest Rate Reduction Refinancing Loan Worksheet</w:t>
      </w:r>
      <w:r w:rsidR="00B92295">
        <w:rPr>
          <w:rFonts w:ascii="Arial" w:hAnsi="Arial" w:cs="Arial"/>
        </w:rPr>
        <w:t xml:space="preserve">, </w:t>
      </w:r>
      <w:r w:rsidR="008929B4">
        <w:rPr>
          <w:rFonts w:ascii="Arial" w:hAnsi="Arial" w:cs="Arial"/>
        </w:rPr>
        <w:t xml:space="preserve">to collect </w:t>
      </w:r>
      <w:r w:rsidR="00E975A0">
        <w:rPr>
          <w:rFonts w:ascii="Arial" w:hAnsi="Arial" w:cs="Arial"/>
        </w:rPr>
        <w:t xml:space="preserve">information and certifications from the lender </w:t>
      </w:r>
      <w:r w:rsidR="000D68EB">
        <w:rPr>
          <w:rFonts w:ascii="Arial" w:hAnsi="Arial" w:cs="Arial"/>
        </w:rPr>
        <w:t xml:space="preserve">that the refinancing loan </w:t>
      </w:r>
      <w:r w:rsidR="00353947">
        <w:rPr>
          <w:rFonts w:ascii="Arial" w:hAnsi="Arial" w:cs="Arial"/>
        </w:rPr>
        <w:t>adheres</w:t>
      </w:r>
      <w:r w:rsidR="000D68EB">
        <w:rPr>
          <w:rFonts w:ascii="Arial" w:hAnsi="Arial" w:cs="Arial"/>
        </w:rPr>
        <w:t xml:space="preserve"> to statutory and </w:t>
      </w:r>
      <w:r w:rsidR="001F5EB7">
        <w:rPr>
          <w:rFonts w:ascii="Arial" w:hAnsi="Arial" w:cs="Arial"/>
        </w:rPr>
        <w:t>regulatory requirements. VA is also</w:t>
      </w:r>
      <w:r w:rsidR="00A90BE8">
        <w:rPr>
          <w:rFonts w:ascii="Arial" w:hAnsi="Arial" w:cs="Arial"/>
        </w:rPr>
        <w:t xml:space="preserve"> </w:t>
      </w:r>
      <w:r w:rsidR="001E116A">
        <w:rPr>
          <w:rFonts w:ascii="Arial" w:hAnsi="Arial" w:cs="Arial"/>
        </w:rPr>
        <w:t>incorporating</w:t>
      </w:r>
      <w:r w:rsidR="00AF3072">
        <w:rPr>
          <w:rFonts w:ascii="Arial" w:hAnsi="Arial" w:cs="Arial"/>
        </w:rPr>
        <w:t xml:space="preserve"> its</w:t>
      </w:r>
      <w:r w:rsidR="001E116A">
        <w:rPr>
          <w:rFonts w:ascii="Arial" w:hAnsi="Arial" w:cs="Arial"/>
        </w:rPr>
        <w:t xml:space="preserve"> existing requirement</w:t>
      </w:r>
      <w:r w:rsidR="00AF3072">
        <w:rPr>
          <w:rFonts w:ascii="Arial" w:hAnsi="Arial" w:cs="Arial"/>
        </w:rPr>
        <w:t xml:space="preserve"> for lenders to disclose certain</w:t>
      </w:r>
      <w:r w:rsidR="00E05B42">
        <w:rPr>
          <w:rFonts w:ascii="Arial" w:hAnsi="Arial" w:cs="Arial"/>
        </w:rPr>
        <w:t xml:space="preserve"> loan</w:t>
      </w:r>
      <w:r w:rsidR="00AF3072">
        <w:rPr>
          <w:rFonts w:ascii="Arial" w:hAnsi="Arial" w:cs="Arial"/>
        </w:rPr>
        <w:t xml:space="preserve"> information to Veterans</w:t>
      </w:r>
      <w:r w:rsidR="001E116A">
        <w:rPr>
          <w:rFonts w:ascii="Arial" w:hAnsi="Arial" w:cs="Arial"/>
        </w:rPr>
        <w:t xml:space="preserve"> </w:t>
      </w:r>
      <w:r w:rsidR="008D152E">
        <w:rPr>
          <w:rFonts w:ascii="Arial" w:hAnsi="Arial" w:cs="Arial"/>
        </w:rPr>
        <w:t>into its regulations</w:t>
      </w:r>
      <w:r w:rsidR="000133F7">
        <w:rPr>
          <w:rFonts w:ascii="Arial" w:hAnsi="Arial" w:cs="Arial"/>
        </w:rPr>
        <w:t xml:space="preserve"> and providing a standardized form</w:t>
      </w:r>
      <w:r w:rsidR="000338D3">
        <w:rPr>
          <w:rFonts w:ascii="Arial" w:hAnsi="Arial" w:cs="Arial"/>
        </w:rPr>
        <w:t xml:space="preserve">at for such disclosures. </w:t>
      </w:r>
    </w:p>
    <w:p w:rsidR="007E0591" w:rsidP="000B644F" w14:paraId="584360F3" w14:textId="77777777">
      <w:pPr>
        <w:rPr>
          <w:rFonts w:ascii="Arial" w:hAnsi="Arial" w:cs="Arial"/>
        </w:rPr>
      </w:pPr>
    </w:p>
    <w:p w:rsidR="00686EE4" w:rsidP="000B644F" w14:paraId="544D2B07" w14:textId="6E3A806F">
      <w:pPr>
        <w:rPr>
          <w:rFonts w:ascii="Arial" w:hAnsi="Arial" w:cs="Arial"/>
        </w:rPr>
      </w:pPr>
      <w:r>
        <w:rPr>
          <w:rFonts w:ascii="Arial" w:hAnsi="Arial" w:cs="Arial"/>
        </w:rPr>
        <w:t xml:space="preserve">     </w:t>
      </w:r>
      <w:r w:rsidRPr="00035C01" w:rsidR="00FE3A77">
        <w:rPr>
          <w:rFonts w:ascii="Arial" w:hAnsi="Arial" w:cs="Arial"/>
        </w:rPr>
        <w:t xml:space="preserve">For a loan to be eligible for guaranty under 38 U.S.C. </w:t>
      </w:r>
      <w:r w:rsidR="00040F14">
        <w:rPr>
          <w:rFonts w:ascii="Arial" w:hAnsi="Arial" w:cs="Arial"/>
        </w:rPr>
        <w:t xml:space="preserve">§ </w:t>
      </w:r>
      <w:r w:rsidRPr="00035C01" w:rsidR="00FE3A77">
        <w:rPr>
          <w:rFonts w:ascii="Arial" w:hAnsi="Arial" w:cs="Arial"/>
        </w:rPr>
        <w:t xml:space="preserve">3710(a)(8) or 3712(a)(1)(F), 38 U.S.C. </w:t>
      </w:r>
      <w:r w:rsidR="00040F14">
        <w:rPr>
          <w:rFonts w:ascii="Arial" w:hAnsi="Arial" w:cs="Arial"/>
        </w:rPr>
        <w:t xml:space="preserve">§ </w:t>
      </w:r>
      <w:r w:rsidRPr="00035C01" w:rsidR="00FE3A77">
        <w:rPr>
          <w:rFonts w:ascii="Arial" w:hAnsi="Arial" w:cs="Arial"/>
        </w:rPr>
        <w:t xml:space="preserve">3710(e)(1)(C) provides that the amount of the loan may not exceed an amount equal to the sum of the balance of the loan being refinanced and such closing costs (including any discount permitted pursuant to </w:t>
      </w:r>
      <w:r w:rsidR="00902896">
        <w:rPr>
          <w:rFonts w:ascii="Arial" w:hAnsi="Arial" w:cs="Arial"/>
        </w:rPr>
        <w:t>38 U.S.C.</w:t>
      </w:r>
      <w:r w:rsidRPr="00035C01" w:rsidR="00FE3A77">
        <w:rPr>
          <w:rFonts w:ascii="Arial" w:hAnsi="Arial" w:cs="Arial"/>
        </w:rPr>
        <w:t xml:space="preserve"> </w:t>
      </w:r>
      <w:r w:rsidR="00040F14">
        <w:rPr>
          <w:rFonts w:ascii="Arial" w:hAnsi="Arial" w:cs="Arial"/>
        </w:rPr>
        <w:t xml:space="preserve">§ </w:t>
      </w:r>
      <w:r w:rsidRPr="00035C01" w:rsidR="00FE3A77">
        <w:rPr>
          <w:rFonts w:ascii="Arial" w:hAnsi="Arial" w:cs="Arial"/>
        </w:rPr>
        <w:t>3703(c)(3)(A)) as may be authorized by the Secretary, under regulations which the Secretary shall prescribe, to be included in such loans.  (See also 38 CF</w:t>
      </w:r>
      <w:r w:rsidR="0053288B">
        <w:rPr>
          <w:rFonts w:ascii="Arial" w:hAnsi="Arial" w:cs="Arial"/>
        </w:rPr>
        <w:t>R</w:t>
      </w:r>
      <w:r w:rsidRPr="00035C01" w:rsidR="00FE3A77">
        <w:rPr>
          <w:rFonts w:ascii="Arial" w:hAnsi="Arial" w:cs="Arial"/>
        </w:rPr>
        <w:t xml:space="preserve"> </w:t>
      </w:r>
      <w:r w:rsidR="00B54C23">
        <w:rPr>
          <w:rFonts w:ascii="Arial" w:hAnsi="Arial" w:cs="Arial"/>
        </w:rPr>
        <w:t xml:space="preserve">§§ </w:t>
      </w:r>
      <w:r w:rsidRPr="00035C01" w:rsidR="00FE3A77">
        <w:rPr>
          <w:rFonts w:ascii="Arial" w:hAnsi="Arial" w:cs="Arial"/>
        </w:rPr>
        <w:t>36.4223(a)(3) and 36.4306(a)(3).)</w:t>
      </w:r>
    </w:p>
    <w:p w:rsidR="00030BE5" w:rsidP="000B644F" w14:paraId="333F8D3F" w14:textId="281A8A2C">
      <w:pPr>
        <w:rPr>
          <w:rFonts w:ascii="Arial" w:hAnsi="Arial" w:cs="Arial"/>
        </w:rPr>
      </w:pPr>
    </w:p>
    <w:p w:rsidR="00866628" w:rsidP="00C25766" w14:paraId="3576FB5D" w14:textId="3B94265D">
      <w:pPr>
        <w:rPr>
          <w:rFonts w:ascii="Arial" w:hAnsi="Arial" w:cs="Arial"/>
        </w:rPr>
      </w:pPr>
      <w:r>
        <w:rPr>
          <w:rFonts w:ascii="Arial" w:hAnsi="Arial" w:cs="Arial"/>
        </w:rPr>
        <w:t xml:space="preserve">     </w:t>
      </w:r>
      <w:r w:rsidR="002A1FCF">
        <w:rPr>
          <w:rFonts w:ascii="Arial" w:hAnsi="Arial" w:cs="Arial"/>
        </w:rPr>
        <w:t>Fo</w:t>
      </w:r>
      <w:r w:rsidR="00030BE5">
        <w:rPr>
          <w:rFonts w:ascii="Arial" w:hAnsi="Arial" w:cs="Arial"/>
        </w:rPr>
        <w:t>r a loan to be eligible for guaranty</w:t>
      </w:r>
      <w:r w:rsidR="00CD18BF">
        <w:rPr>
          <w:rFonts w:ascii="Arial" w:hAnsi="Arial" w:cs="Arial"/>
        </w:rPr>
        <w:t>,</w:t>
      </w:r>
      <w:r w:rsidR="00030BE5">
        <w:rPr>
          <w:rFonts w:ascii="Arial" w:hAnsi="Arial" w:cs="Arial"/>
        </w:rPr>
        <w:t xml:space="preserve"> the loan </w:t>
      </w:r>
      <w:r w:rsidR="00BE3BC4">
        <w:rPr>
          <w:rFonts w:ascii="Arial" w:hAnsi="Arial" w:cs="Arial"/>
        </w:rPr>
        <w:t xml:space="preserve">must </w:t>
      </w:r>
      <w:r w:rsidR="00030BE5">
        <w:rPr>
          <w:rFonts w:ascii="Arial" w:hAnsi="Arial" w:cs="Arial"/>
        </w:rPr>
        <w:t>meet the following requirements under 38 U.S.C</w:t>
      </w:r>
      <w:r w:rsidR="00040F14">
        <w:rPr>
          <w:rFonts w:ascii="Arial" w:hAnsi="Arial" w:cs="Arial"/>
        </w:rPr>
        <w:t>.</w:t>
      </w:r>
      <w:r w:rsidR="00030BE5">
        <w:rPr>
          <w:rFonts w:ascii="Arial" w:hAnsi="Arial" w:cs="Arial"/>
        </w:rPr>
        <w:t xml:space="preserve"> </w:t>
      </w:r>
      <w:r w:rsidR="00F11946">
        <w:rPr>
          <w:rFonts w:ascii="Arial" w:hAnsi="Arial" w:cs="Arial"/>
        </w:rPr>
        <w:t xml:space="preserve">§ </w:t>
      </w:r>
      <w:r w:rsidR="00030BE5">
        <w:rPr>
          <w:rFonts w:ascii="Arial" w:hAnsi="Arial" w:cs="Arial"/>
        </w:rPr>
        <w:t xml:space="preserve">3709: </w:t>
      </w:r>
      <w:r w:rsidR="00A73B05">
        <w:rPr>
          <w:rFonts w:ascii="Arial" w:hAnsi="Arial" w:cs="Arial"/>
        </w:rPr>
        <w:t>(a) t</w:t>
      </w:r>
      <w:r w:rsidR="00030BE5">
        <w:rPr>
          <w:rFonts w:ascii="Arial" w:hAnsi="Arial" w:cs="Arial"/>
        </w:rPr>
        <w:t xml:space="preserve">he </w:t>
      </w:r>
      <w:r w:rsidR="0005123D">
        <w:rPr>
          <w:rFonts w:ascii="Arial" w:hAnsi="Arial" w:cs="Arial"/>
        </w:rPr>
        <w:t xml:space="preserve">lender must certify that </w:t>
      </w:r>
      <w:r w:rsidR="00030BE5">
        <w:rPr>
          <w:rFonts w:ascii="Arial" w:hAnsi="Arial" w:cs="Arial"/>
        </w:rPr>
        <w:t xml:space="preserve">recoupment of all fees (minus taxes, amounts held in escrow and the </w:t>
      </w:r>
      <w:r w:rsidR="0053288B">
        <w:rPr>
          <w:rFonts w:ascii="Arial" w:hAnsi="Arial" w:cs="Arial"/>
        </w:rPr>
        <w:t>f</w:t>
      </w:r>
      <w:r w:rsidR="00030BE5">
        <w:rPr>
          <w:rFonts w:ascii="Arial" w:hAnsi="Arial" w:cs="Arial"/>
        </w:rPr>
        <w:t>unding fee</w:t>
      </w:r>
      <w:r w:rsidRPr="000547CA" w:rsidR="000547CA">
        <w:rPr>
          <w:rFonts w:ascii="Arial" w:hAnsi="Arial" w:cs="Arial"/>
        </w:rPr>
        <w:t xml:space="preserve"> </w:t>
      </w:r>
      <w:r w:rsidRPr="00163F7F" w:rsidR="000547CA">
        <w:rPr>
          <w:rFonts w:ascii="Arial" w:hAnsi="Arial" w:cs="Arial"/>
        </w:rPr>
        <w:t xml:space="preserve">as prescribed by 38 U.S.C. </w:t>
      </w:r>
      <w:r w:rsidR="00B54C23">
        <w:rPr>
          <w:rFonts w:ascii="Arial" w:hAnsi="Arial" w:cs="Arial"/>
        </w:rPr>
        <w:t xml:space="preserve">§ </w:t>
      </w:r>
      <w:r w:rsidRPr="00163F7F" w:rsidR="000547CA">
        <w:rPr>
          <w:rFonts w:ascii="Arial" w:hAnsi="Arial" w:cs="Arial"/>
        </w:rPr>
        <w:t>3729</w:t>
      </w:r>
      <w:r w:rsidR="00030BE5">
        <w:rPr>
          <w:rFonts w:ascii="Arial" w:hAnsi="Arial" w:cs="Arial"/>
        </w:rPr>
        <w:t>) occurs within 36 months</w:t>
      </w:r>
      <w:r w:rsidR="001E359C">
        <w:rPr>
          <w:rFonts w:ascii="Arial" w:hAnsi="Arial" w:cs="Arial"/>
        </w:rPr>
        <w:t>;</w:t>
      </w:r>
      <w:r w:rsidR="00A73B05">
        <w:rPr>
          <w:rFonts w:ascii="Arial" w:hAnsi="Arial" w:cs="Arial"/>
        </w:rPr>
        <w:t xml:space="preserve"> (b)</w:t>
      </w:r>
      <w:r w:rsidR="00030BE5">
        <w:rPr>
          <w:rFonts w:ascii="Arial" w:hAnsi="Arial" w:cs="Arial"/>
        </w:rPr>
        <w:t xml:space="preserve"> the </w:t>
      </w:r>
      <w:r w:rsidR="00E95B62">
        <w:rPr>
          <w:rFonts w:ascii="Arial" w:hAnsi="Arial" w:cs="Arial"/>
        </w:rPr>
        <w:t>lender</w:t>
      </w:r>
      <w:r w:rsidR="003144E1">
        <w:rPr>
          <w:rFonts w:ascii="Arial" w:hAnsi="Arial" w:cs="Arial"/>
        </w:rPr>
        <w:t xml:space="preserve"> must provide the borrower with a net tangible benefit test</w:t>
      </w:r>
      <w:r w:rsidR="00B61FBC">
        <w:rPr>
          <w:rFonts w:ascii="Arial" w:hAnsi="Arial" w:cs="Arial"/>
        </w:rPr>
        <w:t xml:space="preserve">; and (c) the refinancing loan </w:t>
      </w:r>
      <w:r w:rsidR="00334840">
        <w:rPr>
          <w:rFonts w:ascii="Arial" w:hAnsi="Arial" w:cs="Arial"/>
        </w:rPr>
        <w:t>must be</w:t>
      </w:r>
      <w:r w:rsidR="00B61FBC">
        <w:rPr>
          <w:rFonts w:ascii="Arial" w:hAnsi="Arial" w:cs="Arial"/>
        </w:rPr>
        <w:t xml:space="preserve"> properly seasone</w:t>
      </w:r>
      <w:r>
        <w:rPr>
          <w:rFonts w:ascii="Arial" w:hAnsi="Arial" w:cs="Arial"/>
        </w:rPr>
        <w:t>d (i.e., at least six consecutive regular monthly payments have been made to the underlying loan and 210 days passed since the first payment due date</w:t>
      </w:r>
      <w:r w:rsidR="006B1060">
        <w:rPr>
          <w:rFonts w:ascii="Arial" w:hAnsi="Arial" w:cs="Arial"/>
        </w:rPr>
        <w:t xml:space="preserve"> of the underlying loan)</w:t>
      </w:r>
      <w:r>
        <w:rPr>
          <w:rFonts w:ascii="Arial" w:hAnsi="Arial" w:cs="Arial"/>
        </w:rPr>
        <w:t xml:space="preserve">. </w:t>
      </w:r>
      <w:r w:rsidR="00B61FBC">
        <w:rPr>
          <w:rFonts w:ascii="Arial" w:hAnsi="Arial" w:cs="Arial"/>
        </w:rPr>
        <w:t xml:space="preserve"> </w:t>
      </w:r>
    </w:p>
    <w:p w:rsidR="00866628" w:rsidP="00C25766" w14:paraId="00A44F83" w14:textId="77777777">
      <w:pPr>
        <w:rPr>
          <w:rFonts w:ascii="Arial" w:hAnsi="Arial" w:cs="Arial"/>
        </w:rPr>
      </w:pPr>
    </w:p>
    <w:p w:rsidR="00030BE5" w:rsidP="00C25766" w14:paraId="1D337D1F" w14:textId="334297A2">
      <w:pPr>
        <w:rPr>
          <w:rFonts w:ascii="Arial" w:hAnsi="Arial" w:cs="Arial"/>
        </w:rPr>
      </w:pPr>
      <w:r>
        <w:rPr>
          <w:rFonts w:ascii="Arial" w:hAnsi="Arial" w:cs="Arial"/>
        </w:rPr>
        <w:t xml:space="preserve">     </w:t>
      </w:r>
      <w:r w:rsidR="00234F97">
        <w:rPr>
          <w:rFonts w:ascii="Arial" w:hAnsi="Arial" w:cs="Arial"/>
        </w:rPr>
        <w:t xml:space="preserve">To satisfy </w:t>
      </w:r>
      <w:r>
        <w:rPr>
          <w:rFonts w:ascii="Arial" w:hAnsi="Arial" w:cs="Arial"/>
        </w:rPr>
        <w:t>the net tangible benefit test r</w:t>
      </w:r>
      <w:r w:rsidR="00E4126E">
        <w:rPr>
          <w:rFonts w:ascii="Arial" w:hAnsi="Arial" w:cs="Arial"/>
        </w:rPr>
        <w:t>equirement</w:t>
      </w:r>
      <w:r w:rsidR="00F07139">
        <w:rPr>
          <w:rFonts w:ascii="Arial" w:hAnsi="Arial" w:cs="Arial"/>
        </w:rPr>
        <w:t xml:space="preserve">, </w:t>
      </w:r>
      <w:r w:rsidR="00040F14">
        <w:rPr>
          <w:rFonts w:ascii="Arial" w:hAnsi="Arial" w:cs="Arial"/>
        </w:rPr>
        <w:t>section 3709</w:t>
      </w:r>
      <w:r w:rsidR="00F11946">
        <w:rPr>
          <w:rFonts w:ascii="Arial" w:hAnsi="Arial" w:cs="Arial"/>
        </w:rPr>
        <w:t xml:space="preserve"> </w:t>
      </w:r>
      <w:r w:rsidR="00703E0A">
        <w:rPr>
          <w:rFonts w:ascii="Arial" w:hAnsi="Arial" w:cs="Arial"/>
        </w:rPr>
        <w:t>outlines interest rate reduction requirements</w:t>
      </w:r>
      <w:r w:rsidR="008E47CD">
        <w:rPr>
          <w:rFonts w:ascii="Arial" w:hAnsi="Arial" w:cs="Arial"/>
        </w:rPr>
        <w:t xml:space="preserve"> for certain loans. More specifically, </w:t>
      </w:r>
      <w:r w:rsidR="00C25766">
        <w:rPr>
          <w:rFonts w:ascii="Arial" w:hAnsi="Arial" w:cs="Arial"/>
        </w:rPr>
        <w:t xml:space="preserve">lenders must ensure </w:t>
      </w:r>
      <w:r w:rsidR="00D56BC4">
        <w:rPr>
          <w:rFonts w:ascii="Arial" w:hAnsi="Arial" w:cs="Arial"/>
        </w:rPr>
        <w:t>a r</w:t>
      </w:r>
      <w:r w:rsidR="006548A8">
        <w:rPr>
          <w:rFonts w:ascii="Arial" w:hAnsi="Arial" w:cs="Arial"/>
        </w:rPr>
        <w:t xml:space="preserve">eduction of 50 basis points from the underlying fixed rate loan to </w:t>
      </w:r>
      <w:r w:rsidR="005D00AC">
        <w:rPr>
          <w:rFonts w:ascii="Arial" w:hAnsi="Arial" w:cs="Arial"/>
        </w:rPr>
        <w:t xml:space="preserve">a </w:t>
      </w:r>
      <w:r w:rsidR="006548A8">
        <w:rPr>
          <w:rFonts w:ascii="Arial" w:hAnsi="Arial" w:cs="Arial"/>
        </w:rPr>
        <w:t>new fixed rate</w:t>
      </w:r>
      <w:r w:rsidR="005D00AC">
        <w:rPr>
          <w:rFonts w:ascii="Arial" w:hAnsi="Arial" w:cs="Arial"/>
        </w:rPr>
        <w:t xml:space="preserve"> refinancing</w:t>
      </w:r>
      <w:r w:rsidR="006548A8">
        <w:rPr>
          <w:rFonts w:ascii="Arial" w:hAnsi="Arial" w:cs="Arial"/>
        </w:rPr>
        <w:t xml:space="preserve"> loan</w:t>
      </w:r>
      <w:r w:rsidR="007D4BA4">
        <w:rPr>
          <w:rFonts w:ascii="Arial" w:hAnsi="Arial" w:cs="Arial"/>
        </w:rPr>
        <w:t xml:space="preserve">. </w:t>
      </w:r>
      <w:r w:rsidR="00320EFC">
        <w:rPr>
          <w:rFonts w:ascii="Arial" w:hAnsi="Arial" w:cs="Arial"/>
        </w:rPr>
        <w:t xml:space="preserve">They must also ensure </w:t>
      </w:r>
      <w:r w:rsidR="0013059C">
        <w:rPr>
          <w:rFonts w:ascii="Arial" w:hAnsi="Arial" w:cs="Arial"/>
        </w:rPr>
        <w:t>a reduction of 200 basis points from the underlying fixed rate loan to a new adjustable rate</w:t>
      </w:r>
      <w:r w:rsidR="005D00AC">
        <w:rPr>
          <w:rFonts w:ascii="Arial" w:hAnsi="Arial" w:cs="Arial"/>
        </w:rPr>
        <w:t xml:space="preserve"> refinancing</w:t>
      </w:r>
      <w:r w:rsidR="0013059C">
        <w:rPr>
          <w:rFonts w:ascii="Arial" w:hAnsi="Arial" w:cs="Arial"/>
        </w:rPr>
        <w:t xml:space="preserve"> loan</w:t>
      </w:r>
      <w:r w:rsidR="00320EFC">
        <w:rPr>
          <w:rFonts w:ascii="Arial" w:hAnsi="Arial" w:cs="Arial"/>
        </w:rPr>
        <w:t xml:space="preserve">; </w:t>
      </w:r>
      <w:r w:rsidR="00CD2B1F">
        <w:rPr>
          <w:rFonts w:ascii="Arial" w:hAnsi="Arial" w:cs="Arial"/>
        </w:rPr>
        <w:t xml:space="preserve">if </w:t>
      </w:r>
      <w:r w:rsidR="0013059C">
        <w:rPr>
          <w:rFonts w:ascii="Arial" w:hAnsi="Arial" w:cs="Arial"/>
        </w:rPr>
        <w:t xml:space="preserve">the reduction </w:t>
      </w:r>
      <w:r w:rsidR="00CD2B1F">
        <w:rPr>
          <w:rFonts w:ascii="Arial" w:hAnsi="Arial" w:cs="Arial"/>
        </w:rPr>
        <w:t xml:space="preserve">in the </w:t>
      </w:r>
      <w:r w:rsidR="0013059C">
        <w:rPr>
          <w:rFonts w:ascii="Arial" w:hAnsi="Arial" w:cs="Arial"/>
        </w:rPr>
        <w:t xml:space="preserve">interest </w:t>
      </w:r>
      <w:r w:rsidR="00CD2B1F">
        <w:rPr>
          <w:rFonts w:ascii="Arial" w:hAnsi="Arial" w:cs="Arial"/>
        </w:rPr>
        <w:t xml:space="preserve">rate </w:t>
      </w:r>
      <w:r w:rsidR="0013059C">
        <w:rPr>
          <w:rFonts w:ascii="Arial" w:hAnsi="Arial" w:cs="Arial"/>
        </w:rPr>
        <w:t xml:space="preserve">is </w:t>
      </w:r>
      <w:r w:rsidR="0006047D">
        <w:rPr>
          <w:rFonts w:ascii="Arial" w:hAnsi="Arial" w:cs="Arial"/>
        </w:rPr>
        <w:t xml:space="preserve">achieved solely </w:t>
      </w:r>
      <w:r w:rsidR="00C0742F">
        <w:rPr>
          <w:rFonts w:ascii="Arial" w:hAnsi="Arial" w:cs="Arial"/>
        </w:rPr>
        <w:t>through discount points that have been financed into the loan, the statute requires that lenders maintain certain loan-to-value ratios</w:t>
      </w:r>
      <w:r w:rsidR="0031173C">
        <w:rPr>
          <w:rFonts w:ascii="Arial" w:hAnsi="Arial" w:cs="Arial"/>
        </w:rPr>
        <w:t xml:space="preserve"> for the refinancing loan (depending on the amount of discount points financed). </w:t>
      </w:r>
      <w:r w:rsidR="002C61CE">
        <w:rPr>
          <w:rFonts w:ascii="Arial" w:hAnsi="Arial" w:cs="Arial"/>
        </w:rPr>
        <w:t xml:space="preserve">In addition, </w:t>
      </w:r>
      <w:r>
        <w:rPr>
          <w:rFonts w:ascii="Arial" w:hAnsi="Arial" w:cs="Arial"/>
        </w:rPr>
        <w:t>VA regulation</w:t>
      </w:r>
      <w:r w:rsidR="007F1BD6">
        <w:rPr>
          <w:rFonts w:ascii="Arial" w:hAnsi="Arial" w:cs="Arial"/>
        </w:rPr>
        <w:t xml:space="preserve"> at </w:t>
      </w:r>
      <w:r w:rsidR="002C61CE">
        <w:rPr>
          <w:rFonts w:ascii="Arial" w:hAnsi="Arial" w:cs="Arial"/>
        </w:rPr>
        <w:t xml:space="preserve">38 </w:t>
      </w:r>
      <w:r w:rsidR="002A2FB8">
        <w:rPr>
          <w:rFonts w:ascii="Arial" w:hAnsi="Arial" w:cs="Arial"/>
        </w:rPr>
        <w:t>CFR</w:t>
      </w:r>
      <w:r w:rsidR="00C9280C">
        <w:rPr>
          <w:rFonts w:ascii="Arial" w:hAnsi="Arial" w:cs="Arial"/>
        </w:rPr>
        <w:t xml:space="preserve"> </w:t>
      </w:r>
      <w:r w:rsidR="00B54C23">
        <w:rPr>
          <w:rFonts w:ascii="Arial" w:hAnsi="Arial" w:cs="Arial"/>
        </w:rPr>
        <w:t xml:space="preserve">§ </w:t>
      </w:r>
      <w:r w:rsidR="002A2FB8">
        <w:rPr>
          <w:rFonts w:ascii="Arial" w:hAnsi="Arial" w:cs="Arial"/>
        </w:rPr>
        <w:t>36.4307(a)(11) will</w:t>
      </w:r>
      <w:r w:rsidR="002C61CE">
        <w:rPr>
          <w:rFonts w:ascii="Arial" w:hAnsi="Arial" w:cs="Arial"/>
        </w:rPr>
        <w:t xml:space="preserve"> require </w:t>
      </w:r>
      <w:r w:rsidR="00654958">
        <w:rPr>
          <w:rFonts w:ascii="Arial" w:hAnsi="Arial" w:cs="Arial"/>
        </w:rPr>
        <w:t xml:space="preserve">that </w:t>
      </w:r>
      <w:r w:rsidR="006921DC">
        <w:rPr>
          <w:rFonts w:ascii="Arial" w:hAnsi="Arial" w:cs="Arial"/>
        </w:rPr>
        <w:t xml:space="preserve">the Veteran </w:t>
      </w:r>
      <w:r w:rsidR="002A2FB8">
        <w:rPr>
          <w:rFonts w:ascii="Arial" w:hAnsi="Arial" w:cs="Arial"/>
        </w:rPr>
        <w:t>be</w:t>
      </w:r>
      <w:r w:rsidR="006921DC">
        <w:rPr>
          <w:rFonts w:ascii="Arial" w:hAnsi="Arial" w:cs="Arial"/>
        </w:rPr>
        <w:t xml:space="preserve"> provided </w:t>
      </w:r>
      <w:r w:rsidR="005D582A">
        <w:rPr>
          <w:rFonts w:ascii="Arial" w:hAnsi="Arial" w:cs="Arial"/>
        </w:rPr>
        <w:t xml:space="preserve">comparison </w:t>
      </w:r>
      <w:r w:rsidR="006921DC">
        <w:rPr>
          <w:rFonts w:ascii="Arial" w:hAnsi="Arial" w:cs="Arial"/>
        </w:rPr>
        <w:t>disclosure</w:t>
      </w:r>
      <w:r w:rsidR="005D582A">
        <w:rPr>
          <w:rFonts w:ascii="Arial" w:hAnsi="Arial" w:cs="Arial"/>
        </w:rPr>
        <w:t>s</w:t>
      </w:r>
      <w:r w:rsidR="008C503E">
        <w:rPr>
          <w:rFonts w:ascii="Arial" w:hAnsi="Arial" w:cs="Arial"/>
        </w:rPr>
        <w:t xml:space="preserve"> </w:t>
      </w:r>
      <w:r w:rsidRPr="00955438" w:rsidR="008C503E">
        <w:rPr>
          <w:rFonts w:ascii="Arial" w:hAnsi="Arial" w:cs="Arial"/>
        </w:rPr>
        <w:t>comparing five particular attributes of the loan being refinanced with the</w:t>
      </w:r>
      <w:r w:rsidR="00F61F60">
        <w:rPr>
          <w:rFonts w:ascii="Arial" w:hAnsi="Arial" w:cs="Arial"/>
        </w:rPr>
        <w:t xml:space="preserve"> same attributes of the</w:t>
      </w:r>
      <w:r w:rsidRPr="00955438" w:rsidR="008C503E">
        <w:rPr>
          <w:rFonts w:ascii="Arial" w:hAnsi="Arial" w:cs="Arial"/>
        </w:rPr>
        <w:t xml:space="preserve"> </w:t>
      </w:r>
      <w:r w:rsidR="008C503E">
        <w:rPr>
          <w:rFonts w:ascii="Arial" w:hAnsi="Arial" w:cs="Arial"/>
        </w:rPr>
        <w:t xml:space="preserve">new, </w:t>
      </w:r>
      <w:r w:rsidRPr="00955438" w:rsidR="008C503E">
        <w:rPr>
          <w:rFonts w:ascii="Arial" w:hAnsi="Arial" w:cs="Arial"/>
        </w:rPr>
        <w:t>refinancing loan</w:t>
      </w:r>
      <w:r w:rsidR="006921DC">
        <w:rPr>
          <w:rFonts w:ascii="Arial" w:hAnsi="Arial" w:cs="Arial"/>
        </w:rPr>
        <w:t xml:space="preserve">. </w:t>
      </w:r>
      <w:r w:rsidR="008E60C9">
        <w:rPr>
          <w:rFonts w:ascii="Arial" w:hAnsi="Arial" w:cs="Arial"/>
        </w:rPr>
        <w:t xml:space="preserve">Such disclosures will be provided </w:t>
      </w:r>
      <w:r w:rsidR="008E60C9">
        <w:rPr>
          <w:rFonts w:ascii="Arial" w:hAnsi="Arial" w:cs="Arial"/>
        </w:rPr>
        <w:t>at the outset of the loan application process</w:t>
      </w:r>
      <w:r w:rsidR="00765E29">
        <w:rPr>
          <w:rFonts w:ascii="Arial" w:hAnsi="Arial" w:cs="Arial"/>
        </w:rPr>
        <w:t>,</w:t>
      </w:r>
      <w:r w:rsidR="008E60C9">
        <w:rPr>
          <w:rFonts w:ascii="Arial" w:hAnsi="Arial" w:cs="Arial"/>
        </w:rPr>
        <w:t xml:space="preserve"> as well as </w:t>
      </w:r>
      <w:r w:rsidR="00765E29">
        <w:rPr>
          <w:rFonts w:ascii="Arial" w:hAnsi="Arial" w:cs="Arial"/>
        </w:rPr>
        <w:t xml:space="preserve">at loan closing. VA </w:t>
      </w:r>
      <w:r w:rsidR="00DF037F">
        <w:rPr>
          <w:rFonts w:ascii="Arial" w:hAnsi="Arial" w:cs="Arial"/>
        </w:rPr>
        <w:t>regulation</w:t>
      </w:r>
      <w:r w:rsidR="00FE4A7D">
        <w:rPr>
          <w:rFonts w:ascii="Arial" w:hAnsi="Arial" w:cs="Arial"/>
        </w:rPr>
        <w:t xml:space="preserve"> </w:t>
      </w:r>
      <w:r w:rsidR="00765E29">
        <w:rPr>
          <w:rFonts w:ascii="Arial" w:hAnsi="Arial" w:cs="Arial"/>
        </w:rPr>
        <w:t xml:space="preserve">will require </w:t>
      </w:r>
      <w:r w:rsidR="00DF037F">
        <w:rPr>
          <w:rFonts w:ascii="Arial" w:hAnsi="Arial" w:cs="Arial"/>
        </w:rPr>
        <w:t>Veterans</w:t>
      </w:r>
      <w:r w:rsidR="00765E29">
        <w:rPr>
          <w:rFonts w:ascii="Arial" w:hAnsi="Arial" w:cs="Arial"/>
        </w:rPr>
        <w:t xml:space="preserve"> to certify on the disclosure provided at loan closing that they received both the initial and final comparison disclosure. </w:t>
      </w:r>
    </w:p>
    <w:p w:rsidR="004573FC" w:rsidP="004573FC" w14:paraId="7ACB6C98" w14:textId="3D80660C">
      <w:pPr>
        <w:rPr>
          <w:rFonts w:ascii="Arial" w:hAnsi="Arial" w:cs="Arial"/>
        </w:rPr>
      </w:pPr>
    </w:p>
    <w:p w:rsidR="004573FC" w:rsidP="004573FC" w14:paraId="50B58F3B" w14:textId="40950AB7">
      <w:pPr>
        <w:rPr>
          <w:rFonts w:ascii="Arial" w:hAnsi="Arial" w:cs="Arial"/>
        </w:rPr>
      </w:pPr>
      <w:r>
        <w:rPr>
          <w:rFonts w:ascii="Arial" w:hAnsi="Arial" w:cs="Arial"/>
        </w:rPr>
        <w:t xml:space="preserve">    The above </w:t>
      </w:r>
      <w:r w:rsidR="00016078">
        <w:rPr>
          <w:rFonts w:ascii="Arial" w:hAnsi="Arial" w:cs="Arial"/>
        </w:rPr>
        <w:t xml:space="preserve">information collection </w:t>
      </w:r>
      <w:r>
        <w:rPr>
          <w:rFonts w:ascii="Arial" w:hAnsi="Arial" w:cs="Arial"/>
        </w:rPr>
        <w:t>requirements apply to all IRRRLs.</w:t>
      </w:r>
      <w:r w:rsidR="00F03D5B">
        <w:rPr>
          <w:rFonts w:ascii="Arial" w:hAnsi="Arial" w:cs="Arial"/>
        </w:rPr>
        <w:t xml:space="preserve"> In the case of a lender refinancing a delinquent loan,</w:t>
      </w:r>
      <w:r w:rsidR="00F73851">
        <w:rPr>
          <w:rFonts w:ascii="Arial" w:hAnsi="Arial" w:cs="Arial"/>
        </w:rPr>
        <w:t xml:space="preserve"> </w:t>
      </w:r>
      <w:r w:rsidR="007F3252">
        <w:rPr>
          <w:rFonts w:ascii="Arial" w:hAnsi="Arial" w:cs="Arial"/>
        </w:rPr>
        <w:t xml:space="preserve">VA regulation </w:t>
      </w:r>
      <w:r w:rsidR="00331D0C">
        <w:rPr>
          <w:rFonts w:ascii="Arial" w:hAnsi="Arial" w:cs="Arial"/>
        </w:rPr>
        <w:t xml:space="preserve">at 38 CFR </w:t>
      </w:r>
      <w:r w:rsidR="00B54C23">
        <w:rPr>
          <w:rFonts w:ascii="Arial" w:hAnsi="Arial" w:cs="Arial"/>
        </w:rPr>
        <w:t xml:space="preserve">§ </w:t>
      </w:r>
      <w:r w:rsidR="00331D0C">
        <w:rPr>
          <w:rFonts w:ascii="Arial" w:hAnsi="Arial" w:cs="Arial"/>
        </w:rPr>
        <w:t>36.4307(</w:t>
      </w:r>
      <w:r w:rsidR="00153288">
        <w:rPr>
          <w:rFonts w:ascii="Arial" w:hAnsi="Arial" w:cs="Arial"/>
        </w:rPr>
        <w:t xml:space="preserve">a)(5) </w:t>
      </w:r>
      <w:r w:rsidR="00016078">
        <w:rPr>
          <w:rFonts w:ascii="Arial" w:hAnsi="Arial" w:cs="Arial"/>
        </w:rPr>
        <w:t xml:space="preserve">also </w:t>
      </w:r>
      <w:r w:rsidR="0052600A">
        <w:rPr>
          <w:rFonts w:ascii="Arial" w:hAnsi="Arial" w:cs="Arial"/>
        </w:rPr>
        <w:t>requires lenders</w:t>
      </w:r>
      <w:r w:rsidR="006B1B85">
        <w:rPr>
          <w:rFonts w:ascii="Arial" w:hAnsi="Arial" w:cs="Arial"/>
        </w:rPr>
        <w:t xml:space="preserve"> to collect</w:t>
      </w:r>
      <w:r w:rsidR="00637FB3">
        <w:rPr>
          <w:rFonts w:ascii="Arial" w:hAnsi="Arial" w:cs="Arial"/>
        </w:rPr>
        <w:t xml:space="preserve"> from the Veteran</w:t>
      </w:r>
      <w:r w:rsidR="006B1B85">
        <w:rPr>
          <w:rFonts w:ascii="Arial" w:hAnsi="Arial" w:cs="Arial"/>
        </w:rPr>
        <w:t xml:space="preserve"> </w:t>
      </w:r>
      <w:r w:rsidR="00B64561">
        <w:rPr>
          <w:rFonts w:ascii="Arial" w:hAnsi="Arial" w:cs="Arial"/>
        </w:rPr>
        <w:t>information</w:t>
      </w:r>
      <w:r w:rsidR="00FB2790">
        <w:rPr>
          <w:rFonts w:ascii="Arial" w:hAnsi="Arial" w:cs="Arial"/>
        </w:rPr>
        <w:t xml:space="preserve"> regarding the delinquency</w:t>
      </w:r>
      <w:r w:rsidR="00B64561">
        <w:rPr>
          <w:rFonts w:ascii="Arial" w:hAnsi="Arial" w:cs="Arial"/>
        </w:rPr>
        <w:t xml:space="preserve"> </w:t>
      </w:r>
      <w:r w:rsidR="00237D8F">
        <w:rPr>
          <w:rFonts w:ascii="Arial" w:hAnsi="Arial" w:cs="Arial"/>
        </w:rPr>
        <w:t xml:space="preserve">and </w:t>
      </w:r>
      <w:r w:rsidR="001C43E8">
        <w:rPr>
          <w:rFonts w:ascii="Arial" w:hAnsi="Arial" w:cs="Arial"/>
        </w:rPr>
        <w:t xml:space="preserve">the Veteran’s credit-worthiness, </w:t>
      </w:r>
      <w:r w:rsidR="00F03D5B">
        <w:rPr>
          <w:rFonts w:ascii="Arial" w:hAnsi="Arial" w:cs="Arial"/>
        </w:rPr>
        <w:t xml:space="preserve">and request VA’s approval prior to closing the loan. </w:t>
      </w:r>
    </w:p>
    <w:p w:rsidR="003C2010" w:rsidRPr="00035C01" w:rsidP="001F2C7D" w14:paraId="6F2C724B" w14:textId="77777777">
      <w:pPr>
        <w:rPr>
          <w:rFonts w:ascii="Arial" w:hAnsi="Arial" w:cs="Arial"/>
        </w:rPr>
      </w:pPr>
    </w:p>
    <w:p w:rsidR="00A83F83" w:rsidRPr="00035C01" w:rsidP="001F2C7D" w14:paraId="7F52CA8B" w14:textId="77777777">
      <w:pPr>
        <w:pStyle w:val="BodyText"/>
        <w:tabs>
          <w:tab w:val="left" w:pos="360"/>
        </w:tabs>
        <w:spacing w:after="0"/>
        <w:rPr>
          <w:rFonts w:ascii="Arial" w:hAnsi="Arial" w:cs="Arial"/>
          <w:b/>
        </w:rPr>
      </w:pPr>
      <w:r w:rsidRPr="00035C01">
        <w:rPr>
          <w:rFonts w:ascii="Arial" w:hAnsi="Arial" w:cs="Arial"/>
          <w:b/>
        </w:rPr>
        <w:t xml:space="preserve">     </w:t>
      </w:r>
      <w:r w:rsidRPr="00035C01" w:rsidR="003C2010">
        <w:rPr>
          <w:rFonts w:ascii="Arial" w:hAnsi="Arial" w:cs="Arial"/>
          <w:b/>
        </w:rPr>
        <w:t xml:space="preserve">2.  </w:t>
      </w:r>
      <w:r w:rsidRPr="00035C01">
        <w:rPr>
          <w:rFonts w:ascii="Arial" w:hAnsi="Arial" w:cs="Arial"/>
          <w:b/>
        </w:rPr>
        <w:t>Indicate how, by whom, and for what purposes the information is to be used; indicate actual use the agency has made of the information received from current collection.</w:t>
      </w:r>
    </w:p>
    <w:p w:rsidR="00A83F83" w:rsidP="001F2C7D" w14:paraId="49262189" w14:textId="77777777">
      <w:pPr>
        <w:pStyle w:val="BodyText"/>
        <w:tabs>
          <w:tab w:val="left" w:pos="360"/>
        </w:tabs>
        <w:spacing w:after="0"/>
        <w:rPr>
          <w:rFonts w:ascii="Arial" w:hAnsi="Arial" w:cs="Arial"/>
        </w:rPr>
      </w:pPr>
    </w:p>
    <w:p w:rsidR="000E6089" w:rsidP="001F2C7D" w14:paraId="058326D9" w14:textId="64FBEBF9">
      <w:pPr>
        <w:pStyle w:val="BodyText"/>
        <w:tabs>
          <w:tab w:val="left" w:pos="360"/>
        </w:tabs>
        <w:spacing w:after="0"/>
        <w:rPr>
          <w:rFonts w:ascii="Arial" w:hAnsi="Arial" w:cs="Arial"/>
        </w:rPr>
      </w:pPr>
      <w:r>
        <w:rPr>
          <w:rFonts w:ascii="Arial" w:hAnsi="Arial" w:cs="Arial"/>
        </w:rPr>
        <w:t xml:space="preserve">The specific items </w:t>
      </w:r>
      <w:r w:rsidR="00960540">
        <w:rPr>
          <w:rFonts w:ascii="Arial" w:hAnsi="Arial" w:cs="Arial"/>
        </w:rPr>
        <w:t xml:space="preserve">within </w:t>
      </w:r>
      <w:r>
        <w:rPr>
          <w:rFonts w:ascii="Arial" w:hAnsi="Arial" w:cs="Arial"/>
        </w:rPr>
        <w:t>this information collection are as follows:</w:t>
      </w:r>
    </w:p>
    <w:p w:rsidR="00DF2CB2" w:rsidP="00DF2CB2" w14:paraId="7F56D134" w14:textId="63DF78F6">
      <w:pPr>
        <w:pStyle w:val="BodyText"/>
        <w:numPr>
          <w:ilvl w:val="0"/>
          <w:numId w:val="9"/>
        </w:numPr>
        <w:tabs>
          <w:tab w:val="left" w:pos="360"/>
        </w:tabs>
        <w:spacing w:after="0"/>
        <w:rPr>
          <w:rFonts w:ascii="Arial" w:hAnsi="Arial" w:cs="Arial"/>
        </w:rPr>
      </w:pPr>
      <w:r>
        <w:rPr>
          <w:rFonts w:ascii="Arial" w:hAnsi="Arial" w:cs="Arial"/>
        </w:rPr>
        <w:t>VA Form 26-8923, Interest Rate Reduction Refinancing Loan Worksheet</w:t>
      </w:r>
    </w:p>
    <w:p w:rsidR="00DF2CB2" w:rsidP="00B525D6" w14:paraId="4DA01BCD" w14:textId="1C53A969">
      <w:pPr>
        <w:pStyle w:val="BodyText"/>
        <w:numPr>
          <w:ilvl w:val="0"/>
          <w:numId w:val="9"/>
        </w:numPr>
        <w:tabs>
          <w:tab w:val="left" w:pos="360"/>
        </w:tabs>
        <w:spacing w:after="0"/>
        <w:rPr>
          <w:rFonts w:ascii="Arial" w:hAnsi="Arial" w:cs="Arial"/>
        </w:rPr>
      </w:pPr>
      <w:r>
        <w:rPr>
          <w:rFonts w:ascii="Arial" w:hAnsi="Arial" w:cs="Arial"/>
        </w:rPr>
        <w:t>VA Form 26-</w:t>
      </w:r>
      <w:r w:rsidRPr="00F43F9D">
        <w:rPr>
          <w:rFonts w:ascii="Arial" w:hAnsi="Arial" w:cs="Arial"/>
        </w:rPr>
        <w:t>XXXX</w:t>
      </w:r>
      <w:r>
        <w:rPr>
          <w:rFonts w:ascii="Arial" w:hAnsi="Arial" w:cs="Arial"/>
        </w:rPr>
        <w:t xml:space="preserve">, </w:t>
      </w:r>
      <w:r w:rsidR="00753ECE">
        <w:rPr>
          <w:rFonts w:ascii="Arial" w:hAnsi="Arial" w:cs="Arial"/>
        </w:rPr>
        <w:t xml:space="preserve">Interest Rate Reduction Refinancing Loan Comparison </w:t>
      </w:r>
      <w:r w:rsidR="00C77569">
        <w:rPr>
          <w:rFonts w:ascii="Arial" w:hAnsi="Arial" w:cs="Arial"/>
        </w:rPr>
        <w:t>Disclosure</w:t>
      </w:r>
    </w:p>
    <w:p w:rsidR="00E93898" w:rsidRPr="00E93898" w:rsidP="00563694" w14:paraId="2821EB98" w14:textId="717DCABA">
      <w:pPr>
        <w:pStyle w:val="BodyText"/>
        <w:numPr>
          <w:ilvl w:val="0"/>
          <w:numId w:val="9"/>
        </w:numPr>
        <w:tabs>
          <w:tab w:val="left" w:pos="360"/>
        </w:tabs>
        <w:spacing w:after="0"/>
        <w:rPr>
          <w:rFonts w:ascii="Arial" w:hAnsi="Arial" w:cs="Arial"/>
        </w:rPr>
      </w:pPr>
      <w:r>
        <w:rPr>
          <w:rFonts w:ascii="Arial" w:hAnsi="Arial" w:cs="Arial"/>
        </w:rPr>
        <w:t>Borrower information when refinancing a delinquent loan</w:t>
      </w:r>
    </w:p>
    <w:p w:rsidR="000E6089" w:rsidP="001F2C7D" w14:paraId="33106889" w14:textId="77777777">
      <w:pPr>
        <w:pStyle w:val="BodyText"/>
        <w:tabs>
          <w:tab w:val="left" w:pos="360"/>
        </w:tabs>
        <w:spacing w:after="0"/>
        <w:rPr>
          <w:rFonts w:ascii="Arial" w:hAnsi="Arial" w:cs="Arial"/>
        </w:rPr>
      </w:pPr>
    </w:p>
    <w:p w:rsidR="00FC4677" w:rsidRPr="00563694" w:rsidP="001F2C7D" w14:paraId="2870342C" w14:textId="67956A06">
      <w:pPr>
        <w:pStyle w:val="BodyText"/>
        <w:tabs>
          <w:tab w:val="left" w:pos="360"/>
        </w:tabs>
        <w:spacing w:after="0"/>
        <w:rPr>
          <w:rFonts w:ascii="Arial" w:hAnsi="Arial" w:cs="Arial"/>
          <w:u w:val="single"/>
        </w:rPr>
      </w:pPr>
      <w:r w:rsidRPr="00563694">
        <w:rPr>
          <w:rFonts w:ascii="Arial" w:hAnsi="Arial" w:cs="Arial"/>
          <w:u w:val="single"/>
        </w:rPr>
        <w:t>1. VA Form 23-8923</w:t>
      </w:r>
      <w:r w:rsidRPr="00563694" w:rsidR="00070A9A">
        <w:rPr>
          <w:rFonts w:ascii="Arial" w:hAnsi="Arial" w:cs="Arial"/>
          <w:u w:val="single"/>
        </w:rPr>
        <w:t xml:space="preserve">, </w:t>
      </w:r>
      <w:r w:rsidRPr="00694AC1" w:rsidR="00070A9A">
        <w:rPr>
          <w:rFonts w:ascii="Arial" w:hAnsi="Arial" w:cs="Arial"/>
          <w:i/>
          <w:iCs/>
          <w:u w:val="single"/>
        </w:rPr>
        <w:t>Interest Rate Reduction Refinancing Loan Worksheet</w:t>
      </w:r>
    </w:p>
    <w:p w:rsidR="000F1B97" w:rsidP="001F2C7D" w14:paraId="33110CBC" w14:textId="12B7B22F">
      <w:pPr>
        <w:pStyle w:val="BodyText"/>
        <w:tabs>
          <w:tab w:val="left" w:pos="360"/>
        </w:tabs>
        <w:spacing w:after="0"/>
        <w:rPr>
          <w:rFonts w:ascii="Arial" w:hAnsi="Arial" w:cs="Arial"/>
        </w:rPr>
      </w:pPr>
      <w:r w:rsidRPr="00035C01">
        <w:rPr>
          <w:rFonts w:ascii="Arial" w:hAnsi="Arial" w:cs="Arial"/>
        </w:rPr>
        <w:t xml:space="preserve">     </w:t>
      </w:r>
      <w:r w:rsidRPr="00035C01" w:rsidR="00FE3A77">
        <w:rPr>
          <w:rFonts w:ascii="Arial" w:hAnsi="Arial" w:cs="Arial"/>
        </w:rPr>
        <w:t xml:space="preserve">Lenders are required to complete VA Form 26-8923, </w:t>
      </w:r>
      <w:r w:rsidRPr="00694AC1" w:rsidR="00FE3A77">
        <w:rPr>
          <w:rFonts w:ascii="Arial" w:hAnsi="Arial" w:cs="Arial"/>
          <w:i/>
          <w:iCs/>
        </w:rPr>
        <w:t>Interest Rate Reduction Refinancing Loan (IRRRL) Worksheet</w:t>
      </w:r>
      <w:r w:rsidRPr="00035C01" w:rsidR="00FE3A77">
        <w:rPr>
          <w:rFonts w:ascii="Arial" w:hAnsi="Arial" w:cs="Arial"/>
        </w:rPr>
        <w:t xml:space="preserve">, </w:t>
      </w:r>
      <w:r w:rsidR="001223D4">
        <w:rPr>
          <w:rFonts w:ascii="Arial" w:hAnsi="Arial" w:cs="Arial"/>
        </w:rPr>
        <w:t>in conjunction with any</w:t>
      </w:r>
      <w:r w:rsidRPr="00035C01" w:rsidR="00FE3A77">
        <w:rPr>
          <w:rFonts w:ascii="Arial" w:hAnsi="Arial" w:cs="Arial"/>
        </w:rPr>
        <w:t xml:space="preserve"> </w:t>
      </w:r>
      <w:r w:rsidR="00087AF5">
        <w:rPr>
          <w:rFonts w:ascii="Arial" w:hAnsi="Arial" w:cs="Arial"/>
        </w:rPr>
        <w:t>IRRRL</w:t>
      </w:r>
      <w:r w:rsidRPr="00035C01" w:rsidR="00FE3A77">
        <w:rPr>
          <w:rFonts w:ascii="Arial" w:hAnsi="Arial" w:cs="Arial"/>
        </w:rPr>
        <w:t xml:space="preserve"> and </w:t>
      </w:r>
      <w:r w:rsidRPr="00035C01" w:rsidR="002756F5">
        <w:rPr>
          <w:rFonts w:ascii="Arial" w:hAnsi="Arial" w:cs="Arial"/>
        </w:rPr>
        <w:t xml:space="preserve">submit the form </w:t>
      </w:r>
      <w:r w:rsidR="009379E0">
        <w:rPr>
          <w:rFonts w:ascii="Arial" w:hAnsi="Arial" w:cs="Arial"/>
        </w:rPr>
        <w:t xml:space="preserve">with </w:t>
      </w:r>
      <w:r w:rsidRPr="00035C01" w:rsidR="002756F5">
        <w:rPr>
          <w:rFonts w:ascii="Arial" w:hAnsi="Arial" w:cs="Arial"/>
        </w:rPr>
        <w:t>the loan file when selected by VA for audit review.</w:t>
      </w:r>
      <w:r w:rsidRPr="00035C01" w:rsidR="004932C9">
        <w:rPr>
          <w:rFonts w:ascii="Arial" w:hAnsi="Arial" w:cs="Arial"/>
        </w:rPr>
        <w:t xml:space="preserve">  </w:t>
      </w:r>
      <w:r w:rsidRPr="00035C01" w:rsidR="00FE3A77">
        <w:rPr>
          <w:rFonts w:ascii="Arial" w:hAnsi="Arial" w:cs="Arial"/>
        </w:rPr>
        <w:t xml:space="preserve">The </w:t>
      </w:r>
      <w:r w:rsidRPr="00694AC1" w:rsidR="00B87EAE">
        <w:rPr>
          <w:rFonts w:ascii="Arial" w:hAnsi="Arial" w:cs="Arial"/>
          <w:i/>
          <w:iCs/>
        </w:rPr>
        <w:t xml:space="preserve">IRRRL </w:t>
      </w:r>
      <w:r w:rsidRPr="00694AC1" w:rsidR="00C30A63">
        <w:rPr>
          <w:rFonts w:ascii="Arial" w:hAnsi="Arial" w:cs="Arial"/>
          <w:i/>
          <w:iCs/>
        </w:rPr>
        <w:t>Worksheet</w:t>
      </w:r>
      <w:r w:rsidRPr="00035C01" w:rsidR="00FE3A77">
        <w:rPr>
          <w:rFonts w:ascii="Arial" w:hAnsi="Arial" w:cs="Arial"/>
        </w:rPr>
        <w:t xml:space="preserve"> ensures that lenders correctly compute the funding fee and the maximum permissible loan amount for </w:t>
      </w:r>
      <w:r w:rsidR="000E1C83">
        <w:rPr>
          <w:rFonts w:ascii="Arial" w:hAnsi="Arial" w:cs="Arial"/>
        </w:rPr>
        <w:t>IRRRLs</w:t>
      </w:r>
      <w:r w:rsidRPr="00035C01" w:rsidR="00FE3A77">
        <w:rPr>
          <w:rFonts w:ascii="Arial" w:hAnsi="Arial" w:cs="Arial"/>
        </w:rPr>
        <w:t xml:space="preserve">. Prior to the form being issued, lenders were frequently required to adjust these amounts before guaranty </w:t>
      </w:r>
      <w:r w:rsidRPr="00035C01" w:rsidR="004932C9">
        <w:rPr>
          <w:rFonts w:ascii="Arial" w:hAnsi="Arial" w:cs="Arial"/>
        </w:rPr>
        <w:t>could</w:t>
      </w:r>
      <w:r w:rsidRPr="00035C01" w:rsidR="00FE3A77">
        <w:rPr>
          <w:rFonts w:ascii="Arial" w:hAnsi="Arial" w:cs="Arial"/>
        </w:rPr>
        <w:t xml:space="preserve"> be issued. </w:t>
      </w:r>
      <w:r w:rsidRPr="00035C01" w:rsidR="004932C9">
        <w:rPr>
          <w:rFonts w:ascii="Arial" w:hAnsi="Arial" w:cs="Arial"/>
        </w:rPr>
        <w:t>T</w:t>
      </w:r>
      <w:r w:rsidRPr="00035C01" w:rsidR="00FE3A77">
        <w:rPr>
          <w:rFonts w:ascii="Arial" w:hAnsi="Arial" w:cs="Arial"/>
        </w:rPr>
        <w:t>he form reduces the time spent by VA personnel in explaining the computation to lenders and reviewing the closing documents after submission to VA.</w:t>
      </w:r>
      <w:r w:rsidR="00F47DD2">
        <w:rPr>
          <w:rFonts w:ascii="Arial" w:hAnsi="Arial" w:cs="Arial"/>
        </w:rPr>
        <w:t xml:space="preserve"> </w:t>
      </w:r>
    </w:p>
    <w:p w:rsidR="002C61CE" w:rsidP="00720DCC" w14:paraId="250FC1B9" w14:textId="56734C67">
      <w:pPr>
        <w:pStyle w:val="BodyText"/>
        <w:tabs>
          <w:tab w:val="left" w:pos="360"/>
        </w:tabs>
        <w:spacing w:after="0"/>
        <w:rPr>
          <w:rFonts w:ascii="Arial" w:hAnsi="Arial" w:cs="Arial"/>
        </w:rPr>
      </w:pPr>
      <w:r>
        <w:rPr>
          <w:rFonts w:ascii="Arial" w:hAnsi="Arial" w:cs="Arial"/>
        </w:rPr>
        <w:tab/>
      </w:r>
      <w:r w:rsidR="001E239B">
        <w:rPr>
          <w:rFonts w:ascii="Arial" w:hAnsi="Arial" w:cs="Arial"/>
        </w:rPr>
        <w:t xml:space="preserve">VA </w:t>
      </w:r>
      <w:r w:rsidR="00B81F59">
        <w:rPr>
          <w:rFonts w:ascii="Arial" w:hAnsi="Arial" w:cs="Arial"/>
        </w:rPr>
        <w:t xml:space="preserve">has </w:t>
      </w:r>
      <w:r w:rsidR="009C1F85">
        <w:rPr>
          <w:rFonts w:ascii="Arial" w:hAnsi="Arial" w:cs="Arial"/>
        </w:rPr>
        <w:t xml:space="preserve">also </w:t>
      </w:r>
      <w:r w:rsidR="00B81F59">
        <w:rPr>
          <w:rFonts w:ascii="Arial" w:hAnsi="Arial" w:cs="Arial"/>
        </w:rPr>
        <w:t xml:space="preserve">made revisions to the </w:t>
      </w:r>
      <w:r w:rsidRPr="00694AC1" w:rsidR="00B81F59">
        <w:rPr>
          <w:rFonts w:ascii="Arial" w:hAnsi="Arial" w:cs="Arial"/>
          <w:i/>
          <w:iCs/>
        </w:rPr>
        <w:t>IRRRL Worksheet</w:t>
      </w:r>
      <w:r w:rsidR="00B81F59">
        <w:rPr>
          <w:rFonts w:ascii="Arial" w:hAnsi="Arial" w:cs="Arial"/>
        </w:rPr>
        <w:t xml:space="preserve"> to capture </w:t>
      </w:r>
      <w:r w:rsidR="001E239B">
        <w:rPr>
          <w:rFonts w:ascii="Arial" w:hAnsi="Arial" w:cs="Arial"/>
        </w:rPr>
        <w:t>certifications regarding recoupment, net tangible</w:t>
      </w:r>
      <w:r w:rsidR="00AF2439">
        <w:rPr>
          <w:rFonts w:ascii="Arial" w:hAnsi="Arial" w:cs="Arial"/>
        </w:rPr>
        <w:t xml:space="preserve"> benefit</w:t>
      </w:r>
      <w:r w:rsidR="001E239B">
        <w:rPr>
          <w:rFonts w:ascii="Arial" w:hAnsi="Arial" w:cs="Arial"/>
        </w:rPr>
        <w:t xml:space="preserve"> and seasoning to ensure that </w:t>
      </w:r>
      <w:r w:rsidR="00734F77">
        <w:rPr>
          <w:rFonts w:ascii="Arial" w:hAnsi="Arial" w:cs="Arial"/>
        </w:rPr>
        <w:t xml:space="preserve">IRRRLs </w:t>
      </w:r>
      <w:r w:rsidR="001E239B">
        <w:rPr>
          <w:rFonts w:ascii="Arial" w:hAnsi="Arial" w:cs="Arial"/>
        </w:rPr>
        <w:t xml:space="preserve">adhere to 38 U.S.C. </w:t>
      </w:r>
      <w:r w:rsidR="002734AD">
        <w:rPr>
          <w:rFonts w:ascii="Arial" w:hAnsi="Arial" w:cs="Arial"/>
        </w:rPr>
        <w:t xml:space="preserve">§ </w:t>
      </w:r>
      <w:r w:rsidR="001E239B">
        <w:rPr>
          <w:rFonts w:ascii="Arial" w:hAnsi="Arial" w:cs="Arial"/>
        </w:rPr>
        <w:t xml:space="preserve">3709. </w:t>
      </w:r>
      <w:r w:rsidR="001B2ED3">
        <w:rPr>
          <w:rFonts w:ascii="Arial" w:hAnsi="Arial" w:cs="Arial"/>
        </w:rPr>
        <w:t xml:space="preserve">Prior to </w:t>
      </w:r>
      <w:r w:rsidR="0054344C">
        <w:rPr>
          <w:rFonts w:ascii="Arial" w:hAnsi="Arial" w:cs="Arial"/>
        </w:rPr>
        <w:t xml:space="preserve">statutory changes to 38 U.S.C. </w:t>
      </w:r>
      <w:r w:rsidR="00694AC1">
        <w:rPr>
          <w:rFonts w:ascii="Arial" w:hAnsi="Arial" w:cs="Arial"/>
        </w:rPr>
        <w:t xml:space="preserve">§ </w:t>
      </w:r>
      <w:r w:rsidR="0054344C">
        <w:rPr>
          <w:rFonts w:ascii="Arial" w:hAnsi="Arial" w:cs="Arial"/>
        </w:rPr>
        <w:t xml:space="preserve">3709 and </w:t>
      </w:r>
      <w:r w:rsidR="00683E1B">
        <w:rPr>
          <w:rFonts w:ascii="Arial" w:hAnsi="Arial" w:cs="Arial"/>
        </w:rPr>
        <w:t xml:space="preserve">VA’s </w:t>
      </w:r>
      <w:r w:rsidR="0054344C">
        <w:rPr>
          <w:rFonts w:ascii="Arial" w:hAnsi="Arial" w:cs="Arial"/>
        </w:rPr>
        <w:t>implementing regulation</w:t>
      </w:r>
      <w:r w:rsidR="00683E1B">
        <w:rPr>
          <w:rFonts w:ascii="Arial" w:hAnsi="Arial" w:cs="Arial"/>
        </w:rPr>
        <w:t>,</w:t>
      </w:r>
      <w:r w:rsidR="001B2ED3">
        <w:rPr>
          <w:rFonts w:ascii="Arial" w:hAnsi="Arial" w:cs="Arial"/>
        </w:rPr>
        <w:t xml:space="preserve"> Veterans </w:t>
      </w:r>
      <w:r w:rsidR="00FD5395">
        <w:rPr>
          <w:rFonts w:ascii="Arial" w:hAnsi="Arial" w:cs="Arial"/>
        </w:rPr>
        <w:t xml:space="preserve">were </w:t>
      </w:r>
      <w:r w:rsidR="00DD37DA">
        <w:rPr>
          <w:rFonts w:ascii="Arial" w:hAnsi="Arial" w:cs="Arial"/>
        </w:rPr>
        <w:t xml:space="preserve">at </w:t>
      </w:r>
      <w:r w:rsidR="00543BB0">
        <w:rPr>
          <w:rFonts w:ascii="Arial" w:hAnsi="Arial" w:cs="Arial"/>
        </w:rPr>
        <w:t xml:space="preserve">increased </w:t>
      </w:r>
      <w:r w:rsidR="00DD37DA">
        <w:rPr>
          <w:rFonts w:ascii="Arial" w:hAnsi="Arial" w:cs="Arial"/>
        </w:rPr>
        <w:t>risk of</w:t>
      </w:r>
      <w:r w:rsidR="001B2ED3">
        <w:rPr>
          <w:rFonts w:ascii="Arial" w:hAnsi="Arial" w:cs="Arial"/>
        </w:rPr>
        <w:t xml:space="preserve"> entering into predatory loans through churning practices that minimally reduced the interest rate but increased the overall cost of the mortgage.</w:t>
      </w:r>
      <w:r w:rsidRPr="00545831" w:rsidR="001B2ED3">
        <w:t xml:space="preserve"> </w:t>
      </w:r>
      <w:r w:rsidRPr="00545831" w:rsidR="001B2ED3">
        <w:rPr>
          <w:rFonts w:ascii="Arial" w:hAnsi="Arial" w:cs="Arial"/>
        </w:rPr>
        <w:t>Th</w:t>
      </w:r>
      <w:r w:rsidR="004A707A">
        <w:rPr>
          <w:rFonts w:ascii="Arial" w:hAnsi="Arial" w:cs="Arial"/>
        </w:rPr>
        <w:t xml:space="preserve">e </w:t>
      </w:r>
      <w:r w:rsidR="0054344C">
        <w:rPr>
          <w:rFonts w:ascii="Arial" w:hAnsi="Arial" w:cs="Arial"/>
        </w:rPr>
        <w:t>statutory and regulatory</w:t>
      </w:r>
      <w:r w:rsidRPr="00545831" w:rsidR="001B2ED3">
        <w:rPr>
          <w:rFonts w:ascii="Arial" w:hAnsi="Arial" w:cs="Arial"/>
        </w:rPr>
        <w:t xml:space="preserve"> requirement</w:t>
      </w:r>
      <w:r w:rsidR="001B2ED3">
        <w:rPr>
          <w:rFonts w:ascii="Arial" w:hAnsi="Arial" w:cs="Arial"/>
        </w:rPr>
        <w:t xml:space="preserve">s and associated </w:t>
      </w:r>
      <w:r w:rsidR="004A707A">
        <w:rPr>
          <w:rFonts w:ascii="Arial" w:hAnsi="Arial" w:cs="Arial"/>
        </w:rPr>
        <w:t xml:space="preserve">revisions to the </w:t>
      </w:r>
      <w:r w:rsidR="001B2ED3">
        <w:rPr>
          <w:rFonts w:ascii="Arial" w:hAnsi="Arial" w:cs="Arial"/>
        </w:rPr>
        <w:t>collection</w:t>
      </w:r>
      <w:r w:rsidRPr="00545831" w:rsidR="001B2ED3">
        <w:rPr>
          <w:rFonts w:ascii="Arial" w:hAnsi="Arial" w:cs="Arial"/>
        </w:rPr>
        <w:t xml:space="preserve"> </w:t>
      </w:r>
      <w:r w:rsidR="001B2ED3">
        <w:rPr>
          <w:rFonts w:ascii="Arial" w:hAnsi="Arial" w:cs="Arial"/>
        </w:rPr>
        <w:t xml:space="preserve">ensure </w:t>
      </w:r>
      <w:r w:rsidR="00B22870">
        <w:rPr>
          <w:rFonts w:ascii="Arial" w:hAnsi="Arial" w:cs="Arial"/>
        </w:rPr>
        <w:t xml:space="preserve">that </w:t>
      </w:r>
      <w:r w:rsidR="001B2ED3">
        <w:rPr>
          <w:rFonts w:ascii="Arial" w:hAnsi="Arial" w:cs="Arial"/>
        </w:rPr>
        <w:t>the lender has provided evidence that the lender adhered to requirements for calculating recoupment, for determining loan seasoning and for ensuring net tangible benefit.</w:t>
      </w:r>
    </w:p>
    <w:p w:rsidR="0059364B" w:rsidP="001F2C7D" w14:paraId="6AB60DF4" w14:textId="62BD9475">
      <w:pPr>
        <w:pStyle w:val="BodyText"/>
        <w:tabs>
          <w:tab w:val="left" w:pos="360"/>
        </w:tabs>
        <w:spacing w:after="0"/>
        <w:rPr>
          <w:rFonts w:ascii="Arial" w:hAnsi="Arial" w:cs="Arial"/>
        </w:rPr>
      </w:pPr>
    </w:p>
    <w:p w:rsidR="0000540A" w:rsidRPr="00563694" w:rsidP="001F2C7D" w14:paraId="02B3A5CF" w14:textId="6DB1263E">
      <w:pPr>
        <w:pStyle w:val="BodyText"/>
        <w:tabs>
          <w:tab w:val="left" w:pos="360"/>
        </w:tabs>
        <w:spacing w:after="0"/>
        <w:rPr>
          <w:rFonts w:ascii="Arial" w:hAnsi="Arial" w:cs="Arial"/>
          <w:u w:val="single"/>
        </w:rPr>
      </w:pPr>
      <w:r w:rsidRPr="00563694">
        <w:rPr>
          <w:rFonts w:ascii="Arial" w:hAnsi="Arial" w:cs="Arial"/>
          <w:u w:val="single"/>
        </w:rPr>
        <w:t>2. VA Form 26-</w:t>
      </w:r>
      <w:r w:rsidRPr="00563694">
        <w:rPr>
          <w:rFonts w:ascii="Arial" w:hAnsi="Arial" w:cs="Arial"/>
          <w:highlight w:val="yellow"/>
          <w:u w:val="single"/>
        </w:rPr>
        <w:t>XXXX</w:t>
      </w:r>
      <w:r w:rsidRPr="00563694">
        <w:rPr>
          <w:rFonts w:ascii="Arial" w:hAnsi="Arial" w:cs="Arial"/>
          <w:u w:val="single"/>
        </w:rPr>
        <w:t xml:space="preserve">, </w:t>
      </w:r>
      <w:r w:rsidRPr="00694AC1">
        <w:rPr>
          <w:rFonts w:ascii="Arial" w:hAnsi="Arial" w:cs="Arial"/>
          <w:i/>
          <w:iCs/>
          <w:u w:val="single"/>
        </w:rPr>
        <w:t>Interest Rate Reduction Refinancing Loan Comparison Disclosure</w:t>
      </w:r>
    </w:p>
    <w:p w:rsidR="0059364B" w:rsidP="001F2C7D" w14:paraId="1DF545E4" w14:textId="261481E3">
      <w:pPr>
        <w:pStyle w:val="BodyText"/>
        <w:tabs>
          <w:tab w:val="left" w:pos="360"/>
        </w:tabs>
        <w:spacing w:after="0"/>
        <w:rPr>
          <w:rFonts w:ascii="Arial" w:hAnsi="Arial" w:cs="Arial"/>
        </w:rPr>
      </w:pPr>
      <w:r>
        <w:rPr>
          <w:rFonts w:ascii="Arial" w:hAnsi="Arial" w:cs="Arial"/>
        </w:rPr>
        <w:tab/>
      </w:r>
      <w:r w:rsidR="00720DCC">
        <w:rPr>
          <w:rFonts w:ascii="Arial" w:hAnsi="Arial" w:cs="Arial"/>
        </w:rPr>
        <w:t xml:space="preserve">Under VA’s rulemaking on IRRRLs, the lender will have to provide comparison disclosures to the Veteran that compare particular attributes of the new and existing loans. </w:t>
      </w:r>
      <w:r w:rsidR="00B4064E">
        <w:rPr>
          <w:rFonts w:ascii="Arial" w:hAnsi="Arial" w:cs="Arial"/>
        </w:rPr>
        <w:t>The information provided as part of the comparison disclosures</w:t>
      </w:r>
      <w:r>
        <w:rPr>
          <w:rFonts w:ascii="Arial" w:hAnsi="Arial" w:cs="Arial"/>
        </w:rPr>
        <w:t xml:space="preserve"> ensure that </w:t>
      </w:r>
      <w:r w:rsidR="0015648D">
        <w:rPr>
          <w:rFonts w:ascii="Arial" w:hAnsi="Arial" w:cs="Arial"/>
        </w:rPr>
        <w:t>V</w:t>
      </w:r>
      <w:r w:rsidRPr="2E2D76EE">
        <w:rPr>
          <w:rFonts w:ascii="Arial" w:hAnsi="Arial" w:cs="Arial"/>
        </w:rPr>
        <w:t xml:space="preserve">eterans </w:t>
      </w:r>
      <w:r>
        <w:rPr>
          <w:rFonts w:ascii="Arial" w:hAnsi="Arial" w:cs="Arial"/>
        </w:rPr>
        <w:t xml:space="preserve">can be </w:t>
      </w:r>
      <w:r w:rsidRPr="2E2D76EE">
        <w:rPr>
          <w:rFonts w:ascii="Arial" w:hAnsi="Arial" w:cs="Arial"/>
        </w:rPr>
        <w:t>fully</w:t>
      </w:r>
      <w:r>
        <w:rPr>
          <w:rFonts w:ascii="Arial" w:hAnsi="Arial" w:cs="Arial"/>
        </w:rPr>
        <w:t xml:space="preserve"> apprised of</w:t>
      </w:r>
      <w:r w:rsidRPr="2E2D76EE">
        <w:rPr>
          <w:rFonts w:ascii="Arial" w:hAnsi="Arial" w:cs="Arial"/>
        </w:rPr>
        <w:t xml:space="preserve"> the </w:t>
      </w:r>
      <w:r>
        <w:rPr>
          <w:rFonts w:ascii="Arial" w:hAnsi="Arial" w:cs="Arial"/>
        </w:rPr>
        <w:t xml:space="preserve">financial </w:t>
      </w:r>
      <w:r w:rsidRPr="2E2D76EE">
        <w:rPr>
          <w:rFonts w:ascii="Arial" w:hAnsi="Arial" w:cs="Arial"/>
        </w:rPr>
        <w:t>impact</w:t>
      </w:r>
      <w:r>
        <w:rPr>
          <w:rFonts w:ascii="Arial" w:hAnsi="Arial" w:cs="Arial"/>
        </w:rPr>
        <w:t xml:space="preserve"> the</w:t>
      </w:r>
      <w:r w:rsidRPr="2E2D76EE">
        <w:rPr>
          <w:rFonts w:ascii="Arial" w:hAnsi="Arial" w:cs="Arial"/>
        </w:rPr>
        <w:t xml:space="preserve"> refinancing</w:t>
      </w:r>
      <w:r>
        <w:rPr>
          <w:rFonts w:ascii="Arial" w:hAnsi="Arial" w:cs="Arial"/>
        </w:rPr>
        <w:t xml:space="preserve"> transaction</w:t>
      </w:r>
      <w:r w:rsidRPr="2E2D76EE">
        <w:rPr>
          <w:rFonts w:ascii="Arial" w:hAnsi="Arial" w:cs="Arial"/>
        </w:rPr>
        <w:t xml:space="preserve"> </w:t>
      </w:r>
      <w:r>
        <w:rPr>
          <w:rFonts w:ascii="Arial" w:hAnsi="Arial" w:cs="Arial"/>
        </w:rPr>
        <w:t xml:space="preserve">has </w:t>
      </w:r>
      <w:r w:rsidRPr="2E2D76EE">
        <w:rPr>
          <w:rFonts w:ascii="Arial" w:hAnsi="Arial" w:cs="Arial"/>
        </w:rPr>
        <w:t>on their loan terms</w:t>
      </w:r>
      <w:r>
        <w:rPr>
          <w:rFonts w:ascii="Arial" w:hAnsi="Arial" w:cs="Arial"/>
        </w:rPr>
        <w:t>, as part of meeting the net tangible benefit test.</w:t>
      </w:r>
      <w:r w:rsidRPr="00A30D1C" w:rsidR="00A30D1C">
        <w:rPr>
          <w:rFonts w:ascii="Arial" w:hAnsi="Arial" w:cs="Arial"/>
        </w:rPr>
        <w:t xml:space="preserve"> </w:t>
      </w:r>
      <w:r w:rsidR="00A30D1C">
        <w:rPr>
          <w:rFonts w:ascii="Arial" w:hAnsi="Arial" w:cs="Arial"/>
        </w:rPr>
        <w:t xml:space="preserve">The initial and subsequent comparison disclosure(s) must be provided to the Veteran in conjunction </w:t>
      </w:r>
      <w:r w:rsidR="00A30D1C">
        <w:rPr>
          <w:rFonts w:ascii="Arial" w:hAnsi="Arial" w:cs="Arial"/>
        </w:rPr>
        <w:t xml:space="preserve">with the Loan Estimate, revised Loan Estimate (when such is required), and Closing </w:t>
      </w:r>
      <w:r w:rsidRPr="00A30D1C" w:rsidR="00A30D1C">
        <w:rPr>
          <w:rFonts w:ascii="Arial" w:hAnsi="Arial" w:cs="Arial"/>
        </w:rPr>
        <w:t>Disclosure,</w:t>
      </w:r>
      <w:r w:rsidRPr="009359F6" w:rsidR="00A30D1C">
        <w:rPr>
          <w:rFonts w:ascii="Arial" w:hAnsi="Arial" w:cs="Arial"/>
        </w:rPr>
        <w:t xml:space="preserve"> pursuant to</w:t>
      </w:r>
      <w:r w:rsidRPr="00681396" w:rsidR="00A30D1C">
        <w:rPr>
          <w:rFonts w:ascii="Arial" w:hAnsi="Arial" w:cs="Arial"/>
        </w:rPr>
        <w:t xml:space="preserve"> the process described i</w:t>
      </w:r>
      <w:r w:rsidRPr="00734E43" w:rsidR="00A30D1C">
        <w:rPr>
          <w:rFonts w:ascii="Arial" w:hAnsi="Arial" w:cs="Arial"/>
        </w:rPr>
        <w:t xml:space="preserve">n VA’s finalized IRRRL regulation </w:t>
      </w:r>
      <w:r w:rsidRPr="00A30D1C" w:rsidR="00A30D1C">
        <w:rPr>
          <w:rFonts w:ascii="Arial" w:hAnsi="Arial" w:cs="Arial"/>
        </w:rPr>
        <w:t>when codified at 38</w:t>
      </w:r>
      <w:r w:rsidR="00A30D1C">
        <w:rPr>
          <w:rFonts w:ascii="Arial" w:hAnsi="Arial" w:cs="Arial"/>
        </w:rPr>
        <w:t xml:space="preserve"> CFR </w:t>
      </w:r>
      <w:r w:rsidR="009C1F85">
        <w:rPr>
          <w:rFonts w:ascii="Arial" w:hAnsi="Arial" w:cs="Arial"/>
        </w:rPr>
        <w:t xml:space="preserve">§ </w:t>
      </w:r>
      <w:r w:rsidR="00A30D1C">
        <w:rPr>
          <w:rFonts w:ascii="Arial" w:hAnsi="Arial" w:cs="Arial"/>
        </w:rPr>
        <w:t>36.4307(a)(11)(iii)-(iv).</w:t>
      </w:r>
      <w:r w:rsidRPr="009359F6" w:rsidR="009359F6">
        <w:rPr>
          <w:rFonts w:ascii="Arial" w:hAnsi="Arial" w:cs="Arial"/>
        </w:rPr>
        <w:t xml:space="preserve"> </w:t>
      </w:r>
      <w:r w:rsidR="009359F6">
        <w:rPr>
          <w:rFonts w:ascii="Arial" w:hAnsi="Arial" w:cs="Arial"/>
        </w:rPr>
        <w:t xml:space="preserve">The final disclosure, provided in conjunction with the Closing Disclosure, is provided to the Veteran and other applicants to assist the Veteran in making a decision that is in their financial interest.  </w:t>
      </w:r>
    </w:p>
    <w:p w:rsidR="00734E43" w:rsidP="001F2C7D" w14:paraId="55CE5FAE" w14:textId="77777777">
      <w:pPr>
        <w:pStyle w:val="BodyText"/>
        <w:tabs>
          <w:tab w:val="left" w:pos="360"/>
        </w:tabs>
        <w:spacing w:after="0"/>
        <w:rPr>
          <w:rFonts w:ascii="Arial" w:hAnsi="Arial" w:cs="Arial"/>
        </w:rPr>
      </w:pPr>
    </w:p>
    <w:p w:rsidR="003C0251" w:rsidRPr="00035C01" w:rsidP="001F2C7D" w14:paraId="0A09D9FE" w14:textId="355452FB">
      <w:pPr>
        <w:pStyle w:val="BodyText"/>
        <w:tabs>
          <w:tab w:val="left" w:pos="360"/>
        </w:tabs>
        <w:spacing w:after="0"/>
        <w:rPr>
          <w:rFonts w:ascii="Arial" w:hAnsi="Arial" w:cs="Arial"/>
        </w:rPr>
      </w:pPr>
      <w:r>
        <w:rPr>
          <w:rFonts w:ascii="Arial" w:hAnsi="Arial" w:cs="Arial"/>
        </w:rPr>
        <w:tab/>
      </w:r>
      <w:r w:rsidRPr="00035C01" w:rsidR="00734E43">
        <w:rPr>
          <w:rFonts w:ascii="Arial" w:hAnsi="Arial" w:cs="Arial"/>
        </w:rPr>
        <w:t xml:space="preserve">The </w:t>
      </w:r>
      <w:r w:rsidR="00734E43">
        <w:rPr>
          <w:rFonts w:ascii="Arial" w:hAnsi="Arial" w:cs="Arial"/>
        </w:rPr>
        <w:t>comparison disclosure requirements will ensure that the Veteran is provided with a Net Tangible Benefit and the loan meets the recoupment requirement</w:t>
      </w:r>
      <w:r w:rsidR="00734E43">
        <w:rPr>
          <w:rFonts w:ascii="Arial" w:hAnsi="Arial" w:cs="Arial"/>
        </w:rPr>
        <w:t xml:space="preserve"> </w:t>
      </w:r>
      <w:r w:rsidR="00734E43">
        <w:rPr>
          <w:rFonts w:ascii="Arial" w:hAnsi="Arial" w:cs="Arial"/>
        </w:rPr>
        <w:t>per U.S.C</w:t>
      </w:r>
      <w:r w:rsidR="006F2008">
        <w:rPr>
          <w:rFonts w:ascii="Arial" w:hAnsi="Arial" w:cs="Arial"/>
        </w:rPr>
        <w:t>.</w:t>
      </w:r>
      <w:r w:rsidR="00734E43">
        <w:rPr>
          <w:rFonts w:ascii="Arial" w:hAnsi="Arial" w:cs="Arial"/>
        </w:rPr>
        <w:t xml:space="preserve"> </w:t>
      </w:r>
      <w:r w:rsidR="006F2008">
        <w:rPr>
          <w:rFonts w:ascii="Arial" w:hAnsi="Arial" w:cs="Arial"/>
        </w:rPr>
        <w:t xml:space="preserve">§ </w:t>
      </w:r>
      <w:r w:rsidR="00734E43">
        <w:rPr>
          <w:rFonts w:ascii="Arial" w:hAnsi="Arial" w:cs="Arial"/>
        </w:rPr>
        <w:t xml:space="preserve">3709, including clarifications to be codified by VA upon finalizing its amendments to VA’s IRRRL regulation at 38 CFR </w:t>
      </w:r>
      <w:r w:rsidR="006F2008">
        <w:rPr>
          <w:rFonts w:ascii="Arial" w:hAnsi="Arial" w:cs="Arial"/>
        </w:rPr>
        <w:t xml:space="preserve">§ </w:t>
      </w:r>
      <w:r w:rsidR="00734E43">
        <w:rPr>
          <w:rFonts w:ascii="Arial" w:hAnsi="Arial" w:cs="Arial"/>
        </w:rPr>
        <w:t xml:space="preserve">36.4307. Prior to this standardized disclosure, lenders were required to provide these certifications to the Veteran; however, it </w:t>
      </w:r>
      <w:r w:rsidR="006F2008">
        <w:rPr>
          <w:rFonts w:ascii="Arial" w:hAnsi="Arial" w:cs="Arial"/>
        </w:rPr>
        <w:t>was</w:t>
      </w:r>
      <w:r w:rsidR="00734E43">
        <w:rPr>
          <w:rFonts w:ascii="Arial" w:hAnsi="Arial" w:cs="Arial"/>
        </w:rPr>
        <w:t xml:space="preserve"> in the lender’s discretion to determine the format. These comparison disclosures standardize the information the Veterans are receiving and will make it easier for Veterans to compare lenders’ fees and charges, as well as ensure all the correct information is disclosed. The disclosures standardized with this form</w:t>
      </w:r>
      <w:r w:rsidRPr="00035C01" w:rsidR="00734E43">
        <w:rPr>
          <w:rFonts w:ascii="Arial" w:hAnsi="Arial" w:cs="Arial"/>
        </w:rPr>
        <w:t xml:space="preserve"> reduce the time spent by VA personnel</w:t>
      </w:r>
      <w:r w:rsidRPr="00035C01" w:rsidR="00734E43">
        <w:rPr>
          <w:rFonts w:ascii="Arial" w:hAnsi="Arial" w:cs="Arial"/>
        </w:rPr>
        <w:t xml:space="preserve"> </w:t>
      </w:r>
      <w:r w:rsidR="00734E43">
        <w:rPr>
          <w:rFonts w:ascii="Arial" w:hAnsi="Arial" w:cs="Arial"/>
        </w:rPr>
        <w:t xml:space="preserve">in reviewing the disclosures, as </w:t>
      </w:r>
      <w:r w:rsidR="00BD3AB5">
        <w:rPr>
          <w:rFonts w:ascii="Arial" w:hAnsi="Arial" w:cs="Arial"/>
        </w:rPr>
        <w:t>the information</w:t>
      </w:r>
      <w:r w:rsidR="00734E43">
        <w:rPr>
          <w:rFonts w:ascii="Arial" w:hAnsi="Arial" w:cs="Arial"/>
        </w:rPr>
        <w:t xml:space="preserve"> will be </w:t>
      </w:r>
      <w:r w:rsidR="00DB121C">
        <w:rPr>
          <w:rFonts w:ascii="Arial" w:hAnsi="Arial" w:cs="Arial"/>
        </w:rPr>
        <w:t>provided</w:t>
      </w:r>
      <w:r w:rsidR="00734E43">
        <w:rPr>
          <w:rFonts w:ascii="Arial" w:hAnsi="Arial" w:cs="Arial"/>
        </w:rPr>
        <w:t xml:space="preserve"> in the format of a standardized form.</w:t>
      </w:r>
      <w:r w:rsidR="00000DE3">
        <w:rPr>
          <w:rFonts w:ascii="Arial" w:hAnsi="Arial" w:cs="Arial"/>
        </w:rPr>
        <w:t xml:space="preserve"> </w:t>
      </w:r>
      <w:r w:rsidR="00BD7174">
        <w:rPr>
          <w:rFonts w:ascii="Arial" w:hAnsi="Arial" w:cs="Arial"/>
        </w:rPr>
        <w:t xml:space="preserve">Prior to VA’s regulation, lenders were only required to provide these </w:t>
      </w:r>
      <w:r w:rsidR="00000DE3">
        <w:rPr>
          <w:rFonts w:ascii="Arial" w:hAnsi="Arial" w:cs="Arial"/>
        </w:rPr>
        <w:t xml:space="preserve">comparison </w:t>
      </w:r>
      <w:r w:rsidR="00BD7174">
        <w:rPr>
          <w:rFonts w:ascii="Arial" w:hAnsi="Arial" w:cs="Arial"/>
        </w:rPr>
        <w:t xml:space="preserve">disclosures on two occasions: following receipt of the loan application and again at loan closing. </w:t>
      </w:r>
      <w:r w:rsidR="00000DE3">
        <w:rPr>
          <w:rFonts w:ascii="Arial" w:hAnsi="Arial" w:cs="Arial"/>
        </w:rPr>
        <w:t>Under amended § 36.4307, lenders will now have to provide an updated disclosure if any substantive changes are made to the Loan Estimate or Closing Disclosure</w:t>
      </w:r>
      <w:r w:rsidR="005177B7">
        <w:rPr>
          <w:rFonts w:ascii="Arial" w:hAnsi="Arial" w:cs="Arial"/>
        </w:rPr>
        <w:t xml:space="preserve">. </w:t>
      </w:r>
    </w:p>
    <w:p w:rsidR="003C2010" w:rsidP="001F2C7D" w14:paraId="30B3FF03" w14:textId="77777777">
      <w:pPr>
        <w:rPr>
          <w:rFonts w:ascii="Arial" w:hAnsi="Arial" w:cs="Arial"/>
        </w:rPr>
      </w:pPr>
    </w:p>
    <w:p w:rsidR="00237421" w:rsidRPr="00563694" w:rsidP="00563694" w14:paraId="3BA0B1EF" w14:textId="5D2B354C">
      <w:pPr>
        <w:pStyle w:val="BodyText"/>
        <w:tabs>
          <w:tab w:val="left" w:pos="360"/>
        </w:tabs>
        <w:spacing w:after="0"/>
        <w:rPr>
          <w:rFonts w:ascii="Arial" w:hAnsi="Arial" w:cs="Arial"/>
          <w:u w:val="single"/>
        </w:rPr>
      </w:pPr>
      <w:r w:rsidRPr="00563694">
        <w:rPr>
          <w:rFonts w:ascii="Arial" w:hAnsi="Arial" w:cs="Arial"/>
          <w:u w:val="single"/>
        </w:rPr>
        <w:t xml:space="preserve">3. </w:t>
      </w:r>
      <w:r w:rsidRPr="00563694">
        <w:rPr>
          <w:rFonts w:ascii="Arial" w:hAnsi="Arial" w:cs="Arial"/>
          <w:u w:val="single"/>
        </w:rPr>
        <w:t>Borrower information when refinancing a delinquent loan</w:t>
      </w:r>
    </w:p>
    <w:p w:rsidR="00237421" w:rsidRPr="00A45CC7" w:rsidP="00A45CC7" w14:paraId="2F85D09C" w14:textId="77777777">
      <w:pPr>
        <w:rPr>
          <w:rFonts w:ascii="Arial" w:hAnsi="Arial" w:cs="Arial"/>
        </w:rPr>
      </w:pPr>
    </w:p>
    <w:p w:rsidR="00070A9A" w:rsidP="00070A9A" w14:paraId="0D3EECE3" w14:textId="6498FA36">
      <w:pPr>
        <w:pStyle w:val="BodyText"/>
        <w:tabs>
          <w:tab w:val="left" w:pos="360"/>
        </w:tabs>
        <w:spacing w:after="0"/>
        <w:rPr>
          <w:rFonts w:ascii="Arial" w:hAnsi="Arial" w:cs="Arial"/>
        </w:rPr>
      </w:pPr>
      <w:r>
        <w:rPr>
          <w:rFonts w:ascii="Arial" w:hAnsi="Arial" w:cs="Arial"/>
        </w:rPr>
        <w:t xml:space="preserve">     </w:t>
      </w:r>
      <w:r w:rsidR="00725CA5">
        <w:rPr>
          <w:rFonts w:ascii="Arial" w:hAnsi="Arial" w:cs="Arial"/>
        </w:rPr>
        <w:t xml:space="preserve">In cases where a lender is refinancing a delinquent loan, </w:t>
      </w:r>
      <w:r w:rsidRPr="008C7BED">
        <w:rPr>
          <w:rFonts w:ascii="Arial" w:hAnsi="Arial" w:cs="Arial"/>
        </w:rPr>
        <w:t xml:space="preserve">VA collects information provided by the </w:t>
      </w:r>
      <w:r w:rsidR="00CD328B">
        <w:rPr>
          <w:rFonts w:ascii="Arial" w:hAnsi="Arial" w:cs="Arial"/>
        </w:rPr>
        <w:t>Veteran</w:t>
      </w:r>
      <w:r w:rsidRPr="008C7BED">
        <w:rPr>
          <w:rFonts w:ascii="Arial" w:hAnsi="Arial" w:cs="Arial"/>
        </w:rPr>
        <w:t xml:space="preserve">, through the lender, regarding </w:t>
      </w:r>
      <w:r w:rsidR="00725CA5">
        <w:rPr>
          <w:rFonts w:ascii="Arial" w:hAnsi="Arial" w:cs="Arial"/>
        </w:rPr>
        <w:t>the delinquency</w:t>
      </w:r>
      <w:r w:rsidRPr="008C7BED">
        <w:rPr>
          <w:rFonts w:ascii="Arial" w:hAnsi="Arial" w:cs="Arial"/>
        </w:rPr>
        <w:t>, along with underwriting information</w:t>
      </w:r>
      <w:r w:rsidR="00725CA5">
        <w:rPr>
          <w:rFonts w:ascii="Arial" w:hAnsi="Arial" w:cs="Arial"/>
        </w:rPr>
        <w:t xml:space="preserve">. The lender is required to submit this information to VA </w:t>
      </w:r>
      <w:r w:rsidRPr="008C7BED">
        <w:rPr>
          <w:rFonts w:ascii="Arial" w:hAnsi="Arial" w:cs="Arial"/>
        </w:rPr>
        <w:t>in order to confirm that the reasons for the delinquency on the original loan no longer exist and that the Veteran is a satisfactory credit risk.</w:t>
      </w:r>
      <w:r w:rsidR="00DA08B2">
        <w:rPr>
          <w:rFonts w:ascii="Arial" w:hAnsi="Arial" w:cs="Arial"/>
        </w:rPr>
        <w:t xml:space="preserve"> VA notes that information associated with underwriting is already approved under OMB Control Number </w:t>
      </w:r>
      <w:r w:rsidR="00984B47">
        <w:rPr>
          <w:rFonts w:ascii="Arial" w:hAnsi="Arial" w:cs="Arial"/>
        </w:rPr>
        <w:t>2900-0521</w:t>
      </w:r>
      <w:r w:rsidR="00CF29EF">
        <w:rPr>
          <w:rFonts w:ascii="Arial" w:hAnsi="Arial" w:cs="Arial"/>
        </w:rPr>
        <w:t>. The present information collection therefore only covers information from the Veteran to the lender regarding the delinquency.</w:t>
      </w:r>
    </w:p>
    <w:p w:rsidR="00070A9A" w:rsidRPr="00035C01" w:rsidP="001F2C7D" w14:paraId="1108865D" w14:textId="77777777">
      <w:pPr>
        <w:rPr>
          <w:rFonts w:ascii="Arial" w:hAnsi="Arial" w:cs="Arial"/>
        </w:rPr>
      </w:pPr>
    </w:p>
    <w:p w:rsidR="00A83F83" w:rsidRPr="00035C01" w:rsidP="00952046" w14:paraId="449E5B20" w14:textId="77777777">
      <w:pPr>
        <w:rPr>
          <w:rFonts w:ascii="Arial" w:hAnsi="Arial" w:cs="Arial"/>
          <w:b/>
        </w:rPr>
      </w:pPr>
      <w:r w:rsidRPr="00035C01">
        <w:rPr>
          <w:rFonts w:ascii="Arial" w:hAnsi="Arial" w:cs="Arial"/>
          <w:b/>
        </w:rPr>
        <w:t xml:space="preserve">     </w:t>
      </w:r>
      <w:r w:rsidRPr="00035C01" w:rsidR="00952046">
        <w:rPr>
          <w:rFonts w:ascii="Arial" w:hAnsi="Arial" w:cs="Arial"/>
          <w:b/>
        </w:rPr>
        <w:t xml:space="preserve">3.  </w:t>
      </w:r>
      <w:r w:rsidRPr="00035C01">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3F83" w:rsidRPr="00035C01" w:rsidP="00952046" w14:paraId="3CAF94BB" w14:textId="77777777">
      <w:pPr>
        <w:rPr>
          <w:rFonts w:ascii="Arial" w:hAnsi="Arial" w:cs="Arial"/>
        </w:rPr>
      </w:pPr>
    </w:p>
    <w:p w:rsidR="008D20C4" w:rsidRPr="00065FFC" w:rsidP="00952046" w14:paraId="2AB48B73" w14:textId="5BC3CDA5">
      <w:pPr>
        <w:rPr>
          <w:rFonts w:ascii="Arial" w:hAnsi="Arial" w:cs="Arial"/>
        </w:rPr>
      </w:pPr>
      <w:r w:rsidRPr="00035C01">
        <w:rPr>
          <w:rFonts w:ascii="Arial" w:hAnsi="Arial" w:cs="Arial"/>
        </w:rPr>
        <w:t xml:space="preserve">     </w:t>
      </w:r>
      <w:r w:rsidRPr="00035C01" w:rsidR="00F43052">
        <w:rPr>
          <w:rFonts w:ascii="Arial" w:hAnsi="Arial" w:cs="Arial"/>
        </w:rPr>
        <w:t>L</w:t>
      </w:r>
      <w:r w:rsidRPr="00035C01" w:rsidR="00952046">
        <w:rPr>
          <w:rFonts w:ascii="Arial" w:hAnsi="Arial" w:cs="Arial"/>
        </w:rPr>
        <w:t xml:space="preserve">enders </w:t>
      </w:r>
      <w:r w:rsidRPr="00035C01" w:rsidR="00D1040A">
        <w:rPr>
          <w:rFonts w:ascii="Arial" w:hAnsi="Arial" w:cs="Arial"/>
        </w:rPr>
        <w:t>complete</w:t>
      </w:r>
      <w:r w:rsidRPr="00035C01" w:rsidR="00952046">
        <w:rPr>
          <w:rFonts w:ascii="Arial" w:hAnsi="Arial" w:cs="Arial"/>
        </w:rPr>
        <w:t xml:space="preserve"> </w:t>
      </w:r>
      <w:r w:rsidRPr="00035C01" w:rsidR="00D1040A">
        <w:rPr>
          <w:rFonts w:ascii="Arial" w:hAnsi="Arial" w:cs="Arial"/>
        </w:rPr>
        <w:t xml:space="preserve">the </w:t>
      </w:r>
      <w:r w:rsidRPr="0077547C" w:rsidR="00964AB1">
        <w:rPr>
          <w:rFonts w:ascii="Arial" w:hAnsi="Arial" w:cs="Arial"/>
          <w:i/>
          <w:iCs/>
        </w:rPr>
        <w:t>IRRRL</w:t>
      </w:r>
      <w:r w:rsidRPr="0077547C" w:rsidR="00952046">
        <w:rPr>
          <w:rFonts w:ascii="Arial" w:hAnsi="Arial" w:cs="Arial"/>
          <w:i/>
          <w:iCs/>
        </w:rPr>
        <w:t xml:space="preserve"> </w:t>
      </w:r>
      <w:r w:rsidRPr="0077547C" w:rsidR="005A0E52">
        <w:rPr>
          <w:rFonts w:ascii="Arial" w:hAnsi="Arial" w:cs="Arial"/>
          <w:i/>
          <w:iCs/>
        </w:rPr>
        <w:t>Worksheet</w:t>
      </w:r>
      <w:r w:rsidRPr="00035C01" w:rsidR="00952046">
        <w:rPr>
          <w:rFonts w:ascii="Arial" w:hAnsi="Arial" w:cs="Arial"/>
        </w:rPr>
        <w:t xml:space="preserve"> to </w:t>
      </w:r>
      <w:r w:rsidRPr="00035C01" w:rsidR="005A0E52">
        <w:rPr>
          <w:rFonts w:ascii="Arial" w:hAnsi="Arial" w:cs="Arial"/>
        </w:rPr>
        <w:t>determin</w:t>
      </w:r>
      <w:r w:rsidRPr="00035C01" w:rsidR="00D1040A">
        <w:rPr>
          <w:rFonts w:ascii="Arial" w:hAnsi="Arial" w:cs="Arial"/>
        </w:rPr>
        <w:t>e</w:t>
      </w:r>
      <w:r w:rsidRPr="00035C01" w:rsidR="005A0E52">
        <w:rPr>
          <w:rFonts w:ascii="Arial" w:hAnsi="Arial" w:cs="Arial"/>
        </w:rPr>
        <w:t xml:space="preserve"> the maximum loan amount</w:t>
      </w:r>
      <w:r w:rsidR="004F5A1E">
        <w:rPr>
          <w:rFonts w:ascii="Arial" w:hAnsi="Arial" w:cs="Arial"/>
        </w:rPr>
        <w:t xml:space="preserve"> and to provide information to confirm adherence to the requirements of section 3709</w:t>
      </w:r>
      <w:r w:rsidRPr="00035C01" w:rsidR="00C02481">
        <w:rPr>
          <w:rFonts w:ascii="Arial" w:hAnsi="Arial" w:cs="Arial"/>
        </w:rPr>
        <w:t xml:space="preserve">. Use of improved information technology is not applicable as the information sought relates to an individual real estate transaction. </w:t>
      </w:r>
      <w:r w:rsidR="00C63E11">
        <w:rPr>
          <w:rFonts w:ascii="Arial" w:hAnsi="Arial" w:cs="Arial"/>
        </w:rPr>
        <w:t>A</w:t>
      </w:r>
      <w:r w:rsidRPr="00035C01" w:rsidR="00C02481">
        <w:rPr>
          <w:rFonts w:ascii="Arial" w:hAnsi="Arial" w:cs="Arial"/>
        </w:rPr>
        <w:t xml:space="preserve"> fill</w:t>
      </w:r>
      <w:r w:rsidRPr="00035C01" w:rsidR="003A0B59">
        <w:rPr>
          <w:rFonts w:ascii="Arial" w:hAnsi="Arial" w:cs="Arial"/>
        </w:rPr>
        <w:t xml:space="preserve">able version of the form is </w:t>
      </w:r>
      <w:r w:rsidR="00BC7D83">
        <w:rPr>
          <w:rFonts w:ascii="Arial" w:hAnsi="Arial" w:cs="Arial"/>
        </w:rPr>
        <w:t>at</w:t>
      </w:r>
      <w:r w:rsidRPr="00035C01" w:rsidR="003A0B59">
        <w:rPr>
          <w:rFonts w:ascii="Arial" w:hAnsi="Arial" w:cs="Arial"/>
        </w:rPr>
        <w:t xml:space="preserve"> VA’s website</w:t>
      </w:r>
      <w:r w:rsidR="00BC7D83">
        <w:rPr>
          <w:rFonts w:ascii="Arial" w:hAnsi="Arial" w:cs="Arial"/>
          <w:b/>
          <w:bCs/>
        </w:rPr>
        <w:t xml:space="preserve">: </w:t>
      </w:r>
      <w:hyperlink r:id="rId9" w:history="1">
        <w:r w:rsidRPr="00104A4B" w:rsidR="00BC7D83">
          <w:rPr>
            <w:rStyle w:val="Hyperlink"/>
            <w:rFonts w:ascii="Arial" w:hAnsi="Arial" w:cs="Arial"/>
            <w:b/>
            <w:bCs/>
          </w:rPr>
          <w:t>https://vbaw.vba.va.gov/bl/20/cio/20s5/forms/VBA-26-8923-ARE.pdf</w:t>
        </w:r>
      </w:hyperlink>
      <w:r w:rsidRPr="00065FFC" w:rsidR="009379E0">
        <w:rPr>
          <w:rFonts w:ascii="Arial" w:hAnsi="Arial" w:cs="Arial"/>
        </w:rPr>
        <w:t>.</w:t>
      </w:r>
    </w:p>
    <w:p w:rsidR="00432C2F" w:rsidP="00952046" w14:paraId="1269D71F" w14:textId="77777777">
      <w:pPr>
        <w:rPr>
          <w:rFonts w:ascii="Arial" w:hAnsi="Arial" w:cs="Arial"/>
        </w:rPr>
      </w:pPr>
    </w:p>
    <w:p w:rsidR="002D1157" w:rsidP="00432C2F" w14:paraId="1D6159F7" w14:textId="263C69F1">
      <w:pPr>
        <w:rPr>
          <w:rFonts w:ascii="Arial" w:hAnsi="Arial" w:cs="Arial"/>
        </w:rPr>
      </w:pPr>
      <w:r>
        <w:rPr>
          <w:rFonts w:ascii="Arial" w:hAnsi="Arial" w:cs="Arial"/>
        </w:rPr>
        <w:t xml:space="preserve">     </w:t>
      </w:r>
      <w:r w:rsidR="00620310">
        <w:rPr>
          <w:rFonts w:ascii="Arial" w:hAnsi="Arial" w:cs="Arial"/>
        </w:rPr>
        <w:t xml:space="preserve">While </w:t>
      </w:r>
      <w:r w:rsidR="00047B9B">
        <w:rPr>
          <w:rFonts w:ascii="Arial" w:hAnsi="Arial" w:cs="Arial"/>
        </w:rPr>
        <w:t xml:space="preserve">VA </w:t>
      </w:r>
      <w:r w:rsidR="00620310">
        <w:rPr>
          <w:rFonts w:ascii="Arial" w:hAnsi="Arial" w:cs="Arial"/>
        </w:rPr>
        <w:t xml:space="preserve">has added certifications to the </w:t>
      </w:r>
      <w:r w:rsidRPr="0077547C" w:rsidR="00620310">
        <w:rPr>
          <w:rFonts w:ascii="Arial" w:hAnsi="Arial" w:cs="Arial"/>
          <w:i/>
          <w:iCs/>
        </w:rPr>
        <w:t>IRRRL Worksheet</w:t>
      </w:r>
      <w:r w:rsidR="00620310">
        <w:rPr>
          <w:rFonts w:ascii="Arial" w:hAnsi="Arial" w:cs="Arial"/>
        </w:rPr>
        <w:t xml:space="preserve">, it </w:t>
      </w:r>
      <w:r w:rsidR="00047B9B">
        <w:rPr>
          <w:rFonts w:ascii="Arial" w:hAnsi="Arial" w:cs="Arial"/>
        </w:rPr>
        <w:t xml:space="preserve">will </w:t>
      </w:r>
      <w:r w:rsidR="00620310">
        <w:rPr>
          <w:rFonts w:ascii="Arial" w:hAnsi="Arial" w:cs="Arial"/>
        </w:rPr>
        <w:t xml:space="preserve">also </w:t>
      </w:r>
      <w:r w:rsidR="00047B9B">
        <w:rPr>
          <w:rFonts w:ascii="Arial" w:hAnsi="Arial" w:cs="Arial"/>
        </w:rPr>
        <w:t xml:space="preserve">continue to </w:t>
      </w:r>
      <w:r w:rsidR="00620310">
        <w:rPr>
          <w:rFonts w:ascii="Arial" w:hAnsi="Arial" w:cs="Arial"/>
        </w:rPr>
        <w:t xml:space="preserve">ask lenders to report </w:t>
      </w:r>
      <w:r w:rsidR="00A61DFE">
        <w:rPr>
          <w:rFonts w:ascii="Arial" w:hAnsi="Arial" w:cs="Arial"/>
        </w:rPr>
        <w:t>these</w:t>
      </w:r>
      <w:r>
        <w:rPr>
          <w:rFonts w:ascii="Arial" w:hAnsi="Arial" w:cs="Arial"/>
        </w:rPr>
        <w:t xml:space="preserve"> certifications via the electronic WebLGY portal</w:t>
      </w:r>
      <w:r w:rsidR="00AD6607">
        <w:rPr>
          <w:rFonts w:ascii="Arial" w:hAnsi="Arial" w:cs="Arial"/>
        </w:rPr>
        <w:t xml:space="preserve"> </w:t>
      </w:r>
      <w:r w:rsidR="00F277BB">
        <w:rPr>
          <w:rFonts w:ascii="Arial" w:hAnsi="Arial" w:cs="Arial"/>
        </w:rPr>
        <w:t xml:space="preserve">when the lender requests the guaranty certificate </w:t>
      </w:r>
      <w:r w:rsidR="008E09E6">
        <w:rPr>
          <w:rFonts w:ascii="Arial" w:hAnsi="Arial" w:cs="Arial"/>
        </w:rPr>
        <w:t xml:space="preserve">or, as </w:t>
      </w:r>
      <w:r w:rsidR="004A7E89">
        <w:rPr>
          <w:rFonts w:ascii="Arial" w:hAnsi="Arial" w:cs="Arial"/>
        </w:rPr>
        <w:t>is anticipated</w:t>
      </w:r>
      <w:r w:rsidR="008E09E6">
        <w:rPr>
          <w:rFonts w:ascii="Arial" w:hAnsi="Arial" w:cs="Arial"/>
        </w:rPr>
        <w:t xml:space="preserve"> in the near future,</w:t>
      </w:r>
      <w:r w:rsidR="00DF246C">
        <w:rPr>
          <w:rFonts w:ascii="Arial" w:hAnsi="Arial" w:cs="Arial"/>
        </w:rPr>
        <w:t xml:space="preserve"> via</w:t>
      </w:r>
      <w:r w:rsidR="00C06410">
        <w:rPr>
          <w:rFonts w:ascii="Arial" w:hAnsi="Arial" w:cs="Arial"/>
        </w:rPr>
        <w:t xml:space="preserve"> the </w:t>
      </w:r>
      <w:r w:rsidR="00EC57F0">
        <w:rPr>
          <w:rFonts w:ascii="Arial" w:hAnsi="Arial" w:cs="Arial"/>
        </w:rPr>
        <w:t>application programming interface</w:t>
      </w:r>
      <w:r w:rsidR="005B1DFC">
        <w:rPr>
          <w:rFonts w:ascii="Arial" w:hAnsi="Arial" w:cs="Arial"/>
        </w:rPr>
        <w:t xml:space="preserve"> (API)</w:t>
      </w:r>
      <w:r w:rsidR="00C06410">
        <w:rPr>
          <w:rFonts w:ascii="Arial" w:hAnsi="Arial" w:cs="Arial"/>
        </w:rPr>
        <w:t xml:space="preserve"> by a lender-user</w:t>
      </w:r>
      <w:r w:rsidR="002B46D3">
        <w:rPr>
          <w:rFonts w:ascii="Arial" w:hAnsi="Arial" w:cs="Arial"/>
        </w:rPr>
        <w:t xml:space="preserve"> </w:t>
      </w:r>
      <w:r w:rsidR="00C06410">
        <w:rPr>
          <w:rFonts w:ascii="Arial" w:hAnsi="Arial" w:cs="Arial"/>
        </w:rPr>
        <w:t>of</w:t>
      </w:r>
      <w:r w:rsidR="00EC57F0">
        <w:rPr>
          <w:rFonts w:ascii="Arial" w:hAnsi="Arial" w:cs="Arial"/>
        </w:rPr>
        <w:t xml:space="preserve"> </w:t>
      </w:r>
      <w:r w:rsidR="002B46D3">
        <w:rPr>
          <w:rFonts w:ascii="Arial" w:hAnsi="Arial" w:cs="Arial"/>
        </w:rPr>
        <w:t>VA’s Guaranty Remittance</w:t>
      </w:r>
      <w:r w:rsidR="001B4325">
        <w:rPr>
          <w:rFonts w:ascii="Arial" w:hAnsi="Arial" w:cs="Arial"/>
        </w:rPr>
        <w:t xml:space="preserve"> loan guaranty certificate </w:t>
      </w:r>
      <w:r w:rsidR="006B22E8">
        <w:rPr>
          <w:rFonts w:ascii="Arial" w:hAnsi="Arial" w:cs="Arial"/>
        </w:rPr>
        <w:t xml:space="preserve">automation </w:t>
      </w:r>
      <w:r w:rsidR="001B4325">
        <w:rPr>
          <w:rFonts w:ascii="Arial" w:hAnsi="Arial" w:cs="Arial"/>
        </w:rPr>
        <w:t>process</w:t>
      </w:r>
      <w:r w:rsidR="005B1DFC">
        <w:rPr>
          <w:rFonts w:ascii="Arial" w:hAnsi="Arial" w:cs="Arial"/>
        </w:rPr>
        <w:t xml:space="preserve">. The </w:t>
      </w:r>
      <w:r w:rsidRPr="00144800" w:rsidR="005B1DFC">
        <w:rPr>
          <w:rFonts w:ascii="Arial" w:hAnsi="Arial" w:cs="Arial"/>
        </w:rPr>
        <w:t>Guaranty Remittance API, once deployed, will allow a lender’s loan origination</w:t>
      </w:r>
      <w:r w:rsidR="00AF2F9D">
        <w:rPr>
          <w:rFonts w:ascii="Arial" w:hAnsi="Arial" w:cs="Arial"/>
        </w:rPr>
        <w:t xml:space="preserve"> software (LOS)</w:t>
      </w:r>
      <w:r w:rsidRPr="00144800" w:rsidR="005B1DFC">
        <w:rPr>
          <w:rFonts w:ascii="Arial" w:hAnsi="Arial" w:cs="Arial"/>
        </w:rPr>
        <w:t xml:space="preserve"> system to electronically submit information</w:t>
      </w:r>
      <w:r w:rsidR="006C5914">
        <w:rPr>
          <w:rFonts w:ascii="Arial" w:hAnsi="Arial" w:cs="Arial"/>
        </w:rPr>
        <w:t xml:space="preserve">, including </w:t>
      </w:r>
      <w:r w:rsidR="00561DC7">
        <w:rPr>
          <w:rFonts w:ascii="Arial" w:hAnsi="Arial" w:cs="Arial"/>
        </w:rPr>
        <w:t xml:space="preserve">information from the </w:t>
      </w:r>
      <w:r w:rsidRPr="00B66C33" w:rsidR="00561DC7">
        <w:rPr>
          <w:rFonts w:ascii="Arial" w:hAnsi="Arial" w:cs="Arial"/>
          <w:i/>
          <w:iCs/>
        </w:rPr>
        <w:t>IRRRL Worksheet</w:t>
      </w:r>
      <w:r w:rsidR="00561DC7">
        <w:rPr>
          <w:rFonts w:ascii="Arial" w:hAnsi="Arial" w:cs="Arial"/>
        </w:rPr>
        <w:t xml:space="preserve"> and </w:t>
      </w:r>
      <w:r w:rsidR="006C5914">
        <w:rPr>
          <w:rFonts w:ascii="Arial" w:hAnsi="Arial" w:cs="Arial"/>
        </w:rPr>
        <w:t>certifications,</w:t>
      </w:r>
      <w:r w:rsidRPr="00144800" w:rsidR="005B1DFC">
        <w:rPr>
          <w:rFonts w:ascii="Arial" w:hAnsi="Arial" w:cs="Arial"/>
        </w:rPr>
        <w:t xml:space="preserve"> necessary to report a loan to VA for purposes of requesting evidence of guaranty (i.e., the Loan Guaranty Certificate </w:t>
      </w:r>
      <w:r w:rsidR="007C4BC8">
        <w:rPr>
          <w:rFonts w:ascii="Arial" w:hAnsi="Arial" w:cs="Arial"/>
        </w:rPr>
        <w:t>(</w:t>
      </w:r>
      <w:r w:rsidRPr="00144800" w:rsidR="005B1DFC">
        <w:rPr>
          <w:rFonts w:ascii="Arial" w:hAnsi="Arial" w:cs="Arial"/>
        </w:rPr>
        <w:t>LGC</w:t>
      </w:r>
      <w:r w:rsidR="007C4BC8">
        <w:rPr>
          <w:rFonts w:ascii="Arial" w:hAnsi="Arial" w:cs="Arial"/>
        </w:rPr>
        <w:t>)</w:t>
      </w:r>
      <w:r w:rsidRPr="00144800" w:rsidR="005B1DFC">
        <w:rPr>
          <w:rFonts w:ascii="Arial" w:hAnsi="Arial" w:cs="Arial"/>
        </w:rPr>
        <w:t>)</w:t>
      </w:r>
      <w:r w:rsidRPr="00144800" w:rsidR="00144800">
        <w:rPr>
          <w:rFonts w:ascii="Arial" w:hAnsi="Arial" w:cs="Arial"/>
        </w:rPr>
        <w:t xml:space="preserve"> via </w:t>
      </w:r>
      <w:r w:rsidRPr="00144800" w:rsidR="005B1DFC">
        <w:rPr>
          <w:rFonts w:ascii="Arial" w:hAnsi="Arial" w:cs="Arial"/>
        </w:rPr>
        <w:t>an automated capability and without human intervention</w:t>
      </w:r>
      <w:r>
        <w:rPr>
          <w:rFonts w:ascii="Arial" w:hAnsi="Arial" w:cs="Arial"/>
        </w:rPr>
        <w:t xml:space="preserve">. </w:t>
      </w:r>
      <w:r w:rsidR="00347E0D">
        <w:rPr>
          <w:rFonts w:ascii="Arial" w:hAnsi="Arial" w:cs="Arial"/>
        </w:rPr>
        <w:t>The</w:t>
      </w:r>
      <w:r w:rsidR="00C1683F">
        <w:rPr>
          <w:rFonts w:ascii="Arial" w:hAnsi="Arial" w:cs="Arial"/>
        </w:rPr>
        <w:t>se</w:t>
      </w:r>
      <w:r w:rsidR="00347E0D">
        <w:rPr>
          <w:rFonts w:ascii="Arial" w:hAnsi="Arial" w:cs="Arial"/>
        </w:rPr>
        <w:t xml:space="preserve"> electronic submission</w:t>
      </w:r>
      <w:r w:rsidR="009E09DE">
        <w:rPr>
          <w:rFonts w:ascii="Arial" w:hAnsi="Arial" w:cs="Arial"/>
        </w:rPr>
        <w:t xml:space="preserve"> methods</w:t>
      </w:r>
      <w:r w:rsidR="00347E0D">
        <w:rPr>
          <w:rFonts w:ascii="Arial" w:hAnsi="Arial" w:cs="Arial"/>
        </w:rPr>
        <w:t xml:space="preserve"> reduce the time burden on lenders. </w:t>
      </w:r>
    </w:p>
    <w:p w:rsidR="00347E0D" w:rsidP="00952046" w14:paraId="343F72F4" w14:textId="0129B803">
      <w:pPr>
        <w:rPr>
          <w:rFonts w:ascii="Arial" w:hAnsi="Arial" w:cs="Arial"/>
        </w:rPr>
      </w:pPr>
    </w:p>
    <w:p w:rsidR="00577CAE" w:rsidP="00577CAE" w14:paraId="6B615194" w14:textId="234AE9B1">
      <w:pPr>
        <w:tabs>
          <w:tab w:val="left" w:pos="360"/>
        </w:tabs>
        <w:ind w:right="-540"/>
        <w:rPr>
          <w:rFonts w:ascii="Arial" w:hAnsi="Arial" w:cs="Arial"/>
        </w:rPr>
      </w:pPr>
      <w:r>
        <w:rPr>
          <w:rFonts w:ascii="Arial" w:hAnsi="Arial" w:cs="Arial"/>
        </w:rPr>
        <w:tab/>
      </w:r>
      <w:r w:rsidR="00347E0D">
        <w:rPr>
          <w:rFonts w:ascii="Arial" w:hAnsi="Arial" w:cs="Arial"/>
        </w:rPr>
        <w:t xml:space="preserve">The </w:t>
      </w:r>
      <w:r w:rsidR="004B4D99">
        <w:rPr>
          <w:rFonts w:ascii="Arial" w:hAnsi="Arial" w:cs="Arial"/>
        </w:rPr>
        <w:t xml:space="preserve">comparison </w:t>
      </w:r>
      <w:r w:rsidR="00347E0D">
        <w:rPr>
          <w:rFonts w:ascii="Arial" w:hAnsi="Arial" w:cs="Arial"/>
        </w:rPr>
        <w:t>disclosure</w:t>
      </w:r>
      <w:r w:rsidR="004B4D99">
        <w:rPr>
          <w:rFonts w:ascii="Arial" w:hAnsi="Arial" w:cs="Arial"/>
        </w:rPr>
        <w:t>s</w:t>
      </w:r>
      <w:r w:rsidR="00347E0D">
        <w:rPr>
          <w:rFonts w:ascii="Arial" w:hAnsi="Arial" w:cs="Arial"/>
        </w:rPr>
        <w:t xml:space="preserve"> </w:t>
      </w:r>
      <w:r w:rsidR="009952D8">
        <w:rPr>
          <w:rFonts w:ascii="Arial" w:hAnsi="Arial" w:cs="Arial"/>
        </w:rPr>
        <w:t>will be</w:t>
      </w:r>
      <w:r w:rsidR="00347E0D">
        <w:rPr>
          <w:rFonts w:ascii="Arial" w:hAnsi="Arial" w:cs="Arial"/>
        </w:rPr>
        <w:t xml:space="preserve"> provided to the Veteran by the lender as required </w:t>
      </w:r>
      <w:r w:rsidR="004B4D99">
        <w:rPr>
          <w:rFonts w:ascii="Arial" w:hAnsi="Arial" w:cs="Arial"/>
        </w:rPr>
        <w:t xml:space="preserve">per </w:t>
      </w:r>
      <w:r w:rsidR="00237421">
        <w:rPr>
          <w:rFonts w:ascii="Arial" w:hAnsi="Arial" w:cs="Arial"/>
        </w:rPr>
        <w:t>VA’s</w:t>
      </w:r>
      <w:r w:rsidR="009952D8">
        <w:rPr>
          <w:rFonts w:ascii="Arial" w:hAnsi="Arial" w:cs="Arial"/>
        </w:rPr>
        <w:t xml:space="preserve"> IRRRL rule</w:t>
      </w:r>
      <w:r w:rsidR="00237421">
        <w:rPr>
          <w:rFonts w:ascii="Arial" w:hAnsi="Arial" w:cs="Arial"/>
        </w:rPr>
        <w:t>making</w:t>
      </w:r>
      <w:r w:rsidR="00333FE2">
        <w:rPr>
          <w:rFonts w:ascii="Arial" w:hAnsi="Arial" w:cs="Arial"/>
        </w:rPr>
        <w:t>.</w:t>
      </w:r>
      <w:r w:rsidRPr="00577CAE">
        <w:rPr>
          <w:rFonts w:ascii="Arial" w:hAnsi="Arial" w:cs="Arial"/>
        </w:rPr>
        <w:t xml:space="preserve"> </w:t>
      </w:r>
      <w:r w:rsidR="00DF2D02">
        <w:rPr>
          <w:rFonts w:ascii="Arial" w:hAnsi="Arial" w:cs="Arial"/>
        </w:rPr>
        <w:t>Lenders</w:t>
      </w:r>
      <w:r>
        <w:rPr>
          <w:rFonts w:ascii="Arial" w:hAnsi="Arial" w:cs="Arial"/>
        </w:rPr>
        <w:t xml:space="preserve"> collect Veteran and applicant information during the loan application process. The information used to promulgate the disclosure</w:t>
      </w:r>
      <w:r w:rsidR="00E03279">
        <w:rPr>
          <w:rFonts w:ascii="Arial" w:hAnsi="Arial" w:cs="Arial"/>
        </w:rPr>
        <w:t>s</w:t>
      </w:r>
      <w:r>
        <w:rPr>
          <w:rFonts w:ascii="Arial" w:hAnsi="Arial" w:cs="Arial"/>
        </w:rPr>
        <w:t xml:space="preserve"> is information already collected by the entities as part of the loan application process. </w:t>
      </w:r>
      <w:r w:rsidR="009D0F82">
        <w:rPr>
          <w:rFonts w:ascii="Arial" w:hAnsi="Arial" w:cs="Arial"/>
        </w:rPr>
        <w:t>Lenders</w:t>
      </w:r>
      <w:r>
        <w:rPr>
          <w:rFonts w:ascii="Arial" w:hAnsi="Arial" w:cs="Arial"/>
        </w:rPr>
        <w:t xml:space="preserve"> generally use LOS systems, which automate the loan application process. The LOS is the electronic environment in which an entity will provide Veterans and applicants electronic copies of loan applications, lending disclosures, and closing documents. LOS are either proprietary or off-the-shelf software products, by which the information collected by the entities is displayed in a disclosure format by the entity. Veterans and applicants will acknowledge the </w:t>
      </w:r>
      <w:r w:rsidR="007449D7">
        <w:rPr>
          <w:rFonts w:ascii="Arial" w:hAnsi="Arial" w:cs="Arial"/>
        </w:rPr>
        <w:t xml:space="preserve">comparison </w:t>
      </w:r>
      <w:r>
        <w:rPr>
          <w:rFonts w:ascii="Arial" w:hAnsi="Arial" w:cs="Arial"/>
        </w:rPr>
        <w:t>disclosure electronically or by printing and returning to the entity.</w:t>
      </w:r>
    </w:p>
    <w:p w:rsidR="00577CAE" w:rsidP="00577CAE" w14:paraId="0F838491" w14:textId="77777777">
      <w:pPr>
        <w:tabs>
          <w:tab w:val="left" w:pos="360"/>
        </w:tabs>
        <w:ind w:right="-540"/>
        <w:rPr>
          <w:rFonts w:ascii="Arial" w:hAnsi="Arial" w:cs="Arial"/>
        </w:rPr>
      </w:pPr>
    </w:p>
    <w:p w:rsidR="00347E0D" w:rsidRPr="00035C01" w:rsidP="00577CAE" w14:paraId="3884F580" w14:textId="3BEAF35C">
      <w:pPr>
        <w:rPr>
          <w:rFonts w:ascii="Arial" w:hAnsi="Arial" w:cs="Arial"/>
        </w:rPr>
      </w:pPr>
      <w:r>
        <w:rPr>
          <w:rFonts w:ascii="Arial" w:hAnsi="Arial" w:cs="Arial"/>
        </w:rPr>
        <w:t xml:space="preserve">     </w:t>
      </w:r>
      <w:r w:rsidR="00577CAE">
        <w:rPr>
          <w:rFonts w:ascii="Arial" w:hAnsi="Arial" w:cs="Arial"/>
        </w:rPr>
        <w:t xml:space="preserve">In cases where the lender does not utilize an LOS for the </w:t>
      </w:r>
      <w:r w:rsidR="007449D7">
        <w:rPr>
          <w:rFonts w:ascii="Arial" w:hAnsi="Arial" w:cs="Arial"/>
        </w:rPr>
        <w:t xml:space="preserve">comparison </w:t>
      </w:r>
      <w:r w:rsidR="00577CAE">
        <w:rPr>
          <w:rFonts w:ascii="Arial" w:hAnsi="Arial" w:cs="Arial"/>
        </w:rPr>
        <w:t>disclosure</w:t>
      </w:r>
      <w:r w:rsidR="007449D7">
        <w:rPr>
          <w:rFonts w:ascii="Arial" w:hAnsi="Arial" w:cs="Arial"/>
        </w:rPr>
        <w:t xml:space="preserve">s, </w:t>
      </w:r>
      <w:r w:rsidR="00577CAE">
        <w:rPr>
          <w:rFonts w:ascii="Arial" w:hAnsi="Arial" w:cs="Arial"/>
        </w:rPr>
        <w:t>a</w:t>
      </w:r>
      <w:r w:rsidRPr="00035C01" w:rsidR="00577CAE">
        <w:rPr>
          <w:rFonts w:ascii="Arial" w:hAnsi="Arial" w:cs="Arial"/>
        </w:rPr>
        <w:t xml:space="preserve"> fillable version of the form </w:t>
      </w:r>
      <w:r w:rsidR="00577CAE">
        <w:rPr>
          <w:rFonts w:ascii="Arial" w:hAnsi="Arial" w:cs="Arial"/>
        </w:rPr>
        <w:t>will be available on</w:t>
      </w:r>
      <w:r w:rsidRPr="00035C01" w:rsidR="00577CAE">
        <w:rPr>
          <w:rFonts w:ascii="Arial" w:hAnsi="Arial" w:cs="Arial"/>
        </w:rPr>
        <w:t xml:space="preserve"> VA’s website</w:t>
      </w:r>
      <w:r w:rsidR="007449D7">
        <w:rPr>
          <w:rFonts w:ascii="Arial" w:hAnsi="Arial" w:cs="Arial"/>
        </w:rPr>
        <w:t>.</w:t>
      </w:r>
    </w:p>
    <w:p w:rsidR="00FE3A77" w:rsidRPr="00035C01" w:rsidP="00952046" w14:paraId="459C2068" w14:textId="77777777">
      <w:pPr>
        <w:pStyle w:val="BodyText"/>
        <w:tabs>
          <w:tab w:val="left" w:pos="360"/>
        </w:tabs>
        <w:spacing w:after="0"/>
        <w:rPr>
          <w:rFonts w:ascii="Arial" w:hAnsi="Arial" w:cs="Arial"/>
        </w:rPr>
      </w:pPr>
    </w:p>
    <w:p w:rsidR="0017119C" w:rsidRPr="00035C01" w:rsidP="00D73C75" w14:paraId="4D183D17" w14:textId="0D0D662B">
      <w:pPr>
        <w:contextualSpacing/>
        <w:rPr>
          <w:rFonts w:ascii="Arial" w:hAnsi="Arial" w:cs="Arial"/>
          <w:b/>
        </w:rPr>
      </w:pPr>
      <w:r w:rsidRPr="00035C01">
        <w:rPr>
          <w:rFonts w:ascii="Arial" w:hAnsi="Arial" w:cs="Arial"/>
          <w:b/>
        </w:rPr>
        <w:t xml:space="preserve">     </w:t>
      </w:r>
      <w:r w:rsidRPr="00035C01" w:rsidR="003C2010">
        <w:rPr>
          <w:rFonts w:ascii="Arial" w:hAnsi="Arial" w:cs="Arial"/>
          <w:b/>
        </w:rPr>
        <w:t xml:space="preserve">4.  </w:t>
      </w:r>
      <w:r w:rsidRPr="00035C01">
        <w:rPr>
          <w:rFonts w:ascii="Arial" w:hAnsi="Arial" w:cs="Arial"/>
          <w:b/>
        </w:rPr>
        <w:t xml:space="preserve"> </w:t>
      </w:r>
      <w:r w:rsidRPr="00035C01">
        <w:rPr>
          <w:rFonts w:ascii="Arial" w:hAnsi="Arial" w:cs="Arial"/>
          <w:b/>
        </w:rPr>
        <w:t xml:space="preserve">Describe </w:t>
      </w:r>
      <w:r w:rsidRPr="00035C01">
        <w:rPr>
          <w:rFonts w:ascii="Arial" w:hAnsi="Arial" w:cs="Arial"/>
          <w:b/>
        </w:rPr>
        <w:t>efforts to identify duplication.  Show specifically why any similar information already available cannot be used or modified for use for the purposes described in Item 2 above.</w:t>
      </w:r>
    </w:p>
    <w:p w:rsidR="0033557D" w:rsidRPr="00035C01" w:rsidP="00D73C75" w14:paraId="69A471BB" w14:textId="77777777">
      <w:pPr>
        <w:contextualSpacing/>
        <w:rPr>
          <w:rFonts w:ascii="Arial" w:hAnsi="Arial" w:cs="Arial"/>
        </w:rPr>
      </w:pPr>
    </w:p>
    <w:p w:rsidR="003C2010" w:rsidP="001F2C7D" w14:paraId="77AC7DFE" w14:textId="18B2546D">
      <w:pPr>
        <w:rPr>
          <w:rFonts w:ascii="Arial" w:hAnsi="Arial" w:cs="Arial"/>
        </w:rPr>
      </w:pPr>
      <w:r>
        <w:rPr>
          <w:rFonts w:ascii="Arial" w:hAnsi="Arial" w:cs="Arial"/>
        </w:rPr>
        <w:t xml:space="preserve">      </w:t>
      </w:r>
      <w:r w:rsidRPr="00035C01">
        <w:rPr>
          <w:rFonts w:ascii="Arial" w:hAnsi="Arial" w:cs="Arial"/>
        </w:rPr>
        <w:t>There is no duplication of information involved.</w:t>
      </w:r>
      <w:r w:rsidRPr="00035C01" w:rsidR="00C02481">
        <w:rPr>
          <w:rFonts w:ascii="Arial" w:hAnsi="Arial" w:cs="Arial"/>
        </w:rPr>
        <w:t xml:space="preserve">  The form</w:t>
      </w:r>
      <w:r w:rsidR="001244B7">
        <w:rPr>
          <w:rFonts w:ascii="Arial" w:hAnsi="Arial" w:cs="Arial"/>
        </w:rPr>
        <w:t>s</w:t>
      </w:r>
      <w:r w:rsidRPr="00035C01" w:rsidR="00C02481">
        <w:rPr>
          <w:rFonts w:ascii="Arial" w:hAnsi="Arial" w:cs="Arial"/>
        </w:rPr>
        <w:t xml:space="preserve"> solicit personal</w:t>
      </w:r>
      <w:r w:rsidR="001244B7">
        <w:rPr>
          <w:rFonts w:ascii="Arial" w:hAnsi="Arial" w:cs="Arial"/>
        </w:rPr>
        <w:t xml:space="preserve"> and loan-specific</w:t>
      </w:r>
      <w:r w:rsidRPr="00035C01" w:rsidR="00C02481">
        <w:rPr>
          <w:rFonts w:ascii="Arial" w:hAnsi="Arial" w:cs="Arial"/>
        </w:rPr>
        <w:t xml:space="preserve"> information about the </w:t>
      </w:r>
      <w:r w:rsidR="001244B7">
        <w:rPr>
          <w:rFonts w:ascii="Arial" w:hAnsi="Arial" w:cs="Arial"/>
        </w:rPr>
        <w:t>transaction</w:t>
      </w:r>
      <w:r w:rsidRPr="00035C01" w:rsidR="00C02481">
        <w:rPr>
          <w:rFonts w:ascii="Arial" w:hAnsi="Arial" w:cs="Arial"/>
        </w:rPr>
        <w:t xml:space="preserve"> </w:t>
      </w:r>
      <w:r w:rsidR="00E06A82">
        <w:rPr>
          <w:rFonts w:ascii="Arial" w:hAnsi="Arial" w:cs="Arial"/>
        </w:rPr>
        <w:t>that</w:t>
      </w:r>
      <w:r w:rsidRPr="00035C01" w:rsidR="00C02481">
        <w:rPr>
          <w:rFonts w:ascii="Arial" w:hAnsi="Arial" w:cs="Arial"/>
        </w:rPr>
        <w:t xml:space="preserve"> would not be available in another record.</w:t>
      </w:r>
      <w:r w:rsidR="004E3870">
        <w:rPr>
          <w:rFonts w:ascii="Arial" w:hAnsi="Arial" w:cs="Arial"/>
        </w:rPr>
        <w:t xml:space="preserve"> </w:t>
      </w:r>
      <w:r w:rsidR="008E2076">
        <w:rPr>
          <w:rFonts w:ascii="Arial" w:hAnsi="Arial" w:cs="Arial"/>
        </w:rPr>
        <w:t>Additionally, t</w:t>
      </w:r>
      <w:r w:rsidR="008A079D">
        <w:rPr>
          <w:rFonts w:ascii="Arial" w:hAnsi="Arial" w:cs="Arial"/>
        </w:rPr>
        <w:t xml:space="preserve">he information needed to comply with the provisions of </w:t>
      </w:r>
      <w:r w:rsidR="008E2076">
        <w:rPr>
          <w:rFonts w:ascii="Arial" w:hAnsi="Arial" w:cs="Arial"/>
        </w:rPr>
        <w:t>section 3709</w:t>
      </w:r>
      <w:r w:rsidR="008A079D">
        <w:rPr>
          <w:rFonts w:ascii="Arial" w:hAnsi="Arial" w:cs="Arial"/>
        </w:rPr>
        <w:t xml:space="preserve"> is information that lenders currently collect in the loan application process</w:t>
      </w:r>
      <w:r w:rsidR="008E2076">
        <w:rPr>
          <w:rFonts w:ascii="Arial" w:hAnsi="Arial" w:cs="Arial"/>
        </w:rPr>
        <w:t>.</w:t>
      </w:r>
    </w:p>
    <w:p w:rsidR="008E2076" w:rsidRPr="00035C01" w:rsidP="001F2C7D" w14:paraId="1A848E15" w14:textId="77777777">
      <w:pPr>
        <w:rPr>
          <w:rFonts w:ascii="Arial" w:hAnsi="Arial" w:cs="Arial"/>
        </w:rPr>
      </w:pPr>
    </w:p>
    <w:p w:rsidR="0033557D" w:rsidP="001F2C7D" w14:paraId="4C56326E" w14:textId="643FA479">
      <w:pPr>
        <w:pStyle w:val="BodyText"/>
        <w:tabs>
          <w:tab w:val="left" w:pos="360"/>
        </w:tabs>
        <w:spacing w:after="0"/>
        <w:rPr>
          <w:rFonts w:ascii="Arial" w:hAnsi="Arial" w:cs="Arial"/>
          <w:b/>
        </w:rPr>
      </w:pPr>
      <w:r w:rsidRPr="00035C01">
        <w:rPr>
          <w:rFonts w:ascii="Arial" w:hAnsi="Arial" w:cs="Arial"/>
          <w:b/>
        </w:rPr>
        <w:t xml:space="preserve">     </w:t>
      </w:r>
      <w:r w:rsidRPr="00712027" w:rsidR="003C2010">
        <w:rPr>
          <w:rFonts w:ascii="Arial" w:hAnsi="Arial" w:cs="Arial"/>
          <w:b/>
        </w:rPr>
        <w:t xml:space="preserve">5.  </w:t>
      </w:r>
      <w:r w:rsidRPr="00712027">
        <w:rPr>
          <w:rFonts w:ascii="Arial" w:hAnsi="Arial" w:cs="Arial"/>
          <w:b/>
        </w:rPr>
        <w:t xml:space="preserve"> If the collection of information impacts small businesses or other small entities, describe any methods used to minimize burden.</w:t>
      </w:r>
    </w:p>
    <w:p w:rsidR="00712027" w:rsidRPr="00712027" w:rsidP="001F2C7D" w14:paraId="789598A2" w14:textId="77777777">
      <w:pPr>
        <w:pStyle w:val="BodyText"/>
        <w:tabs>
          <w:tab w:val="left" w:pos="360"/>
        </w:tabs>
        <w:spacing w:after="0"/>
        <w:rPr>
          <w:rFonts w:ascii="Arial" w:hAnsi="Arial" w:cs="Arial"/>
          <w:b/>
        </w:rPr>
      </w:pPr>
    </w:p>
    <w:p w:rsidR="001939A5" w:rsidP="001939A5" w14:paraId="0E606FDB" w14:textId="197B99E2">
      <w:pPr>
        <w:rPr>
          <w:rFonts w:ascii="Arial" w:hAnsi="Arial" w:cs="Arial"/>
        </w:rPr>
      </w:pPr>
      <w:r>
        <w:rPr>
          <w:rFonts w:ascii="Arial" w:hAnsi="Arial" w:cs="Arial"/>
        </w:rPr>
        <w:t xml:space="preserve">     </w:t>
      </w:r>
      <w:r w:rsidR="001F4FE3">
        <w:rPr>
          <w:rFonts w:ascii="Arial" w:hAnsi="Arial" w:cs="Arial"/>
        </w:rPr>
        <w:t xml:space="preserve">The collection of information </w:t>
      </w:r>
      <w:r w:rsidRPr="001F4FE3" w:rsidR="001F4FE3">
        <w:rPr>
          <w:rFonts w:ascii="Arial" w:hAnsi="Arial" w:cs="Arial"/>
        </w:rPr>
        <w:t xml:space="preserve">does involve lending entities of all sizes.  </w:t>
      </w:r>
      <w:r>
        <w:rPr>
          <w:rFonts w:ascii="Arial" w:hAnsi="Arial" w:cs="Arial"/>
        </w:rPr>
        <w:t>However, the information collected is typical of mortgage loan applications and should present no unusual burden for any small firms.</w:t>
      </w:r>
    </w:p>
    <w:p w:rsidR="001C26B7" w:rsidRPr="00035C01" w:rsidP="001F2C7D" w14:paraId="2C8F0A20" w14:textId="77777777">
      <w:pPr>
        <w:rPr>
          <w:rFonts w:ascii="Arial" w:hAnsi="Arial" w:cs="Arial"/>
        </w:rPr>
      </w:pPr>
    </w:p>
    <w:p w:rsidR="0033557D" w:rsidRPr="00035C01" w:rsidP="001F2C7D" w14:paraId="04088513" w14:textId="77777777">
      <w:pPr>
        <w:rPr>
          <w:rFonts w:ascii="Arial" w:hAnsi="Arial" w:cs="Arial"/>
          <w:b/>
        </w:rPr>
      </w:pPr>
      <w:r w:rsidRPr="00035C01">
        <w:rPr>
          <w:rFonts w:ascii="Arial" w:hAnsi="Arial" w:cs="Arial"/>
          <w:b/>
        </w:rPr>
        <w:t xml:space="preserve">     </w:t>
      </w:r>
      <w:r w:rsidRPr="00035C01" w:rsidR="003C2010">
        <w:rPr>
          <w:rFonts w:ascii="Arial" w:hAnsi="Arial" w:cs="Arial"/>
          <w:b/>
        </w:rPr>
        <w:t xml:space="preserve">6.  </w:t>
      </w:r>
      <w:r w:rsidRPr="00035C01">
        <w:rPr>
          <w:rFonts w:ascii="Arial" w:hAnsi="Arial" w:cs="Arial"/>
          <w:b/>
        </w:rPr>
        <w:t>Describe the consequences to Federal program or policy activities if the collection is not conducted or is conducted less frequently as well as any technical or legal obstacles to reducing burden.</w:t>
      </w:r>
    </w:p>
    <w:p w:rsidR="0033557D" w:rsidRPr="00035C01" w:rsidP="001F2C7D" w14:paraId="6F59392C" w14:textId="77777777">
      <w:pPr>
        <w:rPr>
          <w:rFonts w:ascii="Arial" w:hAnsi="Arial" w:cs="Arial"/>
        </w:rPr>
      </w:pPr>
    </w:p>
    <w:p w:rsidR="00557037" w:rsidP="001F2C7D" w14:paraId="68263CF6" w14:textId="67C78B39">
      <w:pPr>
        <w:rPr>
          <w:rFonts w:ascii="Arial" w:hAnsi="Arial" w:cs="Arial"/>
        </w:rPr>
      </w:pPr>
      <w:r>
        <w:rPr>
          <w:rFonts w:ascii="Arial" w:hAnsi="Arial" w:cs="Arial"/>
        </w:rPr>
        <w:t xml:space="preserve">     </w:t>
      </w:r>
      <w:r w:rsidR="001618B3">
        <w:rPr>
          <w:rFonts w:ascii="Arial" w:hAnsi="Arial" w:cs="Arial"/>
        </w:rPr>
        <w:t xml:space="preserve">For the </w:t>
      </w:r>
      <w:r w:rsidRPr="00B66C33" w:rsidR="001618B3">
        <w:rPr>
          <w:rFonts w:ascii="Arial" w:hAnsi="Arial" w:cs="Arial"/>
          <w:i/>
          <w:iCs/>
        </w:rPr>
        <w:t>IRRRL Worksheet</w:t>
      </w:r>
      <w:r w:rsidR="001618B3">
        <w:rPr>
          <w:rFonts w:ascii="Arial" w:hAnsi="Arial" w:cs="Arial"/>
        </w:rPr>
        <w:t>, t</w:t>
      </w:r>
      <w:r w:rsidRPr="00035C01" w:rsidR="000F2A0B">
        <w:rPr>
          <w:rFonts w:ascii="Arial" w:hAnsi="Arial" w:cs="Arial"/>
        </w:rPr>
        <w:t>he collection is generally</w:t>
      </w:r>
      <w:r w:rsidRPr="00035C01" w:rsidR="004651CC">
        <w:rPr>
          <w:rFonts w:ascii="Arial" w:hAnsi="Arial" w:cs="Arial"/>
        </w:rPr>
        <w:t xml:space="preserve"> </w:t>
      </w:r>
      <w:r w:rsidRPr="00035C01" w:rsidR="000F2A0B">
        <w:rPr>
          <w:rFonts w:ascii="Arial" w:hAnsi="Arial" w:cs="Arial"/>
        </w:rPr>
        <w:t xml:space="preserve">one time per </w:t>
      </w:r>
      <w:r>
        <w:rPr>
          <w:rFonts w:ascii="Arial" w:hAnsi="Arial" w:cs="Arial"/>
        </w:rPr>
        <w:t xml:space="preserve">refinancing </w:t>
      </w:r>
      <w:r w:rsidR="004A52B6">
        <w:rPr>
          <w:rFonts w:ascii="Arial" w:hAnsi="Arial" w:cs="Arial"/>
        </w:rPr>
        <w:t>loan</w:t>
      </w:r>
      <w:r w:rsidRPr="00035C01" w:rsidR="000F2A0B">
        <w:rPr>
          <w:rFonts w:ascii="Arial" w:hAnsi="Arial" w:cs="Arial"/>
        </w:rPr>
        <w:t xml:space="preserve">.  The use of this form </w:t>
      </w:r>
      <w:r w:rsidR="00CF66CE">
        <w:rPr>
          <w:rFonts w:ascii="Arial" w:hAnsi="Arial" w:cs="Arial"/>
        </w:rPr>
        <w:t>has historically ensured</w:t>
      </w:r>
      <w:r w:rsidRPr="00035C01" w:rsidR="000F2A0B">
        <w:rPr>
          <w:rFonts w:ascii="Arial" w:hAnsi="Arial" w:cs="Arial"/>
        </w:rPr>
        <w:t xml:space="preserve"> that the funding fee and maximum permissible loan amount are computed correctly. </w:t>
      </w:r>
      <w:r w:rsidR="00CC327D">
        <w:rPr>
          <w:rFonts w:ascii="Arial" w:hAnsi="Arial" w:cs="Arial"/>
        </w:rPr>
        <w:t>The collection of the Net Tangible Benefit</w:t>
      </w:r>
      <w:r w:rsidR="00F84D81">
        <w:rPr>
          <w:rFonts w:ascii="Arial" w:hAnsi="Arial" w:cs="Arial"/>
        </w:rPr>
        <w:t>, seasoning</w:t>
      </w:r>
      <w:r w:rsidR="00CC327D">
        <w:rPr>
          <w:rFonts w:ascii="Arial" w:hAnsi="Arial" w:cs="Arial"/>
        </w:rPr>
        <w:t xml:space="preserve"> and recoupment certifications ensure that the lender is adhering to each requirement. </w:t>
      </w:r>
      <w:r w:rsidR="00CD18BF">
        <w:rPr>
          <w:rFonts w:ascii="Arial" w:hAnsi="Arial" w:cs="Arial"/>
        </w:rPr>
        <w:t xml:space="preserve"> </w:t>
      </w:r>
    </w:p>
    <w:p w:rsidR="000E1F33" w:rsidP="00557037" w14:paraId="409E6AF8" w14:textId="77777777">
      <w:pPr>
        <w:rPr>
          <w:rFonts w:ascii="Arial" w:hAnsi="Arial" w:cs="Arial"/>
        </w:rPr>
      </w:pPr>
      <w:r>
        <w:rPr>
          <w:rFonts w:ascii="Arial" w:hAnsi="Arial" w:cs="Arial"/>
        </w:rPr>
        <w:t xml:space="preserve">   </w:t>
      </w:r>
    </w:p>
    <w:p w:rsidR="00DD5562" w:rsidRPr="00035C01" w:rsidP="00557037" w14:paraId="0420ABD7" w14:textId="557BAE1F">
      <w:pPr>
        <w:rPr>
          <w:rFonts w:ascii="Arial" w:hAnsi="Arial" w:cs="Arial"/>
        </w:rPr>
      </w:pPr>
      <w:r>
        <w:rPr>
          <w:rFonts w:ascii="Arial" w:hAnsi="Arial" w:cs="Arial"/>
        </w:rPr>
        <w:t xml:space="preserve">   </w:t>
      </w:r>
      <w:r w:rsidR="00557037">
        <w:rPr>
          <w:rFonts w:ascii="Arial" w:hAnsi="Arial" w:cs="Arial"/>
        </w:rPr>
        <w:t xml:space="preserve"> </w:t>
      </w:r>
      <w:r w:rsidR="00CC327D">
        <w:rPr>
          <w:rFonts w:ascii="Arial" w:hAnsi="Arial" w:cs="Arial"/>
        </w:rPr>
        <w:t xml:space="preserve">The required </w:t>
      </w:r>
      <w:r w:rsidR="001618B3">
        <w:rPr>
          <w:rFonts w:ascii="Arial" w:hAnsi="Arial" w:cs="Arial"/>
        </w:rPr>
        <w:t xml:space="preserve">comparison </w:t>
      </w:r>
      <w:r w:rsidR="00CC327D">
        <w:rPr>
          <w:rFonts w:ascii="Arial" w:hAnsi="Arial" w:cs="Arial"/>
        </w:rPr>
        <w:t>disclosure</w:t>
      </w:r>
      <w:r w:rsidR="008E4A9D">
        <w:rPr>
          <w:rFonts w:ascii="Arial" w:hAnsi="Arial" w:cs="Arial"/>
        </w:rPr>
        <w:t>s</w:t>
      </w:r>
      <w:r w:rsidR="00CC327D">
        <w:rPr>
          <w:rFonts w:ascii="Arial" w:hAnsi="Arial" w:cs="Arial"/>
        </w:rPr>
        <w:t xml:space="preserve"> to the Veteran </w:t>
      </w:r>
      <w:r w:rsidR="008E4A9D">
        <w:rPr>
          <w:rFonts w:ascii="Arial" w:hAnsi="Arial" w:cs="Arial"/>
        </w:rPr>
        <w:t>are</w:t>
      </w:r>
      <w:r w:rsidR="001344D6">
        <w:rPr>
          <w:rFonts w:ascii="Arial" w:hAnsi="Arial" w:cs="Arial"/>
        </w:rPr>
        <w:t xml:space="preserve"> </w:t>
      </w:r>
      <w:r w:rsidR="0021216C">
        <w:rPr>
          <w:rFonts w:ascii="Arial" w:hAnsi="Arial" w:cs="Arial"/>
        </w:rPr>
        <w:t>antic</w:t>
      </w:r>
      <w:r w:rsidR="003C3E31">
        <w:rPr>
          <w:rFonts w:ascii="Arial" w:hAnsi="Arial" w:cs="Arial"/>
        </w:rPr>
        <w:t>i</w:t>
      </w:r>
      <w:r w:rsidR="0021216C">
        <w:rPr>
          <w:rFonts w:ascii="Arial" w:hAnsi="Arial" w:cs="Arial"/>
        </w:rPr>
        <w:t xml:space="preserve">pated to, on average, be provided four times, but </w:t>
      </w:r>
      <w:r w:rsidR="003F0213">
        <w:rPr>
          <w:rFonts w:ascii="Arial" w:hAnsi="Arial" w:cs="Arial"/>
        </w:rPr>
        <w:t xml:space="preserve">twice </w:t>
      </w:r>
      <w:r w:rsidR="0021216C">
        <w:rPr>
          <w:rFonts w:ascii="Arial" w:hAnsi="Arial" w:cs="Arial"/>
        </w:rPr>
        <w:t xml:space="preserve">at a minimum </w:t>
      </w:r>
      <w:r w:rsidR="003F0213">
        <w:rPr>
          <w:rFonts w:ascii="Arial" w:hAnsi="Arial" w:cs="Arial"/>
        </w:rPr>
        <w:t xml:space="preserve">(i.e., </w:t>
      </w:r>
      <w:r w:rsidR="0083022C">
        <w:rPr>
          <w:rFonts w:ascii="Arial" w:hAnsi="Arial" w:cs="Arial"/>
        </w:rPr>
        <w:t>in conjunction with loan</w:t>
      </w:r>
      <w:r w:rsidR="00CC327D">
        <w:rPr>
          <w:rFonts w:ascii="Arial" w:hAnsi="Arial" w:cs="Arial"/>
        </w:rPr>
        <w:t xml:space="preserve"> application and </w:t>
      </w:r>
      <w:r w:rsidR="0083022C">
        <w:rPr>
          <w:rFonts w:ascii="Arial" w:hAnsi="Arial" w:cs="Arial"/>
        </w:rPr>
        <w:t xml:space="preserve">at loan </w:t>
      </w:r>
      <w:r w:rsidR="00CC327D">
        <w:rPr>
          <w:rFonts w:ascii="Arial" w:hAnsi="Arial" w:cs="Arial"/>
        </w:rPr>
        <w:t>closing</w:t>
      </w:r>
      <w:r w:rsidR="003F0213">
        <w:rPr>
          <w:rFonts w:ascii="Arial" w:hAnsi="Arial" w:cs="Arial"/>
        </w:rPr>
        <w:t>)</w:t>
      </w:r>
      <w:r w:rsidR="00CC327D">
        <w:rPr>
          <w:rFonts w:ascii="Arial" w:hAnsi="Arial" w:cs="Arial"/>
        </w:rPr>
        <w:t>.</w:t>
      </w:r>
      <w:r w:rsidR="001344D6">
        <w:rPr>
          <w:rFonts w:ascii="Arial" w:hAnsi="Arial" w:cs="Arial"/>
        </w:rPr>
        <w:t xml:space="preserve"> The</w:t>
      </w:r>
      <w:r w:rsidR="00984CDF">
        <w:rPr>
          <w:rFonts w:ascii="Arial" w:hAnsi="Arial" w:cs="Arial"/>
        </w:rPr>
        <w:t>se</w:t>
      </w:r>
      <w:r w:rsidR="001344D6">
        <w:rPr>
          <w:rFonts w:ascii="Arial" w:hAnsi="Arial" w:cs="Arial"/>
        </w:rPr>
        <w:t xml:space="preserve"> disclosure</w:t>
      </w:r>
      <w:r w:rsidR="00984CDF">
        <w:rPr>
          <w:rFonts w:ascii="Arial" w:hAnsi="Arial" w:cs="Arial"/>
        </w:rPr>
        <w:t>s</w:t>
      </w:r>
      <w:r w:rsidR="001344D6">
        <w:rPr>
          <w:rFonts w:ascii="Arial" w:hAnsi="Arial" w:cs="Arial"/>
        </w:rPr>
        <w:t xml:space="preserve"> </w:t>
      </w:r>
      <w:r w:rsidR="00984CDF">
        <w:rPr>
          <w:rFonts w:ascii="Arial" w:hAnsi="Arial" w:cs="Arial"/>
        </w:rPr>
        <w:t>are</w:t>
      </w:r>
      <w:r w:rsidR="001344D6">
        <w:rPr>
          <w:rFonts w:ascii="Arial" w:hAnsi="Arial" w:cs="Arial"/>
        </w:rPr>
        <w:t xml:space="preserve"> provided to ensure the Veteran is aware of the impact of the refinance. </w:t>
      </w:r>
      <w:r w:rsidR="00B6695D">
        <w:rPr>
          <w:rFonts w:ascii="Arial" w:hAnsi="Arial" w:cs="Arial"/>
        </w:rPr>
        <w:t>VA assumes that the average loan will require two interim, updated comparison disclosures</w:t>
      </w:r>
      <w:r w:rsidR="00211D90">
        <w:rPr>
          <w:rFonts w:ascii="Arial" w:hAnsi="Arial" w:cs="Arial"/>
        </w:rPr>
        <w:t xml:space="preserve"> when applicable information changes</w:t>
      </w:r>
      <w:r w:rsidR="00B6695D">
        <w:rPr>
          <w:rFonts w:ascii="Arial" w:hAnsi="Arial" w:cs="Arial"/>
        </w:rPr>
        <w:t xml:space="preserve">, </w:t>
      </w:r>
      <w:r w:rsidR="00957A4B">
        <w:rPr>
          <w:rFonts w:ascii="Arial" w:hAnsi="Arial" w:cs="Arial"/>
        </w:rPr>
        <w:t xml:space="preserve">which will fall </w:t>
      </w:r>
      <w:r w:rsidR="00B6695D">
        <w:rPr>
          <w:rFonts w:ascii="Arial" w:hAnsi="Arial" w:cs="Arial"/>
        </w:rPr>
        <w:t xml:space="preserve">in between the initial disclosure </w:t>
      </w:r>
      <w:r w:rsidR="00625774">
        <w:rPr>
          <w:rFonts w:ascii="Arial" w:hAnsi="Arial" w:cs="Arial"/>
        </w:rPr>
        <w:t xml:space="preserve">(i.e., </w:t>
      </w:r>
      <w:r w:rsidR="00B6695D">
        <w:rPr>
          <w:rFonts w:ascii="Arial" w:hAnsi="Arial" w:cs="Arial"/>
        </w:rPr>
        <w:t>at time of Loan Estimate</w:t>
      </w:r>
      <w:r w:rsidR="00625774">
        <w:rPr>
          <w:rFonts w:ascii="Arial" w:hAnsi="Arial" w:cs="Arial"/>
        </w:rPr>
        <w:t xml:space="preserve"> delivery)</w:t>
      </w:r>
      <w:r w:rsidR="00B6695D">
        <w:rPr>
          <w:rFonts w:ascii="Arial" w:hAnsi="Arial" w:cs="Arial"/>
        </w:rPr>
        <w:t xml:space="preserve"> and the final disclosure</w:t>
      </w:r>
      <w:r w:rsidR="00211D90">
        <w:rPr>
          <w:rFonts w:ascii="Arial" w:hAnsi="Arial" w:cs="Arial"/>
        </w:rPr>
        <w:t>.</w:t>
      </w:r>
    </w:p>
    <w:p w:rsidR="003C2010" w:rsidRPr="00035C01" w:rsidP="001F2C7D" w14:paraId="5BB11889" w14:textId="77777777">
      <w:pPr>
        <w:rPr>
          <w:rFonts w:ascii="Arial" w:hAnsi="Arial" w:cs="Arial"/>
        </w:rPr>
      </w:pPr>
    </w:p>
    <w:p w:rsidR="0033557D" w:rsidRPr="00035C01" w:rsidP="001F2C7D" w14:paraId="1CA125A4" w14:textId="77777777">
      <w:pPr>
        <w:rPr>
          <w:rFonts w:ascii="Arial" w:hAnsi="Arial" w:cs="Arial"/>
          <w:b/>
        </w:rPr>
      </w:pPr>
      <w:r w:rsidRPr="00035C01">
        <w:rPr>
          <w:rFonts w:ascii="Arial" w:hAnsi="Arial" w:cs="Arial"/>
        </w:rPr>
        <w:t xml:space="preserve">     </w:t>
      </w:r>
      <w:r w:rsidRPr="00035C01" w:rsidR="003C2010">
        <w:rPr>
          <w:rFonts w:ascii="Arial" w:hAnsi="Arial" w:cs="Arial"/>
          <w:b/>
        </w:rPr>
        <w:t xml:space="preserve">7.  </w:t>
      </w:r>
      <w:r w:rsidRPr="00035C01">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3557D" w:rsidRPr="00035C01" w:rsidP="001F2C7D" w14:paraId="117B9A69" w14:textId="77777777">
      <w:pPr>
        <w:rPr>
          <w:rFonts w:ascii="Arial" w:hAnsi="Arial" w:cs="Arial"/>
        </w:rPr>
      </w:pPr>
    </w:p>
    <w:p w:rsidR="003C2010" w:rsidRPr="00035C01" w:rsidP="001F2C7D" w14:paraId="3407297F" w14:textId="0446BE7C">
      <w:pPr>
        <w:rPr>
          <w:rFonts w:ascii="Arial" w:hAnsi="Arial" w:cs="Arial"/>
        </w:rPr>
      </w:pPr>
      <w:r>
        <w:rPr>
          <w:rFonts w:ascii="Arial" w:hAnsi="Arial" w:cs="Arial"/>
        </w:rPr>
        <w:t xml:space="preserve">     </w:t>
      </w:r>
      <w:r w:rsidRPr="00035C01">
        <w:rPr>
          <w:rFonts w:ascii="Arial" w:hAnsi="Arial" w:cs="Arial"/>
        </w:rPr>
        <w:t xml:space="preserve">There are no special circumstances that require the collection to be conducted in a manner inconsistent with the guidelines in 5 CFR </w:t>
      </w:r>
      <w:r w:rsidR="00680FD7">
        <w:rPr>
          <w:rFonts w:ascii="Arial" w:hAnsi="Arial" w:cs="Arial"/>
        </w:rPr>
        <w:t>§</w:t>
      </w:r>
      <w:r w:rsidRPr="00035C01">
        <w:rPr>
          <w:rFonts w:ascii="Arial" w:hAnsi="Arial" w:cs="Arial"/>
        </w:rPr>
        <w:t>1320.6.</w:t>
      </w:r>
    </w:p>
    <w:p w:rsidR="003C2010" w:rsidRPr="00035C01" w:rsidP="001F2C7D" w14:paraId="11CFABEE" w14:textId="77777777">
      <w:pPr>
        <w:rPr>
          <w:rFonts w:ascii="Arial" w:hAnsi="Arial" w:cs="Arial"/>
        </w:rPr>
      </w:pPr>
    </w:p>
    <w:p w:rsidR="0033557D" w:rsidRPr="00035C01" w:rsidP="001F2C7D" w14:paraId="3B63DE73" w14:textId="2CCF37D1">
      <w:pPr>
        <w:rPr>
          <w:rFonts w:ascii="Arial" w:hAnsi="Arial" w:cs="Arial"/>
          <w:b/>
        </w:rPr>
      </w:pPr>
      <w:r w:rsidRPr="00035C01">
        <w:rPr>
          <w:rFonts w:ascii="Arial" w:hAnsi="Arial" w:cs="Arial"/>
        </w:rPr>
        <w:t xml:space="preserve">     </w:t>
      </w:r>
      <w:r w:rsidRPr="00035C01" w:rsidR="003C2010">
        <w:rPr>
          <w:rFonts w:ascii="Arial" w:hAnsi="Arial" w:cs="Arial"/>
          <w:b/>
        </w:rPr>
        <w:t xml:space="preserve">8.  </w:t>
      </w:r>
      <w:r w:rsidRPr="00035C01">
        <w:rPr>
          <w:rFonts w:ascii="Arial"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3557D" w:rsidP="001F2C7D" w14:paraId="6C1A7B93" w14:textId="218D83CC">
      <w:pPr>
        <w:rPr>
          <w:rFonts w:ascii="Arial" w:hAnsi="Arial" w:cs="Arial"/>
        </w:rPr>
      </w:pPr>
    </w:p>
    <w:p w:rsidR="00D936EE" w:rsidP="00D936EE" w14:paraId="6094BABF" w14:textId="70AE88FD">
      <w:pPr>
        <w:pStyle w:val="PlainText"/>
        <w:rPr>
          <w:rFonts w:ascii="Arial" w:hAnsi="Arial" w:cs="Arial"/>
          <w:sz w:val="24"/>
          <w:szCs w:val="24"/>
        </w:rPr>
      </w:pPr>
      <w:r>
        <w:rPr>
          <w:rFonts w:ascii="Arial" w:hAnsi="Arial" w:cs="Arial"/>
          <w:sz w:val="24"/>
          <w:szCs w:val="24"/>
        </w:rPr>
        <w:t xml:space="preserve">Not applicable. </w:t>
      </w:r>
    </w:p>
    <w:p w:rsidR="008464EF" w:rsidRPr="00035C01" w:rsidP="00D936EE" w14:paraId="540B1352" w14:textId="77777777">
      <w:pPr>
        <w:pStyle w:val="PlainText"/>
        <w:rPr>
          <w:rFonts w:ascii="Arial" w:hAnsi="Arial" w:cs="Arial"/>
          <w:sz w:val="24"/>
          <w:szCs w:val="24"/>
        </w:rPr>
      </w:pPr>
    </w:p>
    <w:p w:rsidR="0033557D" w:rsidRPr="00035C01" w:rsidP="001F2C7D" w14:paraId="6BAEAF12" w14:textId="1471785A">
      <w:pPr>
        <w:rPr>
          <w:rFonts w:ascii="Arial" w:hAnsi="Arial" w:cs="Arial"/>
          <w:b/>
        </w:rPr>
      </w:pPr>
      <w:r w:rsidRPr="00035C01">
        <w:rPr>
          <w:rFonts w:ascii="Arial" w:hAnsi="Arial" w:cs="Arial"/>
        </w:rPr>
        <w:t xml:space="preserve">     </w:t>
      </w:r>
      <w:r w:rsidRPr="00035C01" w:rsidR="003C2010">
        <w:rPr>
          <w:rFonts w:ascii="Arial" w:hAnsi="Arial" w:cs="Arial"/>
          <w:b/>
        </w:rPr>
        <w:t xml:space="preserve">9.  </w:t>
      </w:r>
      <w:r w:rsidRPr="00035C01">
        <w:rPr>
          <w:rFonts w:ascii="Arial" w:hAnsi="Arial" w:cs="Arial"/>
          <w:b/>
        </w:rPr>
        <w:t>Explain any decision to provide any payment or gift to respondents, other than remuneration of contractors or grantees.</w:t>
      </w:r>
    </w:p>
    <w:p w:rsidR="0033557D" w:rsidRPr="00035C01" w:rsidP="001F2C7D" w14:paraId="58D71971" w14:textId="77777777">
      <w:pPr>
        <w:rPr>
          <w:rFonts w:ascii="Arial" w:hAnsi="Arial" w:cs="Arial"/>
        </w:rPr>
      </w:pPr>
    </w:p>
    <w:p w:rsidR="003C2010" w:rsidRPr="00035C01" w:rsidP="001F2C7D" w14:paraId="44CD0A07" w14:textId="2C875330">
      <w:pPr>
        <w:rPr>
          <w:rFonts w:ascii="Arial" w:hAnsi="Arial" w:cs="Arial"/>
        </w:rPr>
      </w:pPr>
      <w:r>
        <w:rPr>
          <w:rFonts w:ascii="Arial" w:hAnsi="Arial" w:cs="Arial"/>
        </w:rPr>
        <w:t xml:space="preserve">     </w:t>
      </w:r>
      <w:r w:rsidRPr="00035C01" w:rsidR="00DD5562">
        <w:rPr>
          <w:rFonts w:ascii="Arial" w:hAnsi="Arial" w:cs="Arial"/>
        </w:rPr>
        <w:t>No d</w:t>
      </w:r>
      <w:r w:rsidRPr="00035C01">
        <w:rPr>
          <w:rFonts w:ascii="Arial" w:hAnsi="Arial" w:cs="Arial"/>
        </w:rPr>
        <w:t xml:space="preserve">ecisions to provide any payment or gift to respondents </w:t>
      </w:r>
      <w:r w:rsidRPr="00035C01" w:rsidR="00B76420">
        <w:rPr>
          <w:rFonts w:ascii="Arial" w:hAnsi="Arial" w:cs="Arial"/>
        </w:rPr>
        <w:t>have been made under this collection of information</w:t>
      </w:r>
      <w:r w:rsidRPr="00035C01">
        <w:rPr>
          <w:rFonts w:ascii="Arial" w:hAnsi="Arial" w:cs="Arial"/>
        </w:rPr>
        <w:t>.</w:t>
      </w:r>
    </w:p>
    <w:p w:rsidR="003C2010" w:rsidRPr="00035C01" w:rsidP="001F2C7D" w14:paraId="09069AD1" w14:textId="77777777">
      <w:pPr>
        <w:rPr>
          <w:rFonts w:ascii="Arial" w:hAnsi="Arial" w:cs="Arial"/>
        </w:rPr>
      </w:pPr>
    </w:p>
    <w:p w:rsidR="0033557D" w:rsidRPr="00035C01" w:rsidP="001F2C7D" w14:paraId="17549334" w14:textId="350DBCF8">
      <w:pPr>
        <w:rPr>
          <w:rFonts w:ascii="Arial" w:hAnsi="Arial" w:cs="Arial"/>
          <w:b/>
          <w:color w:val="000000"/>
        </w:rPr>
      </w:pPr>
      <w:r w:rsidRPr="00035C01">
        <w:rPr>
          <w:rFonts w:ascii="Arial" w:hAnsi="Arial" w:cs="Arial"/>
        </w:rPr>
        <w:t xml:space="preserve">     </w:t>
      </w:r>
      <w:r w:rsidRPr="00035C01" w:rsidR="003C2010">
        <w:rPr>
          <w:rFonts w:ascii="Arial" w:hAnsi="Arial" w:cs="Arial"/>
          <w:b/>
        </w:rPr>
        <w:t xml:space="preserve">10.  </w:t>
      </w:r>
      <w:r w:rsidRPr="00035C01">
        <w:rPr>
          <w:rFonts w:ascii="Arial" w:hAnsi="Arial" w:cs="Arial"/>
          <w:b/>
        </w:rPr>
        <w:t xml:space="preserve">Describe </w:t>
      </w:r>
      <w:r w:rsidRPr="00035C01">
        <w:rPr>
          <w:rFonts w:ascii="Arial" w:hAnsi="Arial" w:cs="Arial"/>
          <w:b/>
          <w:color w:val="000000"/>
        </w:rPr>
        <w:t xml:space="preserve">any assurance </w:t>
      </w:r>
      <w:r w:rsidRPr="00035C01">
        <w:rPr>
          <w:rFonts w:ascii="Arial" w:hAnsi="Arial" w:cs="Arial"/>
          <w:b/>
        </w:rPr>
        <w:t xml:space="preserve">of privacy, to the extent permitted by law, </w:t>
      </w:r>
      <w:r w:rsidRPr="00035C01">
        <w:rPr>
          <w:rFonts w:ascii="Arial" w:hAnsi="Arial" w:cs="Arial"/>
          <w:b/>
          <w:color w:val="000000"/>
        </w:rPr>
        <w:t>provided to respondents and the basis for the assurance in statute, regulation, or agency policy.</w:t>
      </w:r>
    </w:p>
    <w:p w:rsidR="0033557D" w:rsidRPr="00035C01" w:rsidP="001F2C7D" w14:paraId="6E9EB13E" w14:textId="77777777">
      <w:pPr>
        <w:rPr>
          <w:rFonts w:ascii="Arial" w:hAnsi="Arial" w:cs="Arial"/>
          <w:color w:val="000000"/>
        </w:rPr>
      </w:pPr>
    </w:p>
    <w:p w:rsidR="003C2010" w:rsidP="007B153E" w14:paraId="5D6E0975" w14:textId="236F4782">
      <w:pPr>
        <w:rPr>
          <w:rFonts w:ascii="Arial" w:hAnsi="Arial" w:cs="Arial"/>
        </w:rPr>
      </w:pPr>
      <w:r>
        <w:rPr>
          <w:rFonts w:ascii="Arial" w:hAnsi="Arial" w:cs="Arial"/>
        </w:rPr>
        <w:t xml:space="preserve">     </w:t>
      </w:r>
      <w:r w:rsidRPr="00035C01" w:rsidR="00677C8D">
        <w:rPr>
          <w:rFonts w:ascii="Arial" w:hAnsi="Arial" w:cs="Arial"/>
        </w:rPr>
        <w:t>VA will not disclose information collected on th</w:t>
      </w:r>
      <w:r w:rsidR="002E7752">
        <w:rPr>
          <w:rFonts w:ascii="Arial" w:hAnsi="Arial" w:cs="Arial"/>
        </w:rPr>
        <w:t>ese</w:t>
      </w:r>
      <w:r w:rsidRPr="00035C01" w:rsidR="00677C8D">
        <w:rPr>
          <w:rFonts w:ascii="Arial" w:hAnsi="Arial" w:cs="Arial"/>
        </w:rPr>
        <w:t xml:space="preserve"> form</w:t>
      </w:r>
      <w:r w:rsidR="002E7752">
        <w:rPr>
          <w:rFonts w:ascii="Arial" w:hAnsi="Arial" w:cs="Arial"/>
        </w:rPr>
        <w:t>s</w:t>
      </w:r>
      <w:r w:rsidRPr="00035C01" w:rsidR="00677C8D">
        <w:rPr>
          <w:rFonts w:ascii="Arial" w:hAnsi="Arial" w:cs="Arial"/>
        </w:rPr>
        <w:t xml:space="preserve"> to any source other than what has been authorized under the Privacy Act of 1974 or </w:t>
      </w:r>
      <w:r w:rsidR="00CD333C">
        <w:rPr>
          <w:rFonts w:ascii="Arial" w:hAnsi="Arial" w:cs="Arial"/>
        </w:rPr>
        <w:t xml:space="preserve">in </w:t>
      </w:r>
      <w:r w:rsidRPr="00035C01" w:rsidR="00677C8D">
        <w:rPr>
          <w:rFonts w:ascii="Arial" w:hAnsi="Arial" w:cs="Arial"/>
        </w:rPr>
        <w:t xml:space="preserve">38 </w:t>
      </w:r>
      <w:r w:rsidR="0021285D">
        <w:rPr>
          <w:rFonts w:ascii="Arial" w:hAnsi="Arial" w:cs="Arial"/>
        </w:rPr>
        <w:t>CFR</w:t>
      </w:r>
      <w:r w:rsidRPr="00035C01" w:rsidR="00677C8D">
        <w:rPr>
          <w:rFonts w:ascii="Arial" w:hAnsi="Arial" w:cs="Arial"/>
        </w:rPr>
        <w:t xml:space="preserve"> </w:t>
      </w:r>
      <w:r w:rsidR="00680FD7">
        <w:rPr>
          <w:rFonts w:ascii="Arial" w:hAnsi="Arial" w:cs="Arial"/>
        </w:rPr>
        <w:t xml:space="preserve">§ </w:t>
      </w:r>
      <w:r w:rsidRPr="00035C01" w:rsidR="00677C8D">
        <w:rPr>
          <w:rFonts w:ascii="Arial" w:hAnsi="Arial" w:cs="Arial"/>
        </w:rPr>
        <w:t>1.576 for routine uses (i.e., to a member of Congress inquiring on behalf of a veteran) as identified in the VA system of records, 55VA26, Loan Guaranty Home, Condominium and Manufactured Home Loan Applicant Records, Specially Adapted Housing Applicant Records, and Vendee Loan Applicant Records - VA, and published in the Federal Register.</w:t>
      </w:r>
      <w:r w:rsidRPr="00035C01" w:rsidR="00B76420">
        <w:rPr>
          <w:rFonts w:ascii="Arial" w:hAnsi="Arial" w:cs="Arial"/>
        </w:rPr>
        <w:t xml:space="preserve">  </w:t>
      </w:r>
      <w:hyperlink r:id="rId10" w:history="1">
        <w:r w:rsidRPr="00060EDD" w:rsidR="00351845">
          <w:rPr>
            <w:rStyle w:val="Hyperlink"/>
            <w:rFonts w:ascii="Arial" w:hAnsi="Arial" w:cs="Arial"/>
          </w:rPr>
          <w:t>https://www.federalregister.gov/documents/2018/08/13/2018-17228/privacy-act-of-1974-system-of-records</w:t>
        </w:r>
      </w:hyperlink>
      <w:r w:rsidR="009379E0">
        <w:rPr>
          <w:rStyle w:val="Hyperlink"/>
          <w:rFonts w:ascii="Arial" w:hAnsi="Arial" w:cs="Arial"/>
        </w:rPr>
        <w:t>.</w:t>
      </w:r>
    </w:p>
    <w:p w:rsidR="00351845" w:rsidRPr="00035C01" w:rsidP="007B153E" w14:paraId="75D11B08" w14:textId="77777777">
      <w:pPr>
        <w:rPr>
          <w:rFonts w:ascii="Arial" w:hAnsi="Arial" w:cs="Arial"/>
        </w:rPr>
      </w:pPr>
    </w:p>
    <w:p w:rsidR="003C2010" w:rsidRPr="00035C01" w:rsidP="007B153E" w14:paraId="616DBCEC" w14:textId="77777777">
      <w:pPr>
        <w:rPr>
          <w:rFonts w:ascii="Arial" w:hAnsi="Arial" w:cs="Arial"/>
        </w:rPr>
      </w:pPr>
    </w:p>
    <w:p w:rsidR="0033557D" w:rsidRPr="00035C01" w:rsidP="007B153E" w14:paraId="49828023" w14:textId="629DF0A6">
      <w:pPr>
        <w:rPr>
          <w:rFonts w:ascii="Arial" w:hAnsi="Arial" w:cs="Arial"/>
          <w:b/>
        </w:rPr>
      </w:pPr>
      <w:r w:rsidRPr="00035C01">
        <w:rPr>
          <w:rFonts w:ascii="Arial" w:hAnsi="Arial" w:cs="Arial"/>
        </w:rPr>
        <w:t xml:space="preserve">     </w:t>
      </w:r>
      <w:r w:rsidRPr="00035C01" w:rsidR="003C2010">
        <w:rPr>
          <w:rFonts w:ascii="Arial" w:hAnsi="Arial" w:cs="Arial"/>
          <w:b/>
        </w:rPr>
        <w:t xml:space="preserve">11.  </w:t>
      </w:r>
      <w:r w:rsidRPr="00035C01">
        <w:rPr>
          <w:rFonts w:ascii="Arial" w:hAnsi="Arial" w:cs="Arial"/>
          <w:b/>
        </w:rPr>
        <w:t>Provide additional justification for any questions of a sensitive nature</w:t>
      </w:r>
      <w:r w:rsidRPr="00035C01">
        <w:rPr>
          <w:rFonts w:ascii="Arial" w:hAnsi="Arial" w:cs="Arial"/>
          <w:b/>
          <w:color w:val="0000FF"/>
        </w:rPr>
        <w:t xml:space="preserve"> </w:t>
      </w:r>
      <w:r w:rsidRPr="00035C01">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3557D" w:rsidRPr="00035C01" w:rsidP="001F2C7D" w14:paraId="32325AA0" w14:textId="77777777">
      <w:pPr>
        <w:rPr>
          <w:rFonts w:ascii="Arial" w:hAnsi="Arial" w:cs="Arial"/>
        </w:rPr>
      </w:pPr>
    </w:p>
    <w:p w:rsidR="003C2010" w:rsidRPr="00035C01" w:rsidP="001F2C7D" w14:paraId="49F58765" w14:textId="7BD2272B">
      <w:pPr>
        <w:rPr>
          <w:rFonts w:ascii="Arial" w:hAnsi="Arial" w:cs="Arial"/>
        </w:rPr>
      </w:pPr>
      <w:r>
        <w:rPr>
          <w:rFonts w:ascii="Arial" w:hAnsi="Arial" w:cs="Arial"/>
        </w:rPr>
        <w:t xml:space="preserve">     </w:t>
      </w:r>
      <w:r w:rsidRPr="00035C01" w:rsidR="00AF7FF1">
        <w:rPr>
          <w:rFonts w:ascii="Arial" w:hAnsi="Arial" w:cs="Arial"/>
        </w:rPr>
        <w:t>No questions of a sensitive nature are contained on the form.</w:t>
      </w:r>
    </w:p>
    <w:p w:rsidR="003C2010" w:rsidRPr="00035C01" w:rsidP="001F2C7D" w14:paraId="6B58097A" w14:textId="77777777">
      <w:pPr>
        <w:rPr>
          <w:rFonts w:ascii="Arial" w:hAnsi="Arial" w:cs="Arial"/>
        </w:rPr>
      </w:pPr>
    </w:p>
    <w:p w:rsidR="007524B4" w:rsidRPr="00035C01" w:rsidP="001F2C7D" w14:paraId="2B707AB8" w14:textId="77777777">
      <w:pPr>
        <w:rPr>
          <w:rFonts w:ascii="Arial" w:hAnsi="Arial" w:cs="Arial"/>
          <w:b/>
        </w:rPr>
      </w:pPr>
      <w:r w:rsidRPr="00035C01">
        <w:rPr>
          <w:rFonts w:ascii="Arial" w:hAnsi="Arial" w:cs="Arial"/>
        </w:rPr>
        <w:t xml:space="preserve">     </w:t>
      </w:r>
      <w:r w:rsidRPr="00035C01" w:rsidR="003C2010">
        <w:rPr>
          <w:rFonts w:ascii="Arial" w:hAnsi="Arial" w:cs="Arial"/>
          <w:b/>
        </w:rPr>
        <w:t xml:space="preserve">12.  </w:t>
      </w:r>
      <w:r w:rsidRPr="00035C01">
        <w:rPr>
          <w:rFonts w:ascii="Arial" w:hAnsi="Arial" w:cs="Arial"/>
          <w:b/>
        </w:rPr>
        <w:t>Estimate of the hour burden of the collection:</w:t>
      </w:r>
    </w:p>
    <w:p w:rsidR="007524B4" w:rsidRPr="00035C01" w:rsidP="001F2C7D" w14:paraId="15209FD1" w14:textId="77777777">
      <w:pPr>
        <w:rPr>
          <w:rFonts w:ascii="Arial" w:hAnsi="Arial" w:cs="Arial"/>
        </w:rPr>
      </w:pPr>
    </w:p>
    <w:p w:rsidR="003C2010" w:rsidP="001F2C7D" w14:paraId="1F9FC688" w14:textId="506AFEA6">
      <w:pPr>
        <w:rPr>
          <w:rFonts w:ascii="Arial" w:hAnsi="Arial" w:cs="Arial"/>
          <w:u w:val="single"/>
        </w:rPr>
      </w:pPr>
      <w:r w:rsidRPr="00035C01">
        <w:rPr>
          <w:rFonts w:ascii="Arial" w:hAnsi="Arial" w:cs="Arial"/>
          <w:u w:val="single"/>
        </w:rPr>
        <w:t>Estimate of Information Collection Burden</w:t>
      </w:r>
    </w:p>
    <w:tbl>
      <w:tblPr>
        <w:tblW w:w="10170" w:type="dxa"/>
        <w:tblInd w:w="-3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953"/>
        <w:gridCol w:w="1130"/>
        <w:gridCol w:w="1129"/>
        <w:gridCol w:w="1216"/>
        <w:gridCol w:w="1129"/>
        <w:gridCol w:w="869"/>
        <w:gridCol w:w="1744"/>
      </w:tblGrid>
      <w:tr w14:paraId="3F22CF2E" w14:textId="77777777" w:rsidTr="00A808D0">
        <w:tblPrEx>
          <w:tblW w:w="10170" w:type="dxa"/>
          <w:tblInd w:w="-3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2953" w:type="dxa"/>
            <w:tcBorders>
              <w:top w:val="single" w:sz="6" w:space="0" w:color="auto"/>
              <w:left w:val="single" w:sz="6" w:space="0" w:color="auto"/>
              <w:bottom w:val="single" w:sz="6" w:space="0" w:color="auto"/>
              <w:right w:val="single" w:sz="6" w:space="0" w:color="auto"/>
            </w:tcBorders>
            <w:shd w:val="clear" w:color="auto" w:fill="auto"/>
            <w:hideMark/>
          </w:tcPr>
          <w:p w:rsidR="00E66FA4" w:rsidRPr="00E62C66" w:rsidP="00A808D0" w14:paraId="3B2A0C2C" w14:textId="77777777">
            <w:pPr>
              <w:autoSpaceDE/>
              <w:autoSpaceDN/>
              <w:jc w:val="center"/>
              <w:textAlignment w:val="baseline"/>
              <w:rPr>
                <w:rFonts w:ascii="Arial" w:hAnsi="Arial" w:cs="Arial"/>
                <w:b/>
                <w:sz w:val="20"/>
                <w:szCs w:val="20"/>
              </w:rPr>
            </w:pPr>
            <w:r w:rsidRPr="00E62C66">
              <w:rPr>
                <w:rFonts w:ascii="Arial" w:hAnsi="Arial" w:cs="Arial"/>
                <w:b/>
                <w:sz w:val="20"/>
                <w:szCs w:val="20"/>
              </w:rPr>
              <w:t>Description of Information Collection</w:t>
            </w:r>
          </w:p>
        </w:tc>
        <w:tc>
          <w:tcPr>
            <w:tcW w:w="1130" w:type="dxa"/>
            <w:tcBorders>
              <w:top w:val="single" w:sz="6" w:space="0" w:color="auto"/>
              <w:left w:val="nil"/>
              <w:bottom w:val="single" w:sz="6" w:space="0" w:color="auto"/>
              <w:right w:val="single" w:sz="6" w:space="0" w:color="auto"/>
            </w:tcBorders>
            <w:shd w:val="clear" w:color="auto" w:fill="auto"/>
            <w:hideMark/>
          </w:tcPr>
          <w:p w:rsidR="00E66FA4" w:rsidRPr="00E62C66" w:rsidP="00A808D0" w14:paraId="5721D338" w14:textId="77777777">
            <w:pPr>
              <w:autoSpaceDE/>
              <w:autoSpaceDN/>
              <w:jc w:val="center"/>
              <w:textAlignment w:val="baseline"/>
              <w:rPr>
                <w:rFonts w:ascii="Arial" w:hAnsi="Arial" w:cs="Arial"/>
                <w:b/>
                <w:sz w:val="20"/>
                <w:szCs w:val="20"/>
              </w:rPr>
            </w:pPr>
            <w:r w:rsidRPr="00E62C66">
              <w:rPr>
                <w:rFonts w:ascii="Arial" w:hAnsi="Arial" w:cs="Arial"/>
                <w:b/>
                <w:sz w:val="20"/>
                <w:szCs w:val="20"/>
              </w:rPr>
              <w:t>Frequency of Response</w:t>
            </w:r>
          </w:p>
        </w:tc>
        <w:tc>
          <w:tcPr>
            <w:tcW w:w="1129" w:type="dxa"/>
            <w:tcBorders>
              <w:top w:val="single" w:sz="6" w:space="0" w:color="auto"/>
              <w:left w:val="nil"/>
              <w:bottom w:val="single" w:sz="6" w:space="0" w:color="auto"/>
              <w:right w:val="single" w:sz="6" w:space="0" w:color="auto"/>
            </w:tcBorders>
            <w:shd w:val="clear" w:color="auto" w:fill="auto"/>
            <w:hideMark/>
          </w:tcPr>
          <w:p w:rsidR="00E66FA4" w:rsidRPr="00E62C66" w:rsidP="00A808D0" w14:paraId="47B0E003" w14:textId="77777777">
            <w:pPr>
              <w:autoSpaceDE/>
              <w:autoSpaceDN/>
              <w:jc w:val="center"/>
              <w:textAlignment w:val="baseline"/>
              <w:rPr>
                <w:rFonts w:ascii="Arial" w:hAnsi="Arial" w:cs="Arial"/>
                <w:b/>
                <w:sz w:val="20"/>
                <w:szCs w:val="20"/>
              </w:rPr>
            </w:pPr>
            <w:r w:rsidRPr="00E62C66">
              <w:rPr>
                <w:rFonts w:ascii="Arial" w:hAnsi="Arial" w:cs="Arial"/>
                <w:b/>
                <w:sz w:val="20"/>
                <w:szCs w:val="20"/>
              </w:rPr>
              <w:t>Annual Responses</w:t>
            </w:r>
          </w:p>
          <w:p w:rsidR="00E66FA4" w:rsidRPr="00E62C66" w:rsidP="00A808D0" w14:paraId="678EB6AB" w14:textId="77777777">
            <w:pPr>
              <w:autoSpaceDE/>
              <w:autoSpaceDN/>
              <w:jc w:val="center"/>
              <w:textAlignment w:val="baseline"/>
              <w:rPr>
                <w:rFonts w:ascii="Arial" w:hAnsi="Arial" w:cs="Arial"/>
                <w:b/>
                <w:sz w:val="20"/>
                <w:szCs w:val="20"/>
              </w:rPr>
            </w:pPr>
            <w:r w:rsidRPr="00E62C66">
              <w:rPr>
                <w:rFonts w:ascii="Arial" w:hAnsi="Arial" w:cs="Arial"/>
                <w:b/>
                <w:sz w:val="20"/>
                <w:szCs w:val="20"/>
              </w:rPr>
              <w:t>(loans)</w:t>
            </w:r>
          </w:p>
        </w:tc>
        <w:tc>
          <w:tcPr>
            <w:tcW w:w="1216" w:type="dxa"/>
            <w:tcBorders>
              <w:top w:val="single" w:sz="6" w:space="0" w:color="auto"/>
              <w:left w:val="nil"/>
              <w:bottom w:val="single" w:sz="6" w:space="0" w:color="auto"/>
              <w:right w:val="single" w:sz="6" w:space="0" w:color="auto"/>
            </w:tcBorders>
            <w:shd w:val="clear" w:color="auto" w:fill="auto"/>
            <w:hideMark/>
          </w:tcPr>
          <w:p w:rsidR="00E66FA4" w:rsidRPr="00E62C66" w:rsidP="00A808D0" w14:paraId="6902A751" w14:textId="77777777">
            <w:pPr>
              <w:autoSpaceDE/>
              <w:autoSpaceDN/>
              <w:jc w:val="center"/>
              <w:textAlignment w:val="baseline"/>
              <w:rPr>
                <w:rFonts w:ascii="Arial" w:hAnsi="Arial" w:cs="Arial"/>
                <w:b/>
                <w:sz w:val="20"/>
                <w:szCs w:val="20"/>
              </w:rPr>
            </w:pPr>
            <w:r w:rsidRPr="00E62C66">
              <w:rPr>
                <w:rFonts w:ascii="Arial" w:hAnsi="Arial" w:cs="Arial"/>
                <w:b/>
                <w:sz w:val="20"/>
                <w:szCs w:val="20"/>
              </w:rPr>
              <w:t>Burden Hour per Response</w:t>
            </w:r>
          </w:p>
        </w:tc>
        <w:tc>
          <w:tcPr>
            <w:tcW w:w="1129" w:type="dxa"/>
            <w:tcBorders>
              <w:top w:val="single" w:sz="6" w:space="0" w:color="auto"/>
              <w:left w:val="nil"/>
              <w:bottom w:val="single" w:sz="6" w:space="0" w:color="auto"/>
              <w:right w:val="single" w:sz="6" w:space="0" w:color="auto"/>
            </w:tcBorders>
            <w:shd w:val="clear" w:color="auto" w:fill="auto"/>
            <w:hideMark/>
          </w:tcPr>
          <w:p w:rsidR="00E66FA4" w:rsidRPr="00E62C66" w:rsidP="00A808D0" w14:paraId="25D9CF87" w14:textId="77777777">
            <w:pPr>
              <w:autoSpaceDE/>
              <w:autoSpaceDN/>
              <w:jc w:val="center"/>
              <w:textAlignment w:val="baseline"/>
              <w:rPr>
                <w:rFonts w:ascii="Arial" w:hAnsi="Arial" w:cs="Arial"/>
                <w:b/>
                <w:sz w:val="20"/>
                <w:szCs w:val="20"/>
              </w:rPr>
            </w:pPr>
            <w:r w:rsidRPr="00E62C66">
              <w:rPr>
                <w:rFonts w:ascii="Arial" w:hAnsi="Arial" w:cs="Arial"/>
                <w:b/>
                <w:sz w:val="20"/>
                <w:szCs w:val="20"/>
              </w:rPr>
              <w:t>Annual Burden Hours</w:t>
            </w:r>
          </w:p>
        </w:tc>
        <w:tc>
          <w:tcPr>
            <w:tcW w:w="869" w:type="dxa"/>
            <w:tcBorders>
              <w:top w:val="single" w:sz="6" w:space="0" w:color="auto"/>
              <w:left w:val="nil"/>
              <w:bottom w:val="single" w:sz="6" w:space="0" w:color="auto"/>
              <w:right w:val="single" w:sz="6" w:space="0" w:color="auto"/>
            </w:tcBorders>
            <w:shd w:val="clear" w:color="auto" w:fill="auto"/>
            <w:hideMark/>
          </w:tcPr>
          <w:p w:rsidR="00E66FA4" w:rsidRPr="00E62C66" w:rsidP="00A808D0" w14:paraId="2FFB469C" w14:textId="77777777">
            <w:pPr>
              <w:autoSpaceDE/>
              <w:autoSpaceDN/>
              <w:jc w:val="center"/>
              <w:textAlignment w:val="baseline"/>
              <w:rPr>
                <w:rFonts w:ascii="Arial" w:hAnsi="Arial" w:cs="Arial"/>
                <w:b/>
                <w:sz w:val="20"/>
                <w:szCs w:val="20"/>
              </w:rPr>
            </w:pPr>
            <w:r w:rsidRPr="00E62C66">
              <w:rPr>
                <w:rFonts w:ascii="Arial" w:hAnsi="Arial" w:cs="Arial"/>
                <w:b/>
                <w:sz w:val="20"/>
                <w:szCs w:val="20"/>
              </w:rPr>
              <w:t>Hourly Cost</w:t>
            </w:r>
            <w:r w:rsidRPr="00370A58">
              <w:rPr>
                <w:rFonts w:ascii="Arial" w:hAnsi="Arial" w:cs="Arial"/>
                <w:b/>
                <w:sz w:val="20"/>
                <w:szCs w:val="20"/>
                <w:vertAlign w:val="superscript"/>
              </w:rPr>
              <w:t>2</w:t>
            </w:r>
          </w:p>
        </w:tc>
        <w:tc>
          <w:tcPr>
            <w:tcW w:w="1744" w:type="dxa"/>
            <w:tcBorders>
              <w:top w:val="single" w:sz="6" w:space="0" w:color="auto"/>
              <w:left w:val="nil"/>
              <w:bottom w:val="single" w:sz="6" w:space="0" w:color="auto"/>
              <w:right w:val="single" w:sz="6" w:space="0" w:color="auto"/>
            </w:tcBorders>
            <w:shd w:val="clear" w:color="auto" w:fill="auto"/>
            <w:hideMark/>
          </w:tcPr>
          <w:p w:rsidR="00E66FA4" w:rsidRPr="00E62C66" w:rsidP="00A808D0" w14:paraId="55D09CF9" w14:textId="77777777">
            <w:pPr>
              <w:autoSpaceDE/>
              <w:autoSpaceDN/>
              <w:jc w:val="center"/>
              <w:textAlignment w:val="baseline"/>
              <w:rPr>
                <w:rFonts w:ascii="Arial" w:hAnsi="Arial" w:cs="Arial"/>
                <w:b/>
                <w:sz w:val="20"/>
                <w:szCs w:val="20"/>
              </w:rPr>
            </w:pPr>
            <w:r w:rsidRPr="00E62C66">
              <w:rPr>
                <w:rFonts w:ascii="Arial" w:hAnsi="Arial" w:cs="Arial"/>
                <w:b/>
                <w:sz w:val="20"/>
                <w:szCs w:val="20"/>
              </w:rPr>
              <w:t>Annual Cost</w:t>
            </w:r>
            <w:r w:rsidRPr="00370A58">
              <w:rPr>
                <w:rFonts w:ascii="Arial" w:hAnsi="Arial" w:cs="Arial"/>
                <w:b/>
                <w:sz w:val="20"/>
                <w:szCs w:val="20"/>
                <w:vertAlign w:val="superscript"/>
              </w:rPr>
              <w:t>3</w:t>
            </w:r>
          </w:p>
        </w:tc>
      </w:tr>
      <w:tr w14:paraId="12F79EF0" w14:textId="77777777" w:rsidTr="00A808D0">
        <w:tblPrEx>
          <w:tblW w:w="10170" w:type="dxa"/>
          <w:tblInd w:w="-368" w:type="dxa"/>
          <w:tblLayout w:type="fixed"/>
          <w:tblCellMar>
            <w:left w:w="0" w:type="dxa"/>
            <w:right w:w="0" w:type="dxa"/>
          </w:tblCellMar>
          <w:tblLook w:val="04A0"/>
        </w:tblPrEx>
        <w:tc>
          <w:tcPr>
            <w:tcW w:w="10170" w:type="dxa"/>
            <w:gridSpan w:val="7"/>
            <w:tcBorders>
              <w:top w:val="nil"/>
              <w:left w:val="single" w:sz="6" w:space="0" w:color="auto"/>
              <w:bottom w:val="single" w:sz="6" w:space="0" w:color="auto"/>
              <w:right w:val="single" w:sz="6" w:space="0" w:color="auto"/>
            </w:tcBorders>
            <w:shd w:val="clear" w:color="auto" w:fill="D9D9D9" w:themeFill="background1" w:themeFillShade="D9"/>
          </w:tcPr>
          <w:p w:rsidR="00E66FA4" w:rsidRPr="00B3296C" w:rsidP="00A808D0" w14:paraId="3572DF91" w14:textId="77777777">
            <w:pPr>
              <w:autoSpaceDE/>
              <w:autoSpaceDN/>
              <w:textAlignment w:val="baseline"/>
              <w:rPr>
                <w:rFonts w:ascii="Arial" w:hAnsi="Arial" w:cs="Arial"/>
                <w:sz w:val="20"/>
                <w:szCs w:val="20"/>
              </w:rPr>
            </w:pPr>
            <w:r>
              <w:rPr>
                <w:rFonts w:ascii="Arial" w:hAnsi="Arial" w:cs="Arial"/>
                <w:i/>
                <w:iCs/>
                <w:sz w:val="20"/>
                <w:szCs w:val="20"/>
              </w:rPr>
              <w:t>All Interest Rate Reduction Refinancing Loans</w:t>
            </w:r>
          </w:p>
        </w:tc>
      </w:tr>
      <w:tr w14:paraId="67E771EE" w14:textId="77777777" w:rsidTr="00A808D0">
        <w:tblPrEx>
          <w:tblW w:w="10170" w:type="dxa"/>
          <w:tblInd w:w="-368" w:type="dxa"/>
          <w:tblLayout w:type="fixed"/>
          <w:tblCellMar>
            <w:left w:w="0" w:type="dxa"/>
            <w:right w:w="0" w:type="dxa"/>
          </w:tblCellMar>
          <w:tblLook w:val="04A0"/>
        </w:tblPrEx>
        <w:tc>
          <w:tcPr>
            <w:tcW w:w="2953" w:type="dxa"/>
            <w:tcBorders>
              <w:top w:val="nil"/>
              <w:left w:val="single" w:sz="6" w:space="0" w:color="auto"/>
              <w:bottom w:val="single" w:sz="6" w:space="0" w:color="auto"/>
              <w:right w:val="single" w:sz="6" w:space="0" w:color="auto"/>
            </w:tcBorders>
            <w:shd w:val="clear" w:color="auto" w:fill="auto"/>
          </w:tcPr>
          <w:p w:rsidR="00E66FA4" w:rsidRPr="00B3296C" w:rsidP="00A808D0" w14:paraId="409907D2" w14:textId="77777777">
            <w:pPr>
              <w:autoSpaceDE/>
              <w:autoSpaceDN/>
              <w:textAlignment w:val="baseline"/>
              <w:rPr>
                <w:rFonts w:ascii="Arial" w:hAnsi="Arial" w:cs="Arial"/>
                <w:sz w:val="20"/>
                <w:szCs w:val="20"/>
              </w:rPr>
            </w:pPr>
            <w:r w:rsidRPr="00B3296C">
              <w:rPr>
                <w:rFonts w:ascii="Arial" w:hAnsi="Arial" w:cs="Arial"/>
                <w:sz w:val="20"/>
                <w:szCs w:val="20"/>
              </w:rPr>
              <w:t>VA Form 26-8923, IRRRL Worksheet (lenders)</w:t>
            </w:r>
          </w:p>
        </w:tc>
        <w:tc>
          <w:tcPr>
            <w:tcW w:w="1130" w:type="dxa"/>
            <w:tcBorders>
              <w:top w:val="nil"/>
              <w:left w:val="nil"/>
              <w:bottom w:val="single" w:sz="6" w:space="0" w:color="auto"/>
              <w:right w:val="single" w:sz="6" w:space="0" w:color="auto"/>
            </w:tcBorders>
            <w:shd w:val="clear" w:color="auto" w:fill="auto"/>
          </w:tcPr>
          <w:p w:rsidR="00E66FA4" w:rsidRPr="00B3296C" w:rsidP="00A808D0" w14:paraId="49CDEAB1" w14:textId="77777777">
            <w:pPr>
              <w:autoSpaceDE/>
              <w:autoSpaceDN/>
              <w:jc w:val="center"/>
              <w:textAlignment w:val="baseline"/>
              <w:rPr>
                <w:rFonts w:ascii="Arial" w:hAnsi="Arial" w:cs="Arial"/>
                <w:sz w:val="20"/>
                <w:szCs w:val="20"/>
              </w:rPr>
            </w:pPr>
            <w:r w:rsidRPr="00B3296C">
              <w:rPr>
                <w:rFonts w:ascii="Arial" w:hAnsi="Arial" w:cs="Arial"/>
                <w:sz w:val="20"/>
                <w:szCs w:val="20"/>
              </w:rPr>
              <w:t>1</w:t>
            </w:r>
          </w:p>
        </w:tc>
        <w:tc>
          <w:tcPr>
            <w:tcW w:w="1129" w:type="dxa"/>
            <w:tcBorders>
              <w:top w:val="nil"/>
              <w:left w:val="nil"/>
              <w:bottom w:val="single" w:sz="6" w:space="0" w:color="auto"/>
              <w:right w:val="single" w:sz="6" w:space="0" w:color="auto"/>
            </w:tcBorders>
            <w:shd w:val="clear" w:color="auto" w:fill="auto"/>
          </w:tcPr>
          <w:p w:rsidR="00E66FA4" w:rsidRPr="00B3296C" w:rsidP="00A808D0" w14:paraId="7BB15540" w14:textId="77777777">
            <w:pPr>
              <w:tabs>
                <w:tab w:val="left" w:pos="513"/>
                <w:tab w:val="center" w:pos="577"/>
              </w:tabs>
              <w:autoSpaceDE/>
              <w:autoSpaceDN/>
              <w:jc w:val="center"/>
              <w:textAlignment w:val="baseline"/>
              <w:rPr>
                <w:rFonts w:ascii="Arial" w:hAnsi="Arial" w:cs="Arial"/>
                <w:sz w:val="20"/>
                <w:szCs w:val="20"/>
              </w:rPr>
            </w:pPr>
            <w:r>
              <w:rPr>
                <w:rFonts w:ascii="Arial" w:hAnsi="Arial" w:cs="Arial"/>
                <w:sz w:val="20"/>
                <w:szCs w:val="20"/>
              </w:rPr>
              <w:t>173,193</w:t>
            </w:r>
          </w:p>
        </w:tc>
        <w:tc>
          <w:tcPr>
            <w:tcW w:w="1216" w:type="dxa"/>
            <w:tcBorders>
              <w:top w:val="nil"/>
              <w:left w:val="nil"/>
              <w:bottom w:val="single" w:sz="6" w:space="0" w:color="auto"/>
              <w:right w:val="single" w:sz="6" w:space="0" w:color="auto"/>
            </w:tcBorders>
            <w:shd w:val="clear" w:color="auto" w:fill="auto"/>
          </w:tcPr>
          <w:p w:rsidR="00E66FA4" w:rsidRPr="00B3296C" w:rsidP="00A808D0" w14:paraId="5D2066FE" w14:textId="77777777">
            <w:pPr>
              <w:autoSpaceDE/>
              <w:autoSpaceDN/>
              <w:jc w:val="center"/>
              <w:textAlignment w:val="baseline"/>
              <w:rPr>
                <w:rFonts w:ascii="Arial" w:hAnsi="Arial" w:cs="Arial"/>
                <w:sz w:val="20"/>
                <w:szCs w:val="20"/>
              </w:rPr>
            </w:pPr>
            <w:r w:rsidRPr="00B3296C">
              <w:rPr>
                <w:rFonts w:ascii="Arial" w:hAnsi="Arial" w:cs="Arial"/>
                <w:sz w:val="20"/>
                <w:szCs w:val="20"/>
              </w:rPr>
              <w:t>0.25</w:t>
            </w:r>
          </w:p>
          <w:p w:rsidR="00E66FA4" w:rsidRPr="00B3296C" w:rsidP="00A808D0" w14:paraId="3F1C0A18" w14:textId="77777777">
            <w:pPr>
              <w:autoSpaceDE/>
              <w:autoSpaceDN/>
              <w:jc w:val="center"/>
              <w:textAlignment w:val="baseline"/>
              <w:rPr>
                <w:rFonts w:ascii="Arial" w:hAnsi="Arial" w:cs="Arial"/>
                <w:sz w:val="20"/>
                <w:szCs w:val="20"/>
              </w:rPr>
            </w:pPr>
            <w:r w:rsidRPr="00B3296C">
              <w:rPr>
                <w:rFonts w:ascii="Arial" w:hAnsi="Arial" w:cs="Arial"/>
                <w:sz w:val="20"/>
                <w:szCs w:val="20"/>
              </w:rPr>
              <w:t>(15 min)</w:t>
            </w:r>
          </w:p>
        </w:tc>
        <w:tc>
          <w:tcPr>
            <w:tcW w:w="1129" w:type="dxa"/>
            <w:tcBorders>
              <w:top w:val="nil"/>
              <w:left w:val="nil"/>
              <w:bottom w:val="single" w:sz="6" w:space="0" w:color="auto"/>
              <w:right w:val="single" w:sz="6" w:space="0" w:color="auto"/>
            </w:tcBorders>
            <w:shd w:val="clear" w:color="auto" w:fill="auto"/>
          </w:tcPr>
          <w:p w:rsidR="00E66FA4" w:rsidRPr="00B3296C" w:rsidP="00A808D0" w14:paraId="31BC232C" w14:textId="77777777">
            <w:pPr>
              <w:autoSpaceDE/>
              <w:autoSpaceDN/>
              <w:jc w:val="center"/>
              <w:textAlignment w:val="baseline"/>
              <w:rPr>
                <w:rFonts w:ascii="Arial" w:hAnsi="Arial" w:cs="Arial"/>
                <w:sz w:val="20"/>
                <w:szCs w:val="20"/>
              </w:rPr>
            </w:pPr>
            <w:r>
              <w:rPr>
                <w:rFonts w:ascii="Arial" w:hAnsi="Arial" w:cs="Arial"/>
                <w:sz w:val="20"/>
                <w:szCs w:val="20"/>
              </w:rPr>
              <w:t>43,298</w:t>
            </w:r>
          </w:p>
        </w:tc>
        <w:tc>
          <w:tcPr>
            <w:tcW w:w="869" w:type="dxa"/>
            <w:tcBorders>
              <w:top w:val="nil"/>
              <w:left w:val="nil"/>
              <w:bottom w:val="single" w:sz="6" w:space="0" w:color="auto"/>
              <w:right w:val="single" w:sz="6" w:space="0" w:color="auto"/>
            </w:tcBorders>
            <w:shd w:val="clear" w:color="auto" w:fill="auto"/>
          </w:tcPr>
          <w:p w:rsidR="00E66FA4" w:rsidRPr="00B3296C" w:rsidP="00A808D0" w14:paraId="199E0A68" w14:textId="77777777">
            <w:pPr>
              <w:autoSpaceDE/>
              <w:autoSpaceDN/>
              <w:jc w:val="center"/>
              <w:textAlignment w:val="baseline"/>
              <w:rPr>
                <w:rFonts w:ascii="Arial" w:hAnsi="Arial" w:cs="Arial"/>
                <w:sz w:val="20"/>
                <w:szCs w:val="20"/>
              </w:rPr>
            </w:pPr>
            <w:r w:rsidRPr="00B3296C">
              <w:rPr>
                <w:rFonts w:ascii="Arial" w:hAnsi="Arial" w:cs="Arial"/>
                <w:sz w:val="20"/>
                <w:szCs w:val="20"/>
              </w:rPr>
              <w:t>$36.99</w:t>
            </w:r>
          </w:p>
        </w:tc>
        <w:tc>
          <w:tcPr>
            <w:tcW w:w="1744" w:type="dxa"/>
            <w:tcBorders>
              <w:top w:val="nil"/>
              <w:left w:val="nil"/>
              <w:bottom w:val="single" w:sz="6" w:space="0" w:color="auto"/>
              <w:right w:val="single" w:sz="6" w:space="0" w:color="auto"/>
            </w:tcBorders>
            <w:shd w:val="clear" w:color="auto" w:fill="auto"/>
          </w:tcPr>
          <w:p w:rsidR="00E66FA4" w:rsidRPr="00B3296C" w:rsidP="00A808D0" w14:paraId="5F01ECD4" w14:textId="77777777">
            <w:pPr>
              <w:autoSpaceDE/>
              <w:autoSpaceDN/>
              <w:jc w:val="center"/>
              <w:textAlignment w:val="baseline"/>
              <w:rPr>
                <w:rFonts w:ascii="Arial" w:hAnsi="Arial" w:cs="Arial"/>
                <w:sz w:val="20"/>
                <w:szCs w:val="20"/>
              </w:rPr>
            </w:pPr>
            <w:r>
              <w:rPr>
                <w:rFonts w:ascii="Arial" w:hAnsi="Arial" w:cs="Arial"/>
                <w:sz w:val="20"/>
                <w:szCs w:val="20"/>
              </w:rPr>
              <w:t>$1,601,606</w:t>
            </w:r>
          </w:p>
        </w:tc>
      </w:tr>
      <w:tr w14:paraId="296925EE" w14:textId="77777777" w:rsidTr="00A808D0">
        <w:tblPrEx>
          <w:tblW w:w="10170" w:type="dxa"/>
          <w:tblInd w:w="-368" w:type="dxa"/>
          <w:tblLayout w:type="fixed"/>
          <w:tblCellMar>
            <w:left w:w="0" w:type="dxa"/>
            <w:right w:w="0" w:type="dxa"/>
          </w:tblCellMar>
          <w:tblLook w:val="04A0"/>
        </w:tblPrEx>
        <w:tc>
          <w:tcPr>
            <w:tcW w:w="2953" w:type="dxa"/>
            <w:tcBorders>
              <w:top w:val="nil"/>
              <w:left w:val="single" w:sz="6" w:space="0" w:color="auto"/>
              <w:bottom w:val="single" w:sz="6" w:space="0" w:color="auto"/>
              <w:right w:val="single" w:sz="6" w:space="0" w:color="auto"/>
            </w:tcBorders>
            <w:shd w:val="clear" w:color="auto" w:fill="auto"/>
          </w:tcPr>
          <w:p w:rsidR="00E66FA4" w:rsidRPr="00B3296C" w:rsidP="00A808D0" w14:paraId="350AAD66" w14:textId="77777777">
            <w:pPr>
              <w:autoSpaceDE/>
              <w:autoSpaceDN/>
              <w:textAlignment w:val="baseline"/>
              <w:rPr>
                <w:rFonts w:ascii="Arial" w:hAnsi="Arial" w:cs="Arial"/>
                <w:sz w:val="20"/>
                <w:szCs w:val="20"/>
              </w:rPr>
            </w:pPr>
            <w:r>
              <w:rPr>
                <w:rFonts w:ascii="Arial" w:hAnsi="Arial" w:cs="Arial"/>
                <w:sz w:val="20"/>
                <w:szCs w:val="20"/>
              </w:rPr>
              <w:t>VA Form 26-XXXX, IRRRL Comparison Disclosure (lenders)</w:t>
            </w:r>
          </w:p>
        </w:tc>
        <w:tc>
          <w:tcPr>
            <w:tcW w:w="1130" w:type="dxa"/>
            <w:tcBorders>
              <w:top w:val="nil"/>
              <w:left w:val="nil"/>
              <w:bottom w:val="single" w:sz="6" w:space="0" w:color="auto"/>
              <w:right w:val="single" w:sz="6" w:space="0" w:color="auto"/>
            </w:tcBorders>
            <w:shd w:val="clear" w:color="auto" w:fill="auto"/>
          </w:tcPr>
          <w:p w:rsidR="00E66FA4" w:rsidRPr="00B3296C" w:rsidP="00A808D0" w14:paraId="75AAF825" w14:textId="77777777">
            <w:pPr>
              <w:autoSpaceDE/>
              <w:autoSpaceDN/>
              <w:jc w:val="center"/>
              <w:textAlignment w:val="baseline"/>
              <w:rPr>
                <w:rFonts w:ascii="Arial" w:hAnsi="Arial" w:cs="Arial"/>
                <w:sz w:val="20"/>
                <w:szCs w:val="20"/>
              </w:rPr>
            </w:pPr>
            <w:r>
              <w:rPr>
                <w:rFonts w:ascii="Arial" w:hAnsi="Arial" w:cs="Arial"/>
                <w:sz w:val="20"/>
                <w:szCs w:val="20"/>
              </w:rPr>
              <w:t>1</w:t>
            </w:r>
          </w:p>
        </w:tc>
        <w:tc>
          <w:tcPr>
            <w:tcW w:w="1129" w:type="dxa"/>
            <w:tcBorders>
              <w:top w:val="nil"/>
              <w:left w:val="nil"/>
              <w:bottom w:val="single" w:sz="6" w:space="0" w:color="auto"/>
              <w:right w:val="single" w:sz="6" w:space="0" w:color="auto"/>
            </w:tcBorders>
            <w:shd w:val="clear" w:color="auto" w:fill="auto"/>
          </w:tcPr>
          <w:p w:rsidR="00E66FA4" w:rsidP="00A808D0" w14:paraId="3AFE9855" w14:textId="77777777">
            <w:pPr>
              <w:tabs>
                <w:tab w:val="left" w:pos="513"/>
                <w:tab w:val="center" w:pos="577"/>
              </w:tabs>
              <w:autoSpaceDE/>
              <w:autoSpaceDN/>
              <w:jc w:val="center"/>
              <w:textAlignment w:val="baseline"/>
              <w:rPr>
                <w:rFonts w:ascii="Arial" w:hAnsi="Arial" w:cs="Arial"/>
                <w:sz w:val="20"/>
                <w:szCs w:val="20"/>
              </w:rPr>
            </w:pPr>
            <w:r>
              <w:rPr>
                <w:rFonts w:ascii="Arial" w:hAnsi="Arial" w:cs="Arial"/>
                <w:sz w:val="20"/>
                <w:szCs w:val="20"/>
              </w:rPr>
              <w:t>173,193</w:t>
            </w:r>
          </w:p>
        </w:tc>
        <w:tc>
          <w:tcPr>
            <w:tcW w:w="1216" w:type="dxa"/>
            <w:tcBorders>
              <w:top w:val="nil"/>
              <w:left w:val="nil"/>
              <w:bottom w:val="single" w:sz="6" w:space="0" w:color="auto"/>
              <w:right w:val="single" w:sz="6" w:space="0" w:color="auto"/>
            </w:tcBorders>
            <w:shd w:val="clear" w:color="auto" w:fill="auto"/>
          </w:tcPr>
          <w:p w:rsidR="00E66FA4" w:rsidP="00A808D0" w14:paraId="5426B624" w14:textId="77777777">
            <w:pPr>
              <w:autoSpaceDE/>
              <w:autoSpaceDN/>
              <w:jc w:val="center"/>
              <w:textAlignment w:val="baseline"/>
              <w:rPr>
                <w:rFonts w:ascii="Arial" w:hAnsi="Arial" w:cs="Arial"/>
                <w:sz w:val="20"/>
                <w:szCs w:val="20"/>
              </w:rPr>
            </w:pPr>
            <w:r>
              <w:rPr>
                <w:rFonts w:ascii="Arial" w:hAnsi="Arial" w:cs="Arial"/>
                <w:sz w:val="20"/>
                <w:szCs w:val="20"/>
              </w:rPr>
              <w:t>0.167</w:t>
            </w:r>
          </w:p>
          <w:p w:rsidR="00E66FA4" w:rsidRPr="00B3296C" w:rsidP="00A808D0" w14:paraId="6C2664EF" w14:textId="77777777">
            <w:pPr>
              <w:autoSpaceDE/>
              <w:autoSpaceDN/>
              <w:jc w:val="center"/>
              <w:textAlignment w:val="baseline"/>
              <w:rPr>
                <w:rFonts w:ascii="Arial" w:hAnsi="Arial" w:cs="Arial"/>
                <w:sz w:val="20"/>
                <w:szCs w:val="20"/>
              </w:rPr>
            </w:pPr>
            <w:r>
              <w:rPr>
                <w:rFonts w:ascii="Arial" w:hAnsi="Arial" w:cs="Arial"/>
                <w:sz w:val="20"/>
                <w:szCs w:val="20"/>
              </w:rPr>
              <w:t>(10 min)</w:t>
            </w:r>
            <w:r w:rsidRPr="00370A58">
              <w:rPr>
                <w:rFonts w:ascii="Arial" w:hAnsi="Arial" w:cs="Arial"/>
                <w:sz w:val="20"/>
                <w:szCs w:val="20"/>
                <w:vertAlign w:val="superscript"/>
              </w:rPr>
              <w:t>1</w:t>
            </w:r>
          </w:p>
        </w:tc>
        <w:tc>
          <w:tcPr>
            <w:tcW w:w="1129" w:type="dxa"/>
            <w:tcBorders>
              <w:top w:val="nil"/>
              <w:left w:val="nil"/>
              <w:bottom w:val="single" w:sz="6" w:space="0" w:color="auto"/>
              <w:right w:val="single" w:sz="6" w:space="0" w:color="auto"/>
            </w:tcBorders>
            <w:shd w:val="clear" w:color="auto" w:fill="auto"/>
          </w:tcPr>
          <w:p w:rsidR="00E66FA4" w:rsidP="00A808D0" w14:paraId="17FB0735" w14:textId="77777777">
            <w:pPr>
              <w:autoSpaceDE/>
              <w:autoSpaceDN/>
              <w:jc w:val="center"/>
              <w:textAlignment w:val="baseline"/>
              <w:rPr>
                <w:rFonts w:ascii="Arial" w:hAnsi="Arial" w:cs="Arial"/>
                <w:sz w:val="20"/>
                <w:szCs w:val="20"/>
              </w:rPr>
            </w:pPr>
            <w:r>
              <w:rPr>
                <w:rFonts w:ascii="Arial" w:hAnsi="Arial" w:cs="Arial"/>
                <w:sz w:val="20"/>
                <w:szCs w:val="20"/>
              </w:rPr>
              <w:t>28,866</w:t>
            </w:r>
          </w:p>
        </w:tc>
        <w:tc>
          <w:tcPr>
            <w:tcW w:w="869" w:type="dxa"/>
            <w:tcBorders>
              <w:top w:val="nil"/>
              <w:left w:val="nil"/>
              <w:bottom w:val="single" w:sz="6" w:space="0" w:color="auto"/>
              <w:right w:val="single" w:sz="6" w:space="0" w:color="auto"/>
            </w:tcBorders>
            <w:shd w:val="clear" w:color="auto" w:fill="auto"/>
          </w:tcPr>
          <w:p w:rsidR="00E66FA4" w:rsidRPr="00B3296C" w:rsidP="00A808D0" w14:paraId="145042C4" w14:textId="77777777">
            <w:pPr>
              <w:autoSpaceDE/>
              <w:autoSpaceDN/>
              <w:jc w:val="center"/>
              <w:textAlignment w:val="baseline"/>
              <w:rPr>
                <w:rFonts w:ascii="Arial" w:hAnsi="Arial" w:cs="Arial"/>
                <w:sz w:val="20"/>
                <w:szCs w:val="20"/>
              </w:rPr>
            </w:pPr>
            <w:r>
              <w:rPr>
                <w:rFonts w:ascii="Arial" w:hAnsi="Arial" w:cs="Arial"/>
                <w:sz w:val="20"/>
                <w:szCs w:val="20"/>
              </w:rPr>
              <w:t>$36.99</w:t>
            </w:r>
          </w:p>
        </w:tc>
        <w:tc>
          <w:tcPr>
            <w:tcW w:w="1744" w:type="dxa"/>
            <w:tcBorders>
              <w:top w:val="nil"/>
              <w:left w:val="nil"/>
              <w:bottom w:val="single" w:sz="6" w:space="0" w:color="auto"/>
              <w:right w:val="single" w:sz="6" w:space="0" w:color="auto"/>
            </w:tcBorders>
            <w:shd w:val="clear" w:color="auto" w:fill="auto"/>
          </w:tcPr>
          <w:p w:rsidR="00E66FA4" w:rsidP="00A808D0" w14:paraId="661E09C1" w14:textId="77777777">
            <w:pPr>
              <w:autoSpaceDE/>
              <w:autoSpaceDN/>
              <w:jc w:val="center"/>
              <w:textAlignment w:val="baseline"/>
              <w:rPr>
                <w:rFonts w:ascii="Arial" w:hAnsi="Arial" w:cs="Arial"/>
                <w:sz w:val="20"/>
                <w:szCs w:val="20"/>
              </w:rPr>
            </w:pPr>
            <w:r>
              <w:rPr>
                <w:rFonts w:ascii="Arial" w:hAnsi="Arial" w:cs="Arial"/>
                <w:sz w:val="20"/>
                <w:szCs w:val="20"/>
              </w:rPr>
              <w:t>$1,067,737</w:t>
            </w:r>
          </w:p>
        </w:tc>
      </w:tr>
      <w:tr w14:paraId="357D18F7" w14:textId="77777777" w:rsidTr="00A808D0">
        <w:tblPrEx>
          <w:tblW w:w="10170" w:type="dxa"/>
          <w:tblInd w:w="-368" w:type="dxa"/>
          <w:tblLayout w:type="fixed"/>
          <w:tblCellMar>
            <w:left w:w="0" w:type="dxa"/>
            <w:right w:w="0" w:type="dxa"/>
          </w:tblCellMar>
          <w:tblLook w:val="04A0"/>
        </w:tblPrEx>
        <w:tc>
          <w:tcPr>
            <w:tcW w:w="2953" w:type="dxa"/>
            <w:tcBorders>
              <w:top w:val="nil"/>
              <w:left w:val="single" w:sz="6" w:space="0" w:color="auto"/>
              <w:bottom w:val="single" w:sz="6" w:space="0" w:color="auto"/>
              <w:right w:val="single" w:sz="6" w:space="0" w:color="auto"/>
            </w:tcBorders>
            <w:shd w:val="clear" w:color="auto" w:fill="auto"/>
          </w:tcPr>
          <w:p w:rsidR="00E66FA4" w:rsidRPr="00B3296C" w:rsidP="00A808D0" w14:paraId="41E0D5C1" w14:textId="77777777">
            <w:pPr>
              <w:autoSpaceDE/>
              <w:autoSpaceDN/>
              <w:textAlignment w:val="baseline"/>
              <w:rPr>
                <w:rFonts w:ascii="Arial" w:hAnsi="Arial" w:cs="Arial"/>
                <w:sz w:val="20"/>
                <w:szCs w:val="20"/>
              </w:rPr>
            </w:pPr>
            <w:r w:rsidRPr="00B3296C">
              <w:rPr>
                <w:rFonts w:ascii="Arial" w:hAnsi="Arial" w:cs="Arial"/>
                <w:sz w:val="20"/>
                <w:szCs w:val="20"/>
              </w:rPr>
              <w:t>VA Form 26-XXXX, IRRRL Comparison Disclosure</w:t>
            </w:r>
            <w:r>
              <w:rPr>
                <w:rFonts w:ascii="Arial" w:hAnsi="Arial" w:cs="Arial"/>
                <w:sz w:val="20"/>
                <w:szCs w:val="20"/>
              </w:rPr>
              <w:t xml:space="preserve"> </w:t>
            </w:r>
            <w:r w:rsidRPr="00B3296C">
              <w:rPr>
                <w:rFonts w:ascii="Arial" w:hAnsi="Arial" w:cs="Arial"/>
                <w:sz w:val="20"/>
                <w:szCs w:val="20"/>
              </w:rPr>
              <w:t>(Veterans)</w:t>
            </w:r>
          </w:p>
        </w:tc>
        <w:tc>
          <w:tcPr>
            <w:tcW w:w="1130" w:type="dxa"/>
            <w:tcBorders>
              <w:top w:val="nil"/>
              <w:left w:val="nil"/>
              <w:bottom w:val="single" w:sz="6" w:space="0" w:color="auto"/>
              <w:right w:val="single" w:sz="6" w:space="0" w:color="auto"/>
            </w:tcBorders>
            <w:shd w:val="clear" w:color="auto" w:fill="auto"/>
          </w:tcPr>
          <w:p w:rsidR="00E66FA4" w:rsidRPr="00B3296C" w:rsidP="00A808D0" w14:paraId="69753317" w14:textId="77777777">
            <w:pPr>
              <w:autoSpaceDE/>
              <w:autoSpaceDN/>
              <w:jc w:val="center"/>
              <w:textAlignment w:val="baseline"/>
              <w:rPr>
                <w:rFonts w:ascii="Arial" w:hAnsi="Arial" w:cs="Arial"/>
                <w:sz w:val="20"/>
                <w:szCs w:val="20"/>
              </w:rPr>
            </w:pPr>
            <w:r w:rsidRPr="00B3296C">
              <w:rPr>
                <w:rFonts w:ascii="Arial" w:hAnsi="Arial" w:cs="Arial"/>
                <w:sz w:val="20"/>
                <w:szCs w:val="20"/>
              </w:rPr>
              <w:t>1</w:t>
            </w:r>
          </w:p>
        </w:tc>
        <w:tc>
          <w:tcPr>
            <w:tcW w:w="1129" w:type="dxa"/>
            <w:tcBorders>
              <w:top w:val="nil"/>
              <w:left w:val="nil"/>
              <w:bottom w:val="single" w:sz="6" w:space="0" w:color="auto"/>
              <w:right w:val="single" w:sz="6" w:space="0" w:color="auto"/>
            </w:tcBorders>
            <w:shd w:val="clear" w:color="auto" w:fill="auto"/>
          </w:tcPr>
          <w:p w:rsidR="00E66FA4" w:rsidRPr="004950E1" w:rsidP="00A808D0" w14:paraId="5035DB5C" w14:textId="77777777">
            <w:pPr>
              <w:autoSpaceDE/>
              <w:autoSpaceDN/>
              <w:jc w:val="center"/>
              <w:textAlignment w:val="baseline"/>
              <w:rPr>
                <w:rFonts w:ascii="Arial" w:hAnsi="Arial" w:cs="Arial"/>
                <w:sz w:val="20"/>
                <w:szCs w:val="20"/>
              </w:rPr>
            </w:pPr>
            <w:r>
              <w:rPr>
                <w:rFonts w:ascii="Arial" w:hAnsi="Arial" w:cs="Arial"/>
                <w:sz w:val="20"/>
                <w:szCs w:val="20"/>
              </w:rPr>
              <w:t>173,193</w:t>
            </w:r>
          </w:p>
        </w:tc>
        <w:tc>
          <w:tcPr>
            <w:tcW w:w="1216" w:type="dxa"/>
            <w:tcBorders>
              <w:top w:val="nil"/>
              <w:left w:val="nil"/>
              <w:bottom w:val="single" w:sz="6" w:space="0" w:color="auto"/>
              <w:right w:val="single" w:sz="6" w:space="0" w:color="auto"/>
            </w:tcBorders>
            <w:shd w:val="clear" w:color="auto" w:fill="auto"/>
          </w:tcPr>
          <w:p w:rsidR="00E66FA4" w:rsidRPr="00B3296C" w:rsidP="00A808D0" w14:paraId="3D2D48BD" w14:textId="77777777">
            <w:pPr>
              <w:autoSpaceDE/>
              <w:autoSpaceDN/>
              <w:jc w:val="center"/>
              <w:textAlignment w:val="baseline"/>
              <w:rPr>
                <w:rFonts w:ascii="Arial" w:hAnsi="Arial" w:cs="Arial"/>
                <w:sz w:val="20"/>
                <w:szCs w:val="20"/>
              </w:rPr>
            </w:pPr>
            <w:r w:rsidRPr="00B3296C">
              <w:rPr>
                <w:rFonts w:ascii="Arial" w:hAnsi="Arial" w:cs="Arial"/>
                <w:sz w:val="20"/>
                <w:szCs w:val="20"/>
              </w:rPr>
              <w:t>0.083</w:t>
            </w:r>
          </w:p>
          <w:p w:rsidR="00E66FA4" w:rsidRPr="00B3296C" w:rsidP="00A808D0" w14:paraId="0D4C5F38" w14:textId="77777777">
            <w:pPr>
              <w:autoSpaceDE/>
              <w:autoSpaceDN/>
              <w:jc w:val="center"/>
              <w:textAlignment w:val="baseline"/>
              <w:rPr>
                <w:rFonts w:ascii="Arial" w:hAnsi="Arial" w:cs="Arial"/>
                <w:sz w:val="20"/>
                <w:szCs w:val="20"/>
              </w:rPr>
            </w:pPr>
            <w:r w:rsidRPr="00B3296C">
              <w:rPr>
                <w:rFonts w:ascii="Arial" w:hAnsi="Arial" w:cs="Arial"/>
                <w:sz w:val="20"/>
                <w:szCs w:val="20"/>
              </w:rPr>
              <w:t>(5 min)</w:t>
            </w:r>
          </w:p>
        </w:tc>
        <w:tc>
          <w:tcPr>
            <w:tcW w:w="1129" w:type="dxa"/>
            <w:tcBorders>
              <w:top w:val="nil"/>
              <w:left w:val="nil"/>
              <w:bottom w:val="single" w:sz="6" w:space="0" w:color="auto"/>
              <w:right w:val="single" w:sz="6" w:space="0" w:color="auto"/>
            </w:tcBorders>
            <w:shd w:val="clear" w:color="auto" w:fill="auto"/>
          </w:tcPr>
          <w:p w:rsidR="00E66FA4" w:rsidRPr="00B3296C" w:rsidP="00A808D0" w14:paraId="45ED91AE" w14:textId="77777777">
            <w:pPr>
              <w:autoSpaceDE/>
              <w:autoSpaceDN/>
              <w:jc w:val="center"/>
              <w:textAlignment w:val="baseline"/>
              <w:rPr>
                <w:rFonts w:ascii="Arial" w:hAnsi="Arial" w:cs="Arial"/>
                <w:sz w:val="20"/>
                <w:szCs w:val="20"/>
              </w:rPr>
            </w:pPr>
            <w:r>
              <w:rPr>
                <w:rFonts w:ascii="Arial" w:hAnsi="Arial" w:cs="Arial"/>
                <w:sz w:val="20"/>
                <w:szCs w:val="20"/>
              </w:rPr>
              <w:t>14,433</w:t>
            </w:r>
          </w:p>
        </w:tc>
        <w:tc>
          <w:tcPr>
            <w:tcW w:w="869" w:type="dxa"/>
            <w:tcBorders>
              <w:top w:val="nil"/>
              <w:left w:val="nil"/>
              <w:bottom w:val="single" w:sz="6" w:space="0" w:color="auto"/>
              <w:right w:val="single" w:sz="6" w:space="0" w:color="auto"/>
            </w:tcBorders>
            <w:shd w:val="clear" w:color="auto" w:fill="auto"/>
          </w:tcPr>
          <w:p w:rsidR="00E66FA4" w:rsidRPr="00B3296C" w:rsidP="00A808D0" w14:paraId="45FA8BBD" w14:textId="77777777">
            <w:pPr>
              <w:autoSpaceDE/>
              <w:autoSpaceDN/>
              <w:jc w:val="center"/>
              <w:textAlignment w:val="baseline"/>
              <w:rPr>
                <w:rFonts w:ascii="Arial" w:hAnsi="Arial" w:cs="Arial"/>
                <w:sz w:val="20"/>
                <w:szCs w:val="20"/>
              </w:rPr>
            </w:pPr>
            <w:r w:rsidRPr="00B3296C">
              <w:rPr>
                <w:rFonts w:ascii="Arial" w:hAnsi="Arial" w:cs="Arial"/>
                <w:sz w:val="20"/>
                <w:szCs w:val="20"/>
              </w:rPr>
              <w:t>$27.07</w:t>
            </w:r>
          </w:p>
        </w:tc>
        <w:tc>
          <w:tcPr>
            <w:tcW w:w="1744" w:type="dxa"/>
            <w:tcBorders>
              <w:top w:val="nil"/>
              <w:left w:val="nil"/>
              <w:bottom w:val="single" w:sz="6" w:space="0" w:color="auto"/>
              <w:right w:val="single" w:sz="6" w:space="0" w:color="auto"/>
            </w:tcBorders>
            <w:shd w:val="clear" w:color="auto" w:fill="auto"/>
          </w:tcPr>
          <w:p w:rsidR="00E66FA4" w:rsidRPr="00B3296C" w:rsidP="00A808D0" w14:paraId="37CFAF19" w14:textId="77777777">
            <w:pPr>
              <w:autoSpaceDE/>
              <w:autoSpaceDN/>
              <w:jc w:val="center"/>
              <w:textAlignment w:val="baseline"/>
              <w:rPr>
                <w:rFonts w:ascii="Arial" w:hAnsi="Arial" w:cs="Arial"/>
                <w:sz w:val="20"/>
                <w:szCs w:val="20"/>
              </w:rPr>
            </w:pPr>
            <w:r>
              <w:rPr>
                <w:rFonts w:ascii="Arial" w:hAnsi="Arial" w:cs="Arial"/>
                <w:sz w:val="20"/>
                <w:szCs w:val="20"/>
              </w:rPr>
              <w:t>$390,695</w:t>
            </w:r>
          </w:p>
        </w:tc>
      </w:tr>
      <w:tr w14:paraId="24069ED6" w14:textId="77777777" w:rsidTr="00A808D0">
        <w:tblPrEx>
          <w:tblW w:w="10170" w:type="dxa"/>
          <w:tblInd w:w="-368" w:type="dxa"/>
          <w:tblLayout w:type="fixed"/>
          <w:tblCellMar>
            <w:left w:w="0" w:type="dxa"/>
            <w:right w:w="0" w:type="dxa"/>
          </w:tblCellMar>
          <w:tblLook w:val="04A0"/>
        </w:tblPrEx>
        <w:tc>
          <w:tcPr>
            <w:tcW w:w="10170" w:type="dxa"/>
            <w:gridSpan w:val="7"/>
            <w:tcBorders>
              <w:top w:val="nil"/>
              <w:left w:val="single" w:sz="6" w:space="0" w:color="auto"/>
              <w:bottom w:val="single" w:sz="6" w:space="0" w:color="auto"/>
              <w:right w:val="single" w:sz="6" w:space="0" w:color="auto"/>
            </w:tcBorders>
            <w:shd w:val="clear" w:color="auto" w:fill="BFBFBF" w:themeFill="background1" w:themeFillShade="BF"/>
          </w:tcPr>
          <w:p w:rsidR="00E66FA4" w:rsidRPr="00B3296C" w:rsidP="00A808D0" w14:paraId="1B338F21" w14:textId="77777777">
            <w:pPr>
              <w:autoSpaceDE/>
              <w:autoSpaceDN/>
              <w:textAlignment w:val="baseline"/>
              <w:rPr>
                <w:rFonts w:ascii="Arial" w:hAnsi="Arial" w:cs="Arial"/>
                <w:i/>
                <w:sz w:val="20"/>
                <w:szCs w:val="20"/>
              </w:rPr>
            </w:pPr>
            <w:r w:rsidRPr="00B3296C">
              <w:rPr>
                <w:rFonts w:ascii="Arial" w:hAnsi="Arial" w:cs="Arial"/>
                <w:i/>
                <w:sz w:val="20"/>
                <w:szCs w:val="20"/>
              </w:rPr>
              <w:t xml:space="preserve">Additional Burden for Delinquent Loans </w:t>
            </w:r>
            <w:r>
              <w:rPr>
                <w:rFonts w:ascii="Arial" w:hAnsi="Arial" w:cs="Arial"/>
                <w:i/>
                <w:iCs/>
                <w:sz w:val="20"/>
                <w:szCs w:val="20"/>
              </w:rPr>
              <w:t>(subset of all IRRRLs)</w:t>
            </w:r>
          </w:p>
        </w:tc>
      </w:tr>
      <w:tr w14:paraId="59C506D8" w14:textId="77777777" w:rsidTr="00A808D0">
        <w:tblPrEx>
          <w:tblW w:w="10170" w:type="dxa"/>
          <w:tblInd w:w="-368" w:type="dxa"/>
          <w:tblLayout w:type="fixed"/>
          <w:tblCellMar>
            <w:left w:w="0" w:type="dxa"/>
            <w:right w:w="0" w:type="dxa"/>
          </w:tblCellMar>
          <w:tblLook w:val="04A0"/>
        </w:tblPrEx>
        <w:tc>
          <w:tcPr>
            <w:tcW w:w="2953" w:type="dxa"/>
            <w:tcBorders>
              <w:top w:val="nil"/>
              <w:left w:val="single" w:sz="6" w:space="0" w:color="auto"/>
              <w:bottom w:val="single" w:sz="6" w:space="0" w:color="auto"/>
              <w:right w:val="single" w:sz="6" w:space="0" w:color="auto"/>
            </w:tcBorders>
            <w:shd w:val="clear" w:color="auto" w:fill="auto"/>
            <w:hideMark/>
          </w:tcPr>
          <w:p w:rsidR="00E66FA4" w:rsidRPr="00B3296C" w:rsidP="00A808D0" w14:paraId="2D0833E9" w14:textId="77777777">
            <w:pPr>
              <w:autoSpaceDE/>
              <w:autoSpaceDN/>
              <w:textAlignment w:val="baseline"/>
              <w:rPr>
                <w:rFonts w:ascii="Arial" w:hAnsi="Arial" w:cs="Arial"/>
                <w:sz w:val="20"/>
                <w:szCs w:val="20"/>
              </w:rPr>
            </w:pPr>
            <w:r w:rsidRPr="00B3296C">
              <w:rPr>
                <w:rFonts w:ascii="Arial" w:hAnsi="Arial" w:cs="Arial"/>
                <w:sz w:val="20"/>
                <w:szCs w:val="20"/>
              </w:rPr>
              <w:t>Information regarding delinquency (Veterans)</w:t>
            </w:r>
          </w:p>
        </w:tc>
        <w:tc>
          <w:tcPr>
            <w:tcW w:w="1130" w:type="dxa"/>
            <w:tcBorders>
              <w:top w:val="nil"/>
              <w:left w:val="nil"/>
              <w:bottom w:val="single" w:sz="6" w:space="0" w:color="auto"/>
              <w:right w:val="single" w:sz="6" w:space="0" w:color="auto"/>
            </w:tcBorders>
            <w:shd w:val="clear" w:color="auto" w:fill="auto"/>
            <w:hideMark/>
          </w:tcPr>
          <w:p w:rsidR="00E66FA4" w:rsidRPr="00B3296C" w:rsidP="00A808D0" w14:paraId="2EBC4604" w14:textId="77777777">
            <w:pPr>
              <w:autoSpaceDE/>
              <w:autoSpaceDN/>
              <w:jc w:val="center"/>
              <w:textAlignment w:val="baseline"/>
              <w:rPr>
                <w:rFonts w:ascii="Arial" w:hAnsi="Arial" w:cs="Arial"/>
                <w:sz w:val="20"/>
                <w:szCs w:val="20"/>
              </w:rPr>
            </w:pPr>
            <w:r w:rsidRPr="00B3296C">
              <w:rPr>
                <w:rFonts w:ascii="Arial" w:hAnsi="Arial" w:cs="Arial"/>
                <w:sz w:val="20"/>
                <w:szCs w:val="20"/>
              </w:rPr>
              <w:t>1</w:t>
            </w:r>
          </w:p>
        </w:tc>
        <w:tc>
          <w:tcPr>
            <w:tcW w:w="1129" w:type="dxa"/>
            <w:tcBorders>
              <w:top w:val="nil"/>
              <w:left w:val="nil"/>
              <w:bottom w:val="single" w:sz="6" w:space="0" w:color="auto"/>
              <w:right w:val="single" w:sz="6" w:space="0" w:color="auto"/>
            </w:tcBorders>
            <w:shd w:val="clear" w:color="auto" w:fill="auto"/>
            <w:hideMark/>
          </w:tcPr>
          <w:p w:rsidR="00E66FA4" w:rsidRPr="00B3296C" w:rsidP="00A808D0" w14:paraId="07D6CF2A" w14:textId="77777777">
            <w:pPr>
              <w:autoSpaceDE/>
              <w:autoSpaceDN/>
              <w:jc w:val="center"/>
              <w:textAlignment w:val="baseline"/>
              <w:rPr>
                <w:rFonts w:ascii="Arial" w:hAnsi="Arial" w:cs="Arial"/>
                <w:sz w:val="20"/>
                <w:szCs w:val="20"/>
              </w:rPr>
            </w:pPr>
            <w:r w:rsidRPr="00B3296C">
              <w:rPr>
                <w:rFonts w:ascii="Arial" w:hAnsi="Arial" w:cs="Arial"/>
                <w:sz w:val="20"/>
                <w:szCs w:val="20"/>
              </w:rPr>
              <w:t>100</w:t>
            </w:r>
          </w:p>
        </w:tc>
        <w:tc>
          <w:tcPr>
            <w:tcW w:w="1216" w:type="dxa"/>
            <w:tcBorders>
              <w:top w:val="nil"/>
              <w:left w:val="nil"/>
              <w:bottom w:val="single" w:sz="6" w:space="0" w:color="auto"/>
              <w:right w:val="single" w:sz="6" w:space="0" w:color="auto"/>
            </w:tcBorders>
            <w:shd w:val="clear" w:color="auto" w:fill="auto"/>
            <w:hideMark/>
          </w:tcPr>
          <w:p w:rsidR="00E66FA4" w:rsidRPr="00B3296C" w:rsidP="00A808D0" w14:paraId="56D62B37" w14:textId="77777777">
            <w:pPr>
              <w:autoSpaceDE/>
              <w:autoSpaceDN/>
              <w:jc w:val="center"/>
              <w:textAlignment w:val="baseline"/>
              <w:rPr>
                <w:rFonts w:ascii="Arial" w:hAnsi="Arial" w:cs="Arial"/>
                <w:sz w:val="20"/>
                <w:szCs w:val="20"/>
              </w:rPr>
            </w:pPr>
            <w:r w:rsidRPr="00B3296C">
              <w:rPr>
                <w:rFonts w:ascii="Arial" w:hAnsi="Arial" w:cs="Arial"/>
                <w:sz w:val="20"/>
                <w:szCs w:val="20"/>
              </w:rPr>
              <w:t xml:space="preserve"> 0.083</w:t>
            </w:r>
          </w:p>
          <w:p w:rsidR="00E66FA4" w:rsidRPr="00B3296C" w:rsidP="00A808D0" w14:paraId="7144B638" w14:textId="77777777">
            <w:pPr>
              <w:autoSpaceDE/>
              <w:autoSpaceDN/>
              <w:jc w:val="center"/>
              <w:textAlignment w:val="baseline"/>
              <w:rPr>
                <w:rFonts w:ascii="Arial" w:hAnsi="Arial" w:cs="Arial"/>
                <w:sz w:val="20"/>
                <w:szCs w:val="20"/>
              </w:rPr>
            </w:pPr>
            <w:r w:rsidRPr="00B3296C">
              <w:rPr>
                <w:rFonts w:ascii="Arial" w:hAnsi="Arial" w:cs="Arial"/>
                <w:sz w:val="20"/>
                <w:szCs w:val="20"/>
              </w:rPr>
              <w:t>(5 min)</w:t>
            </w:r>
          </w:p>
        </w:tc>
        <w:tc>
          <w:tcPr>
            <w:tcW w:w="1129" w:type="dxa"/>
            <w:tcBorders>
              <w:top w:val="nil"/>
              <w:left w:val="nil"/>
              <w:bottom w:val="single" w:sz="6" w:space="0" w:color="auto"/>
              <w:right w:val="single" w:sz="6" w:space="0" w:color="auto"/>
            </w:tcBorders>
            <w:shd w:val="clear" w:color="auto" w:fill="auto"/>
            <w:hideMark/>
          </w:tcPr>
          <w:p w:rsidR="00E66FA4" w:rsidRPr="00B3296C" w:rsidP="00A808D0" w14:paraId="740F68FE" w14:textId="77777777">
            <w:pPr>
              <w:autoSpaceDE/>
              <w:autoSpaceDN/>
              <w:jc w:val="center"/>
              <w:textAlignment w:val="baseline"/>
              <w:rPr>
                <w:rFonts w:ascii="Arial" w:hAnsi="Arial" w:cs="Arial"/>
                <w:sz w:val="20"/>
                <w:szCs w:val="20"/>
              </w:rPr>
            </w:pPr>
            <w:r w:rsidRPr="00B3296C">
              <w:rPr>
                <w:rFonts w:ascii="Arial" w:hAnsi="Arial" w:cs="Arial"/>
                <w:sz w:val="20"/>
                <w:szCs w:val="20"/>
              </w:rPr>
              <w:t>8</w:t>
            </w:r>
          </w:p>
        </w:tc>
        <w:tc>
          <w:tcPr>
            <w:tcW w:w="869" w:type="dxa"/>
            <w:tcBorders>
              <w:top w:val="nil"/>
              <w:left w:val="nil"/>
              <w:bottom w:val="single" w:sz="6" w:space="0" w:color="auto"/>
              <w:right w:val="single" w:sz="6" w:space="0" w:color="auto"/>
            </w:tcBorders>
            <w:shd w:val="clear" w:color="auto" w:fill="auto"/>
            <w:hideMark/>
          </w:tcPr>
          <w:p w:rsidR="00E66FA4" w:rsidRPr="00B3296C" w:rsidP="00A808D0" w14:paraId="0E3BD2C9" w14:textId="77777777">
            <w:pPr>
              <w:autoSpaceDE/>
              <w:autoSpaceDN/>
              <w:jc w:val="center"/>
              <w:textAlignment w:val="baseline"/>
              <w:rPr>
                <w:rFonts w:ascii="Arial" w:hAnsi="Arial" w:cs="Arial"/>
                <w:sz w:val="20"/>
                <w:szCs w:val="20"/>
              </w:rPr>
            </w:pPr>
            <w:r w:rsidRPr="00B3296C">
              <w:rPr>
                <w:rFonts w:ascii="Arial" w:hAnsi="Arial" w:cs="Arial"/>
                <w:sz w:val="20"/>
                <w:szCs w:val="20"/>
              </w:rPr>
              <w:t>$27.07</w:t>
            </w:r>
          </w:p>
        </w:tc>
        <w:tc>
          <w:tcPr>
            <w:tcW w:w="1744" w:type="dxa"/>
            <w:tcBorders>
              <w:top w:val="nil"/>
              <w:left w:val="nil"/>
              <w:bottom w:val="single" w:sz="6" w:space="0" w:color="auto"/>
              <w:right w:val="single" w:sz="6" w:space="0" w:color="auto"/>
            </w:tcBorders>
            <w:shd w:val="clear" w:color="auto" w:fill="auto"/>
            <w:hideMark/>
          </w:tcPr>
          <w:p w:rsidR="00E66FA4" w:rsidRPr="00B3296C" w:rsidP="00A808D0" w14:paraId="28121BE6" w14:textId="77777777">
            <w:pPr>
              <w:autoSpaceDE/>
              <w:autoSpaceDN/>
              <w:jc w:val="center"/>
              <w:textAlignment w:val="baseline"/>
              <w:rPr>
                <w:rFonts w:ascii="Arial" w:hAnsi="Arial" w:cs="Arial"/>
                <w:sz w:val="20"/>
                <w:szCs w:val="20"/>
              </w:rPr>
            </w:pPr>
            <w:r w:rsidRPr="00B3296C">
              <w:rPr>
                <w:rFonts w:ascii="Arial" w:hAnsi="Arial" w:cs="Arial"/>
                <w:sz w:val="20"/>
                <w:szCs w:val="20"/>
              </w:rPr>
              <w:t>$2</w:t>
            </w:r>
            <w:r>
              <w:rPr>
                <w:rFonts w:ascii="Arial" w:hAnsi="Arial" w:cs="Arial"/>
                <w:sz w:val="20"/>
                <w:szCs w:val="20"/>
              </w:rPr>
              <w:t>17</w:t>
            </w:r>
          </w:p>
        </w:tc>
      </w:tr>
      <w:tr w14:paraId="40B842F6" w14:textId="77777777" w:rsidTr="00A808D0">
        <w:tblPrEx>
          <w:tblW w:w="10170" w:type="dxa"/>
          <w:tblInd w:w="-368" w:type="dxa"/>
          <w:tblLayout w:type="fixed"/>
          <w:tblCellMar>
            <w:left w:w="0" w:type="dxa"/>
            <w:right w:w="0" w:type="dxa"/>
          </w:tblCellMar>
          <w:tblLook w:val="04A0"/>
        </w:tblPrEx>
        <w:tc>
          <w:tcPr>
            <w:tcW w:w="2953" w:type="dxa"/>
            <w:tcBorders>
              <w:top w:val="nil"/>
              <w:left w:val="single" w:sz="6" w:space="0" w:color="auto"/>
              <w:bottom w:val="nil"/>
              <w:right w:val="single" w:sz="6" w:space="0" w:color="auto"/>
            </w:tcBorders>
            <w:shd w:val="clear" w:color="auto" w:fill="BFBFBF" w:themeFill="background1" w:themeFillShade="BF"/>
            <w:hideMark/>
          </w:tcPr>
          <w:p w:rsidR="00E66FA4" w:rsidRPr="00B3296C" w:rsidP="00A808D0" w14:paraId="76A46076" w14:textId="77777777">
            <w:pPr>
              <w:autoSpaceDE/>
              <w:autoSpaceDN/>
              <w:jc w:val="right"/>
              <w:textAlignment w:val="baseline"/>
              <w:rPr>
                <w:rFonts w:ascii="Arial" w:hAnsi="Arial" w:cs="Arial"/>
                <w:b/>
                <w:sz w:val="20"/>
                <w:szCs w:val="20"/>
              </w:rPr>
            </w:pPr>
            <w:r w:rsidRPr="00B3296C">
              <w:rPr>
                <w:rFonts w:ascii="Arial" w:hAnsi="Arial" w:cs="Arial"/>
                <w:b/>
                <w:sz w:val="20"/>
                <w:szCs w:val="20"/>
              </w:rPr>
              <w:t>Total  </w:t>
            </w:r>
          </w:p>
        </w:tc>
        <w:tc>
          <w:tcPr>
            <w:tcW w:w="1130" w:type="dxa"/>
            <w:tcBorders>
              <w:top w:val="nil"/>
              <w:left w:val="nil"/>
              <w:bottom w:val="nil"/>
              <w:right w:val="single" w:sz="6" w:space="0" w:color="auto"/>
            </w:tcBorders>
            <w:shd w:val="clear" w:color="auto" w:fill="BFBFBF" w:themeFill="background1" w:themeFillShade="BF"/>
            <w:hideMark/>
          </w:tcPr>
          <w:p w:rsidR="00E66FA4" w:rsidRPr="00B3296C" w:rsidP="00A808D0" w14:paraId="1B158076" w14:textId="77777777">
            <w:pPr>
              <w:autoSpaceDE/>
              <w:autoSpaceDN/>
              <w:jc w:val="center"/>
              <w:textAlignment w:val="baseline"/>
              <w:rPr>
                <w:rFonts w:ascii="Arial" w:hAnsi="Arial" w:cs="Arial"/>
                <w:b/>
                <w:sz w:val="20"/>
                <w:szCs w:val="20"/>
              </w:rPr>
            </w:pPr>
          </w:p>
        </w:tc>
        <w:tc>
          <w:tcPr>
            <w:tcW w:w="1129" w:type="dxa"/>
            <w:tcBorders>
              <w:top w:val="nil"/>
              <w:left w:val="nil"/>
              <w:bottom w:val="nil"/>
              <w:right w:val="single" w:sz="6" w:space="0" w:color="auto"/>
            </w:tcBorders>
            <w:shd w:val="clear" w:color="auto" w:fill="BFBFBF" w:themeFill="background1" w:themeFillShade="BF"/>
            <w:hideMark/>
          </w:tcPr>
          <w:p w:rsidR="00E66FA4" w:rsidRPr="00B3296C" w:rsidP="00A808D0" w14:paraId="22EDF06E" w14:textId="77777777">
            <w:pPr>
              <w:autoSpaceDE/>
              <w:autoSpaceDN/>
              <w:jc w:val="center"/>
              <w:textAlignment w:val="baseline"/>
              <w:rPr>
                <w:rFonts w:ascii="Arial" w:hAnsi="Arial" w:cs="Arial"/>
                <w:b/>
                <w:sz w:val="20"/>
                <w:szCs w:val="20"/>
              </w:rPr>
            </w:pPr>
            <w:r>
              <w:rPr>
                <w:rFonts w:ascii="Arial" w:hAnsi="Arial" w:cs="Arial"/>
                <w:b/>
                <w:sz w:val="20"/>
                <w:szCs w:val="20"/>
              </w:rPr>
              <w:t>519,679</w:t>
            </w:r>
          </w:p>
        </w:tc>
        <w:tc>
          <w:tcPr>
            <w:tcW w:w="1216" w:type="dxa"/>
            <w:tcBorders>
              <w:top w:val="nil"/>
              <w:left w:val="nil"/>
              <w:bottom w:val="nil"/>
              <w:right w:val="single" w:sz="6" w:space="0" w:color="auto"/>
            </w:tcBorders>
            <w:shd w:val="clear" w:color="auto" w:fill="BFBFBF" w:themeFill="background1" w:themeFillShade="BF"/>
            <w:hideMark/>
          </w:tcPr>
          <w:p w:rsidR="00E66FA4" w:rsidRPr="00B3296C" w:rsidP="00A808D0" w14:paraId="1D2D8354" w14:textId="77777777">
            <w:pPr>
              <w:autoSpaceDE/>
              <w:autoSpaceDN/>
              <w:jc w:val="center"/>
              <w:textAlignment w:val="baseline"/>
              <w:rPr>
                <w:rFonts w:ascii="Arial" w:hAnsi="Arial" w:cs="Arial"/>
                <w:b/>
                <w:sz w:val="20"/>
                <w:szCs w:val="20"/>
              </w:rPr>
            </w:pPr>
          </w:p>
        </w:tc>
        <w:tc>
          <w:tcPr>
            <w:tcW w:w="1129" w:type="dxa"/>
            <w:tcBorders>
              <w:top w:val="nil"/>
              <w:left w:val="nil"/>
              <w:bottom w:val="nil"/>
              <w:right w:val="single" w:sz="6" w:space="0" w:color="auto"/>
            </w:tcBorders>
            <w:shd w:val="clear" w:color="auto" w:fill="BFBFBF" w:themeFill="background1" w:themeFillShade="BF"/>
            <w:hideMark/>
          </w:tcPr>
          <w:p w:rsidR="00E66FA4" w:rsidRPr="00B3296C" w:rsidP="00A808D0" w14:paraId="7613FF69" w14:textId="77777777">
            <w:pPr>
              <w:autoSpaceDE/>
              <w:autoSpaceDN/>
              <w:jc w:val="center"/>
              <w:textAlignment w:val="baseline"/>
              <w:rPr>
                <w:rFonts w:ascii="Arial" w:hAnsi="Arial" w:cs="Arial"/>
                <w:b/>
                <w:sz w:val="20"/>
                <w:szCs w:val="20"/>
              </w:rPr>
            </w:pPr>
            <w:r>
              <w:rPr>
                <w:rFonts w:ascii="Arial" w:hAnsi="Arial" w:cs="Arial"/>
                <w:b/>
                <w:bCs/>
                <w:sz w:val="20"/>
                <w:szCs w:val="20"/>
              </w:rPr>
              <w:t>86,605</w:t>
            </w:r>
          </w:p>
        </w:tc>
        <w:tc>
          <w:tcPr>
            <w:tcW w:w="869" w:type="dxa"/>
            <w:tcBorders>
              <w:top w:val="nil"/>
              <w:left w:val="nil"/>
              <w:bottom w:val="nil"/>
              <w:right w:val="single" w:sz="6" w:space="0" w:color="auto"/>
            </w:tcBorders>
            <w:shd w:val="clear" w:color="auto" w:fill="BFBFBF" w:themeFill="background1" w:themeFillShade="BF"/>
            <w:hideMark/>
          </w:tcPr>
          <w:p w:rsidR="00E66FA4" w:rsidRPr="00B3296C" w:rsidP="00A808D0" w14:paraId="783A4D70" w14:textId="77777777">
            <w:pPr>
              <w:autoSpaceDE/>
              <w:autoSpaceDN/>
              <w:jc w:val="center"/>
              <w:textAlignment w:val="baseline"/>
              <w:rPr>
                <w:rFonts w:ascii="Arial" w:hAnsi="Arial" w:cs="Arial"/>
                <w:b/>
                <w:sz w:val="20"/>
                <w:szCs w:val="20"/>
              </w:rPr>
            </w:pPr>
          </w:p>
        </w:tc>
        <w:tc>
          <w:tcPr>
            <w:tcW w:w="1744" w:type="dxa"/>
            <w:tcBorders>
              <w:top w:val="nil"/>
              <w:left w:val="nil"/>
              <w:bottom w:val="nil"/>
              <w:right w:val="single" w:sz="6" w:space="0" w:color="auto"/>
            </w:tcBorders>
            <w:shd w:val="clear" w:color="auto" w:fill="BFBFBF" w:themeFill="background1" w:themeFillShade="BF"/>
            <w:hideMark/>
          </w:tcPr>
          <w:p w:rsidR="00E66FA4" w:rsidRPr="00B3296C" w:rsidP="00A808D0" w14:paraId="6FB9A9E9" w14:textId="77777777">
            <w:pPr>
              <w:autoSpaceDE/>
              <w:autoSpaceDN/>
              <w:jc w:val="center"/>
              <w:textAlignment w:val="baseline"/>
              <w:rPr>
                <w:rFonts w:ascii="Arial" w:hAnsi="Arial" w:cs="Arial"/>
                <w:b/>
                <w:sz w:val="20"/>
                <w:szCs w:val="20"/>
              </w:rPr>
            </w:pPr>
            <w:r w:rsidRPr="00B3296C">
              <w:rPr>
                <w:rFonts w:ascii="Arial" w:hAnsi="Arial" w:cs="Arial"/>
                <w:b/>
                <w:sz w:val="20"/>
                <w:szCs w:val="20"/>
              </w:rPr>
              <w:t>$</w:t>
            </w:r>
            <w:r>
              <w:rPr>
                <w:rFonts w:ascii="Arial" w:hAnsi="Arial" w:cs="Arial"/>
                <w:b/>
                <w:sz w:val="20"/>
                <w:szCs w:val="20"/>
              </w:rPr>
              <w:t>3,060,038</w:t>
            </w:r>
          </w:p>
        </w:tc>
      </w:tr>
      <w:tr w14:paraId="0F648C8F" w14:textId="77777777" w:rsidTr="00A808D0">
        <w:tblPrEx>
          <w:tblW w:w="10170" w:type="dxa"/>
          <w:tblInd w:w="-368" w:type="dxa"/>
          <w:tblLayout w:type="fixed"/>
          <w:tblCellMar>
            <w:left w:w="0" w:type="dxa"/>
            <w:right w:w="0" w:type="dxa"/>
          </w:tblCellMar>
          <w:tblLook w:val="04A0"/>
        </w:tblPrEx>
        <w:tc>
          <w:tcPr>
            <w:tcW w:w="2953" w:type="dxa"/>
            <w:tcBorders>
              <w:top w:val="nil"/>
              <w:left w:val="single" w:sz="6" w:space="0" w:color="auto"/>
              <w:bottom w:val="nil"/>
              <w:right w:val="single" w:sz="6" w:space="0" w:color="auto"/>
            </w:tcBorders>
            <w:shd w:val="clear" w:color="auto" w:fill="BFBFBF" w:themeFill="background1" w:themeFillShade="BF"/>
          </w:tcPr>
          <w:p w:rsidR="00E66FA4" w:rsidRPr="00B3296C" w:rsidP="00A808D0" w14:paraId="77ED9FD2" w14:textId="77777777">
            <w:pPr>
              <w:autoSpaceDE/>
              <w:autoSpaceDN/>
              <w:jc w:val="right"/>
              <w:textAlignment w:val="baseline"/>
              <w:rPr>
                <w:rFonts w:ascii="Arial" w:hAnsi="Arial" w:cs="Arial"/>
                <w:b/>
                <w:sz w:val="20"/>
                <w:szCs w:val="20"/>
              </w:rPr>
            </w:pPr>
          </w:p>
        </w:tc>
        <w:tc>
          <w:tcPr>
            <w:tcW w:w="1130" w:type="dxa"/>
            <w:tcBorders>
              <w:top w:val="nil"/>
              <w:left w:val="nil"/>
              <w:bottom w:val="nil"/>
              <w:right w:val="single" w:sz="6" w:space="0" w:color="auto"/>
            </w:tcBorders>
            <w:shd w:val="clear" w:color="auto" w:fill="BFBFBF" w:themeFill="background1" w:themeFillShade="BF"/>
          </w:tcPr>
          <w:p w:rsidR="00E66FA4" w:rsidRPr="00B3296C" w:rsidP="00A808D0" w14:paraId="72192DED" w14:textId="77777777">
            <w:pPr>
              <w:autoSpaceDE/>
              <w:autoSpaceDN/>
              <w:jc w:val="center"/>
              <w:textAlignment w:val="baseline"/>
              <w:rPr>
                <w:rFonts w:ascii="Arial" w:hAnsi="Arial" w:cs="Arial"/>
                <w:b/>
                <w:sz w:val="20"/>
                <w:szCs w:val="20"/>
              </w:rPr>
            </w:pPr>
          </w:p>
        </w:tc>
        <w:tc>
          <w:tcPr>
            <w:tcW w:w="1129" w:type="dxa"/>
            <w:tcBorders>
              <w:top w:val="nil"/>
              <w:left w:val="nil"/>
              <w:bottom w:val="nil"/>
              <w:right w:val="single" w:sz="6" w:space="0" w:color="auto"/>
            </w:tcBorders>
            <w:shd w:val="clear" w:color="auto" w:fill="BFBFBF" w:themeFill="background1" w:themeFillShade="BF"/>
          </w:tcPr>
          <w:p w:rsidR="00E66FA4" w:rsidP="00A808D0" w14:paraId="4B03DA01" w14:textId="77777777">
            <w:pPr>
              <w:autoSpaceDE/>
              <w:autoSpaceDN/>
              <w:jc w:val="center"/>
              <w:textAlignment w:val="baseline"/>
              <w:rPr>
                <w:rFonts w:ascii="Arial" w:hAnsi="Arial" w:cs="Arial"/>
                <w:b/>
                <w:sz w:val="20"/>
                <w:szCs w:val="20"/>
              </w:rPr>
            </w:pPr>
          </w:p>
        </w:tc>
        <w:tc>
          <w:tcPr>
            <w:tcW w:w="1216" w:type="dxa"/>
            <w:tcBorders>
              <w:top w:val="nil"/>
              <w:left w:val="nil"/>
              <w:bottom w:val="nil"/>
              <w:right w:val="single" w:sz="6" w:space="0" w:color="auto"/>
            </w:tcBorders>
            <w:shd w:val="clear" w:color="auto" w:fill="BFBFBF" w:themeFill="background1" w:themeFillShade="BF"/>
          </w:tcPr>
          <w:p w:rsidR="00E66FA4" w:rsidRPr="00B3296C" w:rsidP="00A808D0" w14:paraId="6DCF2A68" w14:textId="77777777">
            <w:pPr>
              <w:autoSpaceDE/>
              <w:autoSpaceDN/>
              <w:jc w:val="center"/>
              <w:textAlignment w:val="baseline"/>
              <w:rPr>
                <w:rFonts w:ascii="Arial" w:hAnsi="Arial" w:cs="Arial"/>
                <w:b/>
                <w:sz w:val="20"/>
                <w:szCs w:val="20"/>
              </w:rPr>
            </w:pPr>
          </w:p>
        </w:tc>
        <w:tc>
          <w:tcPr>
            <w:tcW w:w="1129" w:type="dxa"/>
            <w:tcBorders>
              <w:top w:val="nil"/>
              <w:left w:val="nil"/>
              <w:bottom w:val="nil"/>
              <w:right w:val="single" w:sz="6" w:space="0" w:color="auto"/>
            </w:tcBorders>
            <w:shd w:val="clear" w:color="auto" w:fill="BFBFBF" w:themeFill="background1" w:themeFillShade="BF"/>
          </w:tcPr>
          <w:p w:rsidR="00E66FA4" w:rsidP="00A808D0" w14:paraId="3F9AD403" w14:textId="77777777">
            <w:pPr>
              <w:autoSpaceDE/>
              <w:autoSpaceDN/>
              <w:jc w:val="center"/>
              <w:textAlignment w:val="baseline"/>
              <w:rPr>
                <w:rFonts w:ascii="Arial" w:hAnsi="Arial" w:cs="Arial"/>
                <w:b/>
                <w:bCs/>
                <w:sz w:val="20"/>
                <w:szCs w:val="20"/>
              </w:rPr>
            </w:pPr>
          </w:p>
        </w:tc>
        <w:tc>
          <w:tcPr>
            <w:tcW w:w="869" w:type="dxa"/>
            <w:tcBorders>
              <w:top w:val="nil"/>
              <w:left w:val="nil"/>
              <w:bottom w:val="nil"/>
              <w:right w:val="single" w:sz="6" w:space="0" w:color="auto"/>
            </w:tcBorders>
            <w:shd w:val="clear" w:color="auto" w:fill="BFBFBF" w:themeFill="background1" w:themeFillShade="BF"/>
          </w:tcPr>
          <w:p w:rsidR="00E66FA4" w:rsidRPr="00B3296C" w:rsidP="00A808D0" w14:paraId="31C45739" w14:textId="77777777">
            <w:pPr>
              <w:autoSpaceDE/>
              <w:autoSpaceDN/>
              <w:jc w:val="center"/>
              <w:textAlignment w:val="baseline"/>
              <w:rPr>
                <w:rFonts w:ascii="Arial" w:hAnsi="Arial" w:cs="Arial"/>
                <w:b/>
                <w:sz w:val="20"/>
                <w:szCs w:val="20"/>
              </w:rPr>
            </w:pPr>
          </w:p>
        </w:tc>
        <w:tc>
          <w:tcPr>
            <w:tcW w:w="1744" w:type="dxa"/>
            <w:tcBorders>
              <w:top w:val="nil"/>
              <w:left w:val="nil"/>
              <w:bottom w:val="nil"/>
              <w:right w:val="single" w:sz="6" w:space="0" w:color="auto"/>
            </w:tcBorders>
            <w:shd w:val="clear" w:color="auto" w:fill="BFBFBF" w:themeFill="background1" w:themeFillShade="BF"/>
          </w:tcPr>
          <w:p w:rsidR="00E66FA4" w:rsidRPr="00B3296C" w:rsidP="00A808D0" w14:paraId="54530145" w14:textId="77777777">
            <w:pPr>
              <w:autoSpaceDE/>
              <w:autoSpaceDN/>
              <w:jc w:val="center"/>
              <w:textAlignment w:val="baseline"/>
              <w:rPr>
                <w:rFonts w:ascii="Arial" w:hAnsi="Arial" w:cs="Arial"/>
                <w:b/>
                <w:sz w:val="20"/>
                <w:szCs w:val="20"/>
              </w:rPr>
            </w:pPr>
          </w:p>
        </w:tc>
      </w:tr>
      <w:tr w14:paraId="2B239AF9" w14:textId="77777777" w:rsidTr="00A808D0">
        <w:tblPrEx>
          <w:tblW w:w="10170" w:type="dxa"/>
          <w:tblInd w:w="-368" w:type="dxa"/>
          <w:tblLayout w:type="fixed"/>
          <w:tblCellMar>
            <w:left w:w="0" w:type="dxa"/>
            <w:right w:w="0" w:type="dxa"/>
          </w:tblCellMar>
          <w:tblLook w:val="04A0"/>
        </w:tblPrEx>
        <w:tc>
          <w:tcPr>
            <w:tcW w:w="2953" w:type="dxa"/>
            <w:tcBorders>
              <w:top w:val="nil"/>
              <w:left w:val="single" w:sz="6" w:space="0" w:color="auto"/>
              <w:bottom w:val="single" w:sz="6" w:space="0" w:color="auto"/>
              <w:right w:val="single" w:sz="6" w:space="0" w:color="auto"/>
            </w:tcBorders>
            <w:shd w:val="clear" w:color="auto" w:fill="BFBFBF" w:themeFill="background1" w:themeFillShade="BF"/>
          </w:tcPr>
          <w:p w:rsidR="00E66FA4" w:rsidP="00A808D0" w14:paraId="1F711149" w14:textId="77777777">
            <w:pPr>
              <w:autoSpaceDE/>
              <w:autoSpaceDN/>
              <w:jc w:val="right"/>
              <w:textAlignment w:val="baseline"/>
              <w:rPr>
                <w:rFonts w:ascii="Arial" w:hAnsi="Arial" w:cs="Arial"/>
                <w:b/>
                <w:sz w:val="20"/>
                <w:szCs w:val="20"/>
              </w:rPr>
            </w:pPr>
          </w:p>
        </w:tc>
        <w:tc>
          <w:tcPr>
            <w:tcW w:w="1130" w:type="dxa"/>
            <w:tcBorders>
              <w:top w:val="nil"/>
              <w:left w:val="nil"/>
              <w:bottom w:val="single" w:sz="6" w:space="0" w:color="auto"/>
              <w:right w:val="single" w:sz="6" w:space="0" w:color="auto"/>
            </w:tcBorders>
            <w:shd w:val="clear" w:color="auto" w:fill="BFBFBF" w:themeFill="background1" w:themeFillShade="BF"/>
          </w:tcPr>
          <w:p w:rsidR="00E66FA4" w:rsidRPr="00B3296C" w:rsidP="00A808D0" w14:paraId="4FB0CDFF" w14:textId="77777777">
            <w:pPr>
              <w:autoSpaceDE/>
              <w:autoSpaceDN/>
              <w:jc w:val="center"/>
              <w:textAlignment w:val="baseline"/>
              <w:rPr>
                <w:rFonts w:ascii="Arial" w:hAnsi="Arial" w:cs="Arial"/>
                <w:b/>
                <w:sz w:val="20"/>
                <w:szCs w:val="20"/>
              </w:rPr>
            </w:pPr>
          </w:p>
        </w:tc>
        <w:tc>
          <w:tcPr>
            <w:tcW w:w="1129" w:type="dxa"/>
            <w:tcBorders>
              <w:top w:val="nil"/>
              <w:left w:val="nil"/>
              <w:bottom w:val="single" w:sz="6" w:space="0" w:color="auto"/>
              <w:right w:val="single" w:sz="6" w:space="0" w:color="auto"/>
            </w:tcBorders>
            <w:shd w:val="clear" w:color="auto" w:fill="BFBFBF" w:themeFill="background1" w:themeFillShade="BF"/>
          </w:tcPr>
          <w:p w:rsidR="00E66FA4" w:rsidP="00A808D0" w14:paraId="4CDB9D7B" w14:textId="77777777">
            <w:pPr>
              <w:autoSpaceDE/>
              <w:autoSpaceDN/>
              <w:jc w:val="center"/>
              <w:textAlignment w:val="baseline"/>
              <w:rPr>
                <w:rFonts w:ascii="Arial" w:hAnsi="Arial" w:cs="Arial"/>
                <w:b/>
                <w:sz w:val="20"/>
                <w:szCs w:val="20"/>
              </w:rPr>
            </w:pPr>
          </w:p>
        </w:tc>
        <w:tc>
          <w:tcPr>
            <w:tcW w:w="1216" w:type="dxa"/>
            <w:tcBorders>
              <w:top w:val="nil"/>
              <w:left w:val="nil"/>
              <w:bottom w:val="single" w:sz="6" w:space="0" w:color="auto"/>
              <w:right w:val="single" w:sz="6" w:space="0" w:color="auto"/>
            </w:tcBorders>
            <w:shd w:val="clear" w:color="auto" w:fill="BFBFBF" w:themeFill="background1" w:themeFillShade="BF"/>
          </w:tcPr>
          <w:p w:rsidR="00E66FA4" w:rsidRPr="00B3296C" w:rsidP="00A808D0" w14:paraId="20355C77" w14:textId="77777777">
            <w:pPr>
              <w:autoSpaceDE/>
              <w:autoSpaceDN/>
              <w:jc w:val="center"/>
              <w:textAlignment w:val="baseline"/>
              <w:rPr>
                <w:rFonts w:ascii="Arial" w:hAnsi="Arial" w:cs="Arial"/>
                <w:b/>
                <w:sz w:val="20"/>
                <w:szCs w:val="20"/>
              </w:rPr>
            </w:pPr>
          </w:p>
        </w:tc>
        <w:tc>
          <w:tcPr>
            <w:tcW w:w="1129" w:type="dxa"/>
            <w:tcBorders>
              <w:top w:val="nil"/>
              <w:left w:val="nil"/>
              <w:bottom w:val="single" w:sz="6" w:space="0" w:color="auto"/>
              <w:right w:val="single" w:sz="6" w:space="0" w:color="auto"/>
            </w:tcBorders>
            <w:shd w:val="clear" w:color="auto" w:fill="BFBFBF" w:themeFill="background1" w:themeFillShade="BF"/>
          </w:tcPr>
          <w:p w:rsidR="00E66FA4" w:rsidP="00A808D0" w14:paraId="3A290078" w14:textId="77777777">
            <w:pPr>
              <w:autoSpaceDE/>
              <w:autoSpaceDN/>
              <w:jc w:val="center"/>
              <w:textAlignment w:val="baseline"/>
              <w:rPr>
                <w:rFonts w:ascii="Arial" w:hAnsi="Arial" w:cs="Arial"/>
                <w:b/>
                <w:bCs/>
                <w:sz w:val="20"/>
                <w:szCs w:val="20"/>
              </w:rPr>
            </w:pPr>
          </w:p>
        </w:tc>
        <w:tc>
          <w:tcPr>
            <w:tcW w:w="869" w:type="dxa"/>
            <w:tcBorders>
              <w:top w:val="nil"/>
              <w:left w:val="nil"/>
              <w:bottom w:val="single" w:sz="6" w:space="0" w:color="auto"/>
              <w:right w:val="single" w:sz="6" w:space="0" w:color="auto"/>
            </w:tcBorders>
            <w:shd w:val="clear" w:color="auto" w:fill="BFBFBF" w:themeFill="background1" w:themeFillShade="BF"/>
          </w:tcPr>
          <w:p w:rsidR="00E66FA4" w:rsidRPr="00B3296C" w:rsidP="00A808D0" w14:paraId="5203E11F" w14:textId="77777777">
            <w:pPr>
              <w:autoSpaceDE/>
              <w:autoSpaceDN/>
              <w:jc w:val="center"/>
              <w:textAlignment w:val="baseline"/>
              <w:rPr>
                <w:rFonts w:ascii="Arial" w:hAnsi="Arial" w:cs="Arial"/>
                <w:b/>
                <w:sz w:val="20"/>
                <w:szCs w:val="20"/>
              </w:rPr>
            </w:pPr>
          </w:p>
        </w:tc>
        <w:tc>
          <w:tcPr>
            <w:tcW w:w="1744" w:type="dxa"/>
            <w:tcBorders>
              <w:top w:val="nil"/>
              <w:left w:val="nil"/>
              <w:bottom w:val="single" w:sz="6" w:space="0" w:color="auto"/>
              <w:right w:val="single" w:sz="6" w:space="0" w:color="auto"/>
            </w:tcBorders>
            <w:shd w:val="clear" w:color="auto" w:fill="BFBFBF" w:themeFill="background1" w:themeFillShade="BF"/>
          </w:tcPr>
          <w:p w:rsidR="00E66FA4" w:rsidRPr="00B3296C" w:rsidP="00A808D0" w14:paraId="79E040D1" w14:textId="77777777">
            <w:pPr>
              <w:autoSpaceDE/>
              <w:autoSpaceDN/>
              <w:jc w:val="center"/>
              <w:textAlignment w:val="baseline"/>
              <w:rPr>
                <w:rFonts w:ascii="Arial" w:hAnsi="Arial" w:cs="Arial"/>
                <w:b/>
                <w:sz w:val="20"/>
                <w:szCs w:val="20"/>
              </w:rPr>
            </w:pPr>
          </w:p>
        </w:tc>
      </w:tr>
    </w:tbl>
    <w:p w:rsidR="004D57D3" w:rsidRPr="00035C01" w:rsidP="001F2C7D" w14:paraId="3DC0FD31" w14:textId="1A7FF435">
      <w:pPr>
        <w:rPr>
          <w:rFonts w:ascii="Arial" w:hAnsi="Arial" w:cs="Arial"/>
        </w:rPr>
      </w:pPr>
    </w:p>
    <w:p w:rsidR="00370A58" w:rsidRPr="00064914" w:rsidP="00563694" w14:paraId="72C7EF4F" w14:textId="7A0A3B6E">
      <w:pPr>
        <w:rPr>
          <w:rFonts w:ascii="Arial" w:hAnsi="Arial" w:cs="Arial"/>
          <w:sz w:val="22"/>
          <w:szCs w:val="22"/>
        </w:rPr>
      </w:pPr>
      <w:r w:rsidRPr="00064914">
        <w:rPr>
          <w:rFonts w:ascii="Arial" w:hAnsi="Arial" w:cs="Arial"/>
          <w:sz w:val="22"/>
          <w:szCs w:val="22"/>
          <w:vertAlign w:val="superscript"/>
        </w:rPr>
        <w:t>1</w:t>
      </w:r>
      <w:r w:rsidRPr="00064914">
        <w:rPr>
          <w:rFonts w:ascii="Arial" w:hAnsi="Arial" w:cs="Arial"/>
          <w:sz w:val="22"/>
          <w:szCs w:val="22"/>
        </w:rPr>
        <w:t xml:space="preserve">VA </w:t>
      </w:r>
      <w:r w:rsidR="00074103">
        <w:rPr>
          <w:rFonts w:ascii="Arial" w:hAnsi="Arial" w:cs="Arial"/>
          <w:sz w:val="22"/>
          <w:szCs w:val="22"/>
        </w:rPr>
        <w:t>estimates</w:t>
      </w:r>
      <w:r w:rsidRPr="00064914">
        <w:rPr>
          <w:rFonts w:ascii="Arial" w:hAnsi="Arial" w:cs="Arial"/>
          <w:sz w:val="22"/>
          <w:szCs w:val="22"/>
        </w:rPr>
        <w:t xml:space="preserve"> lenders will average 5 minutes per loan to complete the initial disclosure, 4 minutes per loan to complete 2 interim disclosures, and 1 minute per loan to complete the final disclosure. This results in an average burden hour per response of 10 minutes per loan. </w:t>
      </w:r>
    </w:p>
    <w:p w:rsidR="00370A58" w:rsidRPr="00064914" w:rsidP="00563694" w14:paraId="02EE42DF" w14:textId="77777777">
      <w:pPr>
        <w:rPr>
          <w:rFonts w:ascii="Arial" w:hAnsi="Arial" w:cs="Arial"/>
          <w:sz w:val="22"/>
          <w:szCs w:val="22"/>
        </w:rPr>
      </w:pPr>
    </w:p>
    <w:p w:rsidR="00D405B0" w:rsidRPr="00064914" w:rsidP="00563694" w14:paraId="1C78D008" w14:textId="7B34A5A1">
      <w:pPr>
        <w:rPr>
          <w:rFonts w:ascii="Arial" w:hAnsi="Arial" w:cs="Arial"/>
          <w:sz w:val="22"/>
          <w:szCs w:val="22"/>
        </w:rPr>
      </w:pPr>
      <w:r w:rsidRPr="00064914">
        <w:rPr>
          <w:rFonts w:ascii="Arial" w:hAnsi="Arial" w:cs="Arial"/>
          <w:sz w:val="22"/>
          <w:szCs w:val="22"/>
          <w:vertAlign w:val="superscript"/>
        </w:rPr>
        <w:t>2</w:t>
      </w:r>
      <w:r w:rsidRPr="00064914">
        <w:rPr>
          <w:rFonts w:ascii="Arial" w:hAnsi="Arial" w:cs="Arial"/>
          <w:sz w:val="22"/>
          <w:szCs w:val="22"/>
        </w:rPr>
        <w:t>The</w:t>
      </w:r>
      <w:r w:rsidRPr="00064914" w:rsidR="00086722">
        <w:rPr>
          <w:rFonts w:ascii="Arial" w:hAnsi="Arial" w:cs="Arial"/>
          <w:sz w:val="22"/>
          <w:szCs w:val="22"/>
        </w:rPr>
        <w:t xml:space="preserve"> Bureau of Labor Statistics (BLS) gathers information on full-time wage and salary workers.  According to the latest available BLS data, the mean hourly wage</w:t>
      </w:r>
      <w:r w:rsidRPr="00064914" w:rsidR="00E63E13">
        <w:rPr>
          <w:rFonts w:ascii="Arial" w:hAnsi="Arial" w:cs="Arial"/>
          <w:sz w:val="22"/>
          <w:szCs w:val="22"/>
        </w:rPr>
        <w:t xml:space="preserve"> for a Loan Officer </w:t>
      </w:r>
      <w:r w:rsidRPr="00064914" w:rsidR="00086722">
        <w:rPr>
          <w:rFonts w:ascii="Arial" w:hAnsi="Arial" w:cs="Arial"/>
          <w:sz w:val="22"/>
          <w:szCs w:val="22"/>
        </w:rPr>
        <w:t>is $</w:t>
      </w:r>
      <w:r w:rsidRPr="00064914" w:rsidR="00472D77">
        <w:rPr>
          <w:rFonts w:ascii="Arial" w:hAnsi="Arial" w:cs="Arial"/>
          <w:sz w:val="22"/>
          <w:szCs w:val="22"/>
        </w:rPr>
        <w:t>36.</w:t>
      </w:r>
      <w:r w:rsidRPr="00064914" w:rsidR="00D0388D">
        <w:rPr>
          <w:rFonts w:ascii="Arial" w:hAnsi="Arial" w:cs="Arial"/>
          <w:sz w:val="22"/>
          <w:szCs w:val="22"/>
        </w:rPr>
        <w:t>99</w:t>
      </w:r>
      <w:r w:rsidRPr="00064914" w:rsidR="00086722">
        <w:rPr>
          <w:rFonts w:ascii="Arial" w:hAnsi="Arial" w:cs="Arial"/>
          <w:sz w:val="22"/>
          <w:szCs w:val="22"/>
        </w:rPr>
        <w:t xml:space="preserve"> based on the BLS wage code – “</w:t>
      </w:r>
      <w:r w:rsidRPr="00064914" w:rsidR="00472D77">
        <w:rPr>
          <w:rFonts w:ascii="Arial" w:hAnsi="Arial" w:cs="Arial"/>
          <w:sz w:val="22"/>
          <w:szCs w:val="22"/>
        </w:rPr>
        <w:t>13-2072</w:t>
      </w:r>
      <w:r w:rsidRPr="00064914" w:rsidR="00086722">
        <w:rPr>
          <w:rFonts w:ascii="Arial" w:hAnsi="Arial" w:cs="Arial"/>
          <w:sz w:val="22"/>
          <w:szCs w:val="22"/>
        </w:rPr>
        <w:t xml:space="preserve"> </w:t>
      </w:r>
      <w:r w:rsidRPr="00064914" w:rsidR="00472D77">
        <w:rPr>
          <w:rFonts w:ascii="Arial" w:hAnsi="Arial" w:cs="Arial"/>
          <w:sz w:val="22"/>
          <w:szCs w:val="22"/>
        </w:rPr>
        <w:t>Loan Officers</w:t>
      </w:r>
      <w:r w:rsidRPr="00064914" w:rsidR="00086722">
        <w:rPr>
          <w:rFonts w:ascii="Arial" w:hAnsi="Arial" w:cs="Arial"/>
          <w:sz w:val="22"/>
          <w:szCs w:val="22"/>
        </w:rPr>
        <w:t>.” </w:t>
      </w:r>
      <w:r w:rsidRPr="00064914">
        <w:rPr>
          <w:rFonts w:ascii="Arial" w:hAnsi="Arial" w:cs="Arial"/>
          <w:sz w:val="22"/>
          <w:szCs w:val="22"/>
        </w:rPr>
        <w:t xml:space="preserve"> </w:t>
      </w:r>
      <w:r w:rsidRPr="00064914" w:rsidR="0039231C">
        <w:rPr>
          <w:rFonts w:ascii="Arial" w:hAnsi="Arial" w:cs="Arial"/>
          <w:sz w:val="22"/>
          <w:szCs w:val="22"/>
        </w:rPr>
        <w:t xml:space="preserve">To estimate costs associated with </w:t>
      </w:r>
      <w:r w:rsidRPr="00064914" w:rsidR="001E533B">
        <w:rPr>
          <w:rFonts w:ascii="Arial" w:hAnsi="Arial" w:cs="Arial"/>
          <w:sz w:val="22"/>
          <w:szCs w:val="22"/>
        </w:rPr>
        <w:t>V</w:t>
      </w:r>
      <w:r w:rsidRPr="00064914" w:rsidR="0039231C">
        <w:rPr>
          <w:rFonts w:ascii="Arial" w:hAnsi="Arial" w:cs="Arial"/>
          <w:sz w:val="22"/>
          <w:szCs w:val="22"/>
        </w:rPr>
        <w:t xml:space="preserve">eteran respondent burden, VA used the </w:t>
      </w:r>
      <w:r w:rsidRPr="00064914" w:rsidR="001E533B">
        <w:rPr>
          <w:rFonts w:ascii="Arial" w:hAnsi="Arial" w:cs="Arial"/>
          <w:sz w:val="22"/>
          <w:szCs w:val="22"/>
        </w:rPr>
        <w:t>mean</w:t>
      </w:r>
      <w:r w:rsidRPr="00064914" w:rsidR="0039231C">
        <w:rPr>
          <w:rFonts w:ascii="Arial" w:hAnsi="Arial" w:cs="Arial"/>
          <w:sz w:val="22"/>
          <w:szCs w:val="22"/>
        </w:rPr>
        <w:t xml:space="preserve"> hourly wage for all occupations of $27.07 </w:t>
      </w:r>
      <w:r w:rsidRPr="00064914" w:rsidR="0039231C">
        <w:rPr>
          <w:rFonts w:ascii="Arial" w:hAnsi="Arial" w:cs="Arial"/>
          <w:sz w:val="22"/>
          <w:szCs w:val="22"/>
        </w:rPr>
        <w:t xml:space="preserve">per hour. </w:t>
      </w:r>
      <w:r w:rsidRPr="00064914">
        <w:rPr>
          <w:rFonts w:ascii="Arial" w:hAnsi="Arial" w:cs="Arial"/>
          <w:sz w:val="22"/>
          <w:szCs w:val="22"/>
        </w:rPr>
        <w:t>This information was taken from the following website:</w:t>
      </w:r>
      <w:r w:rsidRPr="00064914">
        <w:rPr>
          <w:sz w:val="22"/>
          <w:szCs w:val="22"/>
        </w:rPr>
        <w:t xml:space="preserve"> </w:t>
      </w:r>
      <w:hyperlink r:id="rId11" w:anchor="00-0000" w:history="1">
        <w:r w:rsidRPr="00064914" w:rsidR="00DA0A3E">
          <w:rPr>
            <w:rStyle w:val="Hyperlink"/>
            <w:rFonts w:ascii="Arial" w:hAnsi="Arial" w:cs="Arial"/>
            <w:sz w:val="22"/>
            <w:szCs w:val="22"/>
          </w:rPr>
          <w:t>https://www.bls.gov/oes/current/oes_nat.htm#00-0000</w:t>
        </w:r>
      </w:hyperlink>
      <w:r w:rsidRPr="00064914" w:rsidR="00DA0A3E">
        <w:rPr>
          <w:rFonts w:ascii="Arial" w:hAnsi="Arial" w:cs="Arial"/>
          <w:sz w:val="22"/>
          <w:szCs w:val="22"/>
        </w:rPr>
        <w:t xml:space="preserve"> </w:t>
      </w:r>
    </w:p>
    <w:p w:rsidR="009D7677" w:rsidRPr="00064914" w:rsidP="00563694" w14:paraId="6461E551" w14:textId="1AA7305E">
      <w:pPr>
        <w:rPr>
          <w:rFonts w:ascii="Arial" w:hAnsi="Arial" w:cs="Arial"/>
          <w:sz w:val="22"/>
          <w:szCs w:val="22"/>
        </w:rPr>
      </w:pPr>
    </w:p>
    <w:p w:rsidR="009D7677" w:rsidRPr="00064914" w:rsidP="00563694" w14:paraId="1AF734C2" w14:textId="10CF3901">
      <w:pPr>
        <w:rPr>
          <w:rFonts w:ascii="Arial" w:hAnsi="Arial" w:cs="Arial"/>
          <w:sz w:val="22"/>
          <w:szCs w:val="22"/>
        </w:rPr>
      </w:pPr>
      <w:r w:rsidRPr="00064914">
        <w:rPr>
          <w:rFonts w:ascii="Arial" w:hAnsi="Arial" w:cs="Arial"/>
          <w:sz w:val="22"/>
          <w:szCs w:val="22"/>
          <w:vertAlign w:val="superscript"/>
        </w:rPr>
        <w:t>3</w:t>
      </w:r>
      <w:r w:rsidRPr="00064914">
        <w:rPr>
          <w:rFonts w:ascii="Arial" w:hAnsi="Arial" w:cs="Arial"/>
          <w:sz w:val="22"/>
          <w:szCs w:val="22"/>
        </w:rPr>
        <w:t xml:space="preserve">Please note that </w:t>
      </w:r>
      <w:r w:rsidR="00C67F97">
        <w:rPr>
          <w:rFonts w:ascii="Arial" w:hAnsi="Arial" w:cs="Arial"/>
          <w:sz w:val="22"/>
          <w:szCs w:val="22"/>
        </w:rPr>
        <w:t xml:space="preserve">annual cost </w:t>
      </w:r>
      <w:r w:rsidRPr="00064914">
        <w:rPr>
          <w:rFonts w:ascii="Arial" w:hAnsi="Arial" w:cs="Arial"/>
          <w:sz w:val="22"/>
          <w:szCs w:val="22"/>
        </w:rPr>
        <w:t xml:space="preserve">calculations </w:t>
      </w:r>
      <w:r w:rsidR="00C67F97">
        <w:rPr>
          <w:rFonts w:ascii="Arial" w:hAnsi="Arial" w:cs="Arial"/>
          <w:sz w:val="22"/>
          <w:szCs w:val="22"/>
        </w:rPr>
        <w:t>do not reflect rounding</w:t>
      </w:r>
      <w:r w:rsidR="00F3202F">
        <w:rPr>
          <w:rFonts w:ascii="Arial" w:hAnsi="Arial" w:cs="Arial"/>
          <w:sz w:val="22"/>
          <w:szCs w:val="22"/>
        </w:rPr>
        <w:t xml:space="preserve"> of annual burden hours</w:t>
      </w:r>
      <w:r w:rsidR="00125AFE">
        <w:rPr>
          <w:rFonts w:ascii="Arial" w:hAnsi="Arial" w:cs="Arial"/>
          <w:sz w:val="22"/>
          <w:szCs w:val="22"/>
        </w:rPr>
        <w:t xml:space="preserve"> or fractional burden hours per response</w:t>
      </w:r>
      <w:r w:rsidRPr="00064914">
        <w:rPr>
          <w:rFonts w:ascii="Arial" w:hAnsi="Arial" w:cs="Arial"/>
          <w:sz w:val="22"/>
          <w:szCs w:val="22"/>
        </w:rPr>
        <w:t xml:space="preserve">. </w:t>
      </w:r>
    </w:p>
    <w:p w:rsidR="00073FEB" w:rsidRPr="00035C01" w:rsidP="001F2C7D" w14:paraId="32BDA469" w14:textId="77777777">
      <w:pPr>
        <w:rPr>
          <w:rFonts w:ascii="Arial" w:hAnsi="Arial" w:cs="Arial"/>
        </w:rPr>
      </w:pPr>
    </w:p>
    <w:p w:rsidR="0033557D" w:rsidRPr="00035C01" w:rsidP="001F2C7D" w14:paraId="4469E935" w14:textId="4DDA62CC">
      <w:pPr>
        <w:rPr>
          <w:rFonts w:ascii="Arial" w:hAnsi="Arial" w:cs="Arial"/>
          <w:b/>
        </w:rPr>
      </w:pPr>
      <w:r w:rsidRPr="00035C01">
        <w:rPr>
          <w:rFonts w:ascii="Arial" w:hAnsi="Arial" w:cs="Arial"/>
        </w:rPr>
        <w:t xml:space="preserve">     </w:t>
      </w:r>
      <w:r w:rsidRPr="00035C01" w:rsidR="003C2010">
        <w:rPr>
          <w:rFonts w:ascii="Arial" w:hAnsi="Arial" w:cs="Arial"/>
          <w:b/>
        </w:rPr>
        <w:t xml:space="preserve">13.  </w:t>
      </w:r>
      <w:r w:rsidRPr="00035C01">
        <w:rPr>
          <w:rFonts w:ascii="Arial" w:hAnsi="Arial" w:cs="Arial"/>
          <w:b/>
        </w:rPr>
        <w:t>Provide an estimate of the total annual cost burden to respondents or recordkeepers resulting from the collection of information.  (Do not include the cost of any hour burden shown in Items 12 and 14).</w:t>
      </w:r>
    </w:p>
    <w:p w:rsidR="0033557D" w:rsidRPr="00035C01" w:rsidP="001F2C7D" w14:paraId="4931C044" w14:textId="77777777">
      <w:pPr>
        <w:rPr>
          <w:rFonts w:ascii="Arial" w:hAnsi="Arial" w:cs="Arial"/>
        </w:rPr>
      </w:pPr>
    </w:p>
    <w:p w:rsidR="003C2010" w:rsidP="001F2C7D" w14:paraId="62EEECBE" w14:textId="00EA490C">
      <w:pPr>
        <w:rPr>
          <w:rFonts w:ascii="Arial" w:hAnsi="Arial" w:cs="Arial"/>
        </w:rPr>
      </w:pPr>
      <w:r>
        <w:rPr>
          <w:rFonts w:ascii="Arial" w:hAnsi="Arial" w:cs="Arial"/>
        </w:rPr>
        <w:t xml:space="preserve">     </w:t>
      </w:r>
      <w:r w:rsidRPr="00035C01">
        <w:rPr>
          <w:rFonts w:ascii="Arial" w:hAnsi="Arial" w:cs="Arial"/>
        </w:rPr>
        <w:t>This submission does not involve any recordkeeping costs.</w:t>
      </w:r>
    </w:p>
    <w:p w:rsidR="000753CB" w:rsidP="001F2C7D" w14:paraId="1FFF17F4" w14:textId="77777777">
      <w:pPr>
        <w:rPr>
          <w:rFonts w:ascii="Arial" w:hAnsi="Arial" w:cs="Arial"/>
        </w:rPr>
      </w:pPr>
    </w:p>
    <w:p w:rsidR="000753CB" w:rsidP="00841E6A" w14:paraId="35B51579" w14:textId="1DAD28A9">
      <w:pPr>
        <w:tabs>
          <w:tab w:val="left" w:pos="360"/>
        </w:tabs>
        <w:ind w:left="360" w:right="-540"/>
        <w:rPr>
          <w:rFonts w:ascii="Arial" w:hAnsi="Arial" w:cs="Arial"/>
          <w:szCs w:val="20"/>
        </w:rPr>
      </w:pPr>
      <w:r>
        <w:rPr>
          <w:rFonts w:ascii="Arial" w:hAnsi="Arial" w:cs="Arial"/>
        </w:rPr>
        <w:t xml:space="preserve">VA assumes a one-time startup cost associated with required software or information technology </w:t>
      </w:r>
      <w:r w:rsidR="00C22B6C">
        <w:rPr>
          <w:rFonts w:ascii="Arial" w:hAnsi="Arial" w:cs="Arial"/>
        </w:rPr>
        <w:t>alignment</w:t>
      </w:r>
      <w:r>
        <w:rPr>
          <w:rFonts w:ascii="Arial" w:hAnsi="Arial" w:cs="Arial"/>
        </w:rPr>
        <w:t xml:space="preserve"> necessary to generate the comparison disclosures</w:t>
      </w:r>
      <w:r w:rsidR="00E06D55">
        <w:rPr>
          <w:rFonts w:ascii="Arial" w:hAnsi="Arial" w:cs="Arial"/>
        </w:rPr>
        <w:t xml:space="preserve"> consistent with the revised information collection</w:t>
      </w:r>
      <w:r>
        <w:rPr>
          <w:rFonts w:ascii="Arial" w:hAnsi="Arial" w:cs="Arial"/>
        </w:rPr>
        <w:t>.  As previously noted, lending entities use loan origination systems (LOS) which automate the loan application process.  LOS are either proprietary or off</w:t>
      </w:r>
      <w:r w:rsidR="0077171F">
        <w:rPr>
          <w:rFonts w:ascii="Arial" w:hAnsi="Arial" w:cs="Arial"/>
        </w:rPr>
        <w:t>-</w:t>
      </w:r>
      <w:r>
        <w:rPr>
          <w:rFonts w:ascii="Arial" w:hAnsi="Arial" w:cs="Arial"/>
        </w:rPr>
        <w:t>the</w:t>
      </w:r>
      <w:r w:rsidR="0077171F">
        <w:rPr>
          <w:rFonts w:ascii="Arial" w:hAnsi="Arial" w:cs="Arial"/>
        </w:rPr>
        <w:t>-</w:t>
      </w:r>
      <w:r>
        <w:rPr>
          <w:rFonts w:ascii="Arial" w:hAnsi="Arial" w:cs="Arial"/>
        </w:rPr>
        <w:t xml:space="preserve">shelf software products, by which the information collected by the entities is displayed in a disclosure format by the entity.  VBA internal data reflects that approximately </w:t>
      </w:r>
      <w:r w:rsidR="00886341">
        <w:rPr>
          <w:rFonts w:ascii="Arial" w:hAnsi="Arial" w:cs="Arial"/>
        </w:rPr>
        <w:t>1,202</w:t>
      </w:r>
      <w:r>
        <w:rPr>
          <w:rFonts w:ascii="Arial" w:hAnsi="Arial" w:cs="Arial"/>
        </w:rPr>
        <w:t xml:space="preserve"> active VA lenders made at least </w:t>
      </w:r>
      <w:r w:rsidR="002B5312">
        <w:rPr>
          <w:rFonts w:ascii="Arial" w:hAnsi="Arial" w:cs="Arial"/>
        </w:rPr>
        <w:t>one IRRRL</w:t>
      </w:r>
      <w:r>
        <w:rPr>
          <w:rFonts w:ascii="Arial" w:hAnsi="Arial" w:cs="Arial"/>
        </w:rPr>
        <w:t xml:space="preserve"> during the last three fiscal years.  As </w:t>
      </w:r>
      <w:r w:rsidR="004C4D85">
        <w:rPr>
          <w:rFonts w:ascii="Arial" w:hAnsi="Arial" w:cs="Arial"/>
        </w:rPr>
        <w:t>VA is conform</w:t>
      </w:r>
      <w:r w:rsidR="001270EC">
        <w:rPr>
          <w:rFonts w:ascii="Arial" w:hAnsi="Arial" w:cs="Arial"/>
        </w:rPr>
        <w:t>ing</w:t>
      </w:r>
      <w:r w:rsidR="004C4D85">
        <w:rPr>
          <w:rFonts w:ascii="Arial" w:hAnsi="Arial" w:cs="Arial"/>
        </w:rPr>
        <w:t xml:space="preserve"> requirements to its rulemaking on IRRRLs, </w:t>
      </w:r>
      <w:r w:rsidR="00A90E8C">
        <w:rPr>
          <w:rFonts w:ascii="Arial" w:hAnsi="Arial" w:cs="Arial"/>
        </w:rPr>
        <w:t xml:space="preserve">and </w:t>
      </w:r>
      <w:r w:rsidR="004C4D85">
        <w:rPr>
          <w:rFonts w:ascii="Arial" w:hAnsi="Arial" w:cs="Arial"/>
        </w:rPr>
        <w:t xml:space="preserve">the timing of </w:t>
      </w:r>
      <w:r>
        <w:rPr>
          <w:rFonts w:ascii="Arial" w:hAnsi="Arial" w:cs="Arial"/>
        </w:rPr>
        <w:t>this information collection</w:t>
      </w:r>
      <w:r w:rsidR="004C4D85">
        <w:rPr>
          <w:rFonts w:ascii="Arial" w:hAnsi="Arial" w:cs="Arial"/>
        </w:rPr>
        <w:t xml:space="preserve"> </w:t>
      </w:r>
      <w:r w:rsidR="00A90E8C">
        <w:rPr>
          <w:rFonts w:ascii="Arial" w:hAnsi="Arial" w:cs="Arial"/>
        </w:rPr>
        <w:t xml:space="preserve">would change based on that </w:t>
      </w:r>
      <w:r>
        <w:rPr>
          <w:rFonts w:ascii="Arial" w:hAnsi="Arial" w:cs="Arial"/>
        </w:rPr>
        <w:t>regulation, each of these lenders will need to modify their LOS to include th</w:t>
      </w:r>
      <w:r w:rsidR="002C338F">
        <w:rPr>
          <w:rFonts w:ascii="Arial" w:hAnsi="Arial" w:cs="Arial"/>
        </w:rPr>
        <w:t>ese</w:t>
      </w:r>
      <w:r w:rsidR="00A90E8C">
        <w:rPr>
          <w:rFonts w:ascii="Arial" w:hAnsi="Arial" w:cs="Arial"/>
        </w:rPr>
        <w:t xml:space="preserve"> </w:t>
      </w:r>
      <w:r w:rsidR="007F1AE7">
        <w:rPr>
          <w:rFonts w:ascii="Arial" w:hAnsi="Arial" w:cs="Arial"/>
        </w:rPr>
        <w:t>comparison</w:t>
      </w:r>
      <w:r>
        <w:rPr>
          <w:rFonts w:ascii="Arial" w:hAnsi="Arial" w:cs="Arial"/>
        </w:rPr>
        <w:t xml:space="preserve"> disclosure</w:t>
      </w:r>
      <w:r w:rsidR="002C338F">
        <w:rPr>
          <w:rFonts w:ascii="Arial" w:hAnsi="Arial" w:cs="Arial"/>
        </w:rPr>
        <w:t>s</w:t>
      </w:r>
      <w:r w:rsidR="00A90E8C">
        <w:rPr>
          <w:rFonts w:ascii="Arial" w:hAnsi="Arial" w:cs="Arial"/>
        </w:rPr>
        <w:t xml:space="preserve"> at the appropriate points in the loan process</w:t>
      </w:r>
      <w:r>
        <w:rPr>
          <w:rFonts w:ascii="Arial" w:hAnsi="Arial" w:cs="Arial"/>
        </w:rPr>
        <w:t xml:space="preserve">.  </w:t>
      </w:r>
    </w:p>
    <w:p w:rsidR="000753CB" w:rsidP="000753CB" w14:paraId="7F058650" w14:textId="77777777">
      <w:pPr>
        <w:tabs>
          <w:tab w:val="left" w:pos="360"/>
        </w:tabs>
        <w:ind w:right="-540"/>
        <w:rPr>
          <w:rFonts w:ascii="Arial" w:hAnsi="Arial" w:cs="Arial"/>
        </w:rPr>
      </w:pPr>
    </w:p>
    <w:p w:rsidR="000753CB" w:rsidP="00841E6A" w14:paraId="11FEB695" w14:textId="66DF5800">
      <w:pPr>
        <w:tabs>
          <w:tab w:val="left" w:pos="360"/>
        </w:tabs>
        <w:ind w:left="360" w:right="-540"/>
        <w:rPr>
          <w:rFonts w:ascii="Arial" w:hAnsi="Arial" w:cs="Arial"/>
        </w:rPr>
      </w:pPr>
      <w:r>
        <w:rPr>
          <w:rFonts w:ascii="Arial" w:hAnsi="Arial" w:cs="Arial"/>
        </w:rPr>
        <w:t xml:space="preserve">VA notes that the cost to lenders for this </w:t>
      </w:r>
      <w:r w:rsidR="00C22B6C">
        <w:rPr>
          <w:rFonts w:ascii="Arial" w:hAnsi="Arial" w:cs="Arial"/>
        </w:rPr>
        <w:t xml:space="preserve">one-time </w:t>
      </w:r>
      <w:r>
        <w:rPr>
          <w:rFonts w:ascii="Arial" w:hAnsi="Arial" w:cs="Arial"/>
        </w:rPr>
        <w:t>technolog</w:t>
      </w:r>
      <w:r w:rsidR="00C22B6C">
        <w:rPr>
          <w:rFonts w:ascii="Arial" w:hAnsi="Arial" w:cs="Arial"/>
        </w:rPr>
        <w:t>y alignment</w:t>
      </w:r>
      <w:r>
        <w:rPr>
          <w:rFonts w:ascii="Arial" w:hAnsi="Arial" w:cs="Arial"/>
        </w:rPr>
        <w:t xml:space="preserve"> is dependent on two factors.  First, whether the lending entity utilizes a LOS developed by a company with a large market share of LOS software.  VA assumes that these companies will modify their product document libraries to include the disclosure</w:t>
      </w:r>
      <w:r w:rsidR="002C338F">
        <w:rPr>
          <w:rFonts w:ascii="Arial" w:hAnsi="Arial" w:cs="Arial"/>
        </w:rPr>
        <w:t>s</w:t>
      </w:r>
      <w:r>
        <w:rPr>
          <w:rFonts w:ascii="Arial" w:hAnsi="Arial" w:cs="Arial"/>
        </w:rPr>
        <w:t xml:space="preserve"> covered by this information collection, thereby eliminating the need for lending entities who utilize that software to make any technology </w:t>
      </w:r>
      <w:r w:rsidR="0048308A">
        <w:rPr>
          <w:rFonts w:ascii="Arial" w:hAnsi="Arial" w:cs="Arial"/>
        </w:rPr>
        <w:t>alignment</w:t>
      </w:r>
      <w:r>
        <w:rPr>
          <w:rFonts w:ascii="Arial" w:hAnsi="Arial" w:cs="Arial"/>
        </w:rPr>
        <w:t xml:space="preserve"> associated with this information collection.  VA assumes that 80 percent of VA’s active lenders (i.e., </w:t>
      </w:r>
      <w:r w:rsidR="00BD7EEC">
        <w:rPr>
          <w:rFonts w:ascii="Arial" w:hAnsi="Arial" w:cs="Arial"/>
        </w:rPr>
        <w:t>962</w:t>
      </w:r>
      <w:r>
        <w:rPr>
          <w:rFonts w:ascii="Arial" w:hAnsi="Arial" w:cs="Arial"/>
        </w:rPr>
        <w:t xml:space="preserve"> lenders) utilize a LOS provided by one of these larger software companies.</w:t>
      </w:r>
    </w:p>
    <w:p w:rsidR="000753CB" w:rsidP="000753CB" w14:paraId="73AF2DFE" w14:textId="77777777">
      <w:pPr>
        <w:tabs>
          <w:tab w:val="left" w:pos="360"/>
        </w:tabs>
        <w:ind w:right="-540"/>
        <w:rPr>
          <w:rFonts w:ascii="Arial" w:hAnsi="Arial" w:cs="Arial"/>
        </w:rPr>
      </w:pPr>
    </w:p>
    <w:p w:rsidR="000753CB" w:rsidP="00841E6A" w14:paraId="22846E80" w14:textId="779FBE95">
      <w:pPr>
        <w:tabs>
          <w:tab w:val="left" w:pos="360"/>
        </w:tabs>
        <w:ind w:left="360" w:right="-540"/>
        <w:rPr>
          <w:rFonts w:ascii="Arial" w:hAnsi="Arial" w:cs="Arial"/>
        </w:rPr>
      </w:pPr>
      <w:r>
        <w:rPr>
          <w:rFonts w:ascii="Arial" w:hAnsi="Arial" w:cs="Arial"/>
        </w:rPr>
        <w:t>The second factor relevant to VA’s estimate is whether these LOS software companies will update their</w:t>
      </w:r>
      <w:r w:rsidR="00120B79">
        <w:rPr>
          <w:rFonts w:ascii="Arial" w:hAnsi="Arial" w:cs="Arial"/>
        </w:rPr>
        <w:t xml:space="preserve"> IRRRL</w:t>
      </w:r>
      <w:r>
        <w:rPr>
          <w:rFonts w:ascii="Arial" w:hAnsi="Arial" w:cs="Arial"/>
        </w:rPr>
        <w:t xml:space="preserve"> products by the time lenders must comply with </w:t>
      </w:r>
      <w:r w:rsidR="00120B79">
        <w:rPr>
          <w:rFonts w:ascii="Arial" w:hAnsi="Arial" w:cs="Arial"/>
        </w:rPr>
        <w:t>the standardization under this</w:t>
      </w:r>
      <w:r>
        <w:rPr>
          <w:rFonts w:ascii="Arial" w:hAnsi="Arial" w:cs="Arial"/>
        </w:rPr>
        <w:t xml:space="preserve"> regulatory information collection</w:t>
      </w:r>
      <w:r w:rsidR="00120B79">
        <w:rPr>
          <w:rFonts w:ascii="Arial" w:hAnsi="Arial" w:cs="Arial"/>
        </w:rPr>
        <w:t xml:space="preserve"> revision</w:t>
      </w:r>
      <w:r>
        <w:rPr>
          <w:rFonts w:ascii="Arial" w:hAnsi="Arial" w:cs="Arial"/>
        </w:rPr>
        <w:t xml:space="preserve">.  If not, then lenders will be forced to </w:t>
      </w:r>
      <w:r w:rsidR="005B13D0">
        <w:rPr>
          <w:rFonts w:ascii="Arial" w:hAnsi="Arial" w:cs="Arial"/>
        </w:rPr>
        <w:t>generate</w:t>
      </w:r>
      <w:r>
        <w:rPr>
          <w:rFonts w:ascii="Arial" w:hAnsi="Arial" w:cs="Arial"/>
        </w:rPr>
        <w:t xml:space="preserve"> </w:t>
      </w:r>
      <w:r w:rsidRPr="00A71E62">
        <w:rPr>
          <w:rFonts w:ascii="Arial" w:hAnsi="Arial" w:cs="Arial"/>
        </w:rPr>
        <w:t>disclosure forms consistent with this information collection</w:t>
      </w:r>
      <w:r w:rsidRPr="00A71E62" w:rsidR="002B5312">
        <w:rPr>
          <w:rFonts w:ascii="Arial" w:hAnsi="Arial" w:cs="Arial"/>
        </w:rPr>
        <w:t xml:space="preserve"> and its standardized disclosure form</w:t>
      </w:r>
      <w:r w:rsidRPr="00A71E62">
        <w:rPr>
          <w:rFonts w:ascii="Arial" w:hAnsi="Arial" w:cs="Arial"/>
        </w:rPr>
        <w:t xml:space="preserve">.  VA acknowledges that some lenders’ LOS includes an option to create custom forms; lenders whose LOS does not provide such option must contract with a third-party to customize their LOS.  VA did not consider this to a be a significant factor in calculating the cost of completing this one-time technology </w:t>
      </w:r>
      <w:r w:rsidRPr="00A71E62" w:rsidR="0048308A">
        <w:rPr>
          <w:rFonts w:ascii="Arial" w:hAnsi="Arial" w:cs="Arial"/>
        </w:rPr>
        <w:t>alignment</w:t>
      </w:r>
      <w:r w:rsidRPr="00A71E62">
        <w:rPr>
          <w:rFonts w:ascii="Arial" w:hAnsi="Arial" w:cs="Arial"/>
        </w:rPr>
        <w:t>.</w:t>
      </w:r>
    </w:p>
    <w:p w:rsidR="000753CB" w:rsidP="000753CB" w14:paraId="4D8FD67A" w14:textId="77777777">
      <w:pPr>
        <w:tabs>
          <w:tab w:val="left" w:pos="360"/>
        </w:tabs>
        <w:ind w:right="-540"/>
        <w:rPr>
          <w:rFonts w:ascii="Arial" w:hAnsi="Arial" w:cs="Arial"/>
        </w:rPr>
      </w:pPr>
    </w:p>
    <w:p w:rsidR="000753CB" w:rsidP="00841E6A" w14:paraId="2223E615" w14:textId="60F00D7C">
      <w:pPr>
        <w:tabs>
          <w:tab w:val="left" w:pos="360"/>
        </w:tabs>
        <w:ind w:left="360" w:right="-540"/>
        <w:rPr>
          <w:rFonts w:ascii="Arial" w:hAnsi="Arial" w:cs="Arial"/>
        </w:rPr>
      </w:pPr>
      <w:r>
        <w:rPr>
          <w:rFonts w:ascii="Arial" w:hAnsi="Arial" w:cs="Arial"/>
        </w:rPr>
        <w:t xml:space="preserve">Considering these two factors, VA has provided a high/low estimate of the one-time technology costs associated with this information collection.  The low estimate assumes that 80 percent of affected lending entities will not be required to complete any technology </w:t>
      </w:r>
      <w:r w:rsidR="0048308A">
        <w:rPr>
          <w:rFonts w:ascii="Arial" w:hAnsi="Arial" w:cs="Arial"/>
        </w:rPr>
        <w:t>alignment</w:t>
      </w:r>
      <w:r>
        <w:rPr>
          <w:rFonts w:ascii="Arial" w:hAnsi="Arial" w:cs="Arial"/>
        </w:rPr>
        <w:t xml:space="preserve"> as the LOS software companies will update their products in time to enable lenders to comply with the regulatory requirements.  The costs therefore represent the </w:t>
      </w:r>
      <w:r>
        <w:rPr>
          <w:rFonts w:ascii="Arial" w:hAnsi="Arial" w:cs="Arial"/>
        </w:rPr>
        <w:t>costs to the remaining 20 percent of lenders that will need to complete a technology</w:t>
      </w:r>
      <w:r w:rsidR="0048308A">
        <w:rPr>
          <w:rFonts w:ascii="Arial" w:hAnsi="Arial" w:cs="Arial"/>
        </w:rPr>
        <w:t xml:space="preserve"> alignment</w:t>
      </w:r>
      <w:r>
        <w:rPr>
          <w:rFonts w:ascii="Arial" w:hAnsi="Arial" w:cs="Arial"/>
        </w:rPr>
        <w:t xml:space="preserve"> to generate the disclosure</w:t>
      </w:r>
      <w:r w:rsidR="00CB5A74">
        <w:rPr>
          <w:rFonts w:ascii="Arial" w:hAnsi="Arial" w:cs="Arial"/>
        </w:rPr>
        <w:t>s</w:t>
      </w:r>
      <w:r>
        <w:rPr>
          <w:rFonts w:ascii="Arial" w:hAnsi="Arial" w:cs="Arial"/>
        </w:rPr>
        <w:t xml:space="preserve"> in their LOS.  The high estimate assumes that no LOS product updates will be in place on time and all </w:t>
      </w:r>
      <w:r w:rsidR="0053421E">
        <w:rPr>
          <w:rFonts w:ascii="Arial" w:hAnsi="Arial" w:cs="Arial"/>
        </w:rPr>
        <w:t>1,202</w:t>
      </w:r>
      <w:r w:rsidR="00CB5A74">
        <w:rPr>
          <w:rFonts w:ascii="Arial" w:hAnsi="Arial" w:cs="Arial"/>
        </w:rPr>
        <w:t xml:space="preserve"> </w:t>
      </w:r>
      <w:r>
        <w:rPr>
          <w:rFonts w:ascii="Arial" w:hAnsi="Arial" w:cs="Arial"/>
        </w:rPr>
        <w:t xml:space="preserve">lenders will be required to assume the costs of completing a technology </w:t>
      </w:r>
      <w:r w:rsidR="0048308A">
        <w:rPr>
          <w:rFonts w:ascii="Arial" w:hAnsi="Arial" w:cs="Arial"/>
        </w:rPr>
        <w:t>alignment</w:t>
      </w:r>
      <w:r>
        <w:rPr>
          <w:rFonts w:ascii="Arial" w:hAnsi="Arial" w:cs="Arial"/>
        </w:rPr>
        <w:t xml:space="preserve"> to generate their disclosure</w:t>
      </w:r>
      <w:r w:rsidR="00CB5A74">
        <w:rPr>
          <w:rFonts w:ascii="Arial" w:hAnsi="Arial" w:cs="Arial"/>
        </w:rPr>
        <w:t>s</w:t>
      </w:r>
      <w:r>
        <w:rPr>
          <w:rFonts w:ascii="Arial" w:hAnsi="Arial" w:cs="Arial"/>
        </w:rPr>
        <w:t xml:space="preserve">.  </w:t>
      </w:r>
    </w:p>
    <w:p w:rsidR="000753CB" w:rsidP="000753CB" w14:paraId="563E6C59" w14:textId="77777777">
      <w:pPr>
        <w:tabs>
          <w:tab w:val="left" w:pos="360"/>
        </w:tabs>
        <w:ind w:right="-540"/>
        <w:rPr>
          <w:rFonts w:ascii="Arial" w:hAnsi="Arial" w:cs="Arial"/>
        </w:rPr>
      </w:pPr>
    </w:p>
    <w:p w:rsidR="000753CB" w:rsidP="000753CB" w14:paraId="33CF7F6E" w14:textId="02917BF6">
      <w:pPr>
        <w:tabs>
          <w:tab w:val="left" w:pos="360"/>
        </w:tabs>
        <w:ind w:right="-540"/>
        <w:rPr>
          <w:rFonts w:ascii="Arial" w:hAnsi="Arial" w:cs="Arial"/>
        </w:rPr>
      </w:pPr>
      <w:r>
        <w:rPr>
          <w:rFonts w:ascii="Arial" w:hAnsi="Arial" w:cs="Arial"/>
        </w:rPr>
        <w:tab/>
        <w:t>Estimated One-Time Technology Costs:</w:t>
      </w:r>
      <w:r>
        <w:rPr>
          <w:rStyle w:val="FootnoteReference"/>
          <w:rFonts w:ascii="Arial" w:hAnsi="Arial" w:cs="Arial"/>
        </w:rPr>
        <w:footnoteReference w:id="3"/>
      </w:r>
    </w:p>
    <w:p w:rsidR="000753CB" w:rsidP="00CB7EAA" w14:paraId="3A58646C" w14:textId="31FA4D6F">
      <w:pPr>
        <w:tabs>
          <w:tab w:val="left" w:pos="360"/>
        </w:tabs>
        <w:ind w:left="360" w:right="-540"/>
        <w:rPr>
          <w:rFonts w:ascii="Arial" w:hAnsi="Arial" w:cs="Arial"/>
        </w:rPr>
      </w:pPr>
    </w:p>
    <w:tbl>
      <w:tblPr>
        <w:tblW w:w="917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1"/>
        <w:gridCol w:w="1179"/>
        <w:gridCol w:w="2174"/>
        <w:gridCol w:w="1319"/>
        <w:gridCol w:w="1319"/>
        <w:gridCol w:w="1593"/>
      </w:tblGrid>
      <w:tr w14:paraId="4C8BCA99" w14:textId="77777777" w:rsidTr="0048251D">
        <w:tblPrEx>
          <w:tblW w:w="917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91" w:type="dxa"/>
            <w:tcBorders>
              <w:top w:val="single" w:sz="4" w:space="0" w:color="auto"/>
              <w:left w:val="single" w:sz="4" w:space="0" w:color="auto"/>
              <w:bottom w:val="single" w:sz="4" w:space="0" w:color="auto"/>
              <w:right w:val="single" w:sz="4" w:space="0" w:color="auto"/>
            </w:tcBorders>
          </w:tcPr>
          <w:p w:rsidR="000753CB" w14:paraId="6C114552" w14:textId="77777777">
            <w:pPr>
              <w:tabs>
                <w:tab w:val="left" w:pos="360"/>
              </w:tabs>
              <w:spacing w:line="256" w:lineRule="auto"/>
              <w:ind w:right="-540"/>
              <w:rPr>
                <w:rFonts w:ascii="Arial" w:hAnsi="Arial" w:cs="Arial"/>
                <w:sz w:val="22"/>
              </w:rPr>
            </w:pPr>
          </w:p>
        </w:tc>
        <w:tc>
          <w:tcPr>
            <w:tcW w:w="1179" w:type="dxa"/>
            <w:tcBorders>
              <w:top w:val="single" w:sz="4" w:space="0" w:color="auto"/>
              <w:left w:val="single" w:sz="4" w:space="0" w:color="auto"/>
              <w:bottom w:val="single" w:sz="4" w:space="0" w:color="auto"/>
              <w:right w:val="single" w:sz="4" w:space="0" w:color="auto"/>
            </w:tcBorders>
            <w:hideMark/>
          </w:tcPr>
          <w:p w:rsidR="000753CB" w14:paraId="6D9D3C91" w14:textId="77777777">
            <w:pPr>
              <w:tabs>
                <w:tab w:val="left" w:pos="360"/>
              </w:tabs>
              <w:spacing w:line="256" w:lineRule="auto"/>
              <w:ind w:right="-540"/>
              <w:rPr>
                <w:rFonts w:ascii="Arial" w:hAnsi="Arial" w:cs="Arial"/>
                <w:i/>
                <w:sz w:val="22"/>
              </w:rPr>
            </w:pPr>
            <w:r>
              <w:rPr>
                <w:rFonts w:ascii="Arial" w:hAnsi="Arial" w:cs="Arial"/>
                <w:i/>
                <w:sz w:val="22"/>
              </w:rPr>
              <w:t xml:space="preserve">Lending </w:t>
            </w:r>
          </w:p>
          <w:p w:rsidR="000753CB" w14:paraId="44298887" w14:textId="77777777">
            <w:pPr>
              <w:tabs>
                <w:tab w:val="left" w:pos="360"/>
              </w:tabs>
              <w:spacing w:line="256" w:lineRule="auto"/>
              <w:ind w:right="-540"/>
              <w:rPr>
                <w:rFonts w:ascii="Arial" w:hAnsi="Arial" w:cs="Arial"/>
                <w:sz w:val="22"/>
              </w:rPr>
            </w:pPr>
            <w:r>
              <w:rPr>
                <w:rFonts w:ascii="Arial" w:hAnsi="Arial" w:cs="Arial"/>
                <w:i/>
                <w:sz w:val="22"/>
              </w:rPr>
              <w:t>Entities</w:t>
            </w:r>
          </w:p>
        </w:tc>
        <w:tc>
          <w:tcPr>
            <w:tcW w:w="2174" w:type="dxa"/>
            <w:tcBorders>
              <w:top w:val="single" w:sz="4" w:space="0" w:color="auto"/>
              <w:left w:val="single" w:sz="4" w:space="0" w:color="auto"/>
              <w:bottom w:val="single" w:sz="4" w:space="0" w:color="auto"/>
              <w:right w:val="single" w:sz="4" w:space="0" w:color="auto"/>
            </w:tcBorders>
            <w:hideMark/>
          </w:tcPr>
          <w:p w:rsidR="000753CB" w14:paraId="086774A5" w14:textId="77777777">
            <w:pPr>
              <w:tabs>
                <w:tab w:val="left" w:pos="360"/>
              </w:tabs>
              <w:spacing w:line="256" w:lineRule="auto"/>
              <w:ind w:right="-540"/>
              <w:rPr>
                <w:rFonts w:ascii="Arial" w:hAnsi="Arial" w:cs="Arial"/>
                <w:i/>
                <w:sz w:val="22"/>
              </w:rPr>
            </w:pPr>
            <w:r>
              <w:rPr>
                <w:rFonts w:ascii="Arial" w:hAnsi="Arial" w:cs="Arial"/>
                <w:i/>
                <w:sz w:val="22"/>
              </w:rPr>
              <w:t>Year 1</w:t>
            </w:r>
          </w:p>
        </w:tc>
        <w:tc>
          <w:tcPr>
            <w:tcW w:w="1319" w:type="dxa"/>
            <w:tcBorders>
              <w:top w:val="single" w:sz="4" w:space="0" w:color="auto"/>
              <w:left w:val="single" w:sz="4" w:space="0" w:color="auto"/>
              <w:bottom w:val="single" w:sz="4" w:space="0" w:color="auto"/>
              <w:right w:val="single" w:sz="4" w:space="0" w:color="auto"/>
            </w:tcBorders>
            <w:hideMark/>
          </w:tcPr>
          <w:p w:rsidR="000753CB" w14:paraId="03F28A01" w14:textId="77777777">
            <w:pPr>
              <w:tabs>
                <w:tab w:val="left" w:pos="360"/>
              </w:tabs>
              <w:spacing w:line="256" w:lineRule="auto"/>
              <w:ind w:right="-540"/>
              <w:rPr>
                <w:rFonts w:ascii="Arial" w:hAnsi="Arial" w:cs="Arial"/>
                <w:i/>
                <w:sz w:val="22"/>
              </w:rPr>
            </w:pPr>
            <w:r>
              <w:rPr>
                <w:rFonts w:ascii="Arial" w:hAnsi="Arial" w:cs="Arial"/>
                <w:i/>
                <w:sz w:val="22"/>
              </w:rPr>
              <w:t>Year 2</w:t>
            </w:r>
          </w:p>
        </w:tc>
        <w:tc>
          <w:tcPr>
            <w:tcW w:w="1319" w:type="dxa"/>
            <w:tcBorders>
              <w:top w:val="single" w:sz="4" w:space="0" w:color="auto"/>
              <w:left w:val="single" w:sz="4" w:space="0" w:color="auto"/>
              <w:bottom w:val="single" w:sz="4" w:space="0" w:color="auto"/>
              <w:right w:val="single" w:sz="4" w:space="0" w:color="auto"/>
            </w:tcBorders>
            <w:hideMark/>
          </w:tcPr>
          <w:p w:rsidR="000753CB" w14:paraId="0AA4F45A" w14:textId="77777777">
            <w:pPr>
              <w:tabs>
                <w:tab w:val="left" w:pos="360"/>
              </w:tabs>
              <w:spacing w:line="256" w:lineRule="auto"/>
              <w:ind w:right="-540"/>
              <w:rPr>
                <w:rFonts w:ascii="Arial" w:hAnsi="Arial" w:cs="Arial"/>
                <w:i/>
                <w:sz w:val="22"/>
              </w:rPr>
            </w:pPr>
            <w:r>
              <w:rPr>
                <w:rFonts w:ascii="Arial" w:hAnsi="Arial" w:cs="Arial"/>
                <w:i/>
                <w:sz w:val="22"/>
              </w:rPr>
              <w:t>Year 3</w:t>
            </w:r>
          </w:p>
        </w:tc>
        <w:tc>
          <w:tcPr>
            <w:tcW w:w="1593" w:type="dxa"/>
            <w:tcBorders>
              <w:top w:val="single" w:sz="4" w:space="0" w:color="auto"/>
              <w:left w:val="single" w:sz="4" w:space="0" w:color="auto"/>
              <w:bottom w:val="single" w:sz="4" w:space="0" w:color="auto"/>
              <w:right w:val="single" w:sz="4" w:space="0" w:color="auto"/>
            </w:tcBorders>
            <w:hideMark/>
          </w:tcPr>
          <w:p w:rsidR="000753CB" w14:paraId="753EC5B5" w14:textId="77777777">
            <w:pPr>
              <w:tabs>
                <w:tab w:val="left" w:pos="360"/>
              </w:tabs>
              <w:spacing w:line="256" w:lineRule="auto"/>
              <w:ind w:right="-540"/>
              <w:rPr>
                <w:rFonts w:ascii="Arial" w:hAnsi="Arial" w:cs="Arial"/>
                <w:i/>
                <w:sz w:val="22"/>
              </w:rPr>
            </w:pPr>
            <w:r>
              <w:rPr>
                <w:rFonts w:ascii="Arial" w:hAnsi="Arial" w:cs="Arial"/>
                <w:i/>
                <w:sz w:val="22"/>
              </w:rPr>
              <w:t>Annual</w:t>
            </w:r>
          </w:p>
          <w:p w:rsidR="000753CB" w14:paraId="0433A69F" w14:textId="77777777">
            <w:pPr>
              <w:tabs>
                <w:tab w:val="left" w:pos="360"/>
              </w:tabs>
              <w:spacing w:line="256" w:lineRule="auto"/>
              <w:ind w:right="-540"/>
              <w:rPr>
                <w:rFonts w:ascii="Arial" w:hAnsi="Arial" w:cs="Arial"/>
                <w:sz w:val="22"/>
              </w:rPr>
            </w:pPr>
            <w:r>
              <w:rPr>
                <w:rFonts w:ascii="Arial" w:hAnsi="Arial" w:cs="Arial"/>
                <w:i/>
                <w:sz w:val="22"/>
              </w:rPr>
              <w:t>Average Cost</w:t>
            </w:r>
          </w:p>
        </w:tc>
      </w:tr>
      <w:tr w14:paraId="09049355" w14:textId="77777777" w:rsidTr="0048251D">
        <w:tblPrEx>
          <w:tblW w:w="9175" w:type="dxa"/>
          <w:tblInd w:w="360" w:type="dxa"/>
          <w:tblLook w:val="04A0"/>
        </w:tblPrEx>
        <w:tc>
          <w:tcPr>
            <w:tcW w:w="1591" w:type="dxa"/>
            <w:tcBorders>
              <w:top w:val="single" w:sz="4" w:space="0" w:color="auto"/>
              <w:left w:val="single" w:sz="4" w:space="0" w:color="auto"/>
              <w:bottom w:val="single" w:sz="4" w:space="0" w:color="auto"/>
              <w:right w:val="single" w:sz="4" w:space="0" w:color="auto"/>
            </w:tcBorders>
            <w:hideMark/>
          </w:tcPr>
          <w:p w:rsidR="000753CB" w14:paraId="29E82933" w14:textId="77777777">
            <w:pPr>
              <w:tabs>
                <w:tab w:val="left" w:pos="360"/>
              </w:tabs>
              <w:spacing w:line="256" w:lineRule="auto"/>
              <w:ind w:right="-540"/>
              <w:rPr>
                <w:rFonts w:ascii="Arial" w:hAnsi="Arial" w:cs="Arial"/>
                <w:i/>
                <w:sz w:val="22"/>
              </w:rPr>
            </w:pPr>
            <w:r>
              <w:rPr>
                <w:rFonts w:ascii="Arial" w:hAnsi="Arial" w:cs="Arial"/>
                <w:i/>
                <w:sz w:val="22"/>
              </w:rPr>
              <w:t xml:space="preserve">High </w:t>
            </w:r>
          </w:p>
        </w:tc>
        <w:tc>
          <w:tcPr>
            <w:tcW w:w="1179" w:type="dxa"/>
            <w:tcBorders>
              <w:top w:val="single" w:sz="4" w:space="0" w:color="auto"/>
              <w:left w:val="single" w:sz="4" w:space="0" w:color="auto"/>
              <w:bottom w:val="single" w:sz="4" w:space="0" w:color="auto"/>
              <w:right w:val="single" w:sz="4" w:space="0" w:color="auto"/>
            </w:tcBorders>
            <w:hideMark/>
          </w:tcPr>
          <w:p w:rsidR="000753CB" w14:paraId="4A81464B" w14:textId="3461530C">
            <w:pPr>
              <w:tabs>
                <w:tab w:val="left" w:pos="360"/>
              </w:tabs>
              <w:spacing w:line="256" w:lineRule="auto"/>
              <w:ind w:right="-540"/>
              <w:rPr>
                <w:rFonts w:ascii="Arial" w:hAnsi="Arial" w:cs="Arial"/>
                <w:sz w:val="22"/>
              </w:rPr>
            </w:pPr>
            <w:r>
              <w:rPr>
                <w:rFonts w:ascii="Arial" w:hAnsi="Arial" w:cs="Arial"/>
                <w:sz w:val="22"/>
              </w:rPr>
              <w:t>1,202</w:t>
            </w:r>
            <w:r>
              <w:rPr>
                <w:rFonts w:ascii="Arial" w:hAnsi="Arial" w:cs="Arial"/>
                <w:sz w:val="22"/>
              </w:rPr>
              <w:t xml:space="preserve"> </w:t>
            </w:r>
          </w:p>
        </w:tc>
        <w:tc>
          <w:tcPr>
            <w:tcW w:w="2174" w:type="dxa"/>
            <w:tcBorders>
              <w:top w:val="single" w:sz="4" w:space="0" w:color="auto"/>
              <w:left w:val="single" w:sz="4" w:space="0" w:color="auto"/>
              <w:bottom w:val="single" w:sz="4" w:space="0" w:color="auto"/>
              <w:right w:val="single" w:sz="4" w:space="0" w:color="auto"/>
            </w:tcBorders>
            <w:hideMark/>
          </w:tcPr>
          <w:p w:rsidR="000753CB" w14:paraId="5C7290FF" w14:textId="0AE3AE54">
            <w:pPr>
              <w:tabs>
                <w:tab w:val="left" w:pos="360"/>
              </w:tabs>
              <w:spacing w:line="256" w:lineRule="auto"/>
              <w:ind w:right="-540"/>
              <w:rPr>
                <w:rFonts w:ascii="Arial" w:hAnsi="Arial" w:cs="Arial"/>
                <w:sz w:val="22"/>
              </w:rPr>
            </w:pPr>
            <w:r w:rsidRPr="00CB7EAA">
              <w:rPr>
                <w:rFonts w:ascii="Arial" w:hAnsi="Arial" w:cs="Arial"/>
                <w:sz w:val="22"/>
              </w:rPr>
              <w:t>$</w:t>
            </w:r>
            <w:r w:rsidR="00983C52">
              <w:rPr>
                <w:rFonts w:ascii="Arial" w:hAnsi="Arial" w:cs="Arial"/>
                <w:sz w:val="22"/>
              </w:rPr>
              <w:t>2,269,905</w:t>
            </w:r>
          </w:p>
        </w:tc>
        <w:tc>
          <w:tcPr>
            <w:tcW w:w="1319" w:type="dxa"/>
            <w:tcBorders>
              <w:top w:val="single" w:sz="4" w:space="0" w:color="auto"/>
              <w:left w:val="single" w:sz="4" w:space="0" w:color="auto"/>
              <w:bottom w:val="single" w:sz="4" w:space="0" w:color="auto"/>
              <w:right w:val="single" w:sz="4" w:space="0" w:color="auto"/>
            </w:tcBorders>
            <w:hideMark/>
          </w:tcPr>
          <w:p w:rsidR="000753CB" w14:paraId="32317A1A" w14:textId="77777777">
            <w:pPr>
              <w:tabs>
                <w:tab w:val="left" w:pos="360"/>
              </w:tabs>
              <w:spacing w:line="256" w:lineRule="auto"/>
              <w:ind w:right="-540"/>
              <w:rPr>
                <w:rFonts w:ascii="Arial" w:hAnsi="Arial" w:cs="Arial"/>
                <w:sz w:val="22"/>
              </w:rPr>
            </w:pPr>
            <w:r>
              <w:rPr>
                <w:rFonts w:ascii="Arial" w:hAnsi="Arial" w:cs="Arial"/>
                <w:sz w:val="22"/>
              </w:rPr>
              <w:t>$0</w:t>
            </w:r>
          </w:p>
        </w:tc>
        <w:tc>
          <w:tcPr>
            <w:tcW w:w="1319" w:type="dxa"/>
            <w:tcBorders>
              <w:top w:val="single" w:sz="4" w:space="0" w:color="auto"/>
              <w:left w:val="single" w:sz="4" w:space="0" w:color="auto"/>
              <w:bottom w:val="single" w:sz="4" w:space="0" w:color="auto"/>
              <w:right w:val="single" w:sz="4" w:space="0" w:color="auto"/>
            </w:tcBorders>
            <w:hideMark/>
          </w:tcPr>
          <w:p w:rsidR="000753CB" w:rsidRPr="009D1537" w14:paraId="2F260DC4" w14:textId="77777777">
            <w:pPr>
              <w:tabs>
                <w:tab w:val="left" w:pos="360"/>
              </w:tabs>
              <w:spacing w:line="256" w:lineRule="auto"/>
              <w:ind w:right="-540"/>
              <w:rPr>
                <w:rFonts w:ascii="Arial" w:hAnsi="Arial" w:cs="Arial"/>
                <w:sz w:val="22"/>
              </w:rPr>
            </w:pPr>
            <w:r w:rsidRPr="009D1537">
              <w:rPr>
                <w:rFonts w:ascii="Arial" w:hAnsi="Arial" w:cs="Arial"/>
                <w:sz w:val="22"/>
              </w:rPr>
              <w:t>$0</w:t>
            </w:r>
          </w:p>
        </w:tc>
        <w:tc>
          <w:tcPr>
            <w:tcW w:w="1593" w:type="dxa"/>
            <w:tcBorders>
              <w:top w:val="single" w:sz="4" w:space="0" w:color="auto"/>
              <w:left w:val="single" w:sz="4" w:space="0" w:color="auto"/>
              <w:bottom w:val="single" w:sz="4" w:space="0" w:color="auto"/>
              <w:right w:val="single" w:sz="4" w:space="0" w:color="auto"/>
            </w:tcBorders>
            <w:hideMark/>
          </w:tcPr>
          <w:p w:rsidR="000753CB" w:rsidRPr="009D1537" w14:paraId="61EAD545" w14:textId="77B027CA">
            <w:pPr>
              <w:tabs>
                <w:tab w:val="left" w:pos="360"/>
              </w:tabs>
              <w:spacing w:line="256" w:lineRule="auto"/>
              <w:ind w:right="-540"/>
              <w:rPr>
                <w:rFonts w:ascii="Arial" w:hAnsi="Arial" w:cs="Arial"/>
                <w:sz w:val="22"/>
              </w:rPr>
            </w:pPr>
            <w:r w:rsidRPr="009D1537">
              <w:rPr>
                <w:rFonts w:ascii="Arial" w:hAnsi="Arial" w:cs="Arial"/>
                <w:sz w:val="22"/>
              </w:rPr>
              <w:t>$</w:t>
            </w:r>
            <w:r w:rsidRPr="009D1537" w:rsidR="00F35B7F">
              <w:rPr>
                <w:rFonts w:ascii="Arial" w:hAnsi="Arial" w:cs="Arial"/>
                <w:sz w:val="22"/>
              </w:rPr>
              <w:t>756,</w:t>
            </w:r>
            <w:r w:rsidRPr="009D1537" w:rsidR="009D1537">
              <w:rPr>
                <w:rFonts w:ascii="Arial" w:hAnsi="Arial" w:cs="Arial"/>
                <w:sz w:val="22"/>
              </w:rPr>
              <w:t>635</w:t>
            </w:r>
          </w:p>
        </w:tc>
      </w:tr>
      <w:tr w14:paraId="0B0D66C3" w14:textId="77777777" w:rsidTr="0048251D">
        <w:tblPrEx>
          <w:tblW w:w="9175" w:type="dxa"/>
          <w:tblInd w:w="360" w:type="dxa"/>
          <w:tblLook w:val="04A0"/>
        </w:tblPrEx>
        <w:tc>
          <w:tcPr>
            <w:tcW w:w="1591" w:type="dxa"/>
            <w:tcBorders>
              <w:top w:val="single" w:sz="4" w:space="0" w:color="auto"/>
              <w:left w:val="single" w:sz="4" w:space="0" w:color="auto"/>
              <w:bottom w:val="single" w:sz="4" w:space="0" w:color="auto"/>
              <w:right w:val="single" w:sz="4" w:space="0" w:color="auto"/>
            </w:tcBorders>
            <w:hideMark/>
          </w:tcPr>
          <w:p w:rsidR="000753CB" w14:paraId="0F94E080" w14:textId="77777777">
            <w:pPr>
              <w:tabs>
                <w:tab w:val="left" w:pos="360"/>
              </w:tabs>
              <w:spacing w:line="256" w:lineRule="auto"/>
              <w:ind w:right="-540"/>
              <w:rPr>
                <w:rFonts w:ascii="Arial" w:hAnsi="Arial" w:cs="Arial"/>
                <w:i/>
                <w:sz w:val="22"/>
              </w:rPr>
            </w:pPr>
            <w:r>
              <w:rPr>
                <w:rFonts w:ascii="Arial" w:hAnsi="Arial" w:cs="Arial"/>
                <w:i/>
                <w:sz w:val="22"/>
              </w:rPr>
              <w:t xml:space="preserve">Low </w:t>
            </w:r>
          </w:p>
        </w:tc>
        <w:tc>
          <w:tcPr>
            <w:tcW w:w="1179" w:type="dxa"/>
            <w:tcBorders>
              <w:top w:val="single" w:sz="4" w:space="0" w:color="auto"/>
              <w:left w:val="single" w:sz="4" w:space="0" w:color="auto"/>
              <w:bottom w:val="single" w:sz="4" w:space="0" w:color="auto"/>
              <w:right w:val="single" w:sz="4" w:space="0" w:color="auto"/>
            </w:tcBorders>
            <w:hideMark/>
          </w:tcPr>
          <w:p w:rsidR="000753CB" w14:paraId="5D753FF4" w14:textId="7FFD29FF">
            <w:pPr>
              <w:tabs>
                <w:tab w:val="left" w:pos="360"/>
              </w:tabs>
              <w:spacing w:line="256" w:lineRule="auto"/>
              <w:ind w:right="-540"/>
              <w:rPr>
                <w:rFonts w:ascii="Arial" w:hAnsi="Arial" w:cs="Arial"/>
                <w:sz w:val="22"/>
              </w:rPr>
            </w:pPr>
            <w:r>
              <w:rPr>
                <w:rFonts w:ascii="Arial" w:hAnsi="Arial" w:cs="Arial"/>
                <w:sz w:val="22"/>
              </w:rPr>
              <w:t>240</w:t>
            </w:r>
          </w:p>
        </w:tc>
        <w:tc>
          <w:tcPr>
            <w:tcW w:w="2174" w:type="dxa"/>
            <w:tcBorders>
              <w:top w:val="single" w:sz="4" w:space="0" w:color="auto"/>
              <w:left w:val="single" w:sz="4" w:space="0" w:color="auto"/>
              <w:bottom w:val="single" w:sz="4" w:space="0" w:color="auto"/>
              <w:right w:val="single" w:sz="4" w:space="0" w:color="auto"/>
            </w:tcBorders>
            <w:hideMark/>
          </w:tcPr>
          <w:p w:rsidR="000753CB" w14:paraId="762348FB" w14:textId="7C220265">
            <w:pPr>
              <w:tabs>
                <w:tab w:val="left" w:pos="360"/>
              </w:tabs>
              <w:spacing w:line="256" w:lineRule="auto"/>
              <w:ind w:right="-540"/>
              <w:rPr>
                <w:rFonts w:ascii="Arial" w:hAnsi="Arial" w:cs="Arial"/>
                <w:sz w:val="22"/>
              </w:rPr>
            </w:pPr>
            <w:r>
              <w:rPr>
                <w:rFonts w:ascii="Arial" w:hAnsi="Arial" w:cs="Arial"/>
                <w:sz w:val="22"/>
              </w:rPr>
              <w:t>$</w:t>
            </w:r>
            <w:r w:rsidR="00CB7EAA">
              <w:rPr>
                <w:rFonts w:ascii="Arial" w:hAnsi="Arial" w:cs="Arial"/>
                <w:sz w:val="22"/>
              </w:rPr>
              <w:t>453,981</w:t>
            </w:r>
          </w:p>
        </w:tc>
        <w:tc>
          <w:tcPr>
            <w:tcW w:w="1319" w:type="dxa"/>
            <w:tcBorders>
              <w:top w:val="single" w:sz="4" w:space="0" w:color="auto"/>
              <w:left w:val="single" w:sz="4" w:space="0" w:color="auto"/>
              <w:bottom w:val="single" w:sz="4" w:space="0" w:color="auto"/>
              <w:right w:val="single" w:sz="4" w:space="0" w:color="auto"/>
            </w:tcBorders>
            <w:hideMark/>
          </w:tcPr>
          <w:p w:rsidR="000753CB" w14:paraId="42B3C11D" w14:textId="77777777">
            <w:pPr>
              <w:tabs>
                <w:tab w:val="left" w:pos="360"/>
              </w:tabs>
              <w:spacing w:line="256" w:lineRule="auto"/>
              <w:ind w:right="-540"/>
              <w:rPr>
                <w:rFonts w:ascii="Arial" w:hAnsi="Arial" w:cs="Arial"/>
                <w:sz w:val="22"/>
              </w:rPr>
            </w:pPr>
            <w:r>
              <w:rPr>
                <w:rFonts w:ascii="Arial" w:hAnsi="Arial" w:cs="Arial"/>
                <w:sz w:val="22"/>
              </w:rPr>
              <w:t>$0</w:t>
            </w:r>
          </w:p>
        </w:tc>
        <w:tc>
          <w:tcPr>
            <w:tcW w:w="1319" w:type="dxa"/>
            <w:tcBorders>
              <w:top w:val="single" w:sz="4" w:space="0" w:color="auto"/>
              <w:left w:val="single" w:sz="4" w:space="0" w:color="auto"/>
              <w:bottom w:val="single" w:sz="4" w:space="0" w:color="auto"/>
              <w:right w:val="single" w:sz="4" w:space="0" w:color="auto"/>
            </w:tcBorders>
            <w:hideMark/>
          </w:tcPr>
          <w:p w:rsidR="000753CB" w14:paraId="05046029" w14:textId="77777777">
            <w:pPr>
              <w:tabs>
                <w:tab w:val="left" w:pos="360"/>
              </w:tabs>
              <w:spacing w:line="256" w:lineRule="auto"/>
              <w:ind w:right="-540"/>
              <w:rPr>
                <w:rFonts w:ascii="Arial" w:hAnsi="Arial" w:cs="Arial"/>
                <w:sz w:val="22"/>
              </w:rPr>
            </w:pPr>
            <w:r>
              <w:rPr>
                <w:rFonts w:ascii="Arial" w:hAnsi="Arial" w:cs="Arial"/>
                <w:sz w:val="22"/>
              </w:rPr>
              <w:t>$0</w:t>
            </w:r>
          </w:p>
        </w:tc>
        <w:tc>
          <w:tcPr>
            <w:tcW w:w="1593" w:type="dxa"/>
            <w:tcBorders>
              <w:top w:val="single" w:sz="4" w:space="0" w:color="auto"/>
              <w:left w:val="single" w:sz="4" w:space="0" w:color="auto"/>
              <w:bottom w:val="single" w:sz="4" w:space="0" w:color="auto"/>
              <w:right w:val="single" w:sz="4" w:space="0" w:color="auto"/>
            </w:tcBorders>
            <w:hideMark/>
          </w:tcPr>
          <w:p w:rsidR="000753CB" w:rsidRPr="009D1537" w14:paraId="13E9CA95" w14:textId="22BFA606">
            <w:pPr>
              <w:tabs>
                <w:tab w:val="left" w:pos="360"/>
              </w:tabs>
              <w:spacing w:line="256" w:lineRule="auto"/>
              <w:ind w:right="-540"/>
              <w:rPr>
                <w:rFonts w:ascii="Arial" w:hAnsi="Arial" w:cs="Arial"/>
                <w:sz w:val="22"/>
              </w:rPr>
            </w:pPr>
            <w:r w:rsidRPr="009D1537">
              <w:rPr>
                <w:rFonts w:ascii="Arial" w:hAnsi="Arial" w:cs="Arial"/>
                <w:sz w:val="22"/>
              </w:rPr>
              <w:t>$1</w:t>
            </w:r>
            <w:r w:rsidR="00BD2E2E">
              <w:rPr>
                <w:rFonts w:ascii="Arial" w:hAnsi="Arial" w:cs="Arial"/>
                <w:sz w:val="22"/>
              </w:rPr>
              <w:t>51</w:t>
            </w:r>
            <w:r w:rsidRPr="009D1537">
              <w:rPr>
                <w:rFonts w:ascii="Arial" w:hAnsi="Arial" w:cs="Arial"/>
                <w:sz w:val="22"/>
              </w:rPr>
              <w:t>,</w:t>
            </w:r>
            <w:r w:rsidR="00BD2E2E">
              <w:rPr>
                <w:rFonts w:ascii="Arial" w:hAnsi="Arial" w:cs="Arial"/>
                <w:sz w:val="22"/>
              </w:rPr>
              <w:t>327</w:t>
            </w:r>
          </w:p>
        </w:tc>
      </w:tr>
      <w:tr w14:paraId="61CD010A" w14:textId="77777777" w:rsidTr="0048251D">
        <w:tblPrEx>
          <w:tblW w:w="9175" w:type="dxa"/>
          <w:tblInd w:w="360" w:type="dxa"/>
          <w:tblLook w:val="04A0"/>
        </w:tblPrEx>
        <w:tc>
          <w:tcPr>
            <w:tcW w:w="1591" w:type="dxa"/>
            <w:tcBorders>
              <w:top w:val="single" w:sz="4" w:space="0" w:color="auto"/>
              <w:left w:val="single" w:sz="4" w:space="0" w:color="auto"/>
              <w:bottom w:val="single" w:sz="4" w:space="0" w:color="auto"/>
              <w:right w:val="single" w:sz="4" w:space="0" w:color="auto"/>
            </w:tcBorders>
            <w:hideMark/>
          </w:tcPr>
          <w:p w:rsidR="000753CB" w14:paraId="1C2BF5E6" w14:textId="77777777">
            <w:pPr>
              <w:tabs>
                <w:tab w:val="left" w:pos="360"/>
              </w:tabs>
              <w:spacing w:line="256" w:lineRule="auto"/>
              <w:ind w:right="-540"/>
              <w:rPr>
                <w:rFonts w:ascii="Arial" w:hAnsi="Arial" w:cs="Arial"/>
                <w:i/>
                <w:sz w:val="22"/>
              </w:rPr>
            </w:pPr>
            <w:r>
              <w:rPr>
                <w:rFonts w:ascii="Arial" w:hAnsi="Arial" w:cs="Arial"/>
                <w:i/>
                <w:sz w:val="22"/>
              </w:rPr>
              <w:t>Average Cost</w:t>
            </w:r>
          </w:p>
        </w:tc>
        <w:tc>
          <w:tcPr>
            <w:tcW w:w="1179" w:type="dxa"/>
            <w:tcBorders>
              <w:top w:val="single" w:sz="4" w:space="0" w:color="auto"/>
              <w:left w:val="single" w:sz="4" w:space="0" w:color="auto"/>
              <w:bottom w:val="single" w:sz="4" w:space="0" w:color="auto"/>
              <w:right w:val="single" w:sz="4" w:space="0" w:color="auto"/>
            </w:tcBorders>
            <w:hideMark/>
          </w:tcPr>
          <w:p w:rsidR="000753CB" w14:paraId="5D852EBA" w14:textId="77777777">
            <w:pPr>
              <w:tabs>
                <w:tab w:val="left" w:pos="360"/>
              </w:tabs>
              <w:spacing w:line="256" w:lineRule="auto"/>
              <w:ind w:right="-540"/>
              <w:rPr>
                <w:rFonts w:ascii="Arial" w:hAnsi="Arial" w:cs="Arial"/>
                <w:sz w:val="22"/>
              </w:rPr>
            </w:pPr>
            <w:r>
              <w:rPr>
                <w:rFonts w:ascii="Arial" w:hAnsi="Arial" w:cs="Arial"/>
                <w:sz w:val="22"/>
              </w:rPr>
              <w:t>---</w:t>
            </w:r>
          </w:p>
        </w:tc>
        <w:tc>
          <w:tcPr>
            <w:tcW w:w="2174" w:type="dxa"/>
            <w:tcBorders>
              <w:top w:val="single" w:sz="4" w:space="0" w:color="auto"/>
              <w:left w:val="single" w:sz="4" w:space="0" w:color="auto"/>
              <w:bottom w:val="single" w:sz="4" w:space="0" w:color="auto"/>
              <w:right w:val="single" w:sz="4" w:space="0" w:color="auto"/>
            </w:tcBorders>
            <w:hideMark/>
          </w:tcPr>
          <w:p w:rsidR="000753CB" w:rsidRPr="00823795" w14:paraId="595E7BEC" w14:textId="397C35D0">
            <w:pPr>
              <w:tabs>
                <w:tab w:val="left" w:pos="360"/>
              </w:tabs>
              <w:spacing w:line="256" w:lineRule="auto"/>
              <w:ind w:right="-540"/>
              <w:rPr>
                <w:rFonts w:ascii="Arial" w:hAnsi="Arial" w:cs="Arial"/>
                <w:b/>
                <w:bCs/>
                <w:sz w:val="22"/>
                <w:u w:val="single"/>
              </w:rPr>
            </w:pPr>
            <w:r w:rsidRPr="00823795">
              <w:rPr>
                <w:rFonts w:ascii="Arial" w:hAnsi="Arial" w:cs="Arial"/>
                <w:b/>
                <w:bCs/>
                <w:sz w:val="22"/>
                <w:u w:val="single"/>
              </w:rPr>
              <w:t>$1,361,943</w:t>
            </w:r>
          </w:p>
        </w:tc>
        <w:tc>
          <w:tcPr>
            <w:tcW w:w="1319" w:type="dxa"/>
            <w:tcBorders>
              <w:top w:val="single" w:sz="4" w:space="0" w:color="auto"/>
              <w:left w:val="single" w:sz="4" w:space="0" w:color="auto"/>
              <w:bottom w:val="single" w:sz="4" w:space="0" w:color="auto"/>
              <w:right w:val="single" w:sz="4" w:space="0" w:color="auto"/>
            </w:tcBorders>
            <w:hideMark/>
          </w:tcPr>
          <w:p w:rsidR="000753CB" w14:paraId="18C4EB39" w14:textId="77777777">
            <w:pPr>
              <w:tabs>
                <w:tab w:val="left" w:pos="360"/>
              </w:tabs>
              <w:spacing w:line="256" w:lineRule="auto"/>
              <w:ind w:right="-540"/>
              <w:rPr>
                <w:rFonts w:ascii="Arial" w:hAnsi="Arial" w:cs="Arial"/>
                <w:sz w:val="22"/>
              </w:rPr>
            </w:pPr>
            <w:r>
              <w:rPr>
                <w:rFonts w:ascii="Arial" w:hAnsi="Arial" w:cs="Arial"/>
                <w:sz w:val="22"/>
              </w:rPr>
              <w:t>---</w:t>
            </w:r>
          </w:p>
        </w:tc>
        <w:tc>
          <w:tcPr>
            <w:tcW w:w="1319" w:type="dxa"/>
            <w:tcBorders>
              <w:top w:val="single" w:sz="4" w:space="0" w:color="auto"/>
              <w:left w:val="single" w:sz="4" w:space="0" w:color="auto"/>
              <w:bottom w:val="single" w:sz="4" w:space="0" w:color="auto"/>
              <w:right w:val="single" w:sz="4" w:space="0" w:color="auto"/>
            </w:tcBorders>
            <w:hideMark/>
          </w:tcPr>
          <w:p w:rsidR="000753CB" w14:paraId="55809F0E" w14:textId="77777777">
            <w:pPr>
              <w:tabs>
                <w:tab w:val="left" w:pos="360"/>
              </w:tabs>
              <w:spacing w:line="256" w:lineRule="auto"/>
              <w:ind w:right="-540"/>
              <w:rPr>
                <w:rFonts w:ascii="Arial" w:hAnsi="Arial" w:cs="Arial"/>
                <w:sz w:val="22"/>
              </w:rPr>
            </w:pPr>
            <w:r>
              <w:rPr>
                <w:rFonts w:ascii="Arial" w:hAnsi="Arial" w:cs="Arial"/>
                <w:sz w:val="22"/>
              </w:rPr>
              <w:t>---</w:t>
            </w:r>
          </w:p>
        </w:tc>
        <w:tc>
          <w:tcPr>
            <w:tcW w:w="1593" w:type="dxa"/>
            <w:tcBorders>
              <w:top w:val="single" w:sz="4" w:space="0" w:color="auto"/>
              <w:left w:val="single" w:sz="4" w:space="0" w:color="auto"/>
              <w:bottom w:val="single" w:sz="4" w:space="0" w:color="auto"/>
              <w:right w:val="single" w:sz="4" w:space="0" w:color="auto"/>
            </w:tcBorders>
            <w:hideMark/>
          </w:tcPr>
          <w:p w:rsidR="000753CB" w:rsidRPr="009D1537" w14:paraId="4262C283" w14:textId="525B14E6">
            <w:pPr>
              <w:tabs>
                <w:tab w:val="left" w:pos="360"/>
              </w:tabs>
              <w:spacing w:line="256" w:lineRule="auto"/>
              <w:ind w:right="-540"/>
              <w:rPr>
                <w:rFonts w:ascii="Arial" w:hAnsi="Arial" w:cs="Arial"/>
                <w:b/>
                <w:sz w:val="22"/>
                <w:u w:val="single"/>
              </w:rPr>
            </w:pPr>
            <w:r w:rsidRPr="009D1537">
              <w:rPr>
                <w:rFonts w:ascii="Arial" w:hAnsi="Arial" w:cs="Arial"/>
                <w:b/>
                <w:sz w:val="22"/>
                <w:u w:val="single"/>
              </w:rPr>
              <w:t>$</w:t>
            </w:r>
            <w:r w:rsidR="00C60370">
              <w:rPr>
                <w:rFonts w:ascii="Arial" w:hAnsi="Arial" w:cs="Arial"/>
                <w:b/>
                <w:sz w:val="22"/>
                <w:u w:val="single"/>
              </w:rPr>
              <w:t>453,981</w:t>
            </w:r>
          </w:p>
        </w:tc>
      </w:tr>
    </w:tbl>
    <w:p w:rsidR="000753CB" w:rsidRPr="00035C01" w:rsidP="001F2C7D" w14:paraId="6B66B022" w14:textId="77777777">
      <w:pPr>
        <w:rPr>
          <w:rFonts w:ascii="Arial" w:hAnsi="Arial" w:cs="Arial"/>
        </w:rPr>
      </w:pPr>
    </w:p>
    <w:p w:rsidR="003C2010" w:rsidRPr="00035C01" w:rsidP="001F2C7D" w14:paraId="02FD1F0D" w14:textId="77777777">
      <w:pPr>
        <w:rPr>
          <w:rFonts w:ascii="Arial" w:hAnsi="Arial" w:cs="Arial"/>
        </w:rPr>
      </w:pPr>
    </w:p>
    <w:p w:rsidR="0033557D" w:rsidRPr="00035C01" w:rsidP="001F2C7D" w14:paraId="52E068CB" w14:textId="77777777">
      <w:pPr>
        <w:rPr>
          <w:rFonts w:ascii="Arial" w:hAnsi="Arial" w:cs="Arial"/>
          <w:b/>
        </w:rPr>
      </w:pPr>
      <w:r w:rsidRPr="00035C01">
        <w:rPr>
          <w:rFonts w:ascii="Arial" w:hAnsi="Arial" w:cs="Arial"/>
        </w:rPr>
        <w:t xml:space="preserve">     </w:t>
      </w:r>
      <w:r w:rsidRPr="00035C01">
        <w:rPr>
          <w:rFonts w:ascii="Arial" w:hAnsi="Arial" w:cs="Arial"/>
          <w:b/>
        </w:rPr>
        <w:t xml:space="preserve">14.  </w:t>
      </w:r>
      <w:r w:rsidRPr="00035C01">
        <w:rPr>
          <w:rFonts w:ascii="Arial"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4BE3" w:rsidP="00984BE3" w14:paraId="6DEC0FD9" w14:textId="77777777">
      <w:pPr>
        <w:ind w:left="360" w:right="684"/>
        <w:rPr>
          <w:rFonts w:ascii="Arial" w:hAnsi="Arial" w:cs="Arial"/>
        </w:rPr>
      </w:pPr>
    </w:p>
    <w:p w:rsidR="00A353B0" w:rsidP="00563694" w14:paraId="63518FF1" w14:textId="40F70870">
      <w:pPr>
        <w:ind w:left="360" w:right="684" w:hanging="360"/>
        <w:rPr>
          <w:rFonts w:ascii="Arial" w:hAnsi="Arial" w:cs="Arial"/>
          <w:u w:val="single"/>
        </w:rPr>
      </w:pPr>
      <w:r w:rsidRPr="00984BE3">
        <w:rPr>
          <w:rFonts w:ascii="Arial" w:hAnsi="Arial" w:cs="Arial"/>
        </w:rPr>
        <w:t>Estimated Costs to the Federal Government:</w:t>
      </w:r>
    </w:p>
    <w:p w:rsidR="00127B1A" w:rsidP="00127B1A" w14:paraId="234C74B2" w14:textId="37F3D0D4">
      <w:pPr>
        <w:overflowPunct w:val="0"/>
        <w:adjustRightInd w:val="0"/>
        <w:textAlignment w:val="baseline"/>
        <w:rPr>
          <w:rFonts w:ascii="Arial" w:hAnsi="Arial" w:cs="Arial"/>
        </w:rPr>
      </w:pPr>
    </w:p>
    <w:tbl>
      <w:tblPr>
        <w:tblStyle w:val="TableGrid"/>
        <w:tblW w:w="9325" w:type="dxa"/>
        <w:tblInd w:w="-10" w:type="dxa"/>
        <w:tblLook w:val="04A0"/>
      </w:tblPr>
      <w:tblGrid>
        <w:gridCol w:w="795"/>
        <w:gridCol w:w="704"/>
        <w:gridCol w:w="1280"/>
        <w:gridCol w:w="1256"/>
        <w:gridCol w:w="2087"/>
        <w:gridCol w:w="1419"/>
        <w:gridCol w:w="1784"/>
      </w:tblGrid>
      <w:tr w14:paraId="239D71B7" w14:textId="627C19A3" w:rsidTr="00D92903">
        <w:tblPrEx>
          <w:tblW w:w="9325" w:type="dxa"/>
          <w:tblInd w:w="-10" w:type="dxa"/>
          <w:tblLook w:val="04A0"/>
        </w:tblPrEx>
        <w:trPr>
          <w:trHeight w:val="1122"/>
        </w:trPr>
        <w:tc>
          <w:tcPr>
            <w:tcW w:w="795" w:type="dxa"/>
            <w:tcBorders>
              <w:top w:val="single" w:sz="8" w:space="0" w:color="auto"/>
              <w:left w:val="single" w:sz="8" w:space="0" w:color="auto"/>
              <w:bottom w:val="single" w:sz="4" w:space="0" w:color="auto"/>
              <w:right w:val="single" w:sz="8" w:space="0" w:color="auto"/>
            </w:tcBorders>
            <w:shd w:val="clear" w:color="auto" w:fill="B7DEE8"/>
            <w:vAlign w:val="center"/>
          </w:tcPr>
          <w:p w:rsidR="009A38EC" w:rsidRPr="00C45618" w:rsidP="00163B62" w14:paraId="7FF66F06" w14:textId="5B1B00EA">
            <w:pPr>
              <w:overflowPunct w:val="0"/>
              <w:adjustRightInd w:val="0"/>
              <w:jc w:val="center"/>
              <w:textAlignment w:val="baseline"/>
              <w:rPr>
                <w:rFonts w:ascii="Arial" w:hAnsi="Arial" w:cs="Arial"/>
                <w:sz w:val="20"/>
                <w:szCs w:val="20"/>
                <w:u w:val="single"/>
              </w:rPr>
            </w:pPr>
            <w:r w:rsidRPr="00C45618">
              <w:rPr>
                <w:rFonts w:ascii="Arial" w:hAnsi="Arial" w:cs="Arial"/>
                <w:b/>
                <w:color w:val="000000"/>
                <w:sz w:val="20"/>
                <w:szCs w:val="20"/>
              </w:rPr>
              <w:t>Grade</w:t>
            </w:r>
          </w:p>
        </w:tc>
        <w:tc>
          <w:tcPr>
            <w:tcW w:w="704" w:type="dxa"/>
            <w:tcBorders>
              <w:top w:val="single" w:sz="8" w:space="0" w:color="auto"/>
              <w:left w:val="nil"/>
              <w:bottom w:val="single" w:sz="4" w:space="0" w:color="auto"/>
              <w:right w:val="single" w:sz="8" w:space="0" w:color="auto"/>
            </w:tcBorders>
            <w:shd w:val="clear" w:color="auto" w:fill="B7DEE8"/>
            <w:vAlign w:val="center"/>
          </w:tcPr>
          <w:p w:rsidR="009A38EC" w:rsidRPr="00C45618" w:rsidP="00163B62" w14:paraId="2C0E2A19" w14:textId="12B1D3E8">
            <w:pPr>
              <w:overflowPunct w:val="0"/>
              <w:adjustRightInd w:val="0"/>
              <w:jc w:val="center"/>
              <w:textAlignment w:val="baseline"/>
              <w:rPr>
                <w:rFonts w:ascii="Arial" w:hAnsi="Arial" w:cs="Arial"/>
                <w:sz w:val="20"/>
                <w:szCs w:val="20"/>
                <w:u w:val="single"/>
              </w:rPr>
            </w:pPr>
            <w:r w:rsidRPr="00C45618">
              <w:rPr>
                <w:rFonts w:ascii="Arial" w:hAnsi="Arial" w:cs="Arial"/>
                <w:b/>
                <w:color w:val="000000"/>
                <w:sz w:val="20"/>
                <w:szCs w:val="20"/>
              </w:rPr>
              <w:t>Step</w:t>
            </w:r>
          </w:p>
        </w:tc>
        <w:tc>
          <w:tcPr>
            <w:tcW w:w="1280" w:type="dxa"/>
            <w:tcBorders>
              <w:top w:val="single" w:sz="8" w:space="0" w:color="auto"/>
              <w:left w:val="nil"/>
              <w:bottom w:val="single" w:sz="4" w:space="0" w:color="auto"/>
              <w:right w:val="single" w:sz="8" w:space="0" w:color="auto"/>
            </w:tcBorders>
            <w:shd w:val="clear" w:color="auto" w:fill="B7DEE8"/>
            <w:vAlign w:val="center"/>
          </w:tcPr>
          <w:p w:rsidR="009A38EC" w:rsidRPr="00C45618" w:rsidP="00163B62" w14:paraId="3671D0BB" w14:textId="05BCB2F3">
            <w:pPr>
              <w:overflowPunct w:val="0"/>
              <w:adjustRightInd w:val="0"/>
              <w:jc w:val="center"/>
              <w:textAlignment w:val="baseline"/>
              <w:rPr>
                <w:rFonts w:ascii="Arial" w:hAnsi="Arial" w:cs="Arial"/>
                <w:sz w:val="20"/>
                <w:szCs w:val="20"/>
                <w:u w:val="single"/>
              </w:rPr>
            </w:pPr>
            <w:r w:rsidRPr="00C45618">
              <w:rPr>
                <w:rFonts w:ascii="Arial" w:hAnsi="Arial" w:cs="Arial"/>
                <w:b/>
                <w:color w:val="000000"/>
                <w:sz w:val="20"/>
                <w:szCs w:val="20"/>
              </w:rPr>
              <w:t>Burden Time Employee</w:t>
            </w:r>
          </w:p>
        </w:tc>
        <w:tc>
          <w:tcPr>
            <w:tcW w:w="1256" w:type="dxa"/>
            <w:tcBorders>
              <w:top w:val="single" w:sz="8" w:space="0" w:color="auto"/>
              <w:left w:val="nil"/>
              <w:bottom w:val="single" w:sz="4" w:space="0" w:color="auto"/>
              <w:right w:val="single" w:sz="8" w:space="0" w:color="auto"/>
            </w:tcBorders>
            <w:shd w:val="clear" w:color="auto" w:fill="B7DEE8"/>
            <w:vAlign w:val="center"/>
          </w:tcPr>
          <w:p w:rsidR="009A38EC" w:rsidRPr="00C45618" w:rsidP="00163B62" w14:paraId="00856B0B" w14:textId="76B36539">
            <w:pPr>
              <w:overflowPunct w:val="0"/>
              <w:adjustRightInd w:val="0"/>
              <w:jc w:val="center"/>
              <w:textAlignment w:val="baseline"/>
              <w:rPr>
                <w:rFonts w:ascii="Arial" w:hAnsi="Arial" w:cs="Arial"/>
                <w:sz w:val="20"/>
                <w:szCs w:val="20"/>
                <w:u w:val="single"/>
              </w:rPr>
            </w:pPr>
            <w:r w:rsidRPr="00C45618">
              <w:rPr>
                <w:rFonts w:ascii="Arial" w:hAnsi="Arial" w:cs="Arial"/>
                <w:b/>
                <w:color w:val="000000"/>
                <w:sz w:val="20"/>
                <w:szCs w:val="20"/>
              </w:rPr>
              <w:t>Hourly Rate</w:t>
            </w:r>
          </w:p>
        </w:tc>
        <w:tc>
          <w:tcPr>
            <w:tcW w:w="2087" w:type="dxa"/>
            <w:tcBorders>
              <w:top w:val="single" w:sz="8" w:space="0" w:color="auto"/>
              <w:left w:val="nil"/>
              <w:bottom w:val="single" w:sz="4" w:space="0" w:color="auto"/>
              <w:right w:val="single" w:sz="8" w:space="0" w:color="auto"/>
            </w:tcBorders>
            <w:shd w:val="clear" w:color="auto" w:fill="B7DEE8"/>
            <w:vAlign w:val="center"/>
          </w:tcPr>
          <w:p w:rsidR="009A38EC" w:rsidRPr="00C45618" w:rsidP="00163B62" w14:paraId="196846A3" w14:textId="235791EA">
            <w:pPr>
              <w:overflowPunct w:val="0"/>
              <w:adjustRightInd w:val="0"/>
              <w:jc w:val="center"/>
              <w:textAlignment w:val="baseline"/>
              <w:rPr>
                <w:rFonts w:ascii="Arial" w:hAnsi="Arial" w:cs="Arial"/>
                <w:sz w:val="20"/>
                <w:szCs w:val="20"/>
                <w:u w:val="single"/>
              </w:rPr>
            </w:pPr>
            <w:r w:rsidRPr="00C45618">
              <w:rPr>
                <w:rFonts w:ascii="Arial" w:hAnsi="Arial" w:cs="Arial"/>
                <w:b/>
                <w:color w:val="000000"/>
                <w:sz w:val="20"/>
                <w:szCs w:val="20"/>
              </w:rPr>
              <w:t>Cost Per Response</w:t>
            </w:r>
          </w:p>
        </w:tc>
        <w:tc>
          <w:tcPr>
            <w:tcW w:w="1419" w:type="dxa"/>
            <w:tcBorders>
              <w:top w:val="single" w:sz="8" w:space="0" w:color="auto"/>
              <w:left w:val="nil"/>
              <w:bottom w:val="single" w:sz="4" w:space="0" w:color="auto"/>
              <w:right w:val="single" w:sz="8" w:space="0" w:color="auto"/>
            </w:tcBorders>
            <w:shd w:val="clear" w:color="auto" w:fill="B7DEE8"/>
            <w:vAlign w:val="center"/>
          </w:tcPr>
          <w:p w:rsidR="009A38EC" w:rsidRPr="00C45618" w:rsidP="00163B62" w14:paraId="506A9330" w14:textId="2A0E74D0">
            <w:pPr>
              <w:overflowPunct w:val="0"/>
              <w:adjustRightInd w:val="0"/>
              <w:jc w:val="center"/>
              <w:textAlignment w:val="baseline"/>
              <w:rPr>
                <w:rFonts w:ascii="Arial" w:hAnsi="Arial" w:cs="Arial"/>
                <w:sz w:val="20"/>
                <w:szCs w:val="20"/>
                <w:u w:val="single"/>
              </w:rPr>
            </w:pPr>
            <w:r w:rsidRPr="00C45618">
              <w:rPr>
                <w:rFonts w:ascii="Arial" w:hAnsi="Arial" w:cs="Arial"/>
                <w:b/>
                <w:color w:val="000000"/>
                <w:sz w:val="20"/>
                <w:szCs w:val="20"/>
              </w:rPr>
              <w:t>Total Responses</w:t>
            </w:r>
          </w:p>
        </w:tc>
        <w:tc>
          <w:tcPr>
            <w:tcW w:w="1784" w:type="dxa"/>
            <w:tcBorders>
              <w:top w:val="single" w:sz="8" w:space="0" w:color="auto"/>
              <w:left w:val="nil"/>
              <w:bottom w:val="single" w:sz="4" w:space="0" w:color="auto"/>
              <w:right w:val="single" w:sz="8" w:space="0" w:color="auto"/>
            </w:tcBorders>
            <w:shd w:val="clear" w:color="auto" w:fill="B7DEE8"/>
            <w:vAlign w:val="center"/>
          </w:tcPr>
          <w:p w:rsidR="009A38EC" w:rsidRPr="00C45618" w:rsidP="00163B62" w14:paraId="4DF0741B" w14:textId="488DD50D">
            <w:pPr>
              <w:overflowPunct w:val="0"/>
              <w:adjustRightInd w:val="0"/>
              <w:jc w:val="center"/>
              <w:textAlignment w:val="baseline"/>
              <w:rPr>
                <w:rFonts w:ascii="Arial" w:hAnsi="Arial" w:cs="Arial"/>
                <w:b/>
                <w:color w:val="000000"/>
                <w:sz w:val="20"/>
                <w:szCs w:val="20"/>
              </w:rPr>
            </w:pPr>
            <w:r w:rsidRPr="00C45618">
              <w:rPr>
                <w:rFonts w:ascii="Arial" w:hAnsi="Arial" w:cs="Arial"/>
                <w:b/>
                <w:color w:val="000000"/>
                <w:sz w:val="20"/>
                <w:szCs w:val="20"/>
              </w:rPr>
              <w:t>Government Cost</w:t>
            </w:r>
          </w:p>
        </w:tc>
      </w:tr>
      <w:tr w14:paraId="6C1F44C6" w14:textId="77777777" w:rsidTr="00563694">
        <w:tblPrEx>
          <w:tblW w:w="9325" w:type="dxa"/>
          <w:tblInd w:w="-10" w:type="dxa"/>
          <w:tblLook w:val="04A0"/>
        </w:tblPrEx>
        <w:trPr>
          <w:trHeight w:val="638"/>
        </w:trPr>
        <w:tc>
          <w:tcPr>
            <w:tcW w:w="795" w:type="dxa"/>
          </w:tcPr>
          <w:p w:rsidR="00C46D1E" w:rsidRPr="00C45618" w:rsidP="00C46D1E" w14:paraId="45B1F2FF" w14:textId="628F5268">
            <w:pPr>
              <w:spacing w:line="252" w:lineRule="auto"/>
              <w:jc w:val="center"/>
              <w:rPr>
                <w:rFonts w:ascii="Arial" w:hAnsi="Arial" w:cs="Arial"/>
                <w:color w:val="000000"/>
                <w:sz w:val="20"/>
                <w:szCs w:val="20"/>
              </w:rPr>
            </w:pPr>
            <w:r w:rsidRPr="00C45618">
              <w:rPr>
                <w:rFonts w:ascii="Arial" w:hAnsi="Arial" w:cs="Arial"/>
                <w:color w:val="000000"/>
                <w:sz w:val="20"/>
                <w:szCs w:val="20"/>
              </w:rPr>
              <w:t>11</w:t>
            </w:r>
          </w:p>
        </w:tc>
        <w:tc>
          <w:tcPr>
            <w:tcW w:w="704" w:type="dxa"/>
          </w:tcPr>
          <w:p w:rsidR="00C46D1E" w:rsidRPr="00C45618" w:rsidP="00C46D1E" w14:paraId="56C40D35" w14:textId="2F594802">
            <w:pPr>
              <w:spacing w:line="252" w:lineRule="auto"/>
              <w:jc w:val="center"/>
              <w:rPr>
                <w:rFonts w:ascii="Arial" w:hAnsi="Arial" w:cs="Arial"/>
                <w:color w:val="000000"/>
                <w:sz w:val="20"/>
                <w:szCs w:val="20"/>
              </w:rPr>
            </w:pPr>
            <w:r w:rsidRPr="00C45618">
              <w:rPr>
                <w:rFonts w:ascii="Arial" w:hAnsi="Arial" w:cs="Arial"/>
                <w:color w:val="000000"/>
                <w:sz w:val="20"/>
                <w:szCs w:val="20"/>
              </w:rPr>
              <w:t>6</w:t>
            </w:r>
          </w:p>
        </w:tc>
        <w:tc>
          <w:tcPr>
            <w:tcW w:w="1280" w:type="dxa"/>
          </w:tcPr>
          <w:p w:rsidR="00C46D1E" w:rsidP="00F50C02" w14:paraId="2FDD98B9" w14:textId="339FDEB5">
            <w:pPr>
              <w:spacing w:line="252" w:lineRule="auto"/>
              <w:jc w:val="center"/>
              <w:rPr>
                <w:rFonts w:ascii="Arial" w:hAnsi="Arial" w:cs="Arial"/>
                <w:color w:val="000000"/>
                <w:sz w:val="20"/>
                <w:szCs w:val="20"/>
              </w:rPr>
            </w:pPr>
            <w:r>
              <w:rPr>
                <w:rFonts w:ascii="Arial" w:hAnsi="Arial" w:cs="Arial"/>
                <w:color w:val="000000"/>
                <w:sz w:val="20"/>
                <w:szCs w:val="20"/>
              </w:rPr>
              <w:t>0.50</w:t>
            </w:r>
          </w:p>
          <w:p w:rsidR="00141F89" w:rsidRPr="00141F89" w:rsidP="00F50C02" w14:paraId="16D9D51D" w14:textId="5C3CC130">
            <w:pPr>
              <w:spacing w:line="252" w:lineRule="auto"/>
              <w:jc w:val="center"/>
              <w:rPr>
                <w:rFonts w:ascii="Arial" w:hAnsi="Arial" w:cs="Arial"/>
                <w:sz w:val="20"/>
                <w:szCs w:val="20"/>
              </w:rPr>
            </w:pPr>
            <w:r w:rsidRPr="00141F89">
              <w:rPr>
                <w:rFonts w:ascii="Arial" w:hAnsi="Arial" w:cs="Arial"/>
                <w:sz w:val="20"/>
                <w:szCs w:val="20"/>
              </w:rPr>
              <w:t>(30 min)</w:t>
            </w:r>
          </w:p>
          <w:p w:rsidR="00C46D1E" w:rsidRPr="00C45618" w:rsidP="00F50C02" w14:paraId="3A3B8BA9" w14:textId="77777777">
            <w:pPr>
              <w:spacing w:line="252" w:lineRule="auto"/>
              <w:jc w:val="center"/>
              <w:rPr>
                <w:rFonts w:ascii="Arial" w:hAnsi="Arial" w:cs="Arial"/>
                <w:color w:val="000000"/>
                <w:sz w:val="20"/>
                <w:szCs w:val="20"/>
              </w:rPr>
            </w:pPr>
          </w:p>
        </w:tc>
        <w:tc>
          <w:tcPr>
            <w:tcW w:w="1256" w:type="dxa"/>
          </w:tcPr>
          <w:p w:rsidR="00C46D1E" w:rsidRPr="00C45618" w:rsidP="00F50C02" w14:paraId="1969B155" w14:textId="6CF61DF2">
            <w:pPr>
              <w:spacing w:line="252" w:lineRule="auto"/>
              <w:jc w:val="center"/>
              <w:rPr>
                <w:rFonts w:ascii="Arial" w:hAnsi="Arial" w:cs="Arial"/>
                <w:color w:val="000000"/>
                <w:sz w:val="20"/>
                <w:szCs w:val="20"/>
              </w:rPr>
            </w:pPr>
            <w:r w:rsidRPr="00C45618">
              <w:rPr>
                <w:rFonts w:ascii="Arial" w:hAnsi="Arial" w:cs="Arial"/>
                <w:color w:val="000000"/>
                <w:sz w:val="20"/>
                <w:szCs w:val="20"/>
              </w:rPr>
              <w:t>$36.14</w:t>
            </w:r>
          </w:p>
        </w:tc>
        <w:tc>
          <w:tcPr>
            <w:tcW w:w="2087" w:type="dxa"/>
          </w:tcPr>
          <w:p w:rsidR="003B560E" w:rsidP="00F50C02" w14:paraId="3D71E2D3" w14:textId="77777777">
            <w:pPr>
              <w:spacing w:line="252" w:lineRule="auto"/>
              <w:jc w:val="center"/>
              <w:rPr>
                <w:rFonts w:ascii="Arial" w:hAnsi="Arial" w:cs="Arial"/>
                <w:sz w:val="20"/>
                <w:szCs w:val="20"/>
              </w:rPr>
            </w:pPr>
            <w:r w:rsidRPr="00C45618">
              <w:rPr>
                <w:rFonts w:ascii="Arial" w:hAnsi="Arial" w:cs="Arial"/>
                <w:sz w:val="20"/>
                <w:szCs w:val="20"/>
              </w:rPr>
              <w:t xml:space="preserve">$18.07 </w:t>
            </w:r>
          </w:p>
          <w:p w:rsidR="00C46D1E" w:rsidRPr="00C45618" w:rsidP="00C46D1E" w14:paraId="06C4C2AE" w14:textId="7D90F773">
            <w:pPr>
              <w:spacing w:line="252" w:lineRule="auto"/>
              <w:jc w:val="center"/>
              <w:rPr>
                <w:rFonts w:ascii="Arial" w:hAnsi="Arial" w:cs="Arial"/>
                <w:sz w:val="20"/>
                <w:szCs w:val="20"/>
              </w:rPr>
            </w:pPr>
            <w:r w:rsidRPr="00C45618">
              <w:rPr>
                <w:rFonts w:ascii="Arial" w:hAnsi="Arial" w:cs="Arial"/>
                <w:sz w:val="20"/>
                <w:szCs w:val="20"/>
              </w:rPr>
              <w:t>(0.50 x 36.14)</w:t>
            </w:r>
          </w:p>
        </w:tc>
        <w:tc>
          <w:tcPr>
            <w:tcW w:w="1419" w:type="dxa"/>
          </w:tcPr>
          <w:p w:rsidR="00C46D1E" w:rsidRPr="00C45618" w:rsidP="00C46D1E" w14:paraId="456D348C" w14:textId="5FA9ACEB">
            <w:pPr>
              <w:spacing w:line="252" w:lineRule="auto"/>
              <w:jc w:val="center"/>
              <w:rPr>
                <w:rFonts w:ascii="Arial" w:hAnsi="Arial" w:cs="Arial"/>
                <w:sz w:val="20"/>
                <w:szCs w:val="20"/>
              </w:rPr>
            </w:pPr>
            <w:r w:rsidRPr="00C45618">
              <w:rPr>
                <w:rFonts w:ascii="Arial" w:hAnsi="Arial" w:cs="Arial"/>
                <w:sz w:val="20"/>
                <w:szCs w:val="20"/>
              </w:rPr>
              <w:t>100</w:t>
            </w:r>
          </w:p>
        </w:tc>
        <w:tc>
          <w:tcPr>
            <w:tcW w:w="1784" w:type="dxa"/>
          </w:tcPr>
          <w:p w:rsidR="00C46D1E" w:rsidRPr="00C45618" w:rsidP="00C46D1E" w14:paraId="0985C690" w14:textId="05AE99BE">
            <w:pPr>
              <w:spacing w:line="252" w:lineRule="auto"/>
              <w:jc w:val="center"/>
              <w:rPr>
                <w:rFonts w:ascii="Arial" w:hAnsi="Arial" w:cs="Arial"/>
                <w:b/>
                <w:color w:val="000000"/>
                <w:sz w:val="20"/>
                <w:szCs w:val="20"/>
              </w:rPr>
            </w:pPr>
            <w:r w:rsidRPr="00C45618">
              <w:rPr>
                <w:rFonts w:ascii="Arial" w:hAnsi="Arial" w:cs="Arial"/>
                <w:b/>
                <w:color w:val="000000"/>
                <w:sz w:val="20"/>
                <w:szCs w:val="20"/>
              </w:rPr>
              <w:t>$1,807</w:t>
            </w:r>
          </w:p>
        </w:tc>
      </w:tr>
      <w:tr w14:paraId="3675C6BA" w14:textId="4E0488F6" w:rsidTr="00563694">
        <w:tblPrEx>
          <w:tblW w:w="9325" w:type="dxa"/>
          <w:tblInd w:w="-10" w:type="dxa"/>
          <w:tblLook w:val="04A0"/>
        </w:tblPrEx>
        <w:trPr>
          <w:trHeight w:val="260"/>
        </w:trPr>
        <w:tc>
          <w:tcPr>
            <w:tcW w:w="7541" w:type="dxa"/>
            <w:gridSpan w:val="6"/>
          </w:tcPr>
          <w:p w:rsidR="009A38EC" w:rsidRPr="00C45618" w:rsidP="009A38EC" w14:paraId="300B2421" w14:textId="75791D98">
            <w:pPr>
              <w:overflowPunct w:val="0"/>
              <w:adjustRightInd w:val="0"/>
              <w:jc w:val="right"/>
              <w:textAlignment w:val="baseline"/>
              <w:rPr>
                <w:rFonts w:ascii="Arial" w:hAnsi="Arial" w:cs="Arial"/>
                <w:sz w:val="20"/>
                <w:szCs w:val="20"/>
              </w:rPr>
            </w:pPr>
            <w:r w:rsidRPr="00C45618">
              <w:rPr>
                <w:rFonts w:ascii="Arial" w:hAnsi="Arial" w:cs="Arial"/>
                <w:sz w:val="20"/>
                <w:szCs w:val="20"/>
              </w:rPr>
              <w:t xml:space="preserve">Overhead at 100%  </w:t>
            </w:r>
          </w:p>
        </w:tc>
        <w:tc>
          <w:tcPr>
            <w:tcW w:w="1784" w:type="dxa"/>
          </w:tcPr>
          <w:p w:rsidR="009A38EC" w:rsidRPr="00C45618" w:rsidP="00163B62" w14:paraId="63F31DA4" w14:textId="3633591A">
            <w:pPr>
              <w:spacing w:line="252" w:lineRule="auto"/>
              <w:jc w:val="center"/>
              <w:rPr>
                <w:rFonts w:ascii="Arial" w:hAnsi="Arial" w:cs="Arial"/>
                <w:b/>
                <w:color w:val="000000"/>
                <w:sz w:val="20"/>
                <w:szCs w:val="20"/>
              </w:rPr>
            </w:pPr>
            <w:r w:rsidRPr="00C45618">
              <w:rPr>
                <w:rFonts w:ascii="Arial" w:hAnsi="Arial" w:cs="Arial"/>
                <w:b/>
                <w:color w:val="000000"/>
                <w:sz w:val="20"/>
                <w:szCs w:val="20"/>
              </w:rPr>
              <w:t>$</w:t>
            </w:r>
            <w:r w:rsidR="00D92903">
              <w:rPr>
                <w:rFonts w:ascii="Arial" w:hAnsi="Arial" w:cs="Arial"/>
                <w:b/>
                <w:bCs/>
                <w:color w:val="000000"/>
                <w:sz w:val="20"/>
                <w:szCs w:val="20"/>
              </w:rPr>
              <w:t>1,807</w:t>
            </w:r>
          </w:p>
          <w:p w:rsidR="009A38EC" w:rsidRPr="00C45618" w:rsidP="00163B62" w14:paraId="1F072594" w14:textId="77777777">
            <w:pPr>
              <w:overflowPunct w:val="0"/>
              <w:adjustRightInd w:val="0"/>
              <w:jc w:val="center"/>
              <w:textAlignment w:val="baseline"/>
              <w:rPr>
                <w:rFonts w:ascii="Arial" w:hAnsi="Arial" w:cs="Arial"/>
                <w:sz w:val="20"/>
                <w:szCs w:val="20"/>
              </w:rPr>
            </w:pPr>
          </w:p>
        </w:tc>
      </w:tr>
      <w:tr w14:paraId="7646A23D" w14:textId="70395AEE" w:rsidTr="00563694">
        <w:tblPrEx>
          <w:tblW w:w="9325" w:type="dxa"/>
          <w:tblInd w:w="-10" w:type="dxa"/>
          <w:tblLook w:val="04A0"/>
        </w:tblPrEx>
        <w:trPr>
          <w:trHeight w:val="350"/>
        </w:trPr>
        <w:tc>
          <w:tcPr>
            <w:tcW w:w="7541" w:type="dxa"/>
            <w:gridSpan w:val="6"/>
          </w:tcPr>
          <w:p w:rsidR="009A38EC" w:rsidRPr="00C45618" w:rsidP="009A38EC" w14:paraId="7FB24D26" w14:textId="7DB99EAF">
            <w:pPr>
              <w:overflowPunct w:val="0"/>
              <w:adjustRightInd w:val="0"/>
              <w:jc w:val="right"/>
              <w:textAlignment w:val="baseline"/>
              <w:rPr>
                <w:rFonts w:ascii="Arial" w:hAnsi="Arial" w:cs="Arial"/>
                <w:sz w:val="20"/>
                <w:szCs w:val="20"/>
              </w:rPr>
            </w:pPr>
            <w:r w:rsidRPr="00C45618">
              <w:rPr>
                <w:rFonts w:ascii="Arial" w:hAnsi="Arial" w:cs="Arial"/>
                <w:sz w:val="20"/>
                <w:szCs w:val="20"/>
              </w:rPr>
              <w:t>Processing/Analyzing Costs</w:t>
            </w:r>
          </w:p>
        </w:tc>
        <w:tc>
          <w:tcPr>
            <w:tcW w:w="1784" w:type="dxa"/>
          </w:tcPr>
          <w:p w:rsidR="009A38EC" w:rsidRPr="00C45618" w:rsidP="00163B62" w14:paraId="63625731" w14:textId="031E69DB">
            <w:pPr>
              <w:overflowPunct w:val="0"/>
              <w:adjustRightInd w:val="0"/>
              <w:jc w:val="center"/>
              <w:textAlignment w:val="baseline"/>
              <w:rPr>
                <w:rFonts w:ascii="Arial" w:hAnsi="Arial" w:cs="Arial"/>
                <w:sz w:val="20"/>
                <w:szCs w:val="20"/>
              </w:rPr>
            </w:pPr>
            <w:r w:rsidRPr="00C45618">
              <w:rPr>
                <w:rFonts w:ascii="Arial" w:hAnsi="Arial" w:cs="Arial"/>
                <w:sz w:val="20"/>
                <w:szCs w:val="20"/>
              </w:rPr>
              <w:t>$0</w:t>
            </w:r>
          </w:p>
        </w:tc>
      </w:tr>
      <w:tr w14:paraId="1D705575" w14:textId="4EB7E105" w:rsidTr="00563694">
        <w:tblPrEx>
          <w:tblW w:w="9325" w:type="dxa"/>
          <w:tblInd w:w="-10" w:type="dxa"/>
          <w:tblLook w:val="04A0"/>
        </w:tblPrEx>
        <w:trPr>
          <w:trHeight w:val="276"/>
        </w:trPr>
        <w:tc>
          <w:tcPr>
            <w:tcW w:w="7541" w:type="dxa"/>
            <w:gridSpan w:val="6"/>
          </w:tcPr>
          <w:p w:rsidR="009A38EC" w:rsidRPr="00C45618" w:rsidP="009A38EC" w14:paraId="407D2E91" w14:textId="670155B0">
            <w:pPr>
              <w:overflowPunct w:val="0"/>
              <w:adjustRightInd w:val="0"/>
              <w:jc w:val="right"/>
              <w:textAlignment w:val="baseline"/>
              <w:rPr>
                <w:rFonts w:ascii="Arial" w:hAnsi="Arial" w:cs="Arial"/>
                <w:sz w:val="20"/>
                <w:szCs w:val="20"/>
              </w:rPr>
            </w:pPr>
            <w:r w:rsidRPr="00C45618">
              <w:rPr>
                <w:rStyle w:val="Hyperlink"/>
                <w:rFonts w:ascii="Arial" w:hAnsi="Arial" w:cs="Arial"/>
                <w:color w:val="auto"/>
                <w:sz w:val="20"/>
                <w:szCs w:val="20"/>
                <w:u w:val="none"/>
              </w:rPr>
              <w:t>Printing and Production Cost</w:t>
            </w:r>
          </w:p>
        </w:tc>
        <w:tc>
          <w:tcPr>
            <w:tcW w:w="1784" w:type="dxa"/>
          </w:tcPr>
          <w:p w:rsidR="009A38EC" w:rsidRPr="00C45618" w:rsidP="009A38EC" w14:paraId="7F405E12" w14:textId="773CC9A7">
            <w:pPr>
              <w:overflowPunct w:val="0"/>
              <w:adjustRightInd w:val="0"/>
              <w:jc w:val="center"/>
              <w:textAlignment w:val="baseline"/>
              <w:rPr>
                <w:rFonts w:ascii="Arial" w:hAnsi="Arial" w:cs="Arial"/>
                <w:sz w:val="20"/>
                <w:szCs w:val="20"/>
              </w:rPr>
            </w:pPr>
            <w:r w:rsidRPr="00C45618">
              <w:rPr>
                <w:rFonts w:ascii="Arial" w:hAnsi="Arial" w:cs="Arial"/>
                <w:sz w:val="20"/>
                <w:szCs w:val="20"/>
              </w:rPr>
              <w:t>$0</w:t>
            </w:r>
          </w:p>
        </w:tc>
      </w:tr>
      <w:tr w14:paraId="1FE78DDC" w14:textId="6365CFE6" w:rsidTr="00563694">
        <w:tblPrEx>
          <w:tblW w:w="9325" w:type="dxa"/>
          <w:tblInd w:w="-10" w:type="dxa"/>
          <w:tblLook w:val="04A0"/>
        </w:tblPrEx>
        <w:trPr>
          <w:trHeight w:val="413"/>
        </w:trPr>
        <w:tc>
          <w:tcPr>
            <w:tcW w:w="7541" w:type="dxa"/>
            <w:gridSpan w:val="6"/>
          </w:tcPr>
          <w:p w:rsidR="009A38EC" w:rsidRPr="00C45618" w:rsidP="009A38EC" w14:paraId="6AA6E68D" w14:textId="4A61E822">
            <w:pPr>
              <w:overflowPunct w:val="0"/>
              <w:adjustRightInd w:val="0"/>
              <w:jc w:val="right"/>
              <w:textAlignment w:val="baseline"/>
              <w:rPr>
                <w:rFonts w:ascii="Arial" w:hAnsi="Arial" w:cs="Arial"/>
                <w:sz w:val="20"/>
                <w:szCs w:val="20"/>
              </w:rPr>
            </w:pPr>
            <w:r w:rsidRPr="00C45618">
              <w:rPr>
                <w:rStyle w:val="Hyperlink"/>
                <w:rFonts w:ascii="Arial" w:hAnsi="Arial" w:cs="Arial"/>
                <w:color w:val="auto"/>
                <w:sz w:val="20"/>
                <w:szCs w:val="20"/>
                <w:u w:val="none"/>
              </w:rPr>
              <w:t>Total Cost to Government</w:t>
            </w:r>
          </w:p>
        </w:tc>
        <w:tc>
          <w:tcPr>
            <w:tcW w:w="1784" w:type="dxa"/>
          </w:tcPr>
          <w:p w:rsidR="009A38EC" w:rsidRPr="00C45618" w:rsidP="009A38EC" w14:paraId="510F61B6" w14:textId="29132AE8">
            <w:pPr>
              <w:spacing w:line="252" w:lineRule="auto"/>
              <w:jc w:val="center"/>
              <w:rPr>
                <w:rFonts w:ascii="Arial" w:hAnsi="Arial" w:cs="Arial"/>
                <w:b/>
                <w:color w:val="000000"/>
                <w:sz w:val="20"/>
                <w:szCs w:val="20"/>
              </w:rPr>
            </w:pPr>
            <w:r w:rsidRPr="00C45618">
              <w:rPr>
                <w:rFonts w:ascii="Arial" w:hAnsi="Arial" w:cs="Arial"/>
                <w:b/>
                <w:color w:val="000000"/>
                <w:sz w:val="20"/>
                <w:szCs w:val="20"/>
              </w:rPr>
              <w:t>$</w:t>
            </w:r>
            <w:r w:rsidR="00D92903">
              <w:rPr>
                <w:rFonts w:ascii="Arial" w:hAnsi="Arial" w:cs="Arial"/>
                <w:b/>
                <w:bCs/>
                <w:color w:val="000000"/>
                <w:sz w:val="20"/>
                <w:szCs w:val="20"/>
              </w:rPr>
              <w:t>1,807</w:t>
            </w:r>
          </w:p>
          <w:p w:rsidR="009A38EC" w:rsidRPr="00C45618" w:rsidP="009A38EC" w14:paraId="53E59208" w14:textId="77777777">
            <w:pPr>
              <w:overflowPunct w:val="0"/>
              <w:adjustRightInd w:val="0"/>
              <w:jc w:val="center"/>
              <w:textAlignment w:val="baseline"/>
              <w:rPr>
                <w:rFonts w:ascii="Arial" w:hAnsi="Arial" w:cs="Arial"/>
                <w:sz w:val="20"/>
                <w:szCs w:val="20"/>
              </w:rPr>
            </w:pPr>
          </w:p>
        </w:tc>
      </w:tr>
    </w:tbl>
    <w:p w:rsidR="00127B1A" w:rsidRPr="00035C01" w:rsidP="001F2C7D" w14:paraId="5D489422" w14:textId="77777777">
      <w:pPr>
        <w:rPr>
          <w:rFonts w:ascii="Arial" w:hAnsi="Arial" w:cs="Arial"/>
          <w:color w:val="FF0000"/>
          <w:u w:val="single"/>
        </w:rPr>
      </w:pPr>
    </w:p>
    <w:p w:rsidR="00984BE3" w:rsidRPr="00A209D9" w:rsidP="00D30345" w14:paraId="337FC7E7" w14:textId="50ED172C">
      <w:pPr>
        <w:ind w:right="576"/>
        <w:rPr>
          <w:rFonts w:ascii="Arial" w:hAnsi="Arial" w:cs="Arial"/>
        </w:rPr>
      </w:pPr>
      <w:r w:rsidRPr="00A209D9">
        <w:rPr>
          <w:rFonts w:ascii="Arial" w:hAnsi="Arial" w:cs="Arial"/>
        </w:rPr>
        <w:t xml:space="preserve">Overhead costs are 100% of salary and are the same as the wage listed above and the amounts are included in the total.  </w:t>
      </w:r>
      <w:r w:rsidR="00E77400">
        <w:rPr>
          <w:rFonts w:ascii="Arial" w:hAnsi="Arial" w:cs="Arial"/>
        </w:rPr>
        <w:t xml:space="preserve">This collection has no printing and production cost. </w:t>
      </w:r>
      <w:r w:rsidRPr="00A209D9">
        <w:rPr>
          <w:rFonts w:ascii="Arial" w:hAnsi="Arial" w:cs="Arial"/>
        </w:rPr>
        <w:t xml:space="preserve">  </w:t>
      </w:r>
    </w:p>
    <w:p w:rsidR="00984BE3" w:rsidRPr="00A209D9" w:rsidP="00984BE3" w14:paraId="4768BA8F" w14:textId="77777777">
      <w:pPr>
        <w:ind w:left="360"/>
        <w:rPr>
          <w:rFonts w:ascii="Arial" w:hAnsi="Arial" w:cs="Arial"/>
        </w:rPr>
      </w:pPr>
    </w:p>
    <w:p w:rsidR="00B83655" w:rsidRPr="00B83655" w:rsidP="00B83655" w14:paraId="17C9EA5A" w14:textId="0C884BFC">
      <w:pPr>
        <w:ind w:right="684"/>
        <w:rPr>
          <w:rFonts w:ascii="Arial" w:hAnsi="Arial" w:cs="Arial"/>
        </w:rPr>
      </w:pPr>
      <w:r w:rsidRPr="00A209D9">
        <w:rPr>
          <w:rFonts w:ascii="Arial" w:hAnsi="Arial" w:cs="Arial"/>
        </w:rPr>
        <w:t xml:space="preserve">The processing time estimates above are based on the actual amount of time employees of each grade level spend </w:t>
      </w:r>
      <w:r w:rsidRPr="00165D2B" w:rsidR="005A57A7">
        <w:rPr>
          <w:rFonts w:ascii="Arial" w:hAnsi="Arial" w:cs="Arial"/>
        </w:rPr>
        <w:t>reviewing the underwriting and delinquency information submitted by lenders for IRRRLs made to refinance a delinquent loan. There is no</w:t>
      </w:r>
      <w:r w:rsidR="005A57A7">
        <w:rPr>
          <w:rFonts w:ascii="Arial" w:hAnsi="Arial" w:cs="Arial"/>
        </w:rPr>
        <w:t xml:space="preserve"> separate</w:t>
      </w:r>
      <w:r w:rsidRPr="00165D2B" w:rsidR="005A57A7">
        <w:rPr>
          <w:rFonts w:ascii="Arial" w:hAnsi="Arial" w:cs="Arial"/>
        </w:rPr>
        <w:t xml:space="preserve"> government cost associated with the VA 26-8923, certifications, and </w:t>
      </w:r>
      <w:r w:rsidR="005A57A7">
        <w:rPr>
          <w:rFonts w:ascii="Arial" w:hAnsi="Arial" w:cs="Arial"/>
        </w:rPr>
        <w:t xml:space="preserve">comparison </w:t>
      </w:r>
      <w:r w:rsidRPr="00165D2B" w:rsidR="005A57A7">
        <w:rPr>
          <w:rFonts w:ascii="Arial" w:hAnsi="Arial" w:cs="Arial"/>
        </w:rPr>
        <w:t xml:space="preserve">disclosures. Such documents and certifications are only reviewed by employees during loan audits; the cost of reviewing such information is already captured under OMB approval number 2900-0515. </w:t>
      </w:r>
      <w:r w:rsidRPr="00A209D9">
        <w:rPr>
          <w:rFonts w:ascii="Arial" w:hAnsi="Arial" w:cs="Arial"/>
        </w:rPr>
        <w:t>The within-grade step (</w:t>
      </w:r>
      <w:r w:rsidR="00C46D1E">
        <w:rPr>
          <w:rFonts w:ascii="Arial" w:hAnsi="Arial" w:cs="Arial"/>
        </w:rPr>
        <w:t>6</w:t>
      </w:r>
      <w:r w:rsidRPr="00A209D9">
        <w:rPr>
          <w:rFonts w:ascii="Arial" w:hAnsi="Arial" w:cs="Arial"/>
        </w:rPr>
        <w:t>) of each employee represents the average experience of employees within each grade.</w:t>
      </w:r>
    </w:p>
    <w:p w:rsidR="00EC247D" w:rsidP="005A57A7" w14:paraId="75617778" w14:textId="77777777">
      <w:pPr>
        <w:ind w:right="684"/>
        <w:rPr>
          <w:rFonts w:ascii="Arial" w:hAnsi="Arial" w:cs="Arial"/>
        </w:rPr>
      </w:pPr>
    </w:p>
    <w:p w:rsidR="00EC247D" w:rsidRPr="00A209D9" w:rsidP="00563694" w14:paraId="48708686" w14:textId="7DF57CB8">
      <w:pPr>
        <w:rPr>
          <w:rFonts w:ascii="Arial" w:hAnsi="Arial" w:cs="Arial"/>
        </w:rPr>
      </w:pPr>
      <w:r w:rsidRPr="00A209D9">
        <w:rPr>
          <w:rFonts w:ascii="Arial" w:hAnsi="Arial" w:cs="Arial"/>
        </w:rPr>
        <w:t>Note: The hourly wage information above is based on the hourly 2021 General Schedule (Base) Pay (</w:t>
      </w:r>
      <w:hyperlink r:id="rId12" w:history="1">
        <w:r w:rsidRPr="00A209D9">
          <w:rPr>
            <w:rStyle w:val="Hyperlink"/>
            <w:rFonts w:ascii="Arial" w:hAnsi="Arial" w:cs="Arial"/>
          </w:rPr>
          <w:t>https://www.opm.gov/policy-data-oversight/pay-leave/salaries-wages/salary-tables/pdf/2021/GS_h.pdf</w:t>
        </w:r>
      </w:hyperlink>
      <w:r w:rsidRPr="00A209D9">
        <w:rPr>
          <w:rFonts w:ascii="Arial" w:hAnsi="Arial" w:cs="Arial"/>
        </w:rPr>
        <w:t>). This rate does not include any locality adjustment as applicable.</w:t>
      </w:r>
    </w:p>
    <w:p w:rsidR="00FE3A77" w:rsidRPr="00035C01" w:rsidP="001F2C7D" w14:paraId="7F308C32" w14:textId="77777777">
      <w:pPr>
        <w:pStyle w:val="BodyText2"/>
        <w:ind w:firstLine="0"/>
        <w:rPr>
          <w:rFonts w:ascii="Arial" w:hAnsi="Arial" w:cs="Arial"/>
        </w:rPr>
      </w:pPr>
    </w:p>
    <w:p w:rsidR="0033557D" w:rsidRPr="00035C01" w:rsidP="001F2C7D" w14:paraId="206F0B7B" w14:textId="1174E9C8">
      <w:pPr>
        <w:rPr>
          <w:rFonts w:ascii="Arial" w:hAnsi="Arial" w:cs="Arial"/>
          <w:b/>
        </w:rPr>
      </w:pPr>
      <w:r w:rsidRPr="00035C01">
        <w:rPr>
          <w:rFonts w:ascii="Arial" w:hAnsi="Arial" w:cs="Arial"/>
        </w:rPr>
        <w:t xml:space="preserve">     </w:t>
      </w:r>
      <w:r w:rsidRPr="00035C01" w:rsidR="004E779A">
        <w:rPr>
          <w:rFonts w:ascii="Arial" w:hAnsi="Arial" w:cs="Arial"/>
          <w:b/>
        </w:rPr>
        <w:t xml:space="preserve">15.  </w:t>
      </w:r>
      <w:r w:rsidRPr="00035C01">
        <w:rPr>
          <w:rFonts w:ascii="Arial" w:hAnsi="Arial" w:cs="Arial"/>
          <w:b/>
        </w:rPr>
        <w:t xml:space="preserve"> Explain the reason for any burden hour changes since the last submission.</w:t>
      </w:r>
    </w:p>
    <w:p w:rsidR="0033557D" w:rsidRPr="00035C01" w:rsidP="001F2C7D" w14:paraId="3F85A7FC" w14:textId="77777777">
      <w:pPr>
        <w:rPr>
          <w:rFonts w:ascii="Arial" w:hAnsi="Arial" w:cs="Arial"/>
        </w:rPr>
      </w:pPr>
    </w:p>
    <w:p w:rsidR="003C2010" w:rsidRPr="00035C01" w:rsidP="001F2C7D" w14:paraId="35DAB478" w14:textId="44CEDC5D">
      <w:pPr>
        <w:rPr>
          <w:rFonts w:ascii="Arial" w:hAnsi="Arial" w:cs="Arial"/>
        </w:rPr>
      </w:pPr>
      <w:r>
        <w:rPr>
          <w:rFonts w:ascii="Arial" w:hAnsi="Arial" w:cs="Arial"/>
        </w:rPr>
        <w:tab/>
        <w:t xml:space="preserve">VA notes that there was a calculation error in </w:t>
      </w:r>
      <w:r w:rsidR="000A480A">
        <w:rPr>
          <w:rFonts w:ascii="Arial" w:hAnsi="Arial" w:cs="Arial"/>
        </w:rPr>
        <w:t>the information collection previously approved by OMB.</w:t>
      </w:r>
      <w:r w:rsidR="00460DBE">
        <w:rPr>
          <w:rFonts w:ascii="Arial" w:hAnsi="Arial" w:cs="Arial"/>
        </w:rPr>
        <w:t xml:space="preserve"> Such error has been corrected in this revision and accounts for some of the increased burden hours. Additionally, VA’s prior information collection packages did not account for any Veteran burden associated with certifying as to receipt of any comparison disclosure or providing delinquency information, where appropriate. VA has added these burdens to this package</w:t>
      </w:r>
      <w:r w:rsidR="00801921">
        <w:rPr>
          <w:rFonts w:ascii="Arial" w:hAnsi="Arial" w:cs="Arial"/>
        </w:rPr>
        <w:t xml:space="preserve"> while also updating its burden estimates to reflect the individual burden associated with each comparison disclosure associated with completing an IRRRL. </w:t>
      </w:r>
    </w:p>
    <w:p w:rsidR="003C2010" w:rsidRPr="00035C01" w:rsidP="001F2C7D" w14:paraId="224A298D" w14:textId="77777777">
      <w:pPr>
        <w:rPr>
          <w:rFonts w:ascii="Arial" w:hAnsi="Arial" w:cs="Arial"/>
        </w:rPr>
      </w:pP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p>
    <w:p w:rsidR="0033557D" w:rsidRPr="00035C01" w:rsidP="001F2C7D" w14:paraId="41F8FD3B" w14:textId="3FADAFF8">
      <w:pPr>
        <w:tabs>
          <w:tab w:val="left" w:pos="270"/>
          <w:tab w:val="right" w:pos="8550"/>
        </w:tabs>
        <w:ind w:right="864"/>
        <w:rPr>
          <w:rFonts w:ascii="Arial" w:hAnsi="Arial" w:cs="Arial"/>
          <w:b/>
        </w:rPr>
      </w:pPr>
      <w:r w:rsidRPr="00035C01">
        <w:rPr>
          <w:rFonts w:ascii="Arial" w:hAnsi="Arial" w:cs="Arial"/>
        </w:rPr>
        <w:t xml:space="preserve">     </w:t>
      </w:r>
      <w:r w:rsidRPr="00035C01" w:rsidR="003C2010">
        <w:rPr>
          <w:rFonts w:ascii="Arial" w:hAnsi="Arial" w:cs="Arial"/>
          <w:b/>
        </w:rPr>
        <w:t xml:space="preserve">16.  </w:t>
      </w:r>
      <w:r w:rsidRPr="00035C01">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3557D" w:rsidRPr="00035C01" w:rsidP="001F2C7D" w14:paraId="0CDF5D19" w14:textId="77777777">
      <w:pPr>
        <w:tabs>
          <w:tab w:val="left" w:pos="270"/>
          <w:tab w:val="right" w:pos="8550"/>
        </w:tabs>
        <w:ind w:right="864"/>
        <w:rPr>
          <w:rFonts w:ascii="Arial" w:hAnsi="Arial" w:cs="Arial"/>
        </w:rPr>
      </w:pPr>
    </w:p>
    <w:p w:rsidR="00377C83" w:rsidRPr="00035C01" w:rsidP="001F2C7D" w14:paraId="1228C46B" w14:textId="1F2DE067">
      <w:pPr>
        <w:tabs>
          <w:tab w:val="left" w:pos="270"/>
          <w:tab w:val="right" w:pos="8550"/>
        </w:tabs>
        <w:ind w:right="864"/>
        <w:rPr>
          <w:rFonts w:ascii="Arial" w:hAnsi="Arial" w:cs="Arial"/>
        </w:rPr>
      </w:pPr>
      <w:r>
        <w:rPr>
          <w:rFonts w:ascii="Arial" w:hAnsi="Arial" w:cs="Arial"/>
        </w:rPr>
        <w:t xml:space="preserve">     </w:t>
      </w:r>
      <w:r w:rsidRPr="00035C01">
        <w:rPr>
          <w:rFonts w:ascii="Arial" w:hAnsi="Arial" w:cs="Arial"/>
        </w:rPr>
        <w:t>Information collection is not for tabulation or publication use.</w:t>
      </w:r>
    </w:p>
    <w:p w:rsidR="003C2010" w:rsidRPr="00035C01" w:rsidP="001F2C7D" w14:paraId="4103E735" w14:textId="77777777">
      <w:pPr>
        <w:rPr>
          <w:rFonts w:ascii="Arial" w:hAnsi="Arial" w:cs="Arial"/>
        </w:rPr>
      </w:pPr>
    </w:p>
    <w:p w:rsidR="0033557D" w:rsidRPr="00035C01" w:rsidP="001F2C7D" w14:paraId="457891F9" w14:textId="4FC31705">
      <w:pPr>
        <w:rPr>
          <w:rFonts w:ascii="Arial" w:hAnsi="Arial" w:cs="Arial"/>
          <w:b/>
        </w:rPr>
      </w:pPr>
      <w:r w:rsidRPr="00035C01">
        <w:rPr>
          <w:rFonts w:ascii="Arial" w:hAnsi="Arial" w:cs="Arial"/>
        </w:rPr>
        <w:t xml:space="preserve">     </w:t>
      </w:r>
      <w:r w:rsidRPr="00035C01">
        <w:rPr>
          <w:rFonts w:ascii="Arial" w:hAnsi="Arial" w:cs="Arial"/>
          <w:b/>
        </w:rPr>
        <w:t xml:space="preserve">17.  </w:t>
      </w:r>
      <w:r w:rsidRPr="00035C01">
        <w:rPr>
          <w:rFonts w:ascii="Arial" w:hAnsi="Arial" w:cs="Arial"/>
          <w:b/>
        </w:rPr>
        <w:t>If seeking approval to not display the expiration date</w:t>
      </w:r>
      <w:r w:rsidRPr="00035C01">
        <w:rPr>
          <w:rFonts w:ascii="Arial" w:hAnsi="Arial" w:cs="Arial"/>
          <w:b/>
          <w:color w:val="0000FF"/>
        </w:rPr>
        <w:t xml:space="preserve"> </w:t>
      </w:r>
      <w:r w:rsidRPr="00035C01">
        <w:rPr>
          <w:rFonts w:ascii="Arial" w:hAnsi="Arial" w:cs="Arial"/>
          <w:b/>
        </w:rPr>
        <w:t>for OMB approval of the information collection, explain the reasons that display would be inappropriate.</w:t>
      </w:r>
    </w:p>
    <w:p w:rsidR="0033557D" w:rsidRPr="00035C01" w:rsidP="001F2C7D" w14:paraId="2B6F99DA" w14:textId="77777777">
      <w:pPr>
        <w:rPr>
          <w:rFonts w:ascii="Arial" w:hAnsi="Arial" w:cs="Arial"/>
        </w:rPr>
      </w:pPr>
    </w:p>
    <w:p w:rsidR="003C2010" w:rsidRPr="00035C01" w:rsidP="001F2C7D" w14:paraId="4DC9A7C8" w14:textId="1A8E6755">
      <w:pPr>
        <w:rPr>
          <w:rFonts w:ascii="Arial" w:hAnsi="Arial" w:cs="Arial"/>
        </w:rPr>
      </w:pPr>
      <w:r>
        <w:rPr>
          <w:rFonts w:ascii="Arial" w:hAnsi="Arial" w:cs="Arial"/>
        </w:rPr>
        <w:t xml:space="preserve">     </w:t>
      </w:r>
      <w:r w:rsidRPr="00035C01" w:rsidR="001F2C7D">
        <w:rPr>
          <w:rFonts w:ascii="Arial" w:hAnsi="Arial" w:cs="Arial"/>
        </w:rPr>
        <w:t>We are not seeking approval to omit the expiration date for OMB approval.</w:t>
      </w:r>
    </w:p>
    <w:p w:rsidR="001F2C7D" w:rsidRPr="00035C01" w:rsidP="001F2C7D" w14:paraId="4C368117" w14:textId="77777777">
      <w:pPr>
        <w:rPr>
          <w:rFonts w:ascii="Arial" w:hAnsi="Arial" w:cs="Arial"/>
        </w:rPr>
      </w:pPr>
    </w:p>
    <w:p w:rsidR="0033557D" w:rsidRPr="00035C01" w:rsidP="001F2C7D" w14:paraId="7B47AD20" w14:textId="77777777">
      <w:pPr>
        <w:pStyle w:val="BodyText"/>
        <w:tabs>
          <w:tab w:val="left" w:pos="360"/>
        </w:tabs>
        <w:spacing w:after="0"/>
        <w:rPr>
          <w:rFonts w:ascii="Arial" w:hAnsi="Arial" w:cs="Arial"/>
          <w:b/>
        </w:rPr>
      </w:pPr>
      <w:r w:rsidRPr="00035C01">
        <w:rPr>
          <w:rFonts w:ascii="Arial" w:hAnsi="Arial" w:cs="Arial"/>
        </w:rPr>
        <w:t xml:space="preserve">     </w:t>
      </w:r>
      <w:r w:rsidRPr="00035C01">
        <w:rPr>
          <w:rFonts w:ascii="Arial" w:hAnsi="Arial" w:cs="Arial"/>
          <w:b/>
        </w:rPr>
        <w:t xml:space="preserve">18.  </w:t>
      </w:r>
      <w:r w:rsidRPr="00035C01">
        <w:rPr>
          <w:rFonts w:ascii="Arial" w:hAnsi="Arial" w:cs="Arial"/>
          <w:b/>
        </w:rPr>
        <w:t xml:space="preserve"> Explain each exception to the certification statement identified in Item 19, “Certification for Paperwork Reduction Act Submissions,” of OMB 83-I.</w:t>
      </w:r>
    </w:p>
    <w:p w:rsidR="0033557D" w:rsidRPr="00035C01" w:rsidP="001F2C7D" w14:paraId="5AEDEB8E" w14:textId="77777777">
      <w:pPr>
        <w:pStyle w:val="BodyText"/>
        <w:tabs>
          <w:tab w:val="left" w:pos="360"/>
        </w:tabs>
        <w:spacing w:after="0"/>
        <w:rPr>
          <w:rFonts w:ascii="Arial" w:hAnsi="Arial" w:cs="Arial"/>
        </w:rPr>
      </w:pPr>
    </w:p>
    <w:p w:rsidR="001F2C7D" w:rsidRPr="00035C01" w:rsidP="001F2C7D" w14:paraId="62033C99" w14:textId="1F001E26">
      <w:pPr>
        <w:pStyle w:val="BodyText"/>
        <w:tabs>
          <w:tab w:val="left" w:pos="360"/>
        </w:tabs>
        <w:spacing w:after="0"/>
        <w:rPr>
          <w:rFonts w:ascii="Arial" w:hAnsi="Arial" w:cs="Arial"/>
        </w:rPr>
      </w:pPr>
      <w:r>
        <w:rPr>
          <w:rFonts w:ascii="Arial" w:hAnsi="Arial" w:cs="Arial"/>
        </w:rPr>
        <w:t xml:space="preserve">     </w:t>
      </w:r>
      <w:r w:rsidRPr="00035C01">
        <w:rPr>
          <w:rFonts w:ascii="Arial" w:hAnsi="Arial" w:cs="Arial"/>
        </w:rPr>
        <w:t>This submission does not contain any exception to the certification statement.</w:t>
      </w:r>
    </w:p>
    <w:p w:rsidR="003C2010" w:rsidRPr="00035C01" w:rsidP="001F2C7D" w14:paraId="3138B357" w14:textId="77777777">
      <w:pPr>
        <w:rPr>
          <w:rFonts w:ascii="Arial" w:hAnsi="Arial" w:cs="Arial"/>
        </w:rPr>
      </w:pPr>
    </w:p>
    <w:p w:rsidR="00377C83" w:rsidRPr="00035C01" w:rsidP="001F2C7D" w14:paraId="6744F0D0" w14:textId="77777777">
      <w:pPr>
        <w:tabs>
          <w:tab w:val="left" w:pos="270"/>
          <w:tab w:val="right" w:pos="8550"/>
        </w:tabs>
        <w:autoSpaceDE/>
        <w:autoSpaceDN/>
        <w:ind w:right="864"/>
        <w:rPr>
          <w:rFonts w:ascii="Arial" w:hAnsi="Arial" w:cs="Arial"/>
          <w:b/>
          <w:u w:val="single"/>
        </w:rPr>
      </w:pPr>
      <w:r w:rsidRPr="00035C01">
        <w:rPr>
          <w:rFonts w:ascii="Arial" w:hAnsi="Arial" w:cs="Arial"/>
          <w:b/>
        </w:rPr>
        <w:t xml:space="preserve">     </w:t>
      </w:r>
      <w:r w:rsidRPr="00035C01" w:rsidR="003C2010">
        <w:rPr>
          <w:rFonts w:ascii="Arial" w:hAnsi="Arial" w:cs="Arial"/>
          <w:b/>
        </w:rPr>
        <w:t xml:space="preserve">B.  </w:t>
      </w:r>
      <w:r w:rsidRPr="00035C01">
        <w:rPr>
          <w:rFonts w:ascii="Arial" w:hAnsi="Arial" w:cs="Arial"/>
          <w:b/>
          <w:u w:val="single"/>
        </w:rPr>
        <w:t>COLLECTION OF INFORMATION EMPLOYING STATISTICAL METHODS</w:t>
      </w:r>
    </w:p>
    <w:p w:rsidR="003C2010" w:rsidRPr="00035C01" w:rsidP="001F2C7D" w14:paraId="5AD73E18" w14:textId="77777777">
      <w:pPr>
        <w:rPr>
          <w:rFonts w:ascii="Arial" w:hAnsi="Arial" w:cs="Arial"/>
          <w:u w:val="single"/>
        </w:rPr>
      </w:pPr>
    </w:p>
    <w:p w:rsidR="00905C3B" w:rsidRPr="00905C3B" w:rsidP="00712027" w14:paraId="5C2C8696" w14:textId="15D9E446">
      <w:pPr>
        <w:overflowPunct w:val="0"/>
        <w:adjustRightInd w:val="0"/>
        <w:textAlignment w:val="baseline"/>
        <w:rPr>
          <w:rFonts w:ascii="Arial" w:hAnsi="Arial" w:cs="Arial"/>
          <w:color w:val="C00000"/>
        </w:rPr>
      </w:pPr>
      <w:r>
        <w:rPr>
          <w:rFonts w:ascii="Arial" w:hAnsi="Arial" w:cs="Arial"/>
        </w:rPr>
        <w:t xml:space="preserve">     </w:t>
      </w:r>
      <w:r w:rsidRPr="00905C3B">
        <w:rPr>
          <w:rFonts w:ascii="Arial" w:hAnsi="Arial" w:cs="Arial"/>
        </w:rPr>
        <w:t>This collection of information by the Veterans Benefits Administration does not employ statistical methods.</w:t>
      </w:r>
    </w:p>
    <w:p w:rsidR="0033557D" w:rsidRPr="00035C01" w:rsidP="001D067D" w14:paraId="662C0EDF" w14:textId="75E90E6B">
      <w:pPr>
        <w:pStyle w:val="BodyTextIndent2"/>
        <w:rPr>
          <w:rFonts w:ascii="Arial" w:hAnsi="Arial" w:cs="Arial"/>
        </w:rPr>
      </w:pPr>
    </w:p>
    <w:sectPr w:rsidSect="00B3296C">
      <w:pgSz w:w="12240" w:h="15840"/>
      <w:pgMar w:top="1440" w:right="1440" w:bottom="1440" w:left="1440" w:header="720" w:footer="720" w:gutter="0"/>
      <w:paperSrc w:first="7"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C1229" w:rsidP="000753CB" w14:paraId="68AA83FD" w14:textId="77777777">
      <w:r>
        <w:separator/>
      </w:r>
    </w:p>
  </w:footnote>
  <w:footnote w:type="continuationSeparator" w:id="1">
    <w:p w:rsidR="00FC1229" w:rsidP="000753CB" w14:paraId="5890AAF5" w14:textId="77777777">
      <w:r>
        <w:continuationSeparator/>
      </w:r>
    </w:p>
  </w:footnote>
  <w:footnote w:type="continuationNotice" w:id="2">
    <w:p w:rsidR="00FC1229" w14:paraId="05413329" w14:textId="77777777"/>
  </w:footnote>
  <w:footnote w:id="3">
    <w:p w:rsidR="000753CB" w:rsidRPr="00DC66DE" w:rsidP="000753CB" w14:paraId="10ADDA97" w14:textId="367CE687">
      <w:pPr>
        <w:pStyle w:val="FootnoteText"/>
        <w:rPr>
          <w:rFonts w:ascii="Arial" w:hAnsi="Arial" w:cs="Arial"/>
        </w:rPr>
      </w:pPr>
      <w:r w:rsidRPr="00DC66DE">
        <w:rPr>
          <w:rStyle w:val="FootnoteReference"/>
          <w:rFonts w:ascii="Arial" w:hAnsi="Arial" w:cs="Arial"/>
        </w:rPr>
        <w:footnoteRef/>
      </w:r>
      <w:r w:rsidRPr="00DC66DE">
        <w:rPr>
          <w:rFonts w:ascii="Arial" w:hAnsi="Arial" w:cs="Arial"/>
        </w:rPr>
        <w:t xml:space="preserve"> VA calculated one-time technology costs utilizing the amount of time estimated to develop custom disclosure</w:t>
      </w:r>
      <w:r w:rsidRPr="00DC66DE" w:rsidR="005002AF">
        <w:rPr>
          <w:rFonts w:ascii="Arial" w:hAnsi="Arial" w:cs="Arial"/>
        </w:rPr>
        <w:t>s</w:t>
      </w:r>
      <w:r w:rsidRPr="00DC66DE">
        <w:rPr>
          <w:rFonts w:ascii="Arial" w:hAnsi="Arial" w:cs="Arial"/>
        </w:rPr>
        <w:t xml:space="preserve"> </w:t>
      </w:r>
      <w:r w:rsidRPr="00DC66DE" w:rsidR="005002AF">
        <w:rPr>
          <w:rFonts w:ascii="Arial" w:hAnsi="Arial" w:cs="Arial"/>
        </w:rPr>
        <w:t>consistent with the standardized disclosure form</w:t>
      </w:r>
      <w:r w:rsidR="00123B2F">
        <w:rPr>
          <w:rFonts w:ascii="Arial" w:hAnsi="Arial" w:cs="Arial"/>
        </w:rPr>
        <w:t xml:space="preserve"> </w:t>
      </w:r>
      <w:r w:rsidRPr="00DC66DE">
        <w:rPr>
          <w:rFonts w:ascii="Arial" w:hAnsi="Arial" w:cs="Arial"/>
        </w:rPr>
        <w:t>(either through existing LOS software or via a third-party contract).  VA assumed 40 hours of planning, development, testing, and deployment to add the disclosure</w:t>
      </w:r>
      <w:r w:rsidRPr="00DC66DE" w:rsidR="005002AF">
        <w:rPr>
          <w:rFonts w:ascii="Arial" w:hAnsi="Arial" w:cs="Arial"/>
        </w:rPr>
        <w:t>s</w:t>
      </w:r>
      <w:r w:rsidRPr="00DC66DE">
        <w:rPr>
          <w:rFonts w:ascii="Arial" w:hAnsi="Arial" w:cs="Arial"/>
        </w:rPr>
        <w:t xml:space="preserve"> to a lender’s existing LOS.  The wage burden was calculated as a composite wage, with weighting based on information provided by various industry professionals.  Mean values from the BLS Occupational Employment and Wages data were used to estimate a composite wage as 5% Compliance Officer (occupation code 13-1041) at $3</w:t>
      </w:r>
      <w:r w:rsidRPr="00DC66DE" w:rsidR="0003099D">
        <w:rPr>
          <w:rFonts w:ascii="Arial" w:hAnsi="Arial" w:cs="Arial"/>
        </w:rPr>
        <w:t>6</w:t>
      </w:r>
      <w:r w:rsidRPr="00DC66DE">
        <w:rPr>
          <w:rFonts w:ascii="Arial" w:hAnsi="Arial" w:cs="Arial"/>
        </w:rPr>
        <w:t>.</w:t>
      </w:r>
      <w:r w:rsidRPr="00DC66DE" w:rsidR="0003099D">
        <w:rPr>
          <w:rFonts w:ascii="Arial" w:hAnsi="Arial" w:cs="Arial"/>
        </w:rPr>
        <w:t>35</w:t>
      </w:r>
      <w:r w:rsidRPr="00DC66DE">
        <w:rPr>
          <w:rFonts w:ascii="Arial" w:hAnsi="Arial" w:cs="Arial"/>
        </w:rPr>
        <w:t>/hour, 5% Lawyer (occupation code 23-1011) at $</w:t>
      </w:r>
      <w:r w:rsidRPr="00DC66DE" w:rsidR="0003099D">
        <w:rPr>
          <w:rFonts w:ascii="Arial" w:hAnsi="Arial" w:cs="Arial"/>
        </w:rPr>
        <w:t>71.59</w:t>
      </w:r>
      <w:r w:rsidRPr="00DC66DE">
        <w:rPr>
          <w:rFonts w:ascii="Arial" w:hAnsi="Arial" w:cs="Arial"/>
        </w:rPr>
        <w:t>/hour, and 90% Computer Occupations (occupation code 15-1100) at $4</w:t>
      </w:r>
      <w:r w:rsidRPr="00DC66DE" w:rsidR="005002AF">
        <w:rPr>
          <w:rFonts w:ascii="Arial" w:hAnsi="Arial" w:cs="Arial"/>
        </w:rPr>
        <w:t>6.46</w:t>
      </w:r>
      <w:r w:rsidRPr="00DC66DE">
        <w:rPr>
          <w:rFonts w:ascii="Arial" w:hAnsi="Arial" w:cs="Arial"/>
        </w:rPr>
        <w:t>/hour, for a composite wage of $</w:t>
      </w:r>
      <w:r w:rsidRPr="00DC66DE" w:rsidR="001F0810">
        <w:rPr>
          <w:rFonts w:ascii="Arial" w:hAnsi="Arial" w:cs="Arial"/>
        </w:rPr>
        <w:t>47.21</w:t>
      </w:r>
      <w:r w:rsidRPr="00DC66DE">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6654A"/>
    <w:multiLevelType w:val="hybridMultilevel"/>
    <w:tmpl w:val="2C02A2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4E38D2"/>
    <w:multiLevelType w:val="hybridMultilevel"/>
    <w:tmpl w:val="3AFE995A"/>
    <w:lvl w:ilvl="0">
      <w:start w:val="1"/>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2">
    <w:nsid w:val="1D7F3F26"/>
    <w:multiLevelType w:val="hybridMultilevel"/>
    <w:tmpl w:val="9694319A"/>
    <w:lvl w:ilvl="0">
      <w:start w:val="1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403E4851"/>
    <w:multiLevelType w:val="hybridMultilevel"/>
    <w:tmpl w:val="6E3EA4B0"/>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
    <w:nsid w:val="4AF15326"/>
    <w:multiLevelType w:val="hybridMultilevel"/>
    <w:tmpl w:val="F8C67EFC"/>
    <w:lvl w:ilvl="0">
      <w:start w:val="1"/>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5">
    <w:nsid w:val="63992ABE"/>
    <w:multiLevelType w:val="hybridMultilevel"/>
    <w:tmpl w:val="8B1E7E52"/>
    <w:lvl w:ilvl="0">
      <w:start w:val="1"/>
      <w:numFmt w:val="decimal"/>
      <w:lvlText w:val="%1."/>
      <w:lvlJc w:val="left"/>
      <w:pPr>
        <w:ind w:left="1020" w:hanging="360"/>
      </w:pPr>
      <w:rPr>
        <w:rFonts w:hint="default"/>
      </w:rPr>
    </w:lvl>
    <w:lvl w:ilvl="1" w:tentative="1">
      <w:start w:val="1"/>
      <w:numFmt w:val="lowerLetter"/>
      <w:lvlText w:val="%2."/>
      <w:lvlJc w:val="left"/>
      <w:pPr>
        <w:ind w:left="1740" w:hanging="360"/>
      </w:pPr>
    </w:lvl>
    <w:lvl w:ilvl="2" w:tentative="1">
      <w:start w:val="1"/>
      <w:numFmt w:val="lowerRoman"/>
      <w:lvlText w:val="%3."/>
      <w:lvlJc w:val="right"/>
      <w:pPr>
        <w:ind w:left="2460" w:hanging="180"/>
      </w:pPr>
    </w:lvl>
    <w:lvl w:ilvl="3" w:tentative="1">
      <w:start w:val="1"/>
      <w:numFmt w:val="decimal"/>
      <w:lvlText w:val="%4."/>
      <w:lvlJc w:val="left"/>
      <w:pPr>
        <w:ind w:left="3180" w:hanging="360"/>
      </w:pPr>
    </w:lvl>
    <w:lvl w:ilvl="4" w:tentative="1">
      <w:start w:val="1"/>
      <w:numFmt w:val="lowerLetter"/>
      <w:lvlText w:val="%5."/>
      <w:lvlJc w:val="left"/>
      <w:pPr>
        <w:ind w:left="3900" w:hanging="360"/>
      </w:pPr>
    </w:lvl>
    <w:lvl w:ilvl="5" w:tentative="1">
      <w:start w:val="1"/>
      <w:numFmt w:val="lowerRoman"/>
      <w:lvlText w:val="%6."/>
      <w:lvlJc w:val="right"/>
      <w:pPr>
        <w:ind w:left="4620" w:hanging="180"/>
      </w:pPr>
    </w:lvl>
    <w:lvl w:ilvl="6" w:tentative="1">
      <w:start w:val="1"/>
      <w:numFmt w:val="decimal"/>
      <w:lvlText w:val="%7."/>
      <w:lvlJc w:val="left"/>
      <w:pPr>
        <w:ind w:left="5340" w:hanging="360"/>
      </w:pPr>
    </w:lvl>
    <w:lvl w:ilvl="7" w:tentative="1">
      <w:start w:val="1"/>
      <w:numFmt w:val="lowerLetter"/>
      <w:lvlText w:val="%8."/>
      <w:lvlJc w:val="left"/>
      <w:pPr>
        <w:ind w:left="6060" w:hanging="360"/>
      </w:pPr>
    </w:lvl>
    <w:lvl w:ilvl="8" w:tentative="1">
      <w:start w:val="1"/>
      <w:numFmt w:val="lowerRoman"/>
      <w:lvlText w:val="%9."/>
      <w:lvlJc w:val="right"/>
      <w:pPr>
        <w:ind w:left="6780" w:hanging="180"/>
      </w:pPr>
    </w:lvl>
  </w:abstractNum>
  <w:abstractNum w:abstractNumId="6">
    <w:nsid w:val="6DE66446"/>
    <w:multiLevelType w:val="hybridMultilevel"/>
    <w:tmpl w:val="FC76FA00"/>
    <w:lvl w:ilvl="0">
      <w:start w:val="17"/>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6E823F07"/>
    <w:multiLevelType w:val="hybridMultilevel"/>
    <w:tmpl w:val="6E5060F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2B85BDF"/>
    <w:multiLevelType w:val="hybridMultilevel"/>
    <w:tmpl w:val="2C02A2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6752C04"/>
    <w:multiLevelType w:val="hybridMultilevel"/>
    <w:tmpl w:val="04907C62"/>
    <w:lvl w:ilvl="0">
      <w:start w:val="14"/>
      <w:numFmt w:val="decimal"/>
      <w:lvlText w:val="%1."/>
      <w:lvlJc w:val="left"/>
      <w:pPr>
        <w:tabs>
          <w:tab w:val="num" w:pos="1140"/>
        </w:tabs>
        <w:ind w:left="1140" w:hanging="420"/>
      </w:pPr>
      <w:rPr>
        <w:rFonts w:cs="Times New Roman" w:hint="default"/>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7DBB41CE"/>
    <w:multiLevelType w:val="hybridMultilevel"/>
    <w:tmpl w:val="5B80D320"/>
    <w:lvl w:ilvl="0">
      <w:start w:val="2"/>
      <w:numFmt w:val="upperLetter"/>
      <w:lvlText w:val="%1."/>
      <w:lvlJc w:val="left"/>
      <w:pPr>
        <w:tabs>
          <w:tab w:val="num" w:pos="630"/>
        </w:tabs>
        <w:ind w:left="630" w:hanging="360"/>
      </w:pPr>
      <w:rPr>
        <w:rFonts w:cs="Times New Roman" w:hint="default"/>
        <w:u w:val="none"/>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abstractNum w:abstractNumId="11">
    <w:nsid w:val="7F123397"/>
    <w:multiLevelType w:val="hybridMultilevel"/>
    <w:tmpl w:val="6E3EA4B0"/>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num w:numId="1">
    <w:abstractNumId w:val="9"/>
  </w:num>
  <w:num w:numId="2">
    <w:abstractNumId w:val="2"/>
  </w:num>
  <w:num w:numId="3">
    <w:abstractNumId w:val="6"/>
  </w:num>
  <w:num w:numId="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4"/>
  </w:num>
  <w:num w:numId="8">
    <w:abstractNumId w:val="1"/>
  </w:num>
  <w:num w:numId="9">
    <w:abstractNumId w:val="0"/>
  </w:num>
  <w:num w:numId="10">
    <w:abstractNumId w:val="8"/>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CF"/>
    <w:rsid w:val="000008B8"/>
    <w:rsid w:val="00000DE3"/>
    <w:rsid w:val="00003139"/>
    <w:rsid w:val="0000361D"/>
    <w:rsid w:val="0000540A"/>
    <w:rsid w:val="0001248C"/>
    <w:rsid w:val="00012606"/>
    <w:rsid w:val="000133F7"/>
    <w:rsid w:val="00015DDC"/>
    <w:rsid w:val="00016078"/>
    <w:rsid w:val="00024179"/>
    <w:rsid w:val="00024718"/>
    <w:rsid w:val="0002536C"/>
    <w:rsid w:val="0002767B"/>
    <w:rsid w:val="0003099D"/>
    <w:rsid w:val="00030BE5"/>
    <w:rsid w:val="000338D3"/>
    <w:rsid w:val="00034413"/>
    <w:rsid w:val="00035C01"/>
    <w:rsid w:val="000365F4"/>
    <w:rsid w:val="000405F2"/>
    <w:rsid w:val="00040F14"/>
    <w:rsid w:val="00041139"/>
    <w:rsid w:val="00047B9B"/>
    <w:rsid w:val="0005123D"/>
    <w:rsid w:val="000547CA"/>
    <w:rsid w:val="00055FB5"/>
    <w:rsid w:val="0005693D"/>
    <w:rsid w:val="00056DE9"/>
    <w:rsid w:val="0006047D"/>
    <w:rsid w:val="00060EDD"/>
    <w:rsid w:val="00063A92"/>
    <w:rsid w:val="00064914"/>
    <w:rsid w:val="00065FFC"/>
    <w:rsid w:val="000661A4"/>
    <w:rsid w:val="00066A75"/>
    <w:rsid w:val="00070A9A"/>
    <w:rsid w:val="0007241E"/>
    <w:rsid w:val="00073FEB"/>
    <w:rsid w:val="00074103"/>
    <w:rsid w:val="000753CB"/>
    <w:rsid w:val="00075A57"/>
    <w:rsid w:val="00077E44"/>
    <w:rsid w:val="000814E1"/>
    <w:rsid w:val="000835F7"/>
    <w:rsid w:val="0008365F"/>
    <w:rsid w:val="00084CA5"/>
    <w:rsid w:val="00086722"/>
    <w:rsid w:val="00087AF5"/>
    <w:rsid w:val="00092DE7"/>
    <w:rsid w:val="000A480A"/>
    <w:rsid w:val="000B153E"/>
    <w:rsid w:val="000B19F8"/>
    <w:rsid w:val="000B2219"/>
    <w:rsid w:val="000B644F"/>
    <w:rsid w:val="000C169E"/>
    <w:rsid w:val="000C2536"/>
    <w:rsid w:val="000C3665"/>
    <w:rsid w:val="000D015E"/>
    <w:rsid w:val="000D40F7"/>
    <w:rsid w:val="000D5D78"/>
    <w:rsid w:val="000D68EB"/>
    <w:rsid w:val="000D6F4F"/>
    <w:rsid w:val="000D75C7"/>
    <w:rsid w:val="000E0140"/>
    <w:rsid w:val="000E1C83"/>
    <w:rsid w:val="000E1C8B"/>
    <w:rsid w:val="000E1F33"/>
    <w:rsid w:val="000E2CB9"/>
    <w:rsid w:val="000E36C5"/>
    <w:rsid w:val="000E6089"/>
    <w:rsid w:val="000F1AFE"/>
    <w:rsid w:val="000F1B97"/>
    <w:rsid w:val="000F2A0B"/>
    <w:rsid w:val="000F435D"/>
    <w:rsid w:val="00101E54"/>
    <w:rsid w:val="00102D54"/>
    <w:rsid w:val="0010316F"/>
    <w:rsid w:val="00103B2F"/>
    <w:rsid w:val="00104A08"/>
    <w:rsid w:val="00104A4B"/>
    <w:rsid w:val="00104ED9"/>
    <w:rsid w:val="00107479"/>
    <w:rsid w:val="00120B79"/>
    <w:rsid w:val="001223D4"/>
    <w:rsid w:val="00122F04"/>
    <w:rsid w:val="00123B2F"/>
    <w:rsid w:val="001244B7"/>
    <w:rsid w:val="00125AFE"/>
    <w:rsid w:val="001270EC"/>
    <w:rsid w:val="00127B1A"/>
    <w:rsid w:val="0013059C"/>
    <w:rsid w:val="001339F1"/>
    <w:rsid w:val="001344D6"/>
    <w:rsid w:val="00141F89"/>
    <w:rsid w:val="00144800"/>
    <w:rsid w:val="00152414"/>
    <w:rsid w:val="00153288"/>
    <w:rsid w:val="00154BF9"/>
    <w:rsid w:val="0015648D"/>
    <w:rsid w:val="001618B3"/>
    <w:rsid w:val="00163B62"/>
    <w:rsid w:val="00163F7F"/>
    <w:rsid w:val="001640E2"/>
    <w:rsid w:val="00165D2B"/>
    <w:rsid w:val="00166D4C"/>
    <w:rsid w:val="0017119C"/>
    <w:rsid w:val="001717E1"/>
    <w:rsid w:val="00171F8A"/>
    <w:rsid w:val="00174E2E"/>
    <w:rsid w:val="00180408"/>
    <w:rsid w:val="001819DD"/>
    <w:rsid w:val="00186A4D"/>
    <w:rsid w:val="001904DA"/>
    <w:rsid w:val="00190500"/>
    <w:rsid w:val="001915E2"/>
    <w:rsid w:val="0019374E"/>
    <w:rsid w:val="001939A5"/>
    <w:rsid w:val="001A1531"/>
    <w:rsid w:val="001A6BDC"/>
    <w:rsid w:val="001B0C27"/>
    <w:rsid w:val="001B2509"/>
    <w:rsid w:val="001B2ED3"/>
    <w:rsid w:val="001B4325"/>
    <w:rsid w:val="001B446A"/>
    <w:rsid w:val="001B4DB9"/>
    <w:rsid w:val="001B4F16"/>
    <w:rsid w:val="001C26B7"/>
    <w:rsid w:val="001C43E8"/>
    <w:rsid w:val="001D067D"/>
    <w:rsid w:val="001D142B"/>
    <w:rsid w:val="001D4204"/>
    <w:rsid w:val="001D4215"/>
    <w:rsid w:val="001D77D2"/>
    <w:rsid w:val="001E116A"/>
    <w:rsid w:val="001E239B"/>
    <w:rsid w:val="001E359C"/>
    <w:rsid w:val="001E533B"/>
    <w:rsid w:val="001E55BE"/>
    <w:rsid w:val="001E6BAB"/>
    <w:rsid w:val="001F0810"/>
    <w:rsid w:val="001F18B7"/>
    <w:rsid w:val="001F2C7D"/>
    <w:rsid w:val="001F4FE3"/>
    <w:rsid w:val="001F5EB7"/>
    <w:rsid w:val="001F7679"/>
    <w:rsid w:val="00201D7E"/>
    <w:rsid w:val="0020263C"/>
    <w:rsid w:val="002061B7"/>
    <w:rsid w:val="00207FE8"/>
    <w:rsid w:val="00211D90"/>
    <w:rsid w:val="0021216C"/>
    <w:rsid w:val="0021285D"/>
    <w:rsid w:val="00213A5C"/>
    <w:rsid w:val="002166C1"/>
    <w:rsid w:val="002175AA"/>
    <w:rsid w:val="002221E1"/>
    <w:rsid w:val="00230BE5"/>
    <w:rsid w:val="002344BB"/>
    <w:rsid w:val="00234F97"/>
    <w:rsid w:val="002371EC"/>
    <w:rsid w:val="00237421"/>
    <w:rsid w:val="00237D8F"/>
    <w:rsid w:val="00241F07"/>
    <w:rsid w:val="002428A1"/>
    <w:rsid w:val="00243915"/>
    <w:rsid w:val="00244CEC"/>
    <w:rsid w:val="00251615"/>
    <w:rsid w:val="00256A55"/>
    <w:rsid w:val="00264DC2"/>
    <w:rsid w:val="0026579E"/>
    <w:rsid w:val="0027127F"/>
    <w:rsid w:val="002734AD"/>
    <w:rsid w:val="00275551"/>
    <w:rsid w:val="002756F5"/>
    <w:rsid w:val="0027782C"/>
    <w:rsid w:val="00277DA7"/>
    <w:rsid w:val="0028582C"/>
    <w:rsid w:val="00287792"/>
    <w:rsid w:val="00287E83"/>
    <w:rsid w:val="00294AE0"/>
    <w:rsid w:val="002A08A6"/>
    <w:rsid w:val="002A17A3"/>
    <w:rsid w:val="002A1FCF"/>
    <w:rsid w:val="002A2483"/>
    <w:rsid w:val="002A2FB8"/>
    <w:rsid w:val="002B06AB"/>
    <w:rsid w:val="002B1E87"/>
    <w:rsid w:val="002B2315"/>
    <w:rsid w:val="002B24C0"/>
    <w:rsid w:val="002B2766"/>
    <w:rsid w:val="002B41FD"/>
    <w:rsid w:val="002B46D3"/>
    <w:rsid w:val="002B4D42"/>
    <w:rsid w:val="002B5312"/>
    <w:rsid w:val="002B6395"/>
    <w:rsid w:val="002C0B53"/>
    <w:rsid w:val="002C338F"/>
    <w:rsid w:val="002C5D68"/>
    <w:rsid w:val="002C61CE"/>
    <w:rsid w:val="002C6F34"/>
    <w:rsid w:val="002D0C3D"/>
    <w:rsid w:val="002D1157"/>
    <w:rsid w:val="002D219E"/>
    <w:rsid w:val="002D31D6"/>
    <w:rsid w:val="002D4F01"/>
    <w:rsid w:val="002E2C2D"/>
    <w:rsid w:val="002E7752"/>
    <w:rsid w:val="002F2BC5"/>
    <w:rsid w:val="002F354B"/>
    <w:rsid w:val="002F697F"/>
    <w:rsid w:val="00300020"/>
    <w:rsid w:val="00304B13"/>
    <w:rsid w:val="003055C6"/>
    <w:rsid w:val="0031127F"/>
    <w:rsid w:val="0031173C"/>
    <w:rsid w:val="003144E1"/>
    <w:rsid w:val="00314560"/>
    <w:rsid w:val="00317C3B"/>
    <w:rsid w:val="00320EFC"/>
    <w:rsid w:val="003273C5"/>
    <w:rsid w:val="00327917"/>
    <w:rsid w:val="00331D0C"/>
    <w:rsid w:val="0033239F"/>
    <w:rsid w:val="00333357"/>
    <w:rsid w:val="00333FE2"/>
    <w:rsid w:val="00334840"/>
    <w:rsid w:val="0033557D"/>
    <w:rsid w:val="003376C5"/>
    <w:rsid w:val="003409F4"/>
    <w:rsid w:val="00347E0D"/>
    <w:rsid w:val="003500B3"/>
    <w:rsid w:val="00351845"/>
    <w:rsid w:val="00353947"/>
    <w:rsid w:val="003609FB"/>
    <w:rsid w:val="003610C1"/>
    <w:rsid w:val="0036206D"/>
    <w:rsid w:val="0036424C"/>
    <w:rsid w:val="00370436"/>
    <w:rsid w:val="00370A58"/>
    <w:rsid w:val="00375C5C"/>
    <w:rsid w:val="00377C83"/>
    <w:rsid w:val="003815AC"/>
    <w:rsid w:val="00381C99"/>
    <w:rsid w:val="003825EE"/>
    <w:rsid w:val="00385049"/>
    <w:rsid w:val="0039231C"/>
    <w:rsid w:val="0039339D"/>
    <w:rsid w:val="00394661"/>
    <w:rsid w:val="00397364"/>
    <w:rsid w:val="003A0B59"/>
    <w:rsid w:val="003A5062"/>
    <w:rsid w:val="003A61E7"/>
    <w:rsid w:val="003B18AB"/>
    <w:rsid w:val="003B381C"/>
    <w:rsid w:val="003B560E"/>
    <w:rsid w:val="003C0251"/>
    <w:rsid w:val="003C15C2"/>
    <w:rsid w:val="003C2010"/>
    <w:rsid w:val="003C3E31"/>
    <w:rsid w:val="003C4DB6"/>
    <w:rsid w:val="003C54CF"/>
    <w:rsid w:val="003C5B75"/>
    <w:rsid w:val="003D1471"/>
    <w:rsid w:val="003E36D4"/>
    <w:rsid w:val="003E4FAF"/>
    <w:rsid w:val="003F0213"/>
    <w:rsid w:val="003F2D2F"/>
    <w:rsid w:val="003F367C"/>
    <w:rsid w:val="003F4802"/>
    <w:rsid w:val="003F716A"/>
    <w:rsid w:val="00406878"/>
    <w:rsid w:val="00414155"/>
    <w:rsid w:val="00414FC6"/>
    <w:rsid w:val="00417249"/>
    <w:rsid w:val="00423CC4"/>
    <w:rsid w:val="00426D50"/>
    <w:rsid w:val="00432C2F"/>
    <w:rsid w:val="00434ED3"/>
    <w:rsid w:val="004370D3"/>
    <w:rsid w:val="00450BB8"/>
    <w:rsid w:val="0045347A"/>
    <w:rsid w:val="00453517"/>
    <w:rsid w:val="004573FC"/>
    <w:rsid w:val="00460DBE"/>
    <w:rsid w:val="004651CC"/>
    <w:rsid w:val="00470070"/>
    <w:rsid w:val="004702E4"/>
    <w:rsid w:val="00472D77"/>
    <w:rsid w:val="00473220"/>
    <w:rsid w:val="004734E1"/>
    <w:rsid w:val="00473543"/>
    <w:rsid w:val="004803A9"/>
    <w:rsid w:val="004812AD"/>
    <w:rsid w:val="00481779"/>
    <w:rsid w:val="0048251D"/>
    <w:rsid w:val="0048308A"/>
    <w:rsid w:val="004853E6"/>
    <w:rsid w:val="0048593F"/>
    <w:rsid w:val="00487987"/>
    <w:rsid w:val="004932C9"/>
    <w:rsid w:val="004950E1"/>
    <w:rsid w:val="00495455"/>
    <w:rsid w:val="004966DE"/>
    <w:rsid w:val="004A2A59"/>
    <w:rsid w:val="004A37FC"/>
    <w:rsid w:val="004A52B6"/>
    <w:rsid w:val="004A707A"/>
    <w:rsid w:val="004A7E89"/>
    <w:rsid w:val="004B1637"/>
    <w:rsid w:val="004B4D99"/>
    <w:rsid w:val="004B54E4"/>
    <w:rsid w:val="004B67E7"/>
    <w:rsid w:val="004C012B"/>
    <w:rsid w:val="004C4D85"/>
    <w:rsid w:val="004C67B8"/>
    <w:rsid w:val="004D168D"/>
    <w:rsid w:val="004D57D3"/>
    <w:rsid w:val="004E3870"/>
    <w:rsid w:val="004E3C8C"/>
    <w:rsid w:val="004E620A"/>
    <w:rsid w:val="004E7466"/>
    <w:rsid w:val="004E779A"/>
    <w:rsid w:val="004F1B0D"/>
    <w:rsid w:val="004F27B1"/>
    <w:rsid w:val="004F5A1E"/>
    <w:rsid w:val="005002AF"/>
    <w:rsid w:val="0050065D"/>
    <w:rsid w:val="00500D32"/>
    <w:rsid w:val="00501036"/>
    <w:rsid w:val="005012FC"/>
    <w:rsid w:val="005029F1"/>
    <w:rsid w:val="00515F1D"/>
    <w:rsid w:val="00517342"/>
    <w:rsid w:val="005177B7"/>
    <w:rsid w:val="0052106E"/>
    <w:rsid w:val="00521BA8"/>
    <w:rsid w:val="005227C2"/>
    <w:rsid w:val="00525C49"/>
    <w:rsid w:val="00525E89"/>
    <w:rsid w:val="00525F79"/>
    <w:rsid w:val="0052600A"/>
    <w:rsid w:val="0053288B"/>
    <w:rsid w:val="0053421E"/>
    <w:rsid w:val="005362B7"/>
    <w:rsid w:val="005402CE"/>
    <w:rsid w:val="0054179B"/>
    <w:rsid w:val="0054268F"/>
    <w:rsid w:val="0054344C"/>
    <w:rsid w:val="00543BB0"/>
    <w:rsid w:val="00544614"/>
    <w:rsid w:val="00545831"/>
    <w:rsid w:val="005465B7"/>
    <w:rsid w:val="00546DAE"/>
    <w:rsid w:val="00550691"/>
    <w:rsid w:val="00555573"/>
    <w:rsid w:val="00557037"/>
    <w:rsid w:val="00561DC7"/>
    <w:rsid w:val="00563694"/>
    <w:rsid w:val="00564EC9"/>
    <w:rsid w:val="00570099"/>
    <w:rsid w:val="0057064D"/>
    <w:rsid w:val="005729F2"/>
    <w:rsid w:val="00577C72"/>
    <w:rsid w:val="00577CAE"/>
    <w:rsid w:val="00580A32"/>
    <w:rsid w:val="00581C38"/>
    <w:rsid w:val="00586ED8"/>
    <w:rsid w:val="00587435"/>
    <w:rsid w:val="005932EC"/>
    <w:rsid w:val="0059364B"/>
    <w:rsid w:val="005946DD"/>
    <w:rsid w:val="00595F02"/>
    <w:rsid w:val="00597B0B"/>
    <w:rsid w:val="00597DBF"/>
    <w:rsid w:val="005A0E52"/>
    <w:rsid w:val="005A3283"/>
    <w:rsid w:val="005A57A7"/>
    <w:rsid w:val="005B13D0"/>
    <w:rsid w:val="005B1DFC"/>
    <w:rsid w:val="005B26D0"/>
    <w:rsid w:val="005B7C26"/>
    <w:rsid w:val="005D00AC"/>
    <w:rsid w:val="005D2240"/>
    <w:rsid w:val="005D30E7"/>
    <w:rsid w:val="005D3555"/>
    <w:rsid w:val="005D582A"/>
    <w:rsid w:val="005D5A17"/>
    <w:rsid w:val="005D761F"/>
    <w:rsid w:val="005D7BFC"/>
    <w:rsid w:val="005E4A13"/>
    <w:rsid w:val="005E55C2"/>
    <w:rsid w:val="005E5753"/>
    <w:rsid w:val="005E6952"/>
    <w:rsid w:val="005E7ADE"/>
    <w:rsid w:val="005F0BFA"/>
    <w:rsid w:val="005F4097"/>
    <w:rsid w:val="005F4EBB"/>
    <w:rsid w:val="005F6B0C"/>
    <w:rsid w:val="0060706D"/>
    <w:rsid w:val="00607368"/>
    <w:rsid w:val="00613B4B"/>
    <w:rsid w:val="0061515A"/>
    <w:rsid w:val="00617AAF"/>
    <w:rsid w:val="00620310"/>
    <w:rsid w:val="00621A60"/>
    <w:rsid w:val="00625774"/>
    <w:rsid w:val="00630CB2"/>
    <w:rsid w:val="006345A2"/>
    <w:rsid w:val="0063501B"/>
    <w:rsid w:val="00636107"/>
    <w:rsid w:val="006364A8"/>
    <w:rsid w:val="00637BC8"/>
    <w:rsid w:val="00637FB3"/>
    <w:rsid w:val="00650769"/>
    <w:rsid w:val="00653C15"/>
    <w:rsid w:val="006548A8"/>
    <w:rsid w:val="00654958"/>
    <w:rsid w:val="006570E5"/>
    <w:rsid w:val="00662181"/>
    <w:rsid w:val="00667CC9"/>
    <w:rsid w:val="00672A29"/>
    <w:rsid w:val="006740E3"/>
    <w:rsid w:val="00676FBD"/>
    <w:rsid w:val="00677C8D"/>
    <w:rsid w:val="00680FD7"/>
    <w:rsid w:val="00681396"/>
    <w:rsid w:val="00683E1B"/>
    <w:rsid w:val="00685141"/>
    <w:rsid w:val="006856AC"/>
    <w:rsid w:val="00686EE4"/>
    <w:rsid w:val="006921DC"/>
    <w:rsid w:val="00694AC1"/>
    <w:rsid w:val="00696EA1"/>
    <w:rsid w:val="006A7D00"/>
    <w:rsid w:val="006B00BC"/>
    <w:rsid w:val="006B1060"/>
    <w:rsid w:val="006B1B85"/>
    <w:rsid w:val="006B22E8"/>
    <w:rsid w:val="006C2694"/>
    <w:rsid w:val="006C3A4F"/>
    <w:rsid w:val="006C5914"/>
    <w:rsid w:val="006C7B99"/>
    <w:rsid w:val="006C7EC2"/>
    <w:rsid w:val="006F0927"/>
    <w:rsid w:val="006F2008"/>
    <w:rsid w:val="006F3C5D"/>
    <w:rsid w:val="006F5316"/>
    <w:rsid w:val="006F5D16"/>
    <w:rsid w:val="00703E0A"/>
    <w:rsid w:val="007115CF"/>
    <w:rsid w:val="00712027"/>
    <w:rsid w:val="00712611"/>
    <w:rsid w:val="00712616"/>
    <w:rsid w:val="007150B9"/>
    <w:rsid w:val="00716C5F"/>
    <w:rsid w:val="00720DCC"/>
    <w:rsid w:val="00725CA5"/>
    <w:rsid w:val="00730DBB"/>
    <w:rsid w:val="00734E43"/>
    <w:rsid w:val="00734F77"/>
    <w:rsid w:val="007365F9"/>
    <w:rsid w:val="007433A7"/>
    <w:rsid w:val="007449D7"/>
    <w:rsid w:val="00747A34"/>
    <w:rsid w:val="0075107C"/>
    <w:rsid w:val="007524B4"/>
    <w:rsid w:val="00753ECE"/>
    <w:rsid w:val="007554B8"/>
    <w:rsid w:val="0075559F"/>
    <w:rsid w:val="00755D5F"/>
    <w:rsid w:val="007629CA"/>
    <w:rsid w:val="007649B8"/>
    <w:rsid w:val="00765038"/>
    <w:rsid w:val="007657BC"/>
    <w:rsid w:val="00765E29"/>
    <w:rsid w:val="00770E7A"/>
    <w:rsid w:val="0077171F"/>
    <w:rsid w:val="0077547C"/>
    <w:rsid w:val="00777EC1"/>
    <w:rsid w:val="007807D1"/>
    <w:rsid w:val="00784A84"/>
    <w:rsid w:val="0078626C"/>
    <w:rsid w:val="00786B24"/>
    <w:rsid w:val="00792080"/>
    <w:rsid w:val="00792215"/>
    <w:rsid w:val="007A0756"/>
    <w:rsid w:val="007A64B4"/>
    <w:rsid w:val="007A6A44"/>
    <w:rsid w:val="007B153E"/>
    <w:rsid w:val="007B29B7"/>
    <w:rsid w:val="007B3E31"/>
    <w:rsid w:val="007B4C05"/>
    <w:rsid w:val="007B4E79"/>
    <w:rsid w:val="007B4F4B"/>
    <w:rsid w:val="007B544E"/>
    <w:rsid w:val="007B7146"/>
    <w:rsid w:val="007C2448"/>
    <w:rsid w:val="007C4BC8"/>
    <w:rsid w:val="007C6823"/>
    <w:rsid w:val="007C7B4C"/>
    <w:rsid w:val="007D22FA"/>
    <w:rsid w:val="007D4BA4"/>
    <w:rsid w:val="007D7748"/>
    <w:rsid w:val="007E0591"/>
    <w:rsid w:val="007E21E5"/>
    <w:rsid w:val="007E3E0D"/>
    <w:rsid w:val="007F0BE4"/>
    <w:rsid w:val="007F1AE7"/>
    <w:rsid w:val="007F1BD6"/>
    <w:rsid w:val="007F3252"/>
    <w:rsid w:val="007F3280"/>
    <w:rsid w:val="007F4B9D"/>
    <w:rsid w:val="0080012A"/>
    <w:rsid w:val="008015A7"/>
    <w:rsid w:val="00801921"/>
    <w:rsid w:val="00801FC8"/>
    <w:rsid w:val="0080432B"/>
    <w:rsid w:val="00813D31"/>
    <w:rsid w:val="00813D3D"/>
    <w:rsid w:val="008156ED"/>
    <w:rsid w:val="00823795"/>
    <w:rsid w:val="0083022C"/>
    <w:rsid w:val="008320EC"/>
    <w:rsid w:val="008321BC"/>
    <w:rsid w:val="0083403B"/>
    <w:rsid w:val="00835FCB"/>
    <w:rsid w:val="00836B46"/>
    <w:rsid w:val="00841E6A"/>
    <w:rsid w:val="008464EF"/>
    <w:rsid w:val="008466EE"/>
    <w:rsid w:val="00851146"/>
    <w:rsid w:val="0086089C"/>
    <w:rsid w:val="00866628"/>
    <w:rsid w:val="00871EBE"/>
    <w:rsid w:val="00873B8B"/>
    <w:rsid w:val="00886341"/>
    <w:rsid w:val="0089097C"/>
    <w:rsid w:val="008929B4"/>
    <w:rsid w:val="00894587"/>
    <w:rsid w:val="008A079D"/>
    <w:rsid w:val="008A0B30"/>
    <w:rsid w:val="008A6E4D"/>
    <w:rsid w:val="008B1AE1"/>
    <w:rsid w:val="008B2590"/>
    <w:rsid w:val="008B265E"/>
    <w:rsid w:val="008B2D20"/>
    <w:rsid w:val="008B3AF4"/>
    <w:rsid w:val="008B3D13"/>
    <w:rsid w:val="008C26F3"/>
    <w:rsid w:val="008C503E"/>
    <w:rsid w:val="008C7BED"/>
    <w:rsid w:val="008D152E"/>
    <w:rsid w:val="008D1E40"/>
    <w:rsid w:val="008D1F16"/>
    <w:rsid w:val="008D2053"/>
    <w:rsid w:val="008D20C4"/>
    <w:rsid w:val="008D662E"/>
    <w:rsid w:val="008D6F7C"/>
    <w:rsid w:val="008E0805"/>
    <w:rsid w:val="008E09E6"/>
    <w:rsid w:val="008E2076"/>
    <w:rsid w:val="008E47CD"/>
    <w:rsid w:val="008E4A9D"/>
    <w:rsid w:val="008E5E15"/>
    <w:rsid w:val="008E5F81"/>
    <w:rsid w:val="008E60C9"/>
    <w:rsid w:val="008F35A5"/>
    <w:rsid w:val="008F4815"/>
    <w:rsid w:val="008F5D63"/>
    <w:rsid w:val="008F6A0C"/>
    <w:rsid w:val="0090133C"/>
    <w:rsid w:val="00902896"/>
    <w:rsid w:val="009058C0"/>
    <w:rsid w:val="00905C3B"/>
    <w:rsid w:val="009125DA"/>
    <w:rsid w:val="00915D65"/>
    <w:rsid w:val="009203EE"/>
    <w:rsid w:val="00920689"/>
    <w:rsid w:val="00921D38"/>
    <w:rsid w:val="0092529E"/>
    <w:rsid w:val="0092642E"/>
    <w:rsid w:val="0093057A"/>
    <w:rsid w:val="00932D60"/>
    <w:rsid w:val="0093334D"/>
    <w:rsid w:val="009359F6"/>
    <w:rsid w:val="00936D26"/>
    <w:rsid w:val="009379E0"/>
    <w:rsid w:val="00941530"/>
    <w:rsid w:val="0094157A"/>
    <w:rsid w:val="00941772"/>
    <w:rsid w:val="00944DBA"/>
    <w:rsid w:val="00950EC8"/>
    <w:rsid w:val="009517AB"/>
    <w:rsid w:val="00952046"/>
    <w:rsid w:val="009546D4"/>
    <w:rsid w:val="00955438"/>
    <w:rsid w:val="0095629F"/>
    <w:rsid w:val="0095637F"/>
    <w:rsid w:val="00957A4B"/>
    <w:rsid w:val="00960540"/>
    <w:rsid w:val="00960CDA"/>
    <w:rsid w:val="00964AB1"/>
    <w:rsid w:val="00973900"/>
    <w:rsid w:val="00977179"/>
    <w:rsid w:val="00977560"/>
    <w:rsid w:val="009775B8"/>
    <w:rsid w:val="00980855"/>
    <w:rsid w:val="00983C52"/>
    <w:rsid w:val="0098477D"/>
    <w:rsid w:val="00984B47"/>
    <w:rsid w:val="00984BE3"/>
    <w:rsid w:val="00984CDF"/>
    <w:rsid w:val="0098562C"/>
    <w:rsid w:val="00991040"/>
    <w:rsid w:val="00992759"/>
    <w:rsid w:val="00992DE6"/>
    <w:rsid w:val="009947BF"/>
    <w:rsid w:val="009952D8"/>
    <w:rsid w:val="009A05CD"/>
    <w:rsid w:val="009A078A"/>
    <w:rsid w:val="009A1561"/>
    <w:rsid w:val="009A3716"/>
    <w:rsid w:val="009A38EC"/>
    <w:rsid w:val="009B1FF5"/>
    <w:rsid w:val="009B6399"/>
    <w:rsid w:val="009B7B2F"/>
    <w:rsid w:val="009C00B3"/>
    <w:rsid w:val="009C1F85"/>
    <w:rsid w:val="009C277C"/>
    <w:rsid w:val="009C45D4"/>
    <w:rsid w:val="009C7C75"/>
    <w:rsid w:val="009D0F82"/>
    <w:rsid w:val="009D13F5"/>
    <w:rsid w:val="009D1537"/>
    <w:rsid w:val="009D3760"/>
    <w:rsid w:val="009D413E"/>
    <w:rsid w:val="009D7677"/>
    <w:rsid w:val="009E09DE"/>
    <w:rsid w:val="009E1490"/>
    <w:rsid w:val="009E5FBD"/>
    <w:rsid w:val="009F35C2"/>
    <w:rsid w:val="009F38E6"/>
    <w:rsid w:val="009F58A0"/>
    <w:rsid w:val="00A008C5"/>
    <w:rsid w:val="00A036AE"/>
    <w:rsid w:val="00A03DFA"/>
    <w:rsid w:val="00A10008"/>
    <w:rsid w:val="00A110C4"/>
    <w:rsid w:val="00A13C8D"/>
    <w:rsid w:val="00A16E4F"/>
    <w:rsid w:val="00A20083"/>
    <w:rsid w:val="00A209D9"/>
    <w:rsid w:val="00A22F49"/>
    <w:rsid w:val="00A272F8"/>
    <w:rsid w:val="00A30D1C"/>
    <w:rsid w:val="00A353B0"/>
    <w:rsid w:val="00A35CE1"/>
    <w:rsid w:val="00A40922"/>
    <w:rsid w:val="00A40E03"/>
    <w:rsid w:val="00A424FE"/>
    <w:rsid w:val="00A43DE1"/>
    <w:rsid w:val="00A44F9E"/>
    <w:rsid w:val="00A45CC7"/>
    <w:rsid w:val="00A468D5"/>
    <w:rsid w:val="00A53DF8"/>
    <w:rsid w:val="00A61498"/>
    <w:rsid w:val="00A6188D"/>
    <w:rsid w:val="00A61DFE"/>
    <w:rsid w:val="00A64984"/>
    <w:rsid w:val="00A70853"/>
    <w:rsid w:val="00A71E62"/>
    <w:rsid w:val="00A73B05"/>
    <w:rsid w:val="00A74BC0"/>
    <w:rsid w:val="00A808D0"/>
    <w:rsid w:val="00A80962"/>
    <w:rsid w:val="00A83F83"/>
    <w:rsid w:val="00A851A4"/>
    <w:rsid w:val="00A86D37"/>
    <w:rsid w:val="00A90BE8"/>
    <w:rsid w:val="00A90E8C"/>
    <w:rsid w:val="00A91B74"/>
    <w:rsid w:val="00A9468E"/>
    <w:rsid w:val="00A94D7C"/>
    <w:rsid w:val="00A97241"/>
    <w:rsid w:val="00AA389D"/>
    <w:rsid w:val="00AA3AF9"/>
    <w:rsid w:val="00AA632A"/>
    <w:rsid w:val="00AB23DE"/>
    <w:rsid w:val="00AB24AD"/>
    <w:rsid w:val="00AC3DFE"/>
    <w:rsid w:val="00AC42C0"/>
    <w:rsid w:val="00AC5464"/>
    <w:rsid w:val="00AC65B8"/>
    <w:rsid w:val="00AD0B9F"/>
    <w:rsid w:val="00AD6607"/>
    <w:rsid w:val="00AD723B"/>
    <w:rsid w:val="00AD7CA0"/>
    <w:rsid w:val="00AE40F8"/>
    <w:rsid w:val="00AE4C91"/>
    <w:rsid w:val="00AE60E5"/>
    <w:rsid w:val="00AF00B7"/>
    <w:rsid w:val="00AF2439"/>
    <w:rsid w:val="00AF2F9D"/>
    <w:rsid w:val="00AF3072"/>
    <w:rsid w:val="00AF476B"/>
    <w:rsid w:val="00AF63F1"/>
    <w:rsid w:val="00AF7FF1"/>
    <w:rsid w:val="00B02D07"/>
    <w:rsid w:val="00B06FCD"/>
    <w:rsid w:val="00B074A8"/>
    <w:rsid w:val="00B132C3"/>
    <w:rsid w:val="00B14567"/>
    <w:rsid w:val="00B16A65"/>
    <w:rsid w:val="00B16B70"/>
    <w:rsid w:val="00B204DF"/>
    <w:rsid w:val="00B20F22"/>
    <w:rsid w:val="00B22870"/>
    <w:rsid w:val="00B24709"/>
    <w:rsid w:val="00B2507D"/>
    <w:rsid w:val="00B27ADD"/>
    <w:rsid w:val="00B3296C"/>
    <w:rsid w:val="00B3633F"/>
    <w:rsid w:val="00B372E7"/>
    <w:rsid w:val="00B375E7"/>
    <w:rsid w:val="00B4064E"/>
    <w:rsid w:val="00B42652"/>
    <w:rsid w:val="00B525D6"/>
    <w:rsid w:val="00B526E8"/>
    <w:rsid w:val="00B5327A"/>
    <w:rsid w:val="00B54C23"/>
    <w:rsid w:val="00B55098"/>
    <w:rsid w:val="00B56CA7"/>
    <w:rsid w:val="00B5738F"/>
    <w:rsid w:val="00B57B11"/>
    <w:rsid w:val="00B61FBC"/>
    <w:rsid w:val="00B64561"/>
    <w:rsid w:val="00B6695D"/>
    <w:rsid w:val="00B66C33"/>
    <w:rsid w:val="00B66FDE"/>
    <w:rsid w:val="00B67482"/>
    <w:rsid w:val="00B705A0"/>
    <w:rsid w:val="00B72460"/>
    <w:rsid w:val="00B759CB"/>
    <w:rsid w:val="00B76420"/>
    <w:rsid w:val="00B76B15"/>
    <w:rsid w:val="00B80E88"/>
    <w:rsid w:val="00B81F59"/>
    <w:rsid w:val="00B82712"/>
    <w:rsid w:val="00B83655"/>
    <w:rsid w:val="00B853C7"/>
    <w:rsid w:val="00B8686C"/>
    <w:rsid w:val="00B87EAE"/>
    <w:rsid w:val="00B92295"/>
    <w:rsid w:val="00B93180"/>
    <w:rsid w:val="00B9318A"/>
    <w:rsid w:val="00B96627"/>
    <w:rsid w:val="00BA3262"/>
    <w:rsid w:val="00BB1C09"/>
    <w:rsid w:val="00BB5FB6"/>
    <w:rsid w:val="00BB6225"/>
    <w:rsid w:val="00BC2A5A"/>
    <w:rsid w:val="00BC3B70"/>
    <w:rsid w:val="00BC3CF8"/>
    <w:rsid w:val="00BC56E0"/>
    <w:rsid w:val="00BC7D83"/>
    <w:rsid w:val="00BD0198"/>
    <w:rsid w:val="00BD186E"/>
    <w:rsid w:val="00BD2E2E"/>
    <w:rsid w:val="00BD3AB5"/>
    <w:rsid w:val="00BD5615"/>
    <w:rsid w:val="00BD5B65"/>
    <w:rsid w:val="00BD7174"/>
    <w:rsid w:val="00BD7EEC"/>
    <w:rsid w:val="00BE0073"/>
    <w:rsid w:val="00BE13B2"/>
    <w:rsid w:val="00BE3B57"/>
    <w:rsid w:val="00BE3BC4"/>
    <w:rsid w:val="00BE6569"/>
    <w:rsid w:val="00BF7E33"/>
    <w:rsid w:val="00C02481"/>
    <w:rsid w:val="00C02AD4"/>
    <w:rsid w:val="00C0614C"/>
    <w:rsid w:val="00C06410"/>
    <w:rsid w:val="00C0742F"/>
    <w:rsid w:val="00C122BC"/>
    <w:rsid w:val="00C1265D"/>
    <w:rsid w:val="00C12AC1"/>
    <w:rsid w:val="00C13673"/>
    <w:rsid w:val="00C161D1"/>
    <w:rsid w:val="00C1664E"/>
    <w:rsid w:val="00C1683F"/>
    <w:rsid w:val="00C22B6C"/>
    <w:rsid w:val="00C25766"/>
    <w:rsid w:val="00C30859"/>
    <w:rsid w:val="00C30A63"/>
    <w:rsid w:val="00C338DF"/>
    <w:rsid w:val="00C33A87"/>
    <w:rsid w:val="00C375D2"/>
    <w:rsid w:val="00C40BA0"/>
    <w:rsid w:val="00C40C06"/>
    <w:rsid w:val="00C421BD"/>
    <w:rsid w:val="00C45618"/>
    <w:rsid w:val="00C46A15"/>
    <w:rsid w:val="00C46D1E"/>
    <w:rsid w:val="00C47B81"/>
    <w:rsid w:val="00C601CF"/>
    <w:rsid w:val="00C60370"/>
    <w:rsid w:val="00C605DF"/>
    <w:rsid w:val="00C63D8C"/>
    <w:rsid w:val="00C63E11"/>
    <w:rsid w:val="00C65922"/>
    <w:rsid w:val="00C65AA3"/>
    <w:rsid w:val="00C67F97"/>
    <w:rsid w:val="00C7093F"/>
    <w:rsid w:val="00C70C1B"/>
    <w:rsid w:val="00C74D29"/>
    <w:rsid w:val="00C77569"/>
    <w:rsid w:val="00C819C6"/>
    <w:rsid w:val="00C9145B"/>
    <w:rsid w:val="00C9280C"/>
    <w:rsid w:val="00C945F8"/>
    <w:rsid w:val="00C97BC7"/>
    <w:rsid w:val="00CA76F7"/>
    <w:rsid w:val="00CA7DC8"/>
    <w:rsid w:val="00CB4655"/>
    <w:rsid w:val="00CB5A74"/>
    <w:rsid w:val="00CB7EAA"/>
    <w:rsid w:val="00CC2D27"/>
    <w:rsid w:val="00CC327D"/>
    <w:rsid w:val="00CC5FA6"/>
    <w:rsid w:val="00CD18BF"/>
    <w:rsid w:val="00CD2B1F"/>
    <w:rsid w:val="00CD328B"/>
    <w:rsid w:val="00CD333C"/>
    <w:rsid w:val="00CD75C8"/>
    <w:rsid w:val="00CE2321"/>
    <w:rsid w:val="00CE56DE"/>
    <w:rsid w:val="00CE6F26"/>
    <w:rsid w:val="00CF1AA7"/>
    <w:rsid w:val="00CF29EF"/>
    <w:rsid w:val="00CF66CE"/>
    <w:rsid w:val="00CF71B5"/>
    <w:rsid w:val="00CF7B32"/>
    <w:rsid w:val="00D0148D"/>
    <w:rsid w:val="00D0388D"/>
    <w:rsid w:val="00D046C6"/>
    <w:rsid w:val="00D05BE5"/>
    <w:rsid w:val="00D100A5"/>
    <w:rsid w:val="00D1040A"/>
    <w:rsid w:val="00D10B00"/>
    <w:rsid w:val="00D15268"/>
    <w:rsid w:val="00D15BBD"/>
    <w:rsid w:val="00D205C6"/>
    <w:rsid w:val="00D2109C"/>
    <w:rsid w:val="00D22CF0"/>
    <w:rsid w:val="00D23483"/>
    <w:rsid w:val="00D27D5D"/>
    <w:rsid w:val="00D30345"/>
    <w:rsid w:val="00D3426D"/>
    <w:rsid w:val="00D35C23"/>
    <w:rsid w:val="00D37D2A"/>
    <w:rsid w:val="00D405B0"/>
    <w:rsid w:val="00D42123"/>
    <w:rsid w:val="00D473B7"/>
    <w:rsid w:val="00D50883"/>
    <w:rsid w:val="00D55C5E"/>
    <w:rsid w:val="00D56BC4"/>
    <w:rsid w:val="00D61F16"/>
    <w:rsid w:val="00D63028"/>
    <w:rsid w:val="00D63E67"/>
    <w:rsid w:val="00D7112E"/>
    <w:rsid w:val="00D73C75"/>
    <w:rsid w:val="00D75CDA"/>
    <w:rsid w:val="00D75D06"/>
    <w:rsid w:val="00D87BD8"/>
    <w:rsid w:val="00D92903"/>
    <w:rsid w:val="00D936EE"/>
    <w:rsid w:val="00D93892"/>
    <w:rsid w:val="00DA04C0"/>
    <w:rsid w:val="00DA08B2"/>
    <w:rsid w:val="00DA0A3E"/>
    <w:rsid w:val="00DA100D"/>
    <w:rsid w:val="00DA1E40"/>
    <w:rsid w:val="00DA24D5"/>
    <w:rsid w:val="00DA4494"/>
    <w:rsid w:val="00DA7A03"/>
    <w:rsid w:val="00DB121C"/>
    <w:rsid w:val="00DB1E36"/>
    <w:rsid w:val="00DB1E4B"/>
    <w:rsid w:val="00DB27D8"/>
    <w:rsid w:val="00DB6B71"/>
    <w:rsid w:val="00DB76FA"/>
    <w:rsid w:val="00DC4129"/>
    <w:rsid w:val="00DC4A41"/>
    <w:rsid w:val="00DC53A9"/>
    <w:rsid w:val="00DC66DE"/>
    <w:rsid w:val="00DC7210"/>
    <w:rsid w:val="00DD1CE9"/>
    <w:rsid w:val="00DD23D8"/>
    <w:rsid w:val="00DD37DA"/>
    <w:rsid w:val="00DD5562"/>
    <w:rsid w:val="00DD5F33"/>
    <w:rsid w:val="00DD60CE"/>
    <w:rsid w:val="00DD6AC1"/>
    <w:rsid w:val="00DD71CF"/>
    <w:rsid w:val="00DE0082"/>
    <w:rsid w:val="00DF037F"/>
    <w:rsid w:val="00DF246C"/>
    <w:rsid w:val="00DF2CB2"/>
    <w:rsid w:val="00DF2D02"/>
    <w:rsid w:val="00DF772B"/>
    <w:rsid w:val="00E019CA"/>
    <w:rsid w:val="00E021A7"/>
    <w:rsid w:val="00E02CF9"/>
    <w:rsid w:val="00E03279"/>
    <w:rsid w:val="00E03773"/>
    <w:rsid w:val="00E05B42"/>
    <w:rsid w:val="00E05F61"/>
    <w:rsid w:val="00E06A82"/>
    <w:rsid w:val="00E06D55"/>
    <w:rsid w:val="00E1113E"/>
    <w:rsid w:val="00E12911"/>
    <w:rsid w:val="00E164FD"/>
    <w:rsid w:val="00E17E0C"/>
    <w:rsid w:val="00E20A07"/>
    <w:rsid w:val="00E220E3"/>
    <w:rsid w:val="00E351F3"/>
    <w:rsid w:val="00E36225"/>
    <w:rsid w:val="00E36AED"/>
    <w:rsid w:val="00E36E9F"/>
    <w:rsid w:val="00E40CD5"/>
    <w:rsid w:val="00E4126E"/>
    <w:rsid w:val="00E43586"/>
    <w:rsid w:val="00E45CA6"/>
    <w:rsid w:val="00E46BC4"/>
    <w:rsid w:val="00E51B78"/>
    <w:rsid w:val="00E55161"/>
    <w:rsid w:val="00E568F0"/>
    <w:rsid w:val="00E62C66"/>
    <w:rsid w:val="00E63CF6"/>
    <w:rsid w:val="00E63E13"/>
    <w:rsid w:val="00E63FBA"/>
    <w:rsid w:val="00E64BFC"/>
    <w:rsid w:val="00E66FA4"/>
    <w:rsid w:val="00E67BFF"/>
    <w:rsid w:val="00E7342A"/>
    <w:rsid w:val="00E7675F"/>
    <w:rsid w:val="00E77400"/>
    <w:rsid w:val="00E8648D"/>
    <w:rsid w:val="00E93898"/>
    <w:rsid w:val="00E944A4"/>
    <w:rsid w:val="00E9563C"/>
    <w:rsid w:val="00E95B62"/>
    <w:rsid w:val="00E95D3B"/>
    <w:rsid w:val="00E96C2D"/>
    <w:rsid w:val="00E975A0"/>
    <w:rsid w:val="00EA08C9"/>
    <w:rsid w:val="00EA3889"/>
    <w:rsid w:val="00EA56C0"/>
    <w:rsid w:val="00EA7A68"/>
    <w:rsid w:val="00EB2D25"/>
    <w:rsid w:val="00EB37C1"/>
    <w:rsid w:val="00EB7EA9"/>
    <w:rsid w:val="00EC0AA2"/>
    <w:rsid w:val="00EC1EA3"/>
    <w:rsid w:val="00EC247D"/>
    <w:rsid w:val="00EC57F0"/>
    <w:rsid w:val="00EC6223"/>
    <w:rsid w:val="00EC64C8"/>
    <w:rsid w:val="00ED264B"/>
    <w:rsid w:val="00ED7507"/>
    <w:rsid w:val="00EF05A7"/>
    <w:rsid w:val="00EF1B8E"/>
    <w:rsid w:val="00EF4377"/>
    <w:rsid w:val="00EF69F4"/>
    <w:rsid w:val="00F03D5B"/>
    <w:rsid w:val="00F0502E"/>
    <w:rsid w:val="00F06CC8"/>
    <w:rsid w:val="00F07139"/>
    <w:rsid w:val="00F07E4F"/>
    <w:rsid w:val="00F07F89"/>
    <w:rsid w:val="00F11946"/>
    <w:rsid w:val="00F14A6D"/>
    <w:rsid w:val="00F17F41"/>
    <w:rsid w:val="00F277BB"/>
    <w:rsid w:val="00F3202F"/>
    <w:rsid w:val="00F328B7"/>
    <w:rsid w:val="00F35B7F"/>
    <w:rsid w:val="00F400DA"/>
    <w:rsid w:val="00F4224F"/>
    <w:rsid w:val="00F43052"/>
    <w:rsid w:val="00F43F9D"/>
    <w:rsid w:val="00F45F11"/>
    <w:rsid w:val="00F47DD2"/>
    <w:rsid w:val="00F50C02"/>
    <w:rsid w:val="00F5165B"/>
    <w:rsid w:val="00F53437"/>
    <w:rsid w:val="00F579F7"/>
    <w:rsid w:val="00F61691"/>
    <w:rsid w:val="00F61F60"/>
    <w:rsid w:val="00F72D0B"/>
    <w:rsid w:val="00F7369E"/>
    <w:rsid w:val="00F73851"/>
    <w:rsid w:val="00F74EDC"/>
    <w:rsid w:val="00F77BD6"/>
    <w:rsid w:val="00F84A0A"/>
    <w:rsid w:val="00F84D81"/>
    <w:rsid w:val="00F8657F"/>
    <w:rsid w:val="00F86739"/>
    <w:rsid w:val="00F8701D"/>
    <w:rsid w:val="00F87740"/>
    <w:rsid w:val="00F911A5"/>
    <w:rsid w:val="00F922E5"/>
    <w:rsid w:val="00F9414B"/>
    <w:rsid w:val="00F95269"/>
    <w:rsid w:val="00FA6127"/>
    <w:rsid w:val="00FA6DE0"/>
    <w:rsid w:val="00FB0C82"/>
    <w:rsid w:val="00FB2790"/>
    <w:rsid w:val="00FB476E"/>
    <w:rsid w:val="00FB4DD9"/>
    <w:rsid w:val="00FB4E48"/>
    <w:rsid w:val="00FB6E72"/>
    <w:rsid w:val="00FC00B6"/>
    <w:rsid w:val="00FC1229"/>
    <w:rsid w:val="00FC2568"/>
    <w:rsid w:val="00FC4677"/>
    <w:rsid w:val="00FC6952"/>
    <w:rsid w:val="00FD1BD6"/>
    <w:rsid w:val="00FD5395"/>
    <w:rsid w:val="00FD67ED"/>
    <w:rsid w:val="00FE069F"/>
    <w:rsid w:val="00FE31F7"/>
    <w:rsid w:val="00FE3A77"/>
    <w:rsid w:val="00FE492B"/>
    <w:rsid w:val="00FE4A7D"/>
    <w:rsid w:val="2E2D76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CEFC804"/>
  <w15:docId w15:val="{19ACBC34-327B-4E1C-A20A-267AFB93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E3A77"/>
    <w:pPr>
      <w:spacing w:after="120"/>
    </w:pPr>
  </w:style>
  <w:style w:type="character" w:customStyle="1" w:styleId="BodyTextChar">
    <w:name w:val="Body Text Char"/>
    <w:basedOn w:val="DefaultParagraphFont"/>
    <w:link w:val="BodyText"/>
    <w:uiPriority w:val="99"/>
    <w:locked/>
    <w:rsid w:val="00FE3A77"/>
    <w:rPr>
      <w:rFonts w:cs="Times New Roman"/>
      <w:sz w:val="24"/>
      <w:szCs w:val="24"/>
    </w:rPr>
  </w:style>
  <w:style w:type="character" w:styleId="FollowedHyperlink">
    <w:name w:val="FollowedHyperlink"/>
    <w:basedOn w:val="DefaultParagraphFont"/>
    <w:uiPriority w:val="99"/>
    <w:semiHidden/>
    <w:unhideWhenUsed/>
    <w:rsid w:val="00472D77"/>
    <w:rPr>
      <w:rFonts w:cs="Times New Roman"/>
      <w:color w:val="800080" w:themeColor="followedHyperlink"/>
      <w:u w:val="single"/>
    </w:rPr>
  </w:style>
  <w:style w:type="paragraph" w:styleId="PlainText">
    <w:name w:val="Plain Text"/>
    <w:basedOn w:val="Normal"/>
    <w:link w:val="PlainTextChar"/>
    <w:uiPriority w:val="99"/>
    <w:semiHidden/>
    <w:unhideWhenUsed/>
    <w:rsid w:val="00D936EE"/>
    <w:pPr>
      <w:autoSpaceDE/>
      <w:autoSpaceDN/>
    </w:pPr>
    <w:rPr>
      <w:rFonts w:ascii="Calibri" w:hAnsi="Calibri"/>
      <w:sz w:val="22"/>
      <w:szCs w:val="21"/>
    </w:rPr>
  </w:style>
  <w:style w:type="character" w:customStyle="1" w:styleId="PlainTextChar">
    <w:name w:val="Plain Text Char"/>
    <w:basedOn w:val="DefaultParagraphFont"/>
    <w:link w:val="PlainText"/>
    <w:uiPriority w:val="99"/>
    <w:semiHidden/>
    <w:locked/>
    <w:rsid w:val="00D936EE"/>
    <w:rPr>
      <w:rFonts w:ascii="Calibri" w:hAnsi="Calibri" w:cs="Times New Roman"/>
      <w:sz w:val="21"/>
      <w:szCs w:val="21"/>
    </w:rPr>
  </w:style>
  <w:style w:type="character" w:styleId="CommentReference">
    <w:name w:val="annotation reference"/>
    <w:basedOn w:val="DefaultParagraphFont"/>
    <w:uiPriority w:val="99"/>
    <w:rsid w:val="00333357"/>
    <w:rPr>
      <w:sz w:val="16"/>
      <w:szCs w:val="16"/>
    </w:rPr>
  </w:style>
  <w:style w:type="paragraph" w:styleId="CommentText">
    <w:name w:val="annotation text"/>
    <w:basedOn w:val="Normal"/>
    <w:link w:val="CommentTextChar"/>
    <w:uiPriority w:val="99"/>
    <w:rsid w:val="00333357"/>
    <w:rPr>
      <w:sz w:val="20"/>
      <w:szCs w:val="20"/>
    </w:rPr>
  </w:style>
  <w:style w:type="character" w:customStyle="1" w:styleId="CommentTextChar">
    <w:name w:val="Comment Text Char"/>
    <w:basedOn w:val="DefaultParagraphFont"/>
    <w:link w:val="CommentText"/>
    <w:uiPriority w:val="99"/>
    <w:rsid w:val="00333357"/>
  </w:style>
  <w:style w:type="paragraph" w:styleId="CommentSubject">
    <w:name w:val="annotation subject"/>
    <w:basedOn w:val="CommentText"/>
    <w:next w:val="CommentText"/>
    <w:link w:val="CommentSubjectChar"/>
    <w:uiPriority w:val="99"/>
    <w:rsid w:val="00333357"/>
    <w:rPr>
      <w:b/>
      <w:bCs/>
    </w:rPr>
  </w:style>
  <w:style w:type="character" w:customStyle="1" w:styleId="CommentSubjectChar">
    <w:name w:val="Comment Subject Char"/>
    <w:basedOn w:val="CommentTextChar"/>
    <w:link w:val="CommentSubject"/>
    <w:uiPriority w:val="99"/>
    <w:rsid w:val="00333357"/>
    <w:rPr>
      <w:b/>
      <w:bCs/>
    </w:rPr>
  </w:style>
  <w:style w:type="paragraph" w:styleId="ListParagraph">
    <w:name w:val="List Paragraph"/>
    <w:basedOn w:val="Normal"/>
    <w:uiPriority w:val="34"/>
    <w:qFormat/>
    <w:rsid w:val="00A83F83"/>
    <w:pPr>
      <w:ind w:left="720"/>
      <w:contextualSpacing/>
    </w:pPr>
  </w:style>
  <w:style w:type="paragraph" w:styleId="Revision">
    <w:name w:val="Revision"/>
    <w:hidden/>
    <w:uiPriority w:val="99"/>
    <w:semiHidden/>
    <w:rsid w:val="00D100A5"/>
    <w:rPr>
      <w:sz w:val="24"/>
      <w:szCs w:val="24"/>
    </w:rPr>
  </w:style>
  <w:style w:type="table" w:styleId="TableGrid">
    <w:name w:val="Table Grid"/>
    <w:basedOn w:val="TableNormal"/>
    <w:uiPriority w:val="59"/>
    <w:rsid w:val="00127B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45A2"/>
    <w:rPr>
      <w:color w:val="605E5C"/>
      <w:shd w:val="clear" w:color="auto" w:fill="E1DFDD"/>
    </w:rPr>
  </w:style>
  <w:style w:type="paragraph" w:styleId="FootnoteText">
    <w:name w:val="footnote text"/>
    <w:basedOn w:val="Normal"/>
    <w:link w:val="FootnoteTextChar"/>
    <w:unhideWhenUsed/>
    <w:rsid w:val="000753CB"/>
    <w:pPr>
      <w:overflowPunct w:val="0"/>
      <w:adjustRightInd w:val="0"/>
    </w:pPr>
    <w:rPr>
      <w:sz w:val="20"/>
      <w:szCs w:val="20"/>
    </w:rPr>
  </w:style>
  <w:style w:type="character" w:customStyle="1" w:styleId="FootnoteTextChar">
    <w:name w:val="Footnote Text Char"/>
    <w:basedOn w:val="DefaultParagraphFont"/>
    <w:link w:val="FootnoteText"/>
    <w:rsid w:val="000753CB"/>
  </w:style>
  <w:style w:type="character" w:styleId="FootnoteReference">
    <w:name w:val="footnote reference"/>
    <w:unhideWhenUsed/>
    <w:rsid w:val="000753CB"/>
    <w:rPr>
      <w:vertAlign w:val="superscript"/>
    </w:rPr>
  </w:style>
  <w:style w:type="paragraph" w:styleId="Header">
    <w:name w:val="header"/>
    <w:basedOn w:val="Normal"/>
    <w:link w:val="HeaderChar"/>
    <w:uiPriority w:val="99"/>
    <w:rsid w:val="002F2BC5"/>
    <w:pPr>
      <w:tabs>
        <w:tab w:val="center" w:pos="4680"/>
        <w:tab w:val="right" w:pos="9360"/>
      </w:tabs>
    </w:pPr>
  </w:style>
  <w:style w:type="character" w:customStyle="1" w:styleId="HeaderChar">
    <w:name w:val="Header Char"/>
    <w:basedOn w:val="DefaultParagraphFont"/>
    <w:link w:val="Header"/>
    <w:uiPriority w:val="99"/>
    <w:rsid w:val="002F2BC5"/>
    <w:rPr>
      <w:sz w:val="24"/>
      <w:szCs w:val="24"/>
    </w:rPr>
  </w:style>
  <w:style w:type="paragraph" w:styleId="Footer">
    <w:name w:val="footer"/>
    <w:basedOn w:val="Normal"/>
    <w:link w:val="FooterChar"/>
    <w:uiPriority w:val="99"/>
    <w:rsid w:val="002F2BC5"/>
    <w:pPr>
      <w:tabs>
        <w:tab w:val="center" w:pos="4680"/>
        <w:tab w:val="right" w:pos="9360"/>
      </w:tabs>
    </w:pPr>
  </w:style>
  <w:style w:type="character" w:customStyle="1" w:styleId="FooterChar">
    <w:name w:val="Footer Char"/>
    <w:basedOn w:val="DefaultParagraphFont"/>
    <w:link w:val="Footer"/>
    <w:uiPriority w:val="99"/>
    <w:rsid w:val="002F2B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18/08/13/2018-17228/privacy-act-of-1974-system-of-records" TargetMode="External" /><Relationship Id="rId11" Type="http://schemas.openxmlformats.org/officeDocument/2006/relationships/hyperlink" Target="https://www.bls.gov/oes/current/oes_nat.htm" TargetMode="External" /><Relationship Id="rId12" Type="http://schemas.openxmlformats.org/officeDocument/2006/relationships/hyperlink" Target="https://gcc01.safelinks.protection.outlook.com/?url=https%3A%2F%2Fwww.opm.gov%2Fpolicy-data-oversight%2Fpay-leave%2Fsalaries-wages%2Fsalary-tables%2Fpdf%2F2021%2FGS_h.pdf&amp;data=04%7C01%7C%7Cf4298b502b674f8df79708d8b16fafcc%7Ce95f1b23abaf45ee821db7ab251ab3bf%7C0%7C0%7C637454440530220118%7CUnknown%7CTWFpbGZsb3d8eyJWIjoiMC4wLjAwMDAiLCJQIjoiV2luMzIiLCJBTiI6Ik1haWwiLCJXVCI6Mn0%3D%7C1000&amp;sdata=DA4aJB1IP31pcKDFaFZl%2BMFl%2BF1E8qNjBwqfypoLk%2FU%3D&amp;reserved=0"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vbaw.vba.va.gov/bl/20/cio/20s5/forms/VBA-26-8923-AR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211C230A1BDC46808B994C9BB05712" ma:contentTypeVersion="8" ma:contentTypeDescription="Create a new document." ma:contentTypeScope="" ma:versionID="efca3418bad78fa7b275cc44db4c4919">
  <xsd:schema xmlns:xsd="http://www.w3.org/2001/XMLSchema" xmlns:xs="http://www.w3.org/2001/XMLSchema" xmlns:p="http://schemas.microsoft.com/office/2006/metadata/properties" xmlns:ns1="http://schemas.microsoft.com/sharepoint/v3" xmlns:ns2="a6d37c81-bfe7-4f4a-be3d-3ff3462d7fcb" xmlns:ns3="10b3b123-8079-44b0-ba74-59fe8923e6ce" targetNamespace="http://schemas.microsoft.com/office/2006/metadata/properties" ma:root="true" ma:fieldsID="7a9da0fbfec58ae99c5e70a4df73ff3a" ns1:_="" ns2:_="" ns3:_="">
    <xsd:import namespace="http://schemas.microsoft.com/sharepoint/v3"/>
    <xsd:import namespace="a6d37c81-bfe7-4f4a-be3d-3ff3462d7fcb"/>
    <xsd:import namespace="10b3b123-8079-44b0-ba74-59fe8923e6ce"/>
    <xsd:element name="properties">
      <xsd:complexType>
        <xsd:sequence>
          <xsd:element name="documentManagement">
            <xsd:complexType>
              <xsd:all>
                <xsd:element ref="ns2:MediaServiceMetadata" minOccurs="0"/>
                <xsd:element ref="ns2:MediaServiceFastMetadata" minOccurs="0"/>
                <xsd:element ref="ns2:DocumentDescription" minOccurs="0"/>
                <xsd:element ref="ns2:RuleStag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37c81-bfe7-4f4a-be3d-3ff3462d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Description" ma:index="10" nillable="true" ma:displayName="Document Description" ma:format="Dropdown" ma:internalName="DocumentDescription">
      <xsd:simpleType>
        <xsd:restriction base="dms:Text">
          <xsd:maxLength value="255"/>
        </xsd:restriction>
      </xsd:simpleType>
    </xsd:element>
    <xsd:element name="RuleStage" ma:index="11" nillable="true" ma:displayName="Rule Stage" ma:format="Dropdown" ma:internalName="RuleStage">
      <xsd:simpleType>
        <xsd:restriction base="dms:Choice">
          <xsd:enumeration value="Proposed"/>
          <xsd:enumeration value="Final"/>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0b3b123-8079-44b0-ba74-59fe8923e6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uleStage xmlns="a6d37c81-bfe7-4f4a-be3d-3ff3462d7fcb" xsi:nil="true"/>
    <DocumentDescription xmlns="a6d37c81-bfe7-4f4a-be3d-3ff3462d7fc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F8B5353-7100-4E5F-91CC-5107A4FA1714}">
  <ds:schemaRefs>
    <ds:schemaRef ds:uri="http://schemas.microsoft.com/sharepoint/v3/contenttype/forms"/>
  </ds:schemaRefs>
</ds:datastoreItem>
</file>

<file path=customXml/itemProps2.xml><?xml version="1.0" encoding="utf-8"?>
<ds:datastoreItem xmlns:ds="http://schemas.openxmlformats.org/officeDocument/2006/customXml" ds:itemID="{1BDED91E-7A38-4D8C-8180-AA1BBC9F59F7}">
  <ds:schemaRefs>
    <ds:schemaRef ds:uri="http://schemas.openxmlformats.org/officeDocument/2006/bibliography"/>
  </ds:schemaRefs>
</ds:datastoreItem>
</file>

<file path=customXml/itemProps3.xml><?xml version="1.0" encoding="utf-8"?>
<ds:datastoreItem xmlns:ds="http://schemas.openxmlformats.org/officeDocument/2006/customXml" ds:itemID="{B60FF9F8-6882-4992-8F24-D76DE7AFC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d37c81-bfe7-4f4a-be3d-3ff3462d7fcb"/>
    <ds:schemaRef ds:uri="10b3b123-8079-44b0-ba74-59fe8923e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043D5-6AA2-481C-AC46-3E5B8DB660CE}">
  <ds:schemaRefs>
    <ds:schemaRef ds:uri="http://schemas.microsoft.com/office/2006/metadata/properties"/>
    <ds:schemaRef ds:uri="http://schemas.microsoft.com/office/infopath/2007/PartnerControls"/>
    <ds:schemaRef ds:uri="a6d37c81-bfe7-4f4a-be3d-3ff3462d7fc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3718</Words>
  <Characters>22055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Veterans Benefits Administration</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Veterans Benefits Administrat</dc:creator>
  <cp:lastModifiedBy>Richardson, Charnae, VBAVACO</cp:lastModifiedBy>
  <cp:revision>16</cp:revision>
  <cp:lastPrinted>2018-03-09T18:20:00Z</cp:lastPrinted>
  <dcterms:created xsi:type="dcterms:W3CDTF">2022-11-02T13:51:00Z</dcterms:created>
  <dcterms:modified xsi:type="dcterms:W3CDTF">2022-11-16T21:12:00Z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0x01010034211C230A1BDC46808B994C9BB05712</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dlc_DocIdItemGuid">
    <vt:lpwstr>a9170261-adec-4dd8-83d9-c7e3c5021e8e</vt:lpwstr>
  </property>
  <property fmtid="{D5CDD505-2E9C-101B-9397-08002B2CF9AE}" pid="9" name="_ExtendedDescription">
    <vt:lpwstr/>
  </property>
</Properties>
</file>