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832DF" w:rsidRPr="00BB2625" w:rsidP="00B832DF" w14:paraId="0F64F216" w14:textId="77777777">
      <w:pPr>
        <w:pStyle w:val="NoSpacing"/>
        <w:rPr>
          <w:rFonts w:cs="Calibri"/>
          <w:b/>
          <w:sz w:val="24"/>
          <w:szCs w:val="24"/>
        </w:rPr>
      </w:pPr>
      <w:r w:rsidRPr="00BB2625">
        <w:rPr>
          <w:rFonts w:cs="Calibri"/>
          <w:b/>
          <w:sz w:val="24"/>
          <w:szCs w:val="24"/>
        </w:rPr>
        <w:t>Student Assistance General Provisions – Subpart K – Cash Management</w:t>
      </w:r>
    </w:p>
    <w:p w:rsidR="00B832DF" w:rsidRPr="00BB2625" w:rsidP="00095262" w14:paraId="2EA7E892" w14:textId="77777777">
      <w:pPr>
        <w:pStyle w:val="NoSpacing"/>
        <w:jc w:val="right"/>
        <w:rPr>
          <w:rFonts w:cs="Calibri"/>
          <w:sz w:val="24"/>
          <w:szCs w:val="24"/>
        </w:rPr>
      </w:pPr>
    </w:p>
    <w:p w:rsidR="00151CC7" w:rsidRPr="00BB2625" w:rsidP="00B832DF" w14:paraId="7A91F3D0" w14:textId="77777777">
      <w:pPr>
        <w:pStyle w:val="NoSpacing"/>
        <w:ind w:firstLine="720"/>
        <w:rPr>
          <w:rFonts w:cs="Calibri"/>
          <w:sz w:val="24"/>
          <w:szCs w:val="24"/>
        </w:rPr>
      </w:pPr>
      <w:r w:rsidRPr="00BB2625">
        <w:rPr>
          <w:rFonts w:cs="Calibri"/>
          <w:sz w:val="24"/>
          <w:szCs w:val="24"/>
        </w:rPr>
        <w:t>This request is for a revision to the current information collection 1845-0038 that is expiring.  This collection pertains to the recordkeeping requirements contained in the regulations related to the administration of the Subpart K - Cash Management section of the Student Assistance General Provisions.  The regulatory language has not changed.  These program regulations are designed to provide benefits to borrowers, and protect the taxpayers' interest.  The information collection requirements in these regulations are necessary to provide students with required information about their eligibility to receive funding under the federal student financial aid programs and to prevent fraud and abuse of program funds by allowing students to reduce or reject aid being offered as well as being made aware of when such funding can be expected to be available.</w:t>
      </w:r>
    </w:p>
    <w:p w:rsidR="00151CC7" w:rsidRPr="00BB2625" w:rsidP="00B832DF" w14:paraId="4C437D67" w14:textId="77777777">
      <w:pPr>
        <w:pStyle w:val="NoSpacing"/>
        <w:rPr>
          <w:rFonts w:cs="Calibri"/>
          <w:sz w:val="24"/>
          <w:szCs w:val="24"/>
        </w:rPr>
      </w:pPr>
    </w:p>
    <w:p w:rsidR="00B832DF" w:rsidRPr="00BB2625" w:rsidP="00B832DF" w14:paraId="542EC896" w14:textId="77777777">
      <w:pPr>
        <w:pStyle w:val="NoSpacing"/>
        <w:ind w:firstLine="720"/>
        <w:rPr>
          <w:rFonts w:cs="Calibri"/>
          <w:sz w:val="24"/>
          <w:szCs w:val="24"/>
        </w:rPr>
      </w:pPr>
      <w:r w:rsidRPr="00BB2625">
        <w:rPr>
          <w:rFonts w:cs="Calibri"/>
          <w:i/>
          <w:sz w:val="24"/>
          <w:szCs w:val="24"/>
        </w:rPr>
        <w:t>34 CFR 668.163 – Maintaining and accounting for funds –</w:t>
      </w:r>
      <w:r w:rsidRPr="00BB2625">
        <w:rPr>
          <w:rFonts w:cs="Calibri"/>
          <w:sz w:val="24"/>
          <w:szCs w:val="24"/>
        </w:rPr>
        <w:t xml:space="preserve"> identifies how institution’s accounts into which federal student aid funds are to be established and maintained.  It also identifies how institutional accounting and internal controls are to be maintained.  The Department will increase the number of respondents to more accurately reflect the number of participating institutions, both domestic and foreign.  </w:t>
      </w:r>
    </w:p>
    <w:p w:rsidR="00B832DF" w:rsidRPr="00BB2625" w:rsidP="00B832DF" w14:paraId="21D1F91D" w14:textId="77777777">
      <w:pPr>
        <w:pStyle w:val="NoSpacing"/>
        <w:rPr>
          <w:rFonts w:cs="Calibri"/>
          <w:sz w:val="24"/>
          <w:szCs w:val="24"/>
        </w:rPr>
      </w:pPr>
    </w:p>
    <w:p w:rsidR="00617A46" w:rsidRPr="00BB2625" w:rsidP="00617A46" w14:paraId="0F4E801D" w14:textId="77777777">
      <w:pPr>
        <w:spacing w:after="0"/>
        <w:ind w:left="1440" w:firstLine="720"/>
        <w:rPr>
          <w:rFonts w:cs="Calibri"/>
          <w:b/>
          <w:sz w:val="24"/>
          <w:szCs w:val="24"/>
          <w:u w:val="single"/>
        </w:rPr>
      </w:pPr>
      <w:r w:rsidRPr="00BB2625">
        <w:rPr>
          <w:rFonts w:cs="Calibri"/>
          <w:b/>
          <w:sz w:val="24"/>
          <w:szCs w:val="24"/>
          <w:u w:val="single"/>
        </w:rPr>
        <w:t>Respondents &amp; Responses</w:t>
      </w:r>
      <w:r w:rsidRPr="00BB2625">
        <w:rPr>
          <w:rFonts w:cs="Calibri"/>
          <w:b/>
          <w:sz w:val="24"/>
          <w:szCs w:val="24"/>
          <w:u w:val="single"/>
        </w:rPr>
        <w:tab/>
      </w:r>
      <w:r w:rsidRPr="00BB2625">
        <w:rPr>
          <w:rFonts w:cs="Calibri"/>
          <w:b/>
          <w:sz w:val="24"/>
          <w:szCs w:val="24"/>
          <w:u w:val="single"/>
        </w:rPr>
        <w:tab/>
        <w:t xml:space="preserve">     Burden Hours</w:t>
      </w:r>
    </w:p>
    <w:p w:rsidR="00617A46" w:rsidRPr="00BB2625" w:rsidP="00F8218F" w14:paraId="5195A350" w14:textId="77777777">
      <w:pPr>
        <w:pStyle w:val="NoSpacing"/>
        <w:ind w:firstLine="720"/>
        <w:rPr>
          <w:rFonts w:cs="Calibri"/>
          <w:sz w:val="24"/>
          <w:szCs w:val="24"/>
        </w:rPr>
      </w:pPr>
      <w:r w:rsidRPr="00BB2625">
        <w:rPr>
          <w:rFonts w:cs="Calibri"/>
          <w:sz w:val="24"/>
          <w:szCs w:val="24"/>
        </w:rPr>
        <w:t>Private institutions:</w:t>
      </w:r>
      <w:r w:rsidRPr="00BB2625">
        <w:rPr>
          <w:rFonts w:cs="Calibri"/>
          <w:sz w:val="24"/>
          <w:szCs w:val="24"/>
        </w:rPr>
        <w:tab/>
        <w:t xml:space="preserve">     </w:t>
      </w:r>
      <w:r w:rsidRPr="00BB2625" w:rsidR="00FA6D4B">
        <w:rPr>
          <w:rFonts w:cs="Calibri"/>
          <w:sz w:val="24"/>
          <w:szCs w:val="24"/>
        </w:rPr>
        <w:t>2,052</w:t>
      </w:r>
      <w:r w:rsidRPr="00BB2625">
        <w:rPr>
          <w:rFonts w:cs="Calibri"/>
          <w:sz w:val="24"/>
          <w:szCs w:val="24"/>
        </w:rPr>
        <w:tab/>
        <w:t>x 1.23 hours =</w:t>
      </w:r>
      <w:r w:rsidRPr="00BB2625">
        <w:rPr>
          <w:rFonts w:cs="Calibri"/>
          <w:sz w:val="24"/>
          <w:szCs w:val="24"/>
        </w:rPr>
        <w:tab/>
      </w:r>
      <w:r w:rsidRPr="00BB2625">
        <w:rPr>
          <w:rFonts w:cs="Calibri"/>
          <w:sz w:val="24"/>
          <w:szCs w:val="24"/>
        </w:rPr>
        <w:tab/>
        <w:t>2,</w:t>
      </w:r>
      <w:r w:rsidRPr="00BB2625" w:rsidR="00FA6D4B">
        <w:rPr>
          <w:rFonts w:cs="Calibri"/>
          <w:sz w:val="24"/>
          <w:szCs w:val="24"/>
        </w:rPr>
        <w:t>524</w:t>
      </w:r>
    </w:p>
    <w:p w:rsidR="00F8218F" w:rsidRPr="00BB2625" w:rsidP="00F8218F" w14:paraId="74A7188A" w14:textId="77777777">
      <w:pPr>
        <w:pStyle w:val="NoSpacing"/>
        <w:rPr>
          <w:rFonts w:cs="Calibri"/>
          <w:i/>
          <w:sz w:val="24"/>
          <w:szCs w:val="24"/>
        </w:rPr>
      </w:pPr>
    </w:p>
    <w:p w:rsidR="00B832DF" w:rsidRPr="00BB2625" w:rsidP="00DB1B1C" w14:paraId="4965563A" w14:textId="77777777">
      <w:pPr>
        <w:pStyle w:val="NoSpacing"/>
        <w:ind w:firstLine="720"/>
        <w:rPr>
          <w:rFonts w:cs="Calibri"/>
          <w:sz w:val="24"/>
          <w:szCs w:val="24"/>
        </w:rPr>
      </w:pPr>
      <w:r w:rsidRPr="00BB2625">
        <w:rPr>
          <w:rFonts w:cs="Calibri"/>
          <w:i/>
          <w:sz w:val="24"/>
          <w:szCs w:val="24"/>
        </w:rPr>
        <w:t>34 CFR 668.165 – Notices and authorizations –</w:t>
      </w:r>
      <w:r w:rsidRPr="00BB2625">
        <w:rPr>
          <w:rFonts w:cs="Calibri"/>
          <w:sz w:val="24"/>
          <w:szCs w:val="24"/>
        </w:rPr>
        <w:t xml:space="preserve"> requires that </w:t>
      </w:r>
      <w:r w:rsidRPr="00BB2625" w:rsidR="00FA6D4B">
        <w:rPr>
          <w:rFonts w:cs="Calibri"/>
          <w:sz w:val="24"/>
          <w:szCs w:val="24"/>
        </w:rPr>
        <w:t>institutions</w:t>
      </w:r>
      <w:r w:rsidRPr="00BB2625">
        <w:rPr>
          <w:rFonts w:cs="Calibri"/>
          <w:sz w:val="24"/>
          <w:szCs w:val="24"/>
        </w:rPr>
        <w:t xml:space="preserve"> provide their federal student aid recipients with information about how much aid the recipient can expect to receive, when the aid will be available, provide the recipients the option of decreasing or eliminating loan or TEACH Grant funding if desired, and receive affirmative confirmation from the recipient of the accepted aid.  Additionally, the institution must allow for a recipient to elect to have the institution hold aid funds and allow for the recipient to change that authorization at any time in writing.  </w:t>
      </w:r>
    </w:p>
    <w:p w:rsidR="00B832DF" w:rsidRPr="00BB2625" w:rsidP="00B832DF" w14:paraId="4FA9BEB8" w14:textId="77777777">
      <w:pPr>
        <w:pStyle w:val="NoSpacing"/>
        <w:rPr>
          <w:rFonts w:cs="Calibri"/>
          <w:sz w:val="24"/>
          <w:szCs w:val="24"/>
        </w:rPr>
      </w:pPr>
    </w:p>
    <w:p w:rsidR="00617A46" w:rsidRPr="00BB2625" w:rsidP="00617A46" w14:paraId="3E0675E8" w14:textId="77777777">
      <w:pPr>
        <w:spacing w:after="0"/>
        <w:ind w:left="720"/>
        <w:rPr>
          <w:rFonts w:cs="Calibri"/>
          <w:b/>
          <w:sz w:val="24"/>
          <w:szCs w:val="24"/>
          <w:u w:val="single"/>
        </w:rPr>
      </w:pPr>
      <w:r w:rsidRPr="00BB2625">
        <w:rPr>
          <w:rFonts w:cs="Calibri"/>
          <w:b/>
          <w:sz w:val="24"/>
          <w:szCs w:val="24"/>
          <w:u w:val="single"/>
        </w:rPr>
        <w:tab/>
        <w:t>Respondents</w:t>
      </w:r>
      <w:r w:rsidRPr="00BB2625">
        <w:rPr>
          <w:rFonts w:cs="Calibri"/>
          <w:b/>
          <w:sz w:val="24"/>
          <w:szCs w:val="24"/>
          <w:u w:val="single"/>
        </w:rPr>
        <w:tab/>
      </w:r>
      <w:r w:rsidRPr="00BB2625">
        <w:rPr>
          <w:rFonts w:cs="Calibri"/>
          <w:b/>
          <w:sz w:val="24"/>
          <w:szCs w:val="24"/>
          <w:u w:val="single"/>
        </w:rPr>
        <w:tab/>
        <w:t xml:space="preserve">      Responses</w:t>
      </w:r>
      <w:r w:rsidRPr="00BB2625">
        <w:rPr>
          <w:rFonts w:cs="Calibri"/>
          <w:b/>
          <w:sz w:val="24"/>
          <w:szCs w:val="24"/>
          <w:u w:val="single"/>
        </w:rPr>
        <w:tab/>
      </w:r>
      <w:r w:rsidRPr="00BB2625">
        <w:rPr>
          <w:rFonts w:cs="Calibri"/>
          <w:b/>
          <w:sz w:val="24"/>
          <w:szCs w:val="24"/>
          <w:u w:val="single"/>
        </w:rPr>
        <w:tab/>
      </w:r>
      <w:r w:rsidRPr="00BB2625">
        <w:rPr>
          <w:rFonts w:cs="Calibri"/>
          <w:b/>
          <w:sz w:val="24"/>
          <w:szCs w:val="24"/>
          <w:u w:val="single"/>
        </w:rPr>
        <w:tab/>
        <w:t>Burden Hours</w:t>
      </w:r>
    </w:p>
    <w:p w:rsidR="00F8218F" w:rsidRPr="00BB2625" w:rsidP="00F8218F" w14:paraId="18E60FB0" w14:textId="77777777">
      <w:pPr>
        <w:spacing w:after="0"/>
        <w:ind w:left="720"/>
        <w:rPr>
          <w:rFonts w:cs="Calibri"/>
          <w:sz w:val="24"/>
          <w:szCs w:val="24"/>
        </w:rPr>
      </w:pPr>
      <w:r w:rsidRPr="00BB2625">
        <w:rPr>
          <w:rFonts w:cs="Calibri"/>
          <w:sz w:val="24"/>
          <w:szCs w:val="24"/>
        </w:rPr>
        <w:t xml:space="preserve">Private institutions </w:t>
      </w:r>
    </w:p>
    <w:p w:rsidR="00617A46" w:rsidRPr="00BB2625" w:rsidP="00F8218F" w14:paraId="4CF49493" w14:textId="77777777">
      <w:pPr>
        <w:spacing w:after="0"/>
        <w:ind w:left="720" w:firstLine="720"/>
        <w:rPr>
          <w:rFonts w:cs="Calibri"/>
          <w:sz w:val="24"/>
          <w:szCs w:val="24"/>
        </w:rPr>
      </w:pPr>
      <w:r w:rsidRPr="00BB2625">
        <w:rPr>
          <w:rFonts w:cs="Calibri"/>
          <w:sz w:val="24"/>
          <w:szCs w:val="24"/>
        </w:rPr>
        <w:t xml:space="preserve">    *</w:t>
      </w:r>
      <w:r w:rsidRPr="00BB2625">
        <w:rPr>
          <w:rFonts w:cs="Calibri"/>
          <w:sz w:val="24"/>
          <w:szCs w:val="24"/>
        </w:rPr>
        <w:tab/>
      </w:r>
      <w:r w:rsidRPr="00BB2625">
        <w:rPr>
          <w:rFonts w:cs="Calibri"/>
          <w:sz w:val="24"/>
          <w:szCs w:val="24"/>
        </w:rPr>
        <w:tab/>
      </w:r>
      <w:r w:rsidRPr="00BB2625">
        <w:rPr>
          <w:rFonts w:cs="Calibri"/>
          <w:sz w:val="24"/>
          <w:szCs w:val="24"/>
        </w:rPr>
        <w:tab/>
      </w:r>
      <w:r w:rsidRPr="00BB2625" w:rsidR="009D5D2C">
        <w:rPr>
          <w:rFonts w:cs="Calibri"/>
          <w:sz w:val="24"/>
          <w:szCs w:val="24"/>
        </w:rPr>
        <w:t>3,</w:t>
      </w:r>
      <w:r w:rsidRPr="00BB2625" w:rsidR="00FA6D4B">
        <w:rPr>
          <w:rFonts w:cs="Calibri"/>
          <w:sz w:val="24"/>
          <w:szCs w:val="24"/>
        </w:rPr>
        <w:t>432</w:t>
      </w:r>
      <w:r w:rsidRPr="00BB2625" w:rsidR="009D5D2C">
        <w:rPr>
          <w:rFonts w:cs="Calibri"/>
          <w:sz w:val="24"/>
          <w:szCs w:val="24"/>
        </w:rPr>
        <w:t>,</w:t>
      </w:r>
      <w:r w:rsidRPr="00BB2625" w:rsidR="00FA6D4B">
        <w:rPr>
          <w:rFonts w:cs="Calibri"/>
          <w:sz w:val="24"/>
          <w:szCs w:val="24"/>
        </w:rPr>
        <w:t>052</w:t>
      </w:r>
      <w:r w:rsidRPr="00BB2625">
        <w:rPr>
          <w:rFonts w:cs="Calibri"/>
          <w:sz w:val="24"/>
          <w:szCs w:val="24"/>
        </w:rPr>
        <w:t xml:space="preserve"> x 0.03 hours =</w:t>
      </w:r>
      <w:r w:rsidRPr="00BB2625">
        <w:rPr>
          <w:rFonts w:cs="Calibri"/>
          <w:sz w:val="24"/>
          <w:szCs w:val="24"/>
        </w:rPr>
        <w:tab/>
      </w:r>
      <w:r w:rsidRPr="00BB2625" w:rsidR="009D5D2C">
        <w:rPr>
          <w:rFonts w:cs="Calibri"/>
          <w:sz w:val="24"/>
          <w:szCs w:val="24"/>
        </w:rPr>
        <w:t>1</w:t>
      </w:r>
      <w:r w:rsidRPr="00BB2625" w:rsidR="00FA6D4B">
        <w:rPr>
          <w:rFonts w:cs="Calibri"/>
          <w:sz w:val="24"/>
          <w:szCs w:val="24"/>
        </w:rPr>
        <w:t>05</w:t>
      </w:r>
      <w:r w:rsidRPr="00BB2625" w:rsidR="009D5D2C">
        <w:rPr>
          <w:rFonts w:cs="Calibri"/>
          <w:sz w:val="24"/>
          <w:szCs w:val="24"/>
        </w:rPr>
        <w:t>,</w:t>
      </w:r>
      <w:r w:rsidRPr="00BB2625" w:rsidR="00FA6D4B">
        <w:rPr>
          <w:rFonts w:cs="Calibri"/>
          <w:sz w:val="24"/>
          <w:szCs w:val="24"/>
        </w:rPr>
        <w:t>424</w:t>
      </w:r>
    </w:p>
    <w:p w:rsidR="00F8218F" w:rsidRPr="00BB2625" w:rsidP="00F8218F" w14:paraId="5DF4A9BC" w14:textId="77777777">
      <w:pPr>
        <w:spacing w:after="0"/>
        <w:ind w:left="720"/>
        <w:rPr>
          <w:rFonts w:cs="Calibri"/>
          <w:sz w:val="24"/>
          <w:szCs w:val="24"/>
        </w:rPr>
      </w:pPr>
    </w:p>
    <w:p w:rsidR="00617A46" w:rsidRPr="00BB2625" w:rsidP="00617A46" w14:paraId="0E208570" w14:textId="77777777">
      <w:pPr>
        <w:pStyle w:val="NoSpacing"/>
        <w:rPr>
          <w:rFonts w:cs="Calibri"/>
          <w:sz w:val="24"/>
          <w:szCs w:val="24"/>
        </w:rPr>
      </w:pPr>
      <w:r w:rsidRPr="00BB2625">
        <w:rPr>
          <w:rFonts w:cs="Calibri"/>
          <w:sz w:val="24"/>
          <w:szCs w:val="24"/>
        </w:rPr>
        <w:t>* The asterisk is used to avoid double counting the same respondent already identified in a prior section calculation.</w:t>
      </w:r>
    </w:p>
    <w:p w:rsidR="00617A46" w:rsidRPr="00BB2625" w:rsidP="00617A46" w14:paraId="10ABE1FF" w14:textId="77777777">
      <w:pPr>
        <w:pStyle w:val="NoSpacing"/>
        <w:rPr>
          <w:rFonts w:cs="Calibri"/>
          <w:sz w:val="24"/>
          <w:szCs w:val="24"/>
        </w:rPr>
      </w:pPr>
    </w:p>
    <w:p w:rsidR="00617A46" w:rsidRPr="00BB2625" w:rsidP="00617A46" w14:paraId="2D09B1FB" w14:textId="77777777">
      <w:pPr>
        <w:pStyle w:val="NoSpacing"/>
        <w:rPr>
          <w:rFonts w:cs="Calibri"/>
          <w:i/>
          <w:sz w:val="24"/>
          <w:szCs w:val="24"/>
        </w:rPr>
      </w:pPr>
    </w:p>
    <w:p w:rsidR="00151CC7" w:rsidRPr="00BB2625" w:rsidP="00B832DF" w14:paraId="67FDA274" w14:textId="77777777">
      <w:pPr>
        <w:pStyle w:val="NoSpacing"/>
        <w:rPr>
          <w:rFonts w:cs="Calibri"/>
          <w:sz w:val="24"/>
          <w:szCs w:val="24"/>
        </w:rPr>
      </w:pPr>
      <w:r w:rsidRPr="00BB2625">
        <w:rPr>
          <w:rFonts w:cs="Calibri"/>
          <w:sz w:val="24"/>
          <w:szCs w:val="24"/>
        </w:rPr>
        <w:t>TOTALS</w:t>
      </w:r>
    </w:p>
    <w:p w:rsidR="00151CC7" w:rsidRPr="00BB2625" w:rsidP="00B832DF" w14:paraId="084E25CB" w14:textId="77777777">
      <w:pPr>
        <w:pStyle w:val="NoSpacing"/>
        <w:rPr>
          <w:rFonts w:cs="Calibri"/>
          <w:sz w:val="24"/>
          <w:szCs w:val="24"/>
        </w:rPr>
      </w:pPr>
      <w:r w:rsidRPr="00BB2625">
        <w:rPr>
          <w:rFonts w:cs="Calibri"/>
          <w:sz w:val="24"/>
          <w:szCs w:val="24"/>
        </w:rPr>
        <w:tab/>
        <w:t>Respon</w:t>
      </w:r>
      <w:r w:rsidRPr="00BB2625" w:rsidR="00C711BA">
        <w:rPr>
          <w:rFonts w:cs="Calibri"/>
          <w:sz w:val="24"/>
          <w:szCs w:val="24"/>
        </w:rPr>
        <w:t>dents</w:t>
      </w:r>
      <w:r w:rsidRPr="00BB2625">
        <w:rPr>
          <w:rFonts w:cs="Calibri"/>
          <w:sz w:val="24"/>
          <w:szCs w:val="24"/>
        </w:rPr>
        <w:tab/>
      </w:r>
      <w:r w:rsidRPr="00BB2625" w:rsidR="00904BD1">
        <w:rPr>
          <w:rFonts w:cs="Calibri"/>
          <w:sz w:val="24"/>
          <w:szCs w:val="24"/>
        </w:rPr>
        <w:tab/>
      </w:r>
      <w:r w:rsidRPr="00BB2625" w:rsidR="00F36EFD">
        <w:rPr>
          <w:rFonts w:cs="Calibri"/>
          <w:sz w:val="24"/>
          <w:szCs w:val="24"/>
        </w:rPr>
        <w:t xml:space="preserve">       </w:t>
      </w:r>
      <w:r w:rsidRPr="00BB2625" w:rsidR="00FA6D4B">
        <w:rPr>
          <w:rFonts w:cs="Calibri"/>
          <w:sz w:val="24"/>
          <w:szCs w:val="24"/>
        </w:rPr>
        <w:t>2,052</w:t>
      </w:r>
      <w:r w:rsidRPr="00BB2625" w:rsidR="00C711BA">
        <w:rPr>
          <w:rFonts w:cs="Calibri"/>
          <w:sz w:val="24"/>
          <w:szCs w:val="24"/>
        </w:rPr>
        <w:t xml:space="preserve"> unduplicated institutions</w:t>
      </w:r>
    </w:p>
    <w:p w:rsidR="00FA6D4B" w:rsidRPr="00BB2625" w:rsidP="00B832DF" w14:paraId="390C9492" w14:textId="77777777">
      <w:pPr>
        <w:pStyle w:val="NoSpacing"/>
        <w:rPr>
          <w:rFonts w:cs="Calibri"/>
          <w:sz w:val="24"/>
          <w:szCs w:val="24"/>
        </w:rPr>
      </w:pPr>
      <w:r w:rsidRPr="00BB2625">
        <w:rPr>
          <w:rFonts w:cs="Calibri"/>
          <w:sz w:val="24"/>
          <w:szCs w:val="24"/>
        </w:rPr>
        <w:tab/>
        <w:t>Respon</w:t>
      </w:r>
      <w:r w:rsidRPr="00BB2625" w:rsidR="00C711BA">
        <w:rPr>
          <w:rFonts w:cs="Calibri"/>
          <w:sz w:val="24"/>
          <w:szCs w:val="24"/>
        </w:rPr>
        <w:t>ses</w:t>
      </w:r>
      <w:r w:rsidRPr="00BB2625">
        <w:rPr>
          <w:rFonts w:cs="Calibri"/>
          <w:sz w:val="24"/>
          <w:szCs w:val="24"/>
        </w:rPr>
        <w:tab/>
      </w:r>
      <w:r w:rsidRPr="00BB2625" w:rsidR="00904BD1">
        <w:rPr>
          <w:rFonts w:cs="Calibri"/>
          <w:sz w:val="24"/>
          <w:szCs w:val="24"/>
        </w:rPr>
        <w:tab/>
      </w:r>
      <w:r w:rsidRPr="00BB2625" w:rsidR="009D5D2C">
        <w:rPr>
          <w:rFonts w:cs="Calibri"/>
          <w:sz w:val="24"/>
          <w:szCs w:val="24"/>
        </w:rPr>
        <w:t>3,</w:t>
      </w:r>
      <w:r w:rsidRPr="00BB2625">
        <w:rPr>
          <w:rFonts w:cs="Calibri"/>
          <w:sz w:val="24"/>
          <w:szCs w:val="24"/>
        </w:rPr>
        <w:t>432,052</w:t>
      </w:r>
    </w:p>
    <w:p w:rsidR="00151CC7" w:rsidRPr="00BB2625" w:rsidP="00B832DF" w14:paraId="32AC64E1" w14:textId="77777777">
      <w:pPr>
        <w:pStyle w:val="NoSpacing"/>
        <w:rPr>
          <w:rFonts w:cs="Calibri"/>
          <w:sz w:val="24"/>
          <w:szCs w:val="24"/>
        </w:rPr>
      </w:pPr>
      <w:r w:rsidRPr="00BB2625">
        <w:rPr>
          <w:rFonts w:cs="Calibri"/>
          <w:sz w:val="24"/>
          <w:szCs w:val="24"/>
        </w:rPr>
        <w:tab/>
        <w:t>Burden Hours</w:t>
      </w:r>
      <w:r w:rsidRPr="00BB2625">
        <w:rPr>
          <w:rFonts w:cs="Calibri"/>
          <w:sz w:val="24"/>
          <w:szCs w:val="24"/>
        </w:rPr>
        <w:tab/>
      </w:r>
      <w:r w:rsidRPr="00BB2625" w:rsidR="00904BD1">
        <w:rPr>
          <w:rFonts w:cs="Calibri"/>
          <w:sz w:val="24"/>
          <w:szCs w:val="24"/>
        </w:rPr>
        <w:tab/>
      </w:r>
      <w:r w:rsidRPr="00BB2625" w:rsidR="00F8218F">
        <w:rPr>
          <w:rFonts w:cs="Calibri"/>
          <w:sz w:val="24"/>
          <w:szCs w:val="24"/>
        </w:rPr>
        <w:t xml:space="preserve">   </w:t>
      </w:r>
      <w:r w:rsidRPr="00BB2625" w:rsidR="009D5D2C">
        <w:rPr>
          <w:rFonts w:cs="Calibri"/>
          <w:sz w:val="24"/>
          <w:szCs w:val="24"/>
        </w:rPr>
        <w:t>1</w:t>
      </w:r>
      <w:r w:rsidRPr="00BB2625" w:rsidR="00FA6D4B">
        <w:rPr>
          <w:rFonts w:cs="Calibri"/>
          <w:sz w:val="24"/>
          <w:szCs w:val="24"/>
        </w:rPr>
        <w:t>05</w:t>
      </w:r>
      <w:r w:rsidRPr="00BB2625" w:rsidR="009D5D2C">
        <w:rPr>
          <w:rFonts w:cs="Calibri"/>
          <w:sz w:val="24"/>
          <w:szCs w:val="24"/>
        </w:rPr>
        <w:t>,</w:t>
      </w:r>
      <w:r w:rsidRPr="00BB2625" w:rsidR="00FA6D4B">
        <w:rPr>
          <w:rFonts w:cs="Calibri"/>
          <w:sz w:val="24"/>
          <w:szCs w:val="24"/>
        </w:rPr>
        <w:t>424</w:t>
      </w:r>
    </w:p>
    <w:p w:rsidR="00B36517" w:rsidRPr="00BB2625" w:rsidP="00B832DF" w14:paraId="1AA6DC4A" w14:textId="77777777">
      <w:pPr>
        <w:pStyle w:val="NoSpacing"/>
        <w:rPr>
          <w:rFonts w:cs="Calibri"/>
          <w:sz w:val="24"/>
          <w:szCs w:val="24"/>
        </w:rPr>
      </w:pPr>
    </w:p>
    <w:sectPr>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0755" w:rsidRPr="00BB2625" w:rsidP="00F64A83" w14:paraId="6BD142FD" w14:textId="77777777">
    <w:pPr>
      <w:rPr>
        <w:rFonts w:cs="Calibri"/>
        <w:sz w:val="20"/>
        <w:szCs w:val="20"/>
      </w:rPr>
    </w:pPr>
    <w:r w:rsidRPr="00BB2625">
      <w:rPr>
        <w:rFonts w:cs="Calibri"/>
        <w:sz w:val="20"/>
        <w:szCs w:val="20"/>
      </w:rPr>
      <w:t>1845-</w:t>
    </w:r>
    <w:r w:rsidRPr="00BB2625" w:rsidR="008779D4">
      <w:rPr>
        <w:rFonts w:cs="Calibri"/>
        <w:sz w:val="20"/>
        <w:szCs w:val="20"/>
      </w:rPr>
      <w:t>0038</w:t>
    </w:r>
    <w:r w:rsidRPr="00BB2625">
      <w:rPr>
        <w:rFonts w:cs="Calibri"/>
        <w:sz w:val="20"/>
        <w:szCs w:val="20"/>
      </w:rPr>
      <w:t xml:space="preserve"> – Affected Public </w:t>
    </w:r>
    <w:r w:rsidRPr="00BB2625" w:rsidR="00CC2AA3">
      <w:rPr>
        <w:rFonts w:cs="Calibri"/>
        <w:sz w:val="20"/>
        <w:szCs w:val="20"/>
      </w:rPr>
      <w:t>–</w:t>
    </w:r>
    <w:r w:rsidRPr="00BB2625">
      <w:rPr>
        <w:rFonts w:cs="Calibri"/>
        <w:sz w:val="20"/>
        <w:szCs w:val="20"/>
      </w:rPr>
      <w:t xml:space="preserve"> </w:t>
    </w:r>
    <w:r w:rsidRPr="00BB2625" w:rsidR="00F8218F">
      <w:rPr>
        <w:rFonts w:cs="Calibri"/>
        <w:sz w:val="20"/>
        <w:szCs w:val="20"/>
      </w:rPr>
      <w:t>Private</w:t>
    </w:r>
    <w:r w:rsidRPr="00BB2625" w:rsidR="00CC2AA3">
      <w:rPr>
        <w:rFonts w:cs="Calibri"/>
        <w:sz w:val="20"/>
        <w:szCs w:val="20"/>
      </w:rPr>
      <w:t xml:space="preserve"> Institutions</w:t>
    </w:r>
    <w:r w:rsidRPr="00BB2625">
      <w:rPr>
        <w:rFonts w:cs="Calibri"/>
        <w:sz w:val="20"/>
        <w:szCs w:val="20"/>
      </w:rPr>
      <w:t xml:space="preserve"> </w:t>
    </w:r>
    <w:r w:rsidRPr="00BB2625" w:rsidR="00617A46">
      <w:rPr>
        <w:rFonts w:cs="Calibri"/>
        <w:sz w:val="20"/>
        <w:szCs w:val="20"/>
      </w:rPr>
      <w:tab/>
    </w:r>
    <w:r w:rsidRPr="00BB2625" w:rsidR="00617A46">
      <w:rPr>
        <w:rFonts w:cs="Calibri"/>
        <w:sz w:val="20"/>
        <w:szCs w:val="20"/>
      </w:rPr>
      <w:tab/>
    </w:r>
    <w:r w:rsidRPr="00BB2625" w:rsidR="00617A46">
      <w:rPr>
        <w:rFonts w:cs="Calibri"/>
        <w:sz w:val="20"/>
        <w:szCs w:val="20"/>
      </w:rPr>
      <w:tab/>
    </w:r>
    <w:r w:rsidRPr="00BB2625">
      <w:rPr>
        <w:rFonts w:cs="Calibri"/>
        <w:sz w:val="20"/>
        <w:szCs w:val="20"/>
      </w:rPr>
      <w:tab/>
    </w:r>
    <w:r w:rsidRPr="00BB2625" w:rsidR="00F64A83">
      <w:rPr>
        <w:rFonts w:cs="Calibri"/>
        <w:sz w:val="20"/>
        <w:szCs w:val="20"/>
      </w:rPr>
      <w:tab/>
    </w:r>
    <w:r w:rsidRPr="00BB2625" w:rsidR="009D5D2C">
      <w:rPr>
        <w:rFonts w:cs="Calibri"/>
        <w:sz w:val="20"/>
        <w:szCs w:val="20"/>
      </w:rPr>
      <w:t>11/1</w:t>
    </w:r>
    <w:r w:rsidRPr="00BB2625" w:rsidR="00FA6D4B">
      <w:rPr>
        <w:rFonts w:cs="Calibri"/>
        <w:sz w:val="20"/>
        <w:szCs w:val="20"/>
      </w:rPr>
      <w:t>5</w:t>
    </w:r>
    <w:r w:rsidRPr="00BB2625" w:rsidR="009D5D2C">
      <w:rPr>
        <w:rFonts w:cs="Calibri"/>
        <w:sz w:val="20"/>
        <w:szCs w:val="20"/>
      </w:rPr>
      <w:t>/20</w:t>
    </w:r>
    <w:r w:rsidRPr="00BB2625" w:rsidR="00FA6D4B">
      <w:rPr>
        <w:rFonts w:cs="Calibri"/>
        <w:sz w:val="20"/>
        <w:szCs w:val="20"/>
      </w:rPr>
      <w:t>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17"/>
    <w:rsid w:val="0005356D"/>
    <w:rsid w:val="00095262"/>
    <w:rsid w:val="000E5548"/>
    <w:rsid w:val="00123962"/>
    <w:rsid w:val="00151CC7"/>
    <w:rsid w:val="00177EFF"/>
    <w:rsid w:val="001970AD"/>
    <w:rsid w:val="00290D64"/>
    <w:rsid w:val="003B2A7F"/>
    <w:rsid w:val="00414004"/>
    <w:rsid w:val="00466EDF"/>
    <w:rsid w:val="00482525"/>
    <w:rsid w:val="004B7CD2"/>
    <w:rsid w:val="00557675"/>
    <w:rsid w:val="005E4C29"/>
    <w:rsid w:val="00617A46"/>
    <w:rsid w:val="006C2F85"/>
    <w:rsid w:val="0071464F"/>
    <w:rsid w:val="00820204"/>
    <w:rsid w:val="00823328"/>
    <w:rsid w:val="008779D4"/>
    <w:rsid w:val="008D525B"/>
    <w:rsid w:val="00904BD1"/>
    <w:rsid w:val="00926062"/>
    <w:rsid w:val="00992CC3"/>
    <w:rsid w:val="009D5D2C"/>
    <w:rsid w:val="00B16783"/>
    <w:rsid w:val="00B36517"/>
    <w:rsid w:val="00B832DF"/>
    <w:rsid w:val="00B85034"/>
    <w:rsid w:val="00BB2625"/>
    <w:rsid w:val="00C22F7B"/>
    <w:rsid w:val="00C50755"/>
    <w:rsid w:val="00C65831"/>
    <w:rsid w:val="00C711BA"/>
    <w:rsid w:val="00CC2AA3"/>
    <w:rsid w:val="00DB1B1C"/>
    <w:rsid w:val="00E05DF7"/>
    <w:rsid w:val="00E958DD"/>
    <w:rsid w:val="00EB0474"/>
    <w:rsid w:val="00F36EFD"/>
    <w:rsid w:val="00F64A83"/>
    <w:rsid w:val="00F8218F"/>
    <w:rsid w:val="00FA6D4B"/>
    <w:rsid w:val="00FB177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441166A"/>
  <w15:chartTrackingRefBased/>
  <w15:docId w15:val="{22A7D82B-A7B8-443F-9A24-822AF927A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 w:type="paragraph" w:styleId="BalloonText">
    <w:name w:val="Balloon Text"/>
    <w:basedOn w:val="Normal"/>
    <w:link w:val="BalloonTextChar"/>
    <w:uiPriority w:val="99"/>
    <w:semiHidden/>
    <w:unhideWhenUsed/>
    <w:rsid w:val="00FB177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B17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9E52A6-875C-40FD-BA9B-A205C5AA2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355</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Mullan, Kate</cp:lastModifiedBy>
  <cp:revision>2</cp:revision>
  <cp:lastPrinted>2013-07-30T19:02:00Z</cp:lastPrinted>
  <dcterms:created xsi:type="dcterms:W3CDTF">2022-11-15T19:28:00Z</dcterms:created>
  <dcterms:modified xsi:type="dcterms:W3CDTF">2022-11-15T19:28:00Z</dcterms:modified>
</cp:coreProperties>
</file>