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FF290A">
        <w:rPr>
          <w:sz w:val="28"/>
        </w:rPr>
        <w:t xml:space="preserve"> (OMB Control Number: 0938-</w:t>
      </w:r>
      <w:r w:rsidR="00B37C9F">
        <w:rPr>
          <w:sz w:val="28"/>
        </w:rPr>
        <w:t>1185</w:t>
      </w:r>
      <w:r>
        <w:rPr>
          <w:sz w:val="28"/>
        </w:rPr>
        <w:t>)</w:t>
      </w:r>
    </w:p>
    <w:p w:rsidR="00E50293" w:rsidP="00434E3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C67EAB" w:rsidP="00434E33"/>
    <w:p w:rsidR="00C67EAB" w:rsidRPr="009239AA" w:rsidP="00434E33">
      <w:pPr>
        <w:rPr>
          <w:b/>
        </w:rPr>
      </w:pPr>
      <w:r>
        <w:t xml:space="preserve">Surveying our Customers – Post-activity </w:t>
      </w:r>
      <w:r w:rsidR="00A54F63">
        <w:t>Evaluation</w:t>
      </w:r>
      <w:r w:rsidR="00B37C9F">
        <w:t xml:space="preserve"> (CMS-10732)</w:t>
      </w:r>
    </w:p>
    <w:p w:rsidR="005E714A"/>
    <w:p w:rsidR="00C67EAB">
      <w:pPr>
        <w:rPr>
          <w:b/>
        </w:rPr>
      </w:pPr>
      <w:r>
        <w:rPr>
          <w:b/>
        </w:rPr>
        <w:t>PURPOSE</w:t>
      </w:r>
      <w:r w:rsidRPr="009239AA">
        <w:rPr>
          <w:b/>
        </w:rPr>
        <w:t>:</w:t>
      </w:r>
      <w:r w:rsidRPr="009239AA" w:rsidR="00C14CC4">
        <w:rPr>
          <w:b/>
        </w:rPr>
        <w:t xml:space="preserve">  </w:t>
      </w:r>
    </w:p>
    <w:p w:rsidR="00C67EAB">
      <w:pPr>
        <w:rPr>
          <w:b/>
        </w:rPr>
      </w:pPr>
    </w:p>
    <w:p w:rsidR="006A0F57" w:rsidRPr="006A0F57" w:rsidP="006A0F57">
      <w:r>
        <w:rPr>
          <w:bCs/>
        </w:rPr>
        <w:t>T</w:t>
      </w:r>
      <w:r w:rsidRPr="006A0F57">
        <w:rPr>
          <w:bCs/>
        </w:rPr>
        <w:t xml:space="preserve">his </w:t>
      </w:r>
      <w:r>
        <w:rPr>
          <w:bCs/>
        </w:rPr>
        <w:t xml:space="preserve">collection of information request </w:t>
      </w:r>
      <w:r w:rsidRPr="006A0F57">
        <w:rPr>
          <w:bCs/>
        </w:rPr>
        <w:t xml:space="preserve">is directly related to the President’s Management Agenda (PMA), specifically Priority Areas for Transformation, CAP Goal 4, </w:t>
      </w:r>
      <w:r w:rsidRPr="006A0F57">
        <w:rPr>
          <w:bCs/>
          <w:i/>
        </w:rPr>
        <w:t>Improving Customer Experience with Federal Services</w:t>
      </w:r>
      <w:r w:rsidRPr="006A0F57">
        <w:rPr>
          <w:bCs/>
        </w:rPr>
        <w:t xml:space="preserve">.  </w:t>
      </w:r>
      <w:r>
        <w:rPr>
          <w:bCs/>
        </w:rPr>
        <w:t xml:space="preserve">This is a fast track that </w:t>
      </w:r>
      <w:r w:rsidRPr="006A0F57">
        <w:rPr>
          <w:bCs/>
        </w:rPr>
        <w:t xml:space="preserve">is associated with the PMA objective of providing a modern, streamlined, and responsive customer experience across Government.  Our </w:t>
      </w:r>
      <w:r w:rsidR="00A54F63">
        <w:rPr>
          <w:bCs/>
        </w:rPr>
        <w:t>evaluation</w:t>
      </w:r>
      <w:r w:rsidRPr="006A0F57">
        <w:rPr>
          <w:bCs/>
        </w:rPr>
        <w:t>, while voluntary to complete, is designed</w:t>
      </w:r>
      <w:r>
        <w:rPr>
          <w:bCs/>
        </w:rPr>
        <w:t xml:space="preserve"> and tailored to each audience</w:t>
      </w:r>
      <w:r w:rsidRPr="006A0F57">
        <w:rPr>
          <w:bCs/>
        </w:rPr>
        <w:t xml:space="preserve"> to elicit consumer feedback on how well OPOLE is addressing the informational needs of our stakeholders and partners with whom we interact throughout the year and, particularly, in the summer and fall.  In addition to meeting the goals of PMA CAP Goal 4, our stakeholder feedback questions were created to meet the expectation of the CMS Administrator, who has asked OPOLE to be able to demonstrate that we are attuned to and meeting our customers’ informational needs.  The summer and fall is when our customer engagements are at their peak, and so we seek </w:t>
      </w:r>
      <w:r w:rsidR="000F7CEA">
        <w:rPr>
          <w:bCs/>
        </w:rPr>
        <w:t xml:space="preserve">expedited </w:t>
      </w:r>
      <w:r w:rsidRPr="006A0F57">
        <w:rPr>
          <w:bCs/>
        </w:rPr>
        <w:t xml:space="preserve">OMB approval to begin this critical new level of engagement with our stakeholders and customers. </w:t>
      </w:r>
    </w:p>
    <w:p w:rsidR="006A0F57"/>
    <w:p w:rsidR="00434E33" w:rsidRPr="00434E33" w:rsidP="00434E33">
      <w:pPr>
        <w:pStyle w:val="Header"/>
        <w:tabs>
          <w:tab w:val="clear" w:pos="4320"/>
          <w:tab w:val="clear" w:pos="8640"/>
        </w:tabs>
        <w:rPr>
          <w:i/>
          <w:snapToGrid/>
        </w:rPr>
      </w:pPr>
      <w:r w:rsidRPr="00434E33">
        <w:rPr>
          <w:b/>
        </w:rPr>
        <w:t>DESCRIPTION OF RESPONDENTS</w:t>
      </w:r>
      <w:r>
        <w:t xml:space="preserve">: </w:t>
      </w:r>
    </w:p>
    <w:p w:rsidR="00F15956"/>
    <w:p w:rsidR="00C8488C">
      <w:r>
        <w:t xml:space="preserve">There are </w:t>
      </w:r>
      <w:r w:rsidR="008C7D78">
        <w:t>four</w:t>
      </w:r>
      <w:r>
        <w:t xml:space="preserve"> main types of respondents</w:t>
      </w:r>
      <w:r w:rsidR="00560096">
        <w:t xml:space="preserve"> anticipated</w:t>
      </w:r>
      <w:r w:rsidR="00A54F63">
        <w:t xml:space="preserve"> </w:t>
      </w:r>
      <w:r w:rsidR="00662904">
        <w:t xml:space="preserve">- </w:t>
      </w:r>
      <w:r w:rsidR="00A54F63">
        <w:t>each respondent will receive the same evaluation</w:t>
      </w:r>
      <w:r w:rsidR="00991C8B">
        <w:t xml:space="preserve"> questions, but</w:t>
      </w:r>
      <w:r w:rsidR="00A54F63">
        <w:t xml:space="preserve"> tailored to the</w:t>
      </w:r>
      <w:r w:rsidR="00991C8B">
        <w:t>ir</w:t>
      </w:r>
      <w:r w:rsidR="0088059C">
        <w:t xml:space="preserve"> audience </w:t>
      </w:r>
      <w:r w:rsidR="00991C8B">
        <w:t>type</w:t>
      </w:r>
      <w:r>
        <w:t>:</w:t>
      </w:r>
    </w:p>
    <w:p w:rsidR="002C22E3"/>
    <w:p w:rsidR="002C22E3" w:rsidP="00A7566F">
      <w:pPr>
        <w:numPr>
          <w:ilvl w:val="0"/>
          <w:numId w:val="19"/>
        </w:numPr>
        <w:ind w:left="360"/>
      </w:pPr>
      <w:r w:rsidRPr="00E0233F">
        <w:rPr>
          <w:b/>
          <w:u w:val="single"/>
        </w:rPr>
        <w:t>Medicare Beneficiary</w:t>
      </w:r>
      <w:r w:rsidR="001C6751">
        <w:t xml:space="preserve"> – individuals entitled to benefits under Medicare Part A plan and enrolled under Medicare Part B plan, or enrolled in both Medicare Part A and B and who resides in the United States.  These individuals pay deductibles and 20 percent coinsurance for most services and equipment</w:t>
      </w:r>
      <w:r w:rsidR="00A348A1">
        <w:t>.</w:t>
      </w:r>
    </w:p>
    <w:p w:rsidR="002C22E3" w:rsidP="00A7566F"/>
    <w:p w:rsidR="002C22E3" w:rsidP="00A7566F">
      <w:pPr>
        <w:numPr>
          <w:ilvl w:val="0"/>
          <w:numId w:val="19"/>
        </w:numPr>
        <w:ind w:left="360"/>
      </w:pPr>
      <w:r w:rsidRPr="00E0233F">
        <w:rPr>
          <w:b/>
          <w:u w:val="single"/>
        </w:rPr>
        <w:t>Marketplace Consumer</w:t>
      </w:r>
      <w:r w:rsidR="001C6751">
        <w:t xml:space="preserve"> – individuals</w:t>
      </w:r>
      <w:r w:rsidR="00302F79">
        <w:t xml:space="preserve"> with income up to 138 percent of the federal poverty line</w:t>
      </w:r>
      <w:r w:rsidR="001C6751">
        <w:t xml:space="preserve"> who </w:t>
      </w:r>
      <w:r w:rsidR="00302F79">
        <w:t xml:space="preserve">purchase health insurance that provides coverage for essential health services, including pre-existing conditions, and </w:t>
      </w:r>
      <w:r w:rsidR="001C6751">
        <w:t>do not have access to coverage through an employer or public insurance program</w:t>
      </w:r>
      <w:r w:rsidR="00302F79">
        <w:t xml:space="preserve"> (Medicaid or Medicare)</w:t>
      </w:r>
      <w:r w:rsidR="001C6751">
        <w:t>.</w:t>
      </w:r>
    </w:p>
    <w:p w:rsidR="002C22E3" w:rsidP="00A7566F"/>
    <w:p w:rsidR="002C22E3" w:rsidP="00A7566F">
      <w:pPr>
        <w:numPr>
          <w:ilvl w:val="0"/>
          <w:numId w:val="19"/>
        </w:numPr>
        <w:ind w:left="360"/>
      </w:pPr>
      <w:r w:rsidRPr="00E0233F">
        <w:rPr>
          <w:b/>
          <w:u w:val="single"/>
        </w:rPr>
        <w:t>Provider/supplier</w:t>
      </w:r>
      <w:r w:rsidR="00302F79">
        <w:t xml:space="preserve"> – an enrolled Medicare Program physician or other practitioner, or an entity other than a provider, that furnishes health care services to Medicare beneficiaries.  There are a broad range of Institutional Providers, including</w:t>
      </w:r>
      <w:r w:rsidR="00A7566F">
        <w:t xml:space="preserve">, but not limited to: </w:t>
      </w:r>
      <w:r w:rsidR="00302F79">
        <w:t xml:space="preserve">Community Mental Health Centers; </w:t>
      </w:r>
      <w:r w:rsidR="00A7566F">
        <w:t>Federally Qualified Health Centers; Hospices; Hospitals, Outpatient physical therapy/speech pathology providers; Rural Health Clinics; and Skilled Nursing Facilities; Equally broad are the Suppliers, not limited to: Ambulance services; Certified nurse-midwives; Clinical psychologist; Clinical social workers; Durable medical equipment; and Outpatient services</w:t>
      </w:r>
      <w:r w:rsidR="00C40F8A">
        <w:t>.</w:t>
      </w:r>
      <w:r w:rsidR="00A7566F">
        <w:t xml:space="preserve"> </w:t>
      </w:r>
    </w:p>
    <w:p w:rsidR="008C7D78" w:rsidP="008C7D78">
      <w:pPr>
        <w:pStyle w:val="ListParagraph"/>
      </w:pPr>
    </w:p>
    <w:p w:rsidR="008C7D78" w:rsidP="00A7566F">
      <w:pPr>
        <w:numPr>
          <w:ilvl w:val="0"/>
          <w:numId w:val="19"/>
        </w:numPr>
        <w:ind w:left="360"/>
      </w:pPr>
      <w:r w:rsidRPr="008C7D78">
        <w:rPr>
          <w:b/>
          <w:u w:val="single"/>
        </w:rPr>
        <w:t>State Health Insurance Assistance Program or other assister or partner</w:t>
      </w:r>
      <w:r w:rsidR="00447CBA">
        <w:rPr>
          <w:b/>
          <w:u w:val="single"/>
        </w:rPr>
        <w:t>s</w:t>
      </w:r>
      <w:r>
        <w:t xml:space="preserve"> – provide local, in-depth, and objective insurance counseling and assistance to Medicare-eligible individuals, their families, and caregivers.</w:t>
      </w:r>
    </w:p>
    <w:p w:rsidR="001B46A3"/>
    <w:p w:rsidR="001B46A3"/>
    <w:p w:rsidR="00F06866" w:rsidRPr="00F06866">
      <w:pPr>
        <w:rPr>
          <w:b/>
        </w:rPr>
      </w:pPr>
      <w:r>
        <w:rPr>
          <w:b/>
        </w:rPr>
        <w:t>TYPE OF COLLECTION:</w:t>
      </w:r>
      <w:r w:rsidRPr="00F06866">
        <w:t xml:space="preserve"> (Check one)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7231A4">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p w:rsidR="009C13B9" w:rsidP="009C13B9">
      <w:r>
        <w:t>Name:</w:t>
      </w:r>
      <w:r w:rsidR="00447CBA">
        <w:t xml:space="preserve"> John Hammarlund, Deputy Director, Office of Program Operations &amp; Local Engagement, Local Engagement &amp; Administration, Centers for Medicare &amp; Medicaid Services.</w:t>
      </w:r>
    </w:p>
    <w:p w:rsidR="009C13B9" w:rsidP="009C13B9">
      <w:pPr>
        <w:pStyle w:val="ListParagraph"/>
        <w:ind w:left="36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9239AA">
        <w:t>[  ] Yes  [</w:t>
      </w:r>
      <w:r w:rsidR="007231A4">
        <w:t>X</w:t>
      </w:r>
      <w:r w:rsidR="009239AA">
        <w:t xml:space="preserve">]  No </w:t>
      </w:r>
    </w:p>
    <w:p w:rsidR="00C86E91"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9A182C">
        <w:t>X</w:t>
      </w:r>
      <w:r w:rsidR="009239AA">
        <w:t xml:space="preserve"> ] No</w:t>
      </w:r>
      <w:r>
        <w:t xml:space="preserve">   </w:t>
      </w:r>
    </w:p>
    <w:p w:rsidR="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9A182C">
        <w:t>X</w:t>
      </w:r>
      <w:r>
        <w:t xml:space="preserve"> ] No</w:t>
      </w:r>
    </w:p>
    <w:p w:rsidR="00CF6542" w:rsidP="00C86E91">
      <w:pPr>
        <w:pStyle w:val="ListParagraph"/>
        <w:ind w:left="0"/>
        <w:rPr>
          <w:b/>
        </w:rPr>
      </w:pPr>
    </w:p>
    <w:p w:rsidR="00C86E91" w:rsidRPr="00C86E91" w:rsidP="00C86E91">
      <w:pPr>
        <w:pStyle w:val="ListParagraph"/>
        <w:ind w:left="0"/>
        <w:rPr>
          <w:b/>
        </w:rPr>
      </w:pPr>
      <w:r>
        <w:rPr>
          <w:b/>
        </w:rPr>
        <w:t>Gifts or Payments</w:t>
      </w:r>
      <w:r>
        <w:rPr>
          <w:b/>
        </w:rPr>
        <w:t>:</w:t>
      </w:r>
    </w:p>
    <w:p w:rsidR="00C86E91" w:rsidP="00C86E91">
      <w:r>
        <w:t>Is an incentive (e.g., money or reimbursement of expenses, token of appreciation) provid</w:t>
      </w:r>
      <w:r w:rsidR="007231A4">
        <w:t>ed to participants?  [  ] Yes [X</w:t>
      </w:r>
      <w:r>
        <w:t xml:space="preserve">] No  </w:t>
      </w:r>
    </w:p>
    <w:p w:rsidR="00C86E91">
      <w:pPr>
        <w:rPr>
          <w:b/>
        </w:rPr>
      </w:pPr>
    </w:p>
    <w:p w:rsidR="005E714A" w:rsidP="00C86E91">
      <w:pPr>
        <w:rPr>
          <w:i/>
        </w:rPr>
      </w:pPr>
      <w:r>
        <w:rPr>
          <w:b/>
        </w:rPr>
        <w:t>BURDEN HOUR</w:t>
      </w:r>
      <w:r w:rsidR="00441434">
        <w:rPr>
          <w:b/>
        </w:rPr>
        <w:t>S</w:t>
      </w:r>
      <w:r>
        <w:t xml:space="preserve"> </w:t>
      </w:r>
    </w:p>
    <w:p w:rsidR="006832D9" w:rsidRPr="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pPr>
              <w:rPr>
                <w:b/>
              </w:rPr>
            </w:pPr>
            <w:r w:rsidRPr="0001027E">
              <w:rPr>
                <w:b/>
              </w:rPr>
              <w:t>Category of Respondent</w:t>
            </w:r>
            <w:r w:rsidRPr="0001027E" w:rsidR="00EF2095">
              <w:rPr>
                <w:b/>
              </w:rPr>
              <w:t xml:space="preserve"> </w:t>
            </w:r>
          </w:p>
        </w:tc>
        <w:tc>
          <w:tcPr>
            <w:tcW w:w="1530" w:type="dxa"/>
          </w:tcPr>
          <w:p w:rsidR="006832D9" w:rsidRPr="0001027E" w:rsidP="00843796">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pPr>
              <w:rPr>
                <w:b/>
              </w:rPr>
            </w:pPr>
            <w:r w:rsidRPr="0001027E">
              <w:rPr>
                <w:b/>
              </w:rPr>
              <w:t>Participation Time</w:t>
            </w:r>
          </w:p>
        </w:tc>
        <w:tc>
          <w:tcPr>
            <w:tcW w:w="1003" w:type="dxa"/>
          </w:tcPr>
          <w:p w:rsidR="006832D9" w:rsidRPr="0001027E" w:rsidP="00843796">
            <w:pPr>
              <w:rPr>
                <w:b/>
              </w:rPr>
            </w:pPr>
            <w:r w:rsidRPr="0001027E">
              <w:rPr>
                <w:b/>
              </w:rPr>
              <w:t>Burden</w:t>
            </w:r>
          </w:p>
        </w:tc>
      </w:tr>
      <w:tr w:rsidTr="0001027E">
        <w:tblPrEx>
          <w:tblW w:w="9661" w:type="dxa"/>
          <w:tblLayout w:type="fixed"/>
          <w:tblLook w:val="01E0"/>
        </w:tblPrEx>
        <w:trPr>
          <w:trHeight w:val="274"/>
        </w:trPr>
        <w:tc>
          <w:tcPr>
            <w:tcW w:w="5418" w:type="dxa"/>
          </w:tcPr>
          <w:p w:rsidR="006832D9" w:rsidP="00C40F8A">
            <w:r>
              <w:t>Provider/supplier</w:t>
            </w:r>
            <w:r w:rsidR="00C40F8A">
              <w:t xml:space="preserve"> (see attached – LEA Engagement Prov.Supp</w:t>
            </w:r>
            <w:r w:rsidR="008C00E2">
              <w:t xml:space="preserve"> and Webinar Hyperlink</w:t>
            </w:r>
            <w:r w:rsidR="00C40F8A">
              <w:t>)</w:t>
            </w:r>
          </w:p>
        </w:tc>
        <w:tc>
          <w:tcPr>
            <w:tcW w:w="1530" w:type="dxa"/>
          </w:tcPr>
          <w:p w:rsidR="006832D9" w:rsidP="00FD24B9">
            <w:r>
              <w:t>8,928</w:t>
            </w:r>
          </w:p>
        </w:tc>
        <w:tc>
          <w:tcPr>
            <w:tcW w:w="1710" w:type="dxa"/>
          </w:tcPr>
          <w:p w:rsidR="006832D9" w:rsidP="00843796">
            <w:r>
              <w:t>3 minutes</w:t>
            </w:r>
          </w:p>
        </w:tc>
        <w:tc>
          <w:tcPr>
            <w:tcW w:w="1003" w:type="dxa"/>
          </w:tcPr>
          <w:p w:rsidR="006832D9" w:rsidP="00E06243">
            <w:r>
              <w:t>446</w:t>
            </w:r>
            <w:r w:rsidR="0024310A">
              <w:t xml:space="preserve"> </w:t>
            </w:r>
            <w:r w:rsidR="00D65501">
              <w:t>hours</w:t>
            </w:r>
          </w:p>
        </w:tc>
      </w:tr>
      <w:tr w:rsidTr="0001027E">
        <w:tblPrEx>
          <w:tblW w:w="9661" w:type="dxa"/>
          <w:tblLayout w:type="fixed"/>
          <w:tblLook w:val="01E0"/>
        </w:tblPrEx>
        <w:trPr>
          <w:trHeight w:val="274"/>
        </w:trPr>
        <w:tc>
          <w:tcPr>
            <w:tcW w:w="5418" w:type="dxa"/>
          </w:tcPr>
          <w:p w:rsidR="00E06243" w:rsidP="00C40F8A">
            <w:r>
              <w:t>Medicare Beneficiary</w:t>
            </w:r>
            <w:r w:rsidR="00C40F8A">
              <w:t xml:space="preserve"> (see attached – LEA Engagement Eval Medicare Bene</w:t>
            </w:r>
            <w:r w:rsidR="008C00E2">
              <w:t xml:space="preserve"> and Webinar Hyperlink</w:t>
            </w:r>
            <w:r w:rsidR="00C40F8A">
              <w:t>)</w:t>
            </w:r>
          </w:p>
        </w:tc>
        <w:tc>
          <w:tcPr>
            <w:tcW w:w="1530" w:type="dxa"/>
          </w:tcPr>
          <w:p w:rsidR="00E06243" w:rsidP="00FD24B9">
            <w:r>
              <w:t>4,464</w:t>
            </w:r>
          </w:p>
        </w:tc>
        <w:tc>
          <w:tcPr>
            <w:tcW w:w="1710" w:type="dxa"/>
          </w:tcPr>
          <w:p w:rsidR="00E06243" w:rsidP="00843796">
            <w:r>
              <w:t>3 minutes</w:t>
            </w:r>
          </w:p>
        </w:tc>
        <w:tc>
          <w:tcPr>
            <w:tcW w:w="1003" w:type="dxa"/>
          </w:tcPr>
          <w:p w:rsidR="00E06243" w:rsidP="00FD24B9">
            <w:r>
              <w:t>223 hours</w:t>
            </w:r>
          </w:p>
        </w:tc>
      </w:tr>
      <w:tr w:rsidTr="0001027E">
        <w:tblPrEx>
          <w:tblW w:w="9661" w:type="dxa"/>
          <w:tblLayout w:type="fixed"/>
          <w:tblLook w:val="01E0"/>
        </w:tblPrEx>
        <w:trPr>
          <w:trHeight w:val="274"/>
        </w:trPr>
        <w:tc>
          <w:tcPr>
            <w:tcW w:w="5418" w:type="dxa"/>
          </w:tcPr>
          <w:p w:rsidR="00E06243" w:rsidP="00C40F8A">
            <w:r>
              <w:t>Marketplace Consumer</w:t>
            </w:r>
            <w:r w:rsidR="00C40F8A">
              <w:t xml:space="preserve"> (see attached – LEA Engagement Marketplace Consumer</w:t>
            </w:r>
            <w:r w:rsidR="008C00E2">
              <w:t xml:space="preserve"> and Webinar Hyperlink</w:t>
            </w:r>
            <w:r w:rsidR="00C40F8A">
              <w:t>)</w:t>
            </w:r>
          </w:p>
        </w:tc>
        <w:tc>
          <w:tcPr>
            <w:tcW w:w="1530" w:type="dxa"/>
          </w:tcPr>
          <w:p w:rsidR="00E06243" w:rsidP="00FD24B9">
            <w:r>
              <w:t>4,464</w:t>
            </w:r>
          </w:p>
        </w:tc>
        <w:tc>
          <w:tcPr>
            <w:tcW w:w="1710" w:type="dxa"/>
          </w:tcPr>
          <w:p w:rsidR="00E06243" w:rsidP="00843796">
            <w:r>
              <w:t>3 minutes</w:t>
            </w:r>
          </w:p>
        </w:tc>
        <w:tc>
          <w:tcPr>
            <w:tcW w:w="1003" w:type="dxa"/>
          </w:tcPr>
          <w:p w:rsidR="00E06243" w:rsidP="00FD24B9">
            <w:r>
              <w:t>223 hours</w:t>
            </w:r>
          </w:p>
        </w:tc>
      </w:tr>
      <w:tr w:rsidTr="0001027E">
        <w:tblPrEx>
          <w:tblW w:w="9661" w:type="dxa"/>
          <w:tblLayout w:type="fixed"/>
          <w:tblLook w:val="01E0"/>
        </w:tblPrEx>
        <w:trPr>
          <w:trHeight w:val="274"/>
        </w:trPr>
        <w:tc>
          <w:tcPr>
            <w:tcW w:w="5418" w:type="dxa"/>
          </w:tcPr>
          <w:p w:rsidR="00E06243" w:rsidP="00843796">
            <w:r>
              <w:t>State Health Insurance Assistance Program or other assister or partners</w:t>
            </w:r>
            <w:r w:rsidR="00C40F8A">
              <w:t xml:space="preserve"> (see attached – LEA Engagement SHIP or Other</w:t>
            </w:r>
            <w:r w:rsidR="008C00E2">
              <w:t xml:space="preserve"> and Webinar Hyperlink</w:t>
            </w:r>
            <w:r w:rsidR="00C40F8A">
              <w:t>)</w:t>
            </w:r>
          </w:p>
        </w:tc>
        <w:tc>
          <w:tcPr>
            <w:tcW w:w="1530" w:type="dxa"/>
          </w:tcPr>
          <w:p w:rsidR="00E06243" w:rsidP="00FD24B9">
            <w:r>
              <w:t>4,464</w:t>
            </w:r>
          </w:p>
        </w:tc>
        <w:tc>
          <w:tcPr>
            <w:tcW w:w="1710" w:type="dxa"/>
          </w:tcPr>
          <w:p w:rsidR="00E06243" w:rsidP="00843796">
            <w:r>
              <w:t>3 minutes</w:t>
            </w:r>
          </w:p>
        </w:tc>
        <w:tc>
          <w:tcPr>
            <w:tcW w:w="1003" w:type="dxa"/>
          </w:tcPr>
          <w:p w:rsidR="00E06243" w:rsidP="00FD24B9">
            <w:r>
              <w:t>223 hours</w:t>
            </w:r>
          </w:p>
        </w:tc>
      </w:tr>
      <w:tr w:rsidTr="0001027E">
        <w:tblPrEx>
          <w:tblW w:w="9661" w:type="dxa"/>
          <w:tblLayout w:type="fixed"/>
          <w:tblLook w:val="01E0"/>
        </w:tblPrEx>
        <w:trPr>
          <w:trHeight w:val="289"/>
        </w:trPr>
        <w:tc>
          <w:tcPr>
            <w:tcW w:w="5418" w:type="dxa"/>
          </w:tcPr>
          <w:p w:rsidR="006832D9" w:rsidRPr="0001027E" w:rsidP="00843796">
            <w:pPr>
              <w:rPr>
                <w:b/>
              </w:rPr>
            </w:pPr>
            <w:r w:rsidRPr="0001027E">
              <w:rPr>
                <w:b/>
              </w:rPr>
              <w:t>Total</w:t>
            </w:r>
          </w:p>
        </w:tc>
        <w:tc>
          <w:tcPr>
            <w:tcW w:w="1530" w:type="dxa"/>
          </w:tcPr>
          <w:p w:rsidR="006832D9" w:rsidRPr="0001027E" w:rsidP="00E06243">
            <w:pPr>
              <w:rPr>
                <w:b/>
              </w:rPr>
            </w:pPr>
            <w:r>
              <w:rPr>
                <w:b/>
              </w:rPr>
              <w:t>22,32</w:t>
            </w:r>
            <w:r w:rsidR="00E06243">
              <w:rPr>
                <w:b/>
              </w:rPr>
              <w:t>0</w:t>
            </w:r>
          </w:p>
        </w:tc>
        <w:tc>
          <w:tcPr>
            <w:tcW w:w="1710" w:type="dxa"/>
          </w:tcPr>
          <w:p w:rsidR="006832D9" w:rsidP="00843796">
            <w:r>
              <w:t>3 minutes</w:t>
            </w:r>
          </w:p>
        </w:tc>
        <w:tc>
          <w:tcPr>
            <w:tcW w:w="1003" w:type="dxa"/>
          </w:tcPr>
          <w:p w:rsidR="006832D9" w:rsidRPr="0001027E" w:rsidP="00E06243">
            <w:pPr>
              <w:rPr>
                <w:b/>
              </w:rPr>
            </w:pPr>
            <w:r>
              <w:rPr>
                <w:b/>
              </w:rPr>
              <w:t>1,</w:t>
            </w:r>
            <w:r w:rsidR="00FD24B9">
              <w:rPr>
                <w:b/>
              </w:rPr>
              <w:t>11</w:t>
            </w:r>
            <w:r w:rsidR="00E06243">
              <w:rPr>
                <w:b/>
              </w:rPr>
              <w:t>5</w:t>
            </w:r>
            <w:r w:rsidR="00D65501">
              <w:rPr>
                <w:b/>
              </w:rPr>
              <w:t xml:space="preserve"> hours</w:t>
            </w:r>
          </w:p>
        </w:tc>
      </w:tr>
    </w:tbl>
    <w:p w:rsidR="00F3170F" w:rsidP="00F3170F"/>
    <w:p w:rsidR="005E714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w:t>
      </w:r>
      <w:r w:rsidR="0024310A">
        <w:t xml:space="preserve">o the Federal government is </w:t>
      </w:r>
      <w:r w:rsidR="00884A06">
        <w:t xml:space="preserve">negligible due to the fact the majority of responses will be done online and go directly into </w:t>
      </w:r>
      <w:r w:rsidR="001E5B30">
        <w:t xml:space="preserve">our </w:t>
      </w:r>
      <w:r w:rsidR="00612488">
        <w:t xml:space="preserve">CMS </w:t>
      </w:r>
      <w:r w:rsidR="001E5B30">
        <w:t>Relationship, Events, Contacts, and Outreach Network (</w:t>
      </w:r>
      <w:r w:rsidR="00884A06">
        <w:t>RECON</w:t>
      </w:r>
      <w:r w:rsidR="001E5B30">
        <w:t>) web based contact management</w:t>
      </w:r>
      <w:r w:rsidR="00884A06">
        <w:t xml:space="preserve"> </w:t>
      </w:r>
      <w:r w:rsidR="00612488">
        <w:t xml:space="preserve">tracking </w:t>
      </w:r>
      <w:r w:rsidR="00884A06">
        <w:t xml:space="preserve">system.  This will not require any additional work by any federal employee.  </w:t>
      </w:r>
      <w:r w:rsidR="005F50EA">
        <w:t>R</w:t>
      </w:r>
      <w:r w:rsidR="00884A06">
        <w:t xml:space="preserve">esponses completed </w:t>
      </w:r>
      <w:r w:rsidR="005F50EA">
        <w:t xml:space="preserve">by those </w:t>
      </w:r>
      <w:r w:rsidR="00884A06">
        <w:t>attending an outreach e</w:t>
      </w:r>
      <w:r w:rsidR="005F50EA">
        <w:t>vents in person</w:t>
      </w:r>
      <w:r w:rsidR="00884A06">
        <w:t xml:space="preserve"> will be</w:t>
      </w:r>
      <w:r w:rsidR="00337A36">
        <w:t xml:space="preserve"> gathered and brought back </w:t>
      </w:r>
      <w:r w:rsidR="00884A06">
        <w:t xml:space="preserve">to the </w:t>
      </w:r>
      <w:r w:rsidR="00337A36">
        <w:t xml:space="preserve">local </w:t>
      </w:r>
      <w:r w:rsidR="00884A06">
        <w:t xml:space="preserve">office </w:t>
      </w:r>
      <w:r w:rsidR="00337A36">
        <w:t xml:space="preserve">by </w:t>
      </w:r>
      <w:r w:rsidR="005F50EA">
        <w:t>a CMS Outreach employee</w:t>
      </w:r>
      <w:r w:rsidR="00337A36">
        <w:t xml:space="preserve"> to enter </w:t>
      </w:r>
      <w:r w:rsidR="00884A06">
        <w:t xml:space="preserve">into the RECON system as part of </w:t>
      </w:r>
      <w:r w:rsidR="00337A36">
        <w:t>their</w:t>
      </w:r>
      <w:r w:rsidR="005F50EA">
        <w:t xml:space="preserve"> routine</w:t>
      </w:r>
      <w:r w:rsidR="00884A06">
        <w:t xml:space="preserve"> “after event” </w:t>
      </w:r>
      <w:r w:rsidR="005F50EA">
        <w:t>documentation</w:t>
      </w:r>
      <w:r w:rsidR="0024310A">
        <w:t>.</w:t>
      </w:r>
    </w:p>
    <w:p w:rsidR="00BD31EC" w:rsidP="00BD31EC">
      <w:pPr>
        <w:ind w:left="720"/>
        <w:rPr>
          <w:bCs/>
        </w:rPr>
      </w:pPr>
    </w:p>
    <w:p w:rsidR="00BD31EC" w:rsidP="00662904">
      <w:pPr>
        <w:rPr>
          <w:bCs/>
          <w:sz w:val="22"/>
          <w:szCs w:val="22"/>
        </w:rPr>
      </w:pPr>
      <w:r w:rsidRPr="00662904">
        <w:rPr>
          <w:b/>
          <w:bCs/>
        </w:rPr>
        <w:t>Note</w:t>
      </w:r>
      <w:r w:rsidR="00662904">
        <w:rPr>
          <w:b/>
          <w:bCs/>
        </w:rPr>
        <w:t xml:space="preserve">: </w:t>
      </w:r>
      <w:r>
        <w:rPr>
          <w:bCs/>
        </w:rPr>
        <w:t xml:space="preserve">In 2019, there were a total of 554 outreach engagements and trainings with a total attendance of 89,285 (source: RECON tracking system.  According to </w:t>
      </w:r>
      <w:hyperlink r:id="rId4" w:history="1">
        <w:r>
          <w:rPr>
            <w:rStyle w:val="Hyperlink"/>
            <w:bCs/>
          </w:rPr>
          <w:t>www.customerthermometer.com</w:t>
        </w:r>
      </w:hyperlink>
      <w:r>
        <w:rPr>
          <w:bCs/>
        </w:rPr>
        <w:t xml:space="preserve"> the average survey response in 2018 rate is 33 percent, while </w:t>
      </w:r>
      <w:hyperlink r:id="rId5" w:history="1">
        <w:r>
          <w:rPr>
            <w:rStyle w:val="Hyperlink"/>
            <w:bCs/>
          </w:rPr>
          <w:t>www.surveygizmo.com</w:t>
        </w:r>
      </w:hyperlink>
      <w:r>
        <w:rPr>
          <w:bCs/>
        </w:rPr>
        <w:t xml:space="preserve"> reports an average of 10-15 percent response rate for external surveys in 2015.  This feedback </w:t>
      </w:r>
      <w:r w:rsidR="00A54F63">
        <w:rPr>
          <w:bCs/>
        </w:rPr>
        <w:t>evaluation</w:t>
      </w:r>
      <w:r>
        <w:rPr>
          <w:bCs/>
        </w:rPr>
        <w:t xml:space="preserve"> is considered an external </w:t>
      </w:r>
      <w:r w:rsidR="00A54F63">
        <w:rPr>
          <w:bCs/>
        </w:rPr>
        <w:t>evaluation</w:t>
      </w:r>
      <w:r>
        <w:rPr>
          <w:bCs/>
        </w:rPr>
        <w:t>, therefore, we estimate out of a 2019 attendance of 89,285, we should reasonably expect to receive 22,32</w:t>
      </w:r>
      <w:r w:rsidR="009D4911">
        <w:rPr>
          <w:bCs/>
        </w:rPr>
        <w:t>0</w:t>
      </w:r>
      <w:r w:rsidR="00662904">
        <w:rPr>
          <w:bCs/>
        </w:rPr>
        <w:t xml:space="preserve"> </w:t>
      </w:r>
      <w:r>
        <w:rPr>
          <w:bCs/>
        </w:rPr>
        <w:t>voluntary responses (using 25 percent as a rational average, based upon industry standards, and midpoint between a high of 33 percent and a low of 10–15 percent).</w:t>
      </w:r>
    </w:p>
    <w:p w:rsidR="00ED6492">
      <w:pPr>
        <w:rPr>
          <w:bCs/>
        </w:rPr>
      </w:pPr>
    </w:p>
    <w:p w:rsidR="0069403B" w:rsidP="00F06866">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123BF9">
        <w:t>X</w:t>
      </w:r>
      <w:r>
        <w:t>] No</w:t>
      </w:r>
    </w:p>
    <w:p w:rsidR="00636621" w:rsidP="00636621">
      <w:pPr>
        <w:pStyle w:val="ListParagraph"/>
      </w:pPr>
    </w:p>
    <w:p w:rsidR="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pPr>
        <w:pStyle w:val="ListParagraph"/>
      </w:pPr>
    </w:p>
    <w:p w:rsidR="00A54F63" w:rsidP="00786AE0">
      <w:pPr>
        <w:ind w:left="720"/>
      </w:pPr>
      <w:r>
        <w:t xml:space="preserve">Respondents </w:t>
      </w:r>
      <w:r w:rsidR="00447CBA">
        <w:t xml:space="preserve">participating in </w:t>
      </w:r>
      <w:r>
        <w:t xml:space="preserve">local outreach </w:t>
      </w:r>
      <w:r w:rsidR="00786AE0">
        <w:t>engagements</w:t>
      </w:r>
      <w:r w:rsidR="003C7FB1">
        <w:t xml:space="preserve"> or training</w:t>
      </w:r>
      <w:r w:rsidR="000B73B5">
        <w:t>s</w:t>
      </w:r>
      <w:r w:rsidR="003C7FB1">
        <w:t>,</w:t>
      </w:r>
      <w:r>
        <w:t xml:space="preserve"> based upon invitation, or recommendation from a stakeholder association</w:t>
      </w:r>
      <w:r w:rsidR="00786AE0">
        <w:t>, will be given the opportunity, on a voluntary basis, to complete a</w:t>
      </w:r>
      <w:r>
        <w:t>n evaluation</w:t>
      </w:r>
      <w:r w:rsidR="00786AE0">
        <w:t xml:space="preserve"> at the conclusion of the </w:t>
      </w:r>
      <w:r w:rsidR="003C7FB1">
        <w:t>engagement</w:t>
      </w:r>
      <w:r w:rsidR="00F40EA6">
        <w:t xml:space="preserve"> as follows:</w:t>
      </w:r>
      <w:r w:rsidR="000B73B5">
        <w:t xml:space="preserve">  </w:t>
      </w:r>
    </w:p>
    <w:p w:rsidR="00A54F63" w:rsidP="00786AE0">
      <w:pPr>
        <w:ind w:left="720"/>
      </w:pPr>
    </w:p>
    <w:p w:rsidR="00901B28" w:rsidRPr="00901B28" w:rsidP="00662904">
      <w:pPr>
        <w:ind w:left="1440"/>
        <w:rPr>
          <w:rFonts w:ascii="Helvetica" w:eastAsia="Calibri" w:hAnsi="Helvetica" w:cs="Helvetica"/>
          <w:b/>
          <w:i/>
          <w:sz w:val="21"/>
          <w:szCs w:val="21"/>
        </w:rPr>
      </w:pPr>
      <w:r w:rsidRPr="00662904">
        <w:rPr>
          <w:b/>
          <w:u w:val="single"/>
        </w:rPr>
        <w:t>If attending in person</w:t>
      </w:r>
      <w:r>
        <w:t xml:space="preserve">, the </w:t>
      </w:r>
      <w:r w:rsidR="00A54F63">
        <w:t xml:space="preserve">evaluation </w:t>
      </w:r>
      <w:r>
        <w:t>will be offered in hardcopy format</w:t>
      </w:r>
      <w:r w:rsidR="00F40208">
        <w:t>, at the conclusion of the engagement</w:t>
      </w:r>
      <w:r w:rsidR="0088059C">
        <w:t xml:space="preserve"> event</w:t>
      </w:r>
      <w:r w:rsidR="00931F11">
        <w:t>.</w:t>
      </w:r>
      <w:r w:rsidR="00A54F63">
        <w:t xml:space="preserve">  The evaluation</w:t>
      </w:r>
      <w:r>
        <w:t xml:space="preserve"> </w:t>
      </w:r>
      <w:r w:rsidR="00A54F63">
        <w:t>is tailored to the audience</w:t>
      </w:r>
      <w:r w:rsidR="0088059C">
        <w:t xml:space="preserve"> type</w:t>
      </w:r>
      <w:r w:rsidR="00A54F63">
        <w:t>.</w:t>
      </w:r>
      <w:r>
        <w:t xml:space="preserve">  </w:t>
      </w:r>
    </w:p>
    <w:p w:rsidR="00901B28" w:rsidRPr="00A232FD" w:rsidP="00786AE0">
      <w:pPr>
        <w:ind w:left="720"/>
      </w:pPr>
    </w:p>
    <w:p w:rsidR="00826679" w:rsidRPr="00A232FD" w:rsidP="00826679">
      <w:pPr>
        <w:ind w:left="1440"/>
      </w:pPr>
      <w:r w:rsidRPr="00A232FD">
        <w:rPr>
          <w:b/>
          <w:u w:val="single"/>
        </w:rPr>
        <w:t xml:space="preserve">If </w:t>
      </w:r>
      <w:r w:rsidRPr="00A232FD" w:rsidR="00F40EA6">
        <w:rPr>
          <w:b/>
          <w:u w:val="single"/>
        </w:rPr>
        <w:t xml:space="preserve">attending </w:t>
      </w:r>
      <w:r w:rsidRPr="00A232FD">
        <w:rPr>
          <w:b/>
          <w:u w:val="single"/>
        </w:rPr>
        <w:t>via webinar</w:t>
      </w:r>
      <w:r w:rsidRPr="00A232FD">
        <w:t xml:space="preserve">, the </w:t>
      </w:r>
      <w:r w:rsidRPr="00A232FD" w:rsidR="00F40208">
        <w:t>evaluation</w:t>
      </w:r>
      <w:r w:rsidRPr="00A232FD">
        <w:t xml:space="preserve"> will be offered online</w:t>
      </w:r>
      <w:r w:rsidRPr="00A232FD" w:rsidR="0088059C">
        <w:t>, via hyper-link</w:t>
      </w:r>
      <w:r w:rsidRPr="00A232FD" w:rsidR="00F40208">
        <w:t>, tailored to the audience</w:t>
      </w:r>
      <w:r w:rsidRPr="00A232FD" w:rsidR="00F40EA6">
        <w:t>, at the conclusion of the webinar</w:t>
      </w:r>
      <w:r w:rsidRPr="00A232FD">
        <w:t>.</w:t>
      </w:r>
      <w:r w:rsidRPr="00A232FD" w:rsidR="008B6859">
        <w:t xml:space="preserve">  </w:t>
      </w:r>
      <w:r w:rsidRPr="00A232FD">
        <w:t>This will work as follows:</w:t>
      </w:r>
    </w:p>
    <w:p w:rsidR="00826679" w:rsidRPr="00A232FD" w:rsidP="00826679">
      <w:pPr>
        <w:ind w:left="720"/>
      </w:pPr>
    </w:p>
    <w:p w:rsidR="00826679" w:rsidRPr="00A232FD" w:rsidP="00826679">
      <w:pPr>
        <w:numPr>
          <w:ilvl w:val="0"/>
          <w:numId w:val="20"/>
        </w:numPr>
      </w:pPr>
      <w:r w:rsidRPr="00A232FD">
        <w:t>If the attendee decides to voluntarily complete the feedback evaluation, they will click on the link provided on the end page of the Slide Deck, which takes them to the online evaluation.</w:t>
      </w:r>
    </w:p>
    <w:p w:rsidR="00826679" w:rsidRPr="00A232FD" w:rsidP="00826679">
      <w:pPr>
        <w:numPr>
          <w:ilvl w:val="0"/>
          <w:numId w:val="20"/>
        </w:numPr>
      </w:pPr>
      <w:r w:rsidRPr="00A232FD">
        <w:t>The evaluation asks for the name of the CMS Activity they just attended and the date so that it can be tracked for reporting purposes.</w:t>
      </w:r>
    </w:p>
    <w:p w:rsidR="00826679" w:rsidRPr="00A232FD" w:rsidP="00826679">
      <w:pPr>
        <w:numPr>
          <w:ilvl w:val="0"/>
          <w:numId w:val="20"/>
        </w:numPr>
      </w:pPr>
      <w:r w:rsidRPr="00A232FD">
        <w:t>The attendee will then select from a drop-down list the audience that describes them (Medicare Beneficiary, Marketplace Consumer, Provider/Supplier, or State Health Insurance Assistance Program or other assister or partners.  Once selected, the evaluation is then tailored to that audience type.</w:t>
      </w:r>
    </w:p>
    <w:p w:rsidR="00826679" w:rsidRPr="00A232FD" w:rsidP="00826679">
      <w:pPr>
        <w:numPr>
          <w:ilvl w:val="0"/>
          <w:numId w:val="20"/>
        </w:numPr>
      </w:pPr>
      <w:r w:rsidRPr="00A232FD">
        <w:t>Upon completion of the evaluation, the respondent clicks on the “submit” box at the end of the page and the data is electronically transferred into the CMS RECON system.</w:t>
      </w:r>
    </w:p>
    <w:p w:rsidR="00A403BB" w:rsidRPr="00A232FD" w:rsidP="00A403BB"/>
    <w:p w:rsidR="00A403BB" w:rsidP="00A403BB">
      <w:pPr>
        <w:rPr>
          <w:b/>
        </w:rPr>
      </w:pPr>
      <w:r>
        <w:rPr>
          <w:b/>
        </w:rPr>
        <w:t>Administration of the Instrument</w:t>
      </w:r>
    </w:p>
    <w:p w:rsidR="00A403BB" w:rsidP="00A403BB">
      <w:pPr>
        <w:pStyle w:val="ListParagraph"/>
        <w:numPr>
          <w:ilvl w:val="0"/>
          <w:numId w:val="17"/>
        </w:numPr>
      </w:pPr>
      <w:r>
        <w:t>H</w:t>
      </w:r>
      <w:r>
        <w:t>ow will you collect the information? (Check all that apply)</w:t>
      </w:r>
    </w:p>
    <w:p w:rsidR="001B0AAA" w:rsidP="001B0AAA">
      <w:pPr>
        <w:ind w:left="720"/>
      </w:pPr>
      <w:r>
        <w:t>[</w:t>
      </w:r>
      <w:r w:rsidR="00F40EA6">
        <w:t>X</w:t>
      </w:r>
      <w:r w:rsidR="00A403BB">
        <w:t>] Web-based</w:t>
      </w:r>
      <w:r>
        <w:t xml:space="preserve"> or other forms of Social Media </w:t>
      </w:r>
    </w:p>
    <w:p w:rsidR="001B0AAA" w:rsidP="001B0AAA">
      <w:pPr>
        <w:ind w:left="720"/>
      </w:pPr>
      <w:r>
        <w:t xml:space="preserve">[ </w:t>
      </w:r>
      <w:r>
        <w:t xml:space="preserve"> </w:t>
      </w:r>
      <w:r>
        <w:t>] Telephone</w:t>
      </w:r>
      <w:r>
        <w:tab/>
      </w:r>
    </w:p>
    <w:p w:rsidR="001B0AAA" w:rsidP="001B0AAA">
      <w:pPr>
        <w:ind w:left="720"/>
      </w:pPr>
      <w:r>
        <w:t>[</w:t>
      </w:r>
      <w:r w:rsidR="00F40EA6">
        <w:t>X</w:t>
      </w:r>
      <w:r>
        <w:t>] In-person</w:t>
      </w:r>
      <w:r>
        <w:tab/>
      </w:r>
    </w:p>
    <w:p w:rsidR="001B0AAA" w:rsidP="001B0AAA">
      <w:pPr>
        <w:ind w:left="720"/>
      </w:pPr>
      <w:r>
        <w:t xml:space="preserve">[ </w:t>
      </w:r>
      <w:r>
        <w:t xml:space="preserve"> </w:t>
      </w:r>
      <w:r>
        <w:t>] Mail</w:t>
      </w:r>
      <w:r>
        <w:t xml:space="preserve"> </w:t>
      </w:r>
    </w:p>
    <w:p w:rsidR="001B0AAA" w:rsidP="001B0AAA">
      <w:pPr>
        <w:ind w:left="720"/>
      </w:pPr>
      <w:r>
        <w:t xml:space="preserve">[ </w:t>
      </w:r>
      <w:r>
        <w:t xml:space="preserve"> </w:t>
      </w:r>
      <w:r>
        <w:t>] Other, Explain</w:t>
      </w:r>
      <w:r w:rsidR="009366C4">
        <w:t xml:space="preserve"> </w:t>
      </w:r>
    </w:p>
    <w:p w:rsidR="00857B36" w:rsidP="001B0AAA">
      <w:pPr>
        <w:ind w:left="720"/>
      </w:pPr>
    </w:p>
    <w:p w:rsidR="00F24CFC" w:rsidP="00F24CFC">
      <w:pPr>
        <w:pStyle w:val="ListParagraph"/>
        <w:numPr>
          <w:ilvl w:val="0"/>
          <w:numId w:val="17"/>
        </w:numPr>
      </w:pPr>
      <w:r>
        <w:t xml:space="preserve">Will interviewers or facilitators be used?  [  ] Yes [ </w:t>
      </w:r>
      <w:r w:rsidR="00123BF9">
        <w:t>X</w:t>
      </w:r>
      <w:r>
        <w:t xml:space="preserve"> ] No</w:t>
      </w:r>
    </w:p>
    <w:p w:rsidR="00F24CFC" w:rsidP="00F24CFC">
      <w:pPr>
        <w:pStyle w:val="ListParagraph"/>
        <w:ind w:left="360"/>
      </w:pPr>
      <w:r>
        <w:t xml:space="preserve"> </w:t>
      </w:r>
    </w:p>
    <w:sectPr w:rsidSect="00194AC6">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5601A">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252C859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576F88"/>
    <w:multiLevelType w:val="hybridMultilevel"/>
    <w:tmpl w:val="EDD22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31E63E6"/>
    <w:multiLevelType w:val="hybridMultilevel"/>
    <w:tmpl w:val="8C644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B73B5"/>
    <w:rsid w:val="000D44CA"/>
    <w:rsid w:val="000E200B"/>
    <w:rsid w:val="000F433D"/>
    <w:rsid w:val="000F68BE"/>
    <w:rsid w:val="000F7CEA"/>
    <w:rsid w:val="00123BF9"/>
    <w:rsid w:val="00170063"/>
    <w:rsid w:val="00170895"/>
    <w:rsid w:val="001927A4"/>
    <w:rsid w:val="00194AC6"/>
    <w:rsid w:val="001A23B0"/>
    <w:rsid w:val="001A25CC"/>
    <w:rsid w:val="001B0AAA"/>
    <w:rsid w:val="001B46A3"/>
    <w:rsid w:val="001C39F7"/>
    <w:rsid w:val="001C6751"/>
    <w:rsid w:val="001D4038"/>
    <w:rsid w:val="001E5B30"/>
    <w:rsid w:val="0020148A"/>
    <w:rsid w:val="00211CE2"/>
    <w:rsid w:val="00237B48"/>
    <w:rsid w:val="0024310A"/>
    <w:rsid w:val="0024521E"/>
    <w:rsid w:val="00263C3D"/>
    <w:rsid w:val="00274D0B"/>
    <w:rsid w:val="002B052D"/>
    <w:rsid w:val="002B34CD"/>
    <w:rsid w:val="002B3C95"/>
    <w:rsid w:val="002C22E3"/>
    <w:rsid w:val="002D0B92"/>
    <w:rsid w:val="00302F79"/>
    <w:rsid w:val="00337A36"/>
    <w:rsid w:val="003457AD"/>
    <w:rsid w:val="003B2CD8"/>
    <w:rsid w:val="003C7FB1"/>
    <w:rsid w:val="003D5BBE"/>
    <w:rsid w:val="003E3C61"/>
    <w:rsid w:val="003F1C5B"/>
    <w:rsid w:val="00417A7C"/>
    <w:rsid w:val="00434E33"/>
    <w:rsid w:val="00441434"/>
    <w:rsid w:val="00447CBA"/>
    <w:rsid w:val="0045264C"/>
    <w:rsid w:val="004876EC"/>
    <w:rsid w:val="004B251B"/>
    <w:rsid w:val="004D6E14"/>
    <w:rsid w:val="004F4D34"/>
    <w:rsid w:val="005009B0"/>
    <w:rsid w:val="00560096"/>
    <w:rsid w:val="005A1006"/>
    <w:rsid w:val="005C0CEE"/>
    <w:rsid w:val="005E17DE"/>
    <w:rsid w:val="005E714A"/>
    <w:rsid w:val="005F50EA"/>
    <w:rsid w:val="005F693D"/>
    <w:rsid w:val="00600F4A"/>
    <w:rsid w:val="00612488"/>
    <w:rsid w:val="006140A0"/>
    <w:rsid w:val="00636621"/>
    <w:rsid w:val="00642B49"/>
    <w:rsid w:val="00662904"/>
    <w:rsid w:val="00670E63"/>
    <w:rsid w:val="006832D9"/>
    <w:rsid w:val="0069403B"/>
    <w:rsid w:val="006A0F57"/>
    <w:rsid w:val="006A6EE2"/>
    <w:rsid w:val="006B2B61"/>
    <w:rsid w:val="006F3DDE"/>
    <w:rsid w:val="00704678"/>
    <w:rsid w:val="007231A4"/>
    <w:rsid w:val="00723F1C"/>
    <w:rsid w:val="007243CD"/>
    <w:rsid w:val="00735BC3"/>
    <w:rsid w:val="007425E7"/>
    <w:rsid w:val="0075601A"/>
    <w:rsid w:val="00786AE0"/>
    <w:rsid w:val="007A49B3"/>
    <w:rsid w:val="007F5357"/>
    <w:rsid w:val="007F7080"/>
    <w:rsid w:val="00802607"/>
    <w:rsid w:val="008101A5"/>
    <w:rsid w:val="008170A3"/>
    <w:rsid w:val="00822664"/>
    <w:rsid w:val="00826679"/>
    <w:rsid w:val="00843796"/>
    <w:rsid w:val="00845846"/>
    <w:rsid w:val="00857B36"/>
    <w:rsid w:val="0088059C"/>
    <w:rsid w:val="00884A06"/>
    <w:rsid w:val="00895229"/>
    <w:rsid w:val="008B2EB3"/>
    <w:rsid w:val="008B6859"/>
    <w:rsid w:val="008C00E2"/>
    <w:rsid w:val="008C7D78"/>
    <w:rsid w:val="008F0203"/>
    <w:rsid w:val="008F50D4"/>
    <w:rsid w:val="00901B28"/>
    <w:rsid w:val="009239AA"/>
    <w:rsid w:val="00930C56"/>
    <w:rsid w:val="00931F11"/>
    <w:rsid w:val="00935ADA"/>
    <w:rsid w:val="009366C4"/>
    <w:rsid w:val="00946B6C"/>
    <w:rsid w:val="00955A71"/>
    <w:rsid w:val="0096108F"/>
    <w:rsid w:val="00991C8B"/>
    <w:rsid w:val="00993BD9"/>
    <w:rsid w:val="009A02D1"/>
    <w:rsid w:val="009A182C"/>
    <w:rsid w:val="009C13B9"/>
    <w:rsid w:val="009C2BD6"/>
    <w:rsid w:val="009D01A2"/>
    <w:rsid w:val="009D4911"/>
    <w:rsid w:val="009F5923"/>
    <w:rsid w:val="009F75C7"/>
    <w:rsid w:val="00A232FD"/>
    <w:rsid w:val="00A348A1"/>
    <w:rsid w:val="00A403BB"/>
    <w:rsid w:val="00A54F63"/>
    <w:rsid w:val="00A674DF"/>
    <w:rsid w:val="00A7566F"/>
    <w:rsid w:val="00A83AA6"/>
    <w:rsid w:val="00A92124"/>
    <w:rsid w:val="00A934D6"/>
    <w:rsid w:val="00AA25E3"/>
    <w:rsid w:val="00AE1809"/>
    <w:rsid w:val="00AE244A"/>
    <w:rsid w:val="00AF7BDE"/>
    <w:rsid w:val="00B37C9F"/>
    <w:rsid w:val="00B52A46"/>
    <w:rsid w:val="00B77BB5"/>
    <w:rsid w:val="00B80D76"/>
    <w:rsid w:val="00BA2105"/>
    <w:rsid w:val="00BA2510"/>
    <w:rsid w:val="00BA7E06"/>
    <w:rsid w:val="00BB43B5"/>
    <w:rsid w:val="00BB6219"/>
    <w:rsid w:val="00BC13B1"/>
    <w:rsid w:val="00BC341C"/>
    <w:rsid w:val="00BD290F"/>
    <w:rsid w:val="00BD31EC"/>
    <w:rsid w:val="00C074DF"/>
    <w:rsid w:val="00C14CC4"/>
    <w:rsid w:val="00C33C52"/>
    <w:rsid w:val="00C40D8B"/>
    <w:rsid w:val="00C40F8A"/>
    <w:rsid w:val="00C42608"/>
    <w:rsid w:val="00C54BDE"/>
    <w:rsid w:val="00C55F9D"/>
    <w:rsid w:val="00C67EAB"/>
    <w:rsid w:val="00C8407A"/>
    <w:rsid w:val="00C8488C"/>
    <w:rsid w:val="00C86E91"/>
    <w:rsid w:val="00CA0678"/>
    <w:rsid w:val="00CA2650"/>
    <w:rsid w:val="00CA6CCA"/>
    <w:rsid w:val="00CB1078"/>
    <w:rsid w:val="00CC6FAF"/>
    <w:rsid w:val="00CF6542"/>
    <w:rsid w:val="00D24698"/>
    <w:rsid w:val="00D27A39"/>
    <w:rsid w:val="00D42F66"/>
    <w:rsid w:val="00D452B6"/>
    <w:rsid w:val="00D53D82"/>
    <w:rsid w:val="00D6383F"/>
    <w:rsid w:val="00D65501"/>
    <w:rsid w:val="00D9193E"/>
    <w:rsid w:val="00D97B46"/>
    <w:rsid w:val="00DB59D0"/>
    <w:rsid w:val="00DC33D3"/>
    <w:rsid w:val="00DC79B7"/>
    <w:rsid w:val="00DE33B8"/>
    <w:rsid w:val="00E0233F"/>
    <w:rsid w:val="00E06243"/>
    <w:rsid w:val="00E26329"/>
    <w:rsid w:val="00E30662"/>
    <w:rsid w:val="00E40B50"/>
    <w:rsid w:val="00E50293"/>
    <w:rsid w:val="00E65FFC"/>
    <w:rsid w:val="00E744EA"/>
    <w:rsid w:val="00E80951"/>
    <w:rsid w:val="00E854FE"/>
    <w:rsid w:val="00E86CC6"/>
    <w:rsid w:val="00EB56B3"/>
    <w:rsid w:val="00ED6492"/>
    <w:rsid w:val="00EE03E8"/>
    <w:rsid w:val="00EE1EC2"/>
    <w:rsid w:val="00EE35B0"/>
    <w:rsid w:val="00EF2095"/>
    <w:rsid w:val="00F06866"/>
    <w:rsid w:val="00F15956"/>
    <w:rsid w:val="00F24CFC"/>
    <w:rsid w:val="00F25449"/>
    <w:rsid w:val="00F3170F"/>
    <w:rsid w:val="00F40208"/>
    <w:rsid w:val="00F40EA6"/>
    <w:rsid w:val="00F42BA8"/>
    <w:rsid w:val="00F62C93"/>
    <w:rsid w:val="00F7091E"/>
    <w:rsid w:val="00F9383F"/>
    <w:rsid w:val="00F976B0"/>
    <w:rsid w:val="00FA6DE7"/>
    <w:rsid w:val="00FC0A8E"/>
    <w:rsid w:val="00FC4307"/>
    <w:rsid w:val="00FD24B9"/>
    <w:rsid w:val="00FD3F22"/>
    <w:rsid w:val="00FE2FA6"/>
    <w:rsid w:val="00FE3DF2"/>
    <w:rsid w:val="00FF29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B05B697-AEEC-4C42-B777-A7DE2B5D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D53D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ustomerthermometer.com" TargetMode="External" /><Relationship Id="rId5" Type="http://schemas.openxmlformats.org/officeDocument/2006/relationships/hyperlink" Target="http://www.surveygizmo.co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WILLIAM PARHAM</cp:lastModifiedBy>
  <cp:revision>2</cp:revision>
  <cp:lastPrinted>2010-10-04T15:59:00Z</cp:lastPrinted>
  <dcterms:created xsi:type="dcterms:W3CDTF">2022-11-21T19:12:00Z</dcterms:created>
  <dcterms:modified xsi:type="dcterms:W3CDTF">2022-11-21T19:12:00Z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