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5268" w:rsidR="005A4A00" w:rsidP="002A5268" w:rsidRDefault="005A4A00" w14:paraId="001A1782" w14:textId="00A14328">
      <w:pPr>
        <w:jc w:val="center"/>
        <w:rPr>
          <w:b/>
          <w:bCs/>
        </w:rPr>
      </w:pPr>
      <w:r w:rsidRPr="2AA45493">
        <w:rPr>
          <w:rStyle w:val="C2CtrSglS"/>
          <w:b/>
          <w:bCs/>
        </w:rPr>
        <w:t>SUPPORTING STATEMENT FOR THE</w:t>
      </w:r>
      <w:r w:rsidR="002A5268">
        <w:rPr>
          <w:rStyle w:val="C2CtrSglS"/>
          <w:b/>
          <w:bCs/>
        </w:rPr>
        <w:t xml:space="preserve"> </w:t>
      </w:r>
      <w:r w:rsidRPr="2AA45493" w:rsidR="19D19988">
        <w:rPr>
          <w:b/>
          <w:bCs/>
          <w:color w:val="000000" w:themeColor="text1"/>
          <w:szCs w:val="24"/>
        </w:rPr>
        <w:t>CENTER FOR SUBSTANCE ABUSE PREVENTION (CSAP) H</w:t>
      </w:r>
      <w:r w:rsidRPr="2AA45493" w:rsidR="5E58E2FB">
        <w:rPr>
          <w:b/>
          <w:bCs/>
          <w:color w:val="000000" w:themeColor="text1"/>
          <w:szCs w:val="24"/>
        </w:rPr>
        <w:t>ARM REDUCTION</w:t>
      </w:r>
      <w:r w:rsidR="002A5268">
        <w:rPr>
          <w:b/>
          <w:bCs/>
          <w:color w:val="000000" w:themeColor="text1"/>
          <w:szCs w:val="24"/>
        </w:rPr>
        <w:t xml:space="preserve"> GRANT PROGRAM </w:t>
      </w:r>
      <w:r w:rsidRPr="2AA45493" w:rsidR="5E58E2FB">
        <w:rPr>
          <w:b/>
          <w:bCs/>
          <w:color w:val="000000" w:themeColor="text1"/>
          <w:szCs w:val="24"/>
        </w:rPr>
        <w:t>TARGET SETTING AND QUARTERLY AGGREGATE REPORTING INTRUMENT</w:t>
      </w:r>
    </w:p>
    <w:p w:rsidR="005A4A00" w:rsidP="2AA45493" w:rsidRDefault="005A4A00" w14:paraId="040494CC" w14:textId="77777777">
      <w:pPr>
        <w:widowControl w:val="0"/>
        <w:rPr>
          <w:rStyle w:val="SLFlLftSg"/>
        </w:rPr>
      </w:pP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p>
    <w:p w:rsidRPr="003060EF" w:rsidR="005A4A00" w:rsidP="005A4A00" w:rsidRDefault="005A4A00" w14:paraId="3ECCFCED" w14:textId="77777777">
      <w:pPr>
        <w:rPr>
          <w:b/>
        </w:rPr>
      </w:pPr>
      <w:r w:rsidRPr="003060EF">
        <w:rPr>
          <w:b/>
        </w:rPr>
        <w:t xml:space="preserve">JUSTIFICATION </w:t>
      </w:r>
    </w:p>
    <w:p w:rsidRPr="003060EF" w:rsidR="005A4A00" w:rsidP="005A4A00" w:rsidRDefault="005A4A00" w14:paraId="590FD564" w14:textId="77777777">
      <w:pPr>
        <w:rPr>
          <w:b/>
        </w:rPr>
      </w:pPr>
    </w:p>
    <w:p w:rsidRPr="003060EF" w:rsidR="005A4A00" w:rsidP="005A4A00" w:rsidRDefault="005A4A00" w14:paraId="4F7A475A" w14:textId="27423524">
      <w:pPr>
        <w:rPr>
          <w:b/>
        </w:rPr>
      </w:pPr>
      <w:r w:rsidRPr="003060EF">
        <w:rPr>
          <w:b/>
        </w:rPr>
        <w:t>A1.</w:t>
      </w:r>
      <w:r w:rsidR="00F61103">
        <w:rPr>
          <w:b/>
        </w:rPr>
        <w:t xml:space="preserve"> </w:t>
      </w:r>
      <w:r w:rsidRPr="003060EF">
        <w:rPr>
          <w:b/>
        </w:rPr>
        <w:t xml:space="preserve">Circumstances </w:t>
      </w:r>
      <w:r w:rsidRPr="003060EF" w:rsidR="00656DD3">
        <w:rPr>
          <w:b/>
        </w:rPr>
        <w:t>of Information</w:t>
      </w:r>
      <w:r w:rsidRPr="003060EF">
        <w:rPr>
          <w:b/>
        </w:rPr>
        <w:t xml:space="preserve"> Collection </w:t>
      </w:r>
    </w:p>
    <w:p w:rsidRPr="003060EF" w:rsidR="005A4A00" w:rsidP="005A4A00" w:rsidRDefault="005A4A00" w14:paraId="2110225C" w14:textId="77777777"/>
    <w:p w:rsidR="009B32DC" w:rsidP="00F71D01" w:rsidRDefault="005A4A00" w14:paraId="57D96BFC" w14:textId="068D50BE">
      <w:pPr>
        <w:ind w:left="1440" w:hanging="1440"/>
        <w:rPr>
          <w:color w:val="000000" w:themeColor="text1"/>
          <w:szCs w:val="24"/>
        </w:rPr>
      </w:pPr>
      <w:r>
        <w:t>The Substance Abuse and Mental Health Services Administration (SAMHSA) is requesting</w:t>
      </w:r>
    </w:p>
    <w:p w:rsidRPr="00F61103" w:rsidR="009B32DC" w:rsidP="00F71D01" w:rsidRDefault="00510DE2" w14:paraId="0302F506" w14:textId="56241612">
      <w:pPr>
        <w:rPr>
          <w:color w:val="000000" w:themeColor="text1"/>
          <w:szCs w:val="24"/>
        </w:rPr>
      </w:pPr>
      <w:r>
        <w:t xml:space="preserve">approval </w:t>
      </w:r>
      <w:r w:rsidR="005A4A00">
        <w:t>from the Office of Management an</w:t>
      </w:r>
      <w:r w:rsidR="00920965">
        <w:t>d Budget (OMB)</w:t>
      </w:r>
      <w:r w:rsidR="00FC17E7">
        <w:t xml:space="preserve"> </w:t>
      </w:r>
      <w:r w:rsidR="00920965">
        <w:t xml:space="preserve">for </w:t>
      </w:r>
      <w:r w:rsidR="00325562">
        <w:t xml:space="preserve">the </w:t>
      </w:r>
      <w:r w:rsidRPr="00F71D01" w:rsidR="158A6A6B">
        <w:rPr>
          <w:color w:val="000000" w:themeColor="text1"/>
          <w:szCs w:val="24"/>
        </w:rPr>
        <w:t>Center for Substance</w:t>
      </w:r>
      <w:r w:rsidR="00923F54">
        <w:rPr>
          <w:color w:val="000000" w:themeColor="text1"/>
          <w:szCs w:val="24"/>
        </w:rPr>
        <w:t xml:space="preserve"> </w:t>
      </w:r>
      <w:r w:rsidRPr="00F71D01" w:rsidR="158A6A6B">
        <w:rPr>
          <w:color w:val="000000" w:themeColor="text1"/>
          <w:szCs w:val="24"/>
        </w:rPr>
        <w:t xml:space="preserve">Abuse Prevention (CSAP) Harm Reduction </w:t>
      </w:r>
      <w:r w:rsidR="00923F54">
        <w:rPr>
          <w:color w:val="000000" w:themeColor="text1"/>
          <w:szCs w:val="24"/>
        </w:rPr>
        <w:t xml:space="preserve">Grant </w:t>
      </w:r>
      <w:r w:rsidRPr="00F61103" w:rsidR="00923F54">
        <w:rPr>
          <w:color w:val="000000" w:themeColor="text1"/>
          <w:szCs w:val="24"/>
        </w:rPr>
        <w:t xml:space="preserve">Program </w:t>
      </w:r>
      <w:r w:rsidRPr="00F61103" w:rsidR="158A6A6B">
        <w:rPr>
          <w:color w:val="000000" w:themeColor="text1"/>
          <w:szCs w:val="24"/>
        </w:rPr>
        <w:t>Target Setting and Quarterly Aggregate Reporting</w:t>
      </w:r>
      <w:r w:rsidRPr="00F61103" w:rsidR="00923F54">
        <w:rPr>
          <w:color w:val="000000" w:themeColor="text1"/>
          <w:szCs w:val="24"/>
        </w:rPr>
        <w:t xml:space="preserve"> </w:t>
      </w:r>
      <w:r w:rsidRPr="00F61103" w:rsidR="158A6A6B">
        <w:rPr>
          <w:color w:val="000000" w:themeColor="text1"/>
          <w:szCs w:val="24"/>
        </w:rPr>
        <w:t>Instrument</w:t>
      </w:r>
      <w:r w:rsidRPr="00F61103" w:rsidR="171B63EB">
        <w:rPr>
          <w:szCs w:val="24"/>
        </w:rPr>
        <w:t xml:space="preserve"> </w:t>
      </w:r>
      <w:r w:rsidRPr="00F61103" w:rsidR="00E646D7">
        <w:rPr>
          <w:szCs w:val="24"/>
        </w:rPr>
        <w:t xml:space="preserve">(OMB No. </w:t>
      </w:r>
      <w:r w:rsidR="00202B11">
        <w:rPr>
          <w:szCs w:val="24"/>
        </w:rPr>
        <w:t>0930</w:t>
      </w:r>
      <w:r w:rsidRPr="00F61103" w:rsidR="00E646D7">
        <w:rPr>
          <w:szCs w:val="24"/>
        </w:rPr>
        <w:t>–</w:t>
      </w:r>
      <w:r w:rsidRPr="00F61103" w:rsidR="00271F3D">
        <w:rPr>
          <w:szCs w:val="24"/>
        </w:rPr>
        <w:t>XXXX</w:t>
      </w:r>
      <w:r w:rsidRPr="00F61103" w:rsidR="00E646D7">
        <w:rPr>
          <w:szCs w:val="24"/>
        </w:rPr>
        <w:t>)</w:t>
      </w:r>
      <w:r w:rsidRPr="00F61103" w:rsidR="0083301F">
        <w:rPr>
          <w:szCs w:val="24"/>
        </w:rPr>
        <w:t>.</w:t>
      </w:r>
      <w:r w:rsidR="00F61103">
        <w:rPr>
          <w:szCs w:val="24"/>
        </w:rPr>
        <w:t xml:space="preserve"> </w:t>
      </w:r>
      <w:r w:rsidRPr="00F61103" w:rsidR="1FB2A82D">
        <w:rPr>
          <w:szCs w:val="24"/>
        </w:rPr>
        <w:t xml:space="preserve">The instrument in this package </w:t>
      </w:r>
      <w:r w:rsidRPr="00F61103" w:rsidR="413FA162">
        <w:rPr>
          <w:szCs w:val="24"/>
        </w:rPr>
        <w:t xml:space="preserve">is comprised of two parts: 1) the </w:t>
      </w:r>
      <w:r w:rsidRPr="00F61103" w:rsidR="0CFC3583">
        <w:rPr>
          <w:szCs w:val="24"/>
        </w:rPr>
        <w:t>H</w:t>
      </w:r>
      <w:r w:rsidR="009540AF">
        <w:rPr>
          <w:szCs w:val="24"/>
        </w:rPr>
        <w:t xml:space="preserve">arm </w:t>
      </w:r>
      <w:r w:rsidRPr="00F61103" w:rsidR="636D025E">
        <w:rPr>
          <w:szCs w:val="24"/>
        </w:rPr>
        <w:t>R</w:t>
      </w:r>
      <w:r w:rsidR="009540AF">
        <w:rPr>
          <w:szCs w:val="24"/>
        </w:rPr>
        <w:t>eduction</w:t>
      </w:r>
      <w:r w:rsidRPr="00F61103" w:rsidR="413FA162">
        <w:rPr>
          <w:szCs w:val="24"/>
        </w:rPr>
        <w:t xml:space="preserve"> Grant Annual Data section to be used to report annual programmatic goals, and 2) </w:t>
      </w:r>
      <w:r w:rsidRPr="00F61103" w:rsidR="60307266">
        <w:rPr>
          <w:szCs w:val="24"/>
        </w:rPr>
        <w:t xml:space="preserve">the </w:t>
      </w:r>
      <w:r w:rsidRPr="00F61103" w:rsidR="413FA162">
        <w:rPr>
          <w:szCs w:val="24"/>
        </w:rPr>
        <w:t>H</w:t>
      </w:r>
      <w:r w:rsidR="009540AF">
        <w:rPr>
          <w:szCs w:val="24"/>
        </w:rPr>
        <w:t xml:space="preserve">arm </w:t>
      </w:r>
      <w:r w:rsidRPr="00F61103" w:rsidR="45B4B1FB">
        <w:rPr>
          <w:szCs w:val="24"/>
        </w:rPr>
        <w:t>R</w:t>
      </w:r>
      <w:r w:rsidR="009540AF">
        <w:rPr>
          <w:szCs w:val="24"/>
        </w:rPr>
        <w:t>eduction</w:t>
      </w:r>
      <w:r w:rsidRPr="00F61103" w:rsidR="413FA162">
        <w:rPr>
          <w:szCs w:val="24"/>
        </w:rPr>
        <w:t xml:space="preserve"> Grant Quarterly Data </w:t>
      </w:r>
      <w:r w:rsidRPr="00F61103" w:rsidR="0C6D5072">
        <w:rPr>
          <w:szCs w:val="24"/>
        </w:rPr>
        <w:t>section to be used to report grant outputs and activities</w:t>
      </w:r>
      <w:r w:rsidRPr="00F61103" w:rsidR="1FB2A82D">
        <w:rPr>
          <w:szCs w:val="24"/>
        </w:rPr>
        <w:t>. Data collected through this instrument are necessary to ensure SAMHSA and grantees comply with requirements under the Government Performance and Results Act Modernization Act of 2010 (GPR</w:t>
      </w:r>
      <w:r w:rsidRPr="00F61103" w:rsidR="28C125BC">
        <w:rPr>
          <w:szCs w:val="24"/>
        </w:rPr>
        <w:t>M</w:t>
      </w:r>
      <w:r w:rsidRPr="00F61103" w:rsidR="1FB2A82D">
        <w:rPr>
          <w:szCs w:val="24"/>
        </w:rPr>
        <w:t>A) that requires regular reporting of performance measures.</w:t>
      </w:r>
    </w:p>
    <w:p w:rsidRPr="00F61103" w:rsidR="005D1BB6" w:rsidP="005A4A00" w:rsidRDefault="005D1BB6" w14:paraId="237E933D" w14:textId="77777777">
      <w:pPr>
        <w:rPr>
          <w:szCs w:val="24"/>
        </w:rPr>
      </w:pPr>
    </w:p>
    <w:p w:rsidRPr="003060EF" w:rsidR="005D1BB6" w:rsidP="62A0A6C9" w:rsidRDefault="005D1BB6" w14:paraId="49E35D82" w14:textId="4913F290">
      <w:r w:rsidRPr="00F61103">
        <w:rPr>
          <w:szCs w:val="24"/>
        </w:rPr>
        <w:t xml:space="preserve">In </w:t>
      </w:r>
      <w:r w:rsidRPr="00F61103" w:rsidR="009B5021">
        <w:rPr>
          <w:szCs w:val="24"/>
        </w:rPr>
        <w:t>developing</w:t>
      </w:r>
      <w:r w:rsidRPr="00F61103" w:rsidR="003B4583">
        <w:rPr>
          <w:szCs w:val="24"/>
        </w:rPr>
        <w:t xml:space="preserve"> </w:t>
      </w:r>
      <w:r w:rsidRPr="00F61103">
        <w:rPr>
          <w:szCs w:val="24"/>
        </w:rPr>
        <w:t xml:space="preserve">the </w:t>
      </w:r>
      <w:r w:rsidRPr="00F61103" w:rsidR="27A79039">
        <w:rPr>
          <w:rFonts w:ascii="Times" w:hAnsi="Times" w:eastAsia="Times" w:cs="Times"/>
          <w:color w:val="000000" w:themeColor="text1"/>
          <w:szCs w:val="24"/>
        </w:rPr>
        <w:t xml:space="preserve">Harm Reduction </w:t>
      </w:r>
      <w:r w:rsidR="001A6D54">
        <w:rPr>
          <w:rFonts w:ascii="Times" w:hAnsi="Times" w:eastAsia="Times" w:cs="Times"/>
          <w:color w:val="000000" w:themeColor="text1"/>
          <w:szCs w:val="24"/>
        </w:rPr>
        <w:t xml:space="preserve">Grant Program </w:t>
      </w:r>
      <w:r w:rsidRPr="00F61103" w:rsidR="27A79039">
        <w:rPr>
          <w:rFonts w:ascii="Times" w:hAnsi="Times" w:eastAsia="Times" w:cs="Times"/>
          <w:color w:val="000000" w:themeColor="text1"/>
          <w:szCs w:val="24"/>
        </w:rPr>
        <w:t>Target Setting and Quarterly Aggregate Reporting Instrument</w:t>
      </w:r>
      <w:r w:rsidRPr="00F61103">
        <w:rPr>
          <w:szCs w:val="24"/>
        </w:rPr>
        <w:t xml:space="preserve">, we sought </w:t>
      </w:r>
      <w:r w:rsidRPr="00F61103" w:rsidR="009B5021">
        <w:rPr>
          <w:szCs w:val="24"/>
        </w:rPr>
        <w:t xml:space="preserve">the ability </w:t>
      </w:r>
      <w:r w:rsidRPr="00F61103">
        <w:rPr>
          <w:szCs w:val="24"/>
        </w:rPr>
        <w:t xml:space="preserve">to elicit programmatic information that demonstrates impact at the </w:t>
      </w:r>
      <w:r w:rsidRPr="00F61103" w:rsidR="009226AC">
        <w:rPr>
          <w:szCs w:val="24"/>
        </w:rPr>
        <w:t>program aggregate level</w:t>
      </w:r>
      <w:r w:rsidRPr="00F61103">
        <w:rPr>
          <w:szCs w:val="24"/>
        </w:rPr>
        <w:t>. In this way, data from the tool can be used to assess resource</w:t>
      </w:r>
      <w:r>
        <w:t xml:space="preserve"> allocation and to delineate who we serve</w:t>
      </w:r>
      <w:r w:rsidR="00514566">
        <w:t xml:space="preserve"> and</w:t>
      </w:r>
      <w:r>
        <w:t xml:space="preserve"> how we </w:t>
      </w:r>
      <w:r w:rsidR="0F99CD0F">
        <w:t>served them across quarters</w:t>
      </w:r>
      <w:r>
        <w:t>. The tool reflects CSA</w:t>
      </w:r>
      <w:r w:rsidR="009B5021">
        <w:t>P</w:t>
      </w:r>
      <w:r>
        <w:t xml:space="preserve">’s desire to elicit pertinent program level data that can be used to not only guide future programs and practice, but to also respond to stakeholder, congressional and agency </w:t>
      </w:r>
      <w:r w:rsidR="16BBA2BA">
        <w:t>i</w:t>
      </w:r>
      <w:r>
        <w:t>nquiries.</w:t>
      </w:r>
    </w:p>
    <w:p w:rsidRPr="003060EF" w:rsidR="005A4A00" w:rsidP="005A4A00" w:rsidRDefault="005A4A00" w14:paraId="3287269C" w14:textId="77777777"/>
    <w:p w:rsidRPr="003060EF" w:rsidR="005A4A00" w:rsidP="005D1BB6" w:rsidRDefault="005A4A00" w14:paraId="70163F08" w14:textId="5F65F748">
      <w:r w:rsidRPr="003060EF">
        <w:t xml:space="preserve">This information </w:t>
      </w:r>
      <w:r w:rsidRPr="003060EF" w:rsidR="00E646D7">
        <w:t>is</w:t>
      </w:r>
      <w:r w:rsidRPr="003060EF" w:rsidR="00354744">
        <w:t xml:space="preserve"> </w:t>
      </w:r>
      <w:r w:rsidRPr="003060EF">
        <w:t xml:space="preserve">collected using </w:t>
      </w:r>
      <w:r w:rsidR="009226AC">
        <w:t>the target setting and aggregate</w:t>
      </w:r>
      <w:r w:rsidRPr="003060EF" w:rsidR="006735F7">
        <w:t xml:space="preserve">-level </w:t>
      </w:r>
      <w:r w:rsidR="00A12B03">
        <w:t xml:space="preserve">data collection </w:t>
      </w:r>
      <w:r w:rsidRPr="003060EF" w:rsidR="006735F7">
        <w:t>instrument</w:t>
      </w:r>
      <w:r w:rsidRPr="003060EF" w:rsidR="00E646D7">
        <w:t xml:space="preserve"> that provides </w:t>
      </w:r>
      <w:r w:rsidRPr="003060EF" w:rsidR="00A501F1">
        <w:t>SAMHSA</w:t>
      </w:r>
      <w:r w:rsidRPr="003060EF" w:rsidR="00590571">
        <w:t xml:space="preserve"> with</w:t>
      </w:r>
      <w:r w:rsidRPr="003060EF" w:rsidR="00E646D7">
        <w:t xml:space="preserve"> the capacity to report </w:t>
      </w:r>
      <w:r w:rsidRPr="003060EF" w:rsidR="00A501F1">
        <w:t xml:space="preserve">on the </w:t>
      </w:r>
      <w:r w:rsidRPr="003060EF" w:rsidR="00354744">
        <w:t xml:space="preserve">performance and outcomes </w:t>
      </w:r>
      <w:r w:rsidRPr="003060EF">
        <w:t>for all of its discretionary program</w:t>
      </w:r>
      <w:r w:rsidRPr="003060EF" w:rsidR="009C2CB6">
        <w:t>s</w:t>
      </w:r>
      <w:r w:rsidRPr="003060EF" w:rsidR="00354744">
        <w:t>, including</w:t>
      </w:r>
      <w:r w:rsidR="00812EE1">
        <w:t xml:space="preserve"> d</w:t>
      </w:r>
      <w:r w:rsidRPr="003060EF" w:rsidR="00354744">
        <w:t>emographic characteristics of individuals</w:t>
      </w:r>
      <w:r w:rsidRPr="003060EF">
        <w:t xml:space="preserve"> served</w:t>
      </w:r>
      <w:r w:rsidR="00812EE1">
        <w:t>,</w:t>
      </w:r>
      <w:r w:rsidRPr="003060EF">
        <w:t xml:space="preserve"> </w:t>
      </w:r>
      <w:r w:rsidR="00812EE1">
        <w:t>r</w:t>
      </w:r>
      <w:r w:rsidRPr="003060EF" w:rsidR="00354744">
        <w:t>eceipt of services</w:t>
      </w:r>
      <w:r w:rsidR="00812EE1">
        <w:t>, n</w:t>
      </w:r>
      <w:r>
        <w:t xml:space="preserve">umbers of </w:t>
      </w:r>
      <w:r w:rsidR="00354744">
        <w:t xml:space="preserve">individuals </w:t>
      </w:r>
      <w:r>
        <w:t>served</w:t>
      </w:r>
      <w:r w:rsidR="00354744">
        <w:t xml:space="preserve">; and </w:t>
      </w:r>
      <w:r w:rsidR="00812EE1">
        <w:t>t</w:t>
      </w:r>
      <w:r>
        <w:t>o be fully accountable for the spending of federal</w:t>
      </w:r>
      <w:r w:rsidR="006011E6">
        <w:t xml:space="preserve"> funds, SAMHSA requires all </w:t>
      </w:r>
      <w:r w:rsidR="007533AF">
        <w:t xml:space="preserve">discretionary </w:t>
      </w:r>
      <w:r>
        <w:t xml:space="preserve">programs to collect and report </w:t>
      </w:r>
      <w:r w:rsidR="00F434B9">
        <w:t xml:space="preserve">program </w:t>
      </w:r>
      <w:r>
        <w:t xml:space="preserve">data </w:t>
      </w:r>
      <w:r w:rsidR="0081308E">
        <w:t>t</w:t>
      </w:r>
      <w:r w:rsidR="009C2CB6">
        <w:t>o ensure</w:t>
      </w:r>
      <w:r>
        <w:t xml:space="preserve"> program goals and objectives are being met.</w:t>
      </w:r>
      <w:r w:rsidR="007533AF">
        <w:t xml:space="preserve"> </w:t>
      </w:r>
      <w:r>
        <w:t xml:space="preserve">Data collected as part of this package </w:t>
      </w:r>
      <w:r w:rsidR="00354744">
        <w:t>will be used</w:t>
      </w:r>
      <w:r>
        <w:t xml:space="preserve"> </w:t>
      </w:r>
      <w:r w:rsidR="00354744">
        <w:t xml:space="preserve">to </w:t>
      </w:r>
      <w:r>
        <w:t xml:space="preserve">monitor performance through the grant period and </w:t>
      </w:r>
      <w:r w:rsidR="009C2CB6">
        <w:t xml:space="preserve">to </w:t>
      </w:r>
      <w:r>
        <w:t>ensure appropriate spending of federal funds.</w:t>
      </w:r>
      <w:r w:rsidR="00F61103">
        <w:t xml:space="preserve"> </w:t>
      </w:r>
      <w:r>
        <w:t xml:space="preserve">Approval of this information collection will allow SAMHSA to continue to meet </w:t>
      </w:r>
      <w:r w:rsidR="00576A97">
        <w:t>GPR</w:t>
      </w:r>
      <w:r w:rsidR="008D641B">
        <w:t>M</w:t>
      </w:r>
      <w:r w:rsidR="00576A97">
        <w:t>A</w:t>
      </w:r>
      <w:r>
        <w:t xml:space="preserve"> reporting requirements that quantify the effects and accomplishments of its discretionary grant programs which are consistent with OMB guidance. </w:t>
      </w:r>
      <w:r w:rsidR="008A38DE">
        <w:t>T</w:t>
      </w:r>
      <w:r>
        <w:t>o carry out section 1105(a) (29) of the GPRA, SAMHSA is required to prepare a performance plan for its major programs of activity.</w:t>
      </w:r>
      <w:r w:rsidR="00F61103">
        <w:t xml:space="preserve">   </w:t>
      </w:r>
    </w:p>
    <w:p w:rsidRPr="003060EF" w:rsidR="005A4A00" w:rsidP="005A4A00" w:rsidRDefault="005A4A00" w14:paraId="207D1343" w14:textId="77777777"/>
    <w:p w:rsidRPr="003060EF" w:rsidR="000E610F" w:rsidP="62A0A6C9" w:rsidRDefault="005A4A00" w14:paraId="37E0E5DA" w14:textId="049AC31F">
      <w:pPr>
        <w:widowControl w:val="0"/>
        <w:rPr>
          <w:b/>
          <w:bCs/>
        </w:rPr>
      </w:pPr>
      <w:r>
        <w:t>SAMHSA’s legislative mandate is to increase access to high quality prevention and treatment services and to improve outcomes.</w:t>
      </w:r>
      <w:r w:rsidR="00F61103">
        <w:t xml:space="preserve"> </w:t>
      </w:r>
      <w:r>
        <w:t>Its mission is to reduce the impact of substance use and mental illness on our communities.</w:t>
      </w:r>
      <w:r w:rsidR="00F61103">
        <w:t xml:space="preserve"> </w:t>
      </w:r>
      <w:r>
        <w:t>All SAMHSA’s programs and activities are geared toward the achievement of goals related to reducing the impact of substance use and mental health disorders</w:t>
      </w:r>
      <w:r w:rsidR="0083301F">
        <w:t>.</w:t>
      </w:r>
      <w:r w:rsidR="00F61103">
        <w:t xml:space="preserve"> </w:t>
      </w:r>
      <w:r>
        <w:t>GPRA performance monitoring is a collaborative and cooperative aspect of this process.</w:t>
      </w:r>
      <w:r w:rsidR="00F61103">
        <w:rPr>
          <w:b/>
          <w:bCs/>
        </w:rPr>
        <w:t xml:space="preserve"> </w:t>
      </w:r>
      <w:r w:rsidR="000E610F">
        <w:t xml:space="preserve">This request represents a first step in SAMHSA’s efforts to improve its ability to assess </w:t>
      </w:r>
      <w:r w:rsidR="000E610F">
        <w:lastRenderedPageBreak/>
        <w:t>the impact of its programs, and to use data collected from its discretionary grant portfolio to enhance grantee performance and to improve the lives of Americans with mental health and substance use disorders.</w:t>
      </w:r>
      <w:r w:rsidR="00F61103">
        <w:t xml:space="preserve"> </w:t>
      </w:r>
      <w:r w:rsidR="000E610F">
        <w:t>To help accomplish these goals, SAMHSA is undertaking an effort to enhance and modernize its data collection efforts over the next t</w:t>
      </w:r>
      <w:r w:rsidR="009B5021">
        <w:t>hree</w:t>
      </w:r>
      <w:r w:rsidR="000E610F">
        <w:t xml:space="preserve"> years.</w:t>
      </w:r>
      <w:r w:rsidR="00F61103">
        <w:t xml:space="preserve"> </w:t>
      </w:r>
      <w:r w:rsidR="000E610F">
        <w:t xml:space="preserve">The current request seeks approval </w:t>
      </w:r>
      <w:r w:rsidR="009B5021">
        <w:t>for the Harm Reduction</w:t>
      </w:r>
      <w:r w:rsidR="004F66F7">
        <w:t xml:space="preserve"> </w:t>
      </w:r>
      <w:r w:rsidRPr="004F66F7" w:rsidR="004F66F7">
        <w:t>Grant Program Target Setting and Quarterly Aggregate Reporting Instrument</w:t>
      </w:r>
      <w:r w:rsidR="00B809A0">
        <w:t>.</w:t>
      </w:r>
      <w:r w:rsidR="00F61103">
        <w:t xml:space="preserve">      </w:t>
      </w:r>
    </w:p>
    <w:p w:rsidR="62A0A6C9" w:rsidP="62A0A6C9" w:rsidRDefault="62A0A6C9" w14:paraId="2BBCBFB1" w14:textId="55CF2F00">
      <w:pPr>
        <w:rPr>
          <w:szCs w:val="24"/>
        </w:rPr>
      </w:pPr>
    </w:p>
    <w:p w:rsidR="15DF9E8C" w:rsidP="62A0A6C9" w:rsidRDefault="15DF9E8C" w14:paraId="732A0B97" w14:textId="7F695776">
      <w:pPr>
        <w:rPr>
          <w:szCs w:val="24"/>
          <w:u w:val="single"/>
        </w:rPr>
      </w:pPr>
      <w:r w:rsidRPr="62A0A6C9">
        <w:rPr>
          <w:szCs w:val="24"/>
          <w:u w:val="single"/>
        </w:rPr>
        <w:t>Background</w:t>
      </w:r>
    </w:p>
    <w:p w:rsidRPr="003060EF" w:rsidR="005A4A00" w:rsidP="62A0A6C9" w:rsidRDefault="005A4A00" w14:paraId="49DEAE17" w14:textId="68F85AD1">
      <w:pPr>
        <w:widowControl w:val="0"/>
        <w:rPr>
          <w:szCs w:val="24"/>
        </w:rPr>
      </w:pPr>
    </w:p>
    <w:p w:rsidR="1EFC3C18" w:rsidP="3C8C30DB" w:rsidRDefault="40C00E1E" w14:paraId="6A0E9989" w14:textId="310F15DF">
      <w:pPr>
        <w:tabs>
          <w:tab w:val="left" w:pos="1020"/>
        </w:tabs>
        <w:rPr>
          <w:szCs w:val="24"/>
        </w:rPr>
      </w:pPr>
      <w:r w:rsidRPr="3C8C30DB">
        <w:rPr>
          <w:color w:val="000000" w:themeColor="text1"/>
          <w:szCs w:val="24"/>
        </w:rPr>
        <w:t xml:space="preserve">Harm reduction is a proactive approach that aims to reduce the negative personal and public health impacts of alcohol and other substance use or misuse and other high-risk behaviors at both the individual and community levels. Harm reduction is part of a comprehensive approach to prevention, treatment, and recovery where individuals set their own goals. Harm reduction services </w:t>
      </w:r>
      <w:r w:rsidRPr="3C8C30DB">
        <w:rPr>
          <w:i/>
          <w:iCs/>
          <w:color w:val="000000" w:themeColor="text1"/>
          <w:szCs w:val="24"/>
        </w:rPr>
        <w:t xml:space="preserve">meet people where they are </w:t>
      </w:r>
      <w:r w:rsidRPr="3C8C30DB">
        <w:rPr>
          <w:color w:val="000000" w:themeColor="text1"/>
          <w:szCs w:val="24"/>
        </w:rPr>
        <w:t>and may serve as a pathway to prevention, treatment, and recovery. Harm reduction also works by addressing broader health and social issues through improved policies, programs, and practices. This includes empowering individuals by equipping them with accurate information and resources.</w:t>
      </w:r>
      <w:r w:rsidRPr="3C8C30DB" w:rsidR="1EFC3C18">
        <w:rPr>
          <w:szCs w:val="24"/>
        </w:rPr>
        <w:t xml:space="preserve"> </w:t>
      </w:r>
    </w:p>
    <w:p w:rsidR="1EFC3C18" w:rsidP="62A0A6C9" w:rsidRDefault="1EFC3C18" w14:paraId="02C44751" w14:textId="0617A7CF">
      <w:pPr>
        <w:tabs>
          <w:tab w:val="left" w:pos="1020"/>
        </w:tabs>
      </w:pPr>
      <w:r w:rsidRPr="62A0A6C9">
        <w:rPr>
          <w:color w:val="000000" w:themeColor="text1"/>
          <w:szCs w:val="24"/>
        </w:rPr>
        <w:t>Specifically, harm reduction can:</w:t>
      </w:r>
    </w:p>
    <w:p w:rsidR="1EFC3C18" w:rsidP="62A0A6C9" w:rsidRDefault="1EFC3C18" w14:paraId="420E626F" w14:textId="1693E3D6">
      <w:pPr>
        <w:tabs>
          <w:tab w:val="left" w:pos="1020"/>
        </w:tabs>
      </w:pPr>
      <w:r w:rsidRPr="62A0A6C9">
        <w:rPr>
          <w:szCs w:val="24"/>
        </w:rPr>
        <w:t xml:space="preserve"> </w:t>
      </w:r>
    </w:p>
    <w:p w:rsidR="1EFC3C18" w:rsidP="62A0A6C9" w:rsidRDefault="1EFC3C18" w14:paraId="5C292F90" w14:textId="033D2174">
      <w:pPr>
        <w:pStyle w:val="ListParagraph"/>
        <w:numPr>
          <w:ilvl w:val="0"/>
          <w:numId w:val="1"/>
        </w:numPr>
        <w:rPr>
          <w:color w:val="000000" w:themeColor="text1"/>
          <w:szCs w:val="24"/>
        </w:rPr>
      </w:pPr>
      <w:r w:rsidRPr="62A0A6C9">
        <w:rPr>
          <w:color w:val="000000" w:themeColor="text1"/>
          <w:szCs w:val="24"/>
        </w:rPr>
        <w:t xml:space="preserve">Reduce overdose deaths, promote linkages into care, facilitate co-location of services as part of a comprehensive, integrated approach, reduce stigma associated with substance misuse and addiction, </w:t>
      </w:r>
    </w:p>
    <w:p w:rsidR="1EFC3C18" w:rsidP="62A0A6C9" w:rsidRDefault="1EFC3C18" w14:paraId="636BB900" w14:textId="4B37E5F3">
      <w:pPr>
        <w:pStyle w:val="ListParagraph"/>
        <w:numPr>
          <w:ilvl w:val="0"/>
          <w:numId w:val="1"/>
        </w:numPr>
        <w:rPr>
          <w:szCs w:val="24"/>
        </w:rPr>
      </w:pPr>
      <w:r w:rsidRPr="62A0A6C9">
        <w:rPr>
          <w:szCs w:val="24"/>
        </w:rPr>
        <w:t xml:space="preserve">Lessen harms associated with drug use and related behaviors that increase the risk of infectious diseases, including HIV, viral hepatitis, and bacterial and fungal infections, </w:t>
      </w:r>
    </w:p>
    <w:p w:rsidR="1EFC3C18" w:rsidP="62A0A6C9" w:rsidRDefault="1EFC3C18" w14:paraId="178C1D54" w14:textId="71DFB94B">
      <w:pPr>
        <w:pStyle w:val="ListParagraph"/>
        <w:numPr>
          <w:ilvl w:val="0"/>
          <w:numId w:val="1"/>
        </w:numPr>
        <w:rPr>
          <w:szCs w:val="24"/>
        </w:rPr>
      </w:pPr>
      <w:r w:rsidRPr="62A0A6C9">
        <w:rPr>
          <w:szCs w:val="24"/>
        </w:rPr>
        <w:t>Reduce infectious disease transmission among people who use drugs, including those who inject drugs, and</w:t>
      </w:r>
    </w:p>
    <w:p w:rsidR="1EFC3C18" w:rsidP="62A0A6C9" w:rsidRDefault="1EFC3C18" w14:paraId="50BB044E" w14:textId="1451CB08">
      <w:pPr>
        <w:pStyle w:val="ListParagraph"/>
        <w:numPr>
          <w:ilvl w:val="0"/>
          <w:numId w:val="1"/>
        </w:numPr>
        <w:rPr>
          <w:szCs w:val="24"/>
        </w:rPr>
      </w:pPr>
      <w:r w:rsidRPr="3C8C30DB">
        <w:rPr>
          <w:szCs w:val="24"/>
        </w:rPr>
        <w:t>Lessen harms associated with other substance use.</w:t>
      </w:r>
    </w:p>
    <w:p w:rsidR="19CE375B" w:rsidP="3C8C30DB" w:rsidRDefault="19CE375B" w14:paraId="6D299EDB" w14:textId="788971E1">
      <w:pPr>
        <w:spacing w:after="160" w:line="259" w:lineRule="auto"/>
        <w:rPr>
          <w:color w:val="000000" w:themeColor="text1"/>
          <w:szCs w:val="24"/>
        </w:rPr>
      </w:pPr>
    </w:p>
    <w:p w:rsidR="19CE375B" w:rsidP="3C8C30DB" w:rsidRDefault="402AB038" w14:paraId="6E3AACFF" w14:textId="1DA61F1C">
      <w:pPr>
        <w:spacing w:after="160" w:line="259" w:lineRule="auto"/>
        <w:rPr>
          <w:rFonts w:ascii="Times" w:hAnsi="Times" w:eastAsia="Times" w:cs="Times"/>
          <w:color w:val="000000" w:themeColor="text1"/>
          <w:szCs w:val="24"/>
          <w:lang w:val="en"/>
        </w:rPr>
      </w:pPr>
      <w:r w:rsidRPr="3C8C30DB">
        <w:rPr>
          <w:color w:val="000000" w:themeColor="text1"/>
          <w:szCs w:val="24"/>
        </w:rPr>
        <w:t>As documented in the American Rescue Plan Act of 2021, Sec. 2706 (b)(2), the goals of SAMHSA’s harm reduction efforts include preventing and controlling the spread of infectious diseases and the consequences of such diseases for individuals with a substance use disorder.</w:t>
      </w:r>
      <w:r w:rsidRPr="3C8C30DB" w:rsidR="6A7C2E6C">
        <w:rPr>
          <w:color w:val="000000" w:themeColor="text1"/>
          <w:szCs w:val="24"/>
        </w:rPr>
        <w:t xml:space="preserve"> </w:t>
      </w:r>
      <w:r w:rsidRPr="3C8C30DB" w:rsidR="19CE375B">
        <w:rPr>
          <w:rFonts w:ascii="Times" w:hAnsi="Times" w:eastAsia="Times" w:cs="Times"/>
          <w:color w:val="000000" w:themeColor="text1"/>
          <w:szCs w:val="24"/>
        </w:rPr>
        <w:t>In Fiscal Year (FY) 2022, SAMHSA intends to award up to</w:t>
      </w:r>
      <w:r w:rsidRPr="3C8C30DB" w:rsidR="398937B5">
        <w:rPr>
          <w:rFonts w:ascii="Times" w:hAnsi="Times" w:eastAsia="Times" w:cs="Times"/>
          <w:color w:val="000000" w:themeColor="text1"/>
          <w:szCs w:val="24"/>
        </w:rPr>
        <w:t xml:space="preserve"> up to $400,000 per year for up to three years to</w:t>
      </w:r>
      <w:r w:rsidRPr="3C8C30DB" w:rsidR="19CE375B">
        <w:rPr>
          <w:rFonts w:ascii="Times" w:hAnsi="Times" w:eastAsia="Times" w:cs="Times"/>
          <w:color w:val="000000" w:themeColor="text1"/>
          <w:szCs w:val="24"/>
        </w:rPr>
        <w:t xml:space="preserve"> 23 grants </w:t>
      </w:r>
      <w:r w:rsidRPr="3C8C30DB" w:rsidR="05EDD6BC">
        <w:rPr>
          <w:rFonts w:ascii="Times" w:hAnsi="Times" w:eastAsia="Times" w:cs="Times"/>
          <w:color w:val="000000" w:themeColor="text1"/>
          <w:szCs w:val="24"/>
        </w:rPr>
        <w:t>to state</w:t>
      </w:r>
      <w:r w:rsidRPr="3C8C30DB" w:rsidR="4A75202F">
        <w:rPr>
          <w:rFonts w:ascii="Times" w:hAnsi="Times" w:eastAsia="Times" w:cs="Times"/>
          <w:color w:val="000000" w:themeColor="text1"/>
          <w:szCs w:val="24"/>
        </w:rPr>
        <w:t>, local, tribal, and territorial governments, tribal organizations, non-profit community-based organizations, and primary</w:t>
      </w:r>
      <w:r w:rsidRPr="3C8C30DB" w:rsidR="70881014">
        <w:rPr>
          <w:rFonts w:ascii="Times" w:hAnsi="Times" w:eastAsia="Times" w:cs="Times"/>
          <w:color w:val="000000" w:themeColor="text1"/>
          <w:szCs w:val="24"/>
        </w:rPr>
        <w:t xml:space="preserve"> and behavioral health organizations</w:t>
      </w:r>
      <w:r w:rsidRPr="3C8C30DB" w:rsidR="4A75202F">
        <w:rPr>
          <w:rFonts w:ascii="Times" w:hAnsi="Times" w:eastAsia="Times" w:cs="Times"/>
          <w:color w:val="000000" w:themeColor="text1"/>
          <w:szCs w:val="24"/>
        </w:rPr>
        <w:t xml:space="preserve"> </w:t>
      </w:r>
      <w:r w:rsidRPr="3C8C30DB" w:rsidR="19CE375B">
        <w:rPr>
          <w:rFonts w:ascii="Times" w:hAnsi="Times" w:eastAsia="Times" w:cs="Times"/>
          <w:color w:val="000000" w:themeColor="text1"/>
          <w:szCs w:val="24"/>
        </w:rPr>
        <w:t>through the H</w:t>
      </w:r>
      <w:r w:rsidRPr="3C8C30DB" w:rsidR="667FBFC2">
        <w:rPr>
          <w:rFonts w:ascii="Times" w:hAnsi="Times" w:eastAsia="Times" w:cs="Times"/>
          <w:color w:val="000000" w:themeColor="text1"/>
          <w:szCs w:val="24"/>
        </w:rPr>
        <w:t>arm Reduction Program grant</w:t>
      </w:r>
      <w:r w:rsidRPr="3C8C30DB" w:rsidR="19CE375B">
        <w:rPr>
          <w:rFonts w:ascii="Times" w:hAnsi="Times" w:eastAsia="Times" w:cs="Times"/>
          <w:color w:val="000000" w:themeColor="text1"/>
          <w:szCs w:val="24"/>
        </w:rPr>
        <w:t xml:space="preserve">. </w:t>
      </w:r>
    </w:p>
    <w:p w:rsidR="19CE375B" w:rsidP="3C8C30DB" w:rsidRDefault="19CE375B" w14:paraId="66551E7B" w14:textId="5A42FE8E">
      <w:pPr>
        <w:spacing w:after="160" w:line="259" w:lineRule="auto"/>
        <w:rPr>
          <w:rFonts w:ascii="Times" w:hAnsi="Times" w:eastAsia="Times" w:cs="Times"/>
          <w:color w:val="000000" w:themeColor="text1"/>
          <w:szCs w:val="24"/>
          <w:lang w:val="en"/>
        </w:rPr>
      </w:pPr>
      <w:r w:rsidRPr="00F71D01">
        <w:rPr>
          <w:rFonts w:ascii="Times" w:hAnsi="Times" w:eastAsia="Times" w:cs="Times"/>
          <w:color w:val="000000" w:themeColor="text1"/>
          <w:szCs w:val="24"/>
        </w:rPr>
        <w:t>The purpose of the program is to support community-based overdose prevention programs, syringe services programs, and other harm reduction services.</w:t>
      </w:r>
      <w:r w:rsidR="00F61103">
        <w:rPr>
          <w:rFonts w:ascii="Times" w:hAnsi="Times" w:eastAsia="Times" w:cs="Times"/>
          <w:color w:val="000000" w:themeColor="text1"/>
          <w:szCs w:val="24"/>
        </w:rPr>
        <w:t xml:space="preserve"> </w:t>
      </w:r>
      <w:r w:rsidRPr="00F71D01">
        <w:rPr>
          <w:rFonts w:ascii="Times" w:hAnsi="Times" w:eastAsia="Times" w:cs="Times"/>
          <w:color w:val="000000" w:themeColor="text1"/>
          <w:szCs w:val="24"/>
        </w:rPr>
        <w:t xml:space="preserve">Funding will be used to prevent and control the spread of infectious diseases and the consequences of such diseases for individuals with, or at risk of developing substance use disorders (SUD), support distribution of opioid overdose reversal medication to individuals at risk of overdose, connect individuals at risk for, or with, a SUD to overdose education, counseling, and health education, refer individuals to treatment for infectious diseases such as HIV, sexually transmitted infections (STIs), and viral </w:t>
      </w:r>
      <w:r w:rsidRPr="00F71D01">
        <w:rPr>
          <w:rFonts w:ascii="Times" w:hAnsi="Times" w:eastAsia="Times" w:cs="Times"/>
          <w:color w:val="000000" w:themeColor="text1"/>
          <w:szCs w:val="24"/>
        </w:rPr>
        <w:lastRenderedPageBreak/>
        <w:t>hepatitis, and encourage such individuals to take steps to reduce the negative personal and public health impacts of substance use or misuse.</w:t>
      </w:r>
      <w:r w:rsidR="00F61103">
        <w:rPr>
          <w:rFonts w:ascii="Times" w:hAnsi="Times" w:eastAsia="Times" w:cs="Times"/>
          <w:color w:val="000000" w:themeColor="text1"/>
          <w:szCs w:val="24"/>
        </w:rPr>
        <w:t xml:space="preserve">   </w:t>
      </w:r>
    </w:p>
    <w:p w:rsidR="19CE375B" w:rsidP="62A0A6C9" w:rsidRDefault="19CE375B" w14:paraId="3F7F8552" w14:textId="3B0A4651">
      <w:pPr>
        <w:rPr>
          <w:rFonts w:ascii="Times" w:hAnsi="Times" w:eastAsia="Times" w:cs="Times"/>
          <w:szCs w:val="24"/>
        </w:rPr>
      </w:pPr>
      <w:r w:rsidRPr="62A0A6C9">
        <w:rPr>
          <w:rFonts w:ascii="Times" w:hAnsi="Times" w:eastAsia="Times" w:cs="Times"/>
          <w:szCs w:val="24"/>
        </w:rPr>
        <w:t xml:space="preserve">Harm reduction plays a significant role in the prevention of risky behaviors that cause or are linked to SUDs, such as HIV/STIs/Viral Hepatitis rates, opioid overdoses, alcohol use, suicide rates, substance-involved auto accidents, substance-involved community costs, sexual assault, high risk sexual behaviors, and trauma. Harm Reduction grant funds are to be used to decrease barriers to harm reduction programs, which will be achieved by promoting widespread dissemination and implementation of harm reduction activities, including stigma. </w:t>
      </w:r>
    </w:p>
    <w:p w:rsidR="62A0A6C9" w:rsidP="62A0A6C9" w:rsidRDefault="62A0A6C9" w14:paraId="7896C50D" w14:textId="3576E74D">
      <w:pPr>
        <w:rPr>
          <w:rFonts w:ascii="Times" w:hAnsi="Times" w:eastAsia="Times" w:cs="Times"/>
          <w:szCs w:val="24"/>
        </w:rPr>
      </w:pPr>
    </w:p>
    <w:p w:rsidR="19CE375B" w:rsidP="62A0A6C9" w:rsidRDefault="19CE375B" w14:paraId="5569FB65" w14:textId="46D700AC">
      <w:pPr>
        <w:rPr>
          <w:rFonts w:ascii="Times" w:hAnsi="Times" w:eastAsia="Times" w:cs="Times"/>
          <w:color w:val="000000" w:themeColor="text1"/>
          <w:szCs w:val="24"/>
        </w:rPr>
      </w:pPr>
      <w:r w:rsidRPr="62A0A6C9">
        <w:rPr>
          <w:rFonts w:ascii="Times" w:hAnsi="Times" w:eastAsia="Times" w:cs="Times"/>
          <w:szCs w:val="24"/>
        </w:rPr>
        <w:t>The priority populations for this program are rural communities, LGBTQ+ and/or racial and ethnic minorities. Grant recipients will focus activities on “meeting people where they’re at” within the context of harm reduction through integrating trauma informed care and facilitating the use of peer support specialists/coaches in programming.</w:t>
      </w:r>
      <w:r w:rsidRPr="62A0A6C9" w:rsidR="3B75EFEC">
        <w:rPr>
          <w:rFonts w:ascii="Times" w:hAnsi="Times" w:eastAsia="Times" w:cs="Times"/>
          <w:szCs w:val="24"/>
        </w:rPr>
        <w:t xml:space="preserve"> </w:t>
      </w:r>
      <w:r w:rsidRPr="62A0A6C9">
        <w:rPr>
          <w:rFonts w:ascii="Times" w:hAnsi="Times" w:eastAsia="Times" w:cs="Times"/>
          <w:szCs w:val="24"/>
        </w:rPr>
        <w:t xml:space="preserve">The Harm Reduction grant program is authorized under </w:t>
      </w:r>
      <w:r w:rsidRPr="62A0A6C9">
        <w:rPr>
          <w:rFonts w:ascii="Times" w:hAnsi="Times" w:eastAsia="Times" w:cs="Times"/>
          <w:color w:val="000000" w:themeColor="text1"/>
          <w:szCs w:val="24"/>
        </w:rPr>
        <w:t>Section 516 of the PHS Act, as amended.</w:t>
      </w:r>
    </w:p>
    <w:p w:rsidR="62A0A6C9" w:rsidP="62A0A6C9" w:rsidRDefault="62A0A6C9" w14:paraId="7C77EA95" w14:textId="4ACD0DD6">
      <w:pPr>
        <w:rPr>
          <w:szCs w:val="24"/>
        </w:rPr>
      </w:pPr>
    </w:p>
    <w:p w:rsidR="62A0A6C9" w:rsidP="62A0A6C9" w:rsidRDefault="62A0A6C9" w14:paraId="7450D85B" w14:textId="697B0128">
      <w:pPr>
        <w:rPr>
          <w:szCs w:val="24"/>
        </w:rPr>
      </w:pPr>
    </w:p>
    <w:p w:rsidRPr="003060EF" w:rsidR="005A4A00" w:rsidP="005A4A00" w:rsidRDefault="005A4A00" w14:paraId="7EC996A5" w14:textId="7F025E2B">
      <w:pPr>
        <w:rPr>
          <w:b/>
        </w:rPr>
      </w:pPr>
      <w:r w:rsidRPr="003060EF">
        <w:rPr>
          <w:b/>
        </w:rPr>
        <w:t>A2.</w:t>
      </w:r>
      <w:r w:rsidR="00F61103">
        <w:rPr>
          <w:b/>
        </w:rPr>
        <w:t xml:space="preserve">      </w:t>
      </w:r>
      <w:r w:rsidRPr="003060EF">
        <w:rPr>
          <w:b/>
          <w:bCs/>
        </w:rPr>
        <w:t xml:space="preserve"> Purposes and Use of Information </w:t>
      </w:r>
    </w:p>
    <w:p w:rsidRPr="003060EF" w:rsidR="00E6628B" w:rsidP="00E6628B" w:rsidRDefault="00E6628B" w14:paraId="16A54688" w14:textId="77777777"/>
    <w:p w:rsidRPr="003060EF" w:rsidR="005A4A00" w:rsidP="005A4A00" w:rsidRDefault="28DAE1E7" w14:paraId="5D8F9C5B" w14:textId="155E1B9E">
      <w:r>
        <w:t>T</w:t>
      </w:r>
      <w:r w:rsidR="005A4A00">
        <w:t>he information is used by individuals at three different levels:</w:t>
      </w:r>
      <w:r w:rsidR="00F61103">
        <w:t xml:space="preserve"> </w:t>
      </w:r>
      <w:r w:rsidR="2E683F92">
        <w:t xml:space="preserve">1) </w:t>
      </w:r>
      <w:r w:rsidR="005A4A00">
        <w:t xml:space="preserve">the </w:t>
      </w:r>
      <w:r w:rsidR="00CF35DF">
        <w:t xml:space="preserve">Assistant Secretary </w:t>
      </w:r>
      <w:r w:rsidR="1E6B4425">
        <w:t xml:space="preserve">for </w:t>
      </w:r>
      <w:r w:rsidR="4BA89BE9">
        <w:t xml:space="preserve">Mental Health and Substance Use, HHS, and </w:t>
      </w:r>
      <w:r w:rsidR="00CF35DF">
        <w:t xml:space="preserve">SAMHSA </w:t>
      </w:r>
      <w:r w:rsidR="7219C1CD">
        <w:t>leadership</w:t>
      </w:r>
      <w:r w:rsidR="005A4A00">
        <w:t>,</w:t>
      </w:r>
      <w:r w:rsidR="73B5922E">
        <w:t xml:space="preserve"> </w:t>
      </w:r>
      <w:r w:rsidR="7C656655">
        <w:t xml:space="preserve">2) </w:t>
      </w:r>
      <w:r w:rsidR="73B5922E">
        <w:t xml:space="preserve">program-level SAMHSA staff, including </w:t>
      </w:r>
      <w:r w:rsidR="005A4A00">
        <w:t>C</w:t>
      </w:r>
      <w:r w:rsidR="00871603">
        <w:t>SAP</w:t>
      </w:r>
      <w:r w:rsidR="0247CA98">
        <w:t xml:space="preserve"> leadership</w:t>
      </w:r>
      <w:r w:rsidR="005A4A00">
        <w:t xml:space="preserve"> and </w:t>
      </w:r>
      <w:r w:rsidR="00A016C6">
        <w:t>Government Project Officers</w:t>
      </w:r>
      <w:r w:rsidR="0055545B">
        <w:t xml:space="preserve"> (GPOs)</w:t>
      </w:r>
      <w:r w:rsidR="005A4A00">
        <w:t xml:space="preserve">, and </w:t>
      </w:r>
      <w:r w:rsidR="646249BB">
        <w:t xml:space="preserve">3) </w:t>
      </w:r>
      <w:r w:rsidR="005A4A00">
        <w:t>grantees:</w:t>
      </w:r>
      <w:r w:rsidR="00F61103">
        <w:t xml:space="preserve">   </w:t>
      </w:r>
    </w:p>
    <w:p w:rsidRPr="003060EF" w:rsidR="005A4A00" w:rsidP="005A4A00" w:rsidRDefault="005A4A00" w14:paraId="696E3DCD" w14:textId="77777777"/>
    <w:p w:rsidRPr="003060EF" w:rsidR="005A4A00" w:rsidP="005A4A00" w:rsidRDefault="00354744" w14:paraId="4545CD25" w14:textId="561BF866">
      <w:pPr>
        <w:ind w:left="720"/>
      </w:pPr>
      <w:r w:rsidRPr="003060EF">
        <w:rPr>
          <w:b/>
        </w:rPr>
        <w:t>Assistant Secretary</w:t>
      </w:r>
      <w:r w:rsidRPr="003060EF" w:rsidR="009C2CB6">
        <w:rPr>
          <w:b/>
        </w:rPr>
        <w:t xml:space="preserve"> </w:t>
      </w:r>
      <w:r w:rsidRPr="003060EF" w:rsidR="005A4A00">
        <w:rPr>
          <w:b/>
        </w:rPr>
        <w:t>Level</w:t>
      </w:r>
      <w:r w:rsidRPr="003060EF">
        <w:t xml:space="preserve"> – </w:t>
      </w:r>
      <w:r w:rsidRPr="003060EF" w:rsidR="005A4A00">
        <w:t>The information</w:t>
      </w:r>
      <w:r w:rsidRPr="003060EF" w:rsidR="00262CB0">
        <w:t xml:space="preserve"> is</w:t>
      </w:r>
      <w:r w:rsidRPr="003060EF" w:rsidR="004754BA">
        <w:t xml:space="preserve"> </w:t>
      </w:r>
      <w:r w:rsidRPr="003060EF" w:rsidR="005A4A00">
        <w:t xml:space="preserve">used to inform the </w:t>
      </w:r>
      <w:r w:rsidRPr="003060EF">
        <w:t xml:space="preserve">Assistant Secretary for Mental Health and Substance </w:t>
      </w:r>
      <w:r w:rsidRPr="003060EF" w:rsidR="00F90EDE">
        <w:t>Use</w:t>
      </w:r>
      <w:r w:rsidRPr="003060EF">
        <w:t xml:space="preserve"> </w:t>
      </w:r>
      <w:r w:rsidRPr="003060EF" w:rsidR="005A4A00">
        <w:t>of the performance</w:t>
      </w:r>
      <w:r w:rsidRPr="003060EF" w:rsidR="00D345DF">
        <w:t xml:space="preserve"> and outcomes</w:t>
      </w:r>
      <w:r w:rsidRPr="003060EF" w:rsidR="005A4A00">
        <w:t xml:space="preserve"> of the programs funded through the Agency</w:t>
      </w:r>
      <w:r w:rsidRPr="003060EF" w:rsidR="0083301F">
        <w:t>.</w:t>
      </w:r>
      <w:r w:rsidR="00F61103">
        <w:t xml:space="preserve"> </w:t>
      </w:r>
      <w:r w:rsidRPr="003060EF" w:rsidR="005A4A00">
        <w:t>The performance is based on the goals of the grant program</w:t>
      </w:r>
      <w:r w:rsidRPr="003060EF" w:rsidR="0083301F">
        <w:t>.</w:t>
      </w:r>
      <w:r w:rsidR="00F61103">
        <w:t xml:space="preserve"> </w:t>
      </w:r>
      <w:r w:rsidRPr="003060EF" w:rsidR="005A4A00">
        <w:t>This information serves as the basis of the annual GPRA report to Congress contained in the Justifications of Budget Estimates.</w:t>
      </w:r>
      <w:r w:rsidR="00F61103">
        <w:t xml:space="preserve">   </w:t>
      </w:r>
    </w:p>
    <w:p w:rsidRPr="003060EF" w:rsidR="0067073A" w:rsidP="005A4A00" w:rsidRDefault="0067073A" w14:paraId="21DBDEF5" w14:textId="77777777">
      <w:pPr>
        <w:ind w:firstLine="720"/>
      </w:pPr>
    </w:p>
    <w:p w:rsidRPr="003060EF" w:rsidR="005A4A00" w:rsidP="005A4A00" w:rsidRDefault="005A4A00" w14:paraId="0B0520AB" w14:textId="6E44550C">
      <w:pPr>
        <w:ind w:left="720"/>
      </w:pPr>
      <w:r w:rsidRPr="003060EF">
        <w:rPr>
          <w:b/>
        </w:rPr>
        <w:t>Center Level</w:t>
      </w:r>
      <w:r w:rsidRPr="003060EF" w:rsidR="00354744">
        <w:t xml:space="preserve"> – </w:t>
      </w:r>
      <w:r w:rsidRPr="003060EF">
        <w:t xml:space="preserve">In addition to </w:t>
      </w:r>
      <w:r w:rsidRPr="003060EF" w:rsidR="004754BA">
        <w:t xml:space="preserve">providing information about </w:t>
      </w:r>
      <w:r w:rsidRPr="003060EF">
        <w:t xml:space="preserve">the performance of the various programs, the information </w:t>
      </w:r>
      <w:r w:rsidRPr="003060EF" w:rsidR="00262CB0">
        <w:t>is</w:t>
      </w:r>
      <w:r w:rsidRPr="003060EF" w:rsidR="004754BA">
        <w:t xml:space="preserve"> </w:t>
      </w:r>
      <w:r w:rsidRPr="003060EF">
        <w:t>used to monitor and manage individual grant projects within each program</w:t>
      </w:r>
      <w:r w:rsidRPr="003060EF" w:rsidR="0083301F">
        <w:t>.</w:t>
      </w:r>
      <w:r w:rsidR="00F61103">
        <w:t xml:space="preserve"> </w:t>
      </w:r>
      <w:r w:rsidRPr="003060EF">
        <w:t xml:space="preserve">The information </w:t>
      </w:r>
      <w:r w:rsidRPr="003060EF" w:rsidR="00262CB0">
        <w:t>is</w:t>
      </w:r>
      <w:r w:rsidRPr="003060EF" w:rsidR="004754BA">
        <w:t xml:space="preserve"> used by</w:t>
      </w:r>
      <w:r w:rsidRPr="003060EF">
        <w:t xml:space="preserve"> </w:t>
      </w:r>
      <w:r w:rsidRPr="003060EF" w:rsidR="004754BA">
        <w:t>GPOs</w:t>
      </w:r>
      <w:r w:rsidRPr="003060EF">
        <w:t xml:space="preserve"> </w:t>
      </w:r>
      <w:r w:rsidRPr="003060EF" w:rsidR="004754BA">
        <w:t>to identify program strengths and weaknesses, to provide an informed basis for providing technical assistance and other support to grantees, to inform funding decisions, and to identify potential issues for additional evaluation</w:t>
      </w:r>
      <w:r w:rsidRPr="003060EF" w:rsidR="00E725E3">
        <w:t>.</w:t>
      </w:r>
      <w:r w:rsidRPr="003060EF">
        <w:t xml:space="preserve"> </w:t>
      </w:r>
    </w:p>
    <w:p w:rsidRPr="003060EF" w:rsidR="005A4A00" w:rsidP="005A4A00" w:rsidRDefault="005A4A00" w14:paraId="5EC2F46B" w14:textId="77777777">
      <w:pPr>
        <w:ind w:firstLine="720"/>
      </w:pPr>
    </w:p>
    <w:p w:rsidR="005A4A00" w:rsidP="005A4A00" w:rsidRDefault="005A4A00" w14:paraId="7827A4D4" w14:textId="63D87C6C">
      <w:pPr>
        <w:ind w:left="720"/>
      </w:pPr>
      <w:r w:rsidRPr="003060EF">
        <w:rPr>
          <w:b/>
        </w:rPr>
        <w:t>Grantee Level</w:t>
      </w:r>
      <w:r w:rsidRPr="003060EF" w:rsidR="00354744">
        <w:t xml:space="preserve"> – </w:t>
      </w:r>
      <w:r w:rsidRPr="003060EF">
        <w:t xml:space="preserve">In addition to monitoring performance </w:t>
      </w:r>
      <w:r w:rsidRPr="003060EF" w:rsidR="00656DD3">
        <w:t xml:space="preserve">and </w:t>
      </w:r>
      <w:r w:rsidRPr="003060EF">
        <w:t xml:space="preserve">outcomes, the grantee staff use the information to improve the quality of </w:t>
      </w:r>
      <w:r w:rsidR="0081308E">
        <w:t>harm reduction services</w:t>
      </w:r>
      <w:r w:rsidRPr="003060EF">
        <w:t xml:space="preserve"> provided</w:t>
      </w:r>
      <w:r w:rsidR="0081308E">
        <w:t xml:space="preserve"> within </w:t>
      </w:r>
      <w:r w:rsidRPr="003060EF">
        <w:t>their projects.</w:t>
      </w:r>
      <w:r w:rsidR="00F61103">
        <w:t xml:space="preserve">   </w:t>
      </w:r>
    </w:p>
    <w:p w:rsidR="005A4A00" w:rsidP="005A4A00" w:rsidRDefault="005A4A00" w14:paraId="23EB51CD" w14:textId="77777777"/>
    <w:p w:rsidRPr="003060EF" w:rsidR="005A4A00" w:rsidP="005A4A00" w:rsidRDefault="005A4A00" w14:paraId="15ADF7D2" w14:textId="6174AE71">
      <w:r>
        <w:t xml:space="preserve">SAMHSA and its Centers will use the data for annual reporting required by GPRA </w:t>
      </w:r>
      <w:r w:rsidR="00656DD3">
        <w:t xml:space="preserve">to describe and understand changes </w:t>
      </w:r>
      <w:r w:rsidR="406BA34D">
        <w:t>across quarters</w:t>
      </w:r>
      <w:r w:rsidR="00656DD3">
        <w:t>.</w:t>
      </w:r>
      <w:r w:rsidR="00F61103">
        <w:t xml:space="preserve"> </w:t>
      </w:r>
      <w:r>
        <w:t>GPRA requires that SAMHSA’s report for each fiscal year include actual results of performance monitoring for the three preceding fiscal years</w:t>
      </w:r>
      <w:r w:rsidR="0083301F">
        <w:t>.</w:t>
      </w:r>
      <w:r w:rsidR="00F61103">
        <w:t xml:space="preserve"> </w:t>
      </w:r>
      <w:r>
        <w:t xml:space="preserve">The information collected through this </w:t>
      </w:r>
      <w:r w:rsidR="00262CB0">
        <w:t xml:space="preserve">revised </w:t>
      </w:r>
      <w:r w:rsidR="00656DD3">
        <w:t xml:space="preserve">data collection process </w:t>
      </w:r>
      <w:r>
        <w:t>allow</w:t>
      </w:r>
      <w:r w:rsidR="00656DD3">
        <w:t>s</w:t>
      </w:r>
      <w:r>
        <w:t xml:space="preserve"> SAMHSA to report on the results of performance </w:t>
      </w:r>
      <w:r w:rsidR="00656DD3">
        <w:t xml:space="preserve">and </w:t>
      </w:r>
      <w:r>
        <w:t xml:space="preserve">outcomes </w:t>
      </w:r>
      <w:r w:rsidR="00656DD3">
        <w:t xml:space="preserve">in a manner that is </w:t>
      </w:r>
      <w:r>
        <w:t xml:space="preserve">consistent with </w:t>
      </w:r>
      <w:r w:rsidR="00656DD3">
        <w:t xml:space="preserve">SAMHSA </w:t>
      </w:r>
      <w:r>
        <w:t xml:space="preserve">specific performance domains, </w:t>
      </w:r>
      <w:r w:rsidR="00C4055F">
        <w:t xml:space="preserve">and </w:t>
      </w:r>
      <w:r>
        <w:t xml:space="preserve">to assess the accountability and performance of its discretionary and formula grant programs. </w:t>
      </w:r>
    </w:p>
    <w:p w:rsidR="009226AC" w:rsidP="3C8C30DB" w:rsidRDefault="009226AC" w14:paraId="66928C13" w14:textId="4D333A77">
      <w:pPr>
        <w:rPr>
          <w:szCs w:val="24"/>
        </w:rPr>
      </w:pPr>
    </w:p>
    <w:p w:rsidRPr="003060EF" w:rsidR="009226AC" w:rsidP="005A4A00" w:rsidRDefault="009226AC" w14:paraId="7E854080" w14:textId="77777777">
      <w:pPr>
        <w:rPr>
          <w:b/>
        </w:rPr>
      </w:pPr>
    </w:p>
    <w:p w:rsidRPr="003060EF" w:rsidR="005A4A00" w:rsidP="005A4A00" w:rsidRDefault="005A4A00" w14:paraId="6B6D04A3" w14:textId="08E377B8">
      <w:pPr>
        <w:rPr>
          <w:b/>
        </w:rPr>
      </w:pPr>
      <w:r w:rsidRPr="003060EF">
        <w:rPr>
          <w:b/>
        </w:rPr>
        <w:t>A3.</w:t>
      </w:r>
      <w:r w:rsidR="00F61103">
        <w:rPr>
          <w:b/>
        </w:rPr>
        <w:t xml:space="preserve"> </w:t>
      </w:r>
      <w:r w:rsidRPr="003060EF">
        <w:rPr>
          <w:b/>
        </w:rPr>
        <w:t xml:space="preserve">Use of Improved Information Technology </w:t>
      </w:r>
    </w:p>
    <w:p w:rsidRPr="003060EF" w:rsidR="005A4A00" w:rsidP="005A4A00" w:rsidRDefault="005A4A00" w14:paraId="5057BEE0" w14:textId="77777777"/>
    <w:p w:rsidRPr="003060EF" w:rsidR="005A4A00" w:rsidP="005A4A00" w:rsidRDefault="006E32DE" w14:paraId="51427350" w14:textId="273E4531">
      <w:r w:rsidRPr="003060EF">
        <w:t>P</w:t>
      </w:r>
      <w:r w:rsidRPr="003060EF" w:rsidR="005A4A00">
        <w:t>rograms collect information using a variety of methods</w:t>
      </w:r>
      <w:r w:rsidRPr="003060EF">
        <w:t xml:space="preserve">, including </w:t>
      </w:r>
      <w:r w:rsidRPr="003060EF" w:rsidR="005A4A00">
        <w:t>paper</w:t>
      </w:r>
      <w:r w:rsidRPr="003060EF">
        <w:t>-</w:t>
      </w:r>
      <w:r w:rsidRPr="003060EF" w:rsidR="005A4A00">
        <w:t>and</w:t>
      </w:r>
      <w:r w:rsidRPr="003060EF">
        <w:t>-</w:t>
      </w:r>
      <w:r w:rsidRPr="003060EF" w:rsidR="005A4A00">
        <w:t xml:space="preserve">pencil </w:t>
      </w:r>
      <w:r w:rsidRPr="003060EF">
        <w:t xml:space="preserve">and </w:t>
      </w:r>
      <w:r w:rsidRPr="003060EF" w:rsidR="005A4A00">
        <w:t>electronic methods</w:t>
      </w:r>
      <w:r w:rsidRPr="003060EF" w:rsidR="0083301F">
        <w:t>.</w:t>
      </w:r>
      <w:r w:rsidR="00F61103">
        <w:t xml:space="preserve"> </w:t>
      </w:r>
      <w:r w:rsidRPr="003060EF" w:rsidR="005A4A00">
        <w:t>This project will not interfere with ongoing program collection operations that facilitate information collection at each site.</w:t>
      </w:r>
      <w:r w:rsidR="00F61103">
        <w:t xml:space="preserve">   </w:t>
      </w:r>
    </w:p>
    <w:p w:rsidRPr="003060EF" w:rsidR="005A4A00" w:rsidP="005A4A00" w:rsidRDefault="005A4A00" w14:paraId="7D4E9907" w14:textId="77777777"/>
    <w:p w:rsidR="005A4A00" w:rsidP="005A4A00" w:rsidRDefault="005A4A00" w14:paraId="4B51A0FF" w14:textId="6C110C0D">
      <w:r w:rsidRPr="003060EF">
        <w:t>A web-based data collection and entry system</w:t>
      </w:r>
      <w:r w:rsidRPr="003060EF" w:rsidR="00470ED6">
        <w:t>, SAMHS</w:t>
      </w:r>
      <w:r w:rsidRPr="003060EF" w:rsidR="006E32DE">
        <w:t xml:space="preserve">A’s Performance Accountability and Reporting System (SPARS), </w:t>
      </w:r>
      <w:r w:rsidRPr="003060EF">
        <w:t xml:space="preserve">has been developed </w:t>
      </w:r>
      <w:r w:rsidRPr="003060EF" w:rsidR="006E32DE">
        <w:t>and is currently used and</w:t>
      </w:r>
      <w:r w:rsidRPr="003060EF">
        <w:t xml:space="preserve"> available to all programs for data collection.</w:t>
      </w:r>
      <w:r w:rsidR="00F61103">
        <w:t xml:space="preserve"> </w:t>
      </w:r>
      <w:r w:rsidRPr="003060EF">
        <w:t>This web-based system allows for easy data entry, submission, and reporting to all those who have access to the system.</w:t>
      </w:r>
      <w:r w:rsidR="00F61103">
        <w:t xml:space="preserve"> </w:t>
      </w:r>
      <w:r w:rsidRPr="003060EF">
        <w:t>Levels of access have been defined for users based on their authority and responsibilities regarding the data and reports.</w:t>
      </w:r>
      <w:r w:rsidR="00F61103">
        <w:t xml:space="preserve"> </w:t>
      </w:r>
      <w:r w:rsidRPr="003060EF">
        <w:t>Access to the data and reports is limited to those individuals</w:t>
      </w:r>
      <w:r w:rsidRPr="003060EF" w:rsidR="00A01715">
        <w:t xml:space="preserve"> with a username and password.</w:t>
      </w:r>
      <w:r w:rsidR="00F61103">
        <w:t xml:space="preserve"> </w:t>
      </w:r>
      <w:r w:rsidRPr="003060EF">
        <w:t xml:space="preserve">A </w:t>
      </w:r>
      <w:r w:rsidRPr="003060EF" w:rsidR="00A01715">
        <w:t xml:space="preserve">screenshot of the </w:t>
      </w:r>
      <w:r w:rsidRPr="003060EF">
        <w:t xml:space="preserve">data entry screen </w:t>
      </w:r>
      <w:r w:rsidRPr="003060EF" w:rsidR="00A01715">
        <w:t xml:space="preserve">on SPARS </w:t>
      </w:r>
      <w:r w:rsidRPr="003060EF">
        <w:t>is below:</w:t>
      </w:r>
      <w:r>
        <w:t xml:space="preserve"> </w:t>
      </w:r>
    </w:p>
    <w:p w:rsidR="005A4A00" w:rsidP="3C8C30DB" w:rsidRDefault="005A4A00" w14:paraId="26DAE432" w14:textId="6B8517D3">
      <w:pPr>
        <w:rPr>
          <w:noProof/>
          <w:szCs w:val="24"/>
        </w:rPr>
      </w:pPr>
    </w:p>
    <w:p w:rsidR="00325562" w:rsidP="005A4A00" w:rsidRDefault="6BF35B5A" w14:paraId="15B589A6" w14:textId="36B5E843">
      <w:r>
        <w:rPr>
          <w:noProof/>
        </w:rPr>
        <w:drawing>
          <wp:inline distT="0" distB="0" distL="0" distR="0" wp14:anchorId="16603203" wp14:editId="4C88DB23">
            <wp:extent cx="5943600" cy="2733696"/>
            <wp:effectExtent l="133350" t="133350" r="133350" b="142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rcRect t="13105" b="5128"/>
                    <a:stretch>
                      <a:fillRect/>
                    </a:stretch>
                  </pic:blipFill>
                  <pic:spPr>
                    <a:xfrm>
                      <a:off x="0" y="0"/>
                      <a:ext cx="5943600" cy="27336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Pr="003060EF" w:rsidR="005A4A00" w:rsidP="005A4A00" w:rsidRDefault="00D12BF2" w14:paraId="36711B25" w14:textId="450DDE92">
      <w:r w:rsidRPr="003060EF">
        <w:t>P</w:t>
      </w:r>
      <w:r w:rsidRPr="003060EF" w:rsidR="005A4A00">
        <w:t xml:space="preserve">rograms </w:t>
      </w:r>
      <w:r w:rsidRPr="003060EF">
        <w:t xml:space="preserve">may </w:t>
      </w:r>
      <w:r w:rsidRPr="003060EF" w:rsidR="005A4A00">
        <w:t>submit their data electronically through an upload process</w:t>
      </w:r>
      <w:r w:rsidRPr="003060EF" w:rsidR="0083301F">
        <w:t>.</w:t>
      </w:r>
      <w:r w:rsidR="00F61103">
        <w:t xml:space="preserve"> </w:t>
      </w:r>
      <w:r w:rsidRPr="003060EF" w:rsidR="005A4A00">
        <w:t>This facilitates the submission of data while avoiding duplication of the data entry process</w:t>
      </w:r>
      <w:r w:rsidRPr="003060EF" w:rsidR="0083301F">
        <w:t>.</w:t>
      </w:r>
      <w:r w:rsidR="00F61103">
        <w:t xml:space="preserve"> </w:t>
      </w:r>
      <w:r w:rsidRPr="003060EF" w:rsidR="00A74641">
        <w:t>Thus, p</w:t>
      </w:r>
      <w:r w:rsidRPr="003060EF" w:rsidR="005A4A00">
        <w:t>rograms that collect these data for other purposes are spared an additional collection burden.</w:t>
      </w:r>
    </w:p>
    <w:p w:rsidRPr="003060EF" w:rsidR="005A4A00" w:rsidP="005A4A00" w:rsidRDefault="005A4A00" w14:paraId="2C2B3123" w14:textId="77777777"/>
    <w:p w:rsidRPr="003060EF" w:rsidR="005A4A00" w:rsidP="005A4A00" w:rsidRDefault="005A4A00" w14:paraId="1008C543" w14:textId="5981E9AC">
      <w:r w:rsidRPr="003060EF">
        <w:t>Electronic submission of the data promotes enhanced data quality</w:t>
      </w:r>
      <w:r w:rsidRPr="003060EF" w:rsidR="0083301F">
        <w:t>.</w:t>
      </w:r>
      <w:r w:rsidR="00F61103">
        <w:t xml:space="preserve"> </w:t>
      </w:r>
      <w:r w:rsidRPr="003060EF">
        <w:t>With built-in data quality checks, easy access to data outputs and reports, users of the data can feel confident about the quality of the output</w:t>
      </w:r>
      <w:r w:rsidRPr="003060EF" w:rsidR="0083301F">
        <w:t>.</w:t>
      </w:r>
      <w:r w:rsidR="00F61103">
        <w:t xml:space="preserve"> </w:t>
      </w:r>
      <w:r w:rsidRPr="003060EF">
        <w:t>The electronic submission also promotes immediate access to the dataset.</w:t>
      </w:r>
      <w:r w:rsidR="00F61103">
        <w:t xml:space="preserve">   </w:t>
      </w:r>
      <w:r w:rsidRPr="003060EF">
        <w:t>Once the data are put into the web-based system, it is available for access, review, and reporting by all those with access to the system from Center staff to the grantee staff.</w:t>
      </w:r>
      <w:r w:rsidR="00F61103">
        <w:t xml:space="preserve">   </w:t>
      </w:r>
    </w:p>
    <w:p w:rsidRPr="003060EF" w:rsidR="005A4A00" w:rsidP="005A4A00" w:rsidRDefault="005A4A00" w14:paraId="3B8461FF" w14:textId="77777777"/>
    <w:p w:rsidRPr="00041BB5" w:rsidR="005A4A00" w:rsidP="005A4A00" w:rsidRDefault="005A4A00" w14:paraId="683F9FFB" w14:textId="2A552628">
      <w:pPr>
        <w:rPr>
          <w:b/>
        </w:rPr>
      </w:pPr>
      <w:r w:rsidRPr="003060EF">
        <w:rPr>
          <w:b/>
        </w:rPr>
        <w:t>A4.</w:t>
      </w:r>
      <w:r w:rsidR="00F61103">
        <w:rPr>
          <w:b/>
        </w:rPr>
        <w:t xml:space="preserve"> </w:t>
      </w:r>
      <w:r w:rsidRPr="003060EF">
        <w:rPr>
          <w:b/>
          <w:bCs/>
        </w:rPr>
        <w:t xml:space="preserve">Efforts to Identify Duplication </w:t>
      </w:r>
    </w:p>
    <w:p w:rsidRPr="003060EF" w:rsidR="0021604E" w:rsidP="005A4A00" w:rsidRDefault="005A4A00" w14:paraId="6BE94197" w14:textId="18BB8DD7">
      <w:pPr>
        <w:rPr>
          <w:szCs w:val="24"/>
        </w:rPr>
      </w:pPr>
      <w:r w:rsidRPr="003060EF">
        <w:rPr>
          <w:szCs w:val="24"/>
        </w:rPr>
        <w:t>The items collected are necessary in order to assess grantee performance</w:t>
      </w:r>
      <w:r w:rsidRPr="003060EF" w:rsidR="0083301F">
        <w:rPr>
          <w:szCs w:val="24"/>
        </w:rPr>
        <w:t>.</w:t>
      </w:r>
      <w:r w:rsidR="00F61103">
        <w:rPr>
          <w:szCs w:val="24"/>
        </w:rPr>
        <w:t xml:space="preserve"> </w:t>
      </w:r>
      <w:r w:rsidRPr="003060EF" w:rsidR="00D12BF2">
        <w:rPr>
          <w:szCs w:val="24"/>
        </w:rPr>
        <w:t>CSA</w:t>
      </w:r>
      <w:r w:rsidRPr="003060EF" w:rsidR="00271F3D">
        <w:rPr>
          <w:szCs w:val="24"/>
        </w:rPr>
        <w:t>P</w:t>
      </w:r>
      <w:r w:rsidRPr="003060EF">
        <w:rPr>
          <w:szCs w:val="24"/>
        </w:rPr>
        <w:t xml:space="preserve"> is promoting the use of </w:t>
      </w:r>
      <w:r w:rsidRPr="003060EF" w:rsidR="0021604E">
        <w:rPr>
          <w:szCs w:val="24"/>
        </w:rPr>
        <w:t xml:space="preserve">consistent </w:t>
      </w:r>
      <w:r w:rsidRPr="003060EF">
        <w:rPr>
          <w:szCs w:val="24"/>
        </w:rPr>
        <w:t>performance</w:t>
      </w:r>
      <w:r w:rsidRPr="003060EF" w:rsidR="006F5AEF">
        <w:rPr>
          <w:szCs w:val="24"/>
        </w:rPr>
        <w:t xml:space="preserve"> and outcomes</w:t>
      </w:r>
      <w:r w:rsidRPr="003060EF">
        <w:rPr>
          <w:szCs w:val="24"/>
        </w:rPr>
        <w:t xml:space="preserve"> measures across all </w:t>
      </w:r>
      <w:r w:rsidR="009226AC">
        <w:rPr>
          <w:szCs w:val="24"/>
        </w:rPr>
        <w:t xml:space="preserve">Harm Reduction Program </w:t>
      </w:r>
      <w:r w:rsidRPr="003060EF" w:rsidR="00271F3D">
        <w:rPr>
          <w:szCs w:val="24"/>
        </w:rPr>
        <w:t>grantees</w:t>
      </w:r>
      <w:r w:rsidRPr="003060EF">
        <w:rPr>
          <w:szCs w:val="24"/>
        </w:rPr>
        <w:t xml:space="preserve">; this effort will result in less overlap and duplication and </w:t>
      </w:r>
      <w:r w:rsidRPr="003060EF" w:rsidR="00A93688">
        <w:rPr>
          <w:szCs w:val="24"/>
        </w:rPr>
        <w:t xml:space="preserve">will </w:t>
      </w:r>
      <w:r w:rsidRPr="003060EF">
        <w:rPr>
          <w:szCs w:val="24"/>
        </w:rPr>
        <w:t xml:space="preserve">substantially reduce the burden on grantees that results from data demands associated with individual programs. </w:t>
      </w:r>
    </w:p>
    <w:p w:rsidRPr="003060EF" w:rsidR="0021604E" w:rsidP="005A4A00" w:rsidRDefault="0021604E" w14:paraId="6E861CC9" w14:textId="77777777">
      <w:pPr>
        <w:rPr>
          <w:szCs w:val="24"/>
        </w:rPr>
      </w:pPr>
    </w:p>
    <w:p w:rsidRPr="00143684" w:rsidR="005A4A00" w:rsidP="005A4A00" w:rsidRDefault="00470ED6" w14:paraId="6F9359A0" w14:textId="478987B5">
      <w:pPr>
        <w:rPr>
          <w:szCs w:val="24"/>
        </w:rPr>
      </w:pPr>
      <w:r w:rsidRPr="003060EF">
        <w:rPr>
          <w:szCs w:val="24"/>
        </w:rPr>
        <w:t>SAM</w:t>
      </w:r>
      <w:r w:rsidRPr="003060EF" w:rsidR="005A4A00">
        <w:rPr>
          <w:szCs w:val="24"/>
        </w:rPr>
        <w:t>H</w:t>
      </w:r>
      <w:r w:rsidRPr="003060EF">
        <w:rPr>
          <w:szCs w:val="24"/>
        </w:rPr>
        <w:t>S</w:t>
      </w:r>
      <w:r w:rsidRPr="003060EF" w:rsidR="005A4A00">
        <w:rPr>
          <w:szCs w:val="24"/>
        </w:rPr>
        <w:t>A will work closely with the grantees to identify whether other data are being collected by the grantee</w:t>
      </w:r>
      <w:r w:rsidRPr="003060EF" w:rsidR="00A93688">
        <w:rPr>
          <w:szCs w:val="24"/>
        </w:rPr>
        <w:t>, which</w:t>
      </w:r>
      <w:r w:rsidRPr="003060EF" w:rsidR="00F55B81">
        <w:rPr>
          <w:szCs w:val="24"/>
        </w:rPr>
        <w:t xml:space="preserve"> </w:t>
      </w:r>
      <w:r w:rsidRPr="003060EF" w:rsidR="005A4A00">
        <w:rPr>
          <w:szCs w:val="24"/>
        </w:rPr>
        <w:t xml:space="preserve">may be redundant to the </w:t>
      </w:r>
      <w:r w:rsidRPr="003060EF" w:rsidR="00271F3D">
        <w:rPr>
          <w:szCs w:val="24"/>
        </w:rPr>
        <w:t xml:space="preserve">Harm Reduction </w:t>
      </w:r>
      <w:r w:rsidRPr="003060EF" w:rsidR="005A4A00">
        <w:rPr>
          <w:szCs w:val="24"/>
        </w:rPr>
        <w:t>GPRA instrument</w:t>
      </w:r>
      <w:r w:rsidRPr="003060EF" w:rsidR="0083301F">
        <w:rPr>
          <w:szCs w:val="24"/>
        </w:rPr>
        <w:t>.</w:t>
      </w:r>
      <w:r w:rsidR="00F61103">
        <w:rPr>
          <w:szCs w:val="24"/>
        </w:rPr>
        <w:t xml:space="preserve"> </w:t>
      </w:r>
      <w:r w:rsidRPr="003060EF" w:rsidR="005A4A00">
        <w:rPr>
          <w:szCs w:val="24"/>
        </w:rPr>
        <w:t xml:space="preserve">When duplication is identified, SAMHSA and the grantees will identify a priority action plan to </w:t>
      </w:r>
      <w:r w:rsidRPr="003060EF" w:rsidR="006011E6">
        <w:rPr>
          <w:szCs w:val="24"/>
        </w:rPr>
        <w:t>reduce</w:t>
      </w:r>
      <w:r w:rsidRPr="003060EF" w:rsidR="005A4A00">
        <w:rPr>
          <w:szCs w:val="24"/>
        </w:rPr>
        <w:t xml:space="preserve"> the duplicative efforts and streamline the data items to reduce burden.</w:t>
      </w:r>
      <w:r w:rsidR="00F61103">
        <w:rPr>
          <w:szCs w:val="24"/>
        </w:rPr>
        <w:t xml:space="preserve">   </w:t>
      </w:r>
    </w:p>
    <w:p w:rsidR="005A4A00" w:rsidP="005A4A00" w:rsidRDefault="005A4A00" w14:paraId="02E23435" w14:textId="77777777"/>
    <w:p w:rsidRPr="003060EF" w:rsidR="005A4A00" w:rsidP="005A4A00" w:rsidRDefault="005A4A00" w14:paraId="3AF98A14" w14:textId="6A213DDF">
      <w:pPr>
        <w:rPr>
          <w:b/>
        </w:rPr>
      </w:pPr>
      <w:r w:rsidRPr="003060EF">
        <w:rPr>
          <w:b/>
        </w:rPr>
        <w:t>A5.</w:t>
      </w:r>
      <w:r w:rsidR="00F61103">
        <w:rPr>
          <w:b/>
        </w:rPr>
        <w:t xml:space="preserve">      </w:t>
      </w:r>
      <w:r w:rsidRPr="003060EF">
        <w:rPr>
          <w:b/>
        </w:rPr>
        <w:t xml:space="preserve"> Involvement of Small Entities </w:t>
      </w:r>
    </w:p>
    <w:p w:rsidRPr="003060EF" w:rsidR="005A4A00" w:rsidP="005A4A00" w:rsidRDefault="005A4A00" w14:paraId="1232FD48" w14:textId="77777777"/>
    <w:p w:rsidRPr="003060EF" w:rsidR="005A4A00" w:rsidP="005A4A00" w:rsidRDefault="005A4A00" w14:paraId="492B7FBC" w14:textId="1F922A67">
      <w:r w:rsidRPr="003060EF">
        <w:t xml:space="preserve">Individual grantees vary from small entities </w:t>
      </w:r>
      <w:r w:rsidRPr="003060EF" w:rsidR="006011E6">
        <w:t>to</w:t>
      </w:r>
      <w:r w:rsidRPr="003060EF">
        <w:t xml:space="preserve"> large provider organizations</w:t>
      </w:r>
      <w:r w:rsidRPr="003060EF" w:rsidR="0083301F">
        <w:t>.</w:t>
      </w:r>
      <w:r w:rsidR="00F61103">
        <w:t xml:space="preserve"> </w:t>
      </w:r>
      <w:r w:rsidRPr="003060EF">
        <w:t xml:space="preserve">Every effort has been made to minimize the number of data items collected from </w:t>
      </w:r>
      <w:r w:rsidRPr="003060EF" w:rsidR="006011E6">
        <w:t xml:space="preserve">all </w:t>
      </w:r>
      <w:r w:rsidRPr="003060EF">
        <w:t xml:space="preserve">programs </w:t>
      </w:r>
      <w:r w:rsidRPr="003060EF" w:rsidR="006011E6">
        <w:t xml:space="preserve">down </w:t>
      </w:r>
      <w:r w:rsidRPr="003060EF">
        <w:t xml:space="preserve">to the least number </w:t>
      </w:r>
      <w:r w:rsidRPr="003060EF" w:rsidR="006011E6">
        <w:t xml:space="preserve">of items necessary </w:t>
      </w:r>
      <w:r w:rsidRPr="003060EF">
        <w:t xml:space="preserve">to accomplish </w:t>
      </w:r>
      <w:r w:rsidRPr="003060EF" w:rsidR="006011E6">
        <w:t xml:space="preserve">the </w:t>
      </w:r>
      <w:r w:rsidRPr="003060EF">
        <w:t xml:space="preserve">objectives </w:t>
      </w:r>
      <w:r w:rsidRPr="003060EF" w:rsidR="006011E6">
        <w:t xml:space="preserve">described within and </w:t>
      </w:r>
      <w:r w:rsidRPr="003060EF">
        <w:t>meet GPRA reporting requirements</w:t>
      </w:r>
      <w:r w:rsidRPr="003060EF" w:rsidR="0083301F">
        <w:t>.</w:t>
      </w:r>
      <w:r w:rsidR="00F61103">
        <w:t xml:space="preserve"> </w:t>
      </w:r>
      <w:r w:rsidRPr="003060EF" w:rsidR="006011E6">
        <w:t>T</w:t>
      </w:r>
      <w:r w:rsidRPr="003060EF">
        <w:t xml:space="preserve">herefore, there is no significant impact </w:t>
      </w:r>
      <w:r w:rsidRPr="003060EF" w:rsidR="006011E6">
        <w:t>to</w:t>
      </w:r>
      <w:r w:rsidRPr="003060EF">
        <w:t xml:space="preserve"> small entities.</w:t>
      </w:r>
      <w:r w:rsidR="00F61103">
        <w:t xml:space="preserve">   </w:t>
      </w:r>
    </w:p>
    <w:p w:rsidRPr="003060EF" w:rsidR="005A4A00" w:rsidP="005A4A00" w:rsidRDefault="005A4A00" w14:paraId="24D01B34" w14:textId="77777777"/>
    <w:p w:rsidRPr="003060EF" w:rsidR="005A4A00" w:rsidP="005A4A00" w:rsidRDefault="005A4A00" w14:paraId="5EB04D71" w14:textId="35108DC6">
      <w:pPr>
        <w:rPr>
          <w:b/>
          <w:u w:val="single"/>
        </w:rPr>
      </w:pPr>
      <w:r w:rsidRPr="003060EF">
        <w:rPr>
          <w:b/>
        </w:rPr>
        <w:t>A6.</w:t>
      </w:r>
      <w:r w:rsidR="00F61103">
        <w:rPr>
          <w:b/>
        </w:rPr>
        <w:t xml:space="preserve"> </w:t>
      </w:r>
      <w:r w:rsidRPr="003060EF">
        <w:rPr>
          <w:b/>
        </w:rPr>
        <w:t xml:space="preserve">Consequences </w:t>
      </w:r>
      <w:r w:rsidRPr="003060EF" w:rsidR="006F5AEF">
        <w:rPr>
          <w:b/>
        </w:rPr>
        <w:t>i</w:t>
      </w:r>
      <w:r w:rsidRPr="003060EF">
        <w:rPr>
          <w:b/>
        </w:rPr>
        <w:t xml:space="preserve">f </w:t>
      </w:r>
      <w:r w:rsidRPr="003060EF" w:rsidR="006F5AEF">
        <w:rPr>
          <w:b/>
        </w:rPr>
        <w:t xml:space="preserve">Information Collected </w:t>
      </w:r>
      <w:r w:rsidRPr="003060EF">
        <w:rPr>
          <w:b/>
        </w:rPr>
        <w:t>Less Frequently</w:t>
      </w:r>
      <w:r w:rsidRPr="003060EF" w:rsidDel="00446BA6">
        <w:rPr>
          <w:b/>
          <w:u w:val="single"/>
        </w:rPr>
        <w:t xml:space="preserve"> </w:t>
      </w:r>
    </w:p>
    <w:p w:rsidRPr="003060EF" w:rsidR="005A4A00" w:rsidP="005A4A00" w:rsidRDefault="005A4A00" w14:paraId="2C97C0B1" w14:textId="77777777">
      <w:pPr>
        <w:rPr>
          <w:rFonts w:ascii="Times" w:hAnsi="Times"/>
        </w:rPr>
      </w:pPr>
    </w:p>
    <w:p w:rsidRPr="003060EF" w:rsidR="005A4A00" w:rsidP="005A4A00" w:rsidRDefault="00367832" w14:paraId="54C81B91" w14:textId="41DE918C">
      <w:r>
        <w:t xml:space="preserve">The </w:t>
      </w:r>
      <w:r w:rsidR="005339A0">
        <w:t xml:space="preserve">Harm Reduction </w:t>
      </w:r>
      <w:r>
        <w:t xml:space="preserve">grant </w:t>
      </w:r>
      <w:r w:rsidR="005339A0">
        <w:t>program</w:t>
      </w:r>
      <w:r w:rsidRPr="003060EF" w:rsidR="005A4A00">
        <w:t xml:space="preserve"> collect</w:t>
      </w:r>
      <w:r>
        <w:t>s</w:t>
      </w:r>
      <w:r w:rsidRPr="003060EF" w:rsidR="005A4A00">
        <w:t xml:space="preserve"> data a</w:t>
      </w:r>
      <w:r w:rsidR="009226AC">
        <w:t xml:space="preserve">nnually for target setting purposes as well as performance data reporting </w:t>
      </w:r>
      <w:r w:rsidR="005339A0">
        <w:t xml:space="preserve">on a </w:t>
      </w:r>
      <w:r w:rsidR="009226AC">
        <w:t>quarterly</w:t>
      </w:r>
      <w:r w:rsidR="005339A0">
        <w:t xml:space="preserve"> basis</w:t>
      </w:r>
      <w:r w:rsidR="009226AC">
        <w:t>. These time</w:t>
      </w:r>
      <w:r w:rsidRPr="003060EF" w:rsidR="00A93688">
        <w:t xml:space="preserve"> points</w:t>
      </w:r>
      <w:r w:rsidRPr="003060EF" w:rsidR="005A4A00">
        <w:t xml:space="preserve"> are part of regular program activity.</w:t>
      </w:r>
      <w:r w:rsidR="00F61103">
        <w:t xml:space="preserve">      </w:t>
      </w:r>
    </w:p>
    <w:p w:rsidRPr="003060EF" w:rsidR="005A4A00" w:rsidP="005A4A00" w:rsidRDefault="005A4A00" w14:paraId="1BD67EA4" w14:textId="77777777"/>
    <w:p w:rsidRPr="003060EF" w:rsidR="005A4A00" w:rsidP="005A4A00" w:rsidRDefault="005A4A00" w14:paraId="0EC521D0" w14:textId="16CE9AAF">
      <w:r w:rsidRPr="003060EF">
        <w:t xml:space="preserve">These </w:t>
      </w:r>
      <w:r w:rsidRPr="003060EF" w:rsidR="00A93688">
        <w:t xml:space="preserve">data collection points </w:t>
      </w:r>
      <w:r w:rsidRPr="003060EF">
        <w:t xml:space="preserve">are generally accepted intervals for </w:t>
      </w:r>
      <w:r w:rsidR="005339A0">
        <w:t>monitoring</w:t>
      </w:r>
      <w:r w:rsidRPr="003060EF">
        <w:t xml:space="preserve"> and the </w:t>
      </w:r>
      <w:r w:rsidR="005339A0">
        <w:t>grantees</w:t>
      </w:r>
      <w:r w:rsidRPr="003060EF">
        <w:t xml:space="preserve"> will be asked to respond to the items according to this schedule</w:t>
      </w:r>
      <w:r w:rsidRPr="003060EF" w:rsidR="0083301F">
        <w:t>.</w:t>
      </w:r>
      <w:r w:rsidR="00F61103">
        <w:t xml:space="preserve"> </w:t>
      </w:r>
      <w:r w:rsidRPr="003060EF">
        <w:t xml:space="preserve">The data will be reported </w:t>
      </w:r>
      <w:r w:rsidRPr="003060EF" w:rsidR="00271F3D">
        <w:t>out to</w:t>
      </w:r>
      <w:r w:rsidRPr="003060EF">
        <w:t xml:space="preserve"> SAMHSA on an annual basis in keeping with the</w:t>
      </w:r>
      <w:r w:rsidRPr="003060EF" w:rsidR="00CA074D">
        <w:t xml:space="preserve"> </w:t>
      </w:r>
      <w:r w:rsidRPr="003060EF">
        <w:t>GPRA requirements for annual reporting</w:t>
      </w:r>
      <w:r w:rsidR="00FA37A5">
        <w:t>;</w:t>
      </w:r>
      <w:r w:rsidRPr="003060EF" w:rsidR="00271F3D">
        <w:t xml:space="preserve"> however</w:t>
      </w:r>
      <w:r w:rsidR="00FA37A5">
        <w:t>,</w:t>
      </w:r>
      <w:r w:rsidRPr="003060EF" w:rsidR="00271F3D">
        <w:t xml:space="preserve"> the grantees can enter the data into SPARS on an earlier schedule if they so choose</w:t>
      </w:r>
      <w:r w:rsidRPr="003060EF">
        <w:t xml:space="preserve">. </w:t>
      </w:r>
    </w:p>
    <w:p w:rsidRPr="003060EF" w:rsidR="005A4A00" w:rsidP="005A4A00" w:rsidRDefault="005A4A00" w14:paraId="3BAEDFEF" w14:textId="58C19DC6">
      <w:pPr>
        <w:pStyle w:val="Heading2"/>
      </w:pPr>
      <w:r w:rsidRPr="003060EF">
        <w:rPr>
          <w:bCs w:val="0"/>
        </w:rPr>
        <w:t>A7.</w:t>
      </w:r>
      <w:r w:rsidR="00F61103">
        <w:rPr>
          <w:b w:val="0"/>
        </w:rPr>
        <w:t xml:space="preserve"> </w:t>
      </w:r>
      <w:r w:rsidRPr="003060EF">
        <w:t>Consistency with the Guidelines in 5 CFR1320.5(d)(2)</w:t>
      </w:r>
    </w:p>
    <w:p w:rsidRPr="003060EF" w:rsidR="005A4A00" w:rsidP="005A4A00" w:rsidRDefault="005A4A00" w14:paraId="3ED1B695" w14:textId="77777777">
      <w:r w:rsidRPr="003060EF">
        <w:t>This information collection fully complies with 5 CFR 1320.5(d) (2).</w:t>
      </w:r>
    </w:p>
    <w:p w:rsidRPr="003060EF" w:rsidR="005A4A00" w:rsidP="005A4A00" w:rsidRDefault="005A4A00" w14:paraId="0E56350B" w14:textId="77777777"/>
    <w:p w:rsidRPr="003060EF" w:rsidR="005A4A00" w:rsidP="005A4A00" w:rsidRDefault="005A4A00" w14:paraId="1C3DA258" w14:textId="2D98802D">
      <w:pPr>
        <w:ind w:left="540" w:hanging="540"/>
        <w:rPr>
          <w:b/>
        </w:rPr>
      </w:pPr>
      <w:r w:rsidRPr="003060EF">
        <w:rPr>
          <w:b/>
        </w:rPr>
        <w:t>A8.</w:t>
      </w:r>
      <w:r w:rsidR="00F61103">
        <w:rPr>
          <w:b/>
        </w:rPr>
        <w:t xml:space="preserve"> </w:t>
      </w:r>
      <w:r w:rsidRPr="003060EF">
        <w:rPr>
          <w:b/>
          <w:bCs/>
        </w:rPr>
        <w:t xml:space="preserve">Consultation Outside the Agency </w:t>
      </w:r>
    </w:p>
    <w:p w:rsidRPr="003060EF" w:rsidR="005A4A00" w:rsidP="005A4A00" w:rsidRDefault="005A4A00" w14:paraId="0389B80E" w14:textId="77777777"/>
    <w:p w:rsidR="005A4A00" w:rsidP="005A4A00" w:rsidRDefault="005A4A00" w14:paraId="55669965" w14:textId="78D87FCF">
      <w:r w:rsidRPr="003060EF">
        <w:t xml:space="preserve">The notice required by 5 CFR 1320.8(d) was published in the </w:t>
      </w:r>
      <w:r w:rsidRPr="003060EF">
        <w:rPr>
          <w:i/>
        </w:rPr>
        <w:t xml:space="preserve">Federal Register </w:t>
      </w:r>
      <w:r w:rsidRPr="003060EF">
        <w:t>on</w:t>
      </w:r>
      <w:r w:rsidRPr="00790112">
        <w:t xml:space="preserve"> </w:t>
      </w:r>
      <w:r w:rsidRPr="00356A25" w:rsidR="00356A25">
        <w:t>February 14, 2022</w:t>
      </w:r>
      <w:r w:rsidRPr="00356A25">
        <w:t xml:space="preserve"> (</w:t>
      </w:r>
      <w:r w:rsidRPr="00356A25" w:rsidR="00827AF0">
        <w:t>87</w:t>
      </w:r>
      <w:r w:rsidRPr="00356A25" w:rsidR="002A54C9">
        <w:t xml:space="preserve"> </w:t>
      </w:r>
      <w:r w:rsidRPr="00356A25">
        <w:t xml:space="preserve">FR </w:t>
      </w:r>
      <w:r w:rsidRPr="00356A25" w:rsidR="00827AF0">
        <w:t>8269</w:t>
      </w:r>
      <w:r w:rsidRPr="00356A25" w:rsidR="00236FCA">
        <w:t>)</w:t>
      </w:r>
      <w:r w:rsidRPr="00356A25" w:rsidR="00E42550">
        <w:t>.</w:t>
      </w:r>
      <w:r w:rsidR="00F61103">
        <w:t xml:space="preserve">  </w:t>
      </w:r>
      <w:r w:rsidR="00D7629D">
        <w:t>Three public</w:t>
      </w:r>
      <w:r w:rsidRPr="00351F4F" w:rsidR="00E42550">
        <w:t xml:space="preserve"> comments were received.</w:t>
      </w:r>
      <w:r w:rsidRPr="00351F4F" w:rsidR="00F61103">
        <w:t xml:space="preserve"> </w:t>
      </w:r>
      <w:r w:rsidRPr="00351F4F" w:rsidR="005E5371">
        <w:t>No other consultations were conducted outside the agency.</w:t>
      </w:r>
    </w:p>
    <w:p w:rsidR="000C5B23" w:rsidP="005A4A00" w:rsidRDefault="000C5B23" w14:paraId="5C17AD41" w14:textId="77777777"/>
    <w:p w:rsidRPr="003060EF" w:rsidR="005A4A00" w:rsidP="005A4A00" w:rsidRDefault="005A4A00" w14:paraId="135E703B" w14:textId="405640CA">
      <w:pPr>
        <w:rPr>
          <w:b/>
          <w:u w:val="single"/>
        </w:rPr>
      </w:pPr>
      <w:r w:rsidRPr="003060EF">
        <w:rPr>
          <w:b/>
        </w:rPr>
        <w:t>A9.</w:t>
      </w:r>
      <w:r w:rsidR="00F61103">
        <w:rPr>
          <w:b/>
        </w:rPr>
        <w:t xml:space="preserve">      </w:t>
      </w:r>
      <w:r w:rsidRPr="003060EF">
        <w:rPr>
          <w:b/>
        </w:rPr>
        <w:t xml:space="preserve"> </w:t>
      </w:r>
      <w:r w:rsidRPr="003060EF">
        <w:rPr>
          <w:b/>
          <w:bCs/>
        </w:rPr>
        <w:t>Payment to Respondents</w:t>
      </w:r>
      <w:r w:rsidRPr="003060EF" w:rsidDel="00446BA6">
        <w:rPr>
          <w:b/>
          <w:u w:val="single"/>
        </w:rPr>
        <w:t xml:space="preserve"> </w:t>
      </w:r>
    </w:p>
    <w:p w:rsidRPr="003060EF" w:rsidR="005A4A00" w:rsidP="005A4A00" w:rsidRDefault="005A4A00" w14:paraId="29044434" w14:textId="77777777"/>
    <w:p w:rsidRPr="003060EF" w:rsidR="005339A0" w:rsidP="005339A0" w:rsidRDefault="005A4A00" w14:paraId="23B93E48" w14:textId="405C041F">
      <w:r w:rsidRPr="003060EF">
        <w:t>Grantees are asked to budget for data collect</w:t>
      </w:r>
      <w:r w:rsidR="005339A0">
        <w:t>ion in their grant applications. There is no expectation for payment to respondents as the unit of analysis is the grantee and not the individual.</w:t>
      </w:r>
    </w:p>
    <w:p w:rsidRPr="003060EF" w:rsidR="00372AF8" w:rsidP="005A4A00" w:rsidRDefault="005A4A00" w14:paraId="300477AD" w14:textId="48FDF584">
      <w:r w:rsidRPr="003060EF">
        <w:t xml:space="preserve"> </w:t>
      </w:r>
    </w:p>
    <w:p w:rsidRPr="003060EF" w:rsidR="005A4A00" w:rsidP="00E333F4" w:rsidRDefault="005A4A00" w14:paraId="3670031C" w14:textId="7284E3C4">
      <w:pPr>
        <w:keepLines/>
        <w:rPr>
          <w:b/>
          <w:bCs/>
        </w:rPr>
      </w:pPr>
      <w:r w:rsidRPr="003060EF">
        <w:t xml:space="preserve"> </w:t>
      </w:r>
      <w:r w:rsidRPr="003060EF">
        <w:rPr>
          <w:b/>
        </w:rPr>
        <w:t>A10.</w:t>
      </w:r>
      <w:r w:rsidR="00F61103">
        <w:rPr>
          <w:b/>
        </w:rPr>
        <w:t xml:space="preserve">      </w:t>
      </w:r>
      <w:r w:rsidRPr="003060EF">
        <w:rPr>
          <w:b/>
        </w:rPr>
        <w:t xml:space="preserve"> </w:t>
      </w:r>
      <w:r w:rsidRPr="003060EF">
        <w:rPr>
          <w:b/>
          <w:bCs/>
        </w:rPr>
        <w:t>Assurance of Confidentiality</w:t>
      </w:r>
    </w:p>
    <w:p w:rsidRPr="003060EF" w:rsidR="005A4A00" w:rsidP="005A4A00" w:rsidRDefault="005A4A00" w14:paraId="02342C28" w14:textId="77777777"/>
    <w:p w:rsidRPr="003060EF" w:rsidR="005A4A00" w:rsidP="005A4A00" w:rsidRDefault="005A4A00" w14:paraId="268EABFC" w14:textId="28F9704A">
      <w:r w:rsidRPr="003060EF">
        <w:rPr>
          <w:szCs w:val="24"/>
        </w:rPr>
        <w:t xml:space="preserve">The information from </w:t>
      </w:r>
      <w:r w:rsidR="00D76923">
        <w:rPr>
          <w:szCs w:val="24"/>
        </w:rPr>
        <w:t>g</w:t>
      </w:r>
      <w:r w:rsidRPr="003060EF">
        <w:rPr>
          <w:szCs w:val="24"/>
        </w:rPr>
        <w:t>rantees and all other potential respondents will be kept private through all points in the data collection and reporting processes</w:t>
      </w:r>
      <w:r w:rsidRPr="003060EF" w:rsidR="0083301F">
        <w:rPr>
          <w:szCs w:val="24"/>
        </w:rPr>
        <w:t>.</w:t>
      </w:r>
      <w:r w:rsidR="00F61103">
        <w:rPr>
          <w:szCs w:val="24"/>
        </w:rPr>
        <w:t xml:space="preserve"> </w:t>
      </w:r>
      <w:r w:rsidRPr="003060EF">
        <w:rPr>
          <w:szCs w:val="24"/>
        </w:rPr>
        <w:t xml:space="preserve">However, SAMHSA cannot ensure complete confidentiality of </w:t>
      </w:r>
      <w:r w:rsidR="0081308E">
        <w:rPr>
          <w:szCs w:val="24"/>
        </w:rPr>
        <w:t>programmatic</w:t>
      </w:r>
      <w:r w:rsidRPr="003060EF">
        <w:rPr>
          <w:szCs w:val="24"/>
        </w:rPr>
        <w:t xml:space="preserve"> data</w:t>
      </w:r>
      <w:r w:rsidRPr="003060EF" w:rsidR="0083301F">
        <w:rPr>
          <w:szCs w:val="24"/>
        </w:rPr>
        <w:t>.</w:t>
      </w:r>
      <w:r w:rsidR="00F61103">
        <w:rPr>
          <w:szCs w:val="24"/>
        </w:rPr>
        <w:t xml:space="preserve"> </w:t>
      </w:r>
      <w:r w:rsidRPr="003060EF">
        <w:rPr>
          <w:szCs w:val="24"/>
        </w:rPr>
        <w:t xml:space="preserve">SAMHSA will work with each grantee </w:t>
      </w:r>
      <w:r w:rsidRPr="003060EF" w:rsidR="0047667C">
        <w:rPr>
          <w:szCs w:val="24"/>
        </w:rPr>
        <w:t>to prepare</w:t>
      </w:r>
      <w:r w:rsidRPr="003060EF">
        <w:rPr>
          <w:szCs w:val="24"/>
        </w:rPr>
        <w:t xml:space="preserve"> an impact assessment protocol</w:t>
      </w:r>
      <w:r w:rsidRPr="003060EF" w:rsidR="0083301F">
        <w:rPr>
          <w:szCs w:val="24"/>
        </w:rPr>
        <w:t>.</w:t>
      </w:r>
      <w:r w:rsidR="00F61103">
        <w:rPr>
          <w:szCs w:val="24"/>
        </w:rPr>
        <w:t xml:space="preserve"> </w:t>
      </w:r>
      <w:r w:rsidRPr="003060EF">
        <w:rPr>
          <w:szCs w:val="24"/>
        </w:rPr>
        <w:t>All data will be closely safeguarded, and no institutional or individual identifiers will be used in reports</w:t>
      </w:r>
      <w:r w:rsidRPr="003060EF" w:rsidR="0083301F">
        <w:rPr>
          <w:szCs w:val="24"/>
        </w:rPr>
        <w:t>.</w:t>
      </w:r>
      <w:r w:rsidR="00F61103">
        <w:rPr>
          <w:szCs w:val="24"/>
        </w:rPr>
        <w:t xml:space="preserve"> </w:t>
      </w:r>
      <w:r w:rsidRPr="003060EF">
        <w:rPr>
          <w:szCs w:val="24"/>
        </w:rPr>
        <w:t>Only aggregated data will be reported.</w:t>
      </w:r>
      <w:r w:rsidR="00F61103">
        <w:rPr>
          <w:szCs w:val="24"/>
        </w:rPr>
        <w:t xml:space="preserve"> </w:t>
      </w:r>
      <w:r w:rsidRPr="003060EF">
        <w:t>SAMHSA and its contractors will not receive identifiable client records</w:t>
      </w:r>
      <w:r w:rsidRPr="003060EF" w:rsidR="0083301F">
        <w:t>.</w:t>
      </w:r>
      <w:r w:rsidR="00F61103">
        <w:t xml:space="preserve"> </w:t>
      </w:r>
      <w:r w:rsidRPr="003060EF">
        <w:t>Provider-level information will be aggregated to, at least, the level of the grant/cooperative agreement-funding announcement.</w:t>
      </w:r>
    </w:p>
    <w:p w:rsidRPr="003060EF" w:rsidR="005A4A00" w:rsidP="005A4A00" w:rsidRDefault="005A4A00" w14:paraId="4A68B7E4" w14:textId="77777777"/>
    <w:p w:rsidR="005A4A00" w:rsidP="005A4A00" w:rsidRDefault="005A4A00" w14:paraId="2E639267" w14:textId="34E54C65">
      <w:r w:rsidRPr="003060EF">
        <w:t xml:space="preserve">SAMHSA has statutory authority to collect data under the </w:t>
      </w:r>
      <w:r w:rsidRPr="003060EF" w:rsidR="000B2D48">
        <w:t>GPRA</w:t>
      </w:r>
      <w:r w:rsidRPr="003060EF">
        <w:t xml:space="preserve"> (Public Law 1103(a), Title 31) and is subject to the Privacy Act for the protection of data.</w:t>
      </w:r>
      <w:r w:rsidR="00F61103">
        <w:t xml:space="preserve"> </w:t>
      </w:r>
      <w:r w:rsidRPr="003060EF">
        <w:t>Federally assisted substance abuse treatment providers are subject to the federal regulations for alcohol and substance abuse patient records (42 CFR Part 2)</w:t>
      </w:r>
      <w:r w:rsidRPr="003060EF">
        <w:rPr>
          <w:szCs w:val="24"/>
        </w:rPr>
        <w:t xml:space="preserve"> (OMB No.</w:t>
      </w:r>
      <w:r w:rsidRPr="003060EF" w:rsidR="003060EF">
        <w:rPr>
          <w:szCs w:val="24"/>
        </w:rPr>
        <w:t xml:space="preserve">0925-0404) </w:t>
      </w:r>
      <w:r w:rsidRPr="003060EF">
        <w:t>which govern the protection of patient identifying data</w:t>
      </w:r>
      <w:r w:rsidRPr="003060EF" w:rsidR="0083301F">
        <w:t>.</w:t>
      </w:r>
      <w:r w:rsidR="00F61103">
        <w:t xml:space="preserve"> </w:t>
      </w:r>
      <w:r w:rsidRPr="003060EF">
        <w:t xml:space="preserve">In some cases, these same providers meet the definition of a </w:t>
      </w:r>
      <w:r w:rsidRPr="003060EF" w:rsidR="000B2D48">
        <w:t>Health Insurance Portability and Accountability Act</w:t>
      </w:r>
      <w:r w:rsidRPr="003060EF">
        <w:t xml:space="preserve"> covered entity and are additionally subject to the Privacy Rule (45 CFR Parts 160 and 164) for the protection of individually identifiable data.</w:t>
      </w:r>
      <w:r w:rsidR="00F61103">
        <w:t xml:space="preserve">   </w:t>
      </w:r>
    </w:p>
    <w:p w:rsidR="005A4A00" w:rsidP="005A4A00" w:rsidRDefault="005A4A00" w14:paraId="3CF43476" w14:textId="77777777">
      <w:pPr>
        <w:rPr>
          <w:b/>
        </w:rPr>
      </w:pPr>
    </w:p>
    <w:p w:rsidRPr="003060EF" w:rsidR="005A4A00" w:rsidP="005A4A00" w:rsidRDefault="005A4A00" w14:paraId="4657D0BD" w14:textId="1957BC6F">
      <w:pPr>
        <w:rPr>
          <w:b/>
        </w:rPr>
      </w:pPr>
      <w:r w:rsidRPr="008A2EE1">
        <w:rPr>
          <w:b/>
        </w:rPr>
        <w:t>A11.</w:t>
      </w:r>
      <w:r w:rsidR="00F61103">
        <w:rPr>
          <w:b/>
        </w:rPr>
        <w:t xml:space="preserve">      </w:t>
      </w:r>
      <w:r w:rsidRPr="008A2EE1">
        <w:rPr>
          <w:b/>
          <w:bCs/>
        </w:rPr>
        <w:t>Questions of a Sensitive Nature</w:t>
      </w:r>
      <w:r w:rsidRPr="003060EF">
        <w:rPr>
          <w:b/>
          <w:bCs/>
        </w:rPr>
        <w:t xml:space="preserve"> </w:t>
      </w:r>
    </w:p>
    <w:p w:rsidRPr="003060EF" w:rsidR="005A4A00" w:rsidP="005A4A00" w:rsidRDefault="005A4A00" w14:paraId="31EFCA36" w14:textId="77777777"/>
    <w:p w:rsidRPr="003060EF" w:rsidR="003060EF" w:rsidP="005A4A00" w:rsidRDefault="005A4A00" w14:paraId="24CA9938" w14:textId="2890E7B0">
      <w:r w:rsidRPr="003060EF">
        <w:t xml:space="preserve">SAMHSA’s mission is to improve the quality and availability of prevention, early intervention, treatment, and rehabilitation services for </w:t>
      </w:r>
      <w:r w:rsidRPr="00F71D01" w:rsidR="00B433CB">
        <w:rPr>
          <w:rFonts w:eastAsia="Arial Unicode MS"/>
          <w:color w:val="000000"/>
          <w:bdr w:val="nil"/>
        </w:rPr>
        <w:t>mental and substance use disorder</w:t>
      </w:r>
      <w:r w:rsidRPr="00F71D01" w:rsidR="00297ACD">
        <w:rPr>
          <w:rFonts w:eastAsia="Arial Unicode MS"/>
          <w:color w:val="000000"/>
          <w:bdr w:val="nil"/>
        </w:rPr>
        <w:t>s</w:t>
      </w:r>
      <w:r w:rsidRPr="003060EF">
        <w:t>, including co-occurring disorders, to improve health and reduce illness, death, disability, and cost to society</w:t>
      </w:r>
      <w:r w:rsidRPr="003060EF" w:rsidR="0083301F">
        <w:t>.</w:t>
      </w:r>
      <w:r w:rsidR="00F61103">
        <w:t xml:space="preserve"> </w:t>
      </w:r>
      <w:r w:rsidR="00F434B9">
        <w:t xml:space="preserve">For the harm reduction </w:t>
      </w:r>
      <w:r w:rsidR="5F642EFD">
        <w:t>program,</w:t>
      </w:r>
      <w:r w:rsidR="00F434B9">
        <w:t xml:space="preserve"> the tools used to report on performance is at the aggregate level.</w:t>
      </w:r>
      <w:r w:rsidR="00F61103">
        <w:t xml:space="preserve"> </w:t>
      </w:r>
      <w:r w:rsidR="00F434B9">
        <w:t xml:space="preserve">There are no questions of a sensitive nature that are asked of individuals as the data collection is focused </w:t>
      </w:r>
      <w:proofErr w:type="gramStart"/>
      <w:r w:rsidR="00F434B9">
        <w:t>at</w:t>
      </w:r>
      <w:proofErr w:type="gramEnd"/>
      <w:r w:rsidR="00F434B9">
        <w:t xml:space="preserve"> the grantee level and not the individual participant</w:t>
      </w:r>
      <w:r w:rsidR="7F10887E">
        <w:t xml:space="preserve"> level</w:t>
      </w:r>
      <w:r w:rsidRPr="003060EF" w:rsidR="0083301F">
        <w:t>.</w:t>
      </w:r>
      <w:r w:rsidR="00F61103">
        <w:t xml:space="preserve">   </w:t>
      </w:r>
    </w:p>
    <w:p w:rsidRPr="003060EF" w:rsidR="003060EF" w:rsidP="005A4A00" w:rsidRDefault="003060EF" w14:paraId="42F30317" w14:textId="77777777"/>
    <w:p w:rsidRPr="003060EF" w:rsidR="005A4A00" w:rsidP="005A4A00" w:rsidRDefault="005A4A00" w14:paraId="36DB6DCF" w14:textId="252BC7AB">
      <w:pPr>
        <w:rPr>
          <w:b/>
        </w:rPr>
      </w:pPr>
      <w:r w:rsidRPr="003060EF">
        <w:rPr>
          <w:b/>
        </w:rPr>
        <w:t>A12.</w:t>
      </w:r>
      <w:r w:rsidR="00F61103">
        <w:rPr>
          <w:b/>
        </w:rPr>
        <w:t xml:space="preserve"> </w:t>
      </w:r>
      <w:r w:rsidRPr="003060EF">
        <w:rPr>
          <w:b/>
        </w:rPr>
        <w:t>Estimates of Annualized Hour Burden</w:t>
      </w:r>
      <w:r w:rsidRPr="003060EF">
        <w:rPr>
          <w:b/>
          <w:u w:val="single"/>
        </w:rPr>
        <w:t xml:space="preserve"> </w:t>
      </w:r>
    </w:p>
    <w:p w:rsidRPr="003060EF" w:rsidR="005A4A00" w:rsidP="005A4A00" w:rsidRDefault="005A4A00" w14:paraId="1B1072F2" w14:textId="77777777"/>
    <w:p w:rsidR="00F434B9" w:rsidP="00C84489" w:rsidRDefault="007E5D1F" w14:paraId="2A43C67D" w14:textId="2B4E2156">
      <w:r>
        <w:t>The time to complete the instruments is estimated in Table 1</w:t>
      </w:r>
      <w:r w:rsidR="0083301F">
        <w:t>.</w:t>
      </w:r>
      <w:r w:rsidR="00F61103">
        <w:t xml:space="preserve"> </w:t>
      </w:r>
      <w:r>
        <w:t>These estimates are based on current funding and planned fiscal year 20</w:t>
      </w:r>
      <w:r w:rsidR="000C5B23">
        <w:t>2</w:t>
      </w:r>
      <w:r w:rsidR="00ED3F0B">
        <w:t>2</w:t>
      </w:r>
      <w:r w:rsidR="00E21C96">
        <w:t>; the</w:t>
      </w:r>
      <w:r>
        <w:t xml:space="preserve"> amount of time required to complete the new questions is based on an informal pilot and prior SAMHSA/CSA</w:t>
      </w:r>
      <w:r w:rsidR="00ED3F0B">
        <w:t>P</w:t>
      </w:r>
      <w:r>
        <w:t xml:space="preserve"> experience in collecting similar data.</w:t>
      </w:r>
    </w:p>
    <w:p w:rsidRPr="003060EF" w:rsidR="00AD5D05" w:rsidP="00C84489" w:rsidRDefault="00AD5D05" w14:paraId="35240E29" w14:textId="77777777">
      <w:pPr>
        <w:rPr>
          <w:szCs w:val="24"/>
        </w:rPr>
      </w:pPr>
    </w:p>
    <w:p w:rsidRPr="003060EF" w:rsidR="009B5021" w:rsidP="009B5021" w:rsidRDefault="009B5021" w14:paraId="71D8988D" w14:textId="77777777">
      <w:pPr>
        <w:rPr>
          <w:b/>
        </w:rPr>
      </w:pPr>
      <w:r w:rsidRPr="003060EF">
        <w:rPr>
          <w:b/>
        </w:rPr>
        <w:t xml:space="preserve">Table 1: Estimates of Annualized Hour Burden </w:t>
      </w:r>
    </w:p>
    <w:tbl>
      <w:tblPr>
        <w:tblW w:w="10194" w:type="dxa"/>
        <w:tblInd w:w="-743" w:type="dxa"/>
        <w:tblLook w:val="04A0" w:firstRow="1" w:lastRow="0" w:firstColumn="1" w:lastColumn="0" w:noHBand="0" w:noVBand="1"/>
      </w:tblPr>
      <w:tblGrid>
        <w:gridCol w:w="1466"/>
        <w:gridCol w:w="1523"/>
        <w:gridCol w:w="1430"/>
        <w:gridCol w:w="1270"/>
        <w:gridCol w:w="1177"/>
        <w:gridCol w:w="1175"/>
        <w:gridCol w:w="1041"/>
        <w:gridCol w:w="1112"/>
      </w:tblGrid>
      <w:tr w:rsidRPr="005339A0" w:rsidR="005339A0" w:rsidTr="0947336A" w14:paraId="32D9C675" w14:textId="77777777">
        <w:trPr>
          <w:cantSplit/>
          <w:trHeight w:val="940"/>
        </w:trPr>
        <w:tc>
          <w:tcPr>
            <w:tcW w:w="1564" w:type="dxa"/>
            <w:tcBorders>
              <w:top w:val="double" w:color="auto" w:sz="6" w:space="0"/>
              <w:left w:val="double" w:color="auto" w:sz="6" w:space="0"/>
              <w:bottom w:val="single" w:color="auto" w:sz="4" w:space="0"/>
              <w:right w:val="single" w:color="auto" w:sz="8" w:space="0"/>
            </w:tcBorders>
            <w:shd w:val="clear" w:color="auto" w:fill="EEECE1" w:themeFill="background2"/>
            <w:vAlign w:val="center"/>
            <w:hideMark/>
          </w:tcPr>
          <w:p w:rsidRPr="005339A0" w:rsidR="005339A0" w:rsidP="003F3D9C" w:rsidRDefault="005339A0" w14:paraId="510241E8" w14:textId="77777777">
            <w:pPr>
              <w:jc w:val="center"/>
              <w:rPr>
                <w:b/>
                <w:bCs/>
                <w:color w:val="000000"/>
                <w:szCs w:val="24"/>
              </w:rPr>
            </w:pPr>
            <w:r w:rsidRPr="005339A0">
              <w:rPr>
                <w:b/>
                <w:bCs/>
                <w:color w:val="000000"/>
                <w:szCs w:val="24"/>
              </w:rPr>
              <w:t>SAMHSA Tool</w:t>
            </w:r>
          </w:p>
        </w:tc>
        <w:tc>
          <w:tcPr>
            <w:tcW w:w="1203" w:type="dxa"/>
            <w:tcBorders>
              <w:top w:val="double" w:color="auto" w:sz="6" w:space="0"/>
              <w:left w:val="nil"/>
              <w:bottom w:val="single" w:color="auto" w:sz="8" w:space="0"/>
              <w:right w:val="single" w:color="auto" w:sz="8" w:space="0"/>
            </w:tcBorders>
            <w:shd w:val="clear" w:color="auto" w:fill="EEECE1" w:themeFill="background2"/>
            <w:vAlign w:val="center"/>
            <w:hideMark/>
          </w:tcPr>
          <w:p w:rsidRPr="005339A0" w:rsidR="005339A0" w:rsidP="003F3D9C" w:rsidRDefault="005339A0" w14:paraId="5EA730A1" w14:textId="77777777">
            <w:pPr>
              <w:jc w:val="center"/>
              <w:rPr>
                <w:b/>
                <w:bCs/>
                <w:color w:val="000000"/>
                <w:szCs w:val="24"/>
              </w:rPr>
            </w:pPr>
            <w:r w:rsidRPr="005339A0">
              <w:rPr>
                <w:b/>
                <w:bCs/>
                <w:color w:val="000000"/>
                <w:szCs w:val="24"/>
              </w:rPr>
              <w:t>Number of Respondents</w:t>
            </w:r>
          </w:p>
        </w:tc>
        <w:tc>
          <w:tcPr>
            <w:tcW w:w="1430" w:type="dxa"/>
            <w:tcBorders>
              <w:top w:val="double" w:color="auto" w:sz="6" w:space="0"/>
              <w:left w:val="nil"/>
              <w:bottom w:val="single" w:color="auto" w:sz="8" w:space="0"/>
              <w:right w:val="single" w:color="auto" w:sz="8" w:space="0"/>
            </w:tcBorders>
            <w:shd w:val="clear" w:color="auto" w:fill="EEECE1" w:themeFill="background2"/>
            <w:vAlign w:val="center"/>
            <w:hideMark/>
          </w:tcPr>
          <w:p w:rsidRPr="005339A0" w:rsidR="005339A0" w:rsidP="003F3D9C" w:rsidRDefault="005339A0" w14:paraId="4F01780A" w14:textId="77777777">
            <w:pPr>
              <w:jc w:val="center"/>
              <w:rPr>
                <w:b/>
                <w:bCs/>
                <w:color w:val="000000"/>
                <w:szCs w:val="24"/>
              </w:rPr>
            </w:pPr>
            <w:r w:rsidRPr="005339A0">
              <w:rPr>
                <w:b/>
                <w:bCs/>
                <w:color w:val="000000"/>
                <w:szCs w:val="24"/>
              </w:rPr>
              <w:t>Responses per Respondent</w:t>
            </w:r>
          </w:p>
        </w:tc>
        <w:tc>
          <w:tcPr>
            <w:tcW w:w="1270" w:type="dxa"/>
            <w:tcBorders>
              <w:top w:val="double" w:color="auto" w:sz="6" w:space="0"/>
              <w:left w:val="nil"/>
              <w:bottom w:val="single" w:color="auto" w:sz="8" w:space="0"/>
              <w:right w:val="single" w:color="auto" w:sz="8" w:space="0"/>
            </w:tcBorders>
            <w:shd w:val="clear" w:color="auto" w:fill="EEECE1" w:themeFill="background2"/>
            <w:vAlign w:val="center"/>
            <w:hideMark/>
          </w:tcPr>
          <w:p w:rsidRPr="005339A0" w:rsidR="005339A0" w:rsidP="003F3D9C" w:rsidRDefault="005339A0" w14:paraId="0666F286" w14:textId="77777777">
            <w:pPr>
              <w:jc w:val="center"/>
              <w:rPr>
                <w:b/>
                <w:bCs/>
                <w:color w:val="000000"/>
                <w:szCs w:val="24"/>
              </w:rPr>
            </w:pPr>
            <w:r w:rsidRPr="005339A0">
              <w:rPr>
                <w:b/>
                <w:bCs/>
                <w:color w:val="000000"/>
                <w:szCs w:val="24"/>
              </w:rPr>
              <w:t>Total Number of Responses</w:t>
            </w:r>
          </w:p>
        </w:tc>
        <w:tc>
          <w:tcPr>
            <w:tcW w:w="1177" w:type="dxa"/>
            <w:tcBorders>
              <w:top w:val="double" w:color="auto" w:sz="6" w:space="0"/>
              <w:left w:val="nil"/>
              <w:bottom w:val="single" w:color="auto" w:sz="8" w:space="0"/>
              <w:right w:val="single" w:color="auto" w:sz="8" w:space="0"/>
            </w:tcBorders>
            <w:shd w:val="clear" w:color="auto" w:fill="EEECE1" w:themeFill="background2"/>
            <w:vAlign w:val="center"/>
            <w:hideMark/>
          </w:tcPr>
          <w:p w:rsidRPr="005339A0" w:rsidR="005339A0" w:rsidP="003F3D9C" w:rsidRDefault="005339A0" w14:paraId="3672BED2" w14:textId="77777777">
            <w:pPr>
              <w:jc w:val="center"/>
              <w:rPr>
                <w:b/>
                <w:bCs/>
                <w:color w:val="000000"/>
                <w:szCs w:val="24"/>
              </w:rPr>
            </w:pPr>
            <w:r w:rsidRPr="005339A0">
              <w:rPr>
                <w:b/>
                <w:bCs/>
                <w:color w:val="000000"/>
                <w:szCs w:val="24"/>
              </w:rPr>
              <w:t>Burden Hours per Response</w:t>
            </w:r>
          </w:p>
        </w:tc>
        <w:tc>
          <w:tcPr>
            <w:tcW w:w="1255" w:type="dxa"/>
            <w:tcBorders>
              <w:top w:val="double" w:color="auto" w:sz="6" w:space="0"/>
              <w:left w:val="nil"/>
              <w:bottom w:val="single" w:color="auto" w:sz="8" w:space="0"/>
              <w:right w:val="single" w:color="auto" w:sz="8" w:space="0"/>
            </w:tcBorders>
            <w:shd w:val="clear" w:color="auto" w:fill="EEECE1" w:themeFill="background2"/>
            <w:vAlign w:val="center"/>
            <w:hideMark/>
          </w:tcPr>
          <w:p w:rsidRPr="005339A0" w:rsidR="005339A0" w:rsidP="003F3D9C" w:rsidRDefault="005339A0" w14:paraId="6B0F4458" w14:textId="77777777">
            <w:pPr>
              <w:jc w:val="center"/>
              <w:rPr>
                <w:b/>
                <w:bCs/>
                <w:color w:val="000000"/>
                <w:szCs w:val="24"/>
              </w:rPr>
            </w:pPr>
            <w:r w:rsidRPr="005339A0">
              <w:rPr>
                <w:b/>
                <w:bCs/>
                <w:color w:val="000000"/>
                <w:szCs w:val="24"/>
              </w:rPr>
              <w:t>Total Burden Hours</w:t>
            </w:r>
          </w:p>
        </w:tc>
        <w:tc>
          <w:tcPr>
            <w:tcW w:w="1080" w:type="dxa"/>
            <w:tcBorders>
              <w:top w:val="double" w:color="auto" w:sz="6" w:space="0"/>
              <w:left w:val="nil"/>
              <w:bottom w:val="single" w:color="auto" w:sz="8" w:space="0"/>
              <w:right w:val="single" w:color="auto" w:sz="8" w:space="0"/>
            </w:tcBorders>
            <w:shd w:val="clear" w:color="auto" w:fill="EEECE1" w:themeFill="background2"/>
            <w:vAlign w:val="center"/>
            <w:hideMark/>
          </w:tcPr>
          <w:p w:rsidRPr="005339A0" w:rsidR="005339A0" w:rsidP="3C8C30DB" w:rsidRDefault="45553097" w14:paraId="43BDDDCD" w14:textId="6F32BF6D">
            <w:pPr>
              <w:jc w:val="center"/>
              <w:rPr>
                <w:b/>
                <w:bCs/>
              </w:rPr>
            </w:pPr>
            <w:r w:rsidRPr="3C8C30DB">
              <w:rPr>
                <w:b/>
                <w:bCs/>
              </w:rPr>
              <w:t>Hourly Wage</w:t>
            </w:r>
            <w:r w:rsidRPr="3C8C30DB" w:rsidR="01C0E1F0">
              <w:rPr>
                <w:b/>
                <w:bCs/>
                <w:vertAlign w:val="superscript"/>
              </w:rPr>
              <w:t>1</w:t>
            </w:r>
          </w:p>
        </w:tc>
        <w:tc>
          <w:tcPr>
            <w:tcW w:w="1215" w:type="dxa"/>
            <w:tcBorders>
              <w:top w:val="double" w:color="auto" w:sz="6" w:space="0"/>
              <w:left w:val="nil"/>
              <w:bottom w:val="single" w:color="auto" w:sz="8" w:space="0"/>
              <w:right w:val="double" w:color="auto" w:sz="6" w:space="0"/>
            </w:tcBorders>
            <w:shd w:val="clear" w:color="auto" w:fill="EEECE1" w:themeFill="background2"/>
            <w:vAlign w:val="center"/>
            <w:hideMark/>
          </w:tcPr>
          <w:p w:rsidRPr="005339A0" w:rsidR="005339A0" w:rsidP="003F3D9C" w:rsidRDefault="005339A0" w14:paraId="65F2E8CC" w14:textId="77777777">
            <w:pPr>
              <w:jc w:val="center"/>
              <w:rPr>
                <w:b/>
                <w:bCs/>
                <w:color w:val="000000"/>
                <w:szCs w:val="24"/>
              </w:rPr>
            </w:pPr>
            <w:r w:rsidRPr="005339A0">
              <w:rPr>
                <w:b/>
                <w:bCs/>
                <w:color w:val="000000"/>
                <w:szCs w:val="24"/>
              </w:rPr>
              <w:t>Total Hour Cost</w:t>
            </w:r>
          </w:p>
        </w:tc>
      </w:tr>
      <w:tr w:rsidRPr="005339A0" w:rsidR="005339A0" w:rsidTr="0947336A" w14:paraId="2B06C3C2" w14:textId="77777777">
        <w:trPr>
          <w:trHeight w:val="290"/>
        </w:trPr>
        <w:tc>
          <w:tcPr>
            <w:tcW w:w="1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5339A0" w:rsidR="005339A0" w:rsidP="003F3D9C" w:rsidRDefault="005339A0" w14:paraId="679F4301" w14:textId="77777777">
            <w:pPr>
              <w:rPr>
                <w:color w:val="000000"/>
                <w:szCs w:val="24"/>
              </w:rPr>
            </w:pPr>
            <w:r w:rsidRPr="005339A0">
              <w:rPr>
                <w:bCs/>
                <w:color w:val="000000"/>
                <w:szCs w:val="24"/>
              </w:rPr>
              <w:t xml:space="preserve">Target Setting Tool </w:t>
            </w:r>
          </w:p>
        </w:tc>
        <w:tc>
          <w:tcPr>
            <w:tcW w:w="1203" w:type="dxa"/>
            <w:tcBorders>
              <w:top w:val="nil"/>
              <w:left w:val="single" w:color="auto" w:sz="4" w:space="0"/>
              <w:bottom w:val="single" w:color="000000" w:themeColor="text1" w:sz="8" w:space="0"/>
              <w:right w:val="single" w:color="auto" w:sz="8" w:space="0"/>
            </w:tcBorders>
            <w:shd w:val="clear" w:color="auto" w:fill="FFFFFF" w:themeFill="background1"/>
            <w:vAlign w:val="center"/>
            <w:hideMark/>
          </w:tcPr>
          <w:p w:rsidRPr="005339A0" w:rsidR="005339A0" w:rsidP="3C8C30DB" w:rsidRDefault="005339A0" w14:paraId="63DA68A9" w14:textId="001D6456">
            <w:pPr>
              <w:jc w:val="center"/>
              <w:rPr>
                <w:color w:val="000000"/>
              </w:rPr>
            </w:pPr>
            <w:r w:rsidRPr="3C8C30DB">
              <w:rPr>
                <w:color w:val="000000" w:themeColor="text1"/>
              </w:rPr>
              <w:t>2</w:t>
            </w:r>
            <w:r w:rsidRPr="3C8C30DB" w:rsidR="1F4240B2">
              <w:rPr>
                <w:color w:val="000000" w:themeColor="text1"/>
              </w:rPr>
              <w:t>3</w:t>
            </w:r>
          </w:p>
        </w:tc>
        <w:tc>
          <w:tcPr>
            <w:tcW w:w="1430" w:type="dxa"/>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5339A0" w:rsidR="005339A0" w:rsidP="003F3D9C" w:rsidRDefault="005339A0" w14:paraId="4CEDF96E" w14:textId="77777777">
            <w:pPr>
              <w:jc w:val="center"/>
              <w:rPr>
                <w:color w:val="000000"/>
                <w:szCs w:val="24"/>
              </w:rPr>
            </w:pPr>
            <w:r w:rsidRPr="005339A0">
              <w:rPr>
                <w:color w:val="000000"/>
                <w:szCs w:val="24"/>
              </w:rPr>
              <w:t>1</w:t>
            </w:r>
          </w:p>
        </w:tc>
        <w:tc>
          <w:tcPr>
            <w:tcW w:w="1270" w:type="dxa"/>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5339A0" w:rsidR="005339A0" w:rsidP="3C8C30DB" w:rsidRDefault="005339A0" w14:paraId="6086C93A" w14:textId="55A6B2F2">
            <w:pPr>
              <w:jc w:val="center"/>
              <w:rPr>
                <w:color w:val="000000"/>
              </w:rPr>
            </w:pPr>
            <w:r w:rsidRPr="3C8C30DB">
              <w:rPr>
                <w:color w:val="000000" w:themeColor="text1"/>
              </w:rPr>
              <w:t>2</w:t>
            </w:r>
            <w:r w:rsidRPr="3C8C30DB" w:rsidR="30221DDF">
              <w:rPr>
                <w:color w:val="000000" w:themeColor="text1"/>
              </w:rPr>
              <w:t>3</w:t>
            </w:r>
          </w:p>
        </w:tc>
        <w:tc>
          <w:tcPr>
            <w:tcW w:w="1177" w:type="dxa"/>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5339A0" w:rsidR="005339A0" w:rsidP="003F3D9C" w:rsidRDefault="005339A0" w14:paraId="2DE28EDD" w14:textId="77777777">
            <w:pPr>
              <w:jc w:val="center"/>
              <w:rPr>
                <w:color w:val="000000"/>
                <w:szCs w:val="24"/>
              </w:rPr>
            </w:pPr>
            <w:r w:rsidRPr="005339A0">
              <w:rPr>
                <w:color w:val="000000"/>
                <w:szCs w:val="24"/>
              </w:rPr>
              <w:t>0.6</w:t>
            </w:r>
          </w:p>
        </w:tc>
        <w:tc>
          <w:tcPr>
            <w:tcW w:w="1255" w:type="dxa"/>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5339A0" w:rsidR="005339A0" w:rsidP="3C8C30DB" w:rsidRDefault="005339A0" w14:paraId="678F7120" w14:textId="6031F123">
            <w:pPr>
              <w:jc w:val="center"/>
              <w:rPr>
                <w:color w:val="000000"/>
              </w:rPr>
            </w:pPr>
            <w:r w:rsidRPr="3C8C30DB">
              <w:rPr>
                <w:color w:val="000000" w:themeColor="text1"/>
              </w:rPr>
              <w:t>1</w:t>
            </w:r>
            <w:r w:rsidRPr="3C8C30DB" w:rsidR="4B3794D9">
              <w:rPr>
                <w:color w:val="000000" w:themeColor="text1"/>
              </w:rPr>
              <w:t>3.8</w:t>
            </w:r>
          </w:p>
        </w:tc>
        <w:tc>
          <w:tcPr>
            <w:tcW w:w="1080" w:type="dxa"/>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5339A0" w:rsidR="005339A0" w:rsidP="003F3D9C" w:rsidRDefault="005339A0" w14:paraId="04F3C55A" w14:textId="77777777">
            <w:pPr>
              <w:jc w:val="center"/>
              <w:rPr>
                <w:color w:val="000000"/>
                <w:szCs w:val="24"/>
              </w:rPr>
            </w:pPr>
            <w:r w:rsidRPr="005339A0">
              <w:rPr>
                <w:color w:val="000000"/>
                <w:szCs w:val="24"/>
              </w:rPr>
              <w:t xml:space="preserve">$24.78 </w:t>
            </w:r>
          </w:p>
        </w:tc>
        <w:tc>
          <w:tcPr>
            <w:tcW w:w="1215" w:type="dxa"/>
            <w:tcBorders>
              <w:top w:val="nil"/>
              <w:left w:val="single" w:color="auto" w:sz="8" w:space="0"/>
              <w:bottom w:val="single" w:color="000000" w:themeColor="text1" w:sz="8" w:space="0"/>
              <w:right w:val="double" w:color="auto" w:sz="6" w:space="0"/>
            </w:tcBorders>
            <w:shd w:val="clear" w:color="auto" w:fill="FFFFFF" w:themeFill="background1"/>
            <w:vAlign w:val="center"/>
            <w:hideMark/>
          </w:tcPr>
          <w:p w:rsidRPr="005339A0" w:rsidR="005339A0" w:rsidP="3C8C30DB" w:rsidRDefault="005339A0" w14:paraId="16E6B051" w14:textId="23F94BBE">
            <w:pPr>
              <w:jc w:val="center"/>
              <w:rPr>
                <w:color w:val="000000"/>
              </w:rPr>
            </w:pPr>
            <w:r w:rsidRPr="3C8C30DB">
              <w:rPr>
                <w:color w:val="000000" w:themeColor="text1"/>
              </w:rPr>
              <w:t>$</w:t>
            </w:r>
            <w:r w:rsidRPr="3C8C30DB" w:rsidR="16A9A6D3">
              <w:rPr>
                <w:color w:val="000000" w:themeColor="text1"/>
              </w:rPr>
              <w:t>34</w:t>
            </w:r>
            <w:r w:rsidRPr="3C8C30DB" w:rsidR="045C6E1C">
              <w:rPr>
                <w:color w:val="000000" w:themeColor="text1"/>
              </w:rPr>
              <w:t>2</w:t>
            </w:r>
          </w:p>
        </w:tc>
      </w:tr>
      <w:tr w:rsidRPr="005339A0" w:rsidR="005339A0" w:rsidTr="0947336A" w14:paraId="0D709551" w14:textId="77777777">
        <w:trPr>
          <w:trHeight w:val="1546"/>
        </w:trPr>
        <w:tc>
          <w:tcPr>
            <w:tcW w:w="15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5339A0" w:rsidR="005339A0" w:rsidP="3C8C30DB" w:rsidRDefault="005339A0" w14:paraId="3D90A306" w14:textId="7FCEFFBC">
            <w:pPr>
              <w:rPr>
                <w:color w:val="000000"/>
              </w:rPr>
            </w:pPr>
            <w:r w:rsidRPr="3C8C30DB">
              <w:rPr>
                <w:color w:val="000000" w:themeColor="text1"/>
              </w:rPr>
              <w:t>Aggregate Program Level Tool</w:t>
            </w:r>
            <w:r w:rsidRPr="3C8C30DB" w:rsidR="274A3D6F">
              <w:rPr>
                <w:color w:val="000000" w:themeColor="text1"/>
                <w:vertAlign w:val="superscript"/>
              </w:rPr>
              <w:t>2</w:t>
            </w:r>
          </w:p>
        </w:tc>
        <w:tc>
          <w:tcPr>
            <w:tcW w:w="1203" w:type="dxa"/>
            <w:tcBorders>
              <w:top w:val="nil"/>
              <w:left w:val="single" w:color="auto" w:sz="4" w:space="0"/>
              <w:bottom w:val="single" w:color="000000" w:themeColor="text1" w:sz="8" w:space="0"/>
              <w:right w:val="single" w:color="auto" w:sz="8" w:space="0"/>
            </w:tcBorders>
            <w:shd w:val="clear" w:color="auto" w:fill="FFFFFF" w:themeFill="background1"/>
            <w:vAlign w:val="center"/>
            <w:hideMark/>
          </w:tcPr>
          <w:p w:rsidRPr="005339A0" w:rsidR="005339A0" w:rsidP="3C8C30DB" w:rsidRDefault="005339A0" w14:paraId="70CAE3D6" w14:textId="36FE821C">
            <w:pPr>
              <w:jc w:val="center"/>
              <w:rPr>
                <w:color w:val="000000"/>
              </w:rPr>
            </w:pPr>
            <w:r w:rsidRPr="3C8C30DB">
              <w:rPr>
                <w:color w:val="000000" w:themeColor="text1"/>
              </w:rPr>
              <w:t>2</w:t>
            </w:r>
            <w:r w:rsidRPr="3C8C30DB" w:rsidR="71353B2D">
              <w:rPr>
                <w:color w:val="000000" w:themeColor="text1"/>
              </w:rPr>
              <w:t>3</w:t>
            </w:r>
          </w:p>
        </w:tc>
        <w:tc>
          <w:tcPr>
            <w:tcW w:w="1430" w:type="dxa"/>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5339A0" w:rsidR="005339A0" w:rsidP="003F3D9C" w:rsidRDefault="005339A0" w14:paraId="32936D99" w14:textId="77777777">
            <w:pPr>
              <w:jc w:val="center"/>
              <w:rPr>
                <w:color w:val="000000"/>
                <w:szCs w:val="24"/>
              </w:rPr>
            </w:pPr>
            <w:r w:rsidRPr="005339A0">
              <w:rPr>
                <w:color w:val="000000"/>
                <w:szCs w:val="24"/>
              </w:rPr>
              <w:t>4</w:t>
            </w:r>
          </w:p>
        </w:tc>
        <w:tc>
          <w:tcPr>
            <w:tcW w:w="1270" w:type="dxa"/>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5339A0" w:rsidR="005339A0" w:rsidP="3C8C30DB" w:rsidRDefault="005339A0" w14:paraId="5CE04CF0" w14:textId="79D92307">
            <w:pPr>
              <w:jc w:val="center"/>
              <w:rPr>
                <w:color w:val="000000"/>
              </w:rPr>
            </w:pPr>
            <w:r w:rsidRPr="3C8C30DB">
              <w:rPr>
                <w:color w:val="000000" w:themeColor="text1"/>
              </w:rPr>
              <w:t>9</w:t>
            </w:r>
            <w:r w:rsidRPr="3C8C30DB" w:rsidR="5185F6BD">
              <w:rPr>
                <w:color w:val="000000" w:themeColor="text1"/>
              </w:rPr>
              <w:t>2</w:t>
            </w:r>
          </w:p>
        </w:tc>
        <w:tc>
          <w:tcPr>
            <w:tcW w:w="1177" w:type="dxa"/>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5339A0" w:rsidR="005339A0" w:rsidP="3C8C30DB" w:rsidRDefault="005339A0" w14:paraId="23F48288" w14:textId="77777777">
            <w:pPr>
              <w:jc w:val="center"/>
              <w:rPr>
                <w:color w:val="000000"/>
              </w:rPr>
            </w:pPr>
            <w:r w:rsidRPr="0947336A">
              <w:rPr>
                <w:color w:val="000000" w:themeColor="text1"/>
              </w:rPr>
              <w:t>0.6</w:t>
            </w:r>
          </w:p>
        </w:tc>
        <w:tc>
          <w:tcPr>
            <w:tcW w:w="1255" w:type="dxa"/>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5339A0" w:rsidR="005339A0" w:rsidP="3C8C30DB" w:rsidRDefault="005339A0" w14:paraId="76407218" w14:textId="1710D5C5">
            <w:pPr>
              <w:jc w:val="center"/>
              <w:rPr>
                <w:color w:val="000000"/>
              </w:rPr>
            </w:pPr>
            <w:r w:rsidRPr="3C8C30DB">
              <w:rPr>
                <w:color w:val="000000" w:themeColor="text1"/>
              </w:rPr>
              <w:t>5</w:t>
            </w:r>
            <w:r w:rsidRPr="3C8C30DB" w:rsidR="7970C7A5">
              <w:rPr>
                <w:color w:val="000000" w:themeColor="text1"/>
              </w:rPr>
              <w:t>5.2</w:t>
            </w:r>
          </w:p>
        </w:tc>
        <w:tc>
          <w:tcPr>
            <w:tcW w:w="1080" w:type="dxa"/>
            <w:tcBorders>
              <w:top w:val="nil"/>
              <w:left w:val="single" w:color="auto" w:sz="8" w:space="0"/>
              <w:bottom w:val="single" w:color="000000" w:themeColor="text1" w:sz="8" w:space="0"/>
              <w:right w:val="single" w:color="auto" w:sz="8" w:space="0"/>
            </w:tcBorders>
            <w:shd w:val="clear" w:color="auto" w:fill="FFFFFF" w:themeFill="background1"/>
            <w:vAlign w:val="center"/>
            <w:hideMark/>
          </w:tcPr>
          <w:p w:rsidRPr="005339A0" w:rsidR="005339A0" w:rsidP="003F3D9C" w:rsidRDefault="005339A0" w14:paraId="216608FE" w14:textId="77777777">
            <w:pPr>
              <w:jc w:val="center"/>
              <w:rPr>
                <w:color w:val="000000"/>
                <w:szCs w:val="24"/>
              </w:rPr>
            </w:pPr>
            <w:r w:rsidRPr="005339A0">
              <w:rPr>
                <w:color w:val="000000"/>
                <w:szCs w:val="24"/>
              </w:rPr>
              <w:t xml:space="preserve">$24.78 </w:t>
            </w:r>
          </w:p>
        </w:tc>
        <w:tc>
          <w:tcPr>
            <w:tcW w:w="1215" w:type="dxa"/>
            <w:tcBorders>
              <w:top w:val="nil"/>
              <w:left w:val="single" w:color="auto" w:sz="8" w:space="0"/>
              <w:bottom w:val="single" w:color="000000" w:themeColor="text1" w:sz="8" w:space="0"/>
              <w:right w:val="double" w:color="auto" w:sz="6" w:space="0"/>
            </w:tcBorders>
            <w:shd w:val="clear" w:color="auto" w:fill="FFFFFF" w:themeFill="background1"/>
            <w:vAlign w:val="center"/>
            <w:hideMark/>
          </w:tcPr>
          <w:p w:rsidRPr="005339A0" w:rsidR="005339A0" w:rsidP="3C8C30DB" w:rsidRDefault="005339A0" w14:paraId="6273BEEE" w14:textId="7B283553">
            <w:pPr>
              <w:jc w:val="center"/>
              <w:rPr>
                <w:color w:val="000000"/>
              </w:rPr>
            </w:pPr>
            <w:r w:rsidRPr="3C8C30DB">
              <w:rPr>
                <w:color w:val="000000" w:themeColor="text1"/>
              </w:rPr>
              <w:t>$1,</w:t>
            </w:r>
            <w:r w:rsidRPr="3C8C30DB" w:rsidR="36A7C683">
              <w:rPr>
                <w:color w:val="000000" w:themeColor="text1"/>
              </w:rPr>
              <w:t>368</w:t>
            </w:r>
          </w:p>
        </w:tc>
      </w:tr>
      <w:tr w:rsidRPr="005339A0" w:rsidR="005339A0" w:rsidTr="0947336A" w14:paraId="2179D0AB" w14:textId="77777777">
        <w:trPr>
          <w:trHeight w:val="290"/>
        </w:trPr>
        <w:tc>
          <w:tcPr>
            <w:tcW w:w="1564" w:type="dxa"/>
            <w:vMerge w:val="restart"/>
            <w:tcBorders>
              <w:top w:val="nil"/>
              <w:left w:val="double" w:color="auto" w:sz="6" w:space="0"/>
              <w:bottom w:val="double" w:color="000000" w:themeColor="text1" w:sz="6" w:space="0"/>
              <w:right w:val="single" w:color="auto" w:sz="8" w:space="0"/>
            </w:tcBorders>
            <w:vAlign w:val="center"/>
            <w:hideMark/>
          </w:tcPr>
          <w:p w:rsidRPr="005339A0" w:rsidR="005339A0" w:rsidP="003F3D9C" w:rsidRDefault="00F677F7" w14:paraId="51BE1B5F" w14:textId="4E0834BE">
            <w:pPr>
              <w:rPr>
                <w:b/>
                <w:bCs/>
                <w:color w:val="000000"/>
                <w:szCs w:val="24"/>
              </w:rPr>
            </w:pPr>
            <w:r>
              <w:rPr>
                <w:b/>
                <w:bCs/>
                <w:color w:val="000000"/>
                <w:szCs w:val="24"/>
              </w:rPr>
              <w:t>Total</w:t>
            </w:r>
          </w:p>
        </w:tc>
        <w:tc>
          <w:tcPr>
            <w:tcW w:w="1203" w:type="dxa"/>
            <w:vMerge w:val="restart"/>
            <w:tcBorders>
              <w:top w:val="nil"/>
              <w:left w:val="single" w:color="auto" w:sz="8" w:space="0"/>
              <w:bottom w:val="double" w:color="000000" w:themeColor="text1" w:sz="6" w:space="0"/>
              <w:right w:val="single" w:color="auto" w:sz="8" w:space="0"/>
            </w:tcBorders>
            <w:vAlign w:val="center"/>
            <w:hideMark/>
          </w:tcPr>
          <w:p w:rsidRPr="005339A0" w:rsidR="005339A0" w:rsidP="3C8C30DB" w:rsidRDefault="00F677F7" w14:paraId="052CFEC1" w14:textId="5EAE637E">
            <w:pPr>
              <w:jc w:val="center"/>
              <w:rPr>
                <w:b/>
                <w:bCs/>
                <w:color w:val="000000"/>
              </w:rPr>
            </w:pPr>
            <w:r w:rsidRPr="3C8C30DB">
              <w:rPr>
                <w:b/>
                <w:bCs/>
                <w:color w:val="000000" w:themeColor="text1"/>
              </w:rPr>
              <w:t>2</w:t>
            </w:r>
            <w:r w:rsidRPr="3C8C30DB" w:rsidR="671CD723">
              <w:rPr>
                <w:b/>
                <w:bCs/>
                <w:color w:val="000000" w:themeColor="text1"/>
              </w:rPr>
              <w:t>3</w:t>
            </w:r>
          </w:p>
        </w:tc>
        <w:tc>
          <w:tcPr>
            <w:tcW w:w="1430" w:type="dxa"/>
            <w:vMerge w:val="restart"/>
            <w:tcBorders>
              <w:top w:val="nil"/>
              <w:left w:val="single" w:color="auto" w:sz="8" w:space="0"/>
              <w:bottom w:val="double" w:color="000000" w:themeColor="text1" w:sz="6" w:space="0"/>
              <w:right w:val="single" w:color="auto" w:sz="8" w:space="0"/>
            </w:tcBorders>
            <w:vAlign w:val="center"/>
            <w:hideMark/>
          </w:tcPr>
          <w:p w:rsidRPr="005339A0" w:rsidR="005339A0" w:rsidP="00F677F7" w:rsidRDefault="005339A0" w14:paraId="2A35F387" w14:textId="77777777">
            <w:pPr>
              <w:jc w:val="center"/>
              <w:rPr>
                <w:color w:val="000000"/>
                <w:szCs w:val="24"/>
              </w:rPr>
            </w:pPr>
          </w:p>
        </w:tc>
        <w:tc>
          <w:tcPr>
            <w:tcW w:w="1270" w:type="dxa"/>
            <w:vMerge w:val="restart"/>
            <w:tcBorders>
              <w:top w:val="nil"/>
              <w:left w:val="single" w:color="auto" w:sz="8" w:space="0"/>
              <w:bottom w:val="double" w:color="000000" w:themeColor="text1" w:sz="6" w:space="0"/>
              <w:right w:val="single" w:color="auto" w:sz="8" w:space="0"/>
            </w:tcBorders>
            <w:vAlign w:val="center"/>
            <w:hideMark/>
          </w:tcPr>
          <w:p w:rsidRPr="005339A0" w:rsidR="005339A0" w:rsidP="76187897" w:rsidRDefault="00F677F7" w14:paraId="72CC4B78" w14:textId="2C395EAB">
            <w:pPr>
              <w:jc w:val="center"/>
              <w:rPr>
                <w:b/>
                <w:bCs/>
                <w:color w:val="000000"/>
              </w:rPr>
            </w:pPr>
            <w:r w:rsidRPr="76187897">
              <w:rPr>
                <w:b/>
                <w:bCs/>
                <w:color w:val="000000" w:themeColor="text1"/>
              </w:rPr>
              <w:t>1</w:t>
            </w:r>
            <w:r w:rsidRPr="76187897" w:rsidR="7052975E">
              <w:rPr>
                <w:b/>
                <w:bCs/>
                <w:color w:val="000000" w:themeColor="text1"/>
              </w:rPr>
              <w:t>15</w:t>
            </w:r>
          </w:p>
        </w:tc>
        <w:tc>
          <w:tcPr>
            <w:tcW w:w="1177" w:type="dxa"/>
            <w:vMerge w:val="restart"/>
            <w:tcBorders>
              <w:top w:val="nil"/>
              <w:left w:val="single" w:color="auto" w:sz="8" w:space="0"/>
              <w:bottom w:val="double" w:color="000000" w:themeColor="text1" w:sz="6" w:space="0"/>
              <w:right w:val="single" w:color="auto" w:sz="8" w:space="0"/>
            </w:tcBorders>
            <w:vAlign w:val="center"/>
            <w:hideMark/>
          </w:tcPr>
          <w:p w:rsidRPr="005339A0" w:rsidR="005339A0" w:rsidP="00F677F7" w:rsidRDefault="005339A0" w14:paraId="22783B19" w14:textId="77777777">
            <w:pPr>
              <w:jc w:val="center"/>
              <w:rPr>
                <w:color w:val="000000"/>
                <w:szCs w:val="24"/>
              </w:rPr>
            </w:pPr>
          </w:p>
        </w:tc>
        <w:tc>
          <w:tcPr>
            <w:tcW w:w="1255" w:type="dxa"/>
            <w:vMerge w:val="restart"/>
            <w:tcBorders>
              <w:top w:val="nil"/>
              <w:left w:val="single" w:color="auto" w:sz="8" w:space="0"/>
              <w:bottom w:val="double" w:color="000000" w:themeColor="text1" w:sz="6" w:space="0"/>
              <w:right w:val="single" w:color="auto" w:sz="8" w:space="0"/>
            </w:tcBorders>
            <w:vAlign w:val="center"/>
            <w:hideMark/>
          </w:tcPr>
          <w:p w:rsidRPr="005339A0" w:rsidR="005339A0" w:rsidP="00F677F7" w:rsidRDefault="00F677F7" w14:paraId="797FF556" w14:textId="06783F3C">
            <w:pPr>
              <w:jc w:val="center"/>
              <w:rPr>
                <w:b/>
                <w:bCs/>
                <w:color w:val="000000"/>
                <w:szCs w:val="24"/>
              </w:rPr>
            </w:pPr>
            <w:r>
              <w:rPr>
                <w:b/>
                <w:bCs/>
                <w:color w:val="000000"/>
                <w:szCs w:val="24"/>
              </w:rPr>
              <w:t>72</w:t>
            </w:r>
          </w:p>
        </w:tc>
        <w:tc>
          <w:tcPr>
            <w:tcW w:w="1080" w:type="dxa"/>
            <w:vMerge w:val="restart"/>
            <w:tcBorders>
              <w:top w:val="nil"/>
              <w:left w:val="single" w:color="auto" w:sz="8" w:space="0"/>
              <w:bottom w:val="double" w:color="000000" w:themeColor="text1" w:sz="6" w:space="0"/>
              <w:right w:val="single" w:color="auto" w:sz="8" w:space="0"/>
            </w:tcBorders>
            <w:vAlign w:val="center"/>
            <w:hideMark/>
          </w:tcPr>
          <w:p w:rsidRPr="005339A0" w:rsidR="005339A0" w:rsidP="00F677F7" w:rsidRDefault="005339A0" w14:paraId="3CF3DA7B" w14:textId="77777777">
            <w:pPr>
              <w:jc w:val="center"/>
              <w:rPr>
                <w:b/>
                <w:bCs/>
                <w:color w:val="000000"/>
                <w:szCs w:val="24"/>
              </w:rPr>
            </w:pPr>
          </w:p>
        </w:tc>
        <w:tc>
          <w:tcPr>
            <w:tcW w:w="1215" w:type="dxa"/>
            <w:vMerge w:val="restart"/>
            <w:tcBorders>
              <w:top w:val="nil"/>
              <w:left w:val="single" w:color="auto" w:sz="8" w:space="0"/>
              <w:bottom w:val="double" w:color="000000" w:themeColor="text1" w:sz="6" w:space="0"/>
              <w:right w:val="double" w:color="auto" w:sz="6" w:space="0"/>
            </w:tcBorders>
            <w:vAlign w:val="center"/>
            <w:hideMark/>
          </w:tcPr>
          <w:p w:rsidRPr="005339A0" w:rsidR="005339A0" w:rsidP="3C8C30DB" w:rsidRDefault="00134FC8" w14:paraId="72116C6F" w14:textId="201588F1">
            <w:pPr>
              <w:jc w:val="center"/>
              <w:rPr>
                <w:b/>
                <w:bCs/>
                <w:color w:val="000000"/>
              </w:rPr>
            </w:pPr>
            <w:r>
              <w:rPr>
                <w:b/>
                <w:bCs/>
                <w:color w:val="000000" w:themeColor="text1"/>
              </w:rPr>
              <w:t>$</w:t>
            </w:r>
            <w:r w:rsidRPr="3C8C30DB" w:rsidR="00F677F7">
              <w:rPr>
                <w:b/>
                <w:bCs/>
                <w:color w:val="000000" w:themeColor="text1"/>
              </w:rPr>
              <w:t>1,7</w:t>
            </w:r>
            <w:r w:rsidRPr="3C8C30DB" w:rsidR="2BA934E9">
              <w:rPr>
                <w:b/>
                <w:bCs/>
                <w:color w:val="000000" w:themeColor="text1"/>
              </w:rPr>
              <w:t>10</w:t>
            </w:r>
          </w:p>
        </w:tc>
      </w:tr>
      <w:tr w:rsidRPr="005339A0" w:rsidR="005339A0" w:rsidTr="0947336A" w14:paraId="30FC7C71" w14:textId="77777777">
        <w:trPr>
          <w:trHeight w:val="290"/>
        </w:trPr>
        <w:tc>
          <w:tcPr>
            <w:tcW w:w="1564" w:type="dxa"/>
            <w:vMerge/>
            <w:vAlign w:val="center"/>
            <w:hideMark/>
          </w:tcPr>
          <w:p w:rsidRPr="005339A0" w:rsidR="005339A0" w:rsidP="003F3D9C" w:rsidRDefault="005339A0" w14:paraId="5946EACA" w14:textId="77777777">
            <w:pPr>
              <w:rPr>
                <w:b/>
                <w:bCs/>
                <w:color w:val="000000"/>
                <w:szCs w:val="24"/>
              </w:rPr>
            </w:pPr>
          </w:p>
        </w:tc>
        <w:tc>
          <w:tcPr>
            <w:tcW w:w="1203" w:type="dxa"/>
            <w:vMerge/>
            <w:vAlign w:val="center"/>
            <w:hideMark/>
          </w:tcPr>
          <w:p w:rsidRPr="005339A0" w:rsidR="005339A0" w:rsidP="003F3D9C" w:rsidRDefault="005339A0" w14:paraId="10AA29D8" w14:textId="77777777">
            <w:pPr>
              <w:rPr>
                <w:b/>
                <w:bCs/>
                <w:color w:val="000000"/>
                <w:szCs w:val="24"/>
              </w:rPr>
            </w:pPr>
          </w:p>
        </w:tc>
        <w:tc>
          <w:tcPr>
            <w:tcW w:w="1430" w:type="dxa"/>
            <w:vMerge/>
            <w:vAlign w:val="center"/>
            <w:hideMark/>
          </w:tcPr>
          <w:p w:rsidRPr="005339A0" w:rsidR="005339A0" w:rsidP="003F3D9C" w:rsidRDefault="005339A0" w14:paraId="6B13EA81" w14:textId="77777777">
            <w:pPr>
              <w:rPr>
                <w:color w:val="000000"/>
                <w:szCs w:val="24"/>
              </w:rPr>
            </w:pPr>
          </w:p>
        </w:tc>
        <w:tc>
          <w:tcPr>
            <w:tcW w:w="1270" w:type="dxa"/>
            <w:vMerge/>
            <w:vAlign w:val="center"/>
            <w:hideMark/>
          </w:tcPr>
          <w:p w:rsidRPr="005339A0" w:rsidR="005339A0" w:rsidP="003F3D9C" w:rsidRDefault="005339A0" w14:paraId="7618490D" w14:textId="77777777">
            <w:pPr>
              <w:rPr>
                <w:b/>
                <w:bCs/>
                <w:color w:val="000000"/>
                <w:szCs w:val="24"/>
              </w:rPr>
            </w:pPr>
          </w:p>
        </w:tc>
        <w:tc>
          <w:tcPr>
            <w:tcW w:w="1177" w:type="dxa"/>
            <w:vMerge/>
            <w:vAlign w:val="center"/>
            <w:hideMark/>
          </w:tcPr>
          <w:p w:rsidRPr="005339A0" w:rsidR="005339A0" w:rsidP="003F3D9C" w:rsidRDefault="005339A0" w14:paraId="1CB77109" w14:textId="77777777">
            <w:pPr>
              <w:rPr>
                <w:color w:val="000000"/>
                <w:szCs w:val="24"/>
              </w:rPr>
            </w:pPr>
          </w:p>
        </w:tc>
        <w:tc>
          <w:tcPr>
            <w:tcW w:w="1255" w:type="dxa"/>
            <w:vMerge/>
            <w:vAlign w:val="center"/>
            <w:hideMark/>
          </w:tcPr>
          <w:p w:rsidRPr="005339A0" w:rsidR="005339A0" w:rsidP="003F3D9C" w:rsidRDefault="005339A0" w14:paraId="44781CBE" w14:textId="77777777">
            <w:pPr>
              <w:rPr>
                <w:b/>
                <w:bCs/>
                <w:color w:val="000000"/>
                <w:szCs w:val="24"/>
              </w:rPr>
            </w:pPr>
          </w:p>
        </w:tc>
        <w:tc>
          <w:tcPr>
            <w:tcW w:w="1080" w:type="dxa"/>
            <w:vMerge/>
            <w:vAlign w:val="center"/>
            <w:hideMark/>
          </w:tcPr>
          <w:p w:rsidRPr="005339A0" w:rsidR="005339A0" w:rsidP="003F3D9C" w:rsidRDefault="005339A0" w14:paraId="4EF380E3" w14:textId="77777777">
            <w:pPr>
              <w:rPr>
                <w:b/>
                <w:bCs/>
                <w:color w:val="000000"/>
                <w:szCs w:val="24"/>
              </w:rPr>
            </w:pPr>
          </w:p>
        </w:tc>
        <w:tc>
          <w:tcPr>
            <w:tcW w:w="1215" w:type="dxa"/>
            <w:vMerge/>
            <w:vAlign w:val="center"/>
            <w:hideMark/>
          </w:tcPr>
          <w:p w:rsidRPr="005339A0" w:rsidR="005339A0" w:rsidP="003F3D9C" w:rsidRDefault="005339A0" w14:paraId="6EA45276" w14:textId="77777777">
            <w:pPr>
              <w:rPr>
                <w:b/>
                <w:bCs/>
                <w:color w:val="000000"/>
                <w:szCs w:val="24"/>
              </w:rPr>
            </w:pPr>
          </w:p>
        </w:tc>
      </w:tr>
      <w:tr w:rsidRPr="005339A0" w:rsidR="005339A0" w:rsidTr="0947336A" w14:paraId="5233F3BA" w14:textId="77777777">
        <w:trPr>
          <w:trHeight w:val="276"/>
        </w:trPr>
        <w:tc>
          <w:tcPr>
            <w:tcW w:w="1564" w:type="dxa"/>
            <w:vMerge/>
            <w:vAlign w:val="center"/>
            <w:hideMark/>
          </w:tcPr>
          <w:p w:rsidRPr="005339A0" w:rsidR="005339A0" w:rsidP="003F3D9C" w:rsidRDefault="005339A0" w14:paraId="613ED364" w14:textId="77777777">
            <w:pPr>
              <w:rPr>
                <w:b/>
                <w:bCs/>
                <w:color w:val="000000"/>
                <w:szCs w:val="24"/>
              </w:rPr>
            </w:pPr>
          </w:p>
        </w:tc>
        <w:tc>
          <w:tcPr>
            <w:tcW w:w="1203" w:type="dxa"/>
            <w:vMerge/>
            <w:vAlign w:val="center"/>
            <w:hideMark/>
          </w:tcPr>
          <w:p w:rsidRPr="005339A0" w:rsidR="005339A0" w:rsidP="003F3D9C" w:rsidRDefault="005339A0" w14:paraId="42408316" w14:textId="77777777">
            <w:pPr>
              <w:rPr>
                <w:b/>
                <w:bCs/>
                <w:color w:val="000000"/>
                <w:szCs w:val="24"/>
              </w:rPr>
            </w:pPr>
          </w:p>
        </w:tc>
        <w:tc>
          <w:tcPr>
            <w:tcW w:w="1430" w:type="dxa"/>
            <w:vMerge/>
            <w:vAlign w:val="center"/>
            <w:hideMark/>
          </w:tcPr>
          <w:p w:rsidRPr="005339A0" w:rsidR="005339A0" w:rsidP="003F3D9C" w:rsidRDefault="005339A0" w14:paraId="3FF1C214" w14:textId="77777777">
            <w:pPr>
              <w:rPr>
                <w:color w:val="000000"/>
                <w:szCs w:val="24"/>
              </w:rPr>
            </w:pPr>
          </w:p>
        </w:tc>
        <w:tc>
          <w:tcPr>
            <w:tcW w:w="1270" w:type="dxa"/>
            <w:vMerge/>
            <w:vAlign w:val="center"/>
            <w:hideMark/>
          </w:tcPr>
          <w:p w:rsidRPr="005339A0" w:rsidR="005339A0" w:rsidP="003F3D9C" w:rsidRDefault="005339A0" w14:paraId="38AF4000" w14:textId="77777777">
            <w:pPr>
              <w:rPr>
                <w:b/>
                <w:bCs/>
                <w:color w:val="000000"/>
                <w:szCs w:val="24"/>
              </w:rPr>
            </w:pPr>
          </w:p>
        </w:tc>
        <w:tc>
          <w:tcPr>
            <w:tcW w:w="1177" w:type="dxa"/>
            <w:vMerge/>
            <w:vAlign w:val="center"/>
            <w:hideMark/>
          </w:tcPr>
          <w:p w:rsidRPr="005339A0" w:rsidR="005339A0" w:rsidP="003F3D9C" w:rsidRDefault="005339A0" w14:paraId="36370576" w14:textId="77777777">
            <w:pPr>
              <w:rPr>
                <w:color w:val="000000"/>
                <w:szCs w:val="24"/>
              </w:rPr>
            </w:pPr>
          </w:p>
        </w:tc>
        <w:tc>
          <w:tcPr>
            <w:tcW w:w="1255" w:type="dxa"/>
            <w:vMerge/>
            <w:vAlign w:val="center"/>
            <w:hideMark/>
          </w:tcPr>
          <w:p w:rsidRPr="005339A0" w:rsidR="005339A0" w:rsidP="003F3D9C" w:rsidRDefault="005339A0" w14:paraId="77D941F3" w14:textId="77777777">
            <w:pPr>
              <w:rPr>
                <w:b/>
                <w:bCs/>
                <w:color w:val="000000"/>
                <w:szCs w:val="24"/>
              </w:rPr>
            </w:pPr>
          </w:p>
        </w:tc>
        <w:tc>
          <w:tcPr>
            <w:tcW w:w="1080" w:type="dxa"/>
            <w:vMerge/>
            <w:vAlign w:val="center"/>
            <w:hideMark/>
          </w:tcPr>
          <w:p w:rsidRPr="005339A0" w:rsidR="005339A0" w:rsidP="003F3D9C" w:rsidRDefault="005339A0" w14:paraId="64C40F6C" w14:textId="77777777">
            <w:pPr>
              <w:rPr>
                <w:b/>
                <w:bCs/>
                <w:color w:val="000000"/>
                <w:szCs w:val="24"/>
              </w:rPr>
            </w:pPr>
          </w:p>
        </w:tc>
        <w:tc>
          <w:tcPr>
            <w:tcW w:w="1215" w:type="dxa"/>
            <w:vMerge/>
            <w:vAlign w:val="center"/>
            <w:hideMark/>
          </w:tcPr>
          <w:p w:rsidRPr="005339A0" w:rsidR="005339A0" w:rsidP="003F3D9C" w:rsidRDefault="005339A0" w14:paraId="50907DB9" w14:textId="77777777">
            <w:pPr>
              <w:rPr>
                <w:b/>
                <w:bCs/>
                <w:color w:val="000000"/>
                <w:szCs w:val="24"/>
              </w:rPr>
            </w:pPr>
          </w:p>
        </w:tc>
      </w:tr>
    </w:tbl>
    <w:p w:rsidRPr="003060EF" w:rsidR="009B5021" w:rsidP="009B5021" w:rsidRDefault="009B5021" w14:paraId="0668B358" w14:textId="77777777">
      <w:pPr>
        <w:rPr>
          <w:b/>
          <w:bCs/>
        </w:rPr>
      </w:pPr>
    </w:p>
    <w:tbl>
      <w:tblPr>
        <w:tblW w:w="9360" w:type="dxa"/>
        <w:tblLook w:val="04A0" w:firstRow="1" w:lastRow="0" w:firstColumn="1" w:lastColumn="0" w:noHBand="0" w:noVBand="1"/>
      </w:tblPr>
      <w:tblGrid>
        <w:gridCol w:w="9360"/>
      </w:tblGrid>
      <w:tr w:rsidRPr="003060EF" w:rsidR="009B5021" w:rsidTr="0947336A" w14:paraId="2BBE49A7" w14:textId="77777777">
        <w:trPr>
          <w:trHeight w:val="310"/>
        </w:trPr>
        <w:tc>
          <w:tcPr>
            <w:tcW w:w="9360" w:type="dxa"/>
            <w:tcBorders>
              <w:top w:val="nil"/>
              <w:left w:val="nil"/>
              <w:bottom w:val="nil"/>
              <w:right w:val="nil"/>
            </w:tcBorders>
            <w:shd w:val="clear" w:color="auto" w:fill="auto"/>
            <w:noWrap/>
            <w:vAlign w:val="center"/>
            <w:hideMark/>
          </w:tcPr>
          <w:p w:rsidRPr="003060EF" w:rsidR="009B5021" w:rsidP="0947336A" w:rsidRDefault="009B5021" w14:paraId="79B4E4E6" w14:textId="63D65602">
            <w:pPr>
              <w:rPr>
                <w:color w:val="000000"/>
                <w:sz w:val="20"/>
              </w:rPr>
            </w:pPr>
            <w:r w:rsidRPr="0947336A">
              <w:rPr>
                <w:color w:val="000000" w:themeColor="text1"/>
                <w:sz w:val="20"/>
                <w:vertAlign w:val="superscript"/>
              </w:rPr>
              <w:t xml:space="preserve"> [1]</w:t>
            </w:r>
            <w:r w:rsidRPr="0947336A">
              <w:rPr>
                <w:color w:val="000000" w:themeColor="text1"/>
                <w:sz w:val="20"/>
              </w:rPr>
              <w:t xml:space="preserve"> The hourly wage estimate is $2</w:t>
            </w:r>
            <w:r w:rsidRPr="0947336A" w:rsidR="0081308E">
              <w:rPr>
                <w:color w:val="000000" w:themeColor="text1"/>
                <w:sz w:val="20"/>
              </w:rPr>
              <w:t>4</w:t>
            </w:r>
            <w:r w:rsidRPr="0947336A">
              <w:rPr>
                <w:color w:val="000000" w:themeColor="text1"/>
                <w:sz w:val="20"/>
              </w:rPr>
              <w:t>.</w:t>
            </w:r>
            <w:r w:rsidRPr="0947336A" w:rsidR="0081308E">
              <w:rPr>
                <w:color w:val="000000" w:themeColor="text1"/>
                <w:sz w:val="20"/>
              </w:rPr>
              <w:t>78</w:t>
            </w:r>
            <w:r w:rsidRPr="0947336A">
              <w:rPr>
                <w:color w:val="000000" w:themeColor="text1"/>
                <w:sz w:val="20"/>
              </w:rPr>
              <w:t xml:space="preserve"> based on the Occupational Employment and Wages, Mean Hourly Wage Rate for 21-1011 Substance Abuse and Behavioral Disorder </w:t>
            </w:r>
            <w:r w:rsidRPr="0947336A" w:rsidR="6B2889C2">
              <w:rPr>
                <w:color w:val="000000" w:themeColor="text1"/>
                <w:sz w:val="20"/>
              </w:rPr>
              <w:t>Counselors =</w:t>
            </w:r>
            <w:r w:rsidRPr="0947336A">
              <w:rPr>
                <w:color w:val="000000" w:themeColor="text1"/>
                <w:sz w:val="20"/>
              </w:rPr>
              <w:t xml:space="preserve"> $24.78/hr. as of May 11, 2021.</w:t>
            </w:r>
            <w:r w:rsidR="00F61103">
              <w:rPr>
                <w:color w:val="000000" w:themeColor="text1"/>
                <w:sz w:val="20"/>
              </w:rPr>
              <w:t xml:space="preserve">   </w:t>
            </w:r>
            <w:r w:rsidRPr="0947336A">
              <w:rPr>
                <w:color w:val="000000" w:themeColor="text1"/>
                <w:sz w:val="20"/>
              </w:rPr>
              <w:t>(http://www.bls.gov/oes/current/oes211011.htm. Accessed on May 11, 2021.)</w:t>
            </w:r>
          </w:p>
        </w:tc>
      </w:tr>
      <w:tr w:rsidRPr="003060EF" w:rsidR="009B5021" w:rsidTr="0947336A" w14:paraId="2BEEFC78" w14:textId="77777777">
        <w:trPr>
          <w:trHeight w:val="167"/>
        </w:trPr>
        <w:tc>
          <w:tcPr>
            <w:tcW w:w="9360" w:type="dxa"/>
            <w:tcBorders>
              <w:top w:val="nil"/>
              <w:left w:val="nil"/>
              <w:bottom w:val="nil"/>
              <w:right w:val="nil"/>
            </w:tcBorders>
            <w:shd w:val="clear" w:color="auto" w:fill="auto"/>
            <w:noWrap/>
            <w:vAlign w:val="center"/>
            <w:hideMark/>
          </w:tcPr>
          <w:p w:rsidRPr="003060EF" w:rsidR="009B5021" w:rsidP="3C8C30DB" w:rsidRDefault="009B5021" w14:paraId="680F3EF4" w14:textId="0D3EA5BF">
            <w:pPr>
              <w:rPr>
                <w:sz w:val="20"/>
              </w:rPr>
            </w:pPr>
            <w:r w:rsidRPr="3C8C30DB">
              <w:rPr>
                <w:sz w:val="20"/>
              </w:rPr>
              <w:t>(</w:t>
            </w:r>
            <w:r w:rsidRPr="3C8C30DB" w:rsidR="0F93E709">
              <w:rPr>
                <w:sz w:val="20"/>
              </w:rPr>
              <w:t>2</w:t>
            </w:r>
            <w:r w:rsidRPr="3C8C30DB">
              <w:rPr>
                <w:sz w:val="20"/>
              </w:rPr>
              <w:t>) This is an aggregate tool and collection is based on encounters.</w:t>
            </w:r>
          </w:p>
        </w:tc>
      </w:tr>
      <w:tr w:rsidRPr="003060EF" w:rsidR="009B5021" w:rsidTr="0947336A" w14:paraId="7AC15AF3" w14:textId="77777777">
        <w:trPr>
          <w:trHeight w:val="290"/>
        </w:trPr>
        <w:tc>
          <w:tcPr>
            <w:tcW w:w="9360" w:type="dxa"/>
            <w:tcBorders>
              <w:top w:val="nil"/>
              <w:left w:val="nil"/>
              <w:bottom w:val="nil"/>
              <w:right w:val="nil"/>
            </w:tcBorders>
            <w:shd w:val="clear" w:color="auto" w:fill="auto"/>
            <w:noWrap/>
            <w:vAlign w:val="center"/>
            <w:hideMark/>
          </w:tcPr>
          <w:p w:rsidRPr="003060EF" w:rsidR="009B5021" w:rsidP="009B5021" w:rsidRDefault="009B5021" w14:paraId="0A585BAB" w14:textId="64A22A1C">
            <w:pPr>
              <w:rPr>
                <w:color w:val="000000"/>
                <w:sz w:val="20"/>
              </w:rPr>
            </w:pPr>
          </w:p>
        </w:tc>
      </w:tr>
    </w:tbl>
    <w:p w:rsidRPr="003060EF" w:rsidR="00C84489" w:rsidP="00C84489" w:rsidRDefault="00C84489" w14:paraId="6BD19A28" w14:textId="573942B9">
      <w:r w:rsidRPr="003060EF">
        <w:t xml:space="preserve">The estimates in this table reflect the maximum annual burden for </w:t>
      </w:r>
      <w:r w:rsidRPr="003060EF" w:rsidR="00ED3F0B">
        <w:t>proposed</w:t>
      </w:r>
      <w:r w:rsidRPr="003060EF">
        <w:t xml:space="preserve"> discretionary</w:t>
      </w:r>
      <w:r w:rsidRPr="003060EF" w:rsidR="00ED3F0B">
        <w:t xml:space="preserve"> harm reduction</w:t>
      </w:r>
      <w:r w:rsidRPr="003060EF">
        <w:t xml:space="preserve"> services program</w:t>
      </w:r>
      <w:r w:rsidRPr="003060EF" w:rsidR="00E279F8">
        <w:t>.</w:t>
      </w:r>
      <w:r w:rsidR="00F61103">
        <w:t xml:space="preserve"> </w:t>
      </w:r>
      <w:r w:rsidRPr="003060EF">
        <w:t xml:space="preserve">The number of </w:t>
      </w:r>
      <w:r w:rsidR="00F677F7">
        <w:t>grants</w:t>
      </w:r>
      <w:r w:rsidRPr="003060EF">
        <w:t xml:space="preserve"> in following years is estimated to be the same assuming level funding of the </w:t>
      </w:r>
      <w:r w:rsidRPr="003060EF" w:rsidR="00ED3F0B">
        <w:t xml:space="preserve">Harm Reduction </w:t>
      </w:r>
      <w:r w:rsidR="00FF13D4">
        <w:t xml:space="preserve">Grant </w:t>
      </w:r>
      <w:r w:rsidRPr="003060EF" w:rsidR="00ED3F0B">
        <w:t>P</w:t>
      </w:r>
      <w:r w:rsidRPr="003060EF">
        <w:t>rogram, resulting in the same annual burden estimate for those years.</w:t>
      </w:r>
    </w:p>
    <w:p w:rsidR="005A4A00" w:rsidP="005A4A00" w:rsidRDefault="005A4A00" w14:paraId="6313E771" w14:textId="5CC147DF"/>
    <w:p w:rsidRPr="003060EF" w:rsidR="005A4A00" w:rsidP="005A4A00" w:rsidRDefault="005A4A00" w14:paraId="0DA2BE15" w14:textId="1952C20F">
      <w:pPr>
        <w:rPr>
          <w:b/>
          <w:bCs/>
        </w:rPr>
      </w:pPr>
      <w:r w:rsidRPr="003060EF">
        <w:rPr>
          <w:b/>
        </w:rPr>
        <w:t>A13.</w:t>
      </w:r>
      <w:r w:rsidR="00F61103">
        <w:rPr>
          <w:b/>
        </w:rPr>
        <w:t xml:space="preserve">      </w:t>
      </w:r>
      <w:r w:rsidRPr="003060EF">
        <w:rPr>
          <w:b/>
        </w:rPr>
        <w:t xml:space="preserve"> </w:t>
      </w:r>
      <w:r w:rsidRPr="003060EF">
        <w:rPr>
          <w:b/>
          <w:bCs/>
        </w:rPr>
        <w:t xml:space="preserve">Estimates of </w:t>
      </w:r>
      <w:r w:rsidRPr="003060EF" w:rsidR="00AC3E29">
        <w:rPr>
          <w:b/>
          <w:bCs/>
        </w:rPr>
        <w:t xml:space="preserve">Annualized </w:t>
      </w:r>
      <w:r w:rsidRPr="003060EF">
        <w:rPr>
          <w:b/>
          <w:bCs/>
        </w:rPr>
        <w:t xml:space="preserve">Cost Burden to Respondents </w:t>
      </w:r>
    </w:p>
    <w:p w:rsidRPr="003060EF" w:rsidR="005A4A00" w:rsidP="005A4A00" w:rsidRDefault="005A4A00" w14:paraId="3762F1EA" w14:textId="77777777"/>
    <w:p w:rsidRPr="003060EF" w:rsidR="005A4A00" w:rsidP="005A4A00" w:rsidRDefault="005A4A00" w14:paraId="69E76004" w14:textId="77777777">
      <w:r w:rsidRPr="003060EF">
        <w:t xml:space="preserve">There are </w:t>
      </w:r>
      <w:r w:rsidRPr="003060EF" w:rsidR="00A93688">
        <w:t xml:space="preserve">no </w:t>
      </w:r>
      <w:r w:rsidRPr="003060EF">
        <w:t>capital or startup costs</w:t>
      </w:r>
      <w:r w:rsidRPr="003060EF" w:rsidR="00A93688">
        <w:t>,</w:t>
      </w:r>
      <w:r w:rsidRPr="003060EF">
        <w:t xml:space="preserve"> nor are there any operation and maintenance costs.</w:t>
      </w:r>
    </w:p>
    <w:p w:rsidRPr="003060EF" w:rsidR="009B5021" w:rsidP="005A4A00" w:rsidRDefault="009B5021" w14:paraId="6E029EE9" w14:textId="77777777">
      <w:pPr>
        <w:rPr>
          <w:b/>
        </w:rPr>
      </w:pPr>
    </w:p>
    <w:p w:rsidRPr="003060EF" w:rsidR="005A4A00" w:rsidP="005A4A00" w:rsidRDefault="005A4A00" w14:paraId="0C7C5206" w14:textId="45CC05ED">
      <w:pPr>
        <w:rPr>
          <w:b/>
        </w:rPr>
      </w:pPr>
      <w:r w:rsidRPr="003060EF">
        <w:rPr>
          <w:b/>
        </w:rPr>
        <w:t>A14.</w:t>
      </w:r>
      <w:r w:rsidR="00F61103">
        <w:rPr>
          <w:b/>
        </w:rPr>
        <w:t xml:space="preserve">      </w:t>
      </w:r>
      <w:r w:rsidRPr="003060EF">
        <w:rPr>
          <w:b/>
        </w:rPr>
        <w:t xml:space="preserve"> Estimates of Annualized Cost to the Government</w:t>
      </w:r>
    </w:p>
    <w:p w:rsidRPr="003060EF" w:rsidR="005A4A00" w:rsidP="005A4A00" w:rsidRDefault="005A4A00" w14:paraId="18637A70" w14:textId="77777777"/>
    <w:p w:rsidRPr="003060EF" w:rsidR="005A4A00" w:rsidP="005A4A00" w:rsidRDefault="005A4A00" w14:paraId="3B5CCE63" w14:textId="0D2790BF">
      <w:r w:rsidRPr="003060EF">
        <w:t>The principal additional cost to the government for this project is the cost of a contract to collect the data from the various programs and to conduct analyses</w:t>
      </w:r>
      <w:r w:rsidRPr="003060EF" w:rsidR="00B4235D">
        <w:t>,</w:t>
      </w:r>
      <w:r w:rsidRPr="003060EF">
        <w:t xml:space="preserve"> which generate routine reports from the data collected</w:t>
      </w:r>
      <w:r w:rsidRPr="003060EF" w:rsidR="00871014">
        <w:t>.</w:t>
      </w:r>
      <w:r w:rsidR="00F61103">
        <w:t xml:space="preserve"> </w:t>
      </w:r>
      <w:r w:rsidRPr="003060EF">
        <w:t xml:space="preserve">The reports examine baseline characteristics </w:t>
      </w:r>
      <w:r w:rsidRPr="003060EF" w:rsidR="006011E6">
        <w:t>and</w:t>
      </w:r>
      <w:r w:rsidRPr="003060EF">
        <w:t xml:space="preserve"> changes between baseline, discharge, and each of the follow-up periods</w:t>
      </w:r>
      <w:r w:rsidRPr="003060EF" w:rsidR="00B4235D">
        <w:t>.</w:t>
      </w:r>
      <w:r w:rsidR="00F61103">
        <w:t xml:space="preserve"> </w:t>
      </w:r>
      <w:r w:rsidRPr="003060EF">
        <w:t xml:space="preserve">It is the responsibility of the contractor to work with </w:t>
      </w:r>
      <w:r w:rsidRPr="003060EF" w:rsidR="000B2D48">
        <w:t>the GPO</w:t>
      </w:r>
      <w:r w:rsidRPr="003060EF">
        <w:t xml:space="preserve"> when preparing reports that combine the services data with the annual reports of the project.</w:t>
      </w:r>
      <w:r w:rsidR="00F61103">
        <w:t xml:space="preserve">   </w:t>
      </w:r>
    </w:p>
    <w:p w:rsidRPr="003060EF" w:rsidR="005A4A00" w:rsidP="005A4A00" w:rsidRDefault="005A4A00" w14:paraId="7266928A" w14:textId="77777777"/>
    <w:p w:rsidR="005A4A00" w:rsidP="005A4A00" w:rsidRDefault="005A4A00" w14:paraId="6410AB85" w14:textId="3A99734A">
      <w:r>
        <w:t>The estimated annualized cost for a contract for the GPRA mandate i</w:t>
      </w:r>
      <w:r w:rsidR="000B2D48">
        <w:t>s $7.2 million and the cost of one full-time equivalent</w:t>
      </w:r>
      <w:r>
        <w:t xml:space="preserve"> staff (25% for the midpoint of one GS-14 $</w:t>
      </w:r>
      <w:r w:rsidR="009315B0">
        <w:t>34,372.75</w:t>
      </w:r>
      <w:r>
        <w:t xml:space="preserve"> and 75% for one GS-12 $</w:t>
      </w:r>
      <w:r w:rsidR="009315B0">
        <w:t>73</w:t>
      </w:r>
      <w:r>
        <w:t>,</w:t>
      </w:r>
      <w:r w:rsidR="009315B0">
        <w:t>3</w:t>
      </w:r>
      <w:r>
        <w:t>86) responsible for the CSA</w:t>
      </w:r>
      <w:r w:rsidR="0081308E">
        <w:t>P</w:t>
      </w:r>
      <w:r>
        <w:t xml:space="preserve"> data collection effort is approximately $</w:t>
      </w:r>
      <w:r w:rsidR="009315B0">
        <w:t>107</w:t>
      </w:r>
      <w:r>
        <w:t>,</w:t>
      </w:r>
      <w:r w:rsidR="009315B0">
        <w:t>758.00</w:t>
      </w:r>
      <w:r>
        <w:t>/year.</w:t>
      </w:r>
    </w:p>
    <w:p w:rsidR="005A4A00" w:rsidP="005A4A00" w:rsidRDefault="005A4A00" w14:paraId="6E910307" w14:textId="4B2D45AF">
      <w:pPr>
        <w:pStyle w:val="Heading2"/>
      </w:pPr>
      <w:bookmarkStart w:name="_Toc88033481" w:id="0"/>
      <w:bookmarkStart w:name="_Toc88277964" w:id="1"/>
      <w:r>
        <w:t>A15.</w:t>
      </w:r>
      <w:bookmarkEnd w:id="0"/>
      <w:bookmarkEnd w:id="1"/>
      <w:r w:rsidR="00FF13D4">
        <w:t xml:space="preserve"> </w:t>
      </w:r>
      <w:r>
        <w:t xml:space="preserve">Changes in Burden </w:t>
      </w:r>
    </w:p>
    <w:p w:rsidRPr="00FF13D4" w:rsidR="00F71D01" w:rsidP="00F71D01" w:rsidRDefault="005339A0" w14:paraId="408BD19A" w14:textId="2F613D6E">
      <w:r>
        <w:t>This is a new activity and this there is no change in burden</w:t>
      </w:r>
    </w:p>
    <w:p w:rsidRPr="00E04321" w:rsidR="005A4A00" w:rsidP="005A4A00" w:rsidRDefault="005A4A00" w14:paraId="1D6C72C2" w14:textId="6CA2044B">
      <w:pPr>
        <w:pStyle w:val="Heading2"/>
      </w:pPr>
      <w:r>
        <w:t>A16</w:t>
      </w:r>
      <w:r>
        <w:rPr>
          <w:b w:val="0"/>
          <w:bCs w:val="0"/>
        </w:rPr>
        <w:t>.</w:t>
      </w:r>
      <w:r w:rsidR="00F61103">
        <w:rPr>
          <w:b w:val="0"/>
          <w:bCs w:val="0"/>
        </w:rPr>
        <w:t xml:space="preserve"> </w:t>
      </w:r>
      <w:r>
        <w:t xml:space="preserve">Time Schedule, Publication and Analysis Plans </w:t>
      </w:r>
    </w:p>
    <w:p w:rsidR="289042B0" w:rsidP="3C8C30DB" w:rsidRDefault="289042B0" w14:paraId="29513FB8" w14:textId="478460A2">
      <w:pPr>
        <w:rPr>
          <w:u w:val="single"/>
        </w:rPr>
      </w:pPr>
      <w:r w:rsidRPr="3C8C30DB">
        <w:rPr>
          <w:u w:val="single"/>
        </w:rPr>
        <w:t>Time Schedule for Data Collection</w:t>
      </w:r>
    </w:p>
    <w:p w:rsidR="3C8C30DB" w:rsidP="3C8C30DB" w:rsidRDefault="3C8C30DB" w14:paraId="28050A0E" w14:textId="1D0BEA1D">
      <w:pPr>
        <w:rPr>
          <w:szCs w:val="24"/>
          <w:u w:val="single"/>
        </w:rPr>
      </w:pPr>
    </w:p>
    <w:tbl>
      <w:tblPr>
        <w:tblW w:w="0" w:type="auto"/>
        <w:tblInd w:w="90" w:type="dxa"/>
        <w:tblLayout w:type="fixed"/>
        <w:tblLook w:val="01E0" w:firstRow="1" w:lastRow="1" w:firstColumn="1" w:lastColumn="1" w:noHBand="0" w:noVBand="0"/>
      </w:tblPr>
      <w:tblGrid>
        <w:gridCol w:w="5861"/>
        <w:gridCol w:w="3499"/>
      </w:tblGrid>
      <w:tr w:rsidR="3C8C30DB" w:rsidTr="3C8C30DB" w14:paraId="0EE63B3B" w14:textId="77777777">
        <w:tc>
          <w:tcPr>
            <w:tcW w:w="5861" w:type="dxa"/>
            <w:tcBorders>
              <w:top w:val="single" w:color="auto" w:sz="8" w:space="0"/>
              <w:left w:val="single" w:color="auto" w:sz="8" w:space="0"/>
              <w:bottom w:val="single" w:color="auto" w:sz="8" w:space="0"/>
              <w:right w:val="single" w:color="auto" w:sz="8" w:space="0"/>
            </w:tcBorders>
            <w:vAlign w:val="bottom"/>
          </w:tcPr>
          <w:p w:rsidR="3C8C30DB" w:rsidRDefault="3C8C30DB" w14:paraId="1B36AE0C" w14:textId="4EF47EDB">
            <w:r w:rsidRPr="3C8C30DB">
              <w:rPr>
                <w:b/>
                <w:bCs/>
                <w:sz w:val="22"/>
                <w:szCs w:val="22"/>
              </w:rPr>
              <w:t>Activity</w:t>
            </w:r>
          </w:p>
        </w:tc>
        <w:tc>
          <w:tcPr>
            <w:tcW w:w="3499" w:type="dxa"/>
            <w:tcBorders>
              <w:top w:val="single" w:color="auto" w:sz="8" w:space="0"/>
              <w:left w:val="single" w:color="auto" w:sz="8" w:space="0"/>
              <w:bottom w:val="single" w:color="auto" w:sz="8" w:space="0"/>
              <w:right w:val="single" w:color="auto" w:sz="8" w:space="0"/>
            </w:tcBorders>
            <w:vAlign w:val="bottom"/>
          </w:tcPr>
          <w:p w:rsidR="3C8C30DB" w:rsidRDefault="3C8C30DB" w14:paraId="2CAA72A9" w14:textId="460249C9">
            <w:r w:rsidRPr="3C8C30DB">
              <w:rPr>
                <w:b/>
                <w:bCs/>
                <w:sz w:val="22"/>
                <w:szCs w:val="22"/>
              </w:rPr>
              <w:t>Time Schedule</w:t>
            </w:r>
          </w:p>
        </w:tc>
      </w:tr>
      <w:tr w:rsidR="3C8C30DB" w:rsidTr="3C8C30DB" w14:paraId="4772341E" w14:textId="77777777">
        <w:trPr>
          <w:trHeight w:val="360"/>
        </w:trPr>
        <w:tc>
          <w:tcPr>
            <w:tcW w:w="5861" w:type="dxa"/>
            <w:tcBorders>
              <w:top w:val="single" w:color="auto" w:sz="8" w:space="0"/>
              <w:left w:val="single" w:color="auto" w:sz="8" w:space="0"/>
              <w:bottom w:val="single" w:color="auto" w:sz="8" w:space="0"/>
              <w:right w:val="single" w:color="auto" w:sz="8" w:space="0"/>
            </w:tcBorders>
          </w:tcPr>
          <w:p w:rsidR="3C8C30DB" w:rsidRDefault="3C8C30DB" w14:paraId="65F6C8F4" w14:textId="144390D5">
            <w:r w:rsidRPr="3C8C30DB">
              <w:rPr>
                <w:sz w:val="22"/>
                <w:szCs w:val="22"/>
              </w:rPr>
              <w:t>Obtain OMB approval for data collection</w:t>
            </w:r>
          </w:p>
        </w:tc>
        <w:tc>
          <w:tcPr>
            <w:tcW w:w="3499" w:type="dxa"/>
            <w:tcBorders>
              <w:top w:val="single" w:color="auto" w:sz="8" w:space="0"/>
              <w:left w:val="single" w:color="auto" w:sz="8" w:space="0"/>
              <w:bottom w:val="single" w:color="auto" w:sz="8" w:space="0"/>
              <w:right w:val="single" w:color="auto" w:sz="8" w:space="0"/>
            </w:tcBorders>
          </w:tcPr>
          <w:p w:rsidR="02005107" w:rsidP="3C8C30DB" w:rsidRDefault="02005107" w14:paraId="2E298BFA" w14:textId="4019016A">
            <w:pPr>
              <w:rPr>
                <w:sz w:val="22"/>
                <w:szCs w:val="22"/>
              </w:rPr>
            </w:pPr>
            <w:r w:rsidRPr="3C8C30DB">
              <w:rPr>
                <w:sz w:val="22"/>
                <w:szCs w:val="22"/>
              </w:rPr>
              <w:t>April 2022</w:t>
            </w:r>
          </w:p>
        </w:tc>
      </w:tr>
      <w:tr w:rsidR="3C8C30DB" w:rsidTr="3C8C30DB" w14:paraId="43EECB15" w14:textId="77777777">
        <w:tc>
          <w:tcPr>
            <w:tcW w:w="5861" w:type="dxa"/>
            <w:tcBorders>
              <w:top w:val="single" w:color="auto" w:sz="8" w:space="0"/>
              <w:left w:val="single" w:color="auto" w:sz="8" w:space="0"/>
              <w:bottom w:val="single" w:color="auto" w:sz="8" w:space="0"/>
              <w:right w:val="single" w:color="auto" w:sz="8" w:space="0"/>
            </w:tcBorders>
          </w:tcPr>
          <w:p w:rsidR="3C8C30DB" w:rsidRDefault="3C8C30DB" w14:paraId="356ED783" w14:textId="484818F0">
            <w:r w:rsidRPr="3C8C30DB">
              <w:rPr>
                <w:sz w:val="22"/>
                <w:szCs w:val="22"/>
              </w:rPr>
              <w:t xml:space="preserve">Collect data </w:t>
            </w:r>
          </w:p>
        </w:tc>
        <w:tc>
          <w:tcPr>
            <w:tcW w:w="3499" w:type="dxa"/>
            <w:tcBorders>
              <w:top w:val="single" w:color="auto" w:sz="8" w:space="0"/>
              <w:left w:val="single" w:color="auto" w:sz="8" w:space="0"/>
              <w:bottom w:val="single" w:color="auto" w:sz="8" w:space="0"/>
              <w:right w:val="single" w:color="auto" w:sz="8" w:space="0"/>
            </w:tcBorders>
          </w:tcPr>
          <w:p w:rsidR="4EE273D0" w:rsidP="3C8C30DB" w:rsidRDefault="4EE273D0" w14:paraId="74CFD796" w14:textId="6C4D6B2B">
            <w:pPr>
              <w:rPr>
                <w:sz w:val="22"/>
                <w:szCs w:val="22"/>
              </w:rPr>
            </w:pPr>
            <w:r w:rsidRPr="3C8C30DB">
              <w:rPr>
                <w:sz w:val="22"/>
                <w:szCs w:val="22"/>
              </w:rPr>
              <w:t xml:space="preserve">April 2022 </w:t>
            </w:r>
            <w:r w:rsidRPr="3C8C30DB" w:rsidR="3C8C30DB">
              <w:rPr>
                <w:sz w:val="22"/>
                <w:szCs w:val="22"/>
              </w:rPr>
              <w:t>–</w:t>
            </w:r>
            <w:r w:rsidRPr="3C8C30DB" w:rsidR="44D298C3">
              <w:rPr>
                <w:sz w:val="22"/>
                <w:szCs w:val="22"/>
              </w:rPr>
              <w:t xml:space="preserve"> </w:t>
            </w:r>
            <w:r w:rsidRPr="3C8C30DB" w:rsidR="3C8C30DB">
              <w:rPr>
                <w:sz w:val="22"/>
                <w:szCs w:val="22"/>
              </w:rPr>
              <w:t>September 202</w:t>
            </w:r>
            <w:r w:rsidRPr="3C8C30DB" w:rsidR="792B65B5">
              <w:rPr>
                <w:sz w:val="22"/>
                <w:szCs w:val="22"/>
              </w:rPr>
              <w:t>5</w:t>
            </w:r>
          </w:p>
        </w:tc>
      </w:tr>
      <w:tr w:rsidR="3C8C30DB" w:rsidTr="3C8C30DB" w14:paraId="7D9D6AF2" w14:textId="77777777">
        <w:tc>
          <w:tcPr>
            <w:tcW w:w="5861" w:type="dxa"/>
            <w:tcBorders>
              <w:top w:val="single" w:color="auto" w:sz="8" w:space="0"/>
              <w:left w:val="single" w:color="auto" w:sz="8" w:space="0"/>
              <w:bottom w:val="single" w:color="auto" w:sz="8" w:space="0"/>
              <w:right w:val="single" w:color="auto" w:sz="8" w:space="0"/>
            </w:tcBorders>
          </w:tcPr>
          <w:p w:rsidR="3C8C30DB" w:rsidRDefault="3C8C30DB" w14:paraId="5FF9D953" w14:textId="6F4167E0">
            <w:r w:rsidRPr="3C8C30DB">
              <w:rPr>
                <w:sz w:val="22"/>
                <w:szCs w:val="22"/>
              </w:rPr>
              <w:t xml:space="preserve">Analyze data </w:t>
            </w:r>
          </w:p>
          <w:p w:rsidR="3C8C30DB" w:rsidP="3C8C30DB" w:rsidRDefault="3C8C30DB" w14:paraId="121F4F30" w14:textId="6244CBA5">
            <w:pPr>
              <w:rPr>
                <w:sz w:val="22"/>
                <w:szCs w:val="22"/>
              </w:rPr>
            </w:pPr>
            <w:r w:rsidRPr="3C8C30DB">
              <w:rPr>
                <w:sz w:val="22"/>
                <w:szCs w:val="22"/>
              </w:rPr>
              <w:t xml:space="preserve">--Quantitative data submitted </w:t>
            </w:r>
            <w:r w:rsidRPr="3C8C30DB" w:rsidR="5F198FC6">
              <w:rPr>
                <w:sz w:val="22"/>
                <w:szCs w:val="22"/>
              </w:rPr>
              <w:t xml:space="preserve">quarterly </w:t>
            </w:r>
          </w:p>
        </w:tc>
        <w:tc>
          <w:tcPr>
            <w:tcW w:w="3499" w:type="dxa"/>
            <w:tcBorders>
              <w:top w:val="single" w:color="auto" w:sz="8" w:space="0"/>
              <w:left w:val="single" w:color="auto" w:sz="8" w:space="0"/>
              <w:bottom w:val="single" w:color="auto" w:sz="8" w:space="0"/>
              <w:right w:val="single" w:color="auto" w:sz="8" w:space="0"/>
            </w:tcBorders>
          </w:tcPr>
          <w:p w:rsidR="5F198FC6" w:rsidP="3C8C30DB" w:rsidRDefault="5F198FC6" w14:paraId="1D2B4B2D" w14:textId="1C76B48F">
            <w:pPr>
              <w:rPr>
                <w:sz w:val="22"/>
                <w:szCs w:val="22"/>
              </w:rPr>
            </w:pPr>
            <w:r w:rsidRPr="3C8C30DB">
              <w:rPr>
                <w:sz w:val="22"/>
                <w:szCs w:val="22"/>
              </w:rPr>
              <w:t xml:space="preserve">June </w:t>
            </w:r>
            <w:r w:rsidRPr="3C8C30DB" w:rsidR="3C8C30DB">
              <w:rPr>
                <w:sz w:val="22"/>
                <w:szCs w:val="22"/>
              </w:rPr>
              <w:t>202</w:t>
            </w:r>
            <w:r w:rsidRPr="3C8C30DB" w:rsidR="172BDDD5">
              <w:rPr>
                <w:sz w:val="22"/>
                <w:szCs w:val="22"/>
              </w:rPr>
              <w:t>2</w:t>
            </w:r>
            <w:r w:rsidRPr="3C8C30DB" w:rsidR="79686FFD">
              <w:rPr>
                <w:sz w:val="22"/>
                <w:szCs w:val="22"/>
              </w:rPr>
              <w:t xml:space="preserve"> </w:t>
            </w:r>
            <w:r w:rsidRPr="3C8C30DB" w:rsidR="3C8C30DB">
              <w:rPr>
                <w:sz w:val="22"/>
                <w:szCs w:val="22"/>
              </w:rPr>
              <w:t>–</w:t>
            </w:r>
            <w:r w:rsidRPr="3C8C30DB" w:rsidR="4AEFBEC7">
              <w:rPr>
                <w:sz w:val="22"/>
                <w:szCs w:val="22"/>
              </w:rPr>
              <w:t xml:space="preserve"> </w:t>
            </w:r>
            <w:r w:rsidRPr="3C8C30DB" w:rsidR="3C8C30DB">
              <w:rPr>
                <w:sz w:val="22"/>
                <w:szCs w:val="22"/>
              </w:rPr>
              <w:t>September 202</w:t>
            </w:r>
            <w:r w:rsidRPr="3C8C30DB" w:rsidR="5A5C5651">
              <w:rPr>
                <w:sz w:val="22"/>
                <w:szCs w:val="22"/>
              </w:rPr>
              <w:t>5</w:t>
            </w:r>
          </w:p>
        </w:tc>
      </w:tr>
      <w:tr w:rsidR="3C8C30DB" w:rsidTr="3C8C30DB" w14:paraId="5E7B14C0" w14:textId="77777777">
        <w:tc>
          <w:tcPr>
            <w:tcW w:w="5861" w:type="dxa"/>
            <w:tcBorders>
              <w:top w:val="single" w:color="auto" w:sz="8" w:space="0"/>
              <w:left w:val="single" w:color="auto" w:sz="8" w:space="0"/>
              <w:bottom w:val="single" w:color="auto" w:sz="8" w:space="0"/>
              <w:right w:val="single" w:color="auto" w:sz="8" w:space="0"/>
            </w:tcBorders>
          </w:tcPr>
          <w:p w:rsidR="3C8C30DB" w:rsidRDefault="3C8C30DB" w14:paraId="300D2AE4" w14:textId="2CC3FE00">
            <w:r w:rsidRPr="3C8C30DB">
              <w:rPr>
                <w:sz w:val="22"/>
                <w:szCs w:val="22"/>
              </w:rPr>
              <w:t>Disseminate of findings</w:t>
            </w:r>
            <w:r>
              <w:br/>
            </w:r>
            <w:r w:rsidRPr="3C8C30DB">
              <w:rPr>
                <w:sz w:val="22"/>
                <w:szCs w:val="22"/>
              </w:rPr>
              <w:t xml:space="preserve"> --Annual</w:t>
            </w:r>
            <w:r w:rsidRPr="3C8C30DB" w:rsidR="7EB7D44F">
              <w:rPr>
                <w:sz w:val="22"/>
                <w:szCs w:val="22"/>
              </w:rPr>
              <w:t xml:space="preserve"> reports</w:t>
            </w:r>
          </w:p>
        </w:tc>
        <w:tc>
          <w:tcPr>
            <w:tcW w:w="3499" w:type="dxa"/>
            <w:tcBorders>
              <w:top w:val="single" w:color="auto" w:sz="8" w:space="0"/>
              <w:left w:val="single" w:color="auto" w:sz="8" w:space="0"/>
              <w:bottom w:val="single" w:color="auto" w:sz="8" w:space="0"/>
              <w:right w:val="single" w:color="auto" w:sz="8" w:space="0"/>
            </w:tcBorders>
          </w:tcPr>
          <w:p w:rsidR="3C8C30DB" w:rsidRDefault="3C8C30DB" w14:paraId="6D3F46EE" w14:textId="37984104">
            <w:r w:rsidRPr="3C8C30DB">
              <w:rPr>
                <w:sz w:val="22"/>
                <w:szCs w:val="22"/>
              </w:rPr>
              <w:t>Ongoing for monitoring purposes</w:t>
            </w:r>
          </w:p>
        </w:tc>
      </w:tr>
    </w:tbl>
    <w:p w:rsidR="3C8C30DB" w:rsidP="3C8C30DB" w:rsidRDefault="3C8C30DB" w14:paraId="5D5C2B9E" w14:textId="47AE327F">
      <w:pPr>
        <w:rPr>
          <w:szCs w:val="24"/>
        </w:rPr>
      </w:pPr>
    </w:p>
    <w:p w:rsidRPr="003060EF" w:rsidR="005A4A00" w:rsidP="005A4A00" w:rsidRDefault="005A4A00" w14:paraId="647B4A8D" w14:textId="5AF64EE5">
      <w:r w:rsidRPr="003060EF">
        <w:t>Data for the annual GPRA plan/report are needed by SAMHSA by September of each year.</w:t>
      </w:r>
      <w:r w:rsidR="00F61103">
        <w:t xml:space="preserve"> </w:t>
      </w:r>
      <w:r w:rsidRPr="003060EF">
        <w:t>The discretionary services program data are readily available through the web-based system.</w:t>
      </w:r>
      <w:r w:rsidR="00F61103">
        <w:t xml:space="preserve"> </w:t>
      </w:r>
      <w:r w:rsidRPr="003060EF">
        <w:t>Data are provided for the most recently completed calendar year to SAMHSA in May in order to assure analysis in time for the annual GPRA report</w:t>
      </w:r>
      <w:r w:rsidRPr="003060EF" w:rsidR="00871014">
        <w:t>.</w:t>
      </w:r>
      <w:r w:rsidR="00F61103">
        <w:t xml:space="preserve"> </w:t>
      </w:r>
      <w:r w:rsidRPr="003060EF">
        <w:t>The annual GPRA report must be submitted to the U.S. Department of Health and</w:t>
      </w:r>
      <w:r w:rsidRPr="003060EF" w:rsidR="000B2D48">
        <w:t xml:space="preserve"> Human Services</w:t>
      </w:r>
      <w:r w:rsidRPr="003060EF">
        <w:t xml:space="preserve"> and to OMB by September and is included in the President's annual budget request which is released to the public February 1st.</w:t>
      </w:r>
      <w:r w:rsidR="00F61103">
        <w:t xml:space="preserve"> </w:t>
      </w:r>
      <w:r w:rsidRPr="003060EF">
        <w:t>Data may be refined and added to the final Presidential budget request after the Department submits its initial GPRA report.</w:t>
      </w:r>
      <w:r w:rsidR="00F61103">
        <w:t xml:space="preserve">   </w:t>
      </w:r>
    </w:p>
    <w:p w:rsidRPr="003060EF" w:rsidR="005A4A00" w:rsidP="005A4A00" w:rsidRDefault="005A4A00" w14:paraId="68E7E766" w14:textId="77777777"/>
    <w:p w:rsidRPr="003060EF" w:rsidR="005A4A00" w:rsidP="005A4A00" w:rsidRDefault="005A4A00" w14:paraId="23A52EA4" w14:textId="77777777">
      <w:pPr>
        <w:rPr>
          <w:u w:val="single"/>
        </w:rPr>
      </w:pPr>
      <w:r w:rsidRPr="00F677F7">
        <w:rPr>
          <w:u w:val="single"/>
        </w:rPr>
        <w:t>Analysis/Publication Plans</w:t>
      </w:r>
    </w:p>
    <w:p w:rsidRPr="003060EF" w:rsidR="005A4A00" w:rsidP="005A4A00" w:rsidRDefault="005A4A00" w14:paraId="12FB035A" w14:textId="77777777">
      <w:pPr>
        <w:rPr>
          <w:u w:val="single"/>
        </w:rPr>
      </w:pPr>
    </w:p>
    <w:p w:rsidR="005A4A00" w:rsidP="3C8C30DB" w:rsidRDefault="005339A0" w14:paraId="42BC48E5" w14:textId="557A1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rPr>
      </w:pPr>
      <w:r>
        <w:t xml:space="preserve">Program monitoring and </w:t>
      </w:r>
      <w:r w:rsidR="005A4A00">
        <w:t>outcome data will be collected through the web site.</w:t>
      </w:r>
      <w:r w:rsidR="00F61103">
        <w:t xml:space="preserve"> </w:t>
      </w:r>
      <w:r w:rsidR="005A4A00">
        <w:t>Data will be used to report to Congress regarding GPRA as specified in the SAMHSA Annual Justifications of Budget Estimates.</w:t>
      </w:r>
      <w:r w:rsidR="00F61103">
        <w:t xml:space="preserve"> </w:t>
      </w:r>
      <w:r w:rsidR="005A4A00">
        <w:t xml:space="preserve">The data might also be used for specific comparisons relative to </w:t>
      </w:r>
      <w:r w:rsidR="000B2D48">
        <w:t>the Office of National Drug Control Policy</w:t>
      </w:r>
      <w:r w:rsidR="000258EB">
        <w:t>’s</w:t>
      </w:r>
      <w:r w:rsidR="000B2D48">
        <w:t xml:space="preserve"> </w:t>
      </w:r>
      <w:r w:rsidR="005A4A00">
        <w:t>National Drug Control Strategic Goals</w:t>
      </w:r>
      <w:r w:rsidR="002D4B5E">
        <w:t>.</w:t>
      </w:r>
    </w:p>
    <w:p w:rsidR="005A4A00" w:rsidP="005A4A00" w:rsidRDefault="005A4A00" w14:paraId="4C4551AE" w14:textId="77777777"/>
    <w:p w:rsidRPr="003060EF" w:rsidR="005A4A00" w:rsidP="005A4A00" w:rsidRDefault="005A4A00" w14:paraId="05254C73" w14:textId="1D7E73D8">
      <w:r>
        <w:t>SAMHSA and each of its Centers specifically will use the</w:t>
      </w:r>
      <w:r w:rsidR="00A26D02">
        <w:t xml:space="preserve"> grant program</w:t>
      </w:r>
      <w:r>
        <w:t xml:space="preserve"> data for annual reporting required by GPRA on the previously stated items</w:t>
      </w:r>
      <w:r w:rsidR="00A26D02">
        <w:t>.</w:t>
      </w:r>
      <w:r>
        <w:t xml:space="preserve"> The GPRA dataset will consist of each element coded into the reporting categories as seen in Attachment 1</w:t>
      </w:r>
      <w:r w:rsidR="00871014">
        <w:t>.</w:t>
      </w:r>
      <w:r w:rsidR="00F61103">
        <w:t xml:space="preserve"> </w:t>
      </w:r>
      <w:r>
        <w:t xml:space="preserve">These data are at the </w:t>
      </w:r>
      <w:r w:rsidR="00A26D02">
        <w:t>aggregate program level</w:t>
      </w:r>
      <w:r w:rsidR="00871014">
        <w:t>.</w:t>
      </w:r>
      <w:r w:rsidR="00F61103">
        <w:t xml:space="preserve"> </w:t>
      </w:r>
      <w:r>
        <w:t xml:space="preserve">The SAMHSA GPRA </w:t>
      </w:r>
      <w:r w:rsidR="00AC3E29">
        <w:t xml:space="preserve">performance </w:t>
      </w:r>
      <w:r>
        <w:t>outcome data will be aggregated at the following levels:</w:t>
      </w:r>
      <w:r w:rsidR="00F61103">
        <w:t xml:space="preserve">   </w:t>
      </w:r>
      <w:r>
        <w:t>Project/Grantee, Program/Division, and Activity</w:t>
      </w:r>
      <w:r w:rsidR="00871014">
        <w:t>.</w:t>
      </w:r>
      <w:r w:rsidR="00F61103">
        <w:t xml:space="preserve"> </w:t>
      </w:r>
      <w:r w:rsidR="006011E6">
        <w:t>The analyse</w:t>
      </w:r>
      <w:r>
        <w:t xml:space="preserve">s will be organized around SAMHSA's </w:t>
      </w:r>
      <w:r w:rsidR="00F677F7">
        <w:t>Harm Reduction</w:t>
      </w:r>
      <w:r w:rsidR="2D7070C7">
        <w:t xml:space="preserve"> Program Grant</w:t>
      </w:r>
      <w:r>
        <w:t xml:space="preserve"> measures. </w:t>
      </w:r>
      <w:r w:rsidR="006011E6">
        <w:t>Baseline level analyse</w:t>
      </w:r>
      <w:r>
        <w:t>s involves using frequency distributions and measures of central tendency to describe the populations across the various demographic groups</w:t>
      </w:r>
      <w:r w:rsidR="00F677F7">
        <w:t xml:space="preserve"> (e.g., gender, race, ethnicity</w:t>
      </w:r>
      <w:r>
        <w:t>).</w:t>
      </w:r>
      <w:r w:rsidR="00F61103">
        <w:t xml:space="preserve"> </w:t>
      </w:r>
      <w:r>
        <w:t>The data items collected will be analyzed and presented in reports using basic descriptive statistics</w:t>
      </w:r>
      <w:r w:rsidR="00871014">
        <w:t>.</w:t>
      </w:r>
      <w:r w:rsidR="00F61103">
        <w:t xml:space="preserve">   </w:t>
      </w:r>
    </w:p>
    <w:p w:rsidRPr="003060EF" w:rsidR="005A4A00" w:rsidP="005A4A00" w:rsidRDefault="005A4A00" w14:paraId="02F29419" w14:textId="77777777"/>
    <w:p w:rsidRPr="003060EF" w:rsidR="005A4A00" w:rsidP="005A4A00" w:rsidRDefault="005A4A00" w14:paraId="2F283F07" w14:textId="330BF8EC">
      <w:pPr>
        <w:rPr>
          <w:b/>
        </w:rPr>
      </w:pPr>
      <w:r w:rsidRPr="003060EF">
        <w:rPr>
          <w:b/>
        </w:rPr>
        <w:t>A17.</w:t>
      </w:r>
      <w:r w:rsidR="00F61103">
        <w:rPr>
          <w:b/>
        </w:rPr>
        <w:t xml:space="preserve"> </w:t>
      </w:r>
      <w:r w:rsidRPr="003060EF">
        <w:rPr>
          <w:b/>
        </w:rPr>
        <w:t xml:space="preserve">Display of Expiration Date </w:t>
      </w:r>
    </w:p>
    <w:p w:rsidRPr="003060EF" w:rsidR="005A4A00" w:rsidP="005A4A00" w:rsidRDefault="005A4A00" w14:paraId="3606AF03" w14:textId="77777777"/>
    <w:p w:rsidRPr="003060EF" w:rsidR="005A4A00" w:rsidP="005A4A00" w:rsidRDefault="005A4A00" w14:paraId="3974CACD" w14:textId="77777777">
      <w:r w:rsidRPr="003060EF">
        <w:t>The expiration date for OMB approval will be displayed on all data collection instruments.</w:t>
      </w:r>
    </w:p>
    <w:p w:rsidRPr="003060EF" w:rsidR="00D8523D" w:rsidP="005A4A00" w:rsidRDefault="00D8523D" w14:paraId="5094E39A" w14:textId="77777777"/>
    <w:p w:rsidR="00D42968" w:rsidP="005A4A00" w:rsidRDefault="005A4A00" w14:paraId="403C0EAE" w14:textId="4ACFE546">
      <w:pPr>
        <w:rPr>
          <w:b/>
        </w:rPr>
      </w:pPr>
      <w:r w:rsidRPr="003060EF">
        <w:rPr>
          <w:b/>
        </w:rPr>
        <w:t>A18.</w:t>
      </w:r>
      <w:r w:rsidR="00F61103">
        <w:rPr>
          <w:b/>
        </w:rPr>
        <w:t xml:space="preserve"> </w:t>
      </w:r>
      <w:r w:rsidRPr="003060EF">
        <w:rPr>
          <w:b/>
        </w:rPr>
        <w:t>Exceptions to Certification Statement</w:t>
      </w:r>
    </w:p>
    <w:p w:rsidR="00D42968" w:rsidP="005A4A00" w:rsidRDefault="00D42968" w14:paraId="14310EEB" w14:textId="77777777">
      <w:pPr>
        <w:rPr>
          <w:b/>
        </w:rPr>
      </w:pPr>
    </w:p>
    <w:p w:rsidRPr="000467FD" w:rsidR="00B15FBF" w:rsidP="00B15FBF" w:rsidRDefault="00B15FBF" w14:paraId="42135561" w14:textId="7F48CADE">
      <w:pPr>
        <w:rPr>
          <w:strike/>
          <w:szCs w:val="24"/>
        </w:rPr>
      </w:pPr>
      <w:r>
        <w:t>This collection of information involves no exceptions to the Certification for Paperwork Reduction Act Submissions.</w:t>
      </w:r>
      <w:r w:rsidR="00F61103">
        <w:t xml:space="preserve"> </w:t>
      </w:r>
      <w:r w:rsidRPr="00E333F4">
        <w:t>The certifications are included in this submission.</w:t>
      </w:r>
    </w:p>
    <w:p w:rsidR="00B15FBF" w:rsidP="00B15FBF" w:rsidRDefault="00B15FBF" w14:paraId="7ABF5276" w14:textId="77777777">
      <w:pPr>
        <w:rPr>
          <w:b/>
        </w:rPr>
      </w:pPr>
    </w:p>
    <w:p w:rsidR="005A4A00" w:rsidP="005A4A00" w:rsidRDefault="005A4A00" w14:paraId="5B813211" w14:textId="77777777"/>
    <w:p w:rsidR="0003353E" w:rsidP="0003353E" w:rsidRDefault="0003353E" w14:paraId="49E28DCA" w14:textId="77777777">
      <w:pPr>
        <w:jc w:val="center"/>
        <w:rPr>
          <w:b/>
          <w:szCs w:val="24"/>
        </w:rPr>
      </w:pPr>
    </w:p>
    <w:p w:rsidR="0003353E" w:rsidP="0003353E" w:rsidRDefault="0003353E" w14:paraId="726B235C" w14:textId="3C6A344F">
      <w:pPr>
        <w:rPr>
          <w:b/>
          <w:szCs w:val="24"/>
        </w:rPr>
      </w:pPr>
    </w:p>
    <w:sectPr w:rsidR="0003353E" w:rsidSect="00ED3F0B">
      <w:headerReference w:type="even" r:id="rId12"/>
      <w:headerReference w:type="default" r:id="rId13"/>
      <w:footerReference w:type="even" r:id="rId14"/>
      <w:footerReference w:type="default" r:id="rId15"/>
      <w:endnotePr>
        <w:numFmt w:val="lowerLetter"/>
      </w:endnotePr>
      <w:pgSz w:w="12240" w:h="15840"/>
      <w:pgMar w:top="994" w:right="1440" w:bottom="1267" w:left="1440" w:header="1440" w:footer="8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5CA5" w14:textId="77777777" w:rsidR="00061C9B" w:rsidRDefault="00061C9B" w:rsidP="005525FC">
      <w:r>
        <w:separator/>
      </w:r>
    </w:p>
  </w:endnote>
  <w:endnote w:type="continuationSeparator" w:id="0">
    <w:p w14:paraId="6118F728" w14:textId="77777777" w:rsidR="00061C9B" w:rsidRDefault="00061C9B" w:rsidP="005525FC">
      <w:r>
        <w:continuationSeparator/>
      </w:r>
    </w:p>
  </w:endnote>
  <w:endnote w:type="continuationNotice" w:id="1">
    <w:p w14:paraId="31D8AB19" w14:textId="77777777" w:rsidR="00061C9B" w:rsidRDefault="00061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9DD9" w14:textId="77777777" w:rsidR="009B5021" w:rsidRDefault="009B5021" w:rsidP="001D0E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255AB6" w14:textId="77777777" w:rsidR="009B5021" w:rsidRDefault="009B5021">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5FD6" w14:textId="5858D651" w:rsidR="009B5021" w:rsidRDefault="009B5021" w:rsidP="001D0E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308E">
      <w:rPr>
        <w:rStyle w:val="PageNumber"/>
        <w:noProof/>
      </w:rPr>
      <w:t>7</w:t>
    </w:r>
    <w:r>
      <w:rPr>
        <w:rStyle w:val="PageNumber"/>
      </w:rPr>
      <w:fldChar w:fldCharType="end"/>
    </w:r>
  </w:p>
  <w:p w14:paraId="621885F5" w14:textId="77777777" w:rsidR="009B5021" w:rsidRDefault="009B5021" w:rsidP="001D0E5E">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FEAC3" w14:textId="77777777" w:rsidR="00061C9B" w:rsidRDefault="00061C9B" w:rsidP="005525FC">
      <w:r>
        <w:separator/>
      </w:r>
    </w:p>
  </w:footnote>
  <w:footnote w:type="continuationSeparator" w:id="0">
    <w:p w14:paraId="0FFCE154" w14:textId="77777777" w:rsidR="00061C9B" w:rsidRDefault="00061C9B" w:rsidP="005525FC">
      <w:r>
        <w:continuationSeparator/>
      </w:r>
    </w:p>
  </w:footnote>
  <w:footnote w:type="continuationNotice" w:id="1">
    <w:p w14:paraId="548E5CAD" w14:textId="77777777" w:rsidR="00061C9B" w:rsidRDefault="00061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4F3D" w14:textId="77777777" w:rsidR="009B5021" w:rsidRDefault="009B5021">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9F61" w14:textId="77777777" w:rsidR="009B5021" w:rsidRDefault="009B5021">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465"/>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42D5D"/>
    <w:multiLevelType w:val="hybridMultilevel"/>
    <w:tmpl w:val="2F9CD9F6"/>
    <w:lvl w:ilvl="0" w:tplc="72C2D9A2">
      <w:start w:val="1"/>
      <w:numFmt w:val="bullet"/>
      <w:lvlText w:val=""/>
      <w:lvlJc w:val="left"/>
      <w:pPr>
        <w:ind w:left="1800" w:hanging="360"/>
      </w:pPr>
      <w:rPr>
        <w:rFonts w:ascii="Wingdings 2" w:eastAsia="Wingdings 2" w:hAnsi="Wingdings 2"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B343DB"/>
    <w:multiLevelType w:val="hybridMultilevel"/>
    <w:tmpl w:val="F0BE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D12B1"/>
    <w:multiLevelType w:val="hybridMultilevel"/>
    <w:tmpl w:val="A71A3AD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A2577"/>
    <w:multiLevelType w:val="hybridMultilevel"/>
    <w:tmpl w:val="F4F289D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C8A0A8D"/>
    <w:multiLevelType w:val="hybridMultilevel"/>
    <w:tmpl w:val="CE342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D7F07"/>
    <w:multiLevelType w:val="hybridMultilevel"/>
    <w:tmpl w:val="B7A25E04"/>
    <w:lvl w:ilvl="0" w:tplc="6D908C84">
      <w:start w:val="1"/>
      <w:numFmt w:val="decimal"/>
      <w:lvlText w:val="%1."/>
      <w:lvlJc w:val="left"/>
      <w:pPr>
        <w:ind w:left="720" w:hanging="360"/>
      </w:pPr>
      <w:rPr>
        <w:rFonts w:eastAsia="Calibri" w:hint="default"/>
        <w:sz w:val="22"/>
      </w:rPr>
    </w:lvl>
    <w:lvl w:ilvl="1" w:tplc="4522AEC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8" w15:restartNumberingAfterBreak="0">
    <w:nsid w:val="235D530D"/>
    <w:multiLevelType w:val="hybridMultilevel"/>
    <w:tmpl w:val="DAA6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16289"/>
    <w:multiLevelType w:val="hybridMultilevel"/>
    <w:tmpl w:val="96D02034"/>
    <w:lvl w:ilvl="0" w:tplc="B1AA3236">
      <w:start w:val="1"/>
      <w:numFmt w:val="decimal"/>
      <w:pStyle w:val="QuestionNumbered"/>
      <w:lvlText w:val="%1."/>
      <w:lvlJc w:val="left"/>
      <w:pPr>
        <w:ind w:left="2340" w:hanging="21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453C6"/>
    <w:multiLevelType w:val="hybridMultilevel"/>
    <w:tmpl w:val="199CEB6E"/>
    <w:lvl w:ilvl="0" w:tplc="0409000F">
      <w:start w:val="1"/>
      <w:numFmt w:val="decimal"/>
      <w:lvlText w:val="%1."/>
      <w:lvlJc w:val="left"/>
      <w:pPr>
        <w:ind w:left="360" w:hanging="360"/>
      </w:pPr>
    </w:lvl>
    <w:lvl w:ilvl="1" w:tplc="68FCECCE">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557008"/>
    <w:multiLevelType w:val="hybridMultilevel"/>
    <w:tmpl w:val="547CA57A"/>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95319"/>
    <w:multiLevelType w:val="hybridMultilevel"/>
    <w:tmpl w:val="05C6F9E8"/>
    <w:lvl w:ilvl="0" w:tplc="0409000F">
      <w:start w:val="1"/>
      <w:numFmt w:val="decimal"/>
      <w:lvlText w:val="%1."/>
      <w:lvlJc w:val="left"/>
      <w:pPr>
        <w:ind w:left="720" w:hanging="360"/>
      </w:pPr>
    </w:lvl>
    <w:lvl w:ilvl="1" w:tplc="8EBC5E2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DC5AE3"/>
    <w:multiLevelType w:val="hybridMultilevel"/>
    <w:tmpl w:val="F8020156"/>
    <w:lvl w:ilvl="0" w:tplc="8FBE15C0">
      <w:start w:val="1"/>
      <w:numFmt w:val="decimal"/>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656E2"/>
    <w:multiLevelType w:val="hybridMultilevel"/>
    <w:tmpl w:val="E432F07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6" w15:restartNumberingAfterBreak="0">
    <w:nsid w:val="51CC4DA8"/>
    <w:multiLevelType w:val="hybridMultilevel"/>
    <w:tmpl w:val="B906ADE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86764C"/>
    <w:multiLevelType w:val="hybridMultilevel"/>
    <w:tmpl w:val="9CECA8BC"/>
    <w:lvl w:ilvl="0" w:tplc="A9F00A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4C26E11"/>
    <w:multiLevelType w:val="hybridMultilevel"/>
    <w:tmpl w:val="C1E86F7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E32776"/>
    <w:multiLevelType w:val="hybridMultilevel"/>
    <w:tmpl w:val="146851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BC02416"/>
    <w:multiLevelType w:val="hybridMultilevel"/>
    <w:tmpl w:val="8DBABDDC"/>
    <w:lvl w:ilvl="0" w:tplc="CA329E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84DEB"/>
    <w:multiLevelType w:val="hybridMultilevel"/>
    <w:tmpl w:val="EAB24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792CC6"/>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311B1"/>
    <w:multiLevelType w:val="hybridMultilevel"/>
    <w:tmpl w:val="D8B8CA02"/>
    <w:lvl w:ilvl="0" w:tplc="4936F88A">
      <w:start w:val="1"/>
      <w:numFmt w:val="bullet"/>
      <w:lvlText w:val="·"/>
      <w:lvlJc w:val="left"/>
      <w:pPr>
        <w:ind w:left="720" w:hanging="360"/>
      </w:pPr>
      <w:rPr>
        <w:rFonts w:ascii="Symbol" w:hAnsi="Symbol" w:hint="default"/>
      </w:rPr>
    </w:lvl>
    <w:lvl w:ilvl="1" w:tplc="91B082E6">
      <w:start w:val="1"/>
      <w:numFmt w:val="bullet"/>
      <w:lvlText w:val="o"/>
      <w:lvlJc w:val="left"/>
      <w:pPr>
        <w:ind w:left="1440" w:hanging="360"/>
      </w:pPr>
      <w:rPr>
        <w:rFonts w:ascii="Courier New" w:hAnsi="Courier New" w:hint="default"/>
      </w:rPr>
    </w:lvl>
    <w:lvl w:ilvl="2" w:tplc="3ED03D50">
      <w:start w:val="1"/>
      <w:numFmt w:val="bullet"/>
      <w:lvlText w:val=""/>
      <w:lvlJc w:val="left"/>
      <w:pPr>
        <w:ind w:left="2160" w:hanging="360"/>
      </w:pPr>
      <w:rPr>
        <w:rFonts w:ascii="Wingdings" w:hAnsi="Wingdings" w:hint="default"/>
      </w:rPr>
    </w:lvl>
    <w:lvl w:ilvl="3" w:tplc="9DEE6038">
      <w:start w:val="1"/>
      <w:numFmt w:val="bullet"/>
      <w:lvlText w:val=""/>
      <w:lvlJc w:val="left"/>
      <w:pPr>
        <w:ind w:left="2880" w:hanging="360"/>
      </w:pPr>
      <w:rPr>
        <w:rFonts w:ascii="Symbol" w:hAnsi="Symbol" w:hint="default"/>
      </w:rPr>
    </w:lvl>
    <w:lvl w:ilvl="4" w:tplc="AB8A6A26">
      <w:start w:val="1"/>
      <w:numFmt w:val="bullet"/>
      <w:lvlText w:val="o"/>
      <w:lvlJc w:val="left"/>
      <w:pPr>
        <w:ind w:left="3600" w:hanging="360"/>
      </w:pPr>
      <w:rPr>
        <w:rFonts w:ascii="Courier New" w:hAnsi="Courier New" w:hint="default"/>
      </w:rPr>
    </w:lvl>
    <w:lvl w:ilvl="5" w:tplc="B802C00E">
      <w:start w:val="1"/>
      <w:numFmt w:val="bullet"/>
      <w:lvlText w:val=""/>
      <w:lvlJc w:val="left"/>
      <w:pPr>
        <w:ind w:left="4320" w:hanging="360"/>
      </w:pPr>
      <w:rPr>
        <w:rFonts w:ascii="Wingdings" w:hAnsi="Wingdings" w:hint="default"/>
      </w:rPr>
    </w:lvl>
    <w:lvl w:ilvl="6" w:tplc="6A22FE24">
      <w:start w:val="1"/>
      <w:numFmt w:val="bullet"/>
      <w:lvlText w:val=""/>
      <w:lvlJc w:val="left"/>
      <w:pPr>
        <w:ind w:left="5040" w:hanging="360"/>
      </w:pPr>
      <w:rPr>
        <w:rFonts w:ascii="Symbol" w:hAnsi="Symbol" w:hint="default"/>
      </w:rPr>
    </w:lvl>
    <w:lvl w:ilvl="7" w:tplc="5FA6CB0E">
      <w:start w:val="1"/>
      <w:numFmt w:val="bullet"/>
      <w:lvlText w:val="o"/>
      <w:lvlJc w:val="left"/>
      <w:pPr>
        <w:ind w:left="5760" w:hanging="360"/>
      </w:pPr>
      <w:rPr>
        <w:rFonts w:ascii="Courier New" w:hAnsi="Courier New" w:hint="default"/>
      </w:rPr>
    </w:lvl>
    <w:lvl w:ilvl="8" w:tplc="6AF6D4CC">
      <w:start w:val="1"/>
      <w:numFmt w:val="bullet"/>
      <w:lvlText w:val=""/>
      <w:lvlJc w:val="left"/>
      <w:pPr>
        <w:ind w:left="6480" w:hanging="360"/>
      </w:pPr>
      <w:rPr>
        <w:rFonts w:ascii="Wingdings" w:hAnsi="Wingdings" w:hint="default"/>
      </w:rPr>
    </w:lvl>
  </w:abstractNum>
  <w:abstractNum w:abstractNumId="24" w15:restartNumberingAfterBreak="0">
    <w:nsid w:val="6C46076D"/>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747C57"/>
    <w:multiLevelType w:val="hybridMultilevel"/>
    <w:tmpl w:val="DFC423E2"/>
    <w:lvl w:ilvl="0" w:tplc="C3A62A3E">
      <w:start w:val="2"/>
      <w:numFmt w:val="lowerLetter"/>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72FF5E39"/>
    <w:multiLevelType w:val="hybridMultilevel"/>
    <w:tmpl w:val="058294B2"/>
    <w:lvl w:ilvl="0" w:tplc="0409000F">
      <w:start w:val="1"/>
      <w:numFmt w:val="decimal"/>
      <w:lvlText w:val="%1."/>
      <w:lvlJc w:val="left"/>
      <w:pPr>
        <w:ind w:left="25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745A6B5B"/>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9F3EF3"/>
    <w:multiLevelType w:val="hybridMultilevel"/>
    <w:tmpl w:val="691836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C03CE1"/>
    <w:multiLevelType w:val="hybridMultilevel"/>
    <w:tmpl w:val="A426D4D8"/>
    <w:lvl w:ilvl="0" w:tplc="8FBE15C0">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82668"/>
    <w:multiLevelType w:val="hybridMultilevel"/>
    <w:tmpl w:val="3238FD4C"/>
    <w:lvl w:ilvl="0" w:tplc="04090019">
      <w:start w:val="1"/>
      <w:numFmt w:val="lowerLetter"/>
      <w:lvlText w:val="%1."/>
      <w:lvlJc w:val="left"/>
      <w:pPr>
        <w:ind w:left="720" w:hanging="360"/>
      </w:pPr>
    </w:lvl>
    <w:lvl w:ilvl="1" w:tplc="8EBC5E2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num>
  <w:num w:numId="2">
    <w:abstractNumId w:val="15"/>
  </w:num>
  <w:num w:numId="3">
    <w:abstractNumId w:val="7"/>
  </w:num>
  <w:num w:numId="4">
    <w:abstractNumId w:val="21"/>
  </w:num>
  <w:num w:numId="5">
    <w:abstractNumId w:val="27"/>
  </w:num>
  <w:num w:numId="6">
    <w:abstractNumId w:val="11"/>
  </w:num>
  <w:num w:numId="7">
    <w:abstractNumId w:val="13"/>
  </w:num>
  <w:num w:numId="8">
    <w:abstractNumId w:val="0"/>
  </w:num>
  <w:num w:numId="9">
    <w:abstractNumId w:val="24"/>
  </w:num>
  <w:num w:numId="10">
    <w:abstractNumId w:val="8"/>
  </w:num>
  <w:num w:numId="11">
    <w:abstractNumId w:val="28"/>
  </w:num>
  <w:num w:numId="12">
    <w:abstractNumId w:val="18"/>
  </w:num>
  <w:num w:numId="13">
    <w:abstractNumId w:val="22"/>
  </w:num>
  <w:num w:numId="14">
    <w:abstractNumId w:val="6"/>
  </w:num>
  <w:num w:numId="15">
    <w:abstractNumId w:val="1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9"/>
  </w:num>
  <w:num w:numId="22">
    <w:abstractNumId w:val="16"/>
  </w:num>
  <w:num w:numId="23">
    <w:abstractNumId w:val="19"/>
  </w:num>
  <w:num w:numId="24">
    <w:abstractNumId w:val="30"/>
  </w:num>
  <w:num w:numId="25">
    <w:abstractNumId w:val="3"/>
  </w:num>
  <w:num w:numId="26">
    <w:abstractNumId w:val="14"/>
  </w:num>
  <w:num w:numId="27">
    <w:abstractNumId w:val="9"/>
  </w:num>
  <w:num w:numId="28">
    <w:abstractNumId w:val="1"/>
  </w:num>
  <w:num w:numId="29">
    <w:abstractNumId w:val="20"/>
  </w:num>
  <w:num w:numId="30">
    <w:abstractNumId w:val="10"/>
  </w:num>
  <w:num w:numId="31">
    <w:abstractNumId w:val="5"/>
  </w:num>
  <w:num w:numId="3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00"/>
    <w:rsid w:val="0002027B"/>
    <w:rsid w:val="000258EB"/>
    <w:rsid w:val="00026DF6"/>
    <w:rsid w:val="0003353E"/>
    <w:rsid w:val="00036D2E"/>
    <w:rsid w:val="00037573"/>
    <w:rsid w:val="0004153D"/>
    <w:rsid w:val="00041BB5"/>
    <w:rsid w:val="00057843"/>
    <w:rsid w:val="00061C9B"/>
    <w:rsid w:val="00064732"/>
    <w:rsid w:val="0006635F"/>
    <w:rsid w:val="0009061A"/>
    <w:rsid w:val="00094AAC"/>
    <w:rsid w:val="000955CD"/>
    <w:rsid w:val="000A507F"/>
    <w:rsid w:val="000A799F"/>
    <w:rsid w:val="000B00D8"/>
    <w:rsid w:val="000B069B"/>
    <w:rsid w:val="000B1EA0"/>
    <w:rsid w:val="000B27E9"/>
    <w:rsid w:val="000B2D48"/>
    <w:rsid w:val="000B3E71"/>
    <w:rsid w:val="000B658E"/>
    <w:rsid w:val="000C4187"/>
    <w:rsid w:val="000C5B23"/>
    <w:rsid w:val="000D585F"/>
    <w:rsid w:val="000D7035"/>
    <w:rsid w:val="000E021E"/>
    <w:rsid w:val="000E610F"/>
    <w:rsid w:val="000F343E"/>
    <w:rsid w:val="000F40CC"/>
    <w:rsid w:val="0010430B"/>
    <w:rsid w:val="00105E42"/>
    <w:rsid w:val="001118EF"/>
    <w:rsid w:val="00114E32"/>
    <w:rsid w:val="001215C6"/>
    <w:rsid w:val="00134FC8"/>
    <w:rsid w:val="00135732"/>
    <w:rsid w:val="00141F21"/>
    <w:rsid w:val="00142F2B"/>
    <w:rsid w:val="001449DE"/>
    <w:rsid w:val="00146196"/>
    <w:rsid w:val="001872EC"/>
    <w:rsid w:val="00187378"/>
    <w:rsid w:val="001A2372"/>
    <w:rsid w:val="001A5ACC"/>
    <w:rsid w:val="001A6D54"/>
    <w:rsid w:val="001A7DF5"/>
    <w:rsid w:val="001B7BB8"/>
    <w:rsid w:val="001C48D6"/>
    <w:rsid w:val="001C4EF5"/>
    <w:rsid w:val="001C4F65"/>
    <w:rsid w:val="001D0E5E"/>
    <w:rsid w:val="001D17B5"/>
    <w:rsid w:val="001D4C82"/>
    <w:rsid w:val="001E2850"/>
    <w:rsid w:val="001F3A20"/>
    <w:rsid w:val="001F5049"/>
    <w:rsid w:val="001F5D76"/>
    <w:rsid w:val="00202B11"/>
    <w:rsid w:val="0021102C"/>
    <w:rsid w:val="0021604E"/>
    <w:rsid w:val="002229CC"/>
    <w:rsid w:val="002233E5"/>
    <w:rsid w:val="00234700"/>
    <w:rsid w:val="00236FCA"/>
    <w:rsid w:val="00237728"/>
    <w:rsid w:val="002458FD"/>
    <w:rsid w:val="00247734"/>
    <w:rsid w:val="0025179E"/>
    <w:rsid w:val="00257B30"/>
    <w:rsid w:val="00262CB0"/>
    <w:rsid w:val="00267C84"/>
    <w:rsid w:val="0027008C"/>
    <w:rsid w:val="002719FA"/>
    <w:rsid w:val="00271F3D"/>
    <w:rsid w:val="00287295"/>
    <w:rsid w:val="002968F0"/>
    <w:rsid w:val="00297ACD"/>
    <w:rsid w:val="002A00DE"/>
    <w:rsid w:val="002A5268"/>
    <w:rsid w:val="002A54C9"/>
    <w:rsid w:val="002C7CBF"/>
    <w:rsid w:val="002D4B5E"/>
    <w:rsid w:val="002E2D52"/>
    <w:rsid w:val="002E450A"/>
    <w:rsid w:val="002E6460"/>
    <w:rsid w:val="003060EF"/>
    <w:rsid w:val="003153F7"/>
    <w:rsid w:val="00316D6E"/>
    <w:rsid w:val="00320646"/>
    <w:rsid w:val="00324D18"/>
    <w:rsid w:val="00325562"/>
    <w:rsid w:val="00325E5C"/>
    <w:rsid w:val="00331B63"/>
    <w:rsid w:val="00350155"/>
    <w:rsid w:val="00351F4F"/>
    <w:rsid w:val="00353023"/>
    <w:rsid w:val="00354744"/>
    <w:rsid w:val="00354A02"/>
    <w:rsid w:val="00356A25"/>
    <w:rsid w:val="00356F10"/>
    <w:rsid w:val="00360F12"/>
    <w:rsid w:val="00361DE3"/>
    <w:rsid w:val="00362E78"/>
    <w:rsid w:val="003640BA"/>
    <w:rsid w:val="00367832"/>
    <w:rsid w:val="00372AF8"/>
    <w:rsid w:val="00375A4F"/>
    <w:rsid w:val="003766A5"/>
    <w:rsid w:val="003802EC"/>
    <w:rsid w:val="0038168D"/>
    <w:rsid w:val="00382D6C"/>
    <w:rsid w:val="00383B93"/>
    <w:rsid w:val="003A0161"/>
    <w:rsid w:val="003B4583"/>
    <w:rsid w:val="003C05A0"/>
    <w:rsid w:val="003C42F5"/>
    <w:rsid w:val="003D15C8"/>
    <w:rsid w:val="003D2A49"/>
    <w:rsid w:val="003D2E9F"/>
    <w:rsid w:val="003D30D1"/>
    <w:rsid w:val="003E09ED"/>
    <w:rsid w:val="003E22A3"/>
    <w:rsid w:val="003E5F1C"/>
    <w:rsid w:val="003F0C70"/>
    <w:rsid w:val="003F32EF"/>
    <w:rsid w:val="003F47AA"/>
    <w:rsid w:val="004072C3"/>
    <w:rsid w:val="004100D9"/>
    <w:rsid w:val="00410801"/>
    <w:rsid w:val="004175E1"/>
    <w:rsid w:val="00425F5B"/>
    <w:rsid w:val="00435DF1"/>
    <w:rsid w:val="004421BB"/>
    <w:rsid w:val="00443213"/>
    <w:rsid w:val="004501F8"/>
    <w:rsid w:val="004656EB"/>
    <w:rsid w:val="004703BC"/>
    <w:rsid w:val="00470ED6"/>
    <w:rsid w:val="004754BA"/>
    <w:rsid w:val="0047667C"/>
    <w:rsid w:val="00484F16"/>
    <w:rsid w:val="004C11DA"/>
    <w:rsid w:val="004C446D"/>
    <w:rsid w:val="004C4FFF"/>
    <w:rsid w:val="004E1B0E"/>
    <w:rsid w:val="004F2205"/>
    <w:rsid w:val="004F66F7"/>
    <w:rsid w:val="00507780"/>
    <w:rsid w:val="00510DE2"/>
    <w:rsid w:val="00514566"/>
    <w:rsid w:val="00515F94"/>
    <w:rsid w:val="00516836"/>
    <w:rsid w:val="005204AF"/>
    <w:rsid w:val="00526818"/>
    <w:rsid w:val="005339A0"/>
    <w:rsid w:val="0053744D"/>
    <w:rsid w:val="005432FE"/>
    <w:rsid w:val="005469C1"/>
    <w:rsid w:val="005509EF"/>
    <w:rsid w:val="005525FC"/>
    <w:rsid w:val="00552697"/>
    <w:rsid w:val="0055545B"/>
    <w:rsid w:val="00564974"/>
    <w:rsid w:val="005665AF"/>
    <w:rsid w:val="00576A97"/>
    <w:rsid w:val="00581EA9"/>
    <w:rsid w:val="00585A26"/>
    <w:rsid w:val="00590571"/>
    <w:rsid w:val="00595985"/>
    <w:rsid w:val="005A4A00"/>
    <w:rsid w:val="005B04A2"/>
    <w:rsid w:val="005B4F5B"/>
    <w:rsid w:val="005B6398"/>
    <w:rsid w:val="005C0A02"/>
    <w:rsid w:val="005C2170"/>
    <w:rsid w:val="005D094C"/>
    <w:rsid w:val="005D1131"/>
    <w:rsid w:val="005D1BB6"/>
    <w:rsid w:val="005D24C2"/>
    <w:rsid w:val="005E5371"/>
    <w:rsid w:val="005F36D8"/>
    <w:rsid w:val="005F59B7"/>
    <w:rsid w:val="006011E6"/>
    <w:rsid w:val="0061435B"/>
    <w:rsid w:val="00617D67"/>
    <w:rsid w:val="00624704"/>
    <w:rsid w:val="00635478"/>
    <w:rsid w:val="00647236"/>
    <w:rsid w:val="00647340"/>
    <w:rsid w:val="006537E0"/>
    <w:rsid w:val="006561BF"/>
    <w:rsid w:val="00656DD3"/>
    <w:rsid w:val="00660681"/>
    <w:rsid w:val="006606CD"/>
    <w:rsid w:val="0067073A"/>
    <w:rsid w:val="006735F7"/>
    <w:rsid w:val="0068210F"/>
    <w:rsid w:val="00686794"/>
    <w:rsid w:val="006A520A"/>
    <w:rsid w:val="006B41C6"/>
    <w:rsid w:val="006E18E5"/>
    <w:rsid w:val="006E2939"/>
    <w:rsid w:val="006E32DE"/>
    <w:rsid w:val="006F5AEF"/>
    <w:rsid w:val="006F760F"/>
    <w:rsid w:val="00720D7B"/>
    <w:rsid w:val="007314FB"/>
    <w:rsid w:val="00743998"/>
    <w:rsid w:val="00744049"/>
    <w:rsid w:val="007533AF"/>
    <w:rsid w:val="007555F0"/>
    <w:rsid w:val="00756C02"/>
    <w:rsid w:val="0076351C"/>
    <w:rsid w:val="00763FC7"/>
    <w:rsid w:val="00774007"/>
    <w:rsid w:val="00790112"/>
    <w:rsid w:val="00795FF6"/>
    <w:rsid w:val="007A0CFD"/>
    <w:rsid w:val="007B092A"/>
    <w:rsid w:val="007B0C1F"/>
    <w:rsid w:val="007B371D"/>
    <w:rsid w:val="007B3F88"/>
    <w:rsid w:val="007C53F1"/>
    <w:rsid w:val="007D2213"/>
    <w:rsid w:val="007D3AFF"/>
    <w:rsid w:val="007E46CC"/>
    <w:rsid w:val="007E5D1F"/>
    <w:rsid w:val="007E6E3B"/>
    <w:rsid w:val="0080672F"/>
    <w:rsid w:val="00810E88"/>
    <w:rsid w:val="00812EE1"/>
    <w:rsid w:val="0081308E"/>
    <w:rsid w:val="0081754C"/>
    <w:rsid w:val="008211E8"/>
    <w:rsid w:val="00822A67"/>
    <w:rsid w:val="00827506"/>
    <w:rsid w:val="00827AF0"/>
    <w:rsid w:val="0083301F"/>
    <w:rsid w:val="00840C65"/>
    <w:rsid w:val="00847FBD"/>
    <w:rsid w:val="00871014"/>
    <w:rsid w:val="00871603"/>
    <w:rsid w:val="00876890"/>
    <w:rsid w:val="00881A15"/>
    <w:rsid w:val="00883778"/>
    <w:rsid w:val="00891279"/>
    <w:rsid w:val="008A222D"/>
    <w:rsid w:val="008A24D8"/>
    <w:rsid w:val="008A2EE1"/>
    <w:rsid w:val="008A38DE"/>
    <w:rsid w:val="008A7B99"/>
    <w:rsid w:val="008B2B65"/>
    <w:rsid w:val="008B2DF1"/>
    <w:rsid w:val="008B72B2"/>
    <w:rsid w:val="008B74E8"/>
    <w:rsid w:val="008B7F2C"/>
    <w:rsid w:val="008C480E"/>
    <w:rsid w:val="008D480E"/>
    <w:rsid w:val="008D641B"/>
    <w:rsid w:val="008D7D11"/>
    <w:rsid w:val="008E1754"/>
    <w:rsid w:val="00900A08"/>
    <w:rsid w:val="00902E9D"/>
    <w:rsid w:val="00916672"/>
    <w:rsid w:val="00917ED6"/>
    <w:rsid w:val="00920965"/>
    <w:rsid w:val="009226AC"/>
    <w:rsid w:val="00923F54"/>
    <w:rsid w:val="009261DC"/>
    <w:rsid w:val="009315B0"/>
    <w:rsid w:val="00937C82"/>
    <w:rsid w:val="009427E7"/>
    <w:rsid w:val="00943192"/>
    <w:rsid w:val="0094650E"/>
    <w:rsid w:val="009512E4"/>
    <w:rsid w:val="009540AF"/>
    <w:rsid w:val="00954DB7"/>
    <w:rsid w:val="009758EC"/>
    <w:rsid w:val="00982E9C"/>
    <w:rsid w:val="00983152"/>
    <w:rsid w:val="0099795D"/>
    <w:rsid w:val="009A4DE5"/>
    <w:rsid w:val="009B32DC"/>
    <w:rsid w:val="009B5021"/>
    <w:rsid w:val="009B7A9C"/>
    <w:rsid w:val="009C0764"/>
    <w:rsid w:val="009C2CB6"/>
    <w:rsid w:val="009D5E0C"/>
    <w:rsid w:val="009D7A9F"/>
    <w:rsid w:val="009E3332"/>
    <w:rsid w:val="009E4E36"/>
    <w:rsid w:val="009F1D61"/>
    <w:rsid w:val="009F5E27"/>
    <w:rsid w:val="00A00BF1"/>
    <w:rsid w:val="00A016C6"/>
    <w:rsid w:val="00A01715"/>
    <w:rsid w:val="00A01B73"/>
    <w:rsid w:val="00A103DD"/>
    <w:rsid w:val="00A10641"/>
    <w:rsid w:val="00A12B03"/>
    <w:rsid w:val="00A17020"/>
    <w:rsid w:val="00A26D02"/>
    <w:rsid w:val="00A33997"/>
    <w:rsid w:val="00A33A3A"/>
    <w:rsid w:val="00A501F1"/>
    <w:rsid w:val="00A51896"/>
    <w:rsid w:val="00A619E3"/>
    <w:rsid w:val="00A6258C"/>
    <w:rsid w:val="00A63351"/>
    <w:rsid w:val="00A63615"/>
    <w:rsid w:val="00A74641"/>
    <w:rsid w:val="00A90181"/>
    <w:rsid w:val="00A92D06"/>
    <w:rsid w:val="00A93688"/>
    <w:rsid w:val="00AB5556"/>
    <w:rsid w:val="00AC3E29"/>
    <w:rsid w:val="00AC5C84"/>
    <w:rsid w:val="00AD1CE7"/>
    <w:rsid w:val="00AD3C61"/>
    <w:rsid w:val="00AD5D05"/>
    <w:rsid w:val="00AD7A0B"/>
    <w:rsid w:val="00AF4D38"/>
    <w:rsid w:val="00AF6941"/>
    <w:rsid w:val="00B01A81"/>
    <w:rsid w:val="00B048F0"/>
    <w:rsid w:val="00B05D83"/>
    <w:rsid w:val="00B06FBE"/>
    <w:rsid w:val="00B14A8A"/>
    <w:rsid w:val="00B15FBF"/>
    <w:rsid w:val="00B25401"/>
    <w:rsid w:val="00B329E7"/>
    <w:rsid w:val="00B33AE0"/>
    <w:rsid w:val="00B3409C"/>
    <w:rsid w:val="00B4235D"/>
    <w:rsid w:val="00B433CB"/>
    <w:rsid w:val="00B55F17"/>
    <w:rsid w:val="00B61134"/>
    <w:rsid w:val="00B747CA"/>
    <w:rsid w:val="00B74B6F"/>
    <w:rsid w:val="00B7594B"/>
    <w:rsid w:val="00B809A0"/>
    <w:rsid w:val="00B810A7"/>
    <w:rsid w:val="00B86123"/>
    <w:rsid w:val="00B94D60"/>
    <w:rsid w:val="00B9537C"/>
    <w:rsid w:val="00B96572"/>
    <w:rsid w:val="00BC20B2"/>
    <w:rsid w:val="00BC41EA"/>
    <w:rsid w:val="00BD14A7"/>
    <w:rsid w:val="00BF38D6"/>
    <w:rsid w:val="00BF3CDD"/>
    <w:rsid w:val="00C010E0"/>
    <w:rsid w:val="00C026B8"/>
    <w:rsid w:val="00C0475A"/>
    <w:rsid w:val="00C323CA"/>
    <w:rsid w:val="00C36EA8"/>
    <w:rsid w:val="00C4017D"/>
    <w:rsid w:val="00C4055F"/>
    <w:rsid w:val="00C45143"/>
    <w:rsid w:val="00C57C3D"/>
    <w:rsid w:val="00C625A1"/>
    <w:rsid w:val="00C82F34"/>
    <w:rsid w:val="00C84489"/>
    <w:rsid w:val="00C8597F"/>
    <w:rsid w:val="00C87911"/>
    <w:rsid w:val="00CA074D"/>
    <w:rsid w:val="00CB3B8E"/>
    <w:rsid w:val="00CB7653"/>
    <w:rsid w:val="00CB7C8D"/>
    <w:rsid w:val="00CC0FCD"/>
    <w:rsid w:val="00CE651B"/>
    <w:rsid w:val="00CF35DF"/>
    <w:rsid w:val="00CF56A8"/>
    <w:rsid w:val="00D03597"/>
    <w:rsid w:val="00D104BF"/>
    <w:rsid w:val="00D11015"/>
    <w:rsid w:val="00D12BF2"/>
    <w:rsid w:val="00D164BA"/>
    <w:rsid w:val="00D328DC"/>
    <w:rsid w:val="00D345DF"/>
    <w:rsid w:val="00D42968"/>
    <w:rsid w:val="00D4343B"/>
    <w:rsid w:val="00D4580A"/>
    <w:rsid w:val="00D46A68"/>
    <w:rsid w:val="00D624DB"/>
    <w:rsid w:val="00D6752F"/>
    <w:rsid w:val="00D7629D"/>
    <w:rsid w:val="00D76923"/>
    <w:rsid w:val="00D8094C"/>
    <w:rsid w:val="00D8523D"/>
    <w:rsid w:val="00DB38AC"/>
    <w:rsid w:val="00DC0E10"/>
    <w:rsid w:val="00DC5626"/>
    <w:rsid w:val="00DC7078"/>
    <w:rsid w:val="00DD1DBB"/>
    <w:rsid w:val="00DF4761"/>
    <w:rsid w:val="00DF6B1D"/>
    <w:rsid w:val="00DF762E"/>
    <w:rsid w:val="00E0160C"/>
    <w:rsid w:val="00E108E5"/>
    <w:rsid w:val="00E110C5"/>
    <w:rsid w:val="00E13AFC"/>
    <w:rsid w:val="00E1737E"/>
    <w:rsid w:val="00E21C96"/>
    <w:rsid w:val="00E21F2A"/>
    <w:rsid w:val="00E279F8"/>
    <w:rsid w:val="00E27B27"/>
    <w:rsid w:val="00E30E3D"/>
    <w:rsid w:val="00E333F4"/>
    <w:rsid w:val="00E41597"/>
    <w:rsid w:val="00E42550"/>
    <w:rsid w:val="00E54066"/>
    <w:rsid w:val="00E57A97"/>
    <w:rsid w:val="00E607C1"/>
    <w:rsid w:val="00E62613"/>
    <w:rsid w:val="00E62AA5"/>
    <w:rsid w:val="00E646D7"/>
    <w:rsid w:val="00E6628B"/>
    <w:rsid w:val="00E72423"/>
    <w:rsid w:val="00E725E3"/>
    <w:rsid w:val="00E82C1A"/>
    <w:rsid w:val="00E855E9"/>
    <w:rsid w:val="00E9007A"/>
    <w:rsid w:val="00EA00DB"/>
    <w:rsid w:val="00EA0FAC"/>
    <w:rsid w:val="00EA6E5D"/>
    <w:rsid w:val="00EC2469"/>
    <w:rsid w:val="00EC2A7D"/>
    <w:rsid w:val="00EC3568"/>
    <w:rsid w:val="00ED3AD2"/>
    <w:rsid w:val="00ED3F0B"/>
    <w:rsid w:val="00EE6D20"/>
    <w:rsid w:val="00EE7C2E"/>
    <w:rsid w:val="00EF790E"/>
    <w:rsid w:val="00F04D3B"/>
    <w:rsid w:val="00F056A6"/>
    <w:rsid w:val="00F12900"/>
    <w:rsid w:val="00F32E94"/>
    <w:rsid w:val="00F4024A"/>
    <w:rsid w:val="00F40D0E"/>
    <w:rsid w:val="00F434B9"/>
    <w:rsid w:val="00F45B8A"/>
    <w:rsid w:val="00F54D68"/>
    <w:rsid w:val="00F55B81"/>
    <w:rsid w:val="00F61103"/>
    <w:rsid w:val="00F677F7"/>
    <w:rsid w:val="00F718CF"/>
    <w:rsid w:val="00F71D01"/>
    <w:rsid w:val="00F7795A"/>
    <w:rsid w:val="00F8388A"/>
    <w:rsid w:val="00F90EDE"/>
    <w:rsid w:val="00F91D6C"/>
    <w:rsid w:val="00F946D5"/>
    <w:rsid w:val="00FA37A5"/>
    <w:rsid w:val="00FB6ECB"/>
    <w:rsid w:val="00FC17E7"/>
    <w:rsid w:val="00FD3A14"/>
    <w:rsid w:val="00FD6723"/>
    <w:rsid w:val="00FD7270"/>
    <w:rsid w:val="00FE0402"/>
    <w:rsid w:val="00FE1D87"/>
    <w:rsid w:val="00FE3266"/>
    <w:rsid w:val="00FE3941"/>
    <w:rsid w:val="00FE6831"/>
    <w:rsid w:val="00FF13D4"/>
    <w:rsid w:val="00FF6520"/>
    <w:rsid w:val="01C0E1F0"/>
    <w:rsid w:val="02005107"/>
    <w:rsid w:val="0247CA98"/>
    <w:rsid w:val="0289D1E7"/>
    <w:rsid w:val="045C6E1C"/>
    <w:rsid w:val="059FD775"/>
    <w:rsid w:val="05EDD6BC"/>
    <w:rsid w:val="065B494D"/>
    <w:rsid w:val="07CB8A01"/>
    <w:rsid w:val="0947336A"/>
    <w:rsid w:val="097471EC"/>
    <w:rsid w:val="0A604759"/>
    <w:rsid w:val="0B23438C"/>
    <w:rsid w:val="0BD03AFE"/>
    <w:rsid w:val="0C6D5072"/>
    <w:rsid w:val="0CE929AC"/>
    <w:rsid w:val="0CFC3583"/>
    <w:rsid w:val="0D776DAD"/>
    <w:rsid w:val="0EFC047C"/>
    <w:rsid w:val="0F93E709"/>
    <w:rsid w:val="0F99CD0F"/>
    <w:rsid w:val="1020CA6E"/>
    <w:rsid w:val="1031C5DA"/>
    <w:rsid w:val="11629FCB"/>
    <w:rsid w:val="11CD963B"/>
    <w:rsid w:val="12A9460C"/>
    <w:rsid w:val="13EBD319"/>
    <w:rsid w:val="152F8905"/>
    <w:rsid w:val="158A6A6B"/>
    <w:rsid w:val="15DF7017"/>
    <w:rsid w:val="15DF9E8C"/>
    <w:rsid w:val="16A9A6D3"/>
    <w:rsid w:val="16AF82FF"/>
    <w:rsid w:val="16BBA2BA"/>
    <w:rsid w:val="171B63EB"/>
    <w:rsid w:val="172BDDD5"/>
    <w:rsid w:val="17C56BD5"/>
    <w:rsid w:val="19AAE055"/>
    <w:rsid w:val="19CE375B"/>
    <w:rsid w:val="19D19988"/>
    <w:rsid w:val="1A1DACA4"/>
    <w:rsid w:val="1AA2E83A"/>
    <w:rsid w:val="1C8EC19B"/>
    <w:rsid w:val="1CDF7B1B"/>
    <w:rsid w:val="1CE031C7"/>
    <w:rsid w:val="1E6B4425"/>
    <w:rsid w:val="1E7C0228"/>
    <w:rsid w:val="1EA30B5D"/>
    <w:rsid w:val="1EFC3C18"/>
    <w:rsid w:val="1F4240B2"/>
    <w:rsid w:val="1FB2A82D"/>
    <w:rsid w:val="1FE0AEDD"/>
    <w:rsid w:val="20D471D0"/>
    <w:rsid w:val="22C6818C"/>
    <w:rsid w:val="22F557FF"/>
    <w:rsid w:val="240856E9"/>
    <w:rsid w:val="240C1292"/>
    <w:rsid w:val="2435130F"/>
    <w:rsid w:val="274A3D6F"/>
    <w:rsid w:val="27A79039"/>
    <w:rsid w:val="27F8FE0E"/>
    <w:rsid w:val="289042B0"/>
    <w:rsid w:val="28C125BC"/>
    <w:rsid w:val="28DAE1E7"/>
    <w:rsid w:val="2976564C"/>
    <w:rsid w:val="29B96611"/>
    <w:rsid w:val="2A10FE96"/>
    <w:rsid w:val="2A15EDFA"/>
    <w:rsid w:val="2AA45493"/>
    <w:rsid w:val="2BA934E9"/>
    <w:rsid w:val="2C172477"/>
    <w:rsid w:val="2C8F88E9"/>
    <w:rsid w:val="2D489F58"/>
    <w:rsid w:val="2D7070C7"/>
    <w:rsid w:val="2E683F92"/>
    <w:rsid w:val="2F915B73"/>
    <w:rsid w:val="2FB71CC9"/>
    <w:rsid w:val="2FE597D0"/>
    <w:rsid w:val="2FFEC02D"/>
    <w:rsid w:val="30221DDF"/>
    <w:rsid w:val="31D7A78C"/>
    <w:rsid w:val="34212D2E"/>
    <w:rsid w:val="34966B1B"/>
    <w:rsid w:val="3505C82C"/>
    <w:rsid w:val="36A7C683"/>
    <w:rsid w:val="36DACA2D"/>
    <w:rsid w:val="398937B5"/>
    <w:rsid w:val="3B75EFEC"/>
    <w:rsid w:val="3B89E9DE"/>
    <w:rsid w:val="3C8C30DB"/>
    <w:rsid w:val="3F8405AD"/>
    <w:rsid w:val="402AB038"/>
    <w:rsid w:val="406BA34D"/>
    <w:rsid w:val="40C00E1E"/>
    <w:rsid w:val="413FA162"/>
    <w:rsid w:val="44D298C3"/>
    <w:rsid w:val="450F2BFD"/>
    <w:rsid w:val="45553097"/>
    <w:rsid w:val="45AD211D"/>
    <w:rsid w:val="45B4B1FB"/>
    <w:rsid w:val="479BD70F"/>
    <w:rsid w:val="48DDAC6C"/>
    <w:rsid w:val="4A579E97"/>
    <w:rsid w:val="4A75202F"/>
    <w:rsid w:val="4AEFBEC7"/>
    <w:rsid w:val="4B3794D9"/>
    <w:rsid w:val="4BA89BE9"/>
    <w:rsid w:val="4BFA9AB2"/>
    <w:rsid w:val="4D78FEBF"/>
    <w:rsid w:val="4ED4C5C7"/>
    <w:rsid w:val="4EE273D0"/>
    <w:rsid w:val="4FF9B039"/>
    <w:rsid w:val="50B46B27"/>
    <w:rsid w:val="5185F6BD"/>
    <w:rsid w:val="526FF9DC"/>
    <w:rsid w:val="54F96612"/>
    <w:rsid w:val="55E6F54D"/>
    <w:rsid w:val="56384F8F"/>
    <w:rsid w:val="594E551D"/>
    <w:rsid w:val="5955B8C0"/>
    <w:rsid w:val="596A582E"/>
    <w:rsid w:val="5A5C5651"/>
    <w:rsid w:val="5AEA257E"/>
    <w:rsid w:val="5B0BC0B2"/>
    <w:rsid w:val="5CE7151B"/>
    <w:rsid w:val="5D0443C1"/>
    <w:rsid w:val="5E47B1C6"/>
    <w:rsid w:val="5E58E2FB"/>
    <w:rsid w:val="5EBEBFF5"/>
    <w:rsid w:val="5F198FC6"/>
    <w:rsid w:val="5F642EFD"/>
    <w:rsid w:val="601BCE1A"/>
    <w:rsid w:val="601EB5DD"/>
    <w:rsid w:val="60307266"/>
    <w:rsid w:val="6160CAA5"/>
    <w:rsid w:val="61BA863E"/>
    <w:rsid w:val="62A0A6C9"/>
    <w:rsid w:val="636D025E"/>
    <w:rsid w:val="646249BB"/>
    <w:rsid w:val="6634C5AB"/>
    <w:rsid w:val="667FBFC2"/>
    <w:rsid w:val="671CD723"/>
    <w:rsid w:val="6796C124"/>
    <w:rsid w:val="6A096022"/>
    <w:rsid w:val="6A7C2E6C"/>
    <w:rsid w:val="6B2889C2"/>
    <w:rsid w:val="6BF35B5A"/>
    <w:rsid w:val="6CBA066D"/>
    <w:rsid w:val="6D4100E4"/>
    <w:rsid w:val="6E55D6CE"/>
    <w:rsid w:val="6EA990F7"/>
    <w:rsid w:val="701F6FF0"/>
    <w:rsid w:val="7030FE42"/>
    <w:rsid w:val="7052975E"/>
    <w:rsid w:val="70881014"/>
    <w:rsid w:val="708B3459"/>
    <w:rsid w:val="70CA5812"/>
    <w:rsid w:val="70EF3638"/>
    <w:rsid w:val="71353B2D"/>
    <w:rsid w:val="71991386"/>
    <w:rsid w:val="7219C1CD"/>
    <w:rsid w:val="731BBB8A"/>
    <w:rsid w:val="73B5922E"/>
    <w:rsid w:val="754C12C9"/>
    <w:rsid w:val="76187897"/>
    <w:rsid w:val="78EC0B1B"/>
    <w:rsid w:val="792B65B5"/>
    <w:rsid w:val="79686FFD"/>
    <w:rsid w:val="7970C7A5"/>
    <w:rsid w:val="7B9E7047"/>
    <w:rsid w:val="7C656655"/>
    <w:rsid w:val="7D2DCB2E"/>
    <w:rsid w:val="7D943BAC"/>
    <w:rsid w:val="7E50DBEE"/>
    <w:rsid w:val="7EB7D44F"/>
    <w:rsid w:val="7F108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F8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uiPriority w:val="59"/>
    <w:rsid w:val="005A4A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character" w:styleId="Hyperlink">
    <w:name w:val="Hyperlink"/>
    <w:basedOn w:val="DefaultParagraphFont"/>
    <w:uiPriority w:val="99"/>
    <w:unhideWhenUsed/>
    <w:rsid w:val="00937C82"/>
    <w:rPr>
      <w:color w:val="0000FF"/>
      <w:u w:val="single"/>
    </w:rPr>
  </w:style>
  <w:style w:type="paragraph" w:styleId="Revision">
    <w:name w:val="Revision"/>
    <w:hidden/>
    <w:uiPriority w:val="99"/>
    <w:semiHidden/>
    <w:rsid w:val="009F5E27"/>
    <w:rPr>
      <w:sz w:val="24"/>
    </w:rPr>
  </w:style>
  <w:style w:type="paragraph" w:styleId="NoSpacing">
    <w:name w:val="No Spacing"/>
    <w:uiPriority w:val="1"/>
    <w:qFormat/>
    <w:rsid w:val="002C7CBF"/>
    <w:rPr>
      <w:rFonts w:asciiTheme="minorHAnsi" w:eastAsiaTheme="minorHAnsi" w:hAnsiTheme="minorHAnsi" w:cstheme="minorBidi"/>
      <w:sz w:val="22"/>
      <w:szCs w:val="22"/>
    </w:rPr>
  </w:style>
  <w:style w:type="character" w:styleId="FootnoteReference">
    <w:name w:val="footnote reference"/>
    <w:basedOn w:val="DefaultParagraphFont"/>
    <w:semiHidden/>
    <w:unhideWhenUsed/>
    <w:rsid w:val="002E450A"/>
    <w:rPr>
      <w:vertAlign w:val="superscript"/>
    </w:rPr>
  </w:style>
  <w:style w:type="paragraph" w:customStyle="1" w:styleId="QuestionNumbered">
    <w:name w:val="Question Numbered"/>
    <w:basedOn w:val="Normal"/>
    <w:qFormat/>
    <w:rsid w:val="005B4F5B"/>
    <w:pPr>
      <w:keepNext/>
      <w:keepLines/>
      <w:numPr>
        <w:numId w:val="27"/>
      </w:numPr>
      <w:spacing w:before="240" w:after="240"/>
    </w:pPr>
    <w:rPr>
      <w:b/>
      <w:sz w:val="22"/>
      <w:szCs w:val="22"/>
    </w:rPr>
  </w:style>
  <w:style w:type="paragraph" w:customStyle="1" w:styleId="Response">
    <w:name w:val="Response"/>
    <w:basedOn w:val="Normal"/>
    <w:qFormat/>
    <w:rsid w:val="005B4F5B"/>
    <w:pPr>
      <w:tabs>
        <w:tab w:val="left" w:pos="1080"/>
        <w:tab w:val="left" w:pos="2160"/>
        <w:tab w:val="right" w:leader="underscore" w:pos="10800"/>
      </w:tabs>
      <w:ind w:left="1080" w:hanging="360"/>
    </w:pPr>
    <w:rPr>
      <w:sz w:val="22"/>
      <w:szCs w:val="22"/>
    </w:rPr>
  </w:style>
  <w:style w:type="paragraph" w:customStyle="1" w:styleId="QuestionIndent">
    <w:name w:val="QuestionIndent"/>
    <w:basedOn w:val="QuestionNumbered"/>
    <w:qFormat/>
    <w:rsid w:val="005B4F5B"/>
    <w:pPr>
      <w:numPr>
        <w:numId w:val="0"/>
      </w:numPr>
      <w:spacing w:before="480"/>
      <w:ind w:left="1440" w:hanging="720"/>
    </w:pPr>
  </w:style>
  <w:style w:type="table" w:customStyle="1" w:styleId="TableGrid1">
    <w:name w:val="Table Grid1"/>
    <w:basedOn w:val="TableNormal"/>
    <w:next w:val="TableGrid"/>
    <w:uiPriority w:val="39"/>
    <w:rsid w:val="0044321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Sessions">
    <w:name w:val="Response_Sessions"/>
    <w:basedOn w:val="Normal"/>
    <w:qFormat/>
    <w:rsid w:val="00943192"/>
    <w:pPr>
      <w:tabs>
        <w:tab w:val="center" w:pos="4464"/>
      </w:tabs>
      <w:ind w:left="432" w:right="1260" w:hanging="432"/>
    </w:pPr>
    <w:rPr>
      <w:sz w:val="22"/>
    </w:rPr>
  </w:style>
  <w:style w:type="paragraph" w:styleId="HTMLPreformatted">
    <w:name w:val="HTML Preformatted"/>
    <w:basedOn w:val="Normal"/>
    <w:link w:val="HTMLPreformattedChar"/>
    <w:rsid w:val="00AD5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AD5D0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9993">
      <w:bodyDiv w:val="1"/>
      <w:marLeft w:val="0"/>
      <w:marRight w:val="0"/>
      <w:marTop w:val="0"/>
      <w:marBottom w:val="0"/>
      <w:divBdr>
        <w:top w:val="none" w:sz="0" w:space="0" w:color="auto"/>
        <w:left w:val="none" w:sz="0" w:space="0" w:color="auto"/>
        <w:bottom w:val="none" w:sz="0" w:space="0" w:color="auto"/>
        <w:right w:val="none" w:sz="0" w:space="0" w:color="auto"/>
      </w:divBdr>
    </w:div>
    <w:div w:id="64912198">
      <w:bodyDiv w:val="1"/>
      <w:marLeft w:val="0"/>
      <w:marRight w:val="0"/>
      <w:marTop w:val="0"/>
      <w:marBottom w:val="0"/>
      <w:divBdr>
        <w:top w:val="none" w:sz="0" w:space="0" w:color="auto"/>
        <w:left w:val="none" w:sz="0" w:space="0" w:color="auto"/>
        <w:bottom w:val="none" w:sz="0" w:space="0" w:color="auto"/>
        <w:right w:val="none" w:sz="0" w:space="0" w:color="auto"/>
      </w:divBdr>
    </w:div>
    <w:div w:id="124087861">
      <w:bodyDiv w:val="1"/>
      <w:marLeft w:val="0"/>
      <w:marRight w:val="0"/>
      <w:marTop w:val="0"/>
      <w:marBottom w:val="0"/>
      <w:divBdr>
        <w:top w:val="none" w:sz="0" w:space="0" w:color="auto"/>
        <w:left w:val="none" w:sz="0" w:space="0" w:color="auto"/>
        <w:bottom w:val="none" w:sz="0" w:space="0" w:color="auto"/>
        <w:right w:val="none" w:sz="0" w:space="0" w:color="auto"/>
      </w:divBdr>
    </w:div>
    <w:div w:id="223293865">
      <w:bodyDiv w:val="1"/>
      <w:marLeft w:val="0"/>
      <w:marRight w:val="0"/>
      <w:marTop w:val="0"/>
      <w:marBottom w:val="0"/>
      <w:divBdr>
        <w:top w:val="none" w:sz="0" w:space="0" w:color="auto"/>
        <w:left w:val="none" w:sz="0" w:space="0" w:color="auto"/>
        <w:bottom w:val="none" w:sz="0" w:space="0" w:color="auto"/>
        <w:right w:val="none" w:sz="0" w:space="0" w:color="auto"/>
      </w:divBdr>
    </w:div>
    <w:div w:id="316954641">
      <w:bodyDiv w:val="1"/>
      <w:marLeft w:val="0"/>
      <w:marRight w:val="0"/>
      <w:marTop w:val="0"/>
      <w:marBottom w:val="0"/>
      <w:divBdr>
        <w:top w:val="none" w:sz="0" w:space="0" w:color="auto"/>
        <w:left w:val="none" w:sz="0" w:space="0" w:color="auto"/>
        <w:bottom w:val="none" w:sz="0" w:space="0" w:color="auto"/>
        <w:right w:val="none" w:sz="0" w:space="0" w:color="auto"/>
      </w:divBdr>
    </w:div>
    <w:div w:id="493492054">
      <w:bodyDiv w:val="1"/>
      <w:marLeft w:val="0"/>
      <w:marRight w:val="0"/>
      <w:marTop w:val="0"/>
      <w:marBottom w:val="0"/>
      <w:divBdr>
        <w:top w:val="none" w:sz="0" w:space="0" w:color="auto"/>
        <w:left w:val="none" w:sz="0" w:space="0" w:color="auto"/>
        <w:bottom w:val="none" w:sz="0" w:space="0" w:color="auto"/>
        <w:right w:val="none" w:sz="0" w:space="0" w:color="auto"/>
      </w:divBdr>
    </w:div>
    <w:div w:id="502548214">
      <w:bodyDiv w:val="1"/>
      <w:marLeft w:val="0"/>
      <w:marRight w:val="0"/>
      <w:marTop w:val="0"/>
      <w:marBottom w:val="0"/>
      <w:divBdr>
        <w:top w:val="none" w:sz="0" w:space="0" w:color="auto"/>
        <w:left w:val="none" w:sz="0" w:space="0" w:color="auto"/>
        <w:bottom w:val="none" w:sz="0" w:space="0" w:color="auto"/>
        <w:right w:val="none" w:sz="0" w:space="0" w:color="auto"/>
      </w:divBdr>
    </w:div>
    <w:div w:id="709383608">
      <w:bodyDiv w:val="1"/>
      <w:marLeft w:val="0"/>
      <w:marRight w:val="0"/>
      <w:marTop w:val="0"/>
      <w:marBottom w:val="0"/>
      <w:divBdr>
        <w:top w:val="none" w:sz="0" w:space="0" w:color="auto"/>
        <w:left w:val="none" w:sz="0" w:space="0" w:color="auto"/>
        <w:bottom w:val="none" w:sz="0" w:space="0" w:color="auto"/>
        <w:right w:val="none" w:sz="0" w:space="0" w:color="auto"/>
      </w:divBdr>
    </w:div>
    <w:div w:id="788665461">
      <w:bodyDiv w:val="1"/>
      <w:marLeft w:val="0"/>
      <w:marRight w:val="0"/>
      <w:marTop w:val="0"/>
      <w:marBottom w:val="0"/>
      <w:divBdr>
        <w:top w:val="none" w:sz="0" w:space="0" w:color="auto"/>
        <w:left w:val="none" w:sz="0" w:space="0" w:color="auto"/>
        <w:bottom w:val="none" w:sz="0" w:space="0" w:color="auto"/>
        <w:right w:val="none" w:sz="0" w:space="0" w:color="auto"/>
      </w:divBdr>
    </w:div>
    <w:div w:id="870386134">
      <w:bodyDiv w:val="1"/>
      <w:marLeft w:val="0"/>
      <w:marRight w:val="0"/>
      <w:marTop w:val="0"/>
      <w:marBottom w:val="0"/>
      <w:divBdr>
        <w:top w:val="none" w:sz="0" w:space="0" w:color="auto"/>
        <w:left w:val="none" w:sz="0" w:space="0" w:color="auto"/>
        <w:bottom w:val="none" w:sz="0" w:space="0" w:color="auto"/>
        <w:right w:val="none" w:sz="0" w:space="0" w:color="auto"/>
      </w:divBdr>
    </w:div>
    <w:div w:id="910310204">
      <w:bodyDiv w:val="1"/>
      <w:marLeft w:val="0"/>
      <w:marRight w:val="0"/>
      <w:marTop w:val="0"/>
      <w:marBottom w:val="0"/>
      <w:divBdr>
        <w:top w:val="none" w:sz="0" w:space="0" w:color="auto"/>
        <w:left w:val="none" w:sz="0" w:space="0" w:color="auto"/>
        <w:bottom w:val="none" w:sz="0" w:space="0" w:color="auto"/>
        <w:right w:val="none" w:sz="0" w:space="0" w:color="auto"/>
      </w:divBdr>
    </w:div>
    <w:div w:id="1465541374">
      <w:bodyDiv w:val="1"/>
      <w:marLeft w:val="0"/>
      <w:marRight w:val="0"/>
      <w:marTop w:val="0"/>
      <w:marBottom w:val="0"/>
      <w:divBdr>
        <w:top w:val="none" w:sz="0" w:space="0" w:color="auto"/>
        <w:left w:val="none" w:sz="0" w:space="0" w:color="auto"/>
        <w:bottom w:val="none" w:sz="0" w:space="0" w:color="auto"/>
        <w:right w:val="none" w:sz="0" w:space="0" w:color="auto"/>
      </w:divBdr>
    </w:div>
    <w:div w:id="1628507394">
      <w:bodyDiv w:val="1"/>
      <w:marLeft w:val="0"/>
      <w:marRight w:val="0"/>
      <w:marTop w:val="0"/>
      <w:marBottom w:val="0"/>
      <w:divBdr>
        <w:top w:val="none" w:sz="0" w:space="0" w:color="auto"/>
        <w:left w:val="none" w:sz="0" w:space="0" w:color="auto"/>
        <w:bottom w:val="none" w:sz="0" w:space="0" w:color="auto"/>
        <w:right w:val="none" w:sz="0" w:space="0" w:color="auto"/>
      </w:divBdr>
    </w:div>
    <w:div w:id="198111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41DBDB992FCB47848DFA87BF53E9BF" ma:contentTypeVersion="" ma:contentTypeDescription="Create a new document." ma:contentTypeScope="" ma:versionID="9705f31ac3a4b05abe0c09f65f8641e5">
  <xsd:schema xmlns:xsd="http://www.w3.org/2001/XMLSchema" xmlns:xs="http://www.w3.org/2001/XMLSchema" xmlns:p="http://schemas.microsoft.com/office/2006/metadata/properties" xmlns:ns2="DC6B622E-6C7A-48C3-AA9F-D752053EE997" xmlns:ns3="e91ca93f-fbea-4fca-9197-8d8e24ad07d0" targetNamespace="http://schemas.microsoft.com/office/2006/metadata/properties" ma:root="true" ma:fieldsID="8d23d3cd47c0edcd68881cf855d66ada" ns2:_="" ns3:_="">
    <xsd:import namespace="DC6B622E-6C7A-48C3-AA9F-D752053EE997"/>
    <xsd:import namespace="e91ca93f-fbea-4fca-9197-8d8e24ad07d0"/>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B622E-6C7A-48C3-AA9F-D752053EE99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ca93f-fbea-4fca-9197-8d8e24ad0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3AB94-3008-4374-ABB7-654D01417D2A}">
  <ds:schemaRefs>
    <ds:schemaRef ds:uri="http://schemas.microsoft.com/sharepoint/v3/contenttype/forms"/>
  </ds:schemaRefs>
</ds:datastoreItem>
</file>

<file path=customXml/itemProps2.xml><?xml version="1.0" encoding="utf-8"?>
<ds:datastoreItem xmlns:ds="http://schemas.openxmlformats.org/officeDocument/2006/customXml" ds:itemID="{80459597-7315-4B74-B375-EF765C9428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8155AF-8A71-4271-B185-0671D80A17D0}">
  <ds:schemaRefs>
    <ds:schemaRef ds:uri="http://schemas.openxmlformats.org/officeDocument/2006/bibliography"/>
  </ds:schemaRefs>
</ds:datastoreItem>
</file>

<file path=customXml/itemProps4.xml><?xml version="1.0" encoding="utf-8"?>
<ds:datastoreItem xmlns:ds="http://schemas.openxmlformats.org/officeDocument/2006/customXml" ds:itemID="{4F420DBB-9F8C-49EA-B2F7-B233E50DA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B622E-6C7A-48C3-AA9F-D752053EE997"/>
    <ds:schemaRef ds:uri="e91ca93f-fbea-4fca-9197-8d8e24ad0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3034</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2021-11-17T13:41:00Z</dcterms:created>
  <dcterms:modified xsi:type="dcterms:W3CDTF">2022-07-11T16:12:00Z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0x0101004041DBDB992FCB47848DFA87BF53E9BF</vt:lpwstr>
  </property>
</Properties>
</file>