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7C8A" w:rsidP="00F005BC" w14:paraId="6EF025FE" w14:textId="77777777">
      <w:pPr>
        <w:jc w:val="center"/>
        <w:rPr>
          <w:rFonts w:eastAsia="Calibri"/>
        </w:rPr>
      </w:pPr>
      <w:r w:rsidRPr="00357C8A">
        <w:rPr>
          <w:rFonts w:eastAsia="Calibri"/>
        </w:rPr>
        <w:t>UNITED STATES FOOD AND DRUG ADMINISTRATION</w:t>
      </w:r>
    </w:p>
    <w:p w:rsidR="00357C8A" w:rsidP="00357C8A" w14:paraId="0DEE7A10" w14:textId="77777777">
      <w:pPr>
        <w:jc w:val="center"/>
        <w:rPr>
          <w:rFonts w:eastAsia="Calibri"/>
        </w:rPr>
      </w:pPr>
    </w:p>
    <w:p w:rsidR="00DF6014" w:rsidRPr="00DF6014" w:rsidP="00DF6014" w14:paraId="10CD63CC" w14:textId="77777777">
      <w:pPr>
        <w:jc w:val="center"/>
        <w:rPr>
          <w:rFonts w:eastAsia="Calibri"/>
        </w:rPr>
      </w:pPr>
      <w:r w:rsidRPr="00DF6014">
        <w:rPr>
          <w:rFonts w:eastAsia="Calibri"/>
        </w:rPr>
        <w:t>Recordkeeping and Records Access Requirements for Food Facilities</w:t>
      </w:r>
    </w:p>
    <w:p w:rsidR="00DF6014" w:rsidRPr="00DF6014" w:rsidP="00DF6014" w14:paraId="327A547D" w14:textId="77777777">
      <w:pPr>
        <w:jc w:val="center"/>
        <w:rPr>
          <w:rFonts w:eastAsia="Calibri"/>
        </w:rPr>
      </w:pPr>
    </w:p>
    <w:p w:rsidR="00320091" w:rsidP="00DF6014" w14:paraId="1A080EE9" w14:textId="77777777">
      <w:pPr>
        <w:jc w:val="center"/>
        <w:rPr>
          <w:rFonts w:eastAsia="Calibri"/>
        </w:rPr>
      </w:pPr>
      <w:r w:rsidRPr="00CB474A">
        <w:rPr>
          <w:rFonts w:eastAsia="Calibri"/>
          <w:u w:val="single"/>
        </w:rPr>
        <w:t>OMB Control No. 0910-0560</w:t>
      </w:r>
      <w:r w:rsidR="00456BEF">
        <w:rPr>
          <w:rFonts w:eastAsia="Calibri"/>
        </w:rPr>
        <w:t>;</w:t>
      </w:r>
    </w:p>
    <w:p w:rsidR="00456BEF" w:rsidRPr="00456BEF" w:rsidP="00DF6014" w14:paraId="4230CFC5" w14:textId="77777777">
      <w:pPr>
        <w:jc w:val="center"/>
        <w:rPr>
          <w:rFonts w:eastAsia="Calibri"/>
        </w:rPr>
      </w:pPr>
      <w:r>
        <w:rPr>
          <w:rFonts w:eastAsia="Calibri"/>
        </w:rPr>
        <w:t xml:space="preserve"> </w:t>
      </w:r>
      <w:r w:rsidRPr="00456BEF">
        <w:rPr>
          <w:rFonts w:eastAsia="Calibri"/>
          <w:u w:val="single"/>
        </w:rPr>
        <w:t>RIN 0910–AI44</w:t>
      </w:r>
    </w:p>
    <w:p w:rsidR="00D726F9" w:rsidP="000D79CC" w14:paraId="34AC7DDF" w14:textId="77777777">
      <w:pPr>
        <w:rPr>
          <w:rFonts w:eastAsia="Calibri"/>
        </w:rPr>
      </w:pPr>
    </w:p>
    <w:p w:rsidR="00D726F9" w:rsidP="000D79CC" w14:paraId="4BC6442A" w14:textId="0532404A">
      <w:pPr>
        <w:rPr>
          <w:rFonts w:eastAsia="Calibri"/>
        </w:rPr>
      </w:pPr>
      <w:r w:rsidRPr="00357C8A">
        <w:rPr>
          <w:rFonts w:eastAsia="Calibri"/>
        </w:rPr>
        <w:t>SUPPORTING STATEMENT</w:t>
      </w:r>
      <w:r w:rsidR="00CB474A">
        <w:rPr>
          <w:rFonts w:eastAsia="Calibri"/>
        </w:rPr>
        <w:t xml:space="preserve"> – </w:t>
      </w:r>
      <w:r w:rsidRPr="00357C8A">
        <w:rPr>
          <w:rFonts w:eastAsia="Calibri"/>
          <w:b/>
        </w:rPr>
        <w:t>Part A:  Justification</w:t>
      </w:r>
      <w:r w:rsidRPr="00357C8A">
        <w:rPr>
          <w:rFonts w:eastAsia="Calibri"/>
        </w:rPr>
        <w:t>:</w:t>
      </w:r>
    </w:p>
    <w:p w:rsidR="000D79CC" w:rsidRPr="00357C8A" w:rsidP="000D79CC" w14:paraId="1031EA2F" w14:textId="77777777">
      <w:pPr>
        <w:rPr>
          <w:rFonts w:eastAsia="Calibri"/>
        </w:rPr>
      </w:pPr>
    </w:p>
    <w:p w:rsidR="00357C8A" w:rsidRPr="00357C8A" w:rsidP="006705EA" w14:paraId="65F1C844" w14:textId="35B73C61">
      <w:pPr>
        <w:numPr>
          <w:ilvl w:val="0"/>
          <w:numId w:val="6"/>
        </w:numPr>
        <w:spacing w:after="200" w:line="276" w:lineRule="auto"/>
        <w:rPr>
          <w:rFonts w:eastAsia="Calibri"/>
        </w:rPr>
      </w:pPr>
      <w:r w:rsidRPr="00357C8A">
        <w:rPr>
          <w:rFonts w:eastAsia="Calibri"/>
          <w:u w:val="single"/>
        </w:rPr>
        <w:t>Circumstances Making the Collection of Information Necessary</w:t>
      </w:r>
    </w:p>
    <w:p w:rsidR="00DF6014" w:rsidRPr="00B209F3" w:rsidP="00DF6014" w14:paraId="24546F52" w14:textId="30EF95E1">
      <w:pPr>
        <w:spacing w:after="200"/>
        <w:rPr>
          <w:rFonts w:eastAsia="Calibri"/>
        </w:rPr>
      </w:pPr>
      <w:r w:rsidRPr="00DF6014">
        <w:rPr>
          <w:rFonts w:eastAsia="Calibri"/>
        </w:rPr>
        <w:t>This information collection supports Food and Drug Administration (FDA, agency, or</w:t>
      </w:r>
      <w:r w:rsidR="00427F23">
        <w:rPr>
          <w:rFonts w:eastAsia="Calibri"/>
        </w:rPr>
        <w:t xml:space="preserve"> we) rulemaking</w:t>
      </w:r>
      <w:r w:rsidR="008555F2">
        <w:rPr>
          <w:rFonts w:eastAsia="Calibri"/>
        </w:rPr>
        <w:t xml:space="preserve"> that</w:t>
      </w:r>
      <w:r w:rsidR="001B6385">
        <w:rPr>
          <w:rFonts w:eastAsia="Calibri"/>
        </w:rPr>
        <w:t xml:space="preserve"> helps to implement provisions of the Food Safety and Modernization Act (FSMA)</w:t>
      </w:r>
      <w:r w:rsidRPr="00E10023" w:rsidR="00E10023">
        <w:rPr>
          <w:rFonts w:eastAsia="Calibri"/>
        </w:rPr>
        <w:t xml:space="preserve"> (Pub. L. 111–353)</w:t>
      </w:r>
      <w:r w:rsidR="007B150C">
        <w:rPr>
          <w:rFonts w:eastAsia="Calibri"/>
        </w:rPr>
        <w:t>.</w:t>
      </w:r>
      <w:r w:rsidR="001B6385">
        <w:rPr>
          <w:rFonts w:eastAsia="Calibri"/>
        </w:rPr>
        <w:t xml:space="preserve">  </w:t>
      </w:r>
      <w:r w:rsidR="007B150C">
        <w:rPr>
          <w:rFonts w:eastAsia="Calibri"/>
        </w:rPr>
        <w:t>S</w:t>
      </w:r>
      <w:r w:rsidRPr="00DF6014">
        <w:rPr>
          <w:rFonts w:eastAsia="Calibri"/>
        </w:rPr>
        <w:t>ection 414 of the Federal Food, Drug, and Cosmetic Act (the FD&amp;C Act) (21 U.S.C. 350c) requires that persons who manufacture, process, pack, hold, receive, distribute, transport, or import food in</w:t>
      </w:r>
      <w:r w:rsidR="007B732E">
        <w:rPr>
          <w:rFonts w:eastAsia="Calibri"/>
        </w:rPr>
        <w:t>to</w:t>
      </w:r>
      <w:r w:rsidRPr="00DF6014">
        <w:rPr>
          <w:rFonts w:eastAsia="Calibri"/>
        </w:rPr>
        <w:t xml:space="preserve"> the United States establish and maintain records identifying the immediate previous sources and immediate subsequent recipients of food.  These requirements are codified </w:t>
      </w:r>
      <w:r w:rsidR="00F90225">
        <w:rPr>
          <w:rFonts w:eastAsia="Calibri"/>
        </w:rPr>
        <w:t xml:space="preserve">in </w:t>
      </w:r>
      <w:r w:rsidR="00710121">
        <w:rPr>
          <w:rFonts w:eastAsia="Calibri"/>
        </w:rPr>
        <w:t xml:space="preserve">the </w:t>
      </w:r>
      <w:r w:rsidR="00810692">
        <w:rPr>
          <w:rFonts w:eastAsia="Calibri"/>
        </w:rPr>
        <w:t>agency</w:t>
      </w:r>
      <w:r w:rsidR="00710121">
        <w:rPr>
          <w:rFonts w:eastAsia="Calibri"/>
        </w:rPr>
        <w:t>’s general enforcement</w:t>
      </w:r>
      <w:r w:rsidR="00810692">
        <w:rPr>
          <w:rFonts w:eastAsia="Calibri"/>
        </w:rPr>
        <w:t xml:space="preserve"> regulations </w:t>
      </w:r>
      <w:r w:rsidR="00F90225">
        <w:rPr>
          <w:rFonts w:eastAsia="Calibri"/>
        </w:rPr>
        <w:t xml:space="preserve">at </w:t>
      </w:r>
      <w:r w:rsidRPr="00DF6014">
        <w:rPr>
          <w:rFonts w:eastAsia="Calibri"/>
        </w:rPr>
        <w:t>21 CFR</w:t>
      </w:r>
      <w:r w:rsidR="00F90225">
        <w:rPr>
          <w:rFonts w:eastAsia="Calibri"/>
        </w:rPr>
        <w:t xml:space="preserve"> part 1, subpart J </w:t>
      </w:r>
      <w:r w:rsidR="000A748D">
        <w:rPr>
          <w:rFonts w:eastAsia="Calibri"/>
        </w:rPr>
        <w:t>–</w:t>
      </w:r>
      <w:r w:rsidR="00F90225">
        <w:rPr>
          <w:rFonts w:eastAsia="Calibri"/>
        </w:rPr>
        <w:t xml:space="preserve"> </w:t>
      </w:r>
      <w:r w:rsidRPr="000A748D" w:rsidR="000A748D">
        <w:rPr>
          <w:rFonts w:eastAsia="Calibri"/>
          <w:i/>
          <w:iCs/>
        </w:rPr>
        <w:t>Establishment, Maintenance, and Availability of Records</w:t>
      </w:r>
      <w:bookmarkStart w:id="0" w:name="_Hlk34727723"/>
      <w:r w:rsidR="000A748D">
        <w:rPr>
          <w:rFonts w:eastAsia="Calibri"/>
        </w:rPr>
        <w:t>.</w:t>
      </w:r>
      <w:bookmarkEnd w:id="0"/>
      <w:r w:rsidR="004B491B">
        <w:rPr>
          <w:rFonts w:eastAsia="Calibri"/>
        </w:rPr>
        <w:t xml:space="preserve">  </w:t>
      </w:r>
      <w:r w:rsidRPr="00C3471A" w:rsidR="00C3471A">
        <w:rPr>
          <w:rFonts w:eastAsia="Calibri"/>
        </w:rPr>
        <w:t xml:space="preserve">The existing regulations are designed to enable FDA to identify the immediate previous sources and immediate subsequent recipients of foods to address credible threats of serious adverse health consequences or death to humans or animals.  This final rule adopts additional recordkeeping requirements for foods designated as high-risk foods in accordance with factors specified by Congress in FSMA.  We are listing these foods on </w:t>
      </w:r>
      <w:r w:rsidR="00697101">
        <w:rPr>
          <w:rFonts w:eastAsia="Calibri"/>
        </w:rPr>
        <w:t>a food traceability list</w:t>
      </w:r>
      <w:r w:rsidRPr="00C3471A" w:rsidR="00C3471A">
        <w:rPr>
          <w:rFonts w:eastAsia="Calibri"/>
        </w:rPr>
        <w:t xml:space="preserve"> </w:t>
      </w:r>
      <w:r w:rsidR="00697101">
        <w:rPr>
          <w:rFonts w:eastAsia="Calibri"/>
        </w:rPr>
        <w:t>(</w:t>
      </w:r>
      <w:r w:rsidRPr="00C3471A" w:rsidR="00C3471A">
        <w:rPr>
          <w:rFonts w:eastAsia="Calibri"/>
        </w:rPr>
        <w:t>FTL</w:t>
      </w:r>
      <w:r w:rsidR="00697101">
        <w:rPr>
          <w:rFonts w:eastAsia="Calibri"/>
        </w:rPr>
        <w:t>)</w:t>
      </w:r>
      <w:r w:rsidRPr="00C3471A" w:rsidR="00C3471A">
        <w:rPr>
          <w:rFonts w:eastAsia="Calibri"/>
        </w:rPr>
        <w:t>, which is included as a reference for the final rule.  In accordance with FSMA, we also are publishing the FTL on our website concurrently with the issuance of the final rule.  (See section V.B of this document for more information on the FTL.)</w:t>
      </w:r>
    </w:p>
    <w:p w:rsidR="00640332" w:rsidP="00076B5F" w14:paraId="158DAEE8" w14:textId="4D908870">
      <w:pPr>
        <w:spacing w:after="200"/>
        <w:rPr>
          <w:rFonts w:eastAsia="Calibri"/>
        </w:rPr>
      </w:pPr>
      <w:r w:rsidRPr="00B209F3">
        <w:rPr>
          <w:rFonts w:eastAsia="Calibri"/>
        </w:rPr>
        <w:t xml:space="preserve">Section 414(a) of the FD&amp;C </w:t>
      </w:r>
      <w:r w:rsidR="00D461B9">
        <w:rPr>
          <w:rFonts w:eastAsia="Calibri"/>
        </w:rPr>
        <w:t xml:space="preserve">Act authorizes FDA to </w:t>
      </w:r>
      <w:r w:rsidRPr="00B209F3">
        <w:rPr>
          <w:rFonts w:eastAsia="Calibri"/>
        </w:rPr>
        <w:t>access records relating to specific suspect article</w:t>
      </w:r>
      <w:r w:rsidRPr="00B209F3" w:rsidR="00A77C14">
        <w:rPr>
          <w:rFonts w:eastAsia="Calibri"/>
        </w:rPr>
        <w:t>s</w:t>
      </w:r>
      <w:r w:rsidRPr="00B209F3">
        <w:rPr>
          <w:rFonts w:eastAsia="Calibri"/>
        </w:rPr>
        <w:t xml:space="preserve"> of food</w:t>
      </w:r>
      <w:r w:rsidRPr="00B209F3" w:rsidR="00A77C14">
        <w:rPr>
          <w:rFonts w:eastAsia="Calibri"/>
        </w:rPr>
        <w:t xml:space="preserve">; </w:t>
      </w:r>
      <w:r w:rsidRPr="00B209F3">
        <w:rPr>
          <w:rFonts w:eastAsia="Calibri"/>
        </w:rPr>
        <w:t xml:space="preserve">records relating to any article of food that </w:t>
      </w:r>
      <w:r w:rsidRPr="00B209F3" w:rsidR="00A77C14">
        <w:rPr>
          <w:rFonts w:eastAsia="Calibri"/>
        </w:rPr>
        <w:t xml:space="preserve">is </w:t>
      </w:r>
      <w:r w:rsidRPr="00B209F3">
        <w:rPr>
          <w:rFonts w:eastAsia="Calibri"/>
        </w:rPr>
        <w:t>reasonably believe</w:t>
      </w:r>
      <w:r w:rsidRPr="00B209F3" w:rsidR="00A77C14">
        <w:rPr>
          <w:rFonts w:eastAsia="Calibri"/>
        </w:rPr>
        <w:t>d</w:t>
      </w:r>
      <w:r w:rsidRPr="00B209F3">
        <w:rPr>
          <w:rFonts w:eastAsia="Calibri"/>
        </w:rPr>
        <w:t xml:space="preserve"> likely to be affected in</w:t>
      </w:r>
      <w:r w:rsidRPr="00B209F3" w:rsidR="00A77C14">
        <w:rPr>
          <w:rFonts w:eastAsia="Calibri"/>
        </w:rPr>
        <w:t xml:space="preserve"> such a</w:t>
      </w:r>
      <w:r w:rsidRPr="00B209F3">
        <w:rPr>
          <w:rFonts w:eastAsia="Calibri"/>
        </w:rPr>
        <w:t xml:space="preserve"> manner</w:t>
      </w:r>
      <w:r w:rsidRPr="00B209F3" w:rsidR="00A77C14">
        <w:rPr>
          <w:rFonts w:eastAsia="Calibri"/>
        </w:rPr>
        <w:t xml:space="preserve">; or if </w:t>
      </w:r>
      <w:r w:rsidRPr="00B209F3">
        <w:rPr>
          <w:rFonts w:eastAsia="Calibri"/>
        </w:rPr>
        <w:t>we believe that there is a reasonable probability that the use of or exposure to an article of food</w:t>
      </w:r>
      <w:r w:rsidRPr="00B209F3" w:rsidR="00A77C14">
        <w:rPr>
          <w:rFonts w:eastAsia="Calibri"/>
        </w:rPr>
        <w:t xml:space="preserve"> </w:t>
      </w:r>
      <w:r w:rsidRPr="00B209F3">
        <w:rPr>
          <w:rFonts w:eastAsia="Calibri"/>
        </w:rPr>
        <w:t>will cause serious adverse health consequences or death to humans or animals.  To gain access to these records, a</w:t>
      </w:r>
      <w:r w:rsidRPr="00B209F3" w:rsidR="00B239A0">
        <w:rPr>
          <w:rFonts w:eastAsia="Calibri"/>
        </w:rPr>
        <w:t>n</w:t>
      </w:r>
      <w:r w:rsidRPr="00B209F3">
        <w:rPr>
          <w:rFonts w:eastAsia="Calibri"/>
        </w:rPr>
        <w:t xml:space="preserve"> FDA officer or employee must present appropriate credentials and a written notice, at reasonable times and within reasonable limits and in a reasonable manner.</w:t>
      </w:r>
      <w:r w:rsidRPr="00B209F3" w:rsidR="00A77C14">
        <w:t xml:space="preserve">  B</w:t>
      </w:r>
      <w:r w:rsidRPr="00B209F3" w:rsidR="00A77C14">
        <w:rPr>
          <w:rFonts w:eastAsia="Calibri"/>
        </w:rPr>
        <w:t>ecause we believe the information collection provisions under § 1.361 are</w:t>
      </w:r>
      <w:r w:rsidR="00A77C14">
        <w:rPr>
          <w:rFonts w:eastAsia="Calibri"/>
        </w:rPr>
        <w:t xml:space="preserve"> </w:t>
      </w:r>
      <w:r w:rsidRPr="00A77C14" w:rsidR="00A77C14">
        <w:rPr>
          <w:rFonts w:eastAsia="Calibri"/>
        </w:rPr>
        <w:t xml:space="preserve">exempt from OMB review under 44 U.S.C. 3518(c)(1)(B)(ii) and 5 CFR 1320.4(a)(2) (see FDA’s interim final rule of February 23, 2012 (77 FR 10658)), we have not included an estimate of </w:t>
      </w:r>
      <w:r w:rsidR="00A77C14">
        <w:rPr>
          <w:rFonts w:eastAsia="Calibri"/>
        </w:rPr>
        <w:t xml:space="preserve">burden </w:t>
      </w:r>
      <w:r w:rsidRPr="00A77C14" w:rsidR="00A77C14">
        <w:rPr>
          <w:rFonts w:eastAsia="Calibri"/>
        </w:rPr>
        <w:t>associated with the</w:t>
      </w:r>
      <w:r w:rsidR="00A77C14">
        <w:rPr>
          <w:rFonts w:eastAsia="Calibri"/>
        </w:rPr>
        <w:t>se</w:t>
      </w:r>
      <w:r w:rsidRPr="00A77C14" w:rsidR="00A77C14">
        <w:rPr>
          <w:rFonts w:eastAsia="Calibri"/>
        </w:rPr>
        <w:t xml:space="preserve"> regulation</w:t>
      </w:r>
      <w:r w:rsidR="00A77C14">
        <w:rPr>
          <w:rFonts w:eastAsia="Calibri"/>
        </w:rPr>
        <w:t>s</w:t>
      </w:r>
      <w:r w:rsidRPr="00A77C14" w:rsidR="00A77C14">
        <w:rPr>
          <w:rFonts w:eastAsia="Calibri"/>
        </w:rPr>
        <w:t>.</w:t>
      </w:r>
    </w:p>
    <w:p w:rsidR="006F4D14" w:rsidRPr="00076B5F" w:rsidP="00076B5F" w14:paraId="2379ADD6" w14:textId="6A5134F2">
      <w:pPr>
        <w:spacing w:after="200"/>
        <w:rPr>
          <w:rFonts w:eastAsia="Calibri"/>
        </w:rPr>
      </w:pPr>
      <w:r>
        <w:rPr>
          <w:rFonts w:eastAsia="Calibri"/>
        </w:rPr>
        <w:t>We therefore request OMB approval for the information collection provisions established in the referenced rulemaking and discussed in this supporting statement.</w:t>
      </w:r>
    </w:p>
    <w:p w:rsidR="00357C8A" w:rsidRPr="00357C8A" w:rsidP="006705EA" w14:paraId="777BB5EC"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C15708" w:rsidP="003E5AD8" w14:paraId="023788BA" w14:textId="35F8CC5F">
      <w:pPr>
        <w:spacing w:after="200"/>
        <w:rPr>
          <w:rFonts w:eastAsia="Calibri"/>
        </w:rPr>
      </w:pPr>
      <w:r w:rsidRPr="00CE456E">
        <w:rPr>
          <w:rFonts w:eastAsia="Calibri"/>
        </w:rPr>
        <w:t xml:space="preserve">The requirement to establish and maintain records improves our ability to respond to and contain threats of serious adverse health consequences or death to humans or animals from accidental or deliberate contamination of food.  </w:t>
      </w:r>
      <w:r w:rsidRPr="00C15708">
        <w:rPr>
          <w:rFonts w:eastAsia="Calibri"/>
        </w:rPr>
        <w:t xml:space="preserve">The </w:t>
      </w:r>
      <w:r w:rsidR="006E58EC">
        <w:rPr>
          <w:rFonts w:eastAsia="Calibri"/>
        </w:rPr>
        <w:t xml:space="preserve">revised </w:t>
      </w:r>
      <w:r w:rsidRPr="00C15708">
        <w:rPr>
          <w:rFonts w:eastAsia="Calibri"/>
        </w:rPr>
        <w:t xml:space="preserve">regulations will help </w:t>
      </w:r>
      <w:r w:rsidR="009F06DE">
        <w:rPr>
          <w:rFonts w:eastAsia="Calibri"/>
        </w:rPr>
        <w:t>FDA better</w:t>
      </w:r>
      <w:r w:rsidRPr="00C15708">
        <w:rPr>
          <w:rFonts w:eastAsia="Calibri"/>
        </w:rPr>
        <w:t xml:space="preserve"> prevent or mitigate a foodborne illness outbreak.  The</w:t>
      </w:r>
      <w:r w:rsidR="009F06DE">
        <w:rPr>
          <w:rFonts w:eastAsia="Calibri"/>
        </w:rPr>
        <w:t xml:space="preserve"> </w:t>
      </w:r>
      <w:r w:rsidRPr="00C15708">
        <w:rPr>
          <w:rFonts w:eastAsia="Calibri"/>
        </w:rPr>
        <w:t xml:space="preserve">recordkeeping requirements are intended to </w:t>
      </w:r>
      <w:r w:rsidRPr="00C15708">
        <w:rPr>
          <w:rFonts w:eastAsia="Calibri"/>
        </w:rPr>
        <w:t xml:space="preserve">strengthen public health protections by documenting the movement of foods throughout the supply chain, enabling FDA to identify the source of contaminated foods and aid in the removal of contaminated products from the market.  The regulations also help implement statutory provisions governing </w:t>
      </w:r>
      <w:r w:rsidR="007B67D6">
        <w:rPr>
          <w:rFonts w:eastAsia="Calibri"/>
        </w:rPr>
        <w:t xml:space="preserve">traceability of </w:t>
      </w:r>
      <w:r w:rsidRPr="00C15708">
        <w:rPr>
          <w:rFonts w:eastAsia="Calibri"/>
        </w:rPr>
        <w:t xml:space="preserve">high-risk foods.  Access to and utilization of traceability records better enables FDA to respond to and contain threats to the public health introduced through foods on the FTL. </w:t>
      </w:r>
    </w:p>
    <w:p w:rsidR="00B827D9" w:rsidRPr="00B66E77" w:rsidP="0022425B" w14:paraId="56F14A5A" w14:textId="15CB0981">
      <w:pPr>
        <w:spacing w:after="200"/>
        <w:rPr>
          <w:rFonts w:eastAsia="Calibri"/>
          <w:color w:val="000000"/>
        </w:rPr>
      </w:pPr>
      <w:r w:rsidRPr="00BC3EC3">
        <w:rPr>
          <w:rFonts w:eastAsia="Calibri"/>
          <w:i/>
        </w:rPr>
        <w:t>Description of Respondents</w:t>
      </w:r>
      <w:r w:rsidRPr="003E5AD8">
        <w:rPr>
          <w:rFonts w:eastAsia="Calibri"/>
        </w:rPr>
        <w:t xml:space="preserve">:  </w:t>
      </w:r>
      <w:r w:rsidRPr="00DC19D7" w:rsidR="00DC19D7">
        <w:rPr>
          <w:rFonts w:eastAsia="Calibri"/>
        </w:rPr>
        <w:t xml:space="preserve">Respondents to the information collection are persons who manufacture, process, pack, or hold foods that appear on the list of foods for which additional traceability records are required in accordance with section 204(d)(2) of </w:t>
      </w:r>
      <w:r w:rsidR="00794133">
        <w:rPr>
          <w:rFonts w:eastAsia="Calibri"/>
        </w:rPr>
        <w:t>FSMA</w:t>
      </w:r>
      <w:r w:rsidRPr="00DC19D7" w:rsidR="00DC19D7">
        <w:rPr>
          <w:rFonts w:eastAsia="Calibri"/>
        </w:rPr>
        <w:t xml:space="preserve"> (i.e., the FTL).</w:t>
      </w:r>
    </w:p>
    <w:p w:rsidR="00357C8A" w:rsidRPr="00357C8A" w:rsidP="006705EA" w14:paraId="01BE365E"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B66E77" w:rsidP="0022425B" w14:paraId="79385530" w14:textId="319718D4">
      <w:pPr>
        <w:spacing w:after="200"/>
        <w:rPr>
          <w:rFonts w:eastAsia="Calibri"/>
          <w:color w:val="000000"/>
        </w:rPr>
      </w:pPr>
      <w:r>
        <w:rPr>
          <w:rFonts w:eastAsia="Calibri"/>
        </w:rPr>
        <w:t>We anticipate the use of electronic recordkeeping</w:t>
      </w:r>
      <w:r w:rsidR="006F4D14">
        <w:rPr>
          <w:rFonts w:eastAsia="Calibri"/>
        </w:rPr>
        <w:t xml:space="preserve"> by respondents.</w:t>
      </w:r>
    </w:p>
    <w:p w:rsidR="00357C8A" w:rsidRPr="00357C8A" w:rsidP="006705EA" w14:paraId="0129169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B66E77" w:rsidP="0053380B" w14:paraId="20555F7A" w14:textId="22BF745E">
      <w:pPr>
        <w:spacing w:after="200"/>
        <w:rPr>
          <w:rFonts w:eastAsia="Calibri"/>
          <w:color w:val="000000"/>
        </w:rPr>
      </w:pPr>
      <w:r w:rsidRPr="005C71CA">
        <w:t>We are unaware of duplicative information collection</w:t>
      </w:r>
      <w:r w:rsidR="00A1203C">
        <w:t>.</w:t>
      </w:r>
      <w:r w:rsidRPr="007C44F0" w:rsidR="007C44F0">
        <w:t xml:space="preserve"> </w:t>
      </w:r>
    </w:p>
    <w:p w:rsidR="00357C8A" w:rsidRPr="00357C8A" w:rsidP="006705EA" w14:paraId="063C880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5B3AC560" w14:textId="17B3B4F9">
      <w:pPr>
        <w:spacing w:after="200"/>
        <w:rPr>
          <w:rFonts w:eastAsia="Calibri"/>
        </w:rPr>
      </w:pPr>
      <w:r w:rsidRPr="00E57C22">
        <w:rPr>
          <w:rFonts w:eastAsia="Calibri"/>
        </w:rPr>
        <w:t xml:space="preserve">We estimate that </w:t>
      </w:r>
      <w:r w:rsidR="00507859">
        <w:rPr>
          <w:rFonts w:eastAsia="Calibri"/>
        </w:rPr>
        <w:t>98</w:t>
      </w:r>
      <w:r w:rsidRPr="00E57C22">
        <w:rPr>
          <w:rFonts w:eastAsia="Calibri"/>
        </w:rPr>
        <w:t>% of respondents are small businesses</w:t>
      </w:r>
      <w:r w:rsidR="00913A95">
        <w:rPr>
          <w:rFonts w:eastAsia="Calibri"/>
        </w:rPr>
        <w:t xml:space="preserve">, as described in </w:t>
      </w:r>
      <w:r w:rsidRPr="000171C9" w:rsidR="00913A95">
        <w:t xml:space="preserve">Section </w:t>
      </w:r>
      <w:r w:rsidR="0057237C">
        <w:t>I</w:t>
      </w:r>
      <w:r w:rsidRPr="000171C9" w:rsidR="00913A95">
        <w:t>II.</w:t>
      </w:r>
      <w:r w:rsidR="00913A95">
        <w:t>A</w:t>
      </w:r>
      <w:r w:rsidRPr="000171C9" w:rsidR="00913A95">
        <w:t xml:space="preserve"> of the </w:t>
      </w:r>
      <w:r w:rsidRPr="00914C66" w:rsidR="00913A95">
        <w:t>Final Regulatory Impact Analysis</w:t>
      </w:r>
      <w:r w:rsidR="00913A95">
        <w:t xml:space="preserve"> (FRIA)</w:t>
      </w:r>
      <w:r w:rsidRPr="00E57C22">
        <w:rPr>
          <w:rFonts w:eastAsia="Calibri"/>
        </w:rPr>
        <w:t xml:space="preserve">.  </w:t>
      </w:r>
      <w:r w:rsidR="004F7E2D">
        <w:rPr>
          <w:rFonts w:eastAsia="Calibri"/>
        </w:rPr>
        <w:t xml:space="preserve">Although the </w:t>
      </w:r>
      <w:r w:rsidRPr="00E57C22">
        <w:rPr>
          <w:rFonts w:eastAsia="Calibri"/>
        </w:rPr>
        <w:t>recordkeeping requirements mandated by section 414 of the FD&amp;C Act</w:t>
      </w:r>
      <w:r w:rsidR="004F7E2D">
        <w:rPr>
          <w:rFonts w:eastAsia="Calibri"/>
        </w:rPr>
        <w:t xml:space="preserve"> provide no</w:t>
      </w:r>
      <w:r w:rsidR="007E3EF7">
        <w:rPr>
          <w:rFonts w:eastAsia="Calibri"/>
        </w:rPr>
        <w:t xml:space="preserve"> </w:t>
      </w:r>
      <w:r w:rsidRPr="00E57C22">
        <w:rPr>
          <w:rFonts w:eastAsia="Calibri"/>
        </w:rPr>
        <w:t>exception</w:t>
      </w:r>
      <w:r w:rsidR="007E3EF7">
        <w:rPr>
          <w:rFonts w:eastAsia="Calibri"/>
        </w:rPr>
        <w:t>s</w:t>
      </w:r>
      <w:r w:rsidRPr="00E57C22">
        <w:rPr>
          <w:rFonts w:eastAsia="Calibri"/>
        </w:rPr>
        <w:t xml:space="preserve"> for small businesses</w:t>
      </w:r>
      <w:r w:rsidR="007E3EF7">
        <w:rPr>
          <w:rFonts w:eastAsia="Calibri"/>
        </w:rPr>
        <w:t xml:space="preserve">, </w:t>
      </w:r>
      <w:r w:rsidR="00217196">
        <w:rPr>
          <w:rFonts w:eastAsia="Calibri"/>
        </w:rPr>
        <w:t xml:space="preserve">some </w:t>
      </w:r>
      <w:r w:rsidR="00511706">
        <w:rPr>
          <w:rFonts w:eastAsia="Calibri"/>
        </w:rPr>
        <w:t xml:space="preserve">relief for small business in the form of exemptions and partial exemptions </w:t>
      </w:r>
      <w:r w:rsidR="007E3EF7">
        <w:rPr>
          <w:rFonts w:eastAsia="Calibri"/>
        </w:rPr>
        <w:t xml:space="preserve">as </w:t>
      </w:r>
      <w:r w:rsidR="00111BD0">
        <w:rPr>
          <w:rFonts w:eastAsia="Calibri"/>
        </w:rPr>
        <w:t>set forth</w:t>
      </w:r>
      <w:r w:rsidR="00281AD4">
        <w:rPr>
          <w:rFonts w:eastAsia="Calibri"/>
        </w:rPr>
        <w:t xml:space="preserve"> in </w:t>
      </w:r>
      <w:r w:rsidRPr="002B6E11" w:rsidR="00057E22">
        <w:rPr>
          <w:rFonts w:eastAsia="Calibri"/>
        </w:rPr>
        <w:t>§ 1.</w:t>
      </w:r>
      <w:r w:rsidR="0062422A">
        <w:rPr>
          <w:rFonts w:eastAsia="Calibri"/>
        </w:rPr>
        <w:t>1</w:t>
      </w:r>
      <w:r w:rsidRPr="002B6E11" w:rsidR="00057E22">
        <w:rPr>
          <w:rFonts w:eastAsia="Calibri"/>
        </w:rPr>
        <w:t>3</w:t>
      </w:r>
      <w:r w:rsidRPr="00057E22" w:rsidR="00057E22">
        <w:rPr>
          <w:rFonts w:eastAsia="Calibri"/>
        </w:rPr>
        <w:t>05</w:t>
      </w:r>
      <w:r w:rsidR="007E3EF7">
        <w:rPr>
          <w:rFonts w:eastAsia="Calibri"/>
        </w:rPr>
        <w:t xml:space="preserve"> is available</w:t>
      </w:r>
      <w:r w:rsidR="00057E22">
        <w:rPr>
          <w:rFonts w:eastAsia="Calibri"/>
        </w:rPr>
        <w:t>.</w:t>
      </w:r>
      <w:r w:rsidRPr="00A77C14" w:rsidR="00057E22">
        <w:rPr>
          <w:rFonts w:eastAsia="Calibri"/>
        </w:rPr>
        <w:t xml:space="preserve"> </w:t>
      </w:r>
      <w:r w:rsidRPr="00E57C22">
        <w:rPr>
          <w:rFonts w:eastAsia="Calibri"/>
        </w:rPr>
        <w:t xml:space="preserve">We </w:t>
      </w:r>
      <w:r w:rsidR="008444D9">
        <w:rPr>
          <w:rFonts w:eastAsia="Calibri"/>
        </w:rPr>
        <w:t>also</w:t>
      </w:r>
      <w:r w:rsidRPr="00E57C22">
        <w:rPr>
          <w:rFonts w:eastAsia="Calibri"/>
        </w:rPr>
        <w:t xml:space="preserve"> help small businesses comply with </w:t>
      </w:r>
      <w:r w:rsidR="00614B36">
        <w:rPr>
          <w:rFonts w:eastAsia="Calibri"/>
        </w:rPr>
        <w:t>FDA</w:t>
      </w:r>
      <w:r w:rsidRPr="00E57C22">
        <w:rPr>
          <w:rFonts w:eastAsia="Calibri"/>
        </w:rPr>
        <w:t xml:space="preserve"> requirements through our Regional Small Business Representatives and </w:t>
      </w:r>
      <w:r w:rsidR="00122C76">
        <w:rPr>
          <w:rFonts w:eastAsia="Calibri"/>
        </w:rPr>
        <w:t>we have</w:t>
      </w:r>
      <w:r w:rsidRPr="00431F03" w:rsidR="00431F03">
        <w:rPr>
          <w:rFonts w:eastAsia="Calibri"/>
        </w:rPr>
        <w:t xml:space="preserve"> provided Small Business assistance </w:t>
      </w:r>
      <w:r w:rsidR="00140102">
        <w:rPr>
          <w:rFonts w:eastAsia="Calibri"/>
        </w:rPr>
        <w:t xml:space="preserve">on our </w:t>
      </w:r>
      <w:r w:rsidRPr="00431F03" w:rsidR="00431F03">
        <w:rPr>
          <w:rFonts w:eastAsia="Calibri"/>
        </w:rPr>
        <w:t xml:space="preserve">website at </w:t>
      </w:r>
      <w:hyperlink r:id="rId4" w:history="1">
        <w:r w:rsidRPr="00F774E2" w:rsidR="00431F03">
          <w:rPr>
            <w:rStyle w:val="Hyperlink"/>
            <w:rFonts w:eastAsia="Calibri"/>
          </w:rPr>
          <w:t>https://www.fda.gov/industry/small-business-assistance</w:t>
        </w:r>
      </w:hyperlink>
      <w:r w:rsidRPr="00431F03" w:rsidR="00431F03">
        <w:rPr>
          <w:rFonts w:eastAsia="Calibri"/>
        </w:rPr>
        <w:t>.</w:t>
      </w:r>
    </w:p>
    <w:p w:rsidR="00357C8A" w:rsidRPr="00B35EE3" w:rsidP="002B6E11" w14:paraId="78B2D3BE" w14:textId="1EC33216">
      <w:pPr>
        <w:pStyle w:val="ListParagraph"/>
        <w:numPr>
          <w:ilvl w:val="0"/>
          <w:numId w:val="6"/>
        </w:numPr>
        <w:spacing w:after="200" w:line="276" w:lineRule="auto"/>
        <w:rPr>
          <w:rFonts w:eastAsia="Calibri"/>
          <w:u w:val="single"/>
        </w:rPr>
      </w:pPr>
      <w:r w:rsidRPr="00B35EE3">
        <w:rPr>
          <w:rFonts w:eastAsia="Calibri"/>
          <w:u w:val="single"/>
        </w:rPr>
        <w:t>Consequences of Collecting the Information Less Frequently</w:t>
      </w:r>
    </w:p>
    <w:p w:rsidR="00357C8A" w:rsidRPr="00B66E77" w:rsidP="00357C8A" w14:paraId="7F721CB3" w14:textId="396D54DE">
      <w:pPr>
        <w:spacing w:after="200"/>
        <w:rPr>
          <w:rFonts w:eastAsia="Calibri"/>
          <w:color w:val="000000"/>
        </w:rPr>
      </w:pPr>
      <w:r w:rsidRPr="00431F03">
        <w:rPr>
          <w:rFonts w:eastAsia="Calibri"/>
        </w:rPr>
        <w:t xml:space="preserve">Data collection </w:t>
      </w:r>
      <w:r w:rsidR="00934449">
        <w:rPr>
          <w:rFonts w:eastAsia="Calibri"/>
        </w:rPr>
        <w:t xml:space="preserve">is conducted in accordance with statutory </w:t>
      </w:r>
      <w:r w:rsidR="000E7D1E">
        <w:rPr>
          <w:rFonts w:eastAsia="Calibri"/>
        </w:rPr>
        <w:t xml:space="preserve">and regulatory </w:t>
      </w:r>
      <w:r w:rsidR="00934449">
        <w:rPr>
          <w:rFonts w:eastAsia="Calibri"/>
        </w:rPr>
        <w:t>requirements</w:t>
      </w:r>
      <w:r w:rsidRPr="00431F03">
        <w:rPr>
          <w:rFonts w:eastAsia="Calibri"/>
        </w:rPr>
        <w:t>.  Pursuant to the FD&amp;C Act and the implementing regulations, a record is established for each transaction involving food at the time the transaction occurs.  The information cannot be collected less frequently.  If the collection is not conducted or is conducted less frequently, persons that manufacture, process, pack, hold, receive, distribute, transport, or import food in the United States would not be in compliance with section 414 of the FD&amp;C Act.</w:t>
      </w:r>
    </w:p>
    <w:p w:rsidR="00357C8A" w:rsidRPr="00357C8A" w:rsidP="006705EA" w14:paraId="57C408D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16933BA1" w14:textId="77777777">
      <w:pPr>
        <w:spacing w:after="200"/>
        <w:rPr>
          <w:rFonts w:eastAsia="Calibri"/>
        </w:rPr>
      </w:pPr>
      <w:r w:rsidRPr="00431F03">
        <w:rPr>
          <w:rFonts w:eastAsia="Calibri"/>
        </w:rPr>
        <w:t>There are no special circumstances associated with this collection of information.</w:t>
      </w:r>
    </w:p>
    <w:p w:rsidR="00357C8A" w:rsidRPr="00357C8A" w:rsidP="006705EA" w14:paraId="29635313" w14:textId="5261AA22">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B8387F" w:rsidRPr="00B8387F" w:rsidP="00357C8A" w14:paraId="6276D398" w14:textId="2FB7FC4D">
      <w:pPr>
        <w:spacing w:after="200"/>
        <w:rPr>
          <w:rFonts w:eastAsia="Calibri"/>
        </w:rPr>
      </w:pPr>
      <w:r w:rsidRPr="00431F03">
        <w:rPr>
          <w:rFonts w:eastAsia="Calibri"/>
        </w:rPr>
        <w:t xml:space="preserve">In </w:t>
      </w:r>
      <w:r w:rsidR="00934449">
        <w:rPr>
          <w:rFonts w:eastAsia="Calibri"/>
        </w:rPr>
        <w:t xml:space="preserve">the </w:t>
      </w:r>
      <w:r w:rsidRPr="00934449" w:rsidR="00934449">
        <w:rPr>
          <w:rFonts w:eastAsia="Calibri"/>
          <w:u w:val="single"/>
        </w:rPr>
        <w:t>Federal Register</w:t>
      </w:r>
      <w:r w:rsidR="00934449">
        <w:rPr>
          <w:rFonts w:eastAsia="Calibri"/>
        </w:rPr>
        <w:t xml:space="preserve"> of September 23, 2020 (85 FR 59984)</w:t>
      </w:r>
      <w:r w:rsidR="00C658C6">
        <w:rPr>
          <w:rFonts w:eastAsia="Calibri"/>
        </w:rPr>
        <w:t>,</w:t>
      </w:r>
      <w:r w:rsidR="00934449">
        <w:rPr>
          <w:rFonts w:eastAsia="Calibri"/>
        </w:rPr>
        <w:t xml:space="preserve"> </w:t>
      </w:r>
      <w:r w:rsidR="00904B0E">
        <w:rPr>
          <w:rFonts w:eastAsia="Calibri"/>
        </w:rPr>
        <w:t xml:space="preserve">Docket No. </w:t>
      </w:r>
      <w:r w:rsidRPr="00881089" w:rsidR="00881089">
        <w:rPr>
          <w:rFonts w:eastAsia="Calibri"/>
        </w:rPr>
        <w:t>FDA-2014-N-0053</w:t>
      </w:r>
      <w:r w:rsidR="00BC60DB">
        <w:rPr>
          <w:rFonts w:eastAsia="Calibri"/>
        </w:rPr>
        <w:t xml:space="preserve">, </w:t>
      </w:r>
      <w:r w:rsidR="00934449">
        <w:rPr>
          <w:rFonts w:eastAsia="Calibri"/>
        </w:rPr>
        <w:t>we published a proposed rule invit</w:t>
      </w:r>
      <w:r w:rsidR="00790716">
        <w:rPr>
          <w:rFonts w:eastAsia="Calibri"/>
        </w:rPr>
        <w:t>ing</w:t>
      </w:r>
      <w:r w:rsidR="00934449">
        <w:rPr>
          <w:rFonts w:eastAsia="Calibri"/>
        </w:rPr>
        <w:t xml:space="preserve"> public comment on the </w:t>
      </w:r>
      <w:r w:rsidR="00FA4664">
        <w:rPr>
          <w:rFonts w:eastAsia="Calibri"/>
        </w:rPr>
        <w:t xml:space="preserve">proposed </w:t>
      </w:r>
      <w:r w:rsidR="00934449">
        <w:rPr>
          <w:rFonts w:eastAsia="Calibri"/>
        </w:rPr>
        <w:t>information collection.</w:t>
      </w:r>
      <w:r w:rsidR="00630A49">
        <w:rPr>
          <w:rFonts w:eastAsia="Calibri"/>
        </w:rPr>
        <w:t xml:space="preserve">  </w:t>
      </w:r>
      <w:r w:rsidR="00904B0E">
        <w:rPr>
          <w:rFonts w:eastAsia="Calibri"/>
        </w:rPr>
        <w:t>Our response</w:t>
      </w:r>
      <w:r w:rsidR="000E7D1E">
        <w:rPr>
          <w:rFonts w:eastAsia="Calibri"/>
        </w:rPr>
        <w:t>s</w:t>
      </w:r>
      <w:r w:rsidR="00904B0E">
        <w:rPr>
          <w:rFonts w:eastAsia="Calibri"/>
        </w:rPr>
        <w:t xml:space="preserve"> to the comments </w:t>
      </w:r>
      <w:r w:rsidR="000E7D1E">
        <w:rPr>
          <w:rFonts w:eastAsia="Calibri"/>
        </w:rPr>
        <w:t xml:space="preserve">are found </w:t>
      </w:r>
      <w:r w:rsidR="00904B0E">
        <w:rPr>
          <w:rFonts w:eastAsia="Calibri"/>
        </w:rPr>
        <w:t>in Section V of the final rule.</w:t>
      </w:r>
      <w:r w:rsidR="003461A7">
        <w:rPr>
          <w:rFonts w:eastAsia="Calibri"/>
        </w:rPr>
        <w:t xml:space="preserve"> </w:t>
      </w:r>
    </w:p>
    <w:p w:rsidR="00357C8A" w:rsidRPr="00357C8A" w:rsidP="006705EA" w14:paraId="03A06A4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B66E77" w:rsidP="00357C8A" w14:paraId="3C1ADE05" w14:textId="77777777">
      <w:pPr>
        <w:spacing w:after="200"/>
        <w:rPr>
          <w:rFonts w:eastAsia="Calibri"/>
          <w:color w:val="000000"/>
        </w:rPr>
      </w:pPr>
      <w:r w:rsidRPr="00122C76">
        <w:rPr>
          <w:rFonts w:eastAsia="Calibri"/>
        </w:rPr>
        <w:t>There are no incentives, payments</w:t>
      </w:r>
      <w:r w:rsidR="00640332">
        <w:rPr>
          <w:rFonts w:eastAsia="Calibri"/>
        </w:rPr>
        <w:t>,</w:t>
      </w:r>
      <w:r w:rsidRPr="00122C76">
        <w:rPr>
          <w:rFonts w:eastAsia="Calibri"/>
        </w:rPr>
        <w:t xml:space="preserve"> or gifts associated with this information collection.</w:t>
      </w:r>
    </w:p>
    <w:p w:rsidR="00357C8A" w:rsidRPr="00357C8A" w:rsidP="006705EA" w14:paraId="6DC43BAF" w14:textId="3FE81C47">
      <w:pPr>
        <w:numPr>
          <w:ilvl w:val="0"/>
          <w:numId w:val="6"/>
        </w:numPr>
        <w:spacing w:after="200" w:line="276" w:lineRule="auto"/>
        <w:rPr>
          <w:rFonts w:eastAsia="Calibri"/>
        </w:rPr>
      </w:pPr>
      <w:r w:rsidRPr="00357C8A">
        <w:rPr>
          <w:rFonts w:eastAsia="Calibri"/>
          <w:u w:val="single"/>
        </w:rPr>
        <w:t>Assurance of Confidentiality Provided to Respondents</w:t>
      </w:r>
    </w:p>
    <w:p w:rsidR="00122C76" w:rsidRPr="00BC3EC3" w:rsidP="0066431E" w14:paraId="59ADA3A6" w14:textId="65824AA5">
      <w:pPr>
        <w:spacing w:after="200"/>
        <w:rPr>
          <w:rFonts w:eastAsia="Calibri"/>
          <w:i/>
        </w:rPr>
      </w:pPr>
      <w:r>
        <w:rPr>
          <w:rFonts w:eastAsia="Calibri"/>
          <w:i/>
        </w:rPr>
        <w:t xml:space="preserve">The </w:t>
      </w:r>
      <w:r w:rsidRPr="00BC3EC3">
        <w:rPr>
          <w:rFonts w:eastAsia="Calibri"/>
          <w:i/>
        </w:rPr>
        <w:t>Privacy Act</w:t>
      </w:r>
      <w:r>
        <w:rPr>
          <w:rFonts w:eastAsia="Calibri"/>
          <w:i/>
        </w:rPr>
        <w:t xml:space="preserve"> of </w:t>
      </w:r>
      <w:r w:rsidR="00E46BF2">
        <w:rPr>
          <w:rFonts w:eastAsia="Calibri"/>
          <w:i/>
        </w:rPr>
        <w:t>1974</w:t>
      </w:r>
    </w:p>
    <w:p w:rsidR="0066431E" w:rsidP="00934449" w14:paraId="756BFF01" w14:textId="2ED2D00C">
      <w:pPr>
        <w:spacing w:after="200"/>
        <w:rPr>
          <w:rFonts w:eastAsia="Calibri"/>
        </w:rPr>
      </w:pPr>
      <w:r w:rsidRPr="0066431E">
        <w:rPr>
          <w:rFonts w:eastAsia="Calibri"/>
        </w:rPr>
        <w:t xml:space="preserve">This ICR collects personally identifiable information </w:t>
      </w:r>
      <w:r w:rsidR="00122C76">
        <w:rPr>
          <w:rFonts w:eastAsia="Calibri"/>
        </w:rPr>
        <w:t xml:space="preserve">(PII) </w:t>
      </w:r>
      <w:r w:rsidRPr="0066431E">
        <w:rPr>
          <w:rFonts w:eastAsia="Calibri"/>
        </w:rPr>
        <w:t xml:space="preserve">or information of a personal nature. </w:t>
      </w:r>
      <w:r>
        <w:rPr>
          <w:rFonts w:eastAsia="Calibri"/>
        </w:rPr>
        <w:t xml:space="preserve"> </w:t>
      </w:r>
      <w:r w:rsidRPr="0066431E">
        <w:rPr>
          <w:rFonts w:eastAsia="Calibri"/>
        </w:rPr>
        <w:t xml:space="preserve">The PII collected is for business contact purposes only and includes business name, business address, business telephone numbers. </w:t>
      </w:r>
      <w:r>
        <w:rPr>
          <w:rFonts w:eastAsia="Calibri"/>
        </w:rPr>
        <w:t xml:space="preserve"> </w:t>
      </w:r>
      <w:r w:rsidRPr="0066431E">
        <w:rPr>
          <w:rFonts w:eastAsia="Calibri"/>
        </w:rPr>
        <w:t>The business contact information is maintained and stored at the vendor facility.</w:t>
      </w:r>
      <w:r w:rsidR="00934449">
        <w:rPr>
          <w:rFonts w:eastAsia="Calibri"/>
        </w:rPr>
        <w:t xml:space="preserve">  A</w:t>
      </w:r>
      <w:r w:rsidRPr="0066431E">
        <w:rPr>
          <w:rFonts w:eastAsia="Calibri"/>
        </w:rPr>
        <w:t>lthough PII is collected and stored at the vendor facility</w:t>
      </w:r>
      <w:r w:rsidR="00122C76">
        <w:rPr>
          <w:rFonts w:eastAsia="Calibri"/>
        </w:rPr>
        <w:t>,</w:t>
      </w:r>
      <w:r w:rsidRPr="0066431E">
        <w:rPr>
          <w:rFonts w:eastAsia="Calibri"/>
        </w:rPr>
        <w:t xml:space="preserve"> the collection is not subject to the Privacy Act of 1974 and the particular notice and other requirements of the </w:t>
      </w:r>
      <w:r w:rsidR="00077D64">
        <w:rPr>
          <w:rFonts w:eastAsia="Calibri"/>
        </w:rPr>
        <w:t xml:space="preserve">Privacy </w:t>
      </w:r>
      <w:r w:rsidRPr="0066431E">
        <w:rPr>
          <w:rFonts w:eastAsia="Calibri"/>
        </w:rPr>
        <w:t xml:space="preserve">Act do not apply. </w:t>
      </w:r>
      <w:r>
        <w:rPr>
          <w:rFonts w:eastAsia="Calibri"/>
        </w:rPr>
        <w:t xml:space="preserve"> </w:t>
      </w:r>
      <w:r w:rsidRPr="0066431E">
        <w:rPr>
          <w:rFonts w:eastAsia="Calibri"/>
        </w:rPr>
        <w:t xml:space="preserve">Specifically, </w:t>
      </w:r>
      <w:r w:rsidR="00122C76">
        <w:rPr>
          <w:rFonts w:eastAsia="Calibri"/>
        </w:rPr>
        <w:t>we</w:t>
      </w:r>
      <w:r w:rsidRPr="0066431E" w:rsidR="00122C76">
        <w:rPr>
          <w:rFonts w:eastAsia="Calibri"/>
        </w:rPr>
        <w:t xml:space="preserve"> </w:t>
      </w:r>
      <w:r w:rsidRPr="0066431E">
        <w:rPr>
          <w:rFonts w:eastAsia="Calibri"/>
        </w:rPr>
        <w:t xml:space="preserve">do not use name or any other personal identifier to routinely retrieve records from the information collected. </w:t>
      </w:r>
      <w:r>
        <w:rPr>
          <w:rFonts w:eastAsia="Calibri"/>
        </w:rPr>
        <w:t xml:space="preserve"> </w:t>
      </w:r>
      <w:r w:rsidR="00122C76">
        <w:rPr>
          <w:rFonts w:eastAsia="Calibri"/>
        </w:rPr>
        <w:t>We</w:t>
      </w:r>
      <w:r w:rsidRPr="0066431E" w:rsidR="00122C76">
        <w:rPr>
          <w:rFonts w:eastAsia="Calibri"/>
        </w:rPr>
        <w:t xml:space="preserve"> </w:t>
      </w:r>
      <w:r w:rsidRPr="0066431E">
        <w:rPr>
          <w:rFonts w:eastAsia="Calibri"/>
        </w:rPr>
        <w:t>also minimized the PII to be collected to protect the privacy of the individuals.</w:t>
      </w:r>
    </w:p>
    <w:p w:rsidR="00217D03" w:rsidRPr="00217D03" w:rsidP="00217D03" w14:paraId="72D9E136" w14:textId="77777777">
      <w:pPr>
        <w:rPr>
          <w:rFonts w:eastAsiaTheme="minorHAnsi"/>
          <w:i/>
          <w:iCs/>
        </w:rPr>
      </w:pPr>
      <w:r w:rsidRPr="00217D03">
        <w:rPr>
          <w:rFonts w:eastAsiaTheme="minorHAnsi"/>
          <w:i/>
          <w:iCs/>
        </w:rPr>
        <w:t>The Freedom of Information Act (FOIA)</w:t>
      </w:r>
    </w:p>
    <w:p w:rsidR="00217D03" w:rsidRPr="00217D03" w:rsidP="00217D03" w14:paraId="2BA1D798" w14:textId="77777777">
      <w:pPr>
        <w:rPr>
          <w:rFonts w:eastAsiaTheme="minorHAnsi"/>
        </w:rPr>
      </w:pPr>
    </w:p>
    <w:p w:rsidR="00217D03" w:rsidP="00E46BF2" w14:paraId="33D12C3F" w14:textId="3C1F9FAF">
      <w:pPr>
        <w:rPr>
          <w:rFonts w:eastAsiaTheme="minorHAnsi"/>
        </w:rPr>
      </w:pPr>
      <w:r w:rsidRPr="00E46BF2">
        <w:rPr>
          <w:rFonts w:eastAsiaTheme="minorHAnsi"/>
        </w:rPr>
        <w:t>The information collection does not specify confidentiality.  However, all confidential information received by FDA is protected from disclosure under the Freedom of Information Act (FOIA) under sections 552(a) and (b) (5 U.S.C. 552(a) and (b)), and by our regulations at 21 CFR part 20.</w:t>
      </w:r>
    </w:p>
    <w:p w:rsidR="00E46BF2" w:rsidRPr="00E46BF2" w:rsidP="00E46BF2" w14:paraId="243DD059" w14:textId="77777777">
      <w:pPr>
        <w:rPr>
          <w:rFonts w:eastAsiaTheme="minorHAnsi"/>
        </w:rPr>
      </w:pPr>
    </w:p>
    <w:p w:rsidR="00357C8A" w:rsidRPr="00357C8A" w:rsidP="006705EA" w14:paraId="4B22B230"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B66E77" w:rsidP="0022425B" w14:paraId="0D1AB9C7" w14:textId="77777777">
      <w:pPr>
        <w:spacing w:after="200"/>
        <w:rPr>
          <w:rFonts w:eastAsia="Calibri"/>
          <w:color w:val="000000"/>
        </w:rPr>
      </w:pPr>
      <w:r w:rsidRPr="00A1203C">
        <w:rPr>
          <w:rFonts w:eastAsia="Calibri"/>
        </w:rPr>
        <w:t>Th</w:t>
      </w:r>
      <w:r w:rsidRPr="00A1203C" w:rsidR="00431F03">
        <w:rPr>
          <w:rFonts w:eastAsia="Calibri"/>
        </w:rPr>
        <w:t>is</w:t>
      </w:r>
      <w:r w:rsidRPr="00A1203C">
        <w:rPr>
          <w:rFonts w:eastAsia="Calibri"/>
        </w:rPr>
        <w:t xml:space="preserve"> collection of information does not involve sensitive questions.</w:t>
      </w:r>
    </w:p>
    <w:p w:rsidR="00357C8A" w:rsidRPr="00357C8A" w:rsidP="006705EA" w14:paraId="5555AEB4" w14:textId="3A25A86E">
      <w:pPr>
        <w:numPr>
          <w:ilvl w:val="0"/>
          <w:numId w:val="6"/>
        </w:numPr>
        <w:spacing w:after="200" w:line="276" w:lineRule="auto"/>
        <w:rPr>
          <w:rFonts w:eastAsia="Calibri"/>
          <w:u w:val="single"/>
        </w:rPr>
      </w:pPr>
      <w:r w:rsidRPr="00357C8A">
        <w:rPr>
          <w:rFonts w:eastAsia="Calibri"/>
          <w:u w:val="single"/>
        </w:rPr>
        <w:t>Estimates of Annualized Burden Hours and Cost</w:t>
      </w:r>
    </w:p>
    <w:p w:rsidR="00813214" w:rsidP="00441B8D" w14:paraId="531C1E0F" w14:textId="77777777">
      <w:pPr>
        <w:spacing w:after="200"/>
        <w:ind w:left="360"/>
        <w:rPr>
          <w:rFonts w:eastAsia="Calibri"/>
          <w:i/>
        </w:rPr>
      </w:pPr>
      <w:r w:rsidRPr="00CB474A">
        <w:rPr>
          <w:rFonts w:eastAsia="Calibri"/>
          <w:i/>
        </w:rPr>
        <w:t>12a.  Annualized Hour Burden Estimate</w:t>
      </w:r>
    </w:p>
    <w:p w:rsidR="00407BD5" w:rsidRPr="00FE33E1" w:rsidP="00407BD5" w14:paraId="364F05D6" w14:textId="06156E4E">
      <w:pPr>
        <w:widowControl w:val="0"/>
        <w:contextualSpacing/>
        <w:jc w:val="center"/>
        <w:rPr>
          <w:sz w:val="20"/>
        </w:rPr>
      </w:pPr>
      <w:r>
        <w:rPr>
          <w:rFonts w:eastAsia="Calibri"/>
        </w:rPr>
        <w:t xml:space="preserve">Table 1 – </w:t>
      </w:r>
      <w:r w:rsidRPr="00271716">
        <w:t xml:space="preserve">Estimated One-Time Recordkeeping </w:t>
      </w:r>
      <w:r w:rsidRPr="00271716">
        <w:rPr>
          <w:rFonts w:eastAsia="Calibri"/>
        </w:rPr>
        <w:t>Burden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1530"/>
        <w:gridCol w:w="1620"/>
        <w:gridCol w:w="1170"/>
        <w:gridCol w:w="1710"/>
        <w:gridCol w:w="1440"/>
      </w:tblGrid>
      <w:tr w14:paraId="7B5A8544" w14:textId="77777777" w:rsidTr="00380363">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8"/>
        </w:trPr>
        <w:tc>
          <w:tcPr>
            <w:tcW w:w="2245" w:type="dxa"/>
            <w:hideMark/>
          </w:tcPr>
          <w:p w:rsidR="00407BD5" w:rsidRPr="002A6DAD" w:rsidP="002D6715" w14:paraId="109FBDC9" w14:textId="77777777">
            <w:pPr>
              <w:contextualSpacing/>
              <w:jc w:val="center"/>
              <w:rPr>
                <w:sz w:val="22"/>
                <w:szCs w:val="22"/>
              </w:rPr>
            </w:pPr>
            <w:r w:rsidRPr="002A6DAD">
              <w:rPr>
                <w:sz w:val="22"/>
                <w:szCs w:val="22"/>
              </w:rPr>
              <w:t>Activity</w:t>
            </w:r>
          </w:p>
        </w:tc>
        <w:tc>
          <w:tcPr>
            <w:tcW w:w="1530" w:type="dxa"/>
            <w:hideMark/>
          </w:tcPr>
          <w:p w:rsidR="00407BD5" w:rsidRPr="002A6DAD" w:rsidP="002D6715" w14:paraId="5B406FBB" w14:textId="77777777">
            <w:pPr>
              <w:contextualSpacing/>
              <w:jc w:val="center"/>
              <w:rPr>
                <w:sz w:val="22"/>
                <w:szCs w:val="22"/>
              </w:rPr>
            </w:pPr>
            <w:r w:rsidRPr="002A6DAD">
              <w:rPr>
                <w:sz w:val="22"/>
                <w:szCs w:val="22"/>
              </w:rPr>
              <w:t>No. of Recordkeepers</w:t>
            </w:r>
          </w:p>
        </w:tc>
        <w:tc>
          <w:tcPr>
            <w:tcW w:w="1620" w:type="dxa"/>
            <w:hideMark/>
          </w:tcPr>
          <w:p w:rsidR="00407BD5" w:rsidRPr="002A6DAD" w:rsidP="002D6715" w14:paraId="520B3D1D" w14:textId="77777777">
            <w:pPr>
              <w:contextualSpacing/>
              <w:jc w:val="center"/>
              <w:rPr>
                <w:sz w:val="22"/>
                <w:szCs w:val="22"/>
              </w:rPr>
            </w:pPr>
            <w:r w:rsidRPr="002A6DAD">
              <w:rPr>
                <w:sz w:val="22"/>
                <w:szCs w:val="22"/>
              </w:rPr>
              <w:t>No. of Records per Recordkeeper</w:t>
            </w:r>
          </w:p>
        </w:tc>
        <w:tc>
          <w:tcPr>
            <w:tcW w:w="1170" w:type="dxa"/>
            <w:hideMark/>
          </w:tcPr>
          <w:p w:rsidR="00407BD5" w:rsidRPr="002A6DAD" w:rsidP="002D6715" w14:paraId="143455C2" w14:textId="77777777">
            <w:pPr>
              <w:contextualSpacing/>
              <w:jc w:val="center"/>
              <w:rPr>
                <w:sz w:val="22"/>
                <w:szCs w:val="22"/>
              </w:rPr>
            </w:pPr>
            <w:r w:rsidRPr="002A6DAD">
              <w:rPr>
                <w:sz w:val="22"/>
                <w:szCs w:val="22"/>
              </w:rPr>
              <w:t>Total Annual Records</w:t>
            </w:r>
          </w:p>
        </w:tc>
        <w:tc>
          <w:tcPr>
            <w:tcW w:w="1710" w:type="dxa"/>
            <w:hideMark/>
          </w:tcPr>
          <w:p w:rsidR="00407BD5" w:rsidRPr="002A6DAD" w:rsidP="002D6715" w14:paraId="36CAAD3F" w14:textId="77777777">
            <w:pPr>
              <w:contextualSpacing/>
              <w:jc w:val="center"/>
              <w:rPr>
                <w:sz w:val="22"/>
                <w:szCs w:val="22"/>
              </w:rPr>
            </w:pPr>
            <w:r w:rsidRPr="002A6DAD">
              <w:rPr>
                <w:sz w:val="22"/>
                <w:szCs w:val="22"/>
              </w:rPr>
              <w:t>Average Burden per Recordkeeping (in hours)</w:t>
            </w:r>
          </w:p>
        </w:tc>
        <w:tc>
          <w:tcPr>
            <w:tcW w:w="1440" w:type="dxa"/>
            <w:hideMark/>
          </w:tcPr>
          <w:p w:rsidR="00407BD5" w:rsidRPr="002A6DAD" w:rsidP="002D6715" w14:paraId="18652574" w14:textId="77777777">
            <w:pPr>
              <w:contextualSpacing/>
              <w:jc w:val="center"/>
              <w:rPr>
                <w:sz w:val="22"/>
                <w:szCs w:val="22"/>
              </w:rPr>
            </w:pPr>
            <w:r w:rsidRPr="002A6DAD">
              <w:rPr>
                <w:sz w:val="22"/>
                <w:szCs w:val="22"/>
              </w:rPr>
              <w:t>Total Hours</w:t>
            </w:r>
          </w:p>
        </w:tc>
      </w:tr>
      <w:tr w14:paraId="3DCDD1C0" w14:textId="77777777" w:rsidTr="00380363">
        <w:tblPrEx>
          <w:tblW w:w="9715" w:type="dxa"/>
          <w:tblLayout w:type="fixed"/>
          <w:tblLook w:val="04A0"/>
        </w:tblPrEx>
        <w:trPr>
          <w:trHeight w:val="710"/>
        </w:trPr>
        <w:tc>
          <w:tcPr>
            <w:tcW w:w="2245" w:type="dxa"/>
            <w:hideMark/>
          </w:tcPr>
          <w:p w:rsidR="00407BD5" w:rsidRPr="002A6DAD" w:rsidP="002D6715" w14:paraId="5AB76F66" w14:textId="4E322D0A">
            <w:pPr>
              <w:contextualSpacing/>
              <w:rPr>
                <w:sz w:val="22"/>
                <w:szCs w:val="22"/>
              </w:rPr>
            </w:pPr>
            <w:r w:rsidRPr="002A6DAD">
              <w:rPr>
                <w:sz w:val="22"/>
                <w:szCs w:val="22"/>
              </w:rPr>
              <w:t xml:space="preserve">ONE TIME: </w:t>
            </w:r>
            <w:r w:rsidRPr="002A6DAD">
              <w:rPr>
                <w:sz w:val="22"/>
                <w:szCs w:val="22"/>
              </w:rPr>
              <w:t>Reading and understanding the new requirements</w:t>
            </w:r>
          </w:p>
        </w:tc>
        <w:tc>
          <w:tcPr>
            <w:tcW w:w="1530" w:type="dxa"/>
            <w:noWrap/>
            <w:hideMark/>
          </w:tcPr>
          <w:p w:rsidR="00407BD5" w:rsidRPr="002A6DAD" w:rsidP="002D6715" w14:paraId="4A3972E5" w14:textId="77777777">
            <w:pPr>
              <w:contextualSpacing/>
              <w:jc w:val="right"/>
              <w:rPr>
                <w:sz w:val="22"/>
                <w:szCs w:val="22"/>
              </w:rPr>
            </w:pPr>
            <w:r w:rsidRPr="002A6DAD">
              <w:rPr>
                <w:sz w:val="22"/>
                <w:szCs w:val="22"/>
              </w:rPr>
              <w:t xml:space="preserve">323,872 </w:t>
            </w:r>
          </w:p>
        </w:tc>
        <w:tc>
          <w:tcPr>
            <w:tcW w:w="1620" w:type="dxa"/>
            <w:noWrap/>
            <w:hideMark/>
          </w:tcPr>
          <w:p w:rsidR="00407BD5" w:rsidRPr="002A6DAD" w:rsidP="002D6715" w14:paraId="18F9A90A" w14:textId="77777777">
            <w:pPr>
              <w:contextualSpacing/>
              <w:jc w:val="right"/>
              <w:rPr>
                <w:sz w:val="22"/>
                <w:szCs w:val="22"/>
              </w:rPr>
            </w:pPr>
            <w:r w:rsidRPr="002A6DAD">
              <w:rPr>
                <w:sz w:val="22"/>
                <w:szCs w:val="22"/>
              </w:rPr>
              <w:t xml:space="preserve">1 </w:t>
            </w:r>
          </w:p>
        </w:tc>
        <w:tc>
          <w:tcPr>
            <w:tcW w:w="1170" w:type="dxa"/>
            <w:noWrap/>
            <w:hideMark/>
          </w:tcPr>
          <w:p w:rsidR="00407BD5" w:rsidRPr="002A6DAD" w:rsidP="002D6715" w14:paraId="3CD6A30C" w14:textId="77777777">
            <w:pPr>
              <w:contextualSpacing/>
              <w:jc w:val="right"/>
              <w:rPr>
                <w:sz w:val="22"/>
                <w:szCs w:val="22"/>
              </w:rPr>
            </w:pPr>
            <w:r w:rsidRPr="002A6DAD">
              <w:rPr>
                <w:sz w:val="22"/>
                <w:szCs w:val="22"/>
              </w:rPr>
              <w:t xml:space="preserve">323,872 </w:t>
            </w:r>
          </w:p>
        </w:tc>
        <w:tc>
          <w:tcPr>
            <w:tcW w:w="1710" w:type="dxa"/>
            <w:noWrap/>
            <w:hideMark/>
          </w:tcPr>
          <w:p w:rsidR="00407BD5" w:rsidRPr="002A6DAD" w:rsidP="002D6715" w14:paraId="1139E8F7" w14:textId="77777777">
            <w:pPr>
              <w:contextualSpacing/>
              <w:jc w:val="right"/>
              <w:rPr>
                <w:sz w:val="22"/>
                <w:szCs w:val="22"/>
                <w:highlight w:val="yellow"/>
              </w:rPr>
            </w:pPr>
            <w:r w:rsidRPr="002A6DAD">
              <w:rPr>
                <w:sz w:val="22"/>
                <w:szCs w:val="22"/>
              </w:rPr>
              <w:t>16.8</w:t>
            </w:r>
            <w:r w:rsidRPr="002A6DAD">
              <w:rPr>
                <w:sz w:val="22"/>
                <w:szCs w:val="22"/>
                <w:vertAlign w:val="superscript"/>
              </w:rPr>
              <w:t>1</w:t>
            </w:r>
            <w:r w:rsidRPr="002A6DAD">
              <w:rPr>
                <w:sz w:val="22"/>
                <w:szCs w:val="22"/>
              </w:rPr>
              <w:t xml:space="preserve"> </w:t>
            </w:r>
          </w:p>
        </w:tc>
        <w:tc>
          <w:tcPr>
            <w:tcW w:w="1440" w:type="dxa"/>
            <w:noWrap/>
            <w:hideMark/>
          </w:tcPr>
          <w:p w:rsidR="00407BD5" w:rsidRPr="002A6DAD" w:rsidP="002D6715" w14:paraId="75AB0AE4" w14:textId="77777777">
            <w:pPr>
              <w:contextualSpacing/>
              <w:jc w:val="right"/>
              <w:rPr>
                <w:sz w:val="22"/>
                <w:szCs w:val="22"/>
              </w:rPr>
            </w:pPr>
            <w:r w:rsidRPr="002A6DAD">
              <w:rPr>
                <w:sz w:val="22"/>
                <w:szCs w:val="22"/>
              </w:rPr>
              <w:t xml:space="preserve"> 5,441,050 </w:t>
            </w:r>
          </w:p>
        </w:tc>
      </w:tr>
      <w:tr w14:paraId="291F6579" w14:textId="77777777" w:rsidTr="00380363">
        <w:tblPrEx>
          <w:tblW w:w="9715" w:type="dxa"/>
          <w:tblLayout w:type="fixed"/>
          <w:tblLook w:val="04A0"/>
        </w:tblPrEx>
        <w:trPr>
          <w:trHeight w:val="530"/>
        </w:trPr>
        <w:tc>
          <w:tcPr>
            <w:tcW w:w="2245" w:type="dxa"/>
            <w:hideMark/>
          </w:tcPr>
          <w:p w:rsidR="00407BD5" w:rsidRPr="002A6DAD" w:rsidP="002D6715" w14:paraId="1BF49595" w14:textId="77777777">
            <w:pPr>
              <w:contextualSpacing/>
              <w:rPr>
                <w:sz w:val="22"/>
                <w:szCs w:val="22"/>
              </w:rPr>
            </w:pPr>
            <w:r w:rsidRPr="002A6DAD">
              <w:rPr>
                <w:sz w:val="22"/>
                <w:szCs w:val="22"/>
              </w:rPr>
              <w:t>§ 1.1315; traceability plan (one-time set-up)</w:t>
            </w:r>
          </w:p>
        </w:tc>
        <w:tc>
          <w:tcPr>
            <w:tcW w:w="1530" w:type="dxa"/>
            <w:noWrap/>
            <w:hideMark/>
          </w:tcPr>
          <w:p w:rsidR="00407BD5" w:rsidRPr="002A6DAD" w:rsidP="002D6715" w14:paraId="111B3F03" w14:textId="77777777">
            <w:pPr>
              <w:contextualSpacing/>
              <w:jc w:val="right"/>
              <w:rPr>
                <w:sz w:val="22"/>
                <w:szCs w:val="22"/>
              </w:rPr>
            </w:pPr>
            <w:r w:rsidRPr="002A6DAD">
              <w:rPr>
                <w:sz w:val="22"/>
                <w:szCs w:val="22"/>
              </w:rPr>
              <w:t xml:space="preserve">212,368 </w:t>
            </w:r>
          </w:p>
        </w:tc>
        <w:tc>
          <w:tcPr>
            <w:tcW w:w="1620" w:type="dxa"/>
            <w:noWrap/>
            <w:hideMark/>
          </w:tcPr>
          <w:p w:rsidR="00407BD5" w:rsidRPr="002A6DAD" w:rsidP="002D6715" w14:paraId="5D4D0D4F" w14:textId="77777777">
            <w:pPr>
              <w:contextualSpacing/>
              <w:jc w:val="right"/>
              <w:rPr>
                <w:sz w:val="22"/>
                <w:szCs w:val="22"/>
              </w:rPr>
            </w:pPr>
            <w:r w:rsidRPr="002A6DAD">
              <w:rPr>
                <w:sz w:val="22"/>
                <w:szCs w:val="22"/>
              </w:rPr>
              <w:t xml:space="preserve">1 </w:t>
            </w:r>
          </w:p>
        </w:tc>
        <w:tc>
          <w:tcPr>
            <w:tcW w:w="1170" w:type="dxa"/>
            <w:noWrap/>
            <w:hideMark/>
          </w:tcPr>
          <w:p w:rsidR="00407BD5" w:rsidRPr="002A6DAD" w:rsidP="002D6715" w14:paraId="70048AE1" w14:textId="77777777">
            <w:pPr>
              <w:contextualSpacing/>
              <w:jc w:val="right"/>
              <w:rPr>
                <w:sz w:val="22"/>
                <w:szCs w:val="22"/>
              </w:rPr>
            </w:pPr>
            <w:r w:rsidRPr="002A6DAD">
              <w:rPr>
                <w:sz w:val="22"/>
                <w:szCs w:val="22"/>
              </w:rPr>
              <w:t xml:space="preserve">212,368 </w:t>
            </w:r>
          </w:p>
        </w:tc>
        <w:tc>
          <w:tcPr>
            <w:tcW w:w="1710" w:type="dxa"/>
            <w:noWrap/>
            <w:hideMark/>
          </w:tcPr>
          <w:p w:rsidR="00407BD5" w:rsidRPr="002A6DAD" w:rsidP="002D6715" w14:paraId="7950CB40" w14:textId="77777777">
            <w:pPr>
              <w:contextualSpacing/>
              <w:jc w:val="right"/>
              <w:rPr>
                <w:sz w:val="22"/>
                <w:szCs w:val="22"/>
              </w:rPr>
            </w:pPr>
            <w:r w:rsidRPr="002A6DAD">
              <w:rPr>
                <w:sz w:val="22"/>
                <w:szCs w:val="22"/>
              </w:rPr>
              <w:t xml:space="preserve">6.2 </w:t>
            </w:r>
          </w:p>
        </w:tc>
        <w:tc>
          <w:tcPr>
            <w:tcW w:w="1440" w:type="dxa"/>
            <w:noWrap/>
            <w:hideMark/>
          </w:tcPr>
          <w:p w:rsidR="00407BD5" w:rsidRPr="002A6DAD" w:rsidP="002D6715" w14:paraId="2B925DA6" w14:textId="77777777">
            <w:pPr>
              <w:contextualSpacing/>
              <w:jc w:val="right"/>
              <w:rPr>
                <w:sz w:val="22"/>
                <w:szCs w:val="22"/>
              </w:rPr>
            </w:pPr>
            <w:r w:rsidRPr="002A6DAD">
              <w:rPr>
                <w:sz w:val="22"/>
                <w:szCs w:val="22"/>
              </w:rPr>
              <w:t xml:space="preserve">1,316,682 </w:t>
            </w:r>
          </w:p>
        </w:tc>
      </w:tr>
      <w:tr w14:paraId="448546C8" w14:textId="77777777" w:rsidTr="00380363">
        <w:tblPrEx>
          <w:tblW w:w="9715" w:type="dxa"/>
          <w:tblLayout w:type="fixed"/>
          <w:tblLook w:val="04A0"/>
        </w:tblPrEx>
        <w:trPr>
          <w:trHeight w:val="293"/>
        </w:trPr>
        <w:tc>
          <w:tcPr>
            <w:tcW w:w="2245" w:type="dxa"/>
            <w:hideMark/>
          </w:tcPr>
          <w:p w:rsidR="00407BD5" w:rsidRPr="002A6DAD" w:rsidP="002D6715" w14:paraId="3484A754" w14:textId="77777777">
            <w:pPr>
              <w:contextualSpacing/>
              <w:rPr>
                <w:sz w:val="22"/>
                <w:szCs w:val="22"/>
              </w:rPr>
            </w:pPr>
            <w:r w:rsidRPr="002A6DAD">
              <w:rPr>
                <w:sz w:val="22"/>
                <w:szCs w:val="22"/>
              </w:rPr>
              <w:t>Training personnel</w:t>
            </w:r>
          </w:p>
        </w:tc>
        <w:tc>
          <w:tcPr>
            <w:tcW w:w="1530" w:type="dxa"/>
            <w:noWrap/>
            <w:hideMark/>
          </w:tcPr>
          <w:p w:rsidR="00407BD5" w:rsidRPr="002A6DAD" w:rsidP="002D6715" w14:paraId="60140938" w14:textId="77777777">
            <w:pPr>
              <w:contextualSpacing/>
              <w:jc w:val="right"/>
              <w:rPr>
                <w:sz w:val="22"/>
                <w:szCs w:val="22"/>
              </w:rPr>
            </w:pPr>
            <w:r w:rsidRPr="002A6DAD">
              <w:rPr>
                <w:sz w:val="22"/>
                <w:szCs w:val="22"/>
              </w:rPr>
              <w:t xml:space="preserve">34,737 </w:t>
            </w:r>
          </w:p>
        </w:tc>
        <w:tc>
          <w:tcPr>
            <w:tcW w:w="1620" w:type="dxa"/>
            <w:noWrap/>
            <w:hideMark/>
          </w:tcPr>
          <w:p w:rsidR="00407BD5" w:rsidRPr="002A6DAD" w:rsidP="002D6715" w14:paraId="7BB2A306" w14:textId="77777777">
            <w:pPr>
              <w:contextualSpacing/>
              <w:jc w:val="right"/>
              <w:rPr>
                <w:sz w:val="22"/>
                <w:szCs w:val="22"/>
              </w:rPr>
            </w:pPr>
            <w:r w:rsidRPr="002A6DAD">
              <w:rPr>
                <w:sz w:val="22"/>
                <w:szCs w:val="22"/>
              </w:rPr>
              <w:t xml:space="preserve">10.5 </w:t>
            </w:r>
          </w:p>
        </w:tc>
        <w:tc>
          <w:tcPr>
            <w:tcW w:w="1170" w:type="dxa"/>
            <w:noWrap/>
            <w:hideMark/>
          </w:tcPr>
          <w:p w:rsidR="00407BD5" w:rsidRPr="002A6DAD" w:rsidP="002D6715" w14:paraId="0F251CC9" w14:textId="77777777">
            <w:pPr>
              <w:contextualSpacing/>
              <w:jc w:val="right"/>
              <w:rPr>
                <w:sz w:val="22"/>
                <w:szCs w:val="22"/>
              </w:rPr>
            </w:pPr>
            <w:r w:rsidRPr="002A6DAD">
              <w:rPr>
                <w:sz w:val="22"/>
                <w:szCs w:val="22"/>
              </w:rPr>
              <w:t xml:space="preserve">364,739 </w:t>
            </w:r>
          </w:p>
        </w:tc>
        <w:tc>
          <w:tcPr>
            <w:tcW w:w="1710" w:type="dxa"/>
            <w:noWrap/>
            <w:hideMark/>
          </w:tcPr>
          <w:p w:rsidR="00407BD5" w:rsidRPr="002A6DAD" w:rsidP="002D6715" w14:paraId="1DCE0B63" w14:textId="77777777">
            <w:pPr>
              <w:contextualSpacing/>
              <w:jc w:val="right"/>
              <w:rPr>
                <w:sz w:val="22"/>
                <w:szCs w:val="22"/>
              </w:rPr>
            </w:pPr>
            <w:r w:rsidRPr="002A6DAD">
              <w:rPr>
                <w:sz w:val="22"/>
                <w:szCs w:val="22"/>
              </w:rPr>
              <w:t xml:space="preserve">4.2 </w:t>
            </w:r>
          </w:p>
        </w:tc>
        <w:tc>
          <w:tcPr>
            <w:tcW w:w="1440" w:type="dxa"/>
            <w:noWrap/>
            <w:hideMark/>
          </w:tcPr>
          <w:p w:rsidR="00407BD5" w:rsidRPr="002A6DAD" w:rsidP="002D6715" w14:paraId="04978992" w14:textId="77777777">
            <w:pPr>
              <w:contextualSpacing/>
              <w:jc w:val="right"/>
              <w:rPr>
                <w:sz w:val="22"/>
                <w:szCs w:val="22"/>
              </w:rPr>
            </w:pPr>
            <w:r w:rsidRPr="002A6DAD">
              <w:rPr>
                <w:sz w:val="22"/>
                <w:szCs w:val="22"/>
              </w:rPr>
              <w:t xml:space="preserve">1,531,904 </w:t>
            </w:r>
          </w:p>
        </w:tc>
      </w:tr>
      <w:tr w14:paraId="38316275" w14:textId="77777777" w:rsidTr="00380363">
        <w:tblPrEx>
          <w:tblW w:w="9715" w:type="dxa"/>
          <w:tblLayout w:type="fixed"/>
          <w:tblLook w:val="04A0"/>
        </w:tblPrEx>
        <w:trPr>
          <w:trHeight w:val="293"/>
        </w:trPr>
        <w:tc>
          <w:tcPr>
            <w:tcW w:w="2245" w:type="dxa"/>
            <w:hideMark/>
          </w:tcPr>
          <w:p w:rsidR="00407BD5" w:rsidRPr="002A6DAD" w:rsidP="002D6715" w14:paraId="47F94EF5" w14:textId="77777777">
            <w:pPr>
              <w:contextualSpacing/>
              <w:rPr>
                <w:sz w:val="22"/>
                <w:szCs w:val="22"/>
              </w:rPr>
            </w:pPr>
            <w:r w:rsidRPr="002A6DAD">
              <w:rPr>
                <w:sz w:val="22"/>
                <w:szCs w:val="22"/>
              </w:rPr>
              <w:t>Total</w:t>
            </w:r>
          </w:p>
        </w:tc>
        <w:tc>
          <w:tcPr>
            <w:tcW w:w="1530" w:type="dxa"/>
            <w:noWrap/>
            <w:hideMark/>
          </w:tcPr>
          <w:p w:rsidR="00407BD5" w:rsidRPr="002A6DAD" w:rsidP="002D6715" w14:paraId="4256E0D9" w14:textId="1CE72304">
            <w:pPr>
              <w:contextualSpacing/>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570,977</w:t>
            </w:r>
            <w:r>
              <w:rPr>
                <w:sz w:val="22"/>
                <w:szCs w:val="22"/>
              </w:rPr>
              <w:fldChar w:fldCharType="end"/>
            </w:r>
            <w:r w:rsidRPr="002A6DAD">
              <w:rPr>
                <w:sz w:val="22"/>
                <w:szCs w:val="22"/>
              </w:rPr>
              <w:t> </w:t>
            </w:r>
          </w:p>
        </w:tc>
        <w:tc>
          <w:tcPr>
            <w:tcW w:w="1620" w:type="dxa"/>
            <w:noWrap/>
            <w:hideMark/>
          </w:tcPr>
          <w:p w:rsidR="00407BD5" w:rsidRPr="002A6DAD" w:rsidP="002D6715" w14:paraId="19FCC87D" w14:textId="77777777">
            <w:pPr>
              <w:contextualSpacing/>
              <w:jc w:val="right"/>
              <w:rPr>
                <w:sz w:val="22"/>
                <w:szCs w:val="22"/>
              </w:rPr>
            </w:pPr>
            <w:r w:rsidRPr="002A6DAD">
              <w:rPr>
                <w:sz w:val="22"/>
                <w:szCs w:val="22"/>
              </w:rPr>
              <w:t> </w:t>
            </w:r>
          </w:p>
        </w:tc>
        <w:tc>
          <w:tcPr>
            <w:tcW w:w="1170" w:type="dxa"/>
            <w:noWrap/>
            <w:hideMark/>
          </w:tcPr>
          <w:p w:rsidR="00407BD5" w:rsidRPr="002A6DAD" w:rsidP="002D6715" w14:paraId="11A42D38" w14:textId="767ADF2E">
            <w:pPr>
              <w:contextualSpacing/>
              <w:jc w:val="right"/>
              <w:rPr>
                <w:sz w:val="22"/>
                <w:szCs w:val="22"/>
              </w:rPr>
            </w:pPr>
            <w:r w:rsidRPr="002A6DAD">
              <w:rPr>
                <w:sz w:val="22"/>
                <w:szCs w:val="22"/>
              </w:rPr>
              <w:t> </w:t>
            </w:r>
            <w:r w:rsidR="00380363">
              <w:rPr>
                <w:sz w:val="22"/>
                <w:szCs w:val="22"/>
              </w:rPr>
              <w:fldChar w:fldCharType="begin"/>
            </w:r>
            <w:r w:rsidR="00380363">
              <w:rPr>
                <w:sz w:val="22"/>
                <w:szCs w:val="22"/>
              </w:rPr>
              <w:instrText xml:space="preserve"> =SUM(ABOVE) </w:instrText>
            </w:r>
            <w:r w:rsidR="00380363">
              <w:rPr>
                <w:sz w:val="22"/>
                <w:szCs w:val="22"/>
              </w:rPr>
              <w:fldChar w:fldCharType="separate"/>
            </w:r>
            <w:r w:rsidR="00380363">
              <w:rPr>
                <w:noProof/>
                <w:sz w:val="22"/>
                <w:szCs w:val="22"/>
              </w:rPr>
              <w:t>900,979</w:t>
            </w:r>
            <w:r w:rsidR="00380363">
              <w:rPr>
                <w:sz w:val="22"/>
                <w:szCs w:val="22"/>
              </w:rPr>
              <w:fldChar w:fldCharType="end"/>
            </w:r>
          </w:p>
        </w:tc>
        <w:tc>
          <w:tcPr>
            <w:tcW w:w="1710" w:type="dxa"/>
            <w:noWrap/>
            <w:hideMark/>
          </w:tcPr>
          <w:p w:rsidR="00407BD5" w:rsidRPr="002A6DAD" w:rsidP="002D6715" w14:paraId="62676D99" w14:textId="77777777">
            <w:pPr>
              <w:contextualSpacing/>
              <w:jc w:val="right"/>
              <w:rPr>
                <w:sz w:val="22"/>
                <w:szCs w:val="22"/>
              </w:rPr>
            </w:pPr>
            <w:r w:rsidRPr="002A6DAD">
              <w:rPr>
                <w:sz w:val="22"/>
                <w:szCs w:val="22"/>
              </w:rPr>
              <w:t> </w:t>
            </w:r>
          </w:p>
        </w:tc>
        <w:tc>
          <w:tcPr>
            <w:tcW w:w="1440" w:type="dxa"/>
            <w:noWrap/>
            <w:hideMark/>
          </w:tcPr>
          <w:p w:rsidR="00407BD5" w:rsidRPr="002A6DAD" w:rsidP="002D6715" w14:paraId="34E45F86" w14:textId="77777777">
            <w:pPr>
              <w:contextualSpacing/>
              <w:jc w:val="right"/>
              <w:rPr>
                <w:sz w:val="22"/>
                <w:szCs w:val="22"/>
              </w:rPr>
            </w:pPr>
            <w:r w:rsidRPr="002A6DAD">
              <w:rPr>
                <w:sz w:val="22"/>
                <w:szCs w:val="22"/>
              </w:rPr>
              <w:t xml:space="preserve">8,289,635 </w:t>
            </w:r>
          </w:p>
        </w:tc>
      </w:tr>
    </w:tbl>
    <w:p w:rsidR="00407BD5" w:rsidRPr="001E6510" w:rsidP="003C3ABA" w14:paraId="599B06FB" w14:textId="77777777">
      <w:pPr>
        <w:widowControl w:val="0"/>
        <w:contextualSpacing/>
        <w:rPr>
          <w:sz w:val="20"/>
          <w:szCs w:val="20"/>
          <w:lang w:eastAsia="ja-JP"/>
        </w:rPr>
      </w:pPr>
      <w:r>
        <w:rPr>
          <w:rFonts w:eastAsia="Calibri"/>
          <w:sz w:val="20"/>
          <w:szCs w:val="20"/>
          <w:vertAlign w:val="superscript"/>
          <w:lang w:eastAsia="ja-JP"/>
        </w:rPr>
        <w:t>1</w:t>
      </w:r>
      <w:r w:rsidRPr="00E462A5">
        <w:rPr>
          <w:rFonts w:eastAsia="Calibri"/>
          <w:sz w:val="20"/>
          <w:szCs w:val="20"/>
          <w:lang w:eastAsia="ja-JP"/>
        </w:rPr>
        <w:t xml:space="preserve"> There is likely to be more than one reader at each large firm.  </w:t>
      </w:r>
      <w:r>
        <w:rPr>
          <w:rFonts w:eastAsia="Calibri"/>
          <w:sz w:val="20"/>
          <w:szCs w:val="20"/>
          <w:lang w:eastAsia="ja-JP"/>
        </w:rPr>
        <w:t>T</w:t>
      </w:r>
      <w:r w:rsidRPr="00E462A5">
        <w:rPr>
          <w:rFonts w:eastAsia="Calibri"/>
          <w:sz w:val="20"/>
          <w:szCs w:val="20"/>
          <w:lang w:eastAsia="ja-JP"/>
        </w:rPr>
        <w:t>he estimated average sum over all readers of the time spent reading and understanding the rule at each firm</w:t>
      </w:r>
      <w:r>
        <w:rPr>
          <w:rFonts w:eastAsia="Calibri"/>
          <w:sz w:val="20"/>
          <w:szCs w:val="20"/>
          <w:lang w:eastAsia="ja-JP"/>
        </w:rPr>
        <w:t xml:space="preserve"> is 16.8 hours</w:t>
      </w:r>
      <w:r w:rsidRPr="00E462A5">
        <w:rPr>
          <w:rFonts w:eastAsia="Calibri"/>
          <w:sz w:val="20"/>
          <w:szCs w:val="20"/>
          <w:lang w:eastAsia="ja-JP"/>
        </w:rPr>
        <w:t>.</w:t>
      </w:r>
    </w:p>
    <w:p w:rsidR="00B80E05" w:rsidP="000F0FD3" w14:paraId="185AB20D" w14:textId="77777777">
      <w:pPr>
        <w:widowControl w:val="0"/>
        <w:contextualSpacing/>
        <w:rPr>
          <w:rFonts w:eastAsia="Calibri"/>
          <w:sz w:val="20"/>
          <w:szCs w:val="20"/>
          <w:lang w:eastAsia="ja-JP"/>
        </w:rPr>
      </w:pPr>
    </w:p>
    <w:p w:rsidR="00832F07" w14:paraId="0307E32F" w14:textId="77777777">
      <w:pPr>
        <w:rPr>
          <w:rFonts w:eastAsia="Calibri"/>
        </w:rPr>
      </w:pPr>
      <w:r>
        <w:rPr>
          <w:rFonts w:eastAsia="Calibri"/>
        </w:rPr>
        <w:br w:type="page"/>
      </w:r>
    </w:p>
    <w:p w:rsidR="0080798F" w:rsidRPr="00347554" w:rsidP="002C4A3E" w14:paraId="2B34AA3A" w14:textId="1ECEEA86">
      <w:pPr>
        <w:widowControl w:val="0"/>
        <w:contextualSpacing/>
        <w:rPr>
          <w:rFonts w:eastAsia="Calibri"/>
        </w:rPr>
      </w:pPr>
      <w:r w:rsidRPr="00347554">
        <w:rPr>
          <w:rFonts w:eastAsia="Calibri"/>
        </w:rPr>
        <w:t xml:space="preserve">The Estimated One-Time Recordkeeping Burden table reflects several changes to the proposed information collection.  The estimated number of respondents for reading and understanding the recordkeeping requirements decreased because of additional exemptions and revisions to exemptions added in the final rule and our use of more recent data sources on the number of covered entities.  We also increased the average burden to read and understand the rule from 3.3 hours to 16.8 hours because the length of the rule increased.  The number of respondents for the one-time set up costs for the traceability plan (“traceability program records” under the proposed rule) was updated based on updated overall coverage estimates for the number of firms, plus new data on the share of entities that will establish a traceability plan from the ERG expert elicitation study This is now a per-firm rather than per-establishment (facility) burden, and because we have moved from traceability program records to a traceability plan, the number of records per respondent has decreased to one.  Finally, we have updated the number of respondents for training personnel based on updated coverage estimates plus newer data from the ERG expert elicitation study.  Now training is per-establishment (facility) rather than per-firm.  We have also updated the number of records per respondent for training personnel based on the ERG expert elicitation study.  </w:t>
      </w:r>
    </w:p>
    <w:p w:rsidR="00271716" w:rsidP="002B6E11" w14:paraId="5BCE10B9" w14:textId="77777777">
      <w:pPr>
        <w:widowControl w:val="0"/>
        <w:contextualSpacing/>
        <w:jc w:val="center"/>
        <w:rPr>
          <w:rFonts w:eastAsia="Calibri"/>
        </w:rPr>
      </w:pPr>
    </w:p>
    <w:p w:rsidR="006F55BC" w:rsidRPr="00271716" w:rsidP="002B6E11" w14:paraId="0D1F01F5" w14:textId="350AED7C">
      <w:pPr>
        <w:widowControl w:val="0"/>
        <w:contextualSpacing/>
        <w:jc w:val="center"/>
        <w:rPr>
          <w:rFonts w:eastAsia="Calibri"/>
        </w:rPr>
      </w:pPr>
      <w:r w:rsidRPr="00271716">
        <w:rPr>
          <w:rFonts w:eastAsia="Calibri"/>
        </w:rPr>
        <w:t xml:space="preserve">Table 2 – </w:t>
      </w:r>
      <w:r w:rsidRPr="00271716">
        <w:t xml:space="preserve">Estimated Annual Reporting </w:t>
      </w:r>
      <w:r w:rsidRPr="00271716">
        <w:rPr>
          <w:rFonts w:eastAsia="Calibri"/>
        </w:rPr>
        <w:t>Burden</w:t>
      </w:r>
    </w:p>
    <w:tbl>
      <w:tblPr>
        <w:tblW w:w="97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2610"/>
        <w:gridCol w:w="1445"/>
        <w:gridCol w:w="1620"/>
        <w:gridCol w:w="1350"/>
        <w:gridCol w:w="1620"/>
        <w:gridCol w:w="1080"/>
      </w:tblGrid>
      <w:tr w14:paraId="70FD9F7F" w14:textId="77777777" w:rsidTr="00AC4860">
        <w:tblPrEx>
          <w:tblW w:w="97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c>
          <w:tcPr>
            <w:tcW w:w="2610" w:type="dxa"/>
          </w:tcPr>
          <w:p w:rsidR="006F55BC" w:rsidRPr="00AC4860" w:rsidP="002D6715" w14:paraId="799AD557" w14:textId="77777777">
            <w:pPr>
              <w:contextualSpacing/>
              <w:jc w:val="center"/>
              <w:rPr>
                <w:sz w:val="22"/>
                <w:szCs w:val="22"/>
              </w:rPr>
            </w:pPr>
            <w:r w:rsidRPr="00AC4860">
              <w:rPr>
                <w:sz w:val="22"/>
                <w:szCs w:val="22"/>
              </w:rPr>
              <w:t>Reporting Activity</w:t>
            </w:r>
          </w:p>
        </w:tc>
        <w:tc>
          <w:tcPr>
            <w:tcW w:w="1445" w:type="dxa"/>
          </w:tcPr>
          <w:p w:rsidR="006F55BC" w:rsidRPr="00AC4860" w:rsidP="002D6715" w14:paraId="43F7536E" w14:textId="77777777">
            <w:pPr>
              <w:contextualSpacing/>
              <w:jc w:val="center"/>
              <w:rPr>
                <w:sz w:val="22"/>
                <w:szCs w:val="22"/>
              </w:rPr>
            </w:pPr>
            <w:r w:rsidRPr="00AC4860">
              <w:rPr>
                <w:sz w:val="22"/>
                <w:szCs w:val="22"/>
              </w:rPr>
              <w:t>No. of Respondents</w:t>
            </w:r>
          </w:p>
        </w:tc>
        <w:tc>
          <w:tcPr>
            <w:tcW w:w="1620" w:type="dxa"/>
          </w:tcPr>
          <w:p w:rsidR="006F55BC" w:rsidRPr="00AC4860" w:rsidP="002D6715" w14:paraId="0248814D" w14:textId="77777777">
            <w:pPr>
              <w:contextualSpacing/>
              <w:jc w:val="center"/>
              <w:rPr>
                <w:sz w:val="22"/>
                <w:szCs w:val="22"/>
              </w:rPr>
            </w:pPr>
            <w:r w:rsidRPr="00AC4860">
              <w:rPr>
                <w:sz w:val="22"/>
                <w:szCs w:val="22"/>
              </w:rPr>
              <w:t>No. of Responses per Respondent</w:t>
            </w:r>
          </w:p>
        </w:tc>
        <w:tc>
          <w:tcPr>
            <w:tcW w:w="1350" w:type="dxa"/>
          </w:tcPr>
          <w:p w:rsidR="006F55BC" w:rsidRPr="00AC4860" w:rsidP="002D6715" w14:paraId="32950E63" w14:textId="77777777">
            <w:pPr>
              <w:contextualSpacing/>
              <w:jc w:val="center"/>
              <w:rPr>
                <w:sz w:val="22"/>
                <w:szCs w:val="22"/>
              </w:rPr>
            </w:pPr>
            <w:r w:rsidRPr="00AC4860">
              <w:rPr>
                <w:sz w:val="22"/>
                <w:szCs w:val="22"/>
              </w:rPr>
              <w:t>Total Annual Responses</w:t>
            </w:r>
          </w:p>
        </w:tc>
        <w:tc>
          <w:tcPr>
            <w:tcW w:w="1620" w:type="dxa"/>
          </w:tcPr>
          <w:p w:rsidR="006F55BC" w:rsidRPr="00AC4860" w:rsidP="002D6715" w14:paraId="1B55B447" w14:textId="77777777">
            <w:pPr>
              <w:contextualSpacing/>
              <w:jc w:val="center"/>
              <w:rPr>
                <w:sz w:val="22"/>
                <w:szCs w:val="22"/>
              </w:rPr>
            </w:pPr>
            <w:r w:rsidRPr="00AC4860">
              <w:rPr>
                <w:sz w:val="22"/>
                <w:szCs w:val="22"/>
              </w:rPr>
              <w:t>Average Burden per Response (in hours)</w:t>
            </w:r>
          </w:p>
        </w:tc>
        <w:tc>
          <w:tcPr>
            <w:tcW w:w="1080" w:type="dxa"/>
          </w:tcPr>
          <w:p w:rsidR="006F55BC" w:rsidRPr="00AC4860" w:rsidP="002D6715" w14:paraId="41F1B6C6" w14:textId="77777777">
            <w:pPr>
              <w:contextualSpacing/>
              <w:jc w:val="center"/>
              <w:rPr>
                <w:sz w:val="22"/>
                <w:szCs w:val="22"/>
              </w:rPr>
            </w:pPr>
            <w:r w:rsidRPr="00AC4860">
              <w:rPr>
                <w:sz w:val="22"/>
                <w:szCs w:val="22"/>
              </w:rPr>
              <w:t>Total Hours</w:t>
            </w:r>
          </w:p>
        </w:tc>
      </w:tr>
      <w:tr w14:paraId="65B129EE" w14:textId="77777777" w:rsidTr="00AC4860">
        <w:tblPrEx>
          <w:tblW w:w="9725" w:type="dxa"/>
          <w:tblInd w:w="-10" w:type="dxa"/>
          <w:tblLayout w:type="fixed"/>
          <w:tblCellMar>
            <w:left w:w="120" w:type="dxa"/>
            <w:right w:w="120" w:type="dxa"/>
          </w:tblCellMar>
          <w:tblLook w:val="04A0"/>
        </w:tblPrEx>
        <w:tc>
          <w:tcPr>
            <w:tcW w:w="2610" w:type="dxa"/>
          </w:tcPr>
          <w:p w:rsidR="006F55BC" w:rsidRPr="00AC4860" w:rsidP="002D6715" w14:paraId="4CDCB59C" w14:textId="77777777">
            <w:pPr>
              <w:contextualSpacing/>
              <w:rPr>
                <w:sz w:val="22"/>
                <w:szCs w:val="22"/>
              </w:rPr>
            </w:pPr>
            <w:r w:rsidRPr="00AC4860">
              <w:rPr>
                <w:sz w:val="22"/>
                <w:szCs w:val="22"/>
              </w:rPr>
              <w:t>1.1370; Requests for modified requirements and exemptions</w:t>
            </w:r>
          </w:p>
        </w:tc>
        <w:tc>
          <w:tcPr>
            <w:tcW w:w="1445" w:type="dxa"/>
          </w:tcPr>
          <w:p w:rsidR="006F55BC" w:rsidRPr="00AC4860" w:rsidP="002D6715" w14:paraId="4A2FFFDB" w14:textId="77777777">
            <w:pPr>
              <w:contextualSpacing/>
              <w:jc w:val="right"/>
              <w:rPr>
                <w:sz w:val="22"/>
                <w:szCs w:val="22"/>
              </w:rPr>
            </w:pPr>
            <w:r w:rsidRPr="00AC4860">
              <w:rPr>
                <w:sz w:val="22"/>
                <w:szCs w:val="22"/>
              </w:rPr>
              <w:t>5</w:t>
            </w:r>
          </w:p>
        </w:tc>
        <w:tc>
          <w:tcPr>
            <w:tcW w:w="1620" w:type="dxa"/>
          </w:tcPr>
          <w:p w:rsidR="006F55BC" w:rsidRPr="00AC4860" w:rsidP="002D6715" w14:paraId="2E775AC3" w14:textId="77777777">
            <w:pPr>
              <w:contextualSpacing/>
              <w:jc w:val="right"/>
              <w:rPr>
                <w:sz w:val="22"/>
                <w:szCs w:val="22"/>
              </w:rPr>
            </w:pPr>
            <w:r w:rsidRPr="00AC4860">
              <w:rPr>
                <w:sz w:val="22"/>
                <w:szCs w:val="22"/>
              </w:rPr>
              <w:t>1</w:t>
            </w:r>
          </w:p>
        </w:tc>
        <w:tc>
          <w:tcPr>
            <w:tcW w:w="1350" w:type="dxa"/>
          </w:tcPr>
          <w:p w:rsidR="006F55BC" w:rsidRPr="00AC4860" w:rsidP="002D6715" w14:paraId="33E1BB64" w14:textId="77777777">
            <w:pPr>
              <w:contextualSpacing/>
              <w:jc w:val="right"/>
              <w:rPr>
                <w:sz w:val="22"/>
                <w:szCs w:val="22"/>
              </w:rPr>
            </w:pPr>
            <w:r w:rsidRPr="00AC4860">
              <w:rPr>
                <w:sz w:val="22"/>
                <w:szCs w:val="22"/>
              </w:rPr>
              <w:t>5</w:t>
            </w:r>
          </w:p>
        </w:tc>
        <w:tc>
          <w:tcPr>
            <w:tcW w:w="1620" w:type="dxa"/>
          </w:tcPr>
          <w:p w:rsidR="006F55BC" w:rsidRPr="00AC4860" w:rsidP="002D6715" w14:paraId="75DEA8EB" w14:textId="77777777">
            <w:pPr>
              <w:contextualSpacing/>
              <w:jc w:val="right"/>
              <w:rPr>
                <w:sz w:val="22"/>
                <w:szCs w:val="22"/>
              </w:rPr>
            </w:pPr>
            <w:r w:rsidRPr="00AC4860">
              <w:rPr>
                <w:sz w:val="22"/>
                <w:szCs w:val="22"/>
              </w:rPr>
              <w:t>10</w:t>
            </w:r>
          </w:p>
        </w:tc>
        <w:tc>
          <w:tcPr>
            <w:tcW w:w="1080" w:type="dxa"/>
          </w:tcPr>
          <w:p w:rsidR="006F55BC" w:rsidRPr="00AC4860" w:rsidP="002D6715" w14:paraId="7A03250C" w14:textId="77777777">
            <w:pPr>
              <w:contextualSpacing/>
              <w:jc w:val="right"/>
              <w:rPr>
                <w:sz w:val="22"/>
                <w:szCs w:val="22"/>
              </w:rPr>
            </w:pPr>
            <w:r w:rsidRPr="00AC4860">
              <w:rPr>
                <w:sz w:val="22"/>
                <w:szCs w:val="22"/>
              </w:rPr>
              <w:t>50</w:t>
            </w:r>
          </w:p>
        </w:tc>
      </w:tr>
      <w:tr w14:paraId="67CFC0B9" w14:textId="77777777" w:rsidTr="00AC4860">
        <w:tblPrEx>
          <w:tblW w:w="9725" w:type="dxa"/>
          <w:tblInd w:w="-10" w:type="dxa"/>
          <w:tblLayout w:type="fixed"/>
          <w:tblCellMar>
            <w:left w:w="120" w:type="dxa"/>
            <w:right w:w="120" w:type="dxa"/>
          </w:tblCellMar>
          <w:tblLook w:val="04A0"/>
        </w:tblPrEx>
        <w:tc>
          <w:tcPr>
            <w:tcW w:w="2610" w:type="dxa"/>
          </w:tcPr>
          <w:p w:rsidR="006F55BC" w:rsidRPr="00AC4860" w:rsidP="002D6715" w14:paraId="58A270F1" w14:textId="77777777">
            <w:pPr>
              <w:contextualSpacing/>
              <w:rPr>
                <w:sz w:val="22"/>
                <w:szCs w:val="22"/>
              </w:rPr>
            </w:pPr>
            <w:r w:rsidRPr="00AC4860">
              <w:rPr>
                <w:sz w:val="22"/>
                <w:szCs w:val="22"/>
              </w:rPr>
              <w:t>1.1415 through 1.1425; Requests for waivers</w:t>
            </w:r>
          </w:p>
        </w:tc>
        <w:tc>
          <w:tcPr>
            <w:tcW w:w="1445" w:type="dxa"/>
          </w:tcPr>
          <w:p w:rsidR="006F55BC" w:rsidRPr="00AC4860" w:rsidP="002D6715" w14:paraId="6AD3B373" w14:textId="77777777">
            <w:pPr>
              <w:contextualSpacing/>
              <w:jc w:val="right"/>
              <w:rPr>
                <w:sz w:val="22"/>
                <w:szCs w:val="22"/>
              </w:rPr>
            </w:pPr>
            <w:r w:rsidRPr="00AC4860">
              <w:rPr>
                <w:sz w:val="22"/>
                <w:szCs w:val="22"/>
              </w:rPr>
              <w:t>15</w:t>
            </w:r>
          </w:p>
        </w:tc>
        <w:tc>
          <w:tcPr>
            <w:tcW w:w="1620" w:type="dxa"/>
          </w:tcPr>
          <w:p w:rsidR="006F55BC" w:rsidRPr="00AC4860" w:rsidP="002D6715" w14:paraId="5698442D" w14:textId="77777777">
            <w:pPr>
              <w:contextualSpacing/>
              <w:jc w:val="right"/>
              <w:rPr>
                <w:sz w:val="22"/>
                <w:szCs w:val="22"/>
              </w:rPr>
            </w:pPr>
            <w:r w:rsidRPr="00AC4860">
              <w:rPr>
                <w:sz w:val="22"/>
                <w:szCs w:val="22"/>
              </w:rPr>
              <w:t>1</w:t>
            </w:r>
          </w:p>
        </w:tc>
        <w:tc>
          <w:tcPr>
            <w:tcW w:w="1350" w:type="dxa"/>
          </w:tcPr>
          <w:p w:rsidR="006F55BC" w:rsidRPr="00AC4860" w:rsidP="002D6715" w14:paraId="2A7C66DD" w14:textId="77777777">
            <w:pPr>
              <w:contextualSpacing/>
              <w:jc w:val="right"/>
              <w:rPr>
                <w:sz w:val="22"/>
                <w:szCs w:val="22"/>
              </w:rPr>
            </w:pPr>
            <w:r w:rsidRPr="00AC4860">
              <w:rPr>
                <w:sz w:val="22"/>
                <w:szCs w:val="22"/>
              </w:rPr>
              <w:t>15</w:t>
            </w:r>
          </w:p>
        </w:tc>
        <w:tc>
          <w:tcPr>
            <w:tcW w:w="1620" w:type="dxa"/>
          </w:tcPr>
          <w:p w:rsidR="006F55BC" w:rsidRPr="00AC4860" w:rsidP="002D6715" w14:paraId="0182F113" w14:textId="77777777">
            <w:pPr>
              <w:contextualSpacing/>
              <w:jc w:val="right"/>
              <w:rPr>
                <w:sz w:val="22"/>
                <w:szCs w:val="22"/>
              </w:rPr>
            </w:pPr>
            <w:r w:rsidRPr="00AC4860">
              <w:rPr>
                <w:sz w:val="22"/>
                <w:szCs w:val="22"/>
              </w:rPr>
              <w:t>10</w:t>
            </w:r>
          </w:p>
        </w:tc>
        <w:tc>
          <w:tcPr>
            <w:tcW w:w="1080" w:type="dxa"/>
          </w:tcPr>
          <w:p w:rsidR="006F55BC" w:rsidRPr="00AC4860" w:rsidP="002D6715" w14:paraId="17670FA4" w14:textId="77777777">
            <w:pPr>
              <w:contextualSpacing/>
              <w:jc w:val="right"/>
              <w:rPr>
                <w:sz w:val="22"/>
                <w:szCs w:val="22"/>
              </w:rPr>
            </w:pPr>
            <w:r w:rsidRPr="00AC4860">
              <w:rPr>
                <w:sz w:val="22"/>
                <w:szCs w:val="22"/>
              </w:rPr>
              <w:t>150</w:t>
            </w:r>
          </w:p>
        </w:tc>
      </w:tr>
      <w:tr w14:paraId="46FC3A06" w14:textId="77777777" w:rsidTr="00AC4860">
        <w:tblPrEx>
          <w:tblW w:w="9725" w:type="dxa"/>
          <w:tblInd w:w="-10" w:type="dxa"/>
          <w:tblLayout w:type="fixed"/>
          <w:tblCellMar>
            <w:left w:w="120" w:type="dxa"/>
            <w:right w:w="120" w:type="dxa"/>
          </w:tblCellMar>
          <w:tblLook w:val="04A0"/>
        </w:tblPrEx>
        <w:trPr>
          <w:trHeight w:val="286"/>
        </w:trPr>
        <w:tc>
          <w:tcPr>
            <w:tcW w:w="2610" w:type="dxa"/>
          </w:tcPr>
          <w:p w:rsidR="006F55BC" w:rsidRPr="00AC4860" w:rsidP="002D6715" w14:paraId="28215CC0" w14:textId="77777777">
            <w:pPr>
              <w:contextualSpacing/>
              <w:rPr>
                <w:sz w:val="22"/>
                <w:szCs w:val="22"/>
              </w:rPr>
            </w:pPr>
            <w:r w:rsidRPr="00AC4860">
              <w:rPr>
                <w:sz w:val="22"/>
                <w:szCs w:val="22"/>
              </w:rPr>
              <w:t xml:space="preserve">1.1465(a); Comments on proposed revisions to the Food Traceability List </w:t>
            </w:r>
          </w:p>
        </w:tc>
        <w:tc>
          <w:tcPr>
            <w:tcW w:w="1445" w:type="dxa"/>
          </w:tcPr>
          <w:p w:rsidR="006F55BC" w:rsidRPr="00AC4860" w:rsidP="002D6715" w14:paraId="22F00453" w14:textId="77777777">
            <w:pPr>
              <w:contextualSpacing/>
              <w:jc w:val="right"/>
              <w:rPr>
                <w:sz w:val="22"/>
                <w:szCs w:val="22"/>
              </w:rPr>
            </w:pPr>
            <w:r w:rsidRPr="00AC4860">
              <w:rPr>
                <w:sz w:val="22"/>
                <w:szCs w:val="22"/>
              </w:rPr>
              <w:t>1</w:t>
            </w:r>
          </w:p>
        </w:tc>
        <w:tc>
          <w:tcPr>
            <w:tcW w:w="1620" w:type="dxa"/>
          </w:tcPr>
          <w:p w:rsidR="006F55BC" w:rsidRPr="00AC4860" w:rsidP="002D6715" w14:paraId="6CE29E12" w14:textId="77777777">
            <w:pPr>
              <w:contextualSpacing/>
              <w:jc w:val="right"/>
              <w:rPr>
                <w:sz w:val="22"/>
                <w:szCs w:val="22"/>
              </w:rPr>
            </w:pPr>
            <w:r w:rsidRPr="00AC4860">
              <w:rPr>
                <w:sz w:val="22"/>
                <w:szCs w:val="22"/>
              </w:rPr>
              <w:t>1</w:t>
            </w:r>
          </w:p>
        </w:tc>
        <w:tc>
          <w:tcPr>
            <w:tcW w:w="1350" w:type="dxa"/>
          </w:tcPr>
          <w:p w:rsidR="006F55BC" w:rsidRPr="00AC4860" w:rsidP="002D6715" w14:paraId="4CD7020A" w14:textId="77777777">
            <w:pPr>
              <w:contextualSpacing/>
              <w:jc w:val="right"/>
              <w:rPr>
                <w:sz w:val="22"/>
                <w:szCs w:val="22"/>
              </w:rPr>
            </w:pPr>
            <w:r w:rsidRPr="00AC4860">
              <w:rPr>
                <w:sz w:val="22"/>
                <w:szCs w:val="22"/>
              </w:rPr>
              <w:t>1</w:t>
            </w:r>
          </w:p>
        </w:tc>
        <w:tc>
          <w:tcPr>
            <w:tcW w:w="1620" w:type="dxa"/>
          </w:tcPr>
          <w:p w:rsidR="006F55BC" w:rsidRPr="00AC4860" w:rsidP="002D6715" w14:paraId="6F7609E1" w14:textId="77777777">
            <w:pPr>
              <w:contextualSpacing/>
              <w:jc w:val="right"/>
              <w:rPr>
                <w:sz w:val="22"/>
                <w:szCs w:val="22"/>
              </w:rPr>
            </w:pPr>
            <w:r w:rsidRPr="00AC4860">
              <w:rPr>
                <w:sz w:val="22"/>
                <w:szCs w:val="22"/>
              </w:rPr>
              <w:t>1</w:t>
            </w:r>
          </w:p>
        </w:tc>
        <w:tc>
          <w:tcPr>
            <w:tcW w:w="1080" w:type="dxa"/>
          </w:tcPr>
          <w:p w:rsidR="006F55BC" w:rsidRPr="00AC4860" w:rsidP="002D6715" w14:paraId="1E65EB2F" w14:textId="77777777">
            <w:pPr>
              <w:contextualSpacing/>
              <w:jc w:val="right"/>
              <w:rPr>
                <w:sz w:val="22"/>
                <w:szCs w:val="22"/>
              </w:rPr>
            </w:pPr>
            <w:r w:rsidRPr="00AC4860">
              <w:rPr>
                <w:sz w:val="22"/>
                <w:szCs w:val="22"/>
              </w:rPr>
              <w:t>1</w:t>
            </w:r>
          </w:p>
        </w:tc>
      </w:tr>
      <w:tr w14:paraId="4081CBC0" w14:textId="77777777" w:rsidTr="00AC4860">
        <w:tblPrEx>
          <w:tblW w:w="9725" w:type="dxa"/>
          <w:tblInd w:w="-10" w:type="dxa"/>
          <w:tblLayout w:type="fixed"/>
          <w:tblCellMar>
            <w:left w:w="120" w:type="dxa"/>
            <w:right w:w="120" w:type="dxa"/>
          </w:tblCellMar>
          <w:tblLook w:val="04A0"/>
        </w:tblPrEx>
        <w:trPr>
          <w:trHeight w:val="286"/>
        </w:trPr>
        <w:tc>
          <w:tcPr>
            <w:tcW w:w="2610" w:type="dxa"/>
          </w:tcPr>
          <w:p w:rsidR="006F55BC" w:rsidRPr="00AC4860" w:rsidP="002D6715" w14:paraId="554ACAC0" w14:textId="77777777">
            <w:pPr>
              <w:contextualSpacing/>
              <w:rPr>
                <w:sz w:val="22"/>
                <w:szCs w:val="22"/>
              </w:rPr>
            </w:pPr>
            <w:r w:rsidRPr="00AC4860">
              <w:rPr>
                <w:sz w:val="22"/>
                <w:szCs w:val="22"/>
              </w:rPr>
              <w:t>Total</w:t>
            </w:r>
          </w:p>
        </w:tc>
        <w:tc>
          <w:tcPr>
            <w:tcW w:w="1445" w:type="dxa"/>
          </w:tcPr>
          <w:p w:rsidR="006F55BC" w:rsidRPr="00AC4860" w:rsidP="002D6715" w14:paraId="31510809" w14:textId="4665AE2C">
            <w:pPr>
              <w:contextualSpacing/>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21</w:t>
            </w:r>
            <w:r>
              <w:rPr>
                <w:sz w:val="22"/>
                <w:szCs w:val="22"/>
              </w:rPr>
              <w:fldChar w:fldCharType="end"/>
            </w:r>
          </w:p>
        </w:tc>
        <w:tc>
          <w:tcPr>
            <w:tcW w:w="1620" w:type="dxa"/>
          </w:tcPr>
          <w:p w:rsidR="006F55BC" w:rsidRPr="00AC4860" w:rsidP="002D6715" w14:paraId="0CAE0469" w14:textId="77777777">
            <w:pPr>
              <w:contextualSpacing/>
              <w:jc w:val="right"/>
              <w:rPr>
                <w:sz w:val="22"/>
                <w:szCs w:val="22"/>
              </w:rPr>
            </w:pPr>
          </w:p>
        </w:tc>
        <w:tc>
          <w:tcPr>
            <w:tcW w:w="1350" w:type="dxa"/>
          </w:tcPr>
          <w:p w:rsidR="006F55BC" w:rsidRPr="00AC4860" w:rsidP="002D6715" w14:paraId="0AEBDA08" w14:textId="77777777">
            <w:pPr>
              <w:contextualSpacing/>
              <w:jc w:val="right"/>
              <w:rPr>
                <w:sz w:val="22"/>
                <w:szCs w:val="22"/>
              </w:rPr>
            </w:pPr>
            <w:r w:rsidRPr="00AC4860">
              <w:rPr>
                <w:sz w:val="22"/>
                <w:szCs w:val="22"/>
              </w:rPr>
              <w:t>22</w:t>
            </w:r>
          </w:p>
        </w:tc>
        <w:tc>
          <w:tcPr>
            <w:tcW w:w="1620" w:type="dxa"/>
          </w:tcPr>
          <w:p w:rsidR="006F55BC" w:rsidRPr="00AC4860" w:rsidP="002D6715" w14:paraId="15182CFD" w14:textId="77777777">
            <w:pPr>
              <w:contextualSpacing/>
              <w:jc w:val="right"/>
              <w:rPr>
                <w:sz w:val="22"/>
                <w:szCs w:val="22"/>
              </w:rPr>
            </w:pPr>
          </w:p>
        </w:tc>
        <w:tc>
          <w:tcPr>
            <w:tcW w:w="1080" w:type="dxa"/>
          </w:tcPr>
          <w:p w:rsidR="006F55BC" w:rsidRPr="00AC4860" w:rsidP="002D6715" w14:paraId="5B82B5B5" w14:textId="77777777">
            <w:pPr>
              <w:contextualSpacing/>
              <w:jc w:val="right"/>
              <w:rPr>
                <w:sz w:val="22"/>
                <w:szCs w:val="22"/>
              </w:rPr>
            </w:pPr>
            <w:r w:rsidRPr="00AC4860">
              <w:rPr>
                <w:rFonts w:eastAsia="Calibri"/>
                <w:sz w:val="22"/>
                <w:szCs w:val="22"/>
              </w:rPr>
              <w:t>201</w:t>
            </w:r>
          </w:p>
        </w:tc>
      </w:tr>
    </w:tbl>
    <w:p w:rsidR="00934449" w:rsidRPr="00934449" w:rsidP="00934449" w14:paraId="2D18A1A7" w14:textId="77777777">
      <w:pPr>
        <w:widowControl w:val="0"/>
        <w:rPr>
          <w:rFonts w:eastAsia="Calibri"/>
          <w:bCs/>
        </w:rPr>
      </w:pPr>
    </w:p>
    <w:p w:rsidR="00B8387F" w:rsidRPr="00934449" w:rsidP="00934449" w14:paraId="2A0CA57E" w14:textId="6860F3B8">
      <w:pPr>
        <w:ind w:firstLine="720"/>
        <w:contextualSpacing/>
        <w:rPr>
          <w:rFonts w:eastAsia="Calibri"/>
          <w:bCs/>
        </w:rPr>
      </w:pPr>
      <w:r>
        <w:rPr>
          <w:rFonts w:eastAsia="Calibri"/>
        </w:rPr>
        <w:t>W</w:t>
      </w:r>
      <w:r w:rsidRPr="001E6510">
        <w:rPr>
          <w:rFonts w:eastAsia="Calibri"/>
        </w:rPr>
        <w:t>e</w:t>
      </w:r>
      <w:r>
        <w:rPr>
          <w:rFonts w:eastAsia="Calibri"/>
        </w:rPr>
        <w:t xml:space="preserve"> have made no changes to the estimated annual reporting burden associated with the final rule.</w:t>
      </w:r>
      <w:r w:rsidRPr="001E6510">
        <w:rPr>
          <w:rFonts w:eastAsia="Calibri"/>
        </w:rPr>
        <w:t xml:space="preserve"> </w:t>
      </w:r>
    </w:p>
    <w:p w:rsidR="00832F07" w14:paraId="72E7F5C3" w14:textId="77777777">
      <w:r>
        <w:br w:type="page"/>
      </w:r>
    </w:p>
    <w:p w:rsidR="0090768E" w:rsidRPr="00271716" w:rsidP="007E174B" w14:paraId="7BEDB3C0" w14:textId="60A34702">
      <w:pPr>
        <w:widowControl w:val="0"/>
        <w:contextualSpacing/>
        <w:jc w:val="center"/>
      </w:pPr>
      <w:r w:rsidRPr="00271716">
        <w:t xml:space="preserve">Table 3 – </w:t>
      </w:r>
      <w:r w:rsidRPr="00271716">
        <w:t xml:space="preserve">Estimated Annual Recordkeeping </w:t>
      </w:r>
      <w:r w:rsidRPr="00271716">
        <w:rPr>
          <w:rFonts w:eastAsia="Calibri"/>
        </w:rPr>
        <w:t>Burden</w:t>
      </w:r>
      <w:r w:rsidRPr="00271716">
        <w:rPr>
          <w:rFonts w:eastAsia="Calibri"/>
          <w:vertAlign w:val="superscript"/>
        </w:rPr>
        <w:t>1</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1440"/>
        <w:gridCol w:w="1440"/>
        <w:gridCol w:w="1440"/>
        <w:gridCol w:w="1620"/>
        <w:gridCol w:w="1440"/>
      </w:tblGrid>
      <w:tr w14:paraId="002E0399" w14:textId="77777777" w:rsidTr="00906E7C">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0"/>
        </w:trPr>
        <w:tc>
          <w:tcPr>
            <w:tcW w:w="2430" w:type="dxa"/>
            <w:hideMark/>
          </w:tcPr>
          <w:p w:rsidR="0090768E" w:rsidRPr="00FE33E1" w:rsidP="002D6715" w14:paraId="6915BABE" w14:textId="77777777">
            <w:pPr>
              <w:contextualSpacing/>
              <w:rPr>
                <w:sz w:val="20"/>
              </w:rPr>
            </w:pPr>
            <w:r w:rsidRPr="00FE33E1">
              <w:rPr>
                <w:sz w:val="20"/>
              </w:rPr>
              <w:t>21 CFR Recordkeeping</w:t>
            </w:r>
          </w:p>
        </w:tc>
        <w:tc>
          <w:tcPr>
            <w:tcW w:w="1440" w:type="dxa"/>
            <w:hideMark/>
          </w:tcPr>
          <w:p w:rsidR="0090768E" w:rsidRPr="00FE33E1" w:rsidP="002D6715" w14:paraId="01A9FDBE" w14:textId="77777777">
            <w:pPr>
              <w:contextualSpacing/>
              <w:jc w:val="center"/>
              <w:rPr>
                <w:sz w:val="20"/>
              </w:rPr>
            </w:pPr>
            <w:r w:rsidRPr="00927D49">
              <w:rPr>
                <w:sz w:val="20"/>
                <w:szCs w:val="20"/>
              </w:rPr>
              <w:t>N</w:t>
            </w:r>
            <w:r>
              <w:rPr>
                <w:sz w:val="20"/>
                <w:szCs w:val="20"/>
              </w:rPr>
              <w:t>o.</w:t>
            </w:r>
            <w:r w:rsidRPr="00FE33E1">
              <w:rPr>
                <w:sz w:val="20"/>
              </w:rPr>
              <w:t xml:space="preserve"> of </w:t>
            </w:r>
            <w:r>
              <w:rPr>
                <w:sz w:val="20"/>
                <w:szCs w:val="20"/>
              </w:rPr>
              <w:t>R</w:t>
            </w:r>
            <w:r w:rsidRPr="00927D49">
              <w:rPr>
                <w:sz w:val="20"/>
                <w:szCs w:val="20"/>
              </w:rPr>
              <w:t>ecordkeepers</w:t>
            </w:r>
          </w:p>
        </w:tc>
        <w:tc>
          <w:tcPr>
            <w:tcW w:w="1440" w:type="dxa"/>
            <w:hideMark/>
          </w:tcPr>
          <w:p w:rsidR="0090768E" w:rsidRPr="00FE33E1" w:rsidP="002D6715" w14:paraId="71781905" w14:textId="77777777">
            <w:pPr>
              <w:contextualSpacing/>
              <w:jc w:val="center"/>
              <w:rPr>
                <w:sz w:val="20"/>
              </w:rPr>
            </w:pPr>
            <w:r w:rsidRPr="00927D49">
              <w:rPr>
                <w:sz w:val="20"/>
                <w:szCs w:val="20"/>
              </w:rPr>
              <w:t>N</w:t>
            </w:r>
            <w:r>
              <w:rPr>
                <w:sz w:val="20"/>
                <w:szCs w:val="20"/>
              </w:rPr>
              <w:t>o.</w:t>
            </w:r>
            <w:r w:rsidRPr="00FE33E1">
              <w:rPr>
                <w:sz w:val="20"/>
              </w:rPr>
              <w:t xml:space="preserve"> of </w:t>
            </w:r>
            <w:r>
              <w:rPr>
                <w:sz w:val="20"/>
                <w:szCs w:val="20"/>
              </w:rPr>
              <w:t>R</w:t>
            </w:r>
            <w:r w:rsidRPr="00927D49">
              <w:rPr>
                <w:sz w:val="20"/>
                <w:szCs w:val="20"/>
              </w:rPr>
              <w:t>ecords</w:t>
            </w:r>
            <w:r w:rsidRPr="00FE33E1">
              <w:rPr>
                <w:sz w:val="20"/>
              </w:rPr>
              <w:t xml:space="preserve"> per </w:t>
            </w:r>
            <w:r>
              <w:rPr>
                <w:sz w:val="20"/>
                <w:szCs w:val="20"/>
              </w:rPr>
              <w:t>R</w:t>
            </w:r>
            <w:r w:rsidRPr="00927D49">
              <w:rPr>
                <w:sz w:val="20"/>
                <w:szCs w:val="20"/>
              </w:rPr>
              <w:t>ecordkeeper</w:t>
            </w:r>
          </w:p>
        </w:tc>
        <w:tc>
          <w:tcPr>
            <w:tcW w:w="1440" w:type="dxa"/>
            <w:hideMark/>
          </w:tcPr>
          <w:p w:rsidR="0090768E" w:rsidRPr="00FE33E1" w:rsidP="002D6715" w14:paraId="2764BB19" w14:textId="77777777">
            <w:pPr>
              <w:contextualSpacing/>
              <w:jc w:val="center"/>
              <w:rPr>
                <w:sz w:val="20"/>
              </w:rPr>
            </w:pPr>
            <w:r w:rsidRPr="00FE33E1">
              <w:rPr>
                <w:sz w:val="20"/>
              </w:rPr>
              <w:t xml:space="preserve">Total </w:t>
            </w:r>
            <w:r>
              <w:rPr>
                <w:sz w:val="20"/>
                <w:szCs w:val="20"/>
              </w:rPr>
              <w:t>A</w:t>
            </w:r>
            <w:r w:rsidRPr="00927D49">
              <w:rPr>
                <w:sz w:val="20"/>
                <w:szCs w:val="20"/>
              </w:rPr>
              <w:t xml:space="preserve">nnual </w:t>
            </w:r>
            <w:r>
              <w:rPr>
                <w:sz w:val="20"/>
                <w:szCs w:val="20"/>
              </w:rPr>
              <w:t>R</w:t>
            </w:r>
            <w:r w:rsidRPr="00927D49">
              <w:rPr>
                <w:sz w:val="20"/>
                <w:szCs w:val="20"/>
              </w:rPr>
              <w:t>ecords</w:t>
            </w:r>
          </w:p>
        </w:tc>
        <w:tc>
          <w:tcPr>
            <w:tcW w:w="1620" w:type="dxa"/>
            <w:hideMark/>
          </w:tcPr>
          <w:p w:rsidR="0090768E" w:rsidRPr="00FE33E1" w:rsidP="002D6715" w14:paraId="5E6A6AD9" w14:textId="77777777">
            <w:pPr>
              <w:contextualSpacing/>
              <w:jc w:val="center"/>
              <w:rPr>
                <w:sz w:val="20"/>
              </w:rPr>
            </w:pPr>
            <w:r w:rsidRPr="00FE33E1">
              <w:rPr>
                <w:sz w:val="20"/>
              </w:rPr>
              <w:t xml:space="preserve">Average </w:t>
            </w:r>
            <w:r>
              <w:rPr>
                <w:sz w:val="20"/>
                <w:szCs w:val="20"/>
              </w:rPr>
              <w:t>B</w:t>
            </w:r>
            <w:r w:rsidRPr="00927D49">
              <w:rPr>
                <w:sz w:val="20"/>
                <w:szCs w:val="20"/>
              </w:rPr>
              <w:t>urden</w:t>
            </w:r>
            <w:r w:rsidRPr="00FE33E1">
              <w:rPr>
                <w:sz w:val="20"/>
              </w:rPr>
              <w:t xml:space="preserve"> per </w:t>
            </w:r>
            <w:r>
              <w:rPr>
                <w:sz w:val="20"/>
                <w:szCs w:val="20"/>
              </w:rPr>
              <w:t>R</w:t>
            </w:r>
            <w:r w:rsidRPr="00927D49">
              <w:rPr>
                <w:sz w:val="20"/>
                <w:szCs w:val="20"/>
              </w:rPr>
              <w:t xml:space="preserve">ecordkeeping </w:t>
            </w:r>
          </w:p>
        </w:tc>
        <w:tc>
          <w:tcPr>
            <w:tcW w:w="1440" w:type="dxa"/>
            <w:hideMark/>
          </w:tcPr>
          <w:p w:rsidR="0090768E" w:rsidRPr="00FE33E1" w:rsidP="002D6715" w14:paraId="3391EC96" w14:textId="77777777">
            <w:pPr>
              <w:ind w:right="289"/>
              <w:contextualSpacing/>
              <w:jc w:val="center"/>
              <w:rPr>
                <w:sz w:val="20"/>
              </w:rPr>
            </w:pPr>
            <w:r w:rsidRPr="00FE33E1">
              <w:rPr>
                <w:sz w:val="20"/>
              </w:rPr>
              <w:t xml:space="preserve">Total </w:t>
            </w:r>
            <w:r>
              <w:rPr>
                <w:sz w:val="20"/>
                <w:szCs w:val="20"/>
              </w:rPr>
              <w:t>H</w:t>
            </w:r>
            <w:r w:rsidRPr="00927D49">
              <w:rPr>
                <w:sz w:val="20"/>
                <w:szCs w:val="20"/>
              </w:rPr>
              <w:t>ours</w:t>
            </w:r>
          </w:p>
        </w:tc>
      </w:tr>
      <w:tr w14:paraId="1A6AA698" w14:textId="77777777" w:rsidTr="00906E7C">
        <w:tblPrEx>
          <w:tblW w:w="9810" w:type="dxa"/>
          <w:tblInd w:w="-5" w:type="dxa"/>
          <w:tblLayout w:type="fixed"/>
          <w:tblLook w:val="04A0"/>
        </w:tblPrEx>
        <w:trPr>
          <w:trHeight w:val="390"/>
        </w:trPr>
        <w:tc>
          <w:tcPr>
            <w:tcW w:w="2430" w:type="dxa"/>
            <w:hideMark/>
          </w:tcPr>
          <w:p w:rsidR="0090768E" w:rsidRPr="00FE33E1" w:rsidP="002D6715" w14:paraId="004CB48A" w14:textId="77777777">
            <w:pPr>
              <w:contextualSpacing/>
              <w:rPr>
                <w:sz w:val="20"/>
              </w:rPr>
            </w:pPr>
            <w:r w:rsidRPr="00FE33E1">
              <w:rPr>
                <w:sz w:val="20"/>
              </w:rPr>
              <w:t>Training personnel (recurring)</w:t>
            </w:r>
          </w:p>
        </w:tc>
        <w:tc>
          <w:tcPr>
            <w:tcW w:w="1440" w:type="dxa"/>
            <w:noWrap/>
            <w:hideMark/>
          </w:tcPr>
          <w:p w:rsidR="0090768E" w:rsidRPr="00FE33E1" w:rsidP="002D6715" w14:paraId="19B6CF34" w14:textId="77777777">
            <w:pPr>
              <w:contextualSpacing/>
              <w:jc w:val="right"/>
              <w:rPr>
                <w:sz w:val="20"/>
              </w:rPr>
            </w:pPr>
            <w:r w:rsidRPr="00FE33E1">
              <w:rPr>
                <w:sz w:val="20"/>
              </w:rPr>
              <w:t xml:space="preserve">26,053 </w:t>
            </w:r>
          </w:p>
        </w:tc>
        <w:tc>
          <w:tcPr>
            <w:tcW w:w="1440" w:type="dxa"/>
            <w:noWrap/>
            <w:hideMark/>
          </w:tcPr>
          <w:p w:rsidR="0090768E" w:rsidRPr="00FE33E1" w:rsidP="002D6715" w14:paraId="1537C12B" w14:textId="77777777">
            <w:pPr>
              <w:contextualSpacing/>
              <w:jc w:val="right"/>
              <w:rPr>
                <w:sz w:val="20"/>
              </w:rPr>
            </w:pPr>
            <w:r w:rsidRPr="00FE33E1">
              <w:rPr>
                <w:sz w:val="20"/>
              </w:rPr>
              <w:t xml:space="preserve">10.5 </w:t>
            </w:r>
          </w:p>
        </w:tc>
        <w:tc>
          <w:tcPr>
            <w:tcW w:w="1440" w:type="dxa"/>
            <w:noWrap/>
            <w:hideMark/>
          </w:tcPr>
          <w:p w:rsidR="0090768E" w:rsidRPr="00FE33E1" w:rsidP="002D6715" w14:paraId="16FA40CF" w14:textId="77777777">
            <w:pPr>
              <w:contextualSpacing/>
              <w:jc w:val="right"/>
              <w:rPr>
                <w:sz w:val="20"/>
              </w:rPr>
            </w:pPr>
            <w:r w:rsidRPr="00927D49">
              <w:rPr>
                <w:sz w:val="20"/>
                <w:szCs w:val="20"/>
              </w:rPr>
              <w:t>27</w:t>
            </w:r>
            <w:r>
              <w:rPr>
                <w:sz w:val="20"/>
                <w:szCs w:val="20"/>
              </w:rPr>
              <w:t>3</w:t>
            </w:r>
            <w:r w:rsidRPr="00927D49">
              <w:rPr>
                <w:sz w:val="20"/>
                <w:szCs w:val="20"/>
              </w:rPr>
              <w:t>,</w:t>
            </w:r>
            <w:r>
              <w:rPr>
                <w:sz w:val="20"/>
                <w:szCs w:val="20"/>
              </w:rPr>
              <w:t>557</w:t>
            </w:r>
          </w:p>
        </w:tc>
        <w:tc>
          <w:tcPr>
            <w:tcW w:w="1620" w:type="dxa"/>
            <w:noWrap/>
            <w:hideMark/>
          </w:tcPr>
          <w:p w:rsidR="0090768E" w:rsidRPr="00FE33E1" w:rsidP="002D6715" w14:paraId="1994F4FD" w14:textId="77777777">
            <w:pPr>
              <w:contextualSpacing/>
              <w:jc w:val="right"/>
              <w:rPr>
                <w:sz w:val="20"/>
              </w:rPr>
            </w:pPr>
            <w:r w:rsidRPr="00927D49">
              <w:rPr>
                <w:sz w:val="20"/>
                <w:szCs w:val="20"/>
              </w:rPr>
              <w:t xml:space="preserve">2.7 </w:t>
            </w:r>
          </w:p>
        </w:tc>
        <w:tc>
          <w:tcPr>
            <w:tcW w:w="1440" w:type="dxa"/>
            <w:noWrap/>
            <w:hideMark/>
          </w:tcPr>
          <w:p w:rsidR="0090768E" w:rsidRPr="00FE33E1" w:rsidP="002D6715" w14:paraId="028744E5" w14:textId="77777777">
            <w:pPr>
              <w:contextualSpacing/>
              <w:jc w:val="right"/>
              <w:rPr>
                <w:sz w:val="20"/>
              </w:rPr>
            </w:pPr>
            <w:r w:rsidRPr="004D3831">
              <w:t xml:space="preserve">              </w:t>
            </w:r>
            <w:r w:rsidRPr="00927D49">
              <w:rPr>
                <w:sz w:val="20"/>
                <w:szCs w:val="20"/>
              </w:rPr>
              <w:t>73</w:t>
            </w:r>
            <w:r>
              <w:rPr>
                <w:sz w:val="20"/>
                <w:szCs w:val="20"/>
              </w:rPr>
              <w:t>8,604</w:t>
            </w:r>
          </w:p>
        </w:tc>
      </w:tr>
      <w:tr w14:paraId="049624B7"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0885D100" w14:textId="77777777">
            <w:pPr>
              <w:contextualSpacing/>
              <w:rPr>
                <w:sz w:val="20"/>
              </w:rPr>
            </w:pPr>
            <w:r w:rsidRPr="00FE33E1">
              <w:rPr>
                <w:sz w:val="20"/>
              </w:rPr>
              <w:t>Seed lot records (sprout growers)</w:t>
            </w:r>
          </w:p>
        </w:tc>
        <w:tc>
          <w:tcPr>
            <w:tcW w:w="1440" w:type="dxa"/>
            <w:noWrap/>
            <w:hideMark/>
          </w:tcPr>
          <w:p w:rsidR="0090768E" w:rsidRPr="00FE33E1" w:rsidP="002D6715" w14:paraId="10AF9705" w14:textId="77777777">
            <w:pPr>
              <w:contextualSpacing/>
              <w:jc w:val="right"/>
              <w:rPr>
                <w:sz w:val="20"/>
              </w:rPr>
            </w:pPr>
            <w:r w:rsidRPr="00FE33E1">
              <w:rPr>
                <w:sz w:val="20"/>
              </w:rPr>
              <w:t xml:space="preserve">95 </w:t>
            </w:r>
          </w:p>
        </w:tc>
        <w:tc>
          <w:tcPr>
            <w:tcW w:w="1440" w:type="dxa"/>
            <w:noWrap/>
            <w:hideMark/>
          </w:tcPr>
          <w:p w:rsidR="0090768E" w:rsidRPr="00FE33E1" w:rsidP="002D6715" w14:paraId="3B415252" w14:textId="77777777">
            <w:pPr>
              <w:contextualSpacing/>
              <w:jc w:val="right"/>
              <w:rPr>
                <w:sz w:val="20"/>
              </w:rPr>
            </w:pPr>
            <w:r w:rsidRPr="00FE33E1">
              <w:rPr>
                <w:sz w:val="20"/>
              </w:rPr>
              <w:t xml:space="preserve">882 </w:t>
            </w:r>
          </w:p>
        </w:tc>
        <w:tc>
          <w:tcPr>
            <w:tcW w:w="1440" w:type="dxa"/>
            <w:noWrap/>
            <w:hideMark/>
          </w:tcPr>
          <w:p w:rsidR="0090768E" w:rsidRPr="00FE33E1" w:rsidP="002D6715" w14:paraId="53FFE5F7" w14:textId="77777777">
            <w:pPr>
              <w:contextualSpacing/>
              <w:jc w:val="right"/>
              <w:rPr>
                <w:sz w:val="20"/>
              </w:rPr>
            </w:pPr>
            <w:r w:rsidRPr="00FE33E1">
              <w:rPr>
                <w:sz w:val="20"/>
              </w:rPr>
              <w:t>83,</w:t>
            </w:r>
            <w:r w:rsidRPr="00927D49">
              <w:rPr>
                <w:sz w:val="20"/>
                <w:szCs w:val="20"/>
              </w:rPr>
              <w:t>7</w:t>
            </w:r>
            <w:r>
              <w:rPr>
                <w:sz w:val="20"/>
                <w:szCs w:val="20"/>
              </w:rPr>
              <w:t>90</w:t>
            </w:r>
          </w:p>
        </w:tc>
        <w:tc>
          <w:tcPr>
            <w:tcW w:w="1620" w:type="dxa"/>
            <w:noWrap/>
            <w:hideMark/>
          </w:tcPr>
          <w:p w:rsidR="0090768E" w:rsidRPr="00FE33E1" w:rsidP="002D6715" w14:paraId="1B262068" w14:textId="77777777">
            <w:pPr>
              <w:contextualSpacing/>
              <w:jc w:val="right"/>
              <w:rPr>
                <w:sz w:val="20"/>
              </w:rPr>
            </w:pPr>
            <w:r w:rsidRPr="00FE33E1">
              <w:rPr>
                <w:sz w:val="20"/>
              </w:rPr>
              <w:t xml:space="preserve">0.04 </w:t>
            </w:r>
          </w:p>
          <w:p w:rsidR="0090768E" w:rsidRPr="00FE33E1" w:rsidP="002D6715" w14:paraId="20B5E9EF" w14:textId="77777777">
            <w:pPr>
              <w:contextualSpacing/>
              <w:jc w:val="right"/>
              <w:rPr>
                <w:sz w:val="20"/>
              </w:rPr>
            </w:pPr>
            <w:r w:rsidRPr="00FE33E1">
              <w:rPr>
                <w:sz w:val="20"/>
              </w:rPr>
              <w:t>(2.4 minutes)</w:t>
            </w:r>
          </w:p>
        </w:tc>
        <w:tc>
          <w:tcPr>
            <w:tcW w:w="1440" w:type="dxa"/>
            <w:noWrap/>
            <w:hideMark/>
          </w:tcPr>
          <w:p w:rsidR="0090768E" w:rsidRPr="00FE33E1" w:rsidP="002D6715" w14:paraId="7DDC397B" w14:textId="77777777">
            <w:pPr>
              <w:contextualSpacing/>
              <w:jc w:val="right"/>
              <w:rPr>
                <w:sz w:val="20"/>
              </w:rPr>
            </w:pPr>
            <w:r w:rsidRPr="004D3831">
              <w:t xml:space="preserve">                   </w:t>
            </w:r>
            <w:r w:rsidRPr="00927D49">
              <w:rPr>
                <w:sz w:val="20"/>
                <w:szCs w:val="20"/>
              </w:rPr>
              <w:t>3,3</w:t>
            </w:r>
            <w:r>
              <w:rPr>
                <w:sz w:val="20"/>
                <w:szCs w:val="20"/>
              </w:rPr>
              <w:t>52</w:t>
            </w:r>
          </w:p>
        </w:tc>
      </w:tr>
      <w:tr w14:paraId="17C717E3"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0F0B2BDE" w14:textId="77777777">
            <w:pPr>
              <w:contextualSpacing/>
              <w:rPr>
                <w:sz w:val="20"/>
              </w:rPr>
            </w:pPr>
            <w:r w:rsidRPr="00FE33E1">
              <w:rPr>
                <w:sz w:val="20"/>
              </w:rPr>
              <w:t>§ 1.1325; harvester</w:t>
            </w:r>
          </w:p>
        </w:tc>
        <w:tc>
          <w:tcPr>
            <w:tcW w:w="1440" w:type="dxa"/>
            <w:noWrap/>
            <w:hideMark/>
          </w:tcPr>
          <w:p w:rsidR="0090768E" w:rsidRPr="00FE33E1" w:rsidP="002D6715" w14:paraId="3A9E9DA5" w14:textId="77777777">
            <w:pPr>
              <w:contextualSpacing/>
              <w:jc w:val="right"/>
              <w:rPr>
                <w:sz w:val="20"/>
              </w:rPr>
            </w:pPr>
            <w:r w:rsidRPr="00FE33E1">
              <w:rPr>
                <w:sz w:val="20"/>
              </w:rPr>
              <w:t xml:space="preserve">6,058 </w:t>
            </w:r>
          </w:p>
        </w:tc>
        <w:tc>
          <w:tcPr>
            <w:tcW w:w="1440" w:type="dxa"/>
            <w:noWrap/>
            <w:hideMark/>
          </w:tcPr>
          <w:p w:rsidR="0090768E" w:rsidRPr="00FE33E1" w:rsidP="002D6715" w14:paraId="72128D0B" w14:textId="77777777">
            <w:pPr>
              <w:contextualSpacing/>
              <w:jc w:val="right"/>
              <w:rPr>
                <w:sz w:val="20"/>
              </w:rPr>
            </w:pPr>
            <w:r w:rsidRPr="00FE33E1">
              <w:rPr>
                <w:sz w:val="20"/>
              </w:rPr>
              <w:t xml:space="preserve">578 </w:t>
            </w:r>
          </w:p>
        </w:tc>
        <w:tc>
          <w:tcPr>
            <w:tcW w:w="1440" w:type="dxa"/>
            <w:noWrap/>
            <w:hideMark/>
          </w:tcPr>
          <w:p w:rsidR="0090768E" w:rsidRPr="00FE33E1" w:rsidP="002D6715" w14:paraId="4CB9D17C" w14:textId="77777777">
            <w:pPr>
              <w:contextualSpacing/>
              <w:jc w:val="right"/>
              <w:rPr>
                <w:sz w:val="20"/>
              </w:rPr>
            </w:pPr>
            <w:r w:rsidRPr="00FE33E1">
              <w:rPr>
                <w:sz w:val="20"/>
              </w:rPr>
              <w:t>3,501,</w:t>
            </w:r>
            <w:r>
              <w:rPr>
                <w:sz w:val="20"/>
                <w:szCs w:val="20"/>
              </w:rPr>
              <w:t>52</w:t>
            </w:r>
            <w:r w:rsidRPr="00927D49">
              <w:rPr>
                <w:sz w:val="20"/>
                <w:szCs w:val="20"/>
              </w:rPr>
              <w:t>4</w:t>
            </w:r>
          </w:p>
        </w:tc>
        <w:tc>
          <w:tcPr>
            <w:tcW w:w="1620" w:type="dxa"/>
            <w:noWrap/>
            <w:hideMark/>
          </w:tcPr>
          <w:p w:rsidR="0090768E" w:rsidRPr="00FE33E1" w:rsidP="002D6715" w14:paraId="0FA670DE" w14:textId="77777777">
            <w:pPr>
              <w:contextualSpacing/>
              <w:jc w:val="right"/>
              <w:rPr>
                <w:sz w:val="20"/>
              </w:rPr>
            </w:pPr>
            <w:r w:rsidRPr="00FE33E1">
              <w:rPr>
                <w:sz w:val="20"/>
              </w:rPr>
              <w:t xml:space="preserve">0.03 </w:t>
            </w:r>
          </w:p>
          <w:p w:rsidR="0090768E" w:rsidRPr="00FE33E1" w:rsidP="002D6715" w14:paraId="7F44C0EC" w14:textId="77777777">
            <w:pPr>
              <w:contextualSpacing/>
              <w:jc w:val="right"/>
              <w:rPr>
                <w:sz w:val="20"/>
              </w:rPr>
            </w:pPr>
            <w:r w:rsidRPr="00FE33E1">
              <w:rPr>
                <w:sz w:val="20"/>
              </w:rPr>
              <w:t>(1.8 minutes)</w:t>
            </w:r>
          </w:p>
        </w:tc>
        <w:tc>
          <w:tcPr>
            <w:tcW w:w="1440" w:type="dxa"/>
            <w:noWrap/>
            <w:hideMark/>
          </w:tcPr>
          <w:p w:rsidR="0090768E" w:rsidRPr="00FE33E1" w:rsidP="002D6715" w14:paraId="0BAA1A7E" w14:textId="77777777">
            <w:pPr>
              <w:contextualSpacing/>
              <w:jc w:val="right"/>
              <w:rPr>
                <w:sz w:val="20"/>
              </w:rPr>
            </w:pPr>
            <w:r w:rsidRPr="004D3831">
              <w:t xml:space="preserve">              </w:t>
            </w:r>
            <w:r w:rsidRPr="00927D49">
              <w:rPr>
                <w:sz w:val="20"/>
                <w:szCs w:val="20"/>
              </w:rPr>
              <w:t>10</w:t>
            </w:r>
            <w:r>
              <w:rPr>
                <w:sz w:val="20"/>
                <w:szCs w:val="20"/>
              </w:rPr>
              <w:t>5,046</w:t>
            </w:r>
          </w:p>
        </w:tc>
      </w:tr>
      <w:tr w14:paraId="3623A92E"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4BEC1736" w14:textId="77777777">
            <w:pPr>
              <w:contextualSpacing/>
              <w:rPr>
                <w:sz w:val="20"/>
              </w:rPr>
            </w:pPr>
            <w:r w:rsidRPr="00FE33E1">
              <w:rPr>
                <w:sz w:val="20"/>
              </w:rPr>
              <w:t>§ 1.1325; cooler</w:t>
            </w:r>
          </w:p>
        </w:tc>
        <w:tc>
          <w:tcPr>
            <w:tcW w:w="1440" w:type="dxa"/>
            <w:noWrap/>
            <w:hideMark/>
          </w:tcPr>
          <w:p w:rsidR="0090768E" w:rsidRPr="00FE33E1" w:rsidP="002D6715" w14:paraId="3B4351DA" w14:textId="77777777">
            <w:pPr>
              <w:contextualSpacing/>
              <w:jc w:val="right"/>
              <w:rPr>
                <w:sz w:val="20"/>
              </w:rPr>
            </w:pPr>
            <w:r w:rsidRPr="00FE33E1">
              <w:rPr>
                <w:sz w:val="20"/>
              </w:rPr>
              <w:t xml:space="preserve">3,511 </w:t>
            </w:r>
          </w:p>
        </w:tc>
        <w:tc>
          <w:tcPr>
            <w:tcW w:w="1440" w:type="dxa"/>
            <w:noWrap/>
            <w:hideMark/>
          </w:tcPr>
          <w:p w:rsidR="0090768E" w:rsidRPr="00FE33E1" w:rsidP="002D6715" w14:paraId="20A7ECDE" w14:textId="77777777">
            <w:pPr>
              <w:contextualSpacing/>
              <w:jc w:val="right"/>
              <w:rPr>
                <w:sz w:val="20"/>
              </w:rPr>
            </w:pPr>
            <w:r w:rsidRPr="00FE33E1">
              <w:rPr>
                <w:sz w:val="20"/>
              </w:rPr>
              <w:t xml:space="preserve">572 </w:t>
            </w:r>
          </w:p>
        </w:tc>
        <w:tc>
          <w:tcPr>
            <w:tcW w:w="1440" w:type="dxa"/>
            <w:noWrap/>
            <w:hideMark/>
          </w:tcPr>
          <w:p w:rsidR="0090768E" w:rsidRPr="00FE33E1" w:rsidP="002D6715" w14:paraId="6536BDDD" w14:textId="77777777">
            <w:pPr>
              <w:contextualSpacing/>
              <w:jc w:val="right"/>
              <w:rPr>
                <w:sz w:val="20"/>
              </w:rPr>
            </w:pPr>
            <w:r w:rsidRPr="00927D49">
              <w:rPr>
                <w:sz w:val="20"/>
                <w:szCs w:val="20"/>
              </w:rPr>
              <w:t>2,00</w:t>
            </w:r>
            <w:r>
              <w:rPr>
                <w:sz w:val="20"/>
                <w:szCs w:val="20"/>
              </w:rPr>
              <w:t>8</w:t>
            </w:r>
            <w:r w:rsidRPr="00927D49">
              <w:rPr>
                <w:sz w:val="20"/>
                <w:szCs w:val="20"/>
              </w:rPr>
              <w:t>,</w:t>
            </w:r>
            <w:r>
              <w:rPr>
                <w:sz w:val="20"/>
                <w:szCs w:val="20"/>
              </w:rPr>
              <w:t>292</w:t>
            </w:r>
          </w:p>
        </w:tc>
        <w:tc>
          <w:tcPr>
            <w:tcW w:w="1620" w:type="dxa"/>
            <w:noWrap/>
            <w:hideMark/>
          </w:tcPr>
          <w:p w:rsidR="0090768E" w:rsidRPr="00FE33E1" w:rsidP="002D6715" w14:paraId="001EB07D" w14:textId="77777777">
            <w:pPr>
              <w:contextualSpacing/>
              <w:jc w:val="right"/>
              <w:rPr>
                <w:sz w:val="20"/>
              </w:rPr>
            </w:pPr>
            <w:r w:rsidRPr="00FE33E1">
              <w:rPr>
                <w:sz w:val="20"/>
              </w:rPr>
              <w:t xml:space="preserve">0.03 </w:t>
            </w:r>
          </w:p>
          <w:p w:rsidR="0090768E" w:rsidRPr="00FE33E1" w:rsidP="002D6715" w14:paraId="34655FC9" w14:textId="77777777">
            <w:pPr>
              <w:contextualSpacing/>
              <w:jc w:val="right"/>
              <w:rPr>
                <w:sz w:val="20"/>
              </w:rPr>
            </w:pPr>
            <w:r w:rsidRPr="00FE33E1">
              <w:rPr>
                <w:sz w:val="20"/>
              </w:rPr>
              <w:t>(1.8 minutes)</w:t>
            </w:r>
          </w:p>
        </w:tc>
        <w:tc>
          <w:tcPr>
            <w:tcW w:w="1440" w:type="dxa"/>
            <w:noWrap/>
            <w:hideMark/>
          </w:tcPr>
          <w:p w:rsidR="0090768E" w:rsidRPr="00FE33E1" w:rsidP="002D6715" w14:paraId="30187A96" w14:textId="77777777">
            <w:pPr>
              <w:contextualSpacing/>
              <w:jc w:val="right"/>
              <w:rPr>
                <w:sz w:val="20"/>
              </w:rPr>
            </w:pPr>
            <w:r w:rsidRPr="004D3831">
              <w:t xml:space="preserve">               </w:t>
            </w:r>
            <w:r w:rsidRPr="00FE33E1">
              <w:rPr>
                <w:sz w:val="20"/>
              </w:rPr>
              <w:t>60,</w:t>
            </w:r>
            <w:r>
              <w:rPr>
                <w:sz w:val="20"/>
                <w:szCs w:val="20"/>
              </w:rPr>
              <w:t>249</w:t>
            </w:r>
          </w:p>
        </w:tc>
      </w:tr>
      <w:tr w14:paraId="4B253433"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111E17A4" w14:textId="77777777">
            <w:pPr>
              <w:contextualSpacing/>
              <w:rPr>
                <w:sz w:val="20"/>
              </w:rPr>
            </w:pPr>
            <w:r w:rsidRPr="00FE33E1">
              <w:rPr>
                <w:sz w:val="20"/>
              </w:rPr>
              <w:t>§ 1.1330; initial packer</w:t>
            </w:r>
          </w:p>
        </w:tc>
        <w:tc>
          <w:tcPr>
            <w:tcW w:w="1440" w:type="dxa"/>
            <w:noWrap/>
            <w:hideMark/>
          </w:tcPr>
          <w:p w:rsidR="0090768E" w:rsidRPr="00FE33E1" w:rsidP="002D6715" w14:paraId="4A7D9E75" w14:textId="77777777">
            <w:pPr>
              <w:contextualSpacing/>
              <w:jc w:val="right"/>
              <w:rPr>
                <w:sz w:val="20"/>
              </w:rPr>
            </w:pPr>
            <w:r w:rsidRPr="00FE33E1">
              <w:rPr>
                <w:sz w:val="20"/>
              </w:rPr>
              <w:t xml:space="preserve">4,218 </w:t>
            </w:r>
          </w:p>
        </w:tc>
        <w:tc>
          <w:tcPr>
            <w:tcW w:w="1440" w:type="dxa"/>
            <w:noWrap/>
            <w:hideMark/>
          </w:tcPr>
          <w:p w:rsidR="0090768E" w:rsidRPr="00FE33E1" w:rsidP="002D6715" w14:paraId="5034CAF7" w14:textId="77777777">
            <w:pPr>
              <w:contextualSpacing/>
              <w:jc w:val="right"/>
              <w:rPr>
                <w:sz w:val="20"/>
              </w:rPr>
            </w:pPr>
            <w:r w:rsidRPr="00FE33E1">
              <w:rPr>
                <w:sz w:val="20"/>
              </w:rPr>
              <w:t xml:space="preserve">861 </w:t>
            </w:r>
          </w:p>
        </w:tc>
        <w:tc>
          <w:tcPr>
            <w:tcW w:w="1440" w:type="dxa"/>
            <w:noWrap/>
            <w:hideMark/>
          </w:tcPr>
          <w:p w:rsidR="0090768E" w:rsidRPr="00FE33E1" w:rsidP="002D6715" w14:paraId="145B451E" w14:textId="77777777">
            <w:pPr>
              <w:contextualSpacing/>
              <w:jc w:val="right"/>
              <w:rPr>
                <w:sz w:val="20"/>
              </w:rPr>
            </w:pPr>
            <w:r w:rsidRPr="00FE33E1">
              <w:rPr>
                <w:sz w:val="20"/>
              </w:rPr>
              <w:t>3,631,</w:t>
            </w:r>
            <w:r>
              <w:rPr>
                <w:sz w:val="20"/>
                <w:szCs w:val="20"/>
              </w:rPr>
              <w:t>698</w:t>
            </w:r>
          </w:p>
        </w:tc>
        <w:tc>
          <w:tcPr>
            <w:tcW w:w="1620" w:type="dxa"/>
            <w:noWrap/>
            <w:hideMark/>
          </w:tcPr>
          <w:p w:rsidR="0090768E" w:rsidRPr="00FE33E1" w:rsidP="002D6715" w14:paraId="0C774C25" w14:textId="77777777">
            <w:pPr>
              <w:contextualSpacing/>
              <w:jc w:val="right"/>
              <w:rPr>
                <w:sz w:val="20"/>
              </w:rPr>
            </w:pPr>
            <w:r w:rsidRPr="00FE33E1">
              <w:rPr>
                <w:sz w:val="20"/>
              </w:rPr>
              <w:t xml:space="preserve">0.02 </w:t>
            </w:r>
          </w:p>
          <w:p w:rsidR="0090768E" w:rsidRPr="00FE33E1" w:rsidP="002D6715" w14:paraId="57B0DC6A" w14:textId="77777777">
            <w:pPr>
              <w:contextualSpacing/>
              <w:jc w:val="right"/>
              <w:rPr>
                <w:sz w:val="20"/>
              </w:rPr>
            </w:pPr>
            <w:r w:rsidRPr="00FE33E1">
              <w:rPr>
                <w:sz w:val="20"/>
              </w:rPr>
              <w:t>(1.2 minutes)</w:t>
            </w:r>
          </w:p>
        </w:tc>
        <w:tc>
          <w:tcPr>
            <w:tcW w:w="1440" w:type="dxa"/>
            <w:noWrap/>
            <w:hideMark/>
          </w:tcPr>
          <w:p w:rsidR="0090768E" w:rsidRPr="00FE33E1" w:rsidP="002D6715" w14:paraId="3704B875" w14:textId="77777777">
            <w:pPr>
              <w:contextualSpacing/>
              <w:jc w:val="right"/>
              <w:rPr>
                <w:sz w:val="20"/>
              </w:rPr>
            </w:pPr>
            <w:r w:rsidRPr="004D3831">
              <w:t xml:space="preserve">               </w:t>
            </w:r>
            <w:r w:rsidRPr="00FE33E1">
              <w:rPr>
                <w:sz w:val="20"/>
              </w:rPr>
              <w:t>72,</w:t>
            </w:r>
            <w:r>
              <w:rPr>
                <w:sz w:val="20"/>
                <w:szCs w:val="20"/>
              </w:rPr>
              <w:t>634</w:t>
            </w:r>
          </w:p>
        </w:tc>
      </w:tr>
      <w:tr w14:paraId="04EB7442"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6D505E3E" w14:textId="77777777">
            <w:pPr>
              <w:contextualSpacing/>
              <w:rPr>
                <w:sz w:val="20"/>
              </w:rPr>
            </w:pPr>
            <w:r w:rsidRPr="00FE33E1">
              <w:rPr>
                <w:sz w:val="20"/>
              </w:rPr>
              <w:t>§ 1.1335; first land-based receiver</w:t>
            </w:r>
          </w:p>
        </w:tc>
        <w:tc>
          <w:tcPr>
            <w:tcW w:w="1440" w:type="dxa"/>
            <w:noWrap/>
            <w:hideMark/>
          </w:tcPr>
          <w:p w:rsidR="0090768E" w:rsidRPr="00FE33E1" w:rsidP="002D6715" w14:paraId="3F3C68EF" w14:textId="77777777">
            <w:pPr>
              <w:contextualSpacing/>
              <w:jc w:val="right"/>
              <w:rPr>
                <w:sz w:val="20"/>
              </w:rPr>
            </w:pPr>
            <w:r w:rsidRPr="00FE33E1">
              <w:rPr>
                <w:sz w:val="20"/>
              </w:rPr>
              <w:t xml:space="preserve">367 </w:t>
            </w:r>
          </w:p>
        </w:tc>
        <w:tc>
          <w:tcPr>
            <w:tcW w:w="1440" w:type="dxa"/>
            <w:noWrap/>
            <w:hideMark/>
          </w:tcPr>
          <w:p w:rsidR="0090768E" w:rsidRPr="00FE33E1" w:rsidP="002D6715" w14:paraId="0B926EC5" w14:textId="77777777">
            <w:pPr>
              <w:contextualSpacing/>
              <w:jc w:val="right"/>
              <w:rPr>
                <w:sz w:val="20"/>
              </w:rPr>
            </w:pPr>
            <w:r w:rsidRPr="00FE33E1">
              <w:rPr>
                <w:sz w:val="20"/>
              </w:rPr>
              <w:t xml:space="preserve">1,471 </w:t>
            </w:r>
          </w:p>
        </w:tc>
        <w:tc>
          <w:tcPr>
            <w:tcW w:w="1440" w:type="dxa"/>
            <w:noWrap/>
            <w:hideMark/>
          </w:tcPr>
          <w:p w:rsidR="0090768E" w:rsidRPr="00FE33E1" w:rsidP="002D6715" w14:paraId="0BB03C28" w14:textId="77777777">
            <w:pPr>
              <w:contextualSpacing/>
              <w:jc w:val="right"/>
              <w:rPr>
                <w:sz w:val="20"/>
              </w:rPr>
            </w:pPr>
            <w:r>
              <w:rPr>
                <w:sz w:val="20"/>
                <w:szCs w:val="20"/>
              </w:rPr>
              <w:t>539,857</w:t>
            </w:r>
          </w:p>
        </w:tc>
        <w:tc>
          <w:tcPr>
            <w:tcW w:w="1620" w:type="dxa"/>
            <w:noWrap/>
            <w:hideMark/>
          </w:tcPr>
          <w:p w:rsidR="0090768E" w:rsidRPr="00FE33E1" w:rsidP="002D6715" w14:paraId="0300940A" w14:textId="77777777">
            <w:pPr>
              <w:contextualSpacing/>
              <w:jc w:val="right"/>
              <w:rPr>
                <w:sz w:val="20"/>
              </w:rPr>
            </w:pPr>
            <w:r w:rsidRPr="00FE33E1">
              <w:rPr>
                <w:sz w:val="20"/>
              </w:rPr>
              <w:t xml:space="preserve">0.02 </w:t>
            </w:r>
          </w:p>
          <w:p w:rsidR="0090768E" w:rsidRPr="00FE33E1" w:rsidP="002D6715" w14:paraId="483BFE60" w14:textId="77777777">
            <w:pPr>
              <w:contextualSpacing/>
              <w:jc w:val="right"/>
              <w:rPr>
                <w:sz w:val="20"/>
              </w:rPr>
            </w:pPr>
            <w:r w:rsidRPr="00FE33E1">
              <w:rPr>
                <w:sz w:val="20"/>
              </w:rPr>
              <w:t>(1.1 minutes)</w:t>
            </w:r>
          </w:p>
        </w:tc>
        <w:tc>
          <w:tcPr>
            <w:tcW w:w="1440" w:type="dxa"/>
            <w:noWrap/>
            <w:hideMark/>
          </w:tcPr>
          <w:p w:rsidR="0090768E" w:rsidRPr="00FE33E1" w:rsidP="002D6715" w14:paraId="409A924D" w14:textId="77777777">
            <w:pPr>
              <w:contextualSpacing/>
              <w:jc w:val="right"/>
              <w:rPr>
                <w:sz w:val="20"/>
              </w:rPr>
            </w:pPr>
            <w:r w:rsidRPr="004D3831">
              <w:t xml:space="preserve">               </w:t>
            </w:r>
            <w:r w:rsidRPr="00FE33E1">
              <w:rPr>
                <w:sz w:val="20"/>
              </w:rPr>
              <w:t>10,</w:t>
            </w:r>
            <w:r>
              <w:rPr>
                <w:sz w:val="20"/>
                <w:szCs w:val="20"/>
              </w:rPr>
              <w:t>797</w:t>
            </w:r>
          </w:p>
        </w:tc>
      </w:tr>
      <w:tr w14:paraId="374786DA"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57D7CB1C" w14:textId="77777777">
            <w:pPr>
              <w:contextualSpacing/>
              <w:rPr>
                <w:sz w:val="20"/>
              </w:rPr>
            </w:pPr>
            <w:r w:rsidRPr="00FE33E1">
              <w:rPr>
                <w:sz w:val="20"/>
              </w:rPr>
              <w:t>§ 1.1340; shipper</w:t>
            </w:r>
          </w:p>
        </w:tc>
        <w:tc>
          <w:tcPr>
            <w:tcW w:w="1440" w:type="dxa"/>
            <w:noWrap/>
            <w:hideMark/>
          </w:tcPr>
          <w:p w:rsidR="0090768E" w:rsidRPr="00FE33E1" w:rsidP="002D6715" w14:paraId="0C97E7C9" w14:textId="77777777">
            <w:pPr>
              <w:contextualSpacing/>
              <w:jc w:val="right"/>
              <w:rPr>
                <w:sz w:val="20"/>
              </w:rPr>
            </w:pPr>
            <w:r w:rsidRPr="00FE33E1">
              <w:rPr>
                <w:sz w:val="20"/>
              </w:rPr>
              <w:t xml:space="preserve">31,434 </w:t>
            </w:r>
          </w:p>
        </w:tc>
        <w:tc>
          <w:tcPr>
            <w:tcW w:w="1440" w:type="dxa"/>
            <w:noWrap/>
            <w:hideMark/>
          </w:tcPr>
          <w:p w:rsidR="0090768E" w:rsidRPr="00FE33E1" w:rsidP="002D6715" w14:paraId="3AA3D21A" w14:textId="77777777">
            <w:pPr>
              <w:contextualSpacing/>
              <w:jc w:val="right"/>
              <w:rPr>
                <w:sz w:val="20"/>
              </w:rPr>
            </w:pPr>
            <w:r w:rsidRPr="00FE33E1">
              <w:rPr>
                <w:sz w:val="20"/>
              </w:rPr>
              <w:t xml:space="preserve">5,032 </w:t>
            </w:r>
          </w:p>
        </w:tc>
        <w:tc>
          <w:tcPr>
            <w:tcW w:w="1440" w:type="dxa"/>
            <w:noWrap/>
            <w:hideMark/>
          </w:tcPr>
          <w:p w:rsidR="0090768E" w:rsidRPr="00FE33E1" w:rsidP="002D6715" w14:paraId="39BFFF3F" w14:textId="77777777">
            <w:pPr>
              <w:contextualSpacing/>
              <w:jc w:val="right"/>
              <w:rPr>
                <w:sz w:val="20"/>
              </w:rPr>
            </w:pPr>
            <w:r w:rsidRPr="00FE33E1">
              <w:rPr>
                <w:sz w:val="20"/>
              </w:rPr>
              <w:t>158,</w:t>
            </w:r>
            <w:r>
              <w:rPr>
                <w:sz w:val="20"/>
                <w:szCs w:val="20"/>
              </w:rPr>
              <w:t>175,888</w:t>
            </w:r>
          </w:p>
        </w:tc>
        <w:tc>
          <w:tcPr>
            <w:tcW w:w="1620" w:type="dxa"/>
            <w:noWrap/>
            <w:hideMark/>
          </w:tcPr>
          <w:p w:rsidR="0090768E" w:rsidRPr="00FE33E1" w:rsidP="002D6715" w14:paraId="15AFD886" w14:textId="77777777">
            <w:pPr>
              <w:contextualSpacing/>
              <w:jc w:val="right"/>
              <w:rPr>
                <w:sz w:val="20"/>
              </w:rPr>
            </w:pPr>
            <w:r w:rsidRPr="00FE33E1">
              <w:rPr>
                <w:sz w:val="20"/>
              </w:rPr>
              <w:t xml:space="preserve">0.006 </w:t>
            </w:r>
          </w:p>
          <w:p w:rsidR="0090768E" w:rsidRPr="00FE33E1" w:rsidP="002D6715" w14:paraId="16124ED8" w14:textId="77777777">
            <w:pPr>
              <w:contextualSpacing/>
              <w:jc w:val="right"/>
              <w:rPr>
                <w:sz w:val="20"/>
              </w:rPr>
            </w:pPr>
            <w:r w:rsidRPr="00FE33E1">
              <w:rPr>
                <w:sz w:val="20"/>
              </w:rPr>
              <w:t>(22 seconds)</w:t>
            </w:r>
          </w:p>
        </w:tc>
        <w:tc>
          <w:tcPr>
            <w:tcW w:w="1440" w:type="dxa"/>
            <w:noWrap/>
            <w:hideMark/>
          </w:tcPr>
          <w:p w:rsidR="0090768E" w:rsidRPr="00FE33E1" w:rsidP="002D6715" w14:paraId="576776DB" w14:textId="77777777">
            <w:pPr>
              <w:contextualSpacing/>
              <w:jc w:val="right"/>
              <w:rPr>
                <w:sz w:val="20"/>
              </w:rPr>
            </w:pPr>
            <w:r w:rsidRPr="004D3831">
              <w:t xml:space="preserve">              </w:t>
            </w:r>
            <w:r w:rsidRPr="00927D49">
              <w:rPr>
                <w:sz w:val="20"/>
                <w:szCs w:val="20"/>
              </w:rPr>
              <w:t>9</w:t>
            </w:r>
            <w:r>
              <w:rPr>
                <w:sz w:val="20"/>
                <w:szCs w:val="20"/>
              </w:rPr>
              <w:t>49,055</w:t>
            </w:r>
          </w:p>
        </w:tc>
      </w:tr>
      <w:tr w14:paraId="0C51EA50"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4E0D2420" w14:textId="77777777">
            <w:pPr>
              <w:contextualSpacing/>
              <w:rPr>
                <w:sz w:val="20"/>
              </w:rPr>
            </w:pPr>
            <w:r w:rsidRPr="00FE33E1">
              <w:rPr>
                <w:sz w:val="20"/>
              </w:rPr>
              <w:t>§ 1.1345; receiver</w:t>
            </w:r>
          </w:p>
        </w:tc>
        <w:tc>
          <w:tcPr>
            <w:tcW w:w="1440" w:type="dxa"/>
            <w:noWrap/>
            <w:hideMark/>
          </w:tcPr>
          <w:p w:rsidR="0090768E" w:rsidRPr="00FE33E1" w:rsidP="002D6715" w14:paraId="692FABAD" w14:textId="77777777">
            <w:pPr>
              <w:contextualSpacing/>
              <w:jc w:val="right"/>
              <w:rPr>
                <w:sz w:val="20"/>
              </w:rPr>
            </w:pPr>
            <w:r w:rsidRPr="00FE33E1">
              <w:rPr>
                <w:sz w:val="20"/>
              </w:rPr>
              <w:t xml:space="preserve">470,580 </w:t>
            </w:r>
          </w:p>
        </w:tc>
        <w:tc>
          <w:tcPr>
            <w:tcW w:w="1440" w:type="dxa"/>
            <w:noWrap/>
            <w:hideMark/>
          </w:tcPr>
          <w:p w:rsidR="0090768E" w:rsidRPr="00FE33E1" w:rsidP="002D6715" w14:paraId="64D9F3B2" w14:textId="77777777">
            <w:pPr>
              <w:contextualSpacing/>
              <w:jc w:val="right"/>
              <w:rPr>
                <w:sz w:val="20"/>
              </w:rPr>
            </w:pPr>
            <w:r w:rsidRPr="00FE33E1">
              <w:rPr>
                <w:sz w:val="20"/>
              </w:rPr>
              <w:t xml:space="preserve">5,968 </w:t>
            </w:r>
          </w:p>
        </w:tc>
        <w:tc>
          <w:tcPr>
            <w:tcW w:w="1440" w:type="dxa"/>
            <w:noWrap/>
            <w:hideMark/>
          </w:tcPr>
          <w:p w:rsidR="0090768E" w:rsidRPr="00FE33E1" w:rsidP="002D6715" w14:paraId="1866EA6E" w14:textId="77777777">
            <w:pPr>
              <w:contextualSpacing/>
              <w:jc w:val="right"/>
              <w:rPr>
                <w:sz w:val="20"/>
              </w:rPr>
            </w:pPr>
            <w:r w:rsidRPr="00FE33E1">
              <w:rPr>
                <w:sz w:val="20"/>
              </w:rPr>
              <w:t>2,808,</w:t>
            </w:r>
            <w:r>
              <w:rPr>
                <w:sz w:val="20"/>
                <w:szCs w:val="20"/>
              </w:rPr>
              <w:t>421,440</w:t>
            </w:r>
            <w:r w:rsidRPr="00FE33E1">
              <w:rPr>
                <w:sz w:val="20"/>
              </w:rPr>
              <w:t xml:space="preserve"> </w:t>
            </w:r>
          </w:p>
        </w:tc>
        <w:tc>
          <w:tcPr>
            <w:tcW w:w="1620" w:type="dxa"/>
            <w:noWrap/>
            <w:hideMark/>
          </w:tcPr>
          <w:p w:rsidR="0090768E" w:rsidRPr="00FE33E1" w:rsidP="002D6715" w14:paraId="3F3C2D9E" w14:textId="77777777">
            <w:pPr>
              <w:contextualSpacing/>
              <w:jc w:val="right"/>
              <w:rPr>
                <w:sz w:val="20"/>
              </w:rPr>
            </w:pPr>
            <w:r w:rsidRPr="00FE33E1">
              <w:rPr>
                <w:sz w:val="20"/>
              </w:rPr>
              <w:t xml:space="preserve">0.003 </w:t>
            </w:r>
          </w:p>
          <w:p w:rsidR="0090768E" w:rsidRPr="00FE33E1" w:rsidP="002D6715" w14:paraId="02AECDF6" w14:textId="77777777">
            <w:pPr>
              <w:contextualSpacing/>
              <w:jc w:val="right"/>
              <w:rPr>
                <w:sz w:val="20"/>
              </w:rPr>
            </w:pPr>
            <w:r w:rsidRPr="00FE33E1">
              <w:rPr>
                <w:sz w:val="20"/>
              </w:rPr>
              <w:t>(11 seconds)</w:t>
            </w:r>
          </w:p>
        </w:tc>
        <w:tc>
          <w:tcPr>
            <w:tcW w:w="1440" w:type="dxa"/>
            <w:noWrap/>
            <w:hideMark/>
          </w:tcPr>
          <w:p w:rsidR="0090768E" w:rsidP="002D6715" w14:paraId="071FF564" w14:textId="77777777">
            <w:pPr>
              <w:ind w:left="-8475"/>
              <w:contextualSpacing/>
              <w:jc w:val="right"/>
            </w:pPr>
            <w:r w:rsidRPr="004D3831">
              <w:t xml:space="preserve">          </w:t>
            </w:r>
          </w:p>
          <w:p w:rsidR="0090768E" w:rsidRPr="00FE33E1" w:rsidP="002D6715" w14:paraId="7015B872" w14:textId="77777777">
            <w:pPr>
              <w:ind w:left="-8475"/>
              <w:contextualSpacing/>
              <w:jc w:val="right"/>
              <w:rPr>
                <w:sz w:val="20"/>
              </w:rPr>
            </w:pPr>
            <w:r w:rsidRPr="00927D49">
              <w:rPr>
                <w:sz w:val="20"/>
                <w:szCs w:val="20"/>
              </w:rPr>
              <w:t>8,4</w:t>
            </w:r>
            <w:r>
              <w:rPr>
                <w:sz w:val="20"/>
                <w:szCs w:val="20"/>
              </w:rPr>
              <w:t>25,264</w:t>
            </w:r>
          </w:p>
        </w:tc>
      </w:tr>
      <w:tr w14:paraId="17E3350B" w14:textId="77777777" w:rsidTr="00906E7C">
        <w:tblPrEx>
          <w:tblW w:w="9810" w:type="dxa"/>
          <w:tblInd w:w="-5" w:type="dxa"/>
          <w:tblLayout w:type="fixed"/>
          <w:tblLook w:val="04A0"/>
        </w:tblPrEx>
        <w:trPr>
          <w:trHeight w:val="390"/>
        </w:trPr>
        <w:tc>
          <w:tcPr>
            <w:tcW w:w="2430" w:type="dxa"/>
            <w:noWrap/>
            <w:hideMark/>
          </w:tcPr>
          <w:p w:rsidR="0090768E" w:rsidRPr="00FE33E1" w:rsidP="002D6715" w14:paraId="3D96C1D3" w14:textId="77777777">
            <w:pPr>
              <w:contextualSpacing/>
              <w:rPr>
                <w:sz w:val="20"/>
              </w:rPr>
            </w:pPr>
            <w:r w:rsidRPr="00FE33E1">
              <w:rPr>
                <w:sz w:val="20"/>
              </w:rPr>
              <w:t>§ 1.1350; transformer</w:t>
            </w:r>
          </w:p>
        </w:tc>
        <w:tc>
          <w:tcPr>
            <w:tcW w:w="1440" w:type="dxa"/>
            <w:noWrap/>
            <w:hideMark/>
          </w:tcPr>
          <w:p w:rsidR="0090768E" w:rsidRPr="00FE33E1" w:rsidP="002D6715" w14:paraId="5B968F6C" w14:textId="77777777">
            <w:pPr>
              <w:contextualSpacing/>
              <w:jc w:val="right"/>
              <w:rPr>
                <w:sz w:val="20"/>
              </w:rPr>
            </w:pPr>
            <w:r w:rsidRPr="00FE33E1">
              <w:rPr>
                <w:sz w:val="20"/>
              </w:rPr>
              <w:t xml:space="preserve">8,574 </w:t>
            </w:r>
          </w:p>
        </w:tc>
        <w:tc>
          <w:tcPr>
            <w:tcW w:w="1440" w:type="dxa"/>
            <w:noWrap/>
            <w:hideMark/>
          </w:tcPr>
          <w:p w:rsidR="0090768E" w:rsidRPr="00FE33E1" w:rsidP="002D6715" w14:paraId="3A08FEEC" w14:textId="77777777">
            <w:pPr>
              <w:contextualSpacing/>
              <w:jc w:val="right"/>
              <w:rPr>
                <w:sz w:val="20"/>
              </w:rPr>
            </w:pPr>
            <w:r w:rsidRPr="00FE33E1">
              <w:rPr>
                <w:sz w:val="20"/>
              </w:rPr>
              <w:t xml:space="preserve">1,101 </w:t>
            </w:r>
          </w:p>
        </w:tc>
        <w:tc>
          <w:tcPr>
            <w:tcW w:w="1440" w:type="dxa"/>
            <w:noWrap/>
            <w:hideMark/>
          </w:tcPr>
          <w:p w:rsidR="0090768E" w:rsidRPr="00FE33E1" w:rsidP="002D6715" w14:paraId="062871AA" w14:textId="77777777">
            <w:pPr>
              <w:contextualSpacing/>
              <w:jc w:val="right"/>
              <w:rPr>
                <w:sz w:val="20"/>
              </w:rPr>
            </w:pPr>
            <w:r w:rsidRPr="00FE33E1">
              <w:rPr>
                <w:sz w:val="20"/>
              </w:rPr>
              <w:t>9,</w:t>
            </w:r>
            <w:r w:rsidRPr="00927D49">
              <w:rPr>
                <w:sz w:val="20"/>
                <w:szCs w:val="20"/>
              </w:rPr>
              <w:t>43</w:t>
            </w:r>
            <w:r>
              <w:rPr>
                <w:sz w:val="20"/>
                <w:szCs w:val="20"/>
              </w:rPr>
              <w:t>9</w:t>
            </w:r>
            <w:r w:rsidRPr="00927D49">
              <w:rPr>
                <w:sz w:val="20"/>
                <w:szCs w:val="20"/>
              </w:rPr>
              <w:t>,</w:t>
            </w:r>
            <w:r>
              <w:rPr>
                <w:sz w:val="20"/>
                <w:szCs w:val="20"/>
              </w:rPr>
              <w:t>974</w:t>
            </w:r>
            <w:r w:rsidRPr="00FE33E1">
              <w:rPr>
                <w:sz w:val="20"/>
              </w:rPr>
              <w:t xml:space="preserve"> </w:t>
            </w:r>
          </w:p>
        </w:tc>
        <w:tc>
          <w:tcPr>
            <w:tcW w:w="1620" w:type="dxa"/>
            <w:noWrap/>
            <w:hideMark/>
          </w:tcPr>
          <w:p w:rsidR="0090768E" w:rsidRPr="00FE33E1" w:rsidP="002D6715" w14:paraId="589D36A3" w14:textId="77777777">
            <w:pPr>
              <w:contextualSpacing/>
              <w:jc w:val="right"/>
              <w:rPr>
                <w:sz w:val="20"/>
              </w:rPr>
            </w:pPr>
            <w:r w:rsidRPr="00FE33E1">
              <w:rPr>
                <w:sz w:val="20"/>
              </w:rPr>
              <w:t xml:space="preserve">0.02 </w:t>
            </w:r>
          </w:p>
          <w:p w:rsidR="0090768E" w:rsidRPr="00FE33E1" w:rsidP="002D6715" w14:paraId="2245E7AE" w14:textId="77777777">
            <w:pPr>
              <w:contextualSpacing/>
              <w:jc w:val="right"/>
              <w:rPr>
                <w:sz w:val="20"/>
              </w:rPr>
            </w:pPr>
            <w:r w:rsidRPr="00FE33E1">
              <w:rPr>
                <w:sz w:val="20"/>
              </w:rPr>
              <w:t>(1.2 minutes)</w:t>
            </w:r>
          </w:p>
        </w:tc>
        <w:tc>
          <w:tcPr>
            <w:tcW w:w="1440" w:type="dxa"/>
            <w:noWrap/>
            <w:hideMark/>
          </w:tcPr>
          <w:p w:rsidR="0090768E" w:rsidRPr="00FE33E1" w:rsidP="002D6715" w14:paraId="6ED5B73B" w14:textId="77777777">
            <w:pPr>
              <w:contextualSpacing/>
              <w:jc w:val="right"/>
              <w:rPr>
                <w:sz w:val="20"/>
              </w:rPr>
            </w:pPr>
            <w:r w:rsidRPr="004D3831">
              <w:t xml:space="preserve">              </w:t>
            </w:r>
            <w:r w:rsidRPr="0091227E">
              <w:rPr>
                <w:sz w:val="20"/>
                <w:szCs w:val="20"/>
              </w:rPr>
              <w:t>18</w:t>
            </w:r>
            <w:r>
              <w:rPr>
                <w:sz w:val="20"/>
                <w:szCs w:val="20"/>
              </w:rPr>
              <w:t>8,799</w:t>
            </w:r>
          </w:p>
        </w:tc>
      </w:tr>
      <w:tr w14:paraId="7A6CB5A1" w14:textId="77777777" w:rsidTr="00906E7C">
        <w:tblPrEx>
          <w:tblW w:w="9810" w:type="dxa"/>
          <w:tblInd w:w="-5" w:type="dxa"/>
          <w:tblLayout w:type="fixed"/>
          <w:tblLook w:val="04A0"/>
        </w:tblPrEx>
        <w:trPr>
          <w:trHeight w:val="390"/>
        </w:trPr>
        <w:tc>
          <w:tcPr>
            <w:tcW w:w="2430" w:type="dxa"/>
            <w:noWrap/>
          </w:tcPr>
          <w:p w:rsidR="0090768E" w:rsidRPr="00FE33E1" w:rsidP="00987391" w14:paraId="02769BF9" w14:textId="77777777">
            <w:pPr>
              <w:contextualSpacing/>
              <w:rPr>
                <w:sz w:val="20"/>
              </w:rPr>
            </w:pPr>
            <w:r>
              <w:rPr>
                <w:sz w:val="20"/>
              </w:rPr>
              <w:t>§ 1.1455(c)(3)(ii); electronic sortable spreadsheet upon request</w:t>
            </w:r>
          </w:p>
        </w:tc>
        <w:tc>
          <w:tcPr>
            <w:tcW w:w="1440" w:type="dxa"/>
            <w:noWrap/>
          </w:tcPr>
          <w:p w:rsidR="0090768E" w:rsidRPr="00FE33E1" w:rsidP="00987391" w14:paraId="1B4A630B" w14:textId="77777777">
            <w:pPr>
              <w:contextualSpacing/>
              <w:jc w:val="right"/>
              <w:rPr>
                <w:sz w:val="20"/>
              </w:rPr>
            </w:pPr>
            <w:r w:rsidRPr="000A3FE2">
              <w:rPr>
                <w:sz w:val="20"/>
              </w:rPr>
              <w:t xml:space="preserve"> 75 </w:t>
            </w:r>
          </w:p>
        </w:tc>
        <w:tc>
          <w:tcPr>
            <w:tcW w:w="1440" w:type="dxa"/>
            <w:noWrap/>
          </w:tcPr>
          <w:p w:rsidR="0090768E" w:rsidRPr="00FE33E1" w:rsidP="00987391" w14:paraId="0FC670B2" w14:textId="77777777">
            <w:pPr>
              <w:contextualSpacing/>
              <w:jc w:val="right"/>
              <w:rPr>
                <w:sz w:val="20"/>
              </w:rPr>
            </w:pPr>
            <w:r w:rsidRPr="000A3FE2">
              <w:rPr>
                <w:sz w:val="20"/>
              </w:rPr>
              <w:t xml:space="preserve"> 1 </w:t>
            </w:r>
          </w:p>
        </w:tc>
        <w:tc>
          <w:tcPr>
            <w:tcW w:w="1440" w:type="dxa"/>
            <w:noWrap/>
          </w:tcPr>
          <w:p w:rsidR="0090768E" w:rsidRPr="00FE33E1" w:rsidP="00987391" w14:paraId="4ADE2305" w14:textId="77777777">
            <w:pPr>
              <w:contextualSpacing/>
              <w:jc w:val="right"/>
              <w:rPr>
                <w:sz w:val="20"/>
              </w:rPr>
            </w:pPr>
            <w:r w:rsidRPr="000A3FE2">
              <w:rPr>
                <w:sz w:val="20"/>
              </w:rPr>
              <w:t xml:space="preserve"> 75 </w:t>
            </w:r>
          </w:p>
        </w:tc>
        <w:tc>
          <w:tcPr>
            <w:tcW w:w="1620" w:type="dxa"/>
            <w:noWrap/>
          </w:tcPr>
          <w:p w:rsidR="0090768E" w:rsidRPr="00FE33E1" w:rsidP="00987391" w14:paraId="46F26629" w14:textId="77777777">
            <w:pPr>
              <w:contextualSpacing/>
              <w:jc w:val="right"/>
              <w:rPr>
                <w:sz w:val="20"/>
              </w:rPr>
            </w:pPr>
            <w:r w:rsidRPr="000A3FE2">
              <w:rPr>
                <w:sz w:val="20"/>
              </w:rPr>
              <w:t>16.0</w:t>
            </w:r>
          </w:p>
        </w:tc>
        <w:tc>
          <w:tcPr>
            <w:tcW w:w="1440" w:type="dxa"/>
            <w:noWrap/>
          </w:tcPr>
          <w:p w:rsidR="0090768E" w:rsidP="00987391" w14:paraId="5C460996" w14:textId="77777777">
            <w:pPr>
              <w:contextualSpacing/>
              <w:jc w:val="right"/>
              <w:rPr>
                <w:sz w:val="20"/>
              </w:rPr>
            </w:pPr>
          </w:p>
          <w:p w:rsidR="0090768E" w:rsidRPr="004D3831" w:rsidP="00987391" w14:paraId="05EA9F67" w14:textId="77777777">
            <w:pPr>
              <w:contextualSpacing/>
              <w:jc w:val="right"/>
            </w:pPr>
            <w:r w:rsidRPr="000A3FE2">
              <w:rPr>
                <w:sz w:val="20"/>
              </w:rPr>
              <w:t xml:space="preserve"> 1,200 </w:t>
            </w:r>
          </w:p>
        </w:tc>
      </w:tr>
      <w:tr w14:paraId="66E6A081" w14:textId="77777777" w:rsidTr="00906E7C">
        <w:tblPrEx>
          <w:tblW w:w="9810" w:type="dxa"/>
          <w:tblInd w:w="-5" w:type="dxa"/>
          <w:tblLayout w:type="fixed"/>
          <w:tblLook w:val="04A0"/>
        </w:tblPrEx>
        <w:trPr>
          <w:trHeight w:val="290"/>
        </w:trPr>
        <w:tc>
          <w:tcPr>
            <w:tcW w:w="2430" w:type="dxa"/>
            <w:noWrap/>
            <w:hideMark/>
          </w:tcPr>
          <w:p w:rsidR="0090768E" w:rsidRPr="00FE33E1" w:rsidP="002D6715" w14:paraId="21ED32C2" w14:textId="77777777">
            <w:pPr>
              <w:contextualSpacing/>
              <w:rPr>
                <w:sz w:val="20"/>
              </w:rPr>
            </w:pPr>
            <w:r w:rsidRPr="00FE33E1">
              <w:rPr>
                <w:sz w:val="20"/>
              </w:rPr>
              <w:t>Total</w:t>
            </w:r>
          </w:p>
        </w:tc>
        <w:tc>
          <w:tcPr>
            <w:tcW w:w="1440" w:type="dxa"/>
            <w:noWrap/>
            <w:hideMark/>
          </w:tcPr>
          <w:p w:rsidR="0090768E" w:rsidRPr="00FE33E1" w:rsidP="002D6715" w14:paraId="23C102B0" w14:textId="053A13F8">
            <w:pPr>
              <w:contextualSpacing/>
              <w:jc w:val="right"/>
              <w:rPr>
                <w:sz w:val="20"/>
              </w:rPr>
            </w:pPr>
            <w:r>
              <w:rPr>
                <w:sz w:val="20"/>
              </w:rPr>
              <w:fldChar w:fldCharType="begin"/>
            </w:r>
            <w:r>
              <w:rPr>
                <w:sz w:val="20"/>
              </w:rPr>
              <w:instrText xml:space="preserve"> =SUM(ABOVE) </w:instrText>
            </w:r>
            <w:r>
              <w:rPr>
                <w:sz w:val="20"/>
              </w:rPr>
              <w:fldChar w:fldCharType="separate"/>
            </w:r>
            <w:r>
              <w:rPr>
                <w:noProof/>
                <w:sz w:val="20"/>
              </w:rPr>
              <w:t>550,965</w:t>
            </w:r>
            <w:r>
              <w:rPr>
                <w:sz w:val="20"/>
              </w:rPr>
              <w:fldChar w:fldCharType="end"/>
            </w:r>
            <w:r w:rsidRPr="00FE33E1">
              <w:rPr>
                <w:sz w:val="20"/>
              </w:rPr>
              <w:t> </w:t>
            </w:r>
          </w:p>
        </w:tc>
        <w:tc>
          <w:tcPr>
            <w:tcW w:w="1440" w:type="dxa"/>
            <w:noWrap/>
            <w:hideMark/>
          </w:tcPr>
          <w:p w:rsidR="0090768E" w:rsidRPr="00FE33E1" w:rsidP="002D6715" w14:paraId="3E90D4FB" w14:textId="77777777">
            <w:pPr>
              <w:contextualSpacing/>
              <w:jc w:val="right"/>
              <w:rPr>
                <w:sz w:val="20"/>
              </w:rPr>
            </w:pPr>
            <w:r w:rsidRPr="00FE33E1">
              <w:rPr>
                <w:sz w:val="20"/>
              </w:rPr>
              <w:t> </w:t>
            </w:r>
          </w:p>
        </w:tc>
        <w:tc>
          <w:tcPr>
            <w:tcW w:w="1440" w:type="dxa"/>
            <w:noWrap/>
            <w:hideMark/>
          </w:tcPr>
          <w:p w:rsidR="0090768E" w:rsidRPr="00FE33E1" w:rsidP="002D6715" w14:paraId="5547801E" w14:textId="66CA4DE8">
            <w:pPr>
              <w:contextualSpacing/>
              <w:jc w:val="right"/>
              <w:rPr>
                <w:sz w:val="20"/>
              </w:rPr>
            </w:pPr>
            <w:r>
              <w:rPr>
                <w:sz w:val="20"/>
              </w:rPr>
              <w:fldChar w:fldCharType="begin"/>
            </w:r>
            <w:r>
              <w:rPr>
                <w:sz w:val="20"/>
              </w:rPr>
              <w:instrText xml:space="preserve"> =SUM(ABOVE) </w:instrText>
            </w:r>
            <w:r>
              <w:rPr>
                <w:sz w:val="20"/>
              </w:rPr>
              <w:fldChar w:fldCharType="separate"/>
            </w:r>
            <w:r>
              <w:rPr>
                <w:noProof/>
                <w:sz w:val="20"/>
              </w:rPr>
              <w:t>2,986,076,095</w:t>
            </w:r>
            <w:r>
              <w:rPr>
                <w:sz w:val="20"/>
              </w:rPr>
              <w:fldChar w:fldCharType="end"/>
            </w:r>
            <w:r w:rsidRPr="00FE33E1">
              <w:rPr>
                <w:sz w:val="20"/>
              </w:rPr>
              <w:t> </w:t>
            </w:r>
          </w:p>
        </w:tc>
        <w:tc>
          <w:tcPr>
            <w:tcW w:w="1620" w:type="dxa"/>
            <w:noWrap/>
            <w:hideMark/>
          </w:tcPr>
          <w:p w:rsidR="0090768E" w:rsidRPr="00FE33E1" w:rsidP="002D6715" w14:paraId="330ADE0F" w14:textId="77777777">
            <w:pPr>
              <w:contextualSpacing/>
              <w:jc w:val="right"/>
              <w:rPr>
                <w:sz w:val="20"/>
              </w:rPr>
            </w:pPr>
            <w:r w:rsidRPr="00FE33E1">
              <w:rPr>
                <w:sz w:val="20"/>
              </w:rPr>
              <w:t> </w:t>
            </w:r>
          </w:p>
        </w:tc>
        <w:tc>
          <w:tcPr>
            <w:tcW w:w="1440" w:type="dxa"/>
            <w:noWrap/>
            <w:hideMark/>
          </w:tcPr>
          <w:p w:rsidR="0090768E" w:rsidRPr="00FE33E1" w:rsidP="002D6715" w14:paraId="42F5B326" w14:textId="77777777">
            <w:pPr>
              <w:jc w:val="right"/>
              <w:rPr>
                <w:sz w:val="20"/>
              </w:rPr>
            </w:pPr>
            <w:r w:rsidRPr="004D3831">
              <w:t> </w:t>
            </w:r>
            <w:r w:rsidRPr="00FE33E1">
              <w:rPr>
                <w:color w:val="000000"/>
                <w:sz w:val="20"/>
              </w:rPr>
              <w:t>10,</w:t>
            </w:r>
            <w:r w:rsidRPr="00927D49">
              <w:rPr>
                <w:color w:val="000000"/>
                <w:sz w:val="20"/>
                <w:szCs w:val="20"/>
              </w:rPr>
              <w:t>5</w:t>
            </w:r>
            <w:r>
              <w:rPr>
                <w:color w:val="000000"/>
                <w:sz w:val="20"/>
                <w:szCs w:val="20"/>
              </w:rPr>
              <w:t>55,000</w:t>
            </w:r>
          </w:p>
        </w:tc>
      </w:tr>
    </w:tbl>
    <w:p w:rsidR="00934449" w:rsidRPr="00934449" w:rsidP="00934449" w14:paraId="3B24929F" w14:textId="77777777">
      <w:pPr>
        <w:widowControl w:val="0"/>
        <w:contextualSpacing/>
        <w:rPr>
          <w:rFonts w:eastAsia="Calibri"/>
          <w:bCs/>
        </w:rPr>
      </w:pPr>
    </w:p>
    <w:p w:rsidR="002C374A" w:rsidRPr="00557B5D" w:rsidP="002C374A" w14:paraId="46E1282B" w14:textId="1E5A584E">
      <w:pPr>
        <w:widowControl w:val="0"/>
        <w:contextualSpacing/>
        <w:rPr>
          <w:rFonts w:eastAsia="Calibri"/>
          <w:bCs/>
        </w:rPr>
      </w:pPr>
      <w:r w:rsidRPr="00557B5D">
        <w:rPr>
          <w:rFonts w:eastAsia="Calibri"/>
          <w:bCs/>
        </w:rPr>
        <w:t xml:space="preserve">The revised estimated annual recordkeeping burden </w:t>
      </w:r>
      <w:r w:rsidR="00E418E8">
        <w:rPr>
          <w:rFonts w:eastAsia="Calibri"/>
          <w:bCs/>
        </w:rPr>
        <w:t xml:space="preserve">table </w:t>
      </w:r>
      <w:r w:rsidRPr="00557B5D">
        <w:rPr>
          <w:rFonts w:eastAsia="Calibri"/>
          <w:bCs/>
        </w:rPr>
        <w:t>reflects several changes we made to the proposed information collection</w:t>
      </w:r>
      <w:r w:rsidRPr="00557B5D">
        <w:rPr>
          <w:rFonts w:eastAsia="Calibri"/>
          <w:bCs/>
        </w:rPr>
        <w:t>.</w:t>
      </w:r>
      <w:r w:rsidRPr="00557B5D">
        <w:rPr>
          <w:rFonts w:eastAsia="Calibri"/>
          <w:bCs/>
        </w:rPr>
        <w:t xml:space="preserve">  First, the list of provisions changed consistent with revisions we made to the </w:t>
      </w:r>
      <w:r w:rsidR="009B11FE">
        <w:rPr>
          <w:rFonts w:eastAsia="Calibri"/>
          <w:bCs/>
        </w:rPr>
        <w:t>critical tracking events (</w:t>
      </w:r>
      <w:r w:rsidRPr="00557B5D">
        <w:rPr>
          <w:rFonts w:eastAsia="Calibri"/>
          <w:bCs/>
        </w:rPr>
        <w:t>CTEs</w:t>
      </w:r>
      <w:r w:rsidR="009B11FE">
        <w:rPr>
          <w:rFonts w:eastAsia="Calibri"/>
          <w:bCs/>
        </w:rPr>
        <w:t>)</w:t>
      </w:r>
      <w:r w:rsidRPr="00557B5D">
        <w:rPr>
          <w:rFonts w:eastAsia="Calibri"/>
          <w:bCs/>
        </w:rPr>
        <w:t xml:space="preserve"> and related annual activities such as training personnel.  The number of recordkeepers generally decreased because of additional exemptions and revisions to exemptions we added in the final rule and our use of more recent data sources on the number of covered entities.  We have also estimated the burden for training personnel as a recurring burden rather than a one-time burden and altered the number of records per recordkeeper for the various provisions based on information from the ERG expert elicitation study.  Finally, we have updated the average burden per recordkeeping based on information from the ERG expert elicitation study. </w:t>
      </w:r>
      <w:r w:rsidR="00B2621E">
        <w:rPr>
          <w:rFonts w:eastAsia="Calibri"/>
          <w:bCs/>
        </w:rPr>
        <w:t xml:space="preserve"> </w:t>
      </w:r>
      <w:r w:rsidRPr="00557B5D">
        <w:rPr>
          <w:rFonts w:eastAsia="Calibri"/>
          <w:bCs/>
        </w:rPr>
        <w:t>Apart from changes to the proposed rule, we also newly estimated the annual burden of formatting traceability information as an electronic sortable spreadsheet upon request by FDA.</w:t>
      </w:r>
    </w:p>
    <w:p w:rsidR="00D06B76" w:rsidP="002C374A" w14:paraId="02AA477A" w14:textId="77777777">
      <w:pPr>
        <w:widowControl w:val="0"/>
        <w:contextualSpacing/>
        <w:rPr>
          <w:rFonts w:eastAsia="Calibri"/>
          <w:bCs/>
        </w:rPr>
      </w:pPr>
    </w:p>
    <w:p w:rsidR="00934449" w:rsidP="00BC60DB" w14:paraId="117A0636" w14:textId="512E6E7C">
      <w:pPr>
        <w:widowControl w:val="0"/>
        <w:contextualSpacing/>
        <w:rPr>
          <w:rFonts w:eastAsia="Calibri"/>
          <w:bCs/>
        </w:rPr>
      </w:pPr>
      <w:r w:rsidRPr="00557B5D">
        <w:rPr>
          <w:rFonts w:eastAsia="Calibri"/>
          <w:bCs/>
        </w:rPr>
        <w:t xml:space="preserve">Because we have deleted the requirements (in proposed § 1.1350(b)(2)) that farms disclose information (if applicable) about the origination, harvesting, cooling, and packing of food shipped by the farm, we have removed disclosure burden previously included.  Under § 1.1325(a)(2) and (b)(2) of the final rule, harvesters and coolers of FTL foods must disclose certain information about those activities to the initial packers of such food.  However, as we stated in the preamble to the proposed rule with respect to the disclosure burden for shippers of FTL foods (85 FR 59984 at 60027), we are including the estimate of burden we attribute to the disclosure requirements for harvesters and coolers as part of our recordkeeping burden estimate </w:t>
      </w:r>
      <w:r w:rsidRPr="00557B5D">
        <w:rPr>
          <w:rFonts w:eastAsia="Calibri"/>
          <w:bCs/>
        </w:rPr>
        <w:t>for these provisions because we believe this disclosure burden will be minimal, since these respondents must establish and maintain harvesting and cooling information in accordance with those provisions.</w:t>
      </w:r>
    </w:p>
    <w:p w:rsidR="00BC60DB" w:rsidRPr="00BC60DB" w:rsidP="00BC60DB" w14:paraId="7D516F39" w14:textId="77777777">
      <w:pPr>
        <w:widowControl w:val="0"/>
        <w:contextualSpacing/>
        <w:rPr>
          <w:rFonts w:eastAsia="Calibri"/>
          <w:bCs/>
        </w:rPr>
      </w:pPr>
    </w:p>
    <w:p w:rsidR="00357C8A" w:rsidRPr="00441B8D" w:rsidP="006B1F9C" w14:paraId="114CF9C5" w14:textId="7655626C">
      <w:pPr>
        <w:spacing w:after="200"/>
        <w:rPr>
          <w:rFonts w:eastAsia="Calibri"/>
        </w:rPr>
      </w:pPr>
      <w:r>
        <w:rPr>
          <w:rFonts w:eastAsia="Calibri"/>
        </w:rPr>
        <w:tab/>
      </w:r>
      <w:r w:rsidRPr="00CB474A">
        <w:rPr>
          <w:rFonts w:eastAsia="Calibri"/>
          <w:i/>
        </w:rPr>
        <w:t>12b.  Annualized Cost Burden Estimate</w:t>
      </w:r>
    </w:p>
    <w:p w:rsidR="00B8387F" w:rsidP="002B6E11" w14:paraId="708C91BB" w14:textId="14328EA2">
      <w:r>
        <w:t>As detailed in the</w:t>
      </w:r>
      <w:r w:rsidR="009966C5">
        <w:rPr>
          <w:rFonts w:eastAsia="Calibri"/>
        </w:rPr>
        <w:t xml:space="preserve"> </w:t>
      </w:r>
      <w:r w:rsidR="009966C5">
        <w:t>FRIA</w:t>
      </w:r>
      <w:r w:rsidR="009966C5">
        <w:rPr>
          <w:rFonts w:eastAsia="Calibri"/>
        </w:rPr>
        <w:t xml:space="preserve">, </w:t>
      </w:r>
      <w:r w:rsidRPr="000171C9" w:rsidR="009966C5">
        <w:t>Section II.</w:t>
      </w:r>
      <w:r w:rsidR="00A87D2C">
        <w:t>F</w:t>
      </w:r>
      <w:r>
        <w:t xml:space="preserve">, we estimate associated </w:t>
      </w:r>
      <w:r w:rsidR="0059504E">
        <w:t xml:space="preserve">annualized </w:t>
      </w:r>
      <w:r>
        <w:t>cost</w:t>
      </w:r>
      <w:r w:rsidR="0059504E">
        <w:t>s</w:t>
      </w:r>
      <w:r w:rsidR="00095FF6">
        <w:t xml:space="preserve"> </w:t>
      </w:r>
      <w:r w:rsidR="0059504E">
        <w:t>to respondents/recordkeepers to be roughly</w:t>
      </w:r>
      <w:r w:rsidR="002007F5">
        <w:t xml:space="preserve"> $</w:t>
      </w:r>
      <w:r w:rsidR="00D70180">
        <w:t>570</w:t>
      </w:r>
      <w:r w:rsidR="002007F5">
        <w:t xml:space="preserve"> million.  </w:t>
      </w:r>
      <w:r w:rsidR="0059504E">
        <w:t xml:space="preserve">  </w:t>
      </w:r>
    </w:p>
    <w:p w:rsidR="00E375CC" w:rsidP="00E375CC" w14:paraId="20110F7B" w14:textId="77777777">
      <w:pPr>
        <w:pStyle w:val="BodyText2"/>
      </w:pPr>
    </w:p>
    <w:p w:rsidR="00357C8A" w:rsidRPr="00357C8A" w:rsidP="006705EA" w14:paraId="498BB82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9363DF" w:rsidP="002B6E11" w14:paraId="5DC50446" w14:textId="6BFD3707">
      <w:pPr>
        <w:spacing w:after="200"/>
        <w:rPr>
          <w:rFonts w:eastAsia="Calibri"/>
          <w:u w:val="single"/>
        </w:rPr>
      </w:pPr>
      <w:r>
        <w:t>As detailed in</w:t>
      </w:r>
      <w:r>
        <w:rPr>
          <w:rFonts w:eastAsia="Calibri"/>
        </w:rPr>
        <w:t xml:space="preserve"> </w:t>
      </w:r>
      <w:r>
        <w:t>the FRIA</w:t>
      </w:r>
      <w:r>
        <w:rPr>
          <w:rFonts w:eastAsia="Calibri"/>
        </w:rPr>
        <w:t xml:space="preserve">, </w:t>
      </w:r>
      <w:r w:rsidRPr="000171C9">
        <w:t>Section II.</w:t>
      </w:r>
      <w:r>
        <w:t>F.3, we estimate associated onetime capital costs to respondents/recordkeepers to be roughly $</w:t>
      </w:r>
      <w:r w:rsidR="00576F1F">
        <w:t>1.1</w:t>
      </w:r>
      <w:r>
        <w:t xml:space="preserve"> </w:t>
      </w:r>
      <w:r w:rsidR="00576F1F">
        <w:t>b</w:t>
      </w:r>
      <w:r>
        <w:t>illion.</w:t>
      </w:r>
      <w:r w:rsidR="00420F04">
        <w:t xml:space="preserve">  Annual operation and maintenance costs are estimated to </w:t>
      </w:r>
      <w:r w:rsidR="00437851">
        <w:t>be</w:t>
      </w:r>
      <w:r w:rsidR="00420F04">
        <w:t xml:space="preserve"> $185 million.  Note that </w:t>
      </w:r>
      <w:r w:rsidR="00437851">
        <w:t xml:space="preserve">these costs are </w:t>
      </w:r>
      <w:r w:rsidR="00E97268">
        <w:t xml:space="preserve">also </w:t>
      </w:r>
      <w:r w:rsidR="00437851">
        <w:t xml:space="preserve">included in the annualized estimated </w:t>
      </w:r>
      <w:r w:rsidR="00E97268">
        <w:t xml:space="preserve">burden </w:t>
      </w:r>
      <w:r w:rsidR="00437851">
        <w:t xml:space="preserve">reported in </w:t>
      </w:r>
      <w:r w:rsidR="00E97268">
        <w:t>section 12b of this document.</w:t>
      </w:r>
    </w:p>
    <w:p w:rsidR="00357C8A" w:rsidRPr="00357C8A" w:rsidP="002B6E11" w14:paraId="62961A01" w14:textId="09EBC292">
      <w:pPr>
        <w:pStyle w:val="ListParagraph"/>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33707C18" w14:textId="56C88574">
      <w:pPr>
        <w:spacing w:after="200"/>
        <w:rPr>
          <w:rFonts w:eastAsia="Calibri"/>
        </w:rPr>
      </w:pPr>
      <w:r w:rsidRPr="00A2634C">
        <w:rPr>
          <w:rFonts w:eastAsia="Calibri"/>
        </w:rPr>
        <w:t xml:space="preserve">Our review of the retained records </w:t>
      </w:r>
      <w:r w:rsidR="00790716">
        <w:rPr>
          <w:rFonts w:eastAsia="Calibri"/>
        </w:rPr>
        <w:t xml:space="preserve">would </w:t>
      </w:r>
      <w:r w:rsidRPr="00A2634C">
        <w:rPr>
          <w:rFonts w:eastAsia="Calibri"/>
        </w:rPr>
        <w:t>occur as part of inspection activities.  We devote approximately 5 hours per inspection to the inspection of records.  We estimate the cost to the Federal government for the review of records retained by a firm to be $4</w:t>
      </w:r>
      <w:r>
        <w:rPr>
          <w:rFonts w:eastAsia="Calibri"/>
        </w:rPr>
        <w:t>91</w:t>
      </w:r>
      <w:r w:rsidRPr="00A2634C">
        <w:rPr>
          <w:rFonts w:eastAsia="Calibri"/>
        </w:rPr>
        <w:t>.</w:t>
      </w:r>
      <w:r>
        <w:rPr>
          <w:rFonts w:eastAsia="Calibri"/>
        </w:rPr>
        <w:t>9</w:t>
      </w:r>
      <w:r w:rsidRPr="00A2634C">
        <w:rPr>
          <w:rFonts w:eastAsia="Calibri"/>
        </w:rPr>
        <w:t>0 per review.  In this calculation of cost, we estimate the hourly cost for review and evaluation to be $4</w:t>
      </w:r>
      <w:r>
        <w:rPr>
          <w:rFonts w:eastAsia="Calibri"/>
        </w:rPr>
        <w:t>9</w:t>
      </w:r>
      <w:r w:rsidRPr="00A2634C">
        <w:rPr>
          <w:rFonts w:eastAsia="Calibri"/>
        </w:rPr>
        <w:t>.</w:t>
      </w:r>
      <w:r>
        <w:rPr>
          <w:rFonts w:eastAsia="Calibri"/>
        </w:rPr>
        <w:t>19</w:t>
      </w:r>
      <w:r w:rsidRPr="00A2634C">
        <w:rPr>
          <w:rFonts w:eastAsia="Calibri"/>
        </w:rPr>
        <w:t xml:space="preserve"> per hour, the GS-13/Step-1 rate for the Washington-Baltimore locality pay area for the year 20</w:t>
      </w:r>
      <w:r>
        <w:rPr>
          <w:rFonts w:eastAsia="Calibri"/>
        </w:rPr>
        <w:t>20</w:t>
      </w:r>
      <w:r w:rsidRPr="00A2634C">
        <w:rPr>
          <w:rFonts w:eastAsia="Calibri"/>
        </w:rPr>
        <w:t>.  Five hours multiplied by $4</w:t>
      </w:r>
      <w:r>
        <w:rPr>
          <w:rFonts w:eastAsia="Calibri"/>
        </w:rPr>
        <w:t>9.19</w:t>
      </w:r>
      <w:r w:rsidRPr="00A2634C">
        <w:rPr>
          <w:rFonts w:eastAsia="Calibri"/>
        </w:rPr>
        <w:t xml:space="preserve"> per hour equals $2</w:t>
      </w:r>
      <w:r>
        <w:rPr>
          <w:rFonts w:eastAsia="Calibri"/>
        </w:rPr>
        <w:t>45.95</w:t>
      </w:r>
      <w:r w:rsidRPr="00A2634C">
        <w:rPr>
          <w:rFonts w:eastAsia="Calibri"/>
        </w:rPr>
        <w:t>.  To account for overhead, this cost is increased by 100 percent, making the total annualized cost to the Federal government $4</w:t>
      </w:r>
      <w:r>
        <w:rPr>
          <w:rFonts w:eastAsia="Calibri"/>
        </w:rPr>
        <w:t>91.90</w:t>
      </w:r>
      <w:r w:rsidRPr="00A2634C">
        <w:rPr>
          <w:rFonts w:eastAsia="Calibri"/>
        </w:rPr>
        <w:t xml:space="preserve"> per review.  If we inspected 1,000 firms annually, we estimate that the total annual cost to the Federal government would be $4</w:t>
      </w:r>
      <w:r>
        <w:rPr>
          <w:rFonts w:eastAsia="Calibri"/>
        </w:rPr>
        <w:t>91</w:t>
      </w:r>
      <w:r w:rsidRPr="00A2634C">
        <w:rPr>
          <w:rFonts w:eastAsia="Calibri"/>
        </w:rPr>
        <w:t>,</w:t>
      </w:r>
      <w:r>
        <w:rPr>
          <w:rFonts w:eastAsia="Calibri"/>
        </w:rPr>
        <w:t>9</w:t>
      </w:r>
      <w:r w:rsidRPr="00A2634C">
        <w:rPr>
          <w:rFonts w:eastAsia="Calibri"/>
        </w:rPr>
        <w:t>00 ($4</w:t>
      </w:r>
      <w:r>
        <w:rPr>
          <w:rFonts w:eastAsia="Calibri"/>
        </w:rPr>
        <w:t>91.90</w:t>
      </w:r>
      <w:r w:rsidRPr="00A2634C">
        <w:rPr>
          <w:rFonts w:eastAsia="Calibri"/>
        </w:rPr>
        <w:t xml:space="preserve"> x 1,000).</w:t>
      </w:r>
    </w:p>
    <w:p w:rsidR="00357C8A" w:rsidP="006705EA" w14:paraId="7D55757D"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B66E77" w:rsidP="00357C8A" w14:paraId="52893545" w14:textId="4754D3B7">
      <w:pPr>
        <w:spacing w:after="200"/>
        <w:rPr>
          <w:rFonts w:eastAsia="Calibri"/>
          <w:color w:val="000000"/>
        </w:rPr>
      </w:pPr>
      <w:r>
        <w:rPr>
          <w:rFonts w:eastAsia="Calibri"/>
        </w:rPr>
        <w:t>Th</w:t>
      </w:r>
      <w:r w:rsidR="00837B35">
        <w:rPr>
          <w:rFonts w:eastAsia="Calibri"/>
        </w:rPr>
        <w:t xml:space="preserve">e information collection </w:t>
      </w:r>
      <w:r w:rsidR="007E14F6">
        <w:rPr>
          <w:rFonts w:eastAsia="Calibri"/>
        </w:rPr>
        <w:t xml:space="preserve">establishes </w:t>
      </w:r>
      <w:r w:rsidR="00837B35">
        <w:rPr>
          <w:rFonts w:eastAsia="Calibri"/>
        </w:rPr>
        <w:t xml:space="preserve">new </w:t>
      </w:r>
      <w:r w:rsidR="00475127">
        <w:rPr>
          <w:rFonts w:eastAsia="Calibri"/>
        </w:rPr>
        <w:t xml:space="preserve">regulatory </w:t>
      </w:r>
      <w:r w:rsidR="00837B35">
        <w:rPr>
          <w:rFonts w:eastAsia="Calibri"/>
        </w:rPr>
        <w:t>requirements</w:t>
      </w:r>
      <w:r w:rsidR="00DF1FFC">
        <w:rPr>
          <w:rFonts w:eastAsia="Calibri"/>
        </w:rPr>
        <w:t xml:space="preserve"> applicable to the traceability of foods</w:t>
      </w:r>
      <w:r w:rsidR="00160915">
        <w:rPr>
          <w:rFonts w:eastAsia="Calibri"/>
        </w:rPr>
        <w:t xml:space="preserve">; introducing a total of </w:t>
      </w:r>
      <w:r w:rsidR="00061D7E">
        <w:rPr>
          <w:rFonts w:eastAsia="Calibri"/>
        </w:rPr>
        <w:t>16,250,999</w:t>
      </w:r>
      <w:r w:rsidR="00F97C43">
        <w:rPr>
          <w:rFonts w:eastAsia="Calibri"/>
        </w:rPr>
        <w:t xml:space="preserve"> </w:t>
      </w:r>
      <w:r w:rsidR="00342B84">
        <w:rPr>
          <w:rFonts w:eastAsia="Calibri"/>
        </w:rPr>
        <w:t>hours and 2,986,578,627</w:t>
      </w:r>
      <w:r w:rsidR="007E14F6">
        <w:rPr>
          <w:rFonts w:eastAsia="Calibri"/>
        </w:rPr>
        <w:t xml:space="preserve"> records annual</w:t>
      </w:r>
      <w:r w:rsidR="0099764D">
        <w:rPr>
          <w:rFonts w:eastAsia="Calibri"/>
        </w:rPr>
        <w:t xml:space="preserve">ly, including one-time burden for learning and </w:t>
      </w:r>
      <w:r w:rsidR="00191DF2">
        <w:rPr>
          <w:rFonts w:eastAsia="Calibri"/>
        </w:rPr>
        <w:t>implementation.</w:t>
      </w:r>
    </w:p>
    <w:p w:rsidR="00357C8A" w:rsidRPr="00357C8A" w:rsidP="006705EA" w14:paraId="74CD717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B66E77" w:rsidP="00357C8A" w14:paraId="088663BC" w14:textId="77777777">
      <w:pPr>
        <w:spacing w:after="200"/>
        <w:rPr>
          <w:rFonts w:eastAsia="Calibri"/>
          <w:color w:val="000000"/>
        </w:rPr>
      </w:pPr>
      <w:r w:rsidRPr="00A1203C">
        <w:t xml:space="preserve">The information </w:t>
      </w:r>
      <w:r>
        <w:t>c</w:t>
      </w:r>
      <w:r w:rsidRPr="00A1203C">
        <w:t>ollect</w:t>
      </w:r>
      <w:r>
        <w:t>ed</w:t>
      </w:r>
      <w:r w:rsidRPr="00A1203C">
        <w:t xml:space="preserve"> will not be published</w:t>
      </w:r>
      <w:r>
        <w:t xml:space="preserve"> or tabulated.</w:t>
      </w:r>
    </w:p>
    <w:p w:rsidR="00357C8A" w:rsidRPr="00357C8A" w:rsidP="006705EA" w14:paraId="26ACC8B0"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07691" w:rsidRPr="00357C8A" w:rsidP="00707691" w14:paraId="4D9BD3EA" w14:textId="0C32C1EB">
      <w:pPr>
        <w:spacing w:after="200"/>
        <w:rPr>
          <w:rFonts w:eastAsia="Calibri"/>
          <w:u w:val="single"/>
        </w:rPr>
      </w:pPr>
      <w:r>
        <w:rPr>
          <w:rFonts w:eastAsia="Calibri"/>
        </w:rPr>
        <w:t xml:space="preserve">FDA will </w:t>
      </w:r>
      <w:r w:rsidRPr="00A1203C" w:rsidR="00A1203C">
        <w:rPr>
          <w:rFonts w:eastAsia="Calibri"/>
        </w:rPr>
        <w:t xml:space="preserve">display </w:t>
      </w:r>
      <w:r>
        <w:rPr>
          <w:rFonts w:eastAsia="Calibri"/>
        </w:rPr>
        <w:t xml:space="preserve">the OMB </w:t>
      </w:r>
      <w:r>
        <w:rPr>
          <w:rFonts w:eastAsia="Calibri"/>
        </w:rPr>
        <w:t xml:space="preserve">control no. </w:t>
      </w:r>
      <w:r w:rsidRPr="00A1203C" w:rsidR="00A1203C">
        <w:rPr>
          <w:rFonts w:eastAsia="Calibri"/>
        </w:rPr>
        <w:t xml:space="preserve">expiration date </w:t>
      </w:r>
      <w:r>
        <w:rPr>
          <w:rFonts w:eastAsia="Calibri"/>
        </w:rPr>
        <w:t>and explain its significance to respondents as required under 5 CFR 1320.5.</w:t>
      </w:r>
      <w:r w:rsidRPr="00357C8A">
        <w:rPr>
          <w:rFonts w:eastAsia="Calibri"/>
          <w:u w:val="single"/>
        </w:rPr>
        <w:t xml:space="preserve"> </w:t>
      </w:r>
    </w:p>
    <w:p w:rsidR="00357C8A" w:rsidRPr="00357C8A" w:rsidP="006705EA" w14:paraId="6E1D98E3" w14:textId="5B0D79F4">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P="00A1203C" w14:paraId="007F375A" w14:textId="77777777">
      <w:pPr>
        <w:spacing w:after="200"/>
        <w:rPr>
          <w:rFonts w:eastAsia="Calibri"/>
        </w:rPr>
      </w:pPr>
      <w:r w:rsidRPr="007E59A8">
        <w:rPr>
          <w:rFonts w:eastAsia="Calibri"/>
        </w:rPr>
        <w:t>There are no exceptions to the certification</w:t>
      </w:r>
      <w:r w:rsidR="00540186">
        <w:rPr>
          <w:rFonts w:eastAsia="Calibri"/>
        </w:rPr>
        <w:t>.</w:t>
      </w:r>
      <w:r w:rsidRPr="00357C8A" w:rsidR="00A1203C">
        <w:rPr>
          <w:rFonts w:eastAsia="Calibri"/>
        </w:rPr>
        <w:t xml:space="preserve"> </w:t>
      </w:r>
    </w:p>
    <w:p w:rsidR="00956AA6" w:rsidRPr="00C20690" w:rsidP="00A1203C" w14:paraId="14D689B1" w14:textId="77777777">
      <w:pPr>
        <w:spacing w:after="200"/>
        <w:rPr>
          <w:rFonts w:eastAsia="Calibri"/>
        </w:rPr>
      </w:pPr>
    </w:p>
    <w:sectPr w:rsidSect="007E174B">
      <w:footerReference w:type="even" r:id="rId5"/>
      <w:footerReference w:type="defaul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669D63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3F0EBE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2F9B42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25C9D5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5014"/>
    <w:rsid w:val="00015118"/>
    <w:rsid w:val="000171C9"/>
    <w:rsid w:val="000307A0"/>
    <w:rsid w:val="00031A2C"/>
    <w:rsid w:val="00042B93"/>
    <w:rsid w:val="00043C7F"/>
    <w:rsid w:val="00045D51"/>
    <w:rsid w:val="000467A8"/>
    <w:rsid w:val="00053C7F"/>
    <w:rsid w:val="00057E22"/>
    <w:rsid w:val="00061D7E"/>
    <w:rsid w:val="000653D9"/>
    <w:rsid w:val="0006570F"/>
    <w:rsid w:val="00074044"/>
    <w:rsid w:val="000756EE"/>
    <w:rsid w:val="00075DE8"/>
    <w:rsid w:val="00075E69"/>
    <w:rsid w:val="00076B5F"/>
    <w:rsid w:val="00077D64"/>
    <w:rsid w:val="00084289"/>
    <w:rsid w:val="00084C69"/>
    <w:rsid w:val="000855DF"/>
    <w:rsid w:val="0008640B"/>
    <w:rsid w:val="00087439"/>
    <w:rsid w:val="00091901"/>
    <w:rsid w:val="00095FF6"/>
    <w:rsid w:val="00097B39"/>
    <w:rsid w:val="000A2BB3"/>
    <w:rsid w:val="000A3FE2"/>
    <w:rsid w:val="000A4573"/>
    <w:rsid w:val="000A748D"/>
    <w:rsid w:val="000B4203"/>
    <w:rsid w:val="000C1260"/>
    <w:rsid w:val="000C560C"/>
    <w:rsid w:val="000C7327"/>
    <w:rsid w:val="000D080B"/>
    <w:rsid w:val="000D278D"/>
    <w:rsid w:val="000D48FD"/>
    <w:rsid w:val="000D79CC"/>
    <w:rsid w:val="000E1C64"/>
    <w:rsid w:val="000E4B51"/>
    <w:rsid w:val="000E6F10"/>
    <w:rsid w:val="000E71A8"/>
    <w:rsid w:val="000E7D1E"/>
    <w:rsid w:val="000F0FD3"/>
    <w:rsid w:val="000F160B"/>
    <w:rsid w:val="000F1A86"/>
    <w:rsid w:val="000F4C23"/>
    <w:rsid w:val="000F4F20"/>
    <w:rsid w:val="000F7119"/>
    <w:rsid w:val="00100739"/>
    <w:rsid w:val="0010493E"/>
    <w:rsid w:val="001075D3"/>
    <w:rsid w:val="00107885"/>
    <w:rsid w:val="00111BD0"/>
    <w:rsid w:val="00114FC4"/>
    <w:rsid w:val="00117CFF"/>
    <w:rsid w:val="00122C76"/>
    <w:rsid w:val="00122E0F"/>
    <w:rsid w:val="0012321A"/>
    <w:rsid w:val="0012329C"/>
    <w:rsid w:val="00125465"/>
    <w:rsid w:val="00134FA7"/>
    <w:rsid w:val="00137950"/>
    <w:rsid w:val="00137A5D"/>
    <w:rsid w:val="00140102"/>
    <w:rsid w:val="0014236D"/>
    <w:rsid w:val="001463E6"/>
    <w:rsid w:val="00152F29"/>
    <w:rsid w:val="00154141"/>
    <w:rsid w:val="00160915"/>
    <w:rsid w:val="00165D4A"/>
    <w:rsid w:val="001664FD"/>
    <w:rsid w:val="001675AE"/>
    <w:rsid w:val="00174D54"/>
    <w:rsid w:val="0017702C"/>
    <w:rsid w:val="00185270"/>
    <w:rsid w:val="00190148"/>
    <w:rsid w:val="00191DF2"/>
    <w:rsid w:val="00194D93"/>
    <w:rsid w:val="001A3B5A"/>
    <w:rsid w:val="001A77E5"/>
    <w:rsid w:val="001B6385"/>
    <w:rsid w:val="001B7CE9"/>
    <w:rsid w:val="001D495A"/>
    <w:rsid w:val="001D4A37"/>
    <w:rsid w:val="001E1180"/>
    <w:rsid w:val="001E244C"/>
    <w:rsid w:val="001E3A85"/>
    <w:rsid w:val="001E6510"/>
    <w:rsid w:val="001F1437"/>
    <w:rsid w:val="001F4B5A"/>
    <w:rsid w:val="001F532D"/>
    <w:rsid w:val="001F702B"/>
    <w:rsid w:val="00200251"/>
    <w:rsid w:val="002007F5"/>
    <w:rsid w:val="002010C0"/>
    <w:rsid w:val="002049CF"/>
    <w:rsid w:val="00206799"/>
    <w:rsid w:val="002074FE"/>
    <w:rsid w:val="00210E83"/>
    <w:rsid w:val="0021515E"/>
    <w:rsid w:val="00215B01"/>
    <w:rsid w:val="00217196"/>
    <w:rsid w:val="00217D03"/>
    <w:rsid w:val="002215D9"/>
    <w:rsid w:val="00223524"/>
    <w:rsid w:val="0022358A"/>
    <w:rsid w:val="0022425B"/>
    <w:rsid w:val="002259EF"/>
    <w:rsid w:val="002354CA"/>
    <w:rsid w:val="00236450"/>
    <w:rsid w:val="00242ED1"/>
    <w:rsid w:val="00243951"/>
    <w:rsid w:val="002444BB"/>
    <w:rsid w:val="00246FE0"/>
    <w:rsid w:val="00254069"/>
    <w:rsid w:val="002558EF"/>
    <w:rsid w:val="002662DB"/>
    <w:rsid w:val="00270748"/>
    <w:rsid w:val="00271716"/>
    <w:rsid w:val="002734E5"/>
    <w:rsid w:val="002746DB"/>
    <w:rsid w:val="00277A39"/>
    <w:rsid w:val="00280BB0"/>
    <w:rsid w:val="00280CAF"/>
    <w:rsid w:val="00281578"/>
    <w:rsid w:val="00281AD4"/>
    <w:rsid w:val="00281C7D"/>
    <w:rsid w:val="0028211E"/>
    <w:rsid w:val="00282A1E"/>
    <w:rsid w:val="00282F09"/>
    <w:rsid w:val="00283D5C"/>
    <w:rsid w:val="00291810"/>
    <w:rsid w:val="00294D62"/>
    <w:rsid w:val="00295311"/>
    <w:rsid w:val="00297532"/>
    <w:rsid w:val="00297FFD"/>
    <w:rsid w:val="002A1210"/>
    <w:rsid w:val="002A47D2"/>
    <w:rsid w:val="002A6DAD"/>
    <w:rsid w:val="002A7FB5"/>
    <w:rsid w:val="002B2074"/>
    <w:rsid w:val="002B6E11"/>
    <w:rsid w:val="002C0CBD"/>
    <w:rsid w:val="002C374A"/>
    <w:rsid w:val="002C427E"/>
    <w:rsid w:val="002C4A3E"/>
    <w:rsid w:val="002C5DA9"/>
    <w:rsid w:val="002C639E"/>
    <w:rsid w:val="002D14D8"/>
    <w:rsid w:val="002D2F4E"/>
    <w:rsid w:val="002D4799"/>
    <w:rsid w:val="002D6715"/>
    <w:rsid w:val="002E3FA4"/>
    <w:rsid w:val="002E53A5"/>
    <w:rsid w:val="002E64B8"/>
    <w:rsid w:val="002E6834"/>
    <w:rsid w:val="002F28FA"/>
    <w:rsid w:val="00302B67"/>
    <w:rsid w:val="00303403"/>
    <w:rsid w:val="003113FF"/>
    <w:rsid w:val="00311612"/>
    <w:rsid w:val="00312622"/>
    <w:rsid w:val="00312CCF"/>
    <w:rsid w:val="00315E67"/>
    <w:rsid w:val="00320091"/>
    <w:rsid w:val="00320878"/>
    <w:rsid w:val="00320988"/>
    <w:rsid w:val="0032277F"/>
    <w:rsid w:val="003311CA"/>
    <w:rsid w:val="0033524E"/>
    <w:rsid w:val="00336B69"/>
    <w:rsid w:val="00336E9C"/>
    <w:rsid w:val="00342B84"/>
    <w:rsid w:val="0034302B"/>
    <w:rsid w:val="003461A7"/>
    <w:rsid w:val="00346B0F"/>
    <w:rsid w:val="00347554"/>
    <w:rsid w:val="00347C24"/>
    <w:rsid w:val="00350523"/>
    <w:rsid w:val="0035189D"/>
    <w:rsid w:val="0035527D"/>
    <w:rsid w:val="00355B62"/>
    <w:rsid w:val="00357C8A"/>
    <w:rsid w:val="00363D54"/>
    <w:rsid w:val="00363DCD"/>
    <w:rsid w:val="003704CC"/>
    <w:rsid w:val="003740BC"/>
    <w:rsid w:val="0037456B"/>
    <w:rsid w:val="003801A3"/>
    <w:rsid w:val="00380363"/>
    <w:rsid w:val="00381EC6"/>
    <w:rsid w:val="00383D90"/>
    <w:rsid w:val="00384969"/>
    <w:rsid w:val="003870AE"/>
    <w:rsid w:val="0038793A"/>
    <w:rsid w:val="00394210"/>
    <w:rsid w:val="003963EC"/>
    <w:rsid w:val="003A1A27"/>
    <w:rsid w:val="003A50CC"/>
    <w:rsid w:val="003A62E0"/>
    <w:rsid w:val="003A663E"/>
    <w:rsid w:val="003A7F08"/>
    <w:rsid w:val="003B2E19"/>
    <w:rsid w:val="003B42B3"/>
    <w:rsid w:val="003B5A2A"/>
    <w:rsid w:val="003B6384"/>
    <w:rsid w:val="003C0FE2"/>
    <w:rsid w:val="003C3ABA"/>
    <w:rsid w:val="003C4EBB"/>
    <w:rsid w:val="003D1531"/>
    <w:rsid w:val="003E1D5F"/>
    <w:rsid w:val="003E4EC6"/>
    <w:rsid w:val="003E527E"/>
    <w:rsid w:val="003E553E"/>
    <w:rsid w:val="003E5AD8"/>
    <w:rsid w:val="003E6FB0"/>
    <w:rsid w:val="003E7078"/>
    <w:rsid w:val="003F3DF5"/>
    <w:rsid w:val="003F73B8"/>
    <w:rsid w:val="00401E28"/>
    <w:rsid w:val="0040217F"/>
    <w:rsid w:val="0040297E"/>
    <w:rsid w:val="00405A2C"/>
    <w:rsid w:val="00407BD5"/>
    <w:rsid w:val="00410E35"/>
    <w:rsid w:val="00411D11"/>
    <w:rsid w:val="00414494"/>
    <w:rsid w:val="00415E23"/>
    <w:rsid w:val="0041670D"/>
    <w:rsid w:val="00420F04"/>
    <w:rsid w:val="00423272"/>
    <w:rsid w:val="00424061"/>
    <w:rsid w:val="00427F23"/>
    <w:rsid w:val="00431F03"/>
    <w:rsid w:val="00433F27"/>
    <w:rsid w:val="00437851"/>
    <w:rsid w:val="00441B8D"/>
    <w:rsid w:val="00442A3C"/>
    <w:rsid w:val="00443969"/>
    <w:rsid w:val="00444C52"/>
    <w:rsid w:val="00447D74"/>
    <w:rsid w:val="00450A74"/>
    <w:rsid w:val="00453752"/>
    <w:rsid w:val="004546BF"/>
    <w:rsid w:val="00456BEF"/>
    <w:rsid w:val="004622CA"/>
    <w:rsid w:val="00463F53"/>
    <w:rsid w:val="00465350"/>
    <w:rsid w:val="00475127"/>
    <w:rsid w:val="00476359"/>
    <w:rsid w:val="00476B91"/>
    <w:rsid w:val="00482ADA"/>
    <w:rsid w:val="0048358E"/>
    <w:rsid w:val="004846BF"/>
    <w:rsid w:val="00494912"/>
    <w:rsid w:val="00495910"/>
    <w:rsid w:val="004A5323"/>
    <w:rsid w:val="004A5A99"/>
    <w:rsid w:val="004B388C"/>
    <w:rsid w:val="004B491B"/>
    <w:rsid w:val="004B4BDF"/>
    <w:rsid w:val="004B65C3"/>
    <w:rsid w:val="004C347E"/>
    <w:rsid w:val="004C6979"/>
    <w:rsid w:val="004D13A2"/>
    <w:rsid w:val="004D3831"/>
    <w:rsid w:val="004D3E7A"/>
    <w:rsid w:val="004D740E"/>
    <w:rsid w:val="004D76FC"/>
    <w:rsid w:val="004E14E6"/>
    <w:rsid w:val="004E2133"/>
    <w:rsid w:val="004E228A"/>
    <w:rsid w:val="004F594B"/>
    <w:rsid w:val="004F61E1"/>
    <w:rsid w:val="004F7E2D"/>
    <w:rsid w:val="00501D34"/>
    <w:rsid w:val="00505E8D"/>
    <w:rsid w:val="00507859"/>
    <w:rsid w:val="00511706"/>
    <w:rsid w:val="005118D1"/>
    <w:rsid w:val="00522E66"/>
    <w:rsid w:val="00523A4F"/>
    <w:rsid w:val="00532255"/>
    <w:rsid w:val="0053380B"/>
    <w:rsid w:val="00535419"/>
    <w:rsid w:val="00540186"/>
    <w:rsid w:val="00541444"/>
    <w:rsid w:val="00543194"/>
    <w:rsid w:val="0054406F"/>
    <w:rsid w:val="00544138"/>
    <w:rsid w:val="0055266A"/>
    <w:rsid w:val="00554119"/>
    <w:rsid w:val="00554E34"/>
    <w:rsid w:val="00557B5D"/>
    <w:rsid w:val="005611C3"/>
    <w:rsid w:val="00565E14"/>
    <w:rsid w:val="0057237C"/>
    <w:rsid w:val="00576F1F"/>
    <w:rsid w:val="00584583"/>
    <w:rsid w:val="00590E90"/>
    <w:rsid w:val="00590EEB"/>
    <w:rsid w:val="0059504E"/>
    <w:rsid w:val="005965FF"/>
    <w:rsid w:val="005A24D1"/>
    <w:rsid w:val="005A4099"/>
    <w:rsid w:val="005A79C6"/>
    <w:rsid w:val="005C38B2"/>
    <w:rsid w:val="005C5029"/>
    <w:rsid w:val="005C5520"/>
    <w:rsid w:val="005C55C2"/>
    <w:rsid w:val="005C71CA"/>
    <w:rsid w:val="005C745C"/>
    <w:rsid w:val="005D4744"/>
    <w:rsid w:val="005D4DF5"/>
    <w:rsid w:val="005E42BA"/>
    <w:rsid w:val="006018B7"/>
    <w:rsid w:val="00611D6B"/>
    <w:rsid w:val="00614B36"/>
    <w:rsid w:val="006212AF"/>
    <w:rsid w:val="00621479"/>
    <w:rsid w:val="0062422A"/>
    <w:rsid w:val="00630A49"/>
    <w:rsid w:val="006326EC"/>
    <w:rsid w:val="00635C58"/>
    <w:rsid w:val="00635DFE"/>
    <w:rsid w:val="00636810"/>
    <w:rsid w:val="00640332"/>
    <w:rsid w:val="00654092"/>
    <w:rsid w:val="006558B2"/>
    <w:rsid w:val="00656AF0"/>
    <w:rsid w:val="00663A42"/>
    <w:rsid w:val="006641C7"/>
    <w:rsid w:val="0066431E"/>
    <w:rsid w:val="00664561"/>
    <w:rsid w:val="006705EA"/>
    <w:rsid w:val="00670BE2"/>
    <w:rsid w:val="00671568"/>
    <w:rsid w:val="00677054"/>
    <w:rsid w:val="006834D7"/>
    <w:rsid w:val="006875AB"/>
    <w:rsid w:val="006916D9"/>
    <w:rsid w:val="006961D6"/>
    <w:rsid w:val="00697101"/>
    <w:rsid w:val="006A07A3"/>
    <w:rsid w:val="006A0E05"/>
    <w:rsid w:val="006A26C6"/>
    <w:rsid w:val="006A465A"/>
    <w:rsid w:val="006A79A9"/>
    <w:rsid w:val="006A7D5D"/>
    <w:rsid w:val="006B15C4"/>
    <w:rsid w:val="006B1F9C"/>
    <w:rsid w:val="006B25F2"/>
    <w:rsid w:val="006C21DC"/>
    <w:rsid w:val="006D0C12"/>
    <w:rsid w:val="006D5D57"/>
    <w:rsid w:val="006D66E3"/>
    <w:rsid w:val="006E2538"/>
    <w:rsid w:val="006E302F"/>
    <w:rsid w:val="006E58EC"/>
    <w:rsid w:val="006F1B39"/>
    <w:rsid w:val="006F388D"/>
    <w:rsid w:val="006F4D14"/>
    <w:rsid w:val="006F4D6D"/>
    <w:rsid w:val="006F55BC"/>
    <w:rsid w:val="00705086"/>
    <w:rsid w:val="00705C97"/>
    <w:rsid w:val="00707691"/>
    <w:rsid w:val="00710121"/>
    <w:rsid w:val="00722001"/>
    <w:rsid w:val="00731D52"/>
    <w:rsid w:val="00735651"/>
    <w:rsid w:val="0073588B"/>
    <w:rsid w:val="0074154C"/>
    <w:rsid w:val="007450F1"/>
    <w:rsid w:val="00751E66"/>
    <w:rsid w:val="00754497"/>
    <w:rsid w:val="00761109"/>
    <w:rsid w:val="00761FBD"/>
    <w:rsid w:val="00763E57"/>
    <w:rsid w:val="007664E8"/>
    <w:rsid w:val="0077167B"/>
    <w:rsid w:val="0077527E"/>
    <w:rsid w:val="007776C4"/>
    <w:rsid w:val="00787C39"/>
    <w:rsid w:val="00787EAF"/>
    <w:rsid w:val="00790716"/>
    <w:rsid w:val="00791CB6"/>
    <w:rsid w:val="00792947"/>
    <w:rsid w:val="00794133"/>
    <w:rsid w:val="0079567E"/>
    <w:rsid w:val="00795DF3"/>
    <w:rsid w:val="00797814"/>
    <w:rsid w:val="007A373C"/>
    <w:rsid w:val="007B0D3E"/>
    <w:rsid w:val="007B150C"/>
    <w:rsid w:val="007B225C"/>
    <w:rsid w:val="007B67D6"/>
    <w:rsid w:val="007B68C5"/>
    <w:rsid w:val="007B732E"/>
    <w:rsid w:val="007C44F0"/>
    <w:rsid w:val="007C6325"/>
    <w:rsid w:val="007C7520"/>
    <w:rsid w:val="007C75B1"/>
    <w:rsid w:val="007D28B8"/>
    <w:rsid w:val="007D3DFC"/>
    <w:rsid w:val="007D6C81"/>
    <w:rsid w:val="007E14F6"/>
    <w:rsid w:val="007E174B"/>
    <w:rsid w:val="007E2F07"/>
    <w:rsid w:val="007E3EF7"/>
    <w:rsid w:val="007E59A8"/>
    <w:rsid w:val="007F056B"/>
    <w:rsid w:val="007F65BA"/>
    <w:rsid w:val="0080051F"/>
    <w:rsid w:val="0080171A"/>
    <w:rsid w:val="0080776D"/>
    <w:rsid w:val="0080798F"/>
    <w:rsid w:val="00810145"/>
    <w:rsid w:val="00810692"/>
    <w:rsid w:val="008108FA"/>
    <w:rsid w:val="00810FF1"/>
    <w:rsid w:val="00813214"/>
    <w:rsid w:val="00815227"/>
    <w:rsid w:val="00822336"/>
    <w:rsid w:val="008238B9"/>
    <w:rsid w:val="00823DFA"/>
    <w:rsid w:val="00831C54"/>
    <w:rsid w:val="008320CF"/>
    <w:rsid w:val="00832C3E"/>
    <w:rsid w:val="00832D22"/>
    <w:rsid w:val="00832F07"/>
    <w:rsid w:val="00837B35"/>
    <w:rsid w:val="00842C87"/>
    <w:rsid w:val="00842DB7"/>
    <w:rsid w:val="00843752"/>
    <w:rsid w:val="008444B9"/>
    <w:rsid w:val="008444D9"/>
    <w:rsid w:val="0084479F"/>
    <w:rsid w:val="00854501"/>
    <w:rsid w:val="008555F2"/>
    <w:rsid w:val="0085725E"/>
    <w:rsid w:val="008704DF"/>
    <w:rsid w:val="00873D4F"/>
    <w:rsid w:val="0087509F"/>
    <w:rsid w:val="0087631B"/>
    <w:rsid w:val="008770E7"/>
    <w:rsid w:val="00881089"/>
    <w:rsid w:val="00885B09"/>
    <w:rsid w:val="00892400"/>
    <w:rsid w:val="008A209D"/>
    <w:rsid w:val="008A22BB"/>
    <w:rsid w:val="008A3245"/>
    <w:rsid w:val="008A4462"/>
    <w:rsid w:val="008B016C"/>
    <w:rsid w:val="008B035D"/>
    <w:rsid w:val="008B0E29"/>
    <w:rsid w:val="008B0EFA"/>
    <w:rsid w:val="008B30AB"/>
    <w:rsid w:val="008B4CA6"/>
    <w:rsid w:val="008B7115"/>
    <w:rsid w:val="008C3BB8"/>
    <w:rsid w:val="008C4B65"/>
    <w:rsid w:val="008C6199"/>
    <w:rsid w:val="008D1EEE"/>
    <w:rsid w:val="008E0750"/>
    <w:rsid w:val="008E355C"/>
    <w:rsid w:val="008E5F55"/>
    <w:rsid w:val="008F12E1"/>
    <w:rsid w:val="009009E7"/>
    <w:rsid w:val="00900E80"/>
    <w:rsid w:val="00904B0E"/>
    <w:rsid w:val="00905DEF"/>
    <w:rsid w:val="00906056"/>
    <w:rsid w:val="00906E7C"/>
    <w:rsid w:val="0090768E"/>
    <w:rsid w:val="00910FB6"/>
    <w:rsid w:val="0091227E"/>
    <w:rsid w:val="009122AE"/>
    <w:rsid w:val="00913A95"/>
    <w:rsid w:val="00913B43"/>
    <w:rsid w:val="00914C66"/>
    <w:rsid w:val="00915B21"/>
    <w:rsid w:val="00917A31"/>
    <w:rsid w:val="00927D49"/>
    <w:rsid w:val="00930203"/>
    <w:rsid w:val="00930A03"/>
    <w:rsid w:val="009311D2"/>
    <w:rsid w:val="009311E6"/>
    <w:rsid w:val="00931275"/>
    <w:rsid w:val="0093194E"/>
    <w:rsid w:val="00934449"/>
    <w:rsid w:val="00934ADA"/>
    <w:rsid w:val="009363DF"/>
    <w:rsid w:val="00936AC7"/>
    <w:rsid w:val="00941671"/>
    <w:rsid w:val="00941D72"/>
    <w:rsid w:val="0095174B"/>
    <w:rsid w:val="00953B64"/>
    <w:rsid w:val="00955B6D"/>
    <w:rsid w:val="00956AA6"/>
    <w:rsid w:val="009646A7"/>
    <w:rsid w:val="00967B35"/>
    <w:rsid w:val="00970A88"/>
    <w:rsid w:val="00973F88"/>
    <w:rsid w:val="009800B0"/>
    <w:rsid w:val="009818A1"/>
    <w:rsid w:val="00987391"/>
    <w:rsid w:val="00990D77"/>
    <w:rsid w:val="009928CB"/>
    <w:rsid w:val="009966C5"/>
    <w:rsid w:val="0099764D"/>
    <w:rsid w:val="009A1674"/>
    <w:rsid w:val="009A46C9"/>
    <w:rsid w:val="009B11FE"/>
    <w:rsid w:val="009B1386"/>
    <w:rsid w:val="009B38BE"/>
    <w:rsid w:val="009B4125"/>
    <w:rsid w:val="009B4DF2"/>
    <w:rsid w:val="009C45D6"/>
    <w:rsid w:val="009C684F"/>
    <w:rsid w:val="009D074C"/>
    <w:rsid w:val="009D1FA8"/>
    <w:rsid w:val="009D5D88"/>
    <w:rsid w:val="009D6E73"/>
    <w:rsid w:val="009E4606"/>
    <w:rsid w:val="009F06DE"/>
    <w:rsid w:val="009F1669"/>
    <w:rsid w:val="009F1F1D"/>
    <w:rsid w:val="009F2B4F"/>
    <w:rsid w:val="009F3584"/>
    <w:rsid w:val="009F3C63"/>
    <w:rsid w:val="009F66B5"/>
    <w:rsid w:val="009F7691"/>
    <w:rsid w:val="00A00ED2"/>
    <w:rsid w:val="00A02F10"/>
    <w:rsid w:val="00A06B7C"/>
    <w:rsid w:val="00A1203C"/>
    <w:rsid w:val="00A16221"/>
    <w:rsid w:val="00A20A7D"/>
    <w:rsid w:val="00A22C3A"/>
    <w:rsid w:val="00A2634C"/>
    <w:rsid w:val="00A352B5"/>
    <w:rsid w:val="00A35D42"/>
    <w:rsid w:val="00A46CCF"/>
    <w:rsid w:val="00A506DE"/>
    <w:rsid w:val="00A53451"/>
    <w:rsid w:val="00A60401"/>
    <w:rsid w:val="00A61137"/>
    <w:rsid w:val="00A659FE"/>
    <w:rsid w:val="00A70426"/>
    <w:rsid w:val="00A707CC"/>
    <w:rsid w:val="00A71410"/>
    <w:rsid w:val="00A730D1"/>
    <w:rsid w:val="00A77C14"/>
    <w:rsid w:val="00A844A7"/>
    <w:rsid w:val="00A86CF4"/>
    <w:rsid w:val="00A87D2C"/>
    <w:rsid w:val="00A91E9A"/>
    <w:rsid w:val="00A93ED9"/>
    <w:rsid w:val="00A95523"/>
    <w:rsid w:val="00A96221"/>
    <w:rsid w:val="00A9773C"/>
    <w:rsid w:val="00AA4279"/>
    <w:rsid w:val="00AB490E"/>
    <w:rsid w:val="00AB7E39"/>
    <w:rsid w:val="00AC2DBB"/>
    <w:rsid w:val="00AC4860"/>
    <w:rsid w:val="00AC6A99"/>
    <w:rsid w:val="00AD6048"/>
    <w:rsid w:val="00AE206F"/>
    <w:rsid w:val="00AE3937"/>
    <w:rsid w:val="00B007D3"/>
    <w:rsid w:val="00B01AEB"/>
    <w:rsid w:val="00B031B1"/>
    <w:rsid w:val="00B055EF"/>
    <w:rsid w:val="00B06B5B"/>
    <w:rsid w:val="00B07ECB"/>
    <w:rsid w:val="00B10076"/>
    <w:rsid w:val="00B209F3"/>
    <w:rsid w:val="00B2141D"/>
    <w:rsid w:val="00B23769"/>
    <w:rsid w:val="00B239A0"/>
    <w:rsid w:val="00B24EC2"/>
    <w:rsid w:val="00B2621E"/>
    <w:rsid w:val="00B26ABA"/>
    <w:rsid w:val="00B35EE3"/>
    <w:rsid w:val="00B40830"/>
    <w:rsid w:val="00B41789"/>
    <w:rsid w:val="00B41FC6"/>
    <w:rsid w:val="00B4229B"/>
    <w:rsid w:val="00B61391"/>
    <w:rsid w:val="00B62157"/>
    <w:rsid w:val="00B62CCF"/>
    <w:rsid w:val="00B640AD"/>
    <w:rsid w:val="00B66E77"/>
    <w:rsid w:val="00B67668"/>
    <w:rsid w:val="00B71EAC"/>
    <w:rsid w:val="00B80E05"/>
    <w:rsid w:val="00B81808"/>
    <w:rsid w:val="00B827D9"/>
    <w:rsid w:val="00B8387F"/>
    <w:rsid w:val="00B84FC1"/>
    <w:rsid w:val="00B86319"/>
    <w:rsid w:val="00B86DFA"/>
    <w:rsid w:val="00B92E1F"/>
    <w:rsid w:val="00B932D7"/>
    <w:rsid w:val="00B936D0"/>
    <w:rsid w:val="00B96FDE"/>
    <w:rsid w:val="00BB15FB"/>
    <w:rsid w:val="00BB2202"/>
    <w:rsid w:val="00BB2E6E"/>
    <w:rsid w:val="00BB3F70"/>
    <w:rsid w:val="00BC2CA1"/>
    <w:rsid w:val="00BC3EC3"/>
    <w:rsid w:val="00BC43BA"/>
    <w:rsid w:val="00BC510F"/>
    <w:rsid w:val="00BC60DB"/>
    <w:rsid w:val="00BD0332"/>
    <w:rsid w:val="00BD1EC0"/>
    <w:rsid w:val="00BD3D5B"/>
    <w:rsid w:val="00BE1CAE"/>
    <w:rsid w:val="00BE2B8A"/>
    <w:rsid w:val="00BE3600"/>
    <w:rsid w:val="00BE412C"/>
    <w:rsid w:val="00BE53F4"/>
    <w:rsid w:val="00BF3F6D"/>
    <w:rsid w:val="00BF58E5"/>
    <w:rsid w:val="00BF6790"/>
    <w:rsid w:val="00C010EC"/>
    <w:rsid w:val="00C01E28"/>
    <w:rsid w:val="00C01F6F"/>
    <w:rsid w:val="00C0223B"/>
    <w:rsid w:val="00C041EA"/>
    <w:rsid w:val="00C04444"/>
    <w:rsid w:val="00C117C6"/>
    <w:rsid w:val="00C13BBD"/>
    <w:rsid w:val="00C149AB"/>
    <w:rsid w:val="00C15040"/>
    <w:rsid w:val="00C15708"/>
    <w:rsid w:val="00C16929"/>
    <w:rsid w:val="00C17A80"/>
    <w:rsid w:val="00C20690"/>
    <w:rsid w:val="00C233EB"/>
    <w:rsid w:val="00C26EB9"/>
    <w:rsid w:val="00C3339C"/>
    <w:rsid w:val="00C3471A"/>
    <w:rsid w:val="00C36020"/>
    <w:rsid w:val="00C40694"/>
    <w:rsid w:val="00C479BF"/>
    <w:rsid w:val="00C5124B"/>
    <w:rsid w:val="00C658C6"/>
    <w:rsid w:val="00C65DE8"/>
    <w:rsid w:val="00C70542"/>
    <w:rsid w:val="00C723E4"/>
    <w:rsid w:val="00C72DD0"/>
    <w:rsid w:val="00C75CBF"/>
    <w:rsid w:val="00C83DCF"/>
    <w:rsid w:val="00CA1D69"/>
    <w:rsid w:val="00CA4767"/>
    <w:rsid w:val="00CB474A"/>
    <w:rsid w:val="00CC03B9"/>
    <w:rsid w:val="00CC2894"/>
    <w:rsid w:val="00CC634D"/>
    <w:rsid w:val="00CC637C"/>
    <w:rsid w:val="00CC6FFB"/>
    <w:rsid w:val="00CD052C"/>
    <w:rsid w:val="00CD5054"/>
    <w:rsid w:val="00CD77C3"/>
    <w:rsid w:val="00CE112C"/>
    <w:rsid w:val="00CE456E"/>
    <w:rsid w:val="00CE52C1"/>
    <w:rsid w:val="00CF0C4A"/>
    <w:rsid w:val="00CF0EFB"/>
    <w:rsid w:val="00CF55D4"/>
    <w:rsid w:val="00D01600"/>
    <w:rsid w:val="00D06B76"/>
    <w:rsid w:val="00D31748"/>
    <w:rsid w:val="00D32F3F"/>
    <w:rsid w:val="00D461B9"/>
    <w:rsid w:val="00D50E8B"/>
    <w:rsid w:val="00D52AE7"/>
    <w:rsid w:val="00D56058"/>
    <w:rsid w:val="00D607E3"/>
    <w:rsid w:val="00D608DA"/>
    <w:rsid w:val="00D61C53"/>
    <w:rsid w:val="00D634AE"/>
    <w:rsid w:val="00D654A9"/>
    <w:rsid w:val="00D65A81"/>
    <w:rsid w:val="00D677D2"/>
    <w:rsid w:val="00D70180"/>
    <w:rsid w:val="00D70A72"/>
    <w:rsid w:val="00D726F9"/>
    <w:rsid w:val="00D730BF"/>
    <w:rsid w:val="00D76361"/>
    <w:rsid w:val="00D77DB4"/>
    <w:rsid w:val="00D77E31"/>
    <w:rsid w:val="00D852F4"/>
    <w:rsid w:val="00D85492"/>
    <w:rsid w:val="00D90F25"/>
    <w:rsid w:val="00D93B69"/>
    <w:rsid w:val="00DA18F5"/>
    <w:rsid w:val="00DB1110"/>
    <w:rsid w:val="00DB1F90"/>
    <w:rsid w:val="00DB33CB"/>
    <w:rsid w:val="00DB3730"/>
    <w:rsid w:val="00DB7A49"/>
    <w:rsid w:val="00DC19D7"/>
    <w:rsid w:val="00DC371B"/>
    <w:rsid w:val="00DC3788"/>
    <w:rsid w:val="00DC5369"/>
    <w:rsid w:val="00DC76C7"/>
    <w:rsid w:val="00DD09F5"/>
    <w:rsid w:val="00DD0E02"/>
    <w:rsid w:val="00DD4201"/>
    <w:rsid w:val="00DD5E9F"/>
    <w:rsid w:val="00DE5711"/>
    <w:rsid w:val="00DF1FFC"/>
    <w:rsid w:val="00DF2322"/>
    <w:rsid w:val="00DF49CB"/>
    <w:rsid w:val="00DF6014"/>
    <w:rsid w:val="00E00EA0"/>
    <w:rsid w:val="00E021CB"/>
    <w:rsid w:val="00E07A90"/>
    <w:rsid w:val="00E10023"/>
    <w:rsid w:val="00E138F1"/>
    <w:rsid w:val="00E2132D"/>
    <w:rsid w:val="00E2309D"/>
    <w:rsid w:val="00E26758"/>
    <w:rsid w:val="00E31747"/>
    <w:rsid w:val="00E3215D"/>
    <w:rsid w:val="00E349F4"/>
    <w:rsid w:val="00E36957"/>
    <w:rsid w:val="00E375CC"/>
    <w:rsid w:val="00E404F7"/>
    <w:rsid w:val="00E418E8"/>
    <w:rsid w:val="00E4357B"/>
    <w:rsid w:val="00E443A7"/>
    <w:rsid w:val="00E45904"/>
    <w:rsid w:val="00E462A5"/>
    <w:rsid w:val="00E46BF2"/>
    <w:rsid w:val="00E47C35"/>
    <w:rsid w:val="00E51349"/>
    <w:rsid w:val="00E51D4D"/>
    <w:rsid w:val="00E57C22"/>
    <w:rsid w:val="00E61949"/>
    <w:rsid w:val="00E6260F"/>
    <w:rsid w:val="00E63DE5"/>
    <w:rsid w:val="00E647AF"/>
    <w:rsid w:val="00E647C7"/>
    <w:rsid w:val="00E65A37"/>
    <w:rsid w:val="00E65EF7"/>
    <w:rsid w:val="00E72E6E"/>
    <w:rsid w:val="00E751B0"/>
    <w:rsid w:val="00E77B48"/>
    <w:rsid w:val="00E82472"/>
    <w:rsid w:val="00E857FB"/>
    <w:rsid w:val="00E86C2D"/>
    <w:rsid w:val="00E91799"/>
    <w:rsid w:val="00E91E1D"/>
    <w:rsid w:val="00E97268"/>
    <w:rsid w:val="00E97DF8"/>
    <w:rsid w:val="00EA09A8"/>
    <w:rsid w:val="00EA21FE"/>
    <w:rsid w:val="00EA34E3"/>
    <w:rsid w:val="00EA779D"/>
    <w:rsid w:val="00EA78FA"/>
    <w:rsid w:val="00EB1A93"/>
    <w:rsid w:val="00EB7538"/>
    <w:rsid w:val="00EC04AC"/>
    <w:rsid w:val="00EC1868"/>
    <w:rsid w:val="00EC4B95"/>
    <w:rsid w:val="00EC5456"/>
    <w:rsid w:val="00ED656D"/>
    <w:rsid w:val="00EE6468"/>
    <w:rsid w:val="00F005BC"/>
    <w:rsid w:val="00F00E48"/>
    <w:rsid w:val="00F00F94"/>
    <w:rsid w:val="00F0554E"/>
    <w:rsid w:val="00F1299B"/>
    <w:rsid w:val="00F207A4"/>
    <w:rsid w:val="00F24ADB"/>
    <w:rsid w:val="00F25173"/>
    <w:rsid w:val="00F31B26"/>
    <w:rsid w:val="00F355AC"/>
    <w:rsid w:val="00F40CF7"/>
    <w:rsid w:val="00F44194"/>
    <w:rsid w:val="00F44EF5"/>
    <w:rsid w:val="00F4558E"/>
    <w:rsid w:val="00F470E2"/>
    <w:rsid w:val="00F55803"/>
    <w:rsid w:val="00F71A5A"/>
    <w:rsid w:val="00F73A1A"/>
    <w:rsid w:val="00F769E0"/>
    <w:rsid w:val="00F774E2"/>
    <w:rsid w:val="00F85C7C"/>
    <w:rsid w:val="00F90225"/>
    <w:rsid w:val="00F91AAE"/>
    <w:rsid w:val="00F91EBA"/>
    <w:rsid w:val="00F953D9"/>
    <w:rsid w:val="00F95FEC"/>
    <w:rsid w:val="00F97C43"/>
    <w:rsid w:val="00FA060E"/>
    <w:rsid w:val="00FA4664"/>
    <w:rsid w:val="00FA4A46"/>
    <w:rsid w:val="00FA75FE"/>
    <w:rsid w:val="00FB1032"/>
    <w:rsid w:val="00FB2EED"/>
    <w:rsid w:val="00FB39BC"/>
    <w:rsid w:val="00FB698E"/>
    <w:rsid w:val="00FB6A53"/>
    <w:rsid w:val="00FC11CA"/>
    <w:rsid w:val="00FC3E83"/>
    <w:rsid w:val="00FC41C5"/>
    <w:rsid w:val="00FC6BDE"/>
    <w:rsid w:val="00FE2B09"/>
    <w:rsid w:val="00FE33E1"/>
    <w:rsid w:val="00FE55C4"/>
    <w:rsid w:val="00FF0F5E"/>
    <w:rsid w:val="00FF31A0"/>
    <w:rsid w:val="00FF61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1838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BodyText2Char">
    <w:name w:val="Body Text 2 Char"/>
    <w:link w:val="BodyText2"/>
    <w:rsid w:val="00E375CC"/>
    <w:rPr>
      <w:sz w:val="24"/>
    </w:rPr>
  </w:style>
  <w:style w:type="paragraph" w:styleId="Caption">
    <w:name w:val="caption"/>
    <w:basedOn w:val="Normal"/>
    <w:next w:val="Normal"/>
    <w:autoRedefine/>
    <w:uiPriority w:val="35"/>
    <w:unhideWhenUsed/>
    <w:qFormat/>
    <w:rsid w:val="0059504E"/>
    <w:pPr>
      <w:keepNext/>
    </w:pPr>
    <w:rPr>
      <w:b/>
      <w:bCs/>
      <w:color w:val="000000"/>
      <w:szCs w:val="20"/>
    </w:rPr>
  </w:style>
  <w:style w:type="character" w:styleId="CommentReference">
    <w:name w:val="annotation reference"/>
    <w:aliases w:val="Comment Text Style"/>
    <w:basedOn w:val="DefaultParagraphFont"/>
    <w:uiPriority w:val="99"/>
    <w:rsid w:val="00097B39"/>
    <w:rPr>
      <w:sz w:val="16"/>
      <w:szCs w:val="16"/>
    </w:rPr>
  </w:style>
  <w:style w:type="paragraph" w:styleId="CommentText">
    <w:name w:val="annotation text"/>
    <w:basedOn w:val="Normal"/>
    <w:link w:val="CommentTextChar"/>
    <w:uiPriority w:val="99"/>
    <w:rsid w:val="00097B39"/>
    <w:rPr>
      <w:sz w:val="20"/>
      <w:szCs w:val="20"/>
    </w:rPr>
  </w:style>
  <w:style w:type="character" w:customStyle="1" w:styleId="CommentTextChar">
    <w:name w:val="Comment Text Char"/>
    <w:basedOn w:val="DefaultParagraphFont"/>
    <w:link w:val="CommentText"/>
    <w:uiPriority w:val="99"/>
    <w:rsid w:val="00097B39"/>
  </w:style>
  <w:style w:type="paragraph" w:styleId="CommentSubject">
    <w:name w:val="annotation subject"/>
    <w:basedOn w:val="CommentText"/>
    <w:next w:val="CommentText"/>
    <w:link w:val="CommentSubjectChar"/>
    <w:rsid w:val="00097B39"/>
    <w:rPr>
      <w:b/>
      <w:bCs/>
    </w:rPr>
  </w:style>
  <w:style w:type="character" w:customStyle="1" w:styleId="CommentSubjectChar">
    <w:name w:val="Comment Subject Char"/>
    <w:basedOn w:val="CommentTextChar"/>
    <w:link w:val="CommentSubject"/>
    <w:rsid w:val="00097B39"/>
    <w:rPr>
      <w:b/>
      <w:bCs/>
    </w:rPr>
  </w:style>
  <w:style w:type="character" w:styleId="Mention">
    <w:name w:val="Mention"/>
    <w:basedOn w:val="DefaultParagraphFont"/>
    <w:uiPriority w:val="99"/>
    <w:unhideWhenUsed/>
    <w:rsid w:val="00097B39"/>
    <w:rPr>
      <w:color w:val="2B579A"/>
      <w:shd w:val="clear" w:color="auto" w:fill="E1DFDD"/>
    </w:rPr>
  </w:style>
  <w:style w:type="paragraph" w:styleId="Revision">
    <w:name w:val="Revision"/>
    <w:hidden/>
    <w:uiPriority w:val="99"/>
    <w:semiHidden/>
    <w:rsid w:val="009F76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industry/small-business-assistance"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2022-11-29T12:40:00Z</dcterms:created>
  <dcterms:modified xsi:type="dcterms:W3CDTF">2022-12-02T18:06:00Z</dcterms:modified>
</cp:coreProperties>
</file>