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613EF" w:rsidRPr="0062064A" w:rsidP="00476A11" w14:paraId="484C2CC4" w14:textId="5CAD8B37">
      <w:pPr>
        <w:jc w:val="center"/>
        <w:rPr>
          <w:b/>
          <w:bCs/>
        </w:rPr>
      </w:pPr>
      <w:r w:rsidRPr="0062064A">
        <w:rPr>
          <w:b/>
          <w:bCs/>
        </w:rPr>
        <w:t>United States Food and Drug Administration</w:t>
      </w:r>
    </w:p>
    <w:p w:rsidR="00C613EF" w:rsidP="0062064A" w14:paraId="2D5E3725" w14:textId="08C29B05">
      <w:pPr>
        <w:jc w:val="center"/>
        <w:rPr>
          <w:b/>
          <w:bCs/>
        </w:rPr>
      </w:pPr>
      <w:r w:rsidRPr="0062064A">
        <w:rPr>
          <w:b/>
          <w:bCs/>
        </w:rPr>
        <w:t>Center for Tobacco Products</w:t>
      </w:r>
    </w:p>
    <w:p w:rsidR="00476A11" w:rsidRPr="00476A11" w:rsidP="00476A11" w14:paraId="34D29071" w14:textId="77777777">
      <w:pPr>
        <w:jc w:val="center"/>
        <w:rPr>
          <w:b/>
          <w:bCs/>
        </w:rPr>
      </w:pPr>
      <w:r w:rsidRPr="00476A11">
        <w:rPr>
          <w:b/>
          <w:bCs/>
        </w:rPr>
        <w:t>Survey of Risk Factors of Lithium-Ion Batteries used in ENDS</w:t>
      </w:r>
    </w:p>
    <w:p w:rsidR="00476A11" w:rsidRPr="0062064A" w:rsidP="0062064A" w14:paraId="2CC1C0B8" w14:textId="77777777">
      <w:pPr>
        <w:jc w:val="center"/>
        <w:rPr>
          <w:b/>
          <w:bCs/>
        </w:rPr>
      </w:pPr>
    </w:p>
    <w:p w:rsidR="00C613EF" w:rsidRPr="0062064A" w:rsidP="00216238" w14:paraId="55B28151" w14:textId="416E4910">
      <w:pPr>
        <w:pStyle w:val="Heading1"/>
        <w:numPr>
          <w:ilvl w:val="0"/>
          <w:numId w:val="0"/>
        </w:numPr>
        <w:rPr>
          <w:sz w:val="16"/>
        </w:rPr>
      </w:pPr>
      <w:r w:rsidRPr="0062064A">
        <w:t>Supporting Statement: Summary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94"/>
      </w:tblGrid>
      <w:tr w14:paraId="206E3C20" w14:textId="77777777" w:rsidTr="00C613E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76" w:type="dxa"/>
            <w:tcBorders>
              <w:top w:val="single" w:sz="4" w:space="0" w:color="auto"/>
              <w:left w:val="single" w:sz="4" w:space="0" w:color="auto"/>
              <w:bottom w:val="single" w:sz="4" w:space="0" w:color="auto"/>
              <w:right w:val="single" w:sz="4" w:space="0" w:color="auto"/>
            </w:tcBorders>
          </w:tcPr>
          <w:p w:rsidR="00C613EF" w:rsidRPr="00FD2CF8" w:rsidP="00FD2CF8" w14:paraId="7E1C8655" w14:textId="6D71B1F6">
            <w:pPr>
              <w:numPr>
                <w:ilvl w:val="0"/>
                <w:numId w:val="12"/>
              </w:numPr>
              <w:autoSpaceDE w:val="0"/>
              <w:autoSpaceDN w:val="0"/>
              <w:adjustRightInd w:val="0"/>
              <w:contextualSpacing/>
              <w:rPr>
                <w:szCs w:val="22"/>
              </w:rPr>
            </w:pPr>
            <w:r w:rsidRPr="00FD2CF8">
              <w:t xml:space="preserve">The goal of this project is to </w:t>
            </w:r>
            <w:r w:rsidRPr="00FD2CF8" w:rsidR="00FD2CF8">
              <w:t xml:space="preserve">survey current adult users of electronic nicotine delivery systems (ENDS) to better the products, user characteristics, circumstances, and outcomes associated with </w:t>
            </w:r>
            <w:r w:rsidR="009A3C37">
              <w:t xml:space="preserve">incidents of </w:t>
            </w:r>
            <w:r w:rsidRPr="00FD2CF8" w:rsidR="00FD2CF8">
              <w:t>overheating, fire, and explosion (O/F/E) related to the use of lithium-ion batteries in ENDS.</w:t>
            </w:r>
          </w:p>
          <w:p w:rsidR="00C613EF" w:rsidP="00FD2CF8" w14:paraId="51552730" w14:textId="5751CE63">
            <w:pPr>
              <w:pStyle w:val="ListParagraph"/>
              <w:numPr>
                <w:ilvl w:val="0"/>
                <w:numId w:val="12"/>
              </w:numPr>
              <w:autoSpaceDE w:val="0"/>
              <w:autoSpaceDN w:val="0"/>
              <w:adjustRightInd w:val="0"/>
              <w:contextualSpacing/>
            </w:pPr>
            <w:r w:rsidRPr="00FD2CF8">
              <w:t>The study will be conducted using</w:t>
            </w:r>
            <w:r w:rsidR="004B4010">
              <w:t xml:space="preserve"> a</w:t>
            </w:r>
            <w:r w:rsidRPr="00FD2CF8">
              <w:t xml:space="preserve"> web-based survey that </w:t>
            </w:r>
            <w:r w:rsidR="004B4010">
              <w:t>is</w:t>
            </w:r>
            <w:r w:rsidRPr="00FD2CF8" w:rsidR="004B4010">
              <w:t xml:space="preserve"> </w:t>
            </w:r>
            <w:r w:rsidRPr="00FD2CF8">
              <w:t xml:space="preserve">self-administered on personal computers and mobile devices. The study will use an online survey to target approximately </w:t>
            </w:r>
            <w:r w:rsidRPr="00FD2CF8" w:rsidR="00FD2CF8">
              <w:t>6,</w:t>
            </w:r>
            <w:r w:rsidR="00CC64BE">
              <w:t>1</w:t>
            </w:r>
            <w:r w:rsidRPr="00FD2CF8" w:rsidR="00FD2CF8">
              <w:t>00 adults aged 21 and older who have used ENDS on at least 1 of the past 30 days</w:t>
            </w:r>
            <w:r w:rsidRPr="00FD2CF8">
              <w:t xml:space="preserve">. </w:t>
            </w:r>
          </w:p>
          <w:p w:rsidR="00CC64BE" w:rsidRPr="00FD2CF8" w:rsidP="00FD2CF8" w14:paraId="786785F3" w14:textId="0A3AD56C">
            <w:pPr>
              <w:pStyle w:val="ListParagraph"/>
              <w:numPr>
                <w:ilvl w:val="0"/>
                <w:numId w:val="12"/>
              </w:numPr>
              <w:autoSpaceDE w:val="0"/>
              <w:autoSpaceDN w:val="0"/>
              <w:adjustRightInd w:val="0"/>
              <w:contextualSpacing/>
            </w:pPr>
            <w:r>
              <w:t>The survey will take approximately 16 minutes to complete.</w:t>
            </w:r>
          </w:p>
          <w:p w:rsidR="00C613EF" w:rsidRPr="00FD2CF8" w:rsidP="00C613EF" w14:paraId="4ACD3B72" w14:textId="5AA72798">
            <w:pPr>
              <w:numPr>
                <w:ilvl w:val="0"/>
                <w:numId w:val="12"/>
              </w:numPr>
              <w:autoSpaceDE w:val="0"/>
              <w:autoSpaceDN w:val="0"/>
              <w:adjustRightInd w:val="0"/>
              <w:contextualSpacing/>
            </w:pPr>
            <w:r w:rsidRPr="00FD2CF8">
              <w:t xml:space="preserve">Results of the survey will help CTP </w:t>
            </w:r>
            <w:r w:rsidRPr="00FD2CF8" w:rsidR="00FD2CF8">
              <w:t xml:space="preserve">better understand perceptions and prevalence of O/F/E among adult ENDS users and </w:t>
            </w:r>
            <w:bookmarkStart w:id="0" w:name="_Hlk98788911"/>
            <w:r w:rsidRPr="00FD2CF8" w:rsidR="00FD2CF8">
              <w:t>inform how best to protect ENDS users against O/F/E incidents.</w:t>
            </w:r>
          </w:p>
          <w:bookmarkEnd w:id="0"/>
          <w:p w:rsidR="00C613EF" w14:paraId="3E6E6A8B" w14:textId="77777777">
            <w:pPr>
              <w:autoSpaceDE w:val="0"/>
              <w:autoSpaceDN w:val="0"/>
              <w:adjustRightInd w:val="0"/>
              <w:ind w:left="360"/>
              <w:contextualSpacing/>
            </w:pPr>
          </w:p>
          <w:p w:rsidR="00C613EF" w:rsidP="00C613EF" w14:paraId="2CFA2014" w14:textId="008DB3C3">
            <w:pPr>
              <w:numPr>
                <w:ilvl w:val="0"/>
                <w:numId w:val="12"/>
              </w:numPr>
              <w:autoSpaceDE w:val="0"/>
              <w:autoSpaceDN w:val="0"/>
              <w:adjustRightInd w:val="0"/>
              <w:contextualSpacing/>
            </w:pPr>
            <w:r>
              <w:rPr>
                <w:b/>
              </w:rPr>
              <w:t xml:space="preserve">REQUESTED APPROVAL DATE: </w:t>
            </w:r>
            <w:r w:rsidRPr="00C613EF">
              <w:rPr>
                <w:b/>
                <w:highlight w:val="yellow"/>
              </w:rPr>
              <w:t>[</w:t>
            </w:r>
            <w:r w:rsidR="001C63D0">
              <w:rPr>
                <w:b/>
                <w:highlight w:val="yellow"/>
              </w:rPr>
              <w:t>TBD</w:t>
            </w:r>
            <w:r w:rsidRPr="00C613EF">
              <w:rPr>
                <w:b/>
                <w:highlight w:val="yellow"/>
              </w:rPr>
              <w:t>]</w:t>
            </w:r>
            <w:r>
              <w:t xml:space="preserve"> </w:t>
            </w:r>
          </w:p>
          <w:p w:rsidR="00C613EF" w14:paraId="12AD60FB" w14:textId="77777777">
            <w:pPr>
              <w:autoSpaceDE w:val="0"/>
              <w:autoSpaceDN w:val="0"/>
              <w:adjustRightInd w:val="0"/>
              <w:ind w:left="360"/>
              <w:contextualSpacing/>
            </w:pPr>
          </w:p>
        </w:tc>
      </w:tr>
    </w:tbl>
    <w:p w:rsidR="00C613EF" w:rsidP="00C613EF" w14:paraId="40056148" w14:textId="77777777">
      <w:pPr>
        <w:autoSpaceDE w:val="0"/>
        <w:autoSpaceDN w:val="0"/>
        <w:adjustRightInd w:val="0"/>
        <w:rPr>
          <w:b/>
          <w:color w:val="000000"/>
          <w:szCs w:val="20"/>
          <w:u w:val="single"/>
        </w:rPr>
      </w:pPr>
    </w:p>
    <w:p w:rsidR="00C613EF" w:rsidP="00C613EF" w14:paraId="2971CFD7" w14:textId="77777777">
      <w:pPr>
        <w:autoSpaceDE w:val="0"/>
        <w:autoSpaceDN w:val="0"/>
        <w:adjustRightInd w:val="0"/>
        <w:rPr>
          <w:b/>
          <w:color w:val="000000"/>
          <w:szCs w:val="20"/>
        </w:rPr>
      </w:pPr>
      <w:r>
        <w:rPr>
          <w:b/>
          <w:color w:val="000000"/>
          <w:szCs w:val="20"/>
        </w:rPr>
        <w:t xml:space="preserve">Study Materials (attached): </w:t>
      </w:r>
    </w:p>
    <w:p w:rsidR="00C613EF" w:rsidP="00C613EF" w14:paraId="15781CE8" w14:textId="7DBD302A">
      <w:pPr>
        <w:rPr>
          <w:b/>
          <w:color w:val="000000"/>
          <w:sz w:val="22"/>
          <w:szCs w:val="22"/>
          <w:u w:val="single"/>
        </w:rPr>
      </w:pPr>
      <w:r>
        <w:rPr>
          <w:b/>
          <w:color w:val="000000"/>
          <w:sz w:val="22"/>
          <w:szCs w:val="22"/>
          <w:u w:val="single"/>
        </w:rPr>
        <w:t>Participant Consent &amp; Invitation</w:t>
      </w:r>
    </w:p>
    <w:p w:rsidR="00C613EF" w:rsidP="00C613EF" w14:paraId="3BF99E36" w14:textId="3EBE90C9">
      <w:pPr>
        <w:pStyle w:val="ListParagraph"/>
        <w:numPr>
          <w:ilvl w:val="0"/>
          <w:numId w:val="13"/>
        </w:numPr>
        <w:spacing w:line="276" w:lineRule="auto"/>
        <w:contextualSpacing/>
        <w:rPr>
          <w:color w:val="000000"/>
          <w:sz w:val="22"/>
          <w:szCs w:val="22"/>
        </w:rPr>
      </w:pPr>
      <w:bookmarkStart w:id="1" w:name="_Hlk29390116"/>
      <w:r>
        <w:rPr>
          <w:color w:val="000000"/>
        </w:rPr>
        <w:t>A</w:t>
      </w:r>
      <w:r w:rsidR="0068202E">
        <w:rPr>
          <w:color w:val="000000"/>
        </w:rPr>
        <w:t>ppendix</w:t>
      </w:r>
      <w:r>
        <w:rPr>
          <w:color w:val="000000"/>
        </w:rPr>
        <w:t xml:space="preserve"> A: Email </w:t>
      </w:r>
      <w:r w:rsidR="00A40687">
        <w:rPr>
          <w:color w:val="000000"/>
        </w:rPr>
        <w:t>Prompt</w:t>
      </w:r>
    </w:p>
    <w:p w:rsidR="00C613EF" w:rsidP="00C613EF" w14:paraId="26D3CF76" w14:textId="25C5B2AA">
      <w:pPr>
        <w:pStyle w:val="ListParagraph"/>
        <w:numPr>
          <w:ilvl w:val="0"/>
          <w:numId w:val="13"/>
        </w:numPr>
        <w:spacing w:line="276" w:lineRule="auto"/>
        <w:contextualSpacing/>
        <w:rPr>
          <w:b/>
          <w:color w:val="000000"/>
        </w:rPr>
      </w:pPr>
      <w:r>
        <w:rPr>
          <w:color w:val="000000"/>
        </w:rPr>
        <w:t>A</w:t>
      </w:r>
      <w:r w:rsidR="0068202E">
        <w:rPr>
          <w:color w:val="000000"/>
        </w:rPr>
        <w:t>ppendix</w:t>
      </w:r>
      <w:r>
        <w:rPr>
          <w:color w:val="000000"/>
        </w:rPr>
        <w:t xml:space="preserve"> </w:t>
      </w:r>
      <w:r w:rsidR="00C51E16">
        <w:rPr>
          <w:color w:val="000000"/>
        </w:rPr>
        <w:t>C</w:t>
      </w:r>
      <w:r>
        <w:rPr>
          <w:color w:val="000000"/>
        </w:rPr>
        <w:t>: Participant Consent Form</w:t>
      </w:r>
    </w:p>
    <w:p w:rsidR="00C613EF" w:rsidP="00C613EF" w14:paraId="26CAACA6" w14:textId="77777777">
      <w:pPr>
        <w:rPr>
          <w:b/>
          <w:color w:val="000000"/>
          <w:sz w:val="22"/>
          <w:szCs w:val="22"/>
          <w:u w:val="single"/>
        </w:rPr>
      </w:pPr>
      <w:r>
        <w:rPr>
          <w:b/>
          <w:color w:val="000000"/>
          <w:sz w:val="22"/>
          <w:szCs w:val="22"/>
          <w:u w:val="single"/>
        </w:rPr>
        <w:t>Data Collection Instruments:</w:t>
      </w:r>
    </w:p>
    <w:p w:rsidR="00C613EF" w:rsidP="00C613EF" w14:paraId="484E1A6C" w14:textId="52AA45C3">
      <w:pPr>
        <w:pStyle w:val="ListParagraph"/>
        <w:numPr>
          <w:ilvl w:val="0"/>
          <w:numId w:val="14"/>
        </w:numPr>
        <w:spacing w:line="276" w:lineRule="auto"/>
        <w:ind w:left="720"/>
        <w:contextualSpacing/>
        <w:rPr>
          <w:color w:val="000000"/>
          <w:sz w:val="22"/>
          <w:szCs w:val="22"/>
        </w:rPr>
      </w:pPr>
      <w:r>
        <w:rPr>
          <w:color w:val="000000"/>
        </w:rPr>
        <w:t>A</w:t>
      </w:r>
      <w:r w:rsidR="0068202E">
        <w:rPr>
          <w:color w:val="000000"/>
        </w:rPr>
        <w:t>ppendix</w:t>
      </w:r>
      <w:r>
        <w:rPr>
          <w:color w:val="000000"/>
        </w:rPr>
        <w:t xml:space="preserve"> </w:t>
      </w:r>
      <w:r w:rsidR="00C51E16">
        <w:rPr>
          <w:color w:val="000000"/>
        </w:rPr>
        <w:t>B</w:t>
      </w:r>
      <w:r>
        <w:rPr>
          <w:color w:val="000000"/>
        </w:rPr>
        <w:t>: Screener</w:t>
      </w:r>
    </w:p>
    <w:p w:rsidR="00C613EF" w:rsidP="00C613EF" w14:paraId="7234475F" w14:textId="43F030BE">
      <w:pPr>
        <w:pStyle w:val="ListParagraph"/>
        <w:numPr>
          <w:ilvl w:val="0"/>
          <w:numId w:val="14"/>
        </w:numPr>
        <w:spacing w:line="276" w:lineRule="auto"/>
        <w:ind w:left="720"/>
        <w:contextualSpacing/>
        <w:rPr>
          <w:color w:val="000000"/>
        </w:rPr>
      </w:pPr>
      <w:r>
        <w:rPr>
          <w:color w:val="000000"/>
        </w:rPr>
        <w:t>A</w:t>
      </w:r>
      <w:r w:rsidR="0068202E">
        <w:rPr>
          <w:color w:val="000000"/>
        </w:rPr>
        <w:t>ppendix</w:t>
      </w:r>
      <w:r>
        <w:rPr>
          <w:color w:val="000000"/>
        </w:rPr>
        <w:t xml:space="preserve"> D: Questionnaire</w:t>
      </w:r>
    </w:p>
    <w:p w:rsidR="00C613EF" w:rsidP="00C613EF" w14:paraId="5AA2FF3F" w14:textId="77777777">
      <w:pPr>
        <w:rPr>
          <w:b/>
          <w:color w:val="000000"/>
          <w:sz w:val="22"/>
          <w:szCs w:val="22"/>
          <w:u w:val="single"/>
        </w:rPr>
      </w:pPr>
      <w:r>
        <w:rPr>
          <w:b/>
          <w:color w:val="000000"/>
          <w:sz w:val="22"/>
          <w:szCs w:val="22"/>
          <w:u w:val="single"/>
        </w:rPr>
        <w:t>Additional Materials:</w:t>
      </w:r>
    </w:p>
    <w:p w:rsidR="00C613EF" w:rsidRPr="00503CA1" w:rsidP="00C613EF" w14:paraId="0401B8A8" w14:textId="580B29F9">
      <w:pPr>
        <w:pStyle w:val="ListParagraph"/>
        <w:numPr>
          <w:ilvl w:val="0"/>
          <w:numId w:val="15"/>
        </w:numPr>
        <w:spacing w:after="200" w:line="276" w:lineRule="auto"/>
        <w:contextualSpacing/>
        <w:rPr>
          <w:b/>
          <w:color w:val="000000"/>
          <w:u w:val="single"/>
        </w:rPr>
      </w:pPr>
      <w:r>
        <w:rPr>
          <w:color w:val="000000"/>
        </w:rPr>
        <w:t>A</w:t>
      </w:r>
      <w:r w:rsidR="0068202E">
        <w:rPr>
          <w:color w:val="000000"/>
        </w:rPr>
        <w:t>ppendix</w:t>
      </w:r>
      <w:r>
        <w:rPr>
          <w:color w:val="000000"/>
        </w:rPr>
        <w:t xml:space="preserve"> E: IRB Approval Letter</w:t>
      </w:r>
      <w:bookmarkEnd w:id="1"/>
    </w:p>
    <w:p w:rsidR="00503CA1" w:rsidP="00C613EF" w14:paraId="3F561571" w14:textId="4D1E461F">
      <w:pPr>
        <w:pStyle w:val="ListParagraph"/>
        <w:numPr>
          <w:ilvl w:val="0"/>
          <w:numId w:val="15"/>
        </w:numPr>
        <w:spacing w:after="200" w:line="276" w:lineRule="auto"/>
        <w:contextualSpacing/>
        <w:rPr>
          <w:b/>
          <w:color w:val="000000"/>
          <w:u w:val="single"/>
        </w:rPr>
      </w:pPr>
      <w:r>
        <w:rPr>
          <w:color w:val="000000"/>
        </w:rPr>
        <w:t>Appendix F: FDA IRB Determination</w:t>
      </w:r>
    </w:p>
    <w:p w:rsidR="00C613EF" w:rsidP="00C613EF" w14:paraId="630DDD17" w14:textId="77777777">
      <w:pPr>
        <w:widowControl w:val="0"/>
      </w:pPr>
    </w:p>
    <w:p w:rsidR="00C613EF" w:rsidP="00C613EF" w14:paraId="7459A1D5" w14:textId="6E90C642">
      <w:pPr>
        <w:rPr>
          <w:rFonts w:eastAsia="Calibri"/>
        </w:rPr>
      </w:pPr>
    </w:p>
    <w:p w:rsidR="00C613EF" w:rsidP="00C613EF" w14:paraId="4312BBDA" w14:textId="01847004">
      <w:pPr>
        <w:rPr>
          <w:rFonts w:eastAsia="Calibri"/>
        </w:rPr>
      </w:pPr>
    </w:p>
    <w:p w:rsidR="002122A3" w:rsidP="00C613EF" w14:paraId="50CA052C" w14:textId="713539E8">
      <w:pPr>
        <w:rPr>
          <w:rFonts w:eastAsia="Calibri"/>
        </w:rPr>
      </w:pPr>
    </w:p>
    <w:p w:rsidR="002122A3" w:rsidP="00C613EF" w14:paraId="21FB652E" w14:textId="44655EC4">
      <w:pPr>
        <w:rPr>
          <w:rFonts w:eastAsia="Calibri"/>
        </w:rPr>
      </w:pPr>
    </w:p>
    <w:p w:rsidR="002122A3" w:rsidP="00C613EF" w14:paraId="7FF162DC" w14:textId="6A6A9412">
      <w:pPr>
        <w:rPr>
          <w:rFonts w:eastAsia="Calibri"/>
        </w:rPr>
      </w:pPr>
    </w:p>
    <w:p w:rsidR="002122A3" w:rsidP="00C613EF" w14:paraId="15BF6403" w14:textId="6A6C8906">
      <w:pPr>
        <w:rPr>
          <w:rFonts w:eastAsia="Calibri"/>
        </w:rPr>
      </w:pPr>
    </w:p>
    <w:p w:rsidR="002122A3" w:rsidP="00C613EF" w14:paraId="60D1A563" w14:textId="65C2AA9E">
      <w:pPr>
        <w:rPr>
          <w:rFonts w:eastAsia="Calibri"/>
        </w:rPr>
      </w:pPr>
    </w:p>
    <w:p w:rsidR="002122A3" w:rsidP="00C613EF" w14:paraId="78185F90" w14:textId="77777777">
      <w:pPr>
        <w:rPr>
          <w:rFonts w:eastAsia="Calibri"/>
        </w:rPr>
      </w:pPr>
    </w:p>
    <w:p w:rsidR="00C613EF" w:rsidP="00886EB3" w14:paraId="471D95B5" w14:textId="287A8D8C">
      <w:pPr>
        <w:jc w:val="center"/>
        <w:rPr>
          <w:rFonts w:eastAsia="Calibri"/>
        </w:rPr>
      </w:pPr>
    </w:p>
    <w:p w:rsidR="00CB07A0" w:rsidP="00886EB3" w14:paraId="00950769" w14:textId="7049E88F">
      <w:pPr>
        <w:jc w:val="center"/>
        <w:rPr>
          <w:rFonts w:eastAsia="Calibri"/>
        </w:rPr>
      </w:pPr>
    </w:p>
    <w:p w:rsidR="00CB07A0" w:rsidP="00886EB3" w14:paraId="5E6BB69A" w14:textId="0294E7FF">
      <w:pPr>
        <w:jc w:val="center"/>
        <w:rPr>
          <w:rFonts w:eastAsia="Calibri"/>
        </w:rPr>
      </w:pPr>
    </w:p>
    <w:p w:rsidR="00CB07A0" w:rsidP="00886EB3" w14:paraId="2594DB69" w14:textId="5AB20058">
      <w:pPr>
        <w:jc w:val="center"/>
        <w:rPr>
          <w:rFonts w:eastAsia="Calibri"/>
        </w:rPr>
      </w:pPr>
    </w:p>
    <w:p w:rsidR="00CB07A0" w:rsidP="00886EB3" w14:paraId="79C41F75" w14:textId="73F7D67E">
      <w:pPr>
        <w:jc w:val="center"/>
        <w:rPr>
          <w:rFonts w:eastAsia="Calibri"/>
        </w:rPr>
      </w:pPr>
    </w:p>
    <w:p w:rsidR="00CB07A0" w:rsidP="00886EB3" w14:paraId="05EC9DE2" w14:textId="61718F30">
      <w:pPr>
        <w:jc w:val="center"/>
        <w:rPr>
          <w:rFonts w:eastAsia="Calibri"/>
        </w:rPr>
      </w:pPr>
    </w:p>
    <w:p w:rsidR="00CB07A0" w:rsidP="00886EB3" w14:paraId="5C8F0518" w14:textId="77777777">
      <w:pPr>
        <w:jc w:val="center"/>
        <w:rPr>
          <w:rFonts w:eastAsia="Calibri"/>
        </w:rPr>
      </w:pPr>
    </w:p>
    <w:p w:rsidR="00C613EF" w:rsidP="00886EB3" w14:paraId="415299F3" w14:textId="3A41516B">
      <w:pPr>
        <w:jc w:val="center"/>
        <w:rPr>
          <w:rFonts w:eastAsia="Calibri"/>
        </w:rPr>
      </w:pPr>
    </w:p>
    <w:p w:rsidR="001D4D6F" w:rsidP="00886EB3" w14:paraId="76DD56E6" w14:textId="245BBE60">
      <w:pPr>
        <w:jc w:val="center"/>
        <w:rPr>
          <w:rFonts w:eastAsia="Calibri"/>
        </w:rPr>
      </w:pPr>
    </w:p>
    <w:p w:rsidR="001D4D6F" w:rsidP="00886EB3" w14:paraId="6EA3366C" w14:textId="77777777">
      <w:pPr>
        <w:jc w:val="center"/>
        <w:rPr>
          <w:rFonts w:eastAsia="Calibri"/>
        </w:rPr>
      </w:pPr>
    </w:p>
    <w:p w:rsidR="00357C8A" w:rsidP="00886EB3" w14:paraId="78E040C7" w14:textId="55052468">
      <w:pPr>
        <w:jc w:val="center"/>
        <w:rPr>
          <w:rFonts w:eastAsia="Calibri"/>
        </w:rPr>
      </w:pPr>
      <w:bookmarkStart w:id="2" w:name="_Hlk98838400"/>
      <w:r w:rsidRPr="00357C8A">
        <w:rPr>
          <w:rFonts w:eastAsia="Calibri"/>
        </w:rPr>
        <w:t>United States Food and Drug Administration</w:t>
      </w:r>
    </w:p>
    <w:p w:rsidR="00886EB3" w:rsidP="00886EB3" w14:paraId="4E22089B" w14:textId="77777777">
      <w:pPr>
        <w:jc w:val="center"/>
        <w:rPr>
          <w:rFonts w:eastAsia="Calibri"/>
        </w:rPr>
      </w:pPr>
    </w:p>
    <w:p w:rsidR="00886EB3" w:rsidP="00886EB3" w14:paraId="0AB0F4F5" w14:textId="77777777">
      <w:pPr>
        <w:jc w:val="center"/>
        <w:rPr>
          <w:rFonts w:eastAsia="Calibri"/>
        </w:rPr>
      </w:pPr>
      <w:r>
        <w:rPr>
          <w:rFonts w:eastAsia="Calibri"/>
        </w:rPr>
        <w:t>Center for Tobacco Products</w:t>
      </w:r>
    </w:p>
    <w:p w:rsidR="00357C8A" w:rsidP="00357C8A" w14:paraId="41B21BE4" w14:textId="77777777">
      <w:pPr>
        <w:jc w:val="center"/>
        <w:rPr>
          <w:rFonts w:eastAsia="Calibri"/>
        </w:rPr>
      </w:pPr>
    </w:p>
    <w:p w:rsidR="00C613EF" w:rsidRPr="00C613EF" w:rsidP="00C613EF" w14:paraId="5A8E3612" w14:textId="572BB90E">
      <w:pPr>
        <w:jc w:val="center"/>
        <w:rPr>
          <w:rFonts w:eastAsia="Calibri"/>
        </w:rPr>
      </w:pPr>
      <w:bookmarkStart w:id="3" w:name="_Hlk119574456"/>
      <w:r>
        <w:rPr>
          <w:rFonts w:eastAsia="Calibri"/>
        </w:rPr>
        <w:t>Survey of Risk Factors of Lithium-Ion Batteries used in ENDS</w:t>
      </w:r>
    </w:p>
    <w:bookmarkEnd w:id="3"/>
    <w:p w:rsidR="00357C8A" w:rsidP="00357C8A" w14:paraId="3BB4B04C" w14:textId="75CC355F">
      <w:pPr>
        <w:jc w:val="center"/>
        <w:rPr>
          <w:rFonts w:eastAsia="Calibri"/>
        </w:rPr>
      </w:pPr>
      <w:r w:rsidRPr="00A40687">
        <w:rPr>
          <w:rFonts w:eastAsia="Calibri"/>
        </w:rPr>
        <w:t>OMB Control No. 0910-</w:t>
      </w:r>
      <w:r w:rsidRPr="00A40687" w:rsidR="00A40687">
        <w:rPr>
          <w:rFonts w:eastAsia="Calibri"/>
        </w:rPr>
        <w:t>0810</w:t>
      </w:r>
    </w:p>
    <w:bookmarkEnd w:id="2"/>
    <w:p w:rsidR="00357C8A" w:rsidP="00357C8A" w14:paraId="1DDC352B" w14:textId="77777777">
      <w:pPr>
        <w:jc w:val="center"/>
        <w:rPr>
          <w:rFonts w:eastAsia="Calibri"/>
        </w:rPr>
      </w:pPr>
    </w:p>
    <w:p w:rsidR="00357C8A" w:rsidP="00357C8A" w14:paraId="23F07921" w14:textId="40788D2D">
      <w:pPr>
        <w:jc w:val="center"/>
        <w:rPr>
          <w:rFonts w:eastAsia="Calibri"/>
        </w:rPr>
      </w:pPr>
      <w:r>
        <w:rPr>
          <w:rFonts w:eastAsia="Calibri"/>
        </w:rPr>
        <w:t xml:space="preserve">Generic IC </w:t>
      </w:r>
      <w:r w:rsidRPr="00357C8A">
        <w:rPr>
          <w:rFonts w:eastAsia="Calibri"/>
        </w:rPr>
        <w:t>SUPPORTING STATEMENT</w:t>
      </w:r>
      <w:r w:rsidR="00886EB3">
        <w:rPr>
          <w:rFonts w:eastAsia="Calibri"/>
        </w:rPr>
        <w:t xml:space="preserve"> PART A</w:t>
      </w:r>
    </w:p>
    <w:p w:rsidR="009B4DF2" w:rsidP="00357C8A" w14:paraId="5B63BDE7" w14:textId="77777777">
      <w:pPr>
        <w:jc w:val="center"/>
        <w:rPr>
          <w:rFonts w:eastAsia="Calibri"/>
        </w:rPr>
      </w:pPr>
    </w:p>
    <w:p w:rsidR="00357C8A" w:rsidRPr="00357C8A" w:rsidP="00357C8A" w14:paraId="71F55597" w14:textId="77777777">
      <w:pPr>
        <w:rPr>
          <w:rFonts w:eastAsia="Calibri"/>
          <w:b/>
        </w:rPr>
      </w:pPr>
    </w:p>
    <w:p w:rsidR="00357C8A" w:rsidP="000D79CC" w14:paraId="6BE167D5" w14:textId="77777777">
      <w:pPr>
        <w:rPr>
          <w:rFonts w:eastAsia="Calibri"/>
        </w:rPr>
      </w:pPr>
      <w:r w:rsidRPr="00357C8A">
        <w:rPr>
          <w:rFonts w:eastAsia="Calibri"/>
          <w:b/>
        </w:rPr>
        <w:t>Part A:  Justification</w:t>
      </w:r>
      <w:r w:rsidRPr="00357C8A">
        <w:rPr>
          <w:rFonts w:eastAsia="Calibri"/>
        </w:rPr>
        <w:t>:</w:t>
      </w:r>
    </w:p>
    <w:p w:rsidR="000D79CC" w:rsidRPr="00357C8A" w:rsidP="000D79CC" w14:paraId="41593876" w14:textId="77777777">
      <w:pPr>
        <w:rPr>
          <w:rFonts w:eastAsia="Calibri"/>
        </w:rPr>
      </w:pPr>
    </w:p>
    <w:p w:rsidR="00196E13" w:rsidRPr="00312410" w:rsidP="00216238" w14:paraId="13F75368" w14:textId="68F1D7E8">
      <w:pPr>
        <w:pStyle w:val="Heading1"/>
        <w:rPr>
          <w:b/>
          <w:bCs/>
          <w:u w:val="none"/>
        </w:rPr>
      </w:pPr>
      <w:r w:rsidRPr="00312410">
        <w:rPr>
          <w:b/>
          <w:bCs/>
        </w:rPr>
        <w:t>Circumstances Making the Collection of Information Necessary</w:t>
      </w:r>
    </w:p>
    <w:p w:rsidR="00196E13" w:rsidRPr="00196E13" w:rsidP="009B4D92" w14:paraId="76815950" w14:textId="383A8B16">
      <w:pPr>
        <w:pStyle w:val="BodyText"/>
        <w:ind w:left="119" w:right="106"/>
      </w:pPr>
      <w:r w:rsidRPr="00AC73B3">
        <w:rPr>
          <w:spacing w:val="-2"/>
        </w:rPr>
        <w:t>This information collection is in support of the U.S. Food and Drug Administration’s (FDA</w:t>
      </w:r>
      <w:r>
        <w:rPr>
          <w:spacing w:val="-2"/>
        </w:rPr>
        <w:t>, us or we</w:t>
      </w:r>
      <w:r w:rsidRPr="00AC73B3">
        <w:rPr>
          <w:spacing w:val="-2"/>
        </w:rPr>
        <w:t xml:space="preserve">) Center for Tobacco Products (CTP) efforts </w:t>
      </w:r>
      <w:r>
        <w:rPr>
          <w:spacing w:val="-2"/>
        </w:rPr>
        <w:t>to</w:t>
      </w:r>
      <w:r w:rsidRPr="00AC73B3">
        <w:rPr>
          <w:spacing w:val="-2"/>
        </w:rPr>
        <w:t xml:space="preserve"> enhance FDA’s understanding of </w:t>
      </w:r>
      <w:r w:rsidRPr="00526014" w:rsidR="00526014">
        <w:rPr>
          <w:spacing w:val="-2"/>
        </w:rPr>
        <w:t xml:space="preserve">electronic nicotine delivery systems </w:t>
      </w:r>
      <w:r w:rsidR="00526014">
        <w:rPr>
          <w:spacing w:val="-2"/>
        </w:rPr>
        <w:t>(</w:t>
      </w:r>
      <w:r w:rsidRPr="00AC73B3">
        <w:rPr>
          <w:spacing w:val="-2"/>
        </w:rPr>
        <w:t>ENDS</w:t>
      </w:r>
      <w:r w:rsidR="00526014">
        <w:rPr>
          <w:spacing w:val="-2"/>
        </w:rPr>
        <w:t xml:space="preserve">) </w:t>
      </w:r>
      <w:r w:rsidRPr="00AC73B3">
        <w:rPr>
          <w:spacing w:val="-2"/>
        </w:rPr>
        <w:t>users</w:t>
      </w:r>
      <w:r w:rsidRPr="00AC73B3">
        <w:rPr>
          <w:spacing w:val="-2"/>
        </w:rPr>
        <w:t xml:space="preserve"> perceptions of their likelihood of experiencing overheating, fire, and explosion (O/F/E) incidents related to the use of lithium-ion batteries in</w:t>
      </w:r>
      <w:r w:rsidR="00526014">
        <w:rPr>
          <w:spacing w:val="-2"/>
        </w:rPr>
        <w:t xml:space="preserve"> </w:t>
      </w:r>
      <w:r w:rsidRPr="00AC73B3">
        <w:rPr>
          <w:spacing w:val="-2"/>
        </w:rPr>
        <w:t>ENDS</w:t>
      </w:r>
      <w:r>
        <w:rPr>
          <w:spacing w:val="-2"/>
        </w:rPr>
        <w:t xml:space="preserve">. </w:t>
      </w:r>
      <w:r>
        <w:rPr>
          <w:spacing w:val="1"/>
        </w:rPr>
        <w:t>As</w:t>
      </w:r>
      <w:r>
        <w:rPr>
          <w:spacing w:val="55"/>
        </w:rPr>
        <w:t xml:space="preserve"> </w:t>
      </w:r>
      <w:r>
        <w:rPr>
          <w:spacing w:val="1"/>
        </w:rPr>
        <w:t>the</w:t>
      </w:r>
      <w:r>
        <w:rPr>
          <w:spacing w:val="-7"/>
        </w:rPr>
        <w:t xml:space="preserve"> </w:t>
      </w:r>
      <w:r>
        <w:rPr>
          <w:spacing w:val="3"/>
        </w:rPr>
        <w:t>use</w:t>
      </w:r>
      <w:r>
        <w:rPr>
          <w:spacing w:val="-7"/>
        </w:rPr>
        <w:t xml:space="preserve"> </w:t>
      </w:r>
      <w:r>
        <w:rPr>
          <w:spacing w:val="4"/>
        </w:rPr>
        <w:t xml:space="preserve">of </w:t>
      </w:r>
      <w:bookmarkStart w:id="4" w:name="_Hlk98786471"/>
      <w:r>
        <w:rPr>
          <w:spacing w:val="-1"/>
        </w:rPr>
        <w:t>ENDS</w:t>
      </w:r>
      <w:r>
        <w:rPr>
          <w:spacing w:val="-12"/>
        </w:rPr>
        <w:t xml:space="preserve"> </w:t>
      </w:r>
      <w:r>
        <w:rPr>
          <w:spacing w:val="4"/>
        </w:rPr>
        <w:t>has</w:t>
      </w:r>
      <w:r>
        <w:rPr>
          <w:spacing w:val="-10"/>
        </w:rPr>
        <w:t xml:space="preserve"> </w:t>
      </w:r>
      <w:r>
        <w:rPr>
          <w:spacing w:val="3"/>
        </w:rPr>
        <w:t>increased</w:t>
      </w:r>
      <w:r>
        <w:rPr>
          <w:spacing w:val="-20"/>
        </w:rPr>
        <w:t xml:space="preserve"> </w:t>
      </w:r>
      <w:r>
        <w:rPr>
          <w:spacing w:val="-2"/>
        </w:rPr>
        <w:t>in</w:t>
      </w:r>
      <w:r>
        <w:rPr>
          <w:spacing w:val="-4"/>
        </w:rPr>
        <w:t xml:space="preserve"> </w:t>
      </w:r>
      <w:r>
        <w:rPr>
          <w:spacing w:val="3"/>
        </w:rPr>
        <w:t>recent</w:t>
      </w:r>
      <w:r>
        <w:rPr>
          <w:spacing w:val="-15"/>
        </w:rPr>
        <w:t xml:space="preserve"> </w:t>
      </w:r>
      <w:r>
        <w:rPr>
          <w:spacing w:val="3"/>
        </w:rPr>
        <w:t>years,</w:t>
      </w:r>
      <w:r>
        <w:rPr>
          <w:spacing w:val="-24"/>
        </w:rPr>
        <w:t xml:space="preserve"> </w:t>
      </w:r>
      <w:r>
        <w:rPr>
          <w:spacing w:val="2"/>
        </w:rPr>
        <w:t>there</w:t>
      </w:r>
      <w:r>
        <w:rPr>
          <w:spacing w:val="-7"/>
        </w:rPr>
        <w:t xml:space="preserve"> </w:t>
      </w:r>
      <w:r w:rsidR="009B4D92">
        <w:rPr>
          <w:spacing w:val="6"/>
        </w:rPr>
        <w:t xml:space="preserve">has </w:t>
      </w:r>
      <w:r>
        <w:rPr>
          <w:spacing w:val="4"/>
        </w:rPr>
        <w:t>been</w:t>
      </w:r>
      <w:r>
        <w:rPr>
          <w:spacing w:val="-4"/>
        </w:rPr>
        <w:t xml:space="preserve"> </w:t>
      </w:r>
      <w:r>
        <w:rPr>
          <w:spacing w:val="2"/>
        </w:rPr>
        <w:t>an</w:t>
      </w:r>
      <w:r>
        <w:rPr>
          <w:spacing w:val="-4"/>
        </w:rPr>
        <w:t xml:space="preserve"> </w:t>
      </w:r>
      <w:r>
        <w:rPr>
          <w:spacing w:val="2"/>
        </w:rPr>
        <w:t>increase</w:t>
      </w:r>
      <w:r>
        <w:rPr>
          <w:spacing w:val="-7"/>
        </w:rPr>
        <w:t xml:space="preserve"> </w:t>
      </w:r>
      <w:r>
        <w:rPr>
          <w:spacing w:val="-2"/>
        </w:rPr>
        <w:t>in</w:t>
      </w:r>
      <w:r>
        <w:rPr>
          <w:spacing w:val="-5"/>
        </w:rPr>
        <w:t xml:space="preserve"> </w:t>
      </w:r>
      <w:r>
        <w:rPr>
          <w:spacing w:val="1"/>
        </w:rPr>
        <w:t>the</w:t>
      </w:r>
      <w:r>
        <w:rPr>
          <w:spacing w:val="-7"/>
        </w:rPr>
        <w:t xml:space="preserve"> </w:t>
      </w:r>
      <w:r>
        <w:rPr>
          <w:spacing w:val="2"/>
        </w:rPr>
        <w:t>number</w:t>
      </w:r>
      <w:r>
        <w:rPr>
          <w:spacing w:val="-12"/>
        </w:rPr>
        <w:t xml:space="preserve"> </w:t>
      </w:r>
      <w:r>
        <w:rPr>
          <w:spacing w:val="3"/>
        </w:rPr>
        <w:t>of</w:t>
      </w:r>
      <w:r>
        <w:rPr>
          <w:spacing w:val="-12"/>
        </w:rPr>
        <w:t xml:space="preserve"> </w:t>
      </w:r>
      <w:r>
        <w:rPr>
          <w:spacing w:val="-2"/>
        </w:rPr>
        <w:t>O/F/E</w:t>
      </w:r>
      <w:r>
        <w:rPr>
          <w:spacing w:val="-12"/>
        </w:rPr>
        <w:t xml:space="preserve"> </w:t>
      </w:r>
      <w:r>
        <w:rPr>
          <w:spacing w:val="2"/>
        </w:rPr>
        <w:t>incidents</w:t>
      </w:r>
      <w:r>
        <w:rPr>
          <w:spacing w:val="-10"/>
        </w:rPr>
        <w:t xml:space="preserve"> </w:t>
      </w:r>
      <w:r>
        <w:rPr>
          <w:spacing w:val="1"/>
        </w:rPr>
        <w:t>related</w:t>
      </w:r>
      <w:r>
        <w:rPr>
          <w:spacing w:val="-20"/>
        </w:rPr>
        <w:t xml:space="preserve"> </w:t>
      </w:r>
      <w:r w:rsidR="009B4D92">
        <w:rPr>
          <w:spacing w:val="-2"/>
        </w:rPr>
        <w:t xml:space="preserve">to the </w:t>
      </w:r>
      <w:r>
        <w:rPr>
          <w:spacing w:val="3"/>
        </w:rPr>
        <w:t>use</w:t>
      </w:r>
      <w:r>
        <w:rPr>
          <w:spacing w:val="-7"/>
        </w:rPr>
        <w:t xml:space="preserve"> </w:t>
      </w:r>
      <w:r>
        <w:rPr>
          <w:spacing w:val="4"/>
        </w:rPr>
        <w:t xml:space="preserve">of </w:t>
      </w:r>
      <w:r>
        <w:rPr>
          <w:spacing w:val="1"/>
        </w:rPr>
        <w:t>lithium-ion</w:t>
      </w:r>
      <w:r>
        <w:rPr>
          <w:spacing w:val="-4"/>
        </w:rPr>
        <w:t xml:space="preserve"> </w:t>
      </w:r>
      <w:r>
        <w:rPr>
          <w:spacing w:val="1"/>
        </w:rPr>
        <w:t>batteries</w:t>
      </w:r>
      <w:r>
        <w:rPr>
          <w:spacing w:val="-10"/>
        </w:rPr>
        <w:t xml:space="preserve"> </w:t>
      </w:r>
      <w:r>
        <w:rPr>
          <w:spacing w:val="-2"/>
        </w:rPr>
        <w:t>in</w:t>
      </w:r>
      <w:r>
        <w:rPr>
          <w:spacing w:val="-4"/>
        </w:rPr>
        <w:t xml:space="preserve"> </w:t>
      </w:r>
      <w:r>
        <w:rPr>
          <w:spacing w:val="-1"/>
        </w:rPr>
        <w:t>ENDS.</w:t>
      </w:r>
      <w:r>
        <w:rPr>
          <w:spacing w:val="-8"/>
        </w:rPr>
        <w:t xml:space="preserve"> </w:t>
      </w:r>
      <w:bookmarkEnd w:id="4"/>
      <w:r>
        <w:rPr>
          <w:spacing w:val="1"/>
        </w:rPr>
        <w:t>The</w:t>
      </w:r>
      <w:r>
        <w:rPr>
          <w:spacing w:val="-7"/>
        </w:rPr>
        <w:t xml:space="preserve"> </w:t>
      </w:r>
      <w:r>
        <w:rPr>
          <w:spacing w:val="3"/>
        </w:rPr>
        <w:t>combination</w:t>
      </w:r>
      <w:r>
        <w:rPr>
          <w:spacing w:val="-20"/>
        </w:rPr>
        <w:t xml:space="preserve"> </w:t>
      </w:r>
      <w:r>
        <w:rPr>
          <w:spacing w:val="4"/>
        </w:rPr>
        <w:t>of</w:t>
      </w:r>
      <w:r>
        <w:rPr>
          <w:spacing w:val="-12"/>
        </w:rPr>
        <w:t xml:space="preserve"> </w:t>
      </w:r>
      <w:r>
        <w:rPr>
          <w:spacing w:val="2"/>
        </w:rPr>
        <w:t>an</w:t>
      </w:r>
      <w:r>
        <w:rPr>
          <w:spacing w:val="-4"/>
        </w:rPr>
        <w:t xml:space="preserve"> </w:t>
      </w:r>
      <w:r>
        <w:t>ENDS</w:t>
      </w:r>
      <w:r>
        <w:rPr>
          <w:spacing w:val="-18"/>
        </w:rPr>
        <w:t xml:space="preserve"> </w:t>
      </w:r>
      <w:r>
        <w:rPr>
          <w:spacing w:val="4"/>
        </w:rPr>
        <w:t>and</w:t>
      </w:r>
      <w:r>
        <w:rPr>
          <w:spacing w:val="-4"/>
        </w:rPr>
        <w:t xml:space="preserve"> </w:t>
      </w:r>
      <w:r>
        <w:t>a</w:t>
      </w:r>
      <w:r>
        <w:rPr>
          <w:spacing w:val="-7"/>
        </w:rPr>
        <w:t xml:space="preserve"> </w:t>
      </w:r>
      <w:r>
        <w:rPr>
          <w:spacing w:val="1"/>
        </w:rPr>
        <w:t>lithium-ion</w:t>
      </w:r>
      <w:r>
        <w:rPr>
          <w:spacing w:val="-5"/>
        </w:rPr>
        <w:t xml:space="preserve"> </w:t>
      </w:r>
      <w:r>
        <w:rPr>
          <w:spacing w:val="1"/>
        </w:rPr>
        <w:t>battery</w:t>
      </w:r>
      <w:r w:rsidR="009B4D92">
        <w:rPr>
          <w:spacing w:val="1"/>
        </w:rPr>
        <w:t xml:space="preserve"> p</w:t>
      </w:r>
      <w:r>
        <w:rPr>
          <w:spacing w:val="4"/>
        </w:rPr>
        <w:t>oses</w:t>
      </w:r>
      <w:r>
        <w:rPr>
          <w:spacing w:val="-10"/>
        </w:rPr>
        <w:t xml:space="preserve"> </w:t>
      </w:r>
      <w:r>
        <w:t>a</w:t>
      </w:r>
      <w:r>
        <w:rPr>
          <w:spacing w:val="-7"/>
        </w:rPr>
        <w:t xml:space="preserve"> </w:t>
      </w:r>
      <w:r>
        <w:rPr>
          <w:spacing w:val="2"/>
        </w:rPr>
        <w:t>significant</w:t>
      </w:r>
      <w:r>
        <w:rPr>
          <w:spacing w:val="-15"/>
        </w:rPr>
        <w:t xml:space="preserve"> </w:t>
      </w:r>
      <w:r>
        <w:rPr>
          <w:spacing w:val="3"/>
        </w:rPr>
        <w:t>hazard</w:t>
      </w:r>
      <w:r>
        <w:rPr>
          <w:spacing w:val="-5"/>
        </w:rPr>
        <w:t xml:space="preserve"> </w:t>
      </w:r>
      <w:r>
        <w:rPr>
          <w:spacing w:val="-1"/>
        </w:rPr>
        <w:t>due</w:t>
      </w:r>
      <w:r>
        <w:rPr>
          <w:spacing w:val="-7"/>
        </w:rPr>
        <w:t xml:space="preserve"> </w:t>
      </w:r>
      <w:r>
        <w:rPr>
          <w:spacing w:val="-2"/>
        </w:rPr>
        <w:t>to</w:t>
      </w:r>
      <w:r>
        <w:rPr>
          <w:spacing w:val="-5"/>
        </w:rPr>
        <w:t xml:space="preserve"> </w:t>
      </w:r>
      <w:r>
        <w:rPr>
          <w:spacing w:val="1"/>
        </w:rPr>
        <w:t>the</w:t>
      </w:r>
      <w:r>
        <w:rPr>
          <w:spacing w:val="-7"/>
        </w:rPr>
        <w:t xml:space="preserve"> </w:t>
      </w:r>
      <w:r>
        <w:rPr>
          <w:spacing w:val="1"/>
        </w:rPr>
        <w:t>proximity</w:t>
      </w:r>
      <w:r>
        <w:rPr>
          <w:spacing w:val="-20"/>
        </w:rPr>
        <w:t xml:space="preserve"> </w:t>
      </w:r>
      <w:r>
        <w:rPr>
          <w:spacing w:val="-2"/>
        </w:rPr>
        <w:t>to</w:t>
      </w:r>
      <w:r>
        <w:rPr>
          <w:spacing w:val="-5"/>
        </w:rPr>
        <w:t xml:space="preserve"> </w:t>
      </w:r>
      <w:r>
        <w:rPr>
          <w:spacing w:val="1"/>
        </w:rPr>
        <w:t>the</w:t>
      </w:r>
      <w:r>
        <w:rPr>
          <w:spacing w:val="-7"/>
        </w:rPr>
        <w:t xml:space="preserve"> </w:t>
      </w:r>
      <w:r>
        <w:rPr>
          <w:spacing w:val="6"/>
        </w:rPr>
        <w:t>face</w:t>
      </w:r>
      <w:r>
        <w:rPr>
          <w:spacing w:val="-7"/>
        </w:rPr>
        <w:t xml:space="preserve"> </w:t>
      </w:r>
      <w:r>
        <w:rPr>
          <w:spacing w:val="-1"/>
        </w:rPr>
        <w:t>and</w:t>
      </w:r>
      <w:r>
        <w:rPr>
          <w:spacing w:val="-5"/>
        </w:rPr>
        <w:t xml:space="preserve"> </w:t>
      </w:r>
      <w:r>
        <w:rPr>
          <w:spacing w:val="1"/>
        </w:rPr>
        <w:t>body</w:t>
      </w:r>
      <w:r>
        <w:rPr>
          <w:spacing w:val="-5"/>
        </w:rPr>
        <w:t xml:space="preserve"> </w:t>
      </w:r>
      <w:r>
        <w:rPr>
          <w:spacing w:val="2"/>
        </w:rPr>
        <w:t>which</w:t>
      </w:r>
      <w:r>
        <w:rPr>
          <w:spacing w:val="-20"/>
        </w:rPr>
        <w:t xml:space="preserve"> </w:t>
      </w:r>
      <w:r>
        <w:rPr>
          <w:spacing w:val="3"/>
        </w:rPr>
        <w:t>can</w:t>
      </w:r>
      <w:r>
        <w:rPr>
          <w:spacing w:val="-4"/>
        </w:rPr>
        <w:t xml:space="preserve"> </w:t>
      </w:r>
      <w:r>
        <w:rPr>
          <w:spacing w:val="1"/>
        </w:rPr>
        <w:t>lead</w:t>
      </w:r>
      <w:r>
        <w:rPr>
          <w:spacing w:val="-20"/>
        </w:rPr>
        <w:t xml:space="preserve"> </w:t>
      </w:r>
      <w:r>
        <w:rPr>
          <w:spacing w:val="-2"/>
        </w:rPr>
        <w:t>to</w:t>
      </w:r>
      <w:r>
        <w:rPr>
          <w:spacing w:val="-4"/>
        </w:rPr>
        <w:t xml:space="preserve"> </w:t>
      </w:r>
      <w:r>
        <w:rPr>
          <w:spacing w:val="3"/>
        </w:rPr>
        <w:t>life-</w:t>
      </w:r>
      <w:r>
        <w:rPr>
          <w:spacing w:val="2"/>
        </w:rPr>
        <w:t>threatening</w:t>
      </w:r>
      <w:r>
        <w:rPr>
          <w:spacing w:val="-20"/>
        </w:rPr>
        <w:t xml:space="preserve"> </w:t>
      </w:r>
      <w:r>
        <w:rPr>
          <w:spacing w:val="1"/>
        </w:rPr>
        <w:t>injuries.</w:t>
      </w:r>
    </w:p>
    <w:p w:rsidR="00363C56" w:rsidP="00196E13" w14:paraId="1D745236" w14:textId="3CBB7648">
      <w:pPr>
        <w:pStyle w:val="BodyText"/>
        <w:spacing w:line="241" w:lineRule="auto"/>
        <w:ind w:left="119" w:right="228"/>
        <w:rPr>
          <w:spacing w:val="-24"/>
        </w:rPr>
      </w:pPr>
      <w:r>
        <w:rPr>
          <w:spacing w:val="-2"/>
        </w:rPr>
        <w:t>FDA</w:t>
      </w:r>
      <w:r>
        <w:rPr>
          <w:spacing w:val="6"/>
        </w:rPr>
        <w:t xml:space="preserve"> </w:t>
      </w:r>
      <w:r>
        <w:rPr>
          <w:spacing w:val="4"/>
        </w:rPr>
        <w:t>needs</w:t>
      </w:r>
      <w:r>
        <w:rPr>
          <w:spacing w:val="-10"/>
        </w:rPr>
        <w:t xml:space="preserve"> </w:t>
      </w:r>
      <w:r>
        <w:rPr>
          <w:spacing w:val="1"/>
        </w:rPr>
        <w:t>additional</w:t>
      </w:r>
      <w:r>
        <w:rPr>
          <w:spacing w:val="-15"/>
        </w:rPr>
        <w:t xml:space="preserve"> </w:t>
      </w:r>
      <w:r>
        <w:rPr>
          <w:spacing w:val="2"/>
        </w:rPr>
        <w:t>information</w:t>
      </w:r>
      <w:r>
        <w:rPr>
          <w:spacing w:val="-20"/>
        </w:rPr>
        <w:t xml:space="preserve"> </w:t>
      </w:r>
      <w:r>
        <w:rPr>
          <w:spacing w:val="3"/>
        </w:rPr>
        <w:t>on</w:t>
      </w:r>
      <w:r>
        <w:rPr>
          <w:spacing w:val="-5"/>
        </w:rPr>
        <w:t xml:space="preserve"> </w:t>
      </w:r>
      <w:r>
        <w:t>ENDS-related</w:t>
      </w:r>
      <w:r>
        <w:rPr>
          <w:spacing w:val="-4"/>
        </w:rPr>
        <w:t xml:space="preserve"> </w:t>
      </w:r>
      <w:r>
        <w:rPr>
          <w:spacing w:val="-2"/>
        </w:rPr>
        <w:t>O/F/E</w:t>
      </w:r>
      <w:r>
        <w:rPr>
          <w:spacing w:val="-15"/>
        </w:rPr>
        <w:t xml:space="preserve"> </w:t>
      </w:r>
      <w:r>
        <w:rPr>
          <w:spacing w:val="2"/>
        </w:rPr>
        <w:t>incidents.</w:t>
      </w:r>
      <w:r>
        <w:rPr>
          <w:spacing w:val="-8"/>
        </w:rPr>
        <w:t xml:space="preserve"> </w:t>
      </w:r>
      <w:r>
        <w:rPr>
          <w:spacing w:val="1"/>
        </w:rPr>
        <w:t>Many</w:t>
      </w:r>
      <w:r>
        <w:rPr>
          <w:spacing w:val="-4"/>
        </w:rPr>
        <w:t xml:space="preserve"> </w:t>
      </w:r>
      <w:r>
        <w:rPr>
          <w:spacing w:val="-1"/>
        </w:rPr>
        <w:t>incidents</w:t>
      </w:r>
      <w:r>
        <w:rPr>
          <w:spacing w:val="-10"/>
        </w:rPr>
        <w:t xml:space="preserve"> </w:t>
      </w:r>
      <w:r>
        <w:rPr>
          <w:spacing w:val="1"/>
        </w:rPr>
        <w:t>are</w:t>
      </w:r>
      <w:r>
        <w:rPr>
          <w:spacing w:val="-7"/>
        </w:rPr>
        <w:t xml:space="preserve"> </w:t>
      </w:r>
      <w:r>
        <w:rPr>
          <w:spacing w:val="5"/>
        </w:rPr>
        <w:t>not</w:t>
      </w:r>
      <w:r>
        <w:rPr>
          <w:spacing w:val="61"/>
        </w:rPr>
        <w:t xml:space="preserve"> </w:t>
      </w:r>
      <w:r>
        <w:rPr>
          <w:spacing w:val="2"/>
        </w:rPr>
        <w:t>reported</w:t>
      </w:r>
      <w:r>
        <w:rPr>
          <w:spacing w:val="-5"/>
        </w:rPr>
        <w:t xml:space="preserve"> </w:t>
      </w:r>
      <w:r>
        <w:rPr>
          <w:spacing w:val="-2"/>
        </w:rPr>
        <w:t>to</w:t>
      </w:r>
      <w:r>
        <w:rPr>
          <w:spacing w:val="-5"/>
        </w:rPr>
        <w:t xml:space="preserve"> </w:t>
      </w:r>
      <w:r>
        <w:rPr>
          <w:spacing w:val="-1"/>
        </w:rPr>
        <w:t>FDA’s</w:t>
      </w:r>
      <w:r>
        <w:rPr>
          <w:spacing w:val="-10"/>
        </w:rPr>
        <w:t xml:space="preserve"> </w:t>
      </w:r>
      <w:r>
        <w:rPr>
          <w:spacing w:val="2"/>
        </w:rPr>
        <w:t>Safety</w:t>
      </w:r>
      <w:r>
        <w:rPr>
          <w:spacing w:val="-5"/>
        </w:rPr>
        <w:t xml:space="preserve"> </w:t>
      </w:r>
      <w:r>
        <w:rPr>
          <w:spacing w:val="2"/>
        </w:rPr>
        <w:t>Reporting</w:t>
      </w:r>
      <w:r>
        <w:rPr>
          <w:spacing w:val="-20"/>
        </w:rPr>
        <w:t xml:space="preserve"> </w:t>
      </w:r>
      <w:r>
        <w:t>Portal.</w:t>
      </w:r>
      <w:r>
        <w:rPr>
          <w:spacing w:val="-8"/>
        </w:rPr>
        <w:t xml:space="preserve"> </w:t>
      </w:r>
      <w:r>
        <w:t>For</w:t>
      </w:r>
      <w:r>
        <w:rPr>
          <w:spacing w:val="-12"/>
        </w:rPr>
        <w:t xml:space="preserve"> </w:t>
      </w:r>
      <w:r>
        <w:rPr>
          <w:spacing w:val="3"/>
        </w:rPr>
        <w:t>example,</w:t>
      </w:r>
      <w:r>
        <w:rPr>
          <w:spacing w:val="-8"/>
        </w:rPr>
        <w:t xml:space="preserve"> </w:t>
      </w:r>
      <w:r>
        <w:t>a</w:t>
      </w:r>
      <w:r>
        <w:rPr>
          <w:spacing w:val="-7"/>
        </w:rPr>
        <w:t xml:space="preserve"> </w:t>
      </w:r>
      <w:r>
        <w:rPr>
          <w:spacing w:val="2"/>
        </w:rPr>
        <w:t>study</w:t>
      </w:r>
      <w:r>
        <w:rPr>
          <w:spacing w:val="-5"/>
        </w:rPr>
        <w:t xml:space="preserve"> </w:t>
      </w:r>
      <w:r>
        <w:rPr>
          <w:spacing w:val="-1"/>
        </w:rPr>
        <w:t>using</w:t>
      </w:r>
      <w:r>
        <w:rPr>
          <w:spacing w:val="-20"/>
        </w:rPr>
        <w:t xml:space="preserve"> </w:t>
      </w:r>
      <w:r>
        <w:rPr>
          <w:spacing w:val="2"/>
        </w:rPr>
        <w:t>data</w:t>
      </w:r>
      <w:r>
        <w:rPr>
          <w:spacing w:val="-7"/>
        </w:rPr>
        <w:t xml:space="preserve"> </w:t>
      </w:r>
      <w:r>
        <w:rPr>
          <w:spacing w:val="5"/>
        </w:rPr>
        <w:t>from</w:t>
      </w:r>
      <w:r>
        <w:rPr>
          <w:spacing w:val="-7"/>
        </w:rPr>
        <w:t xml:space="preserve"> </w:t>
      </w:r>
      <w:r>
        <w:rPr>
          <w:spacing w:val="1"/>
        </w:rPr>
        <w:t>the</w:t>
      </w:r>
      <w:r>
        <w:rPr>
          <w:spacing w:val="-7"/>
        </w:rPr>
        <w:t xml:space="preserve"> </w:t>
      </w:r>
      <w:r>
        <w:t>Consumer</w:t>
      </w:r>
      <w:r>
        <w:rPr>
          <w:spacing w:val="71"/>
        </w:rPr>
        <w:t xml:space="preserve"> </w:t>
      </w:r>
      <w:r>
        <w:rPr>
          <w:spacing w:val="2"/>
        </w:rPr>
        <w:t>Product</w:t>
      </w:r>
      <w:r>
        <w:rPr>
          <w:spacing w:val="-15"/>
        </w:rPr>
        <w:t xml:space="preserve"> </w:t>
      </w:r>
      <w:r>
        <w:rPr>
          <w:spacing w:val="2"/>
        </w:rPr>
        <w:t>Safety</w:t>
      </w:r>
      <w:r>
        <w:rPr>
          <w:spacing w:val="-5"/>
        </w:rPr>
        <w:t xml:space="preserve"> </w:t>
      </w:r>
      <w:r>
        <w:rPr>
          <w:spacing w:val="1"/>
        </w:rPr>
        <w:t>Commission’s</w:t>
      </w:r>
      <w:r>
        <w:rPr>
          <w:spacing w:val="-10"/>
        </w:rPr>
        <w:t xml:space="preserve"> </w:t>
      </w:r>
      <w:r>
        <w:t>National</w:t>
      </w:r>
      <w:r>
        <w:rPr>
          <w:spacing w:val="-15"/>
        </w:rPr>
        <w:t xml:space="preserve"> </w:t>
      </w:r>
      <w:r>
        <w:rPr>
          <w:spacing w:val="1"/>
        </w:rPr>
        <w:t>Electronic</w:t>
      </w:r>
      <w:r>
        <w:rPr>
          <w:spacing w:val="-7"/>
        </w:rPr>
        <w:t xml:space="preserve"> </w:t>
      </w:r>
      <w:r>
        <w:rPr>
          <w:spacing w:val="2"/>
        </w:rPr>
        <w:t>Injury</w:t>
      </w:r>
      <w:r>
        <w:rPr>
          <w:spacing w:val="-20"/>
        </w:rPr>
        <w:t xml:space="preserve"> </w:t>
      </w:r>
      <w:r>
        <w:t>Surveillance</w:t>
      </w:r>
      <w:r>
        <w:rPr>
          <w:spacing w:val="-7"/>
        </w:rPr>
        <w:t xml:space="preserve"> </w:t>
      </w:r>
      <w:r>
        <w:rPr>
          <w:spacing w:val="1"/>
        </w:rPr>
        <w:t>System</w:t>
      </w:r>
      <w:r>
        <w:rPr>
          <w:spacing w:val="-7"/>
        </w:rPr>
        <w:t xml:space="preserve"> </w:t>
      </w:r>
      <w:r>
        <w:rPr>
          <w:spacing w:val="1"/>
        </w:rPr>
        <w:t>identified</w:t>
      </w:r>
      <w:r>
        <w:rPr>
          <w:spacing w:val="-20"/>
        </w:rPr>
        <w:t xml:space="preserve"> </w:t>
      </w:r>
      <w:r>
        <w:rPr>
          <w:spacing w:val="3"/>
        </w:rPr>
        <w:t>more</w:t>
      </w:r>
      <w:r>
        <w:rPr>
          <w:spacing w:val="69"/>
        </w:rPr>
        <w:t xml:space="preserve"> </w:t>
      </w:r>
      <w:r w:rsidRPr="006A64E7">
        <w:t>ENDS-related</w:t>
      </w:r>
      <w:r w:rsidRPr="006A64E7">
        <w:rPr>
          <w:spacing w:val="-5"/>
        </w:rPr>
        <w:t xml:space="preserve"> </w:t>
      </w:r>
      <w:r w:rsidRPr="006A64E7">
        <w:rPr>
          <w:spacing w:val="3"/>
        </w:rPr>
        <w:t>explosion</w:t>
      </w:r>
      <w:r w:rsidRPr="006A64E7">
        <w:rPr>
          <w:spacing w:val="-5"/>
        </w:rPr>
        <w:t xml:space="preserve"> </w:t>
      </w:r>
      <w:r w:rsidRPr="006A64E7">
        <w:rPr>
          <w:spacing w:val="4"/>
        </w:rPr>
        <w:t>and</w:t>
      </w:r>
      <w:r w:rsidRPr="006A64E7">
        <w:rPr>
          <w:spacing w:val="-20"/>
        </w:rPr>
        <w:t xml:space="preserve"> </w:t>
      </w:r>
      <w:r w:rsidRPr="006A64E7">
        <w:rPr>
          <w:spacing w:val="3"/>
        </w:rPr>
        <w:t>burn</w:t>
      </w:r>
      <w:r w:rsidRPr="006A64E7">
        <w:rPr>
          <w:spacing w:val="-5"/>
        </w:rPr>
        <w:t xml:space="preserve"> </w:t>
      </w:r>
      <w:r w:rsidRPr="006A64E7">
        <w:rPr>
          <w:spacing w:val="1"/>
        </w:rPr>
        <w:t>injuries</w:t>
      </w:r>
      <w:r w:rsidRPr="006A64E7">
        <w:rPr>
          <w:spacing w:val="-26"/>
        </w:rPr>
        <w:t xml:space="preserve"> </w:t>
      </w:r>
      <w:r w:rsidRPr="006A64E7">
        <w:rPr>
          <w:spacing w:val="2"/>
        </w:rPr>
        <w:t>than</w:t>
      </w:r>
      <w:r w:rsidRPr="006A64E7">
        <w:rPr>
          <w:spacing w:val="-5"/>
        </w:rPr>
        <w:t xml:space="preserve"> </w:t>
      </w:r>
      <w:r w:rsidRPr="006A64E7">
        <w:rPr>
          <w:spacing w:val="1"/>
        </w:rPr>
        <w:t>were</w:t>
      </w:r>
      <w:r w:rsidRPr="006A64E7">
        <w:rPr>
          <w:spacing w:val="-7"/>
        </w:rPr>
        <w:t xml:space="preserve"> </w:t>
      </w:r>
      <w:r w:rsidRPr="006A64E7">
        <w:t>reported</w:t>
      </w:r>
      <w:r w:rsidRPr="006A64E7">
        <w:rPr>
          <w:spacing w:val="-5"/>
        </w:rPr>
        <w:t xml:space="preserve"> </w:t>
      </w:r>
      <w:r w:rsidRPr="006A64E7">
        <w:rPr>
          <w:spacing w:val="-2"/>
        </w:rPr>
        <w:t>to</w:t>
      </w:r>
      <w:r w:rsidRPr="006A64E7">
        <w:rPr>
          <w:spacing w:val="-5"/>
        </w:rPr>
        <w:t xml:space="preserve"> </w:t>
      </w:r>
      <w:r w:rsidRPr="006A64E7">
        <w:rPr>
          <w:spacing w:val="-2"/>
        </w:rPr>
        <w:t>FDA</w:t>
      </w:r>
      <w:r w:rsidRPr="006A64E7">
        <w:rPr>
          <w:spacing w:val="-10"/>
        </w:rPr>
        <w:t xml:space="preserve"> </w:t>
      </w:r>
      <w:r w:rsidRPr="006A64E7">
        <w:rPr>
          <w:spacing w:val="5"/>
        </w:rPr>
        <w:t>from</w:t>
      </w:r>
      <w:r w:rsidRPr="006A64E7">
        <w:rPr>
          <w:spacing w:val="-7"/>
        </w:rPr>
        <w:t xml:space="preserve"> </w:t>
      </w:r>
      <w:r w:rsidRPr="006A64E7">
        <w:rPr>
          <w:spacing w:val="1"/>
        </w:rPr>
        <w:t>2009</w:t>
      </w:r>
      <w:r w:rsidRPr="006A64E7">
        <w:rPr>
          <w:spacing w:val="-20"/>
        </w:rPr>
        <w:t xml:space="preserve"> </w:t>
      </w:r>
      <w:r w:rsidRPr="006A64E7">
        <w:rPr>
          <w:spacing w:val="-2"/>
        </w:rPr>
        <w:t>to</w:t>
      </w:r>
      <w:r w:rsidRPr="006A64E7">
        <w:rPr>
          <w:spacing w:val="-5"/>
        </w:rPr>
        <w:t xml:space="preserve"> </w:t>
      </w:r>
      <w:r w:rsidRPr="006A64E7">
        <w:rPr>
          <w:spacing w:val="7"/>
        </w:rPr>
        <w:t>2015</w:t>
      </w:r>
      <w:r w:rsidRPr="006A64E7">
        <w:t xml:space="preserve"> </w:t>
      </w:r>
      <w:r w:rsidRPr="006A64E7">
        <w:rPr>
          <w:spacing w:val="2"/>
        </w:rPr>
        <w:t>(</w:t>
      </w:r>
      <w:r w:rsidRPr="006A64E7">
        <w:rPr>
          <w:spacing w:val="2"/>
        </w:rPr>
        <w:t>Rossheim</w:t>
      </w:r>
      <w:r w:rsidRPr="006A64E7">
        <w:rPr>
          <w:spacing w:val="-7"/>
        </w:rPr>
        <w:t xml:space="preserve"> </w:t>
      </w:r>
      <w:r w:rsidRPr="006A64E7">
        <w:rPr>
          <w:spacing w:val="2"/>
        </w:rPr>
        <w:t>et</w:t>
      </w:r>
      <w:r w:rsidRPr="006A64E7">
        <w:rPr>
          <w:spacing w:val="-15"/>
        </w:rPr>
        <w:t xml:space="preserve"> </w:t>
      </w:r>
      <w:r w:rsidRPr="006A64E7">
        <w:rPr>
          <w:spacing w:val="1"/>
        </w:rPr>
        <w:t>al.,</w:t>
      </w:r>
      <w:r w:rsidRPr="006A64E7">
        <w:rPr>
          <w:spacing w:val="-8"/>
        </w:rPr>
        <w:t xml:space="preserve"> </w:t>
      </w:r>
      <w:r w:rsidRPr="006A64E7">
        <w:rPr>
          <w:spacing w:val="4"/>
        </w:rPr>
        <w:t>2019).</w:t>
      </w:r>
      <w:r w:rsidRPr="006A64E7">
        <w:rPr>
          <w:spacing w:val="-8"/>
        </w:rPr>
        <w:t xml:space="preserve"> </w:t>
      </w:r>
      <w:r w:rsidRPr="006A64E7">
        <w:t>Additionally,</w:t>
      </w:r>
      <w:r w:rsidRPr="006A64E7">
        <w:rPr>
          <w:spacing w:val="-8"/>
        </w:rPr>
        <w:t xml:space="preserve"> </w:t>
      </w:r>
      <w:r w:rsidRPr="006A64E7">
        <w:t>incidents</w:t>
      </w:r>
      <w:r>
        <w:rPr>
          <w:spacing w:val="-10"/>
        </w:rPr>
        <w:t xml:space="preserve"> </w:t>
      </w:r>
      <w:r>
        <w:rPr>
          <w:spacing w:val="3"/>
        </w:rPr>
        <w:t>may</w:t>
      </w:r>
      <w:r>
        <w:rPr>
          <w:spacing w:val="-20"/>
        </w:rPr>
        <w:t xml:space="preserve"> </w:t>
      </w:r>
      <w:r>
        <w:rPr>
          <w:spacing w:val="-4"/>
        </w:rPr>
        <w:t>go</w:t>
      </w:r>
      <w:r>
        <w:rPr>
          <w:spacing w:val="-5"/>
        </w:rPr>
        <w:t xml:space="preserve"> </w:t>
      </w:r>
      <w:r>
        <w:rPr>
          <w:spacing w:val="2"/>
        </w:rPr>
        <w:t>unreported</w:t>
      </w:r>
      <w:r>
        <w:rPr>
          <w:spacing w:val="-5"/>
        </w:rPr>
        <w:t xml:space="preserve"> </w:t>
      </w:r>
      <w:r>
        <w:rPr>
          <w:spacing w:val="-1"/>
        </w:rPr>
        <w:t>due</w:t>
      </w:r>
      <w:r>
        <w:rPr>
          <w:spacing w:val="-7"/>
        </w:rPr>
        <w:t xml:space="preserve"> </w:t>
      </w:r>
      <w:r>
        <w:rPr>
          <w:spacing w:val="-2"/>
        </w:rPr>
        <w:t>to</w:t>
      </w:r>
      <w:r>
        <w:rPr>
          <w:spacing w:val="-5"/>
        </w:rPr>
        <w:t xml:space="preserve"> </w:t>
      </w:r>
      <w:r>
        <w:t>a</w:t>
      </w:r>
      <w:r>
        <w:rPr>
          <w:spacing w:val="-7"/>
        </w:rPr>
        <w:t xml:space="preserve"> </w:t>
      </w:r>
      <w:r>
        <w:rPr>
          <w:spacing w:val="1"/>
        </w:rPr>
        <w:t>lack</w:t>
      </w:r>
      <w:r>
        <w:rPr>
          <w:spacing w:val="-5"/>
        </w:rPr>
        <w:t xml:space="preserve"> </w:t>
      </w:r>
      <w:r>
        <w:rPr>
          <w:spacing w:val="3"/>
        </w:rPr>
        <w:t>of</w:t>
      </w:r>
      <w:r>
        <w:rPr>
          <w:spacing w:val="4"/>
        </w:rPr>
        <w:t xml:space="preserve"> </w:t>
      </w:r>
      <w:r>
        <w:rPr>
          <w:spacing w:val="1"/>
        </w:rPr>
        <w:t>injury</w:t>
      </w:r>
      <w:r>
        <w:rPr>
          <w:spacing w:val="-20"/>
        </w:rPr>
        <w:t xml:space="preserve"> </w:t>
      </w:r>
      <w:r>
        <w:rPr>
          <w:spacing w:val="3"/>
        </w:rPr>
        <w:t>or</w:t>
      </w:r>
      <w:r>
        <w:rPr>
          <w:spacing w:val="-12"/>
        </w:rPr>
        <w:t xml:space="preserve"> </w:t>
      </w:r>
      <w:r>
        <w:rPr>
          <w:spacing w:val="1"/>
        </w:rPr>
        <w:t>less</w:t>
      </w:r>
      <w:r w:rsidR="00407D34">
        <w:rPr>
          <w:spacing w:val="77"/>
        </w:rPr>
        <w:t xml:space="preserve"> </w:t>
      </w:r>
      <w:r>
        <w:rPr>
          <w:spacing w:val="3"/>
        </w:rPr>
        <w:t>severe</w:t>
      </w:r>
      <w:r>
        <w:rPr>
          <w:spacing w:val="-7"/>
        </w:rPr>
        <w:t xml:space="preserve"> </w:t>
      </w:r>
      <w:r>
        <w:rPr>
          <w:spacing w:val="2"/>
        </w:rPr>
        <w:t>injury.</w:t>
      </w:r>
      <w:r>
        <w:rPr>
          <w:spacing w:val="-8"/>
        </w:rPr>
        <w:t xml:space="preserve"> </w:t>
      </w:r>
      <w:r>
        <w:t>Similarly,</w:t>
      </w:r>
      <w:r>
        <w:rPr>
          <w:spacing w:val="-8"/>
        </w:rPr>
        <w:t xml:space="preserve"> </w:t>
      </w:r>
      <w:r>
        <w:rPr>
          <w:spacing w:val="1"/>
        </w:rPr>
        <w:t>the</w:t>
      </w:r>
      <w:r>
        <w:rPr>
          <w:spacing w:val="-7"/>
        </w:rPr>
        <w:t xml:space="preserve"> </w:t>
      </w:r>
      <w:r>
        <w:t>ENDS-related</w:t>
      </w:r>
      <w:r>
        <w:rPr>
          <w:spacing w:val="-4"/>
        </w:rPr>
        <w:t xml:space="preserve"> </w:t>
      </w:r>
      <w:r>
        <w:rPr>
          <w:spacing w:val="-2"/>
        </w:rPr>
        <w:t>O/F/E</w:t>
      </w:r>
      <w:r>
        <w:rPr>
          <w:spacing w:val="-15"/>
        </w:rPr>
        <w:t xml:space="preserve"> </w:t>
      </w:r>
      <w:r>
        <w:rPr>
          <w:spacing w:val="2"/>
        </w:rPr>
        <w:t>incidents</w:t>
      </w:r>
      <w:r>
        <w:rPr>
          <w:spacing w:val="-10"/>
        </w:rPr>
        <w:t xml:space="preserve"> </w:t>
      </w:r>
      <w:r>
        <w:rPr>
          <w:spacing w:val="2"/>
        </w:rPr>
        <w:t>reported</w:t>
      </w:r>
      <w:r>
        <w:rPr>
          <w:spacing w:val="-4"/>
        </w:rPr>
        <w:t xml:space="preserve"> </w:t>
      </w:r>
      <w:r>
        <w:rPr>
          <w:spacing w:val="-2"/>
        </w:rPr>
        <w:t>to</w:t>
      </w:r>
      <w:r>
        <w:rPr>
          <w:spacing w:val="-4"/>
        </w:rPr>
        <w:t xml:space="preserve"> </w:t>
      </w:r>
      <w:r>
        <w:rPr>
          <w:spacing w:val="-2"/>
        </w:rPr>
        <w:t>FDA</w:t>
      </w:r>
      <w:r>
        <w:rPr>
          <w:spacing w:val="-10"/>
        </w:rPr>
        <w:t xml:space="preserve"> </w:t>
      </w:r>
      <w:r>
        <w:rPr>
          <w:spacing w:val="2"/>
        </w:rPr>
        <w:t>frequently</w:t>
      </w:r>
      <w:r>
        <w:rPr>
          <w:spacing w:val="-20"/>
        </w:rPr>
        <w:t xml:space="preserve"> </w:t>
      </w:r>
      <w:r>
        <w:rPr>
          <w:spacing w:val="1"/>
        </w:rPr>
        <w:t>lack</w:t>
      </w:r>
      <w:r>
        <w:t xml:space="preserve"> </w:t>
      </w:r>
      <w:r>
        <w:rPr>
          <w:spacing w:val="3"/>
        </w:rPr>
        <w:t>sufficient</w:t>
      </w:r>
      <w:r>
        <w:rPr>
          <w:spacing w:val="-15"/>
        </w:rPr>
        <w:t xml:space="preserve"> </w:t>
      </w:r>
      <w:r>
        <w:rPr>
          <w:spacing w:val="2"/>
        </w:rPr>
        <w:t>information</w:t>
      </w:r>
      <w:r>
        <w:rPr>
          <w:spacing w:val="-20"/>
        </w:rPr>
        <w:t xml:space="preserve"> </w:t>
      </w:r>
      <w:r>
        <w:rPr>
          <w:spacing w:val="-2"/>
        </w:rPr>
        <w:t>to</w:t>
      </w:r>
      <w:r>
        <w:rPr>
          <w:spacing w:val="-4"/>
        </w:rPr>
        <w:t xml:space="preserve"> </w:t>
      </w:r>
      <w:r>
        <w:rPr>
          <w:spacing w:val="3"/>
        </w:rPr>
        <w:t>identify</w:t>
      </w:r>
      <w:r>
        <w:rPr>
          <w:spacing w:val="-20"/>
        </w:rPr>
        <w:t xml:space="preserve"> </w:t>
      </w:r>
      <w:r>
        <w:rPr>
          <w:spacing w:val="-1"/>
        </w:rPr>
        <w:t>risk</w:t>
      </w:r>
      <w:r>
        <w:rPr>
          <w:spacing w:val="-4"/>
        </w:rPr>
        <w:t xml:space="preserve"> </w:t>
      </w:r>
      <w:r>
        <w:rPr>
          <w:spacing w:val="2"/>
        </w:rPr>
        <w:t>factors</w:t>
      </w:r>
      <w:r>
        <w:rPr>
          <w:spacing w:val="-10"/>
        </w:rPr>
        <w:t xml:space="preserve"> </w:t>
      </w:r>
      <w:r>
        <w:rPr>
          <w:spacing w:val="4"/>
        </w:rPr>
        <w:t>or</w:t>
      </w:r>
      <w:r>
        <w:rPr>
          <w:spacing w:val="-12"/>
        </w:rPr>
        <w:t xml:space="preserve"> </w:t>
      </w:r>
      <w:r>
        <w:rPr>
          <w:spacing w:val="1"/>
        </w:rPr>
        <w:t>determine</w:t>
      </w:r>
      <w:r>
        <w:rPr>
          <w:spacing w:val="-7"/>
        </w:rPr>
        <w:t xml:space="preserve"> </w:t>
      </w:r>
      <w:r>
        <w:rPr>
          <w:spacing w:val="1"/>
        </w:rPr>
        <w:t>causes.</w:t>
      </w:r>
      <w:r>
        <w:rPr>
          <w:spacing w:val="-24"/>
        </w:rPr>
        <w:t xml:space="preserve"> </w:t>
      </w:r>
    </w:p>
    <w:p w:rsidR="00363C56" w:rsidP="00196E13" w14:paraId="31C4AF33" w14:textId="411B8F40">
      <w:pPr>
        <w:pStyle w:val="BodyText"/>
        <w:spacing w:line="241" w:lineRule="auto"/>
        <w:ind w:left="119" w:right="228"/>
        <w:rPr>
          <w:spacing w:val="1"/>
        </w:rPr>
      </w:pPr>
      <w:r>
        <w:rPr>
          <w:spacing w:val="1"/>
        </w:rPr>
        <w:t xml:space="preserve">In addition to </w:t>
      </w:r>
      <w:r w:rsidR="005D3D6A">
        <w:rPr>
          <w:spacing w:val="1"/>
        </w:rPr>
        <w:t>enhanc</w:t>
      </w:r>
      <w:r>
        <w:rPr>
          <w:spacing w:val="1"/>
        </w:rPr>
        <w:t>ing</w:t>
      </w:r>
      <w:r w:rsidR="005D3D6A">
        <w:rPr>
          <w:spacing w:val="1"/>
        </w:rPr>
        <w:t xml:space="preserve"> FDA’s</w:t>
      </w:r>
      <w:r>
        <w:rPr>
          <w:spacing w:val="1"/>
        </w:rPr>
        <w:t xml:space="preserve"> understanding of ENDS’ users’ perceptions of their likelihood of experiencing O/F/E and beliefs about associated risk factors, </w:t>
      </w:r>
      <w:r>
        <w:rPr>
          <w:spacing w:val="1"/>
        </w:rPr>
        <w:t xml:space="preserve">we are also interested in </w:t>
      </w:r>
      <w:r>
        <w:rPr>
          <w:spacing w:val="1"/>
        </w:rPr>
        <w:t>estimat</w:t>
      </w:r>
      <w:r w:rsidR="005D3D6A">
        <w:rPr>
          <w:spacing w:val="1"/>
        </w:rPr>
        <w:t>e</w:t>
      </w:r>
      <w:r>
        <w:rPr>
          <w:spacing w:val="1"/>
        </w:rPr>
        <w:t>s</w:t>
      </w:r>
      <w:r>
        <w:rPr>
          <w:spacing w:val="1"/>
        </w:rPr>
        <w:t xml:space="preserve"> </w:t>
      </w:r>
      <w:r>
        <w:rPr>
          <w:spacing w:val="1"/>
        </w:rPr>
        <w:t xml:space="preserve">on </w:t>
      </w:r>
      <w:r>
        <w:rPr>
          <w:spacing w:val="1"/>
        </w:rPr>
        <w:t>the prevalence of O/F/E incidents and potentially identify practices and products that may increase the risk of O/F/E incidents. Understanding perceptions of O/F/E incidents and the prevalence of O/F/E incidents among ENDS users c</w:t>
      </w:r>
      <w:r w:rsidRPr="007E1A5E">
        <w:rPr>
          <w:spacing w:val="1"/>
        </w:rPr>
        <w:t>an help FDA gather data to understand how best to protect ENDS users against O/F/E incidents.</w:t>
      </w:r>
      <w:r w:rsidRPr="00495288" w:rsidR="00495288">
        <w:t xml:space="preserve"> </w:t>
      </w:r>
      <w:r w:rsidRPr="00495288" w:rsidR="00495288">
        <w:rPr>
          <w:spacing w:val="1"/>
        </w:rPr>
        <w:t>This project’s results will not provide support for any</w:t>
      </w:r>
      <w:r w:rsidR="00817D63">
        <w:rPr>
          <w:spacing w:val="1"/>
        </w:rPr>
        <w:t xml:space="preserve"> potential future</w:t>
      </w:r>
      <w:r w:rsidRPr="00495288" w:rsidR="00495288">
        <w:rPr>
          <w:spacing w:val="1"/>
        </w:rPr>
        <w:t xml:space="preserve"> </w:t>
      </w:r>
      <w:r>
        <w:rPr>
          <w:spacing w:val="1"/>
        </w:rPr>
        <w:t xml:space="preserve">policy or </w:t>
      </w:r>
      <w:r w:rsidRPr="00495288" w:rsidR="00495288">
        <w:rPr>
          <w:spacing w:val="1"/>
        </w:rPr>
        <w:t>rulemaking.</w:t>
      </w:r>
    </w:p>
    <w:p w:rsidR="00357C8A" w:rsidRPr="00312410" w:rsidP="00216238" w14:paraId="12B24033" w14:textId="77777777">
      <w:pPr>
        <w:pStyle w:val="Heading1"/>
        <w:rPr>
          <w:b/>
          <w:bCs/>
        </w:rPr>
      </w:pPr>
      <w:r w:rsidRPr="00312410">
        <w:rPr>
          <w:b/>
          <w:bCs/>
        </w:rPr>
        <w:t xml:space="preserve">Purpose and Use of the Information Collection </w:t>
      </w:r>
    </w:p>
    <w:p w:rsidR="00AD5525" w:rsidRPr="00B17342" w:rsidP="00AD5525" w14:paraId="131726A9" w14:textId="77777777">
      <w:pPr>
        <w:pStyle w:val="BodyText"/>
        <w:spacing w:line="241" w:lineRule="auto"/>
        <w:ind w:left="119" w:right="228"/>
        <w:rPr>
          <w:spacing w:val="1"/>
        </w:rPr>
      </w:pPr>
      <w:r w:rsidRPr="00981F69">
        <w:rPr>
          <w:rFonts w:eastAsia="Calibri"/>
        </w:rPr>
        <w:t xml:space="preserve">In support of FDA’s efforts to understand the causes of ENDS-related O/F/E incidents and identify ways in which FDA may decrease the frequency of ENDS-related O/F/E incidents, CTP will conduct a study to explore </w:t>
      </w:r>
      <w:r>
        <w:rPr>
          <w:rFonts w:eastAsia="Calibri"/>
        </w:rPr>
        <w:t xml:space="preserve">causes and experiences of O/F/E. </w:t>
      </w:r>
      <w:r w:rsidRPr="00B17342">
        <w:rPr>
          <w:spacing w:val="1"/>
        </w:rPr>
        <w:t>To better understand causes and experiences of O/F/E, this project has four objectives:</w:t>
      </w:r>
    </w:p>
    <w:p w:rsidR="00AD5525" w:rsidP="00AD5525" w14:paraId="7A32E01B" w14:textId="77777777">
      <w:pPr>
        <w:pStyle w:val="BodyText"/>
        <w:numPr>
          <w:ilvl w:val="0"/>
          <w:numId w:val="15"/>
        </w:numPr>
        <w:spacing w:line="241" w:lineRule="auto"/>
        <w:ind w:right="228"/>
        <w:rPr>
          <w:spacing w:val="1"/>
        </w:rPr>
      </w:pPr>
      <w:r w:rsidRPr="00B17342">
        <w:rPr>
          <w:spacing w:val="1"/>
        </w:rPr>
        <w:t xml:space="preserve">Objective 1: Estimate the prevalence of use of devices, batteries, and other materials (e.g., chargers) that may increase the risk of O/F/E incidents. </w:t>
      </w:r>
    </w:p>
    <w:p w:rsidR="00AD5525" w:rsidP="00AD5525" w14:paraId="0CCC6D4A" w14:textId="77777777">
      <w:pPr>
        <w:pStyle w:val="BodyText"/>
        <w:numPr>
          <w:ilvl w:val="0"/>
          <w:numId w:val="15"/>
        </w:numPr>
        <w:spacing w:line="241" w:lineRule="auto"/>
        <w:ind w:right="228"/>
        <w:rPr>
          <w:spacing w:val="1"/>
        </w:rPr>
      </w:pPr>
      <w:r w:rsidRPr="00B17342">
        <w:rPr>
          <w:spacing w:val="1"/>
        </w:rPr>
        <w:t>Objective 2: Estimate the prevalence of ENDS and battery practices among current ENDS users that may increase the risk of O/F/E incidents.</w:t>
      </w:r>
    </w:p>
    <w:p w:rsidR="00AD5525" w:rsidP="00AD5525" w14:paraId="19895E91" w14:textId="77777777">
      <w:pPr>
        <w:pStyle w:val="BodyText"/>
        <w:numPr>
          <w:ilvl w:val="0"/>
          <w:numId w:val="15"/>
        </w:numPr>
        <w:spacing w:line="241" w:lineRule="auto"/>
        <w:ind w:right="228"/>
        <w:rPr>
          <w:spacing w:val="1"/>
        </w:rPr>
      </w:pPr>
      <w:r w:rsidRPr="00B17342">
        <w:rPr>
          <w:spacing w:val="1"/>
        </w:rPr>
        <w:t>Objective 3: Assess ENDS users’ perceptions of their likelihood of experiencing O/F/E incidents and beliefs about associated risk behaviors.</w:t>
      </w:r>
    </w:p>
    <w:p w:rsidR="00AD5525" w:rsidRPr="00B17342" w:rsidP="00AD5525" w14:paraId="45FD9A5F" w14:textId="77777777">
      <w:pPr>
        <w:pStyle w:val="BodyText"/>
        <w:numPr>
          <w:ilvl w:val="0"/>
          <w:numId w:val="15"/>
        </w:numPr>
        <w:spacing w:line="241" w:lineRule="auto"/>
        <w:ind w:right="228"/>
        <w:rPr>
          <w:spacing w:val="1"/>
        </w:rPr>
      </w:pPr>
      <w:r w:rsidRPr="00B17342">
        <w:rPr>
          <w:spacing w:val="1"/>
        </w:rPr>
        <w:t>Objective 4: Estimate the prevalence of O/F/E incidents and evaluate the contextual details of any O/F/E incidents experienced by participants to identify potential causes</w:t>
      </w:r>
      <w:r>
        <w:rPr>
          <w:spacing w:val="1"/>
        </w:rPr>
        <w:t>.</w:t>
      </w:r>
    </w:p>
    <w:p w:rsidR="00280E0D" w:rsidP="005D3D6A" w14:paraId="38E3307C" w14:textId="12653EDA">
      <w:pPr>
        <w:spacing w:after="200"/>
        <w:rPr>
          <w:rFonts w:eastAsia="Calibri"/>
        </w:rPr>
      </w:pPr>
      <w:r w:rsidRPr="57FA07A0">
        <w:rPr>
          <w:rFonts w:eastAsia="Calibri"/>
        </w:rPr>
        <w:t xml:space="preserve">The study </w:t>
      </w:r>
      <w:r w:rsidRPr="001D4D6F">
        <w:rPr>
          <w:rFonts w:eastAsia="Calibri"/>
        </w:rPr>
        <w:t>will be conducted using a web-based survey that is self-administered on personal computers or mobile devices. The study will include approximately 6,</w:t>
      </w:r>
      <w:r w:rsidRPr="001D4D6F" w:rsidR="00CC64BE">
        <w:rPr>
          <w:rFonts w:eastAsia="Calibri"/>
        </w:rPr>
        <w:t>1</w:t>
      </w:r>
      <w:r w:rsidRPr="001D4D6F">
        <w:rPr>
          <w:rFonts w:eastAsia="Calibri"/>
        </w:rPr>
        <w:t xml:space="preserve">00 adults aged 21 and older </w:t>
      </w:r>
      <w:r w:rsidRPr="001D4D6F">
        <w:rPr>
          <w:rFonts w:eastAsia="Calibri"/>
        </w:rPr>
        <w:t>who have used ENDS on at least 1 of the past 30 days</w:t>
      </w:r>
      <w:r w:rsidRPr="001D4D6F">
        <w:rPr>
          <w:rFonts w:eastAsia="Calibri"/>
        </w:rPr>
        <w:t xml:space="preserve">. Participants will be recruited </w:t>
      </w:r>
      <w:r w:rsidRPr="001D4D6F">
        <w:rPr>
          <w:rFonts w:eastAsia="Calibri"/>
        </w:rPr>
        <w:t>from the online survey vendor</w:t>
      </w:r>
      <w:r w:rsidRPr="001D4D6F" w:rsidR="00B261B5">
        <w:rPr>
          <w:rFonts w:eastAsia="Calibri"/>
        </w:rPr>
        <w:t>,</w:t>
      </w:r>
      <w:r w:rsidRPr="001D4D6F">
        <w:rPr>
          <w:rFonts w:eastAsia="Calibri"/>
        </w:rPr>
        <w:t xml:space="preserve"> </w:t>
      </w:r>
      <w:r w:rsidRPr="001D4D6F">
        <w:rPr>
          <w:rFonts w:eastAsia="Calibri"/>
        </w:rPr>
        <w:t>Dynata</w:t>
      </w:r>
      <w:r w:rsidRPr="001D4D6F">
        <w:rPr>
          <w:rFonts w:eastAsia="Calibri"/>
        </w:rPr>
        <w:t>.</w:t>
      </w:r>
      <w:r w:rsidRPr="001D4D6F" w:rsidR="007B5167">
        <w:rPr>
          <w:rFonts w:eastAsia="Calibri"/>
        </w:rPr>
        <w:t xml:space="preserve"> </w:t>
      </w:r>
      <w:r w:rsidRPr="001D4D6F" w:rsidR="7E95DCEC">
        <w:t>Given the absence of nationally representative data, the true prevalence of O/F/E experiences among current ENDS users is unknown and can only be estimated based on existing data about injury reports.</w:t>
      </w:r>
      <w:r w:rsidRPr="001D4D6F" w:rsidR="007B5167">
        <w:rPr>
          <w:rFonts w:eastAsia="Calibri"/>
        </w:rPr>
        <w:t xml:space="preserve"> Researchers have estimated 1,022 emergency room visits from ENDS burn injuries in 2016 (Consumer Product Safety Commission, 2022). The sales rate of ENDS was estimated to be 1500 units per 100,000 per month in 2016, equating to roughly 570,000 total ENDS sales in 2016 in the US (Wang et al., 2018). Based on this estimation, at least 1 in 570 ENDS products (0.2%) is expected to cause a field failure (i.e., overheating, fire, or explosion incidents). </w:t>
      </w:r>
      <w:r w:rsidRPr="001D4D6F" w:rsidR="00307348">
        <w:rPr>
          <w:rFonts w:eastAsia="Calibri"/>
        </w:rPr>
        <w:t>A</w:t>
      </w:r>
      <w:r w:rsidRPr="001D4D6F" w:rsidR="00F806F3">
        <w:rPr>
          <w:rFonts w:eastAsia="Calibri"/>
        </w:rPr>
        <w:t xml:space="preserve">t least 12 serious incidents are needed </w:t>
      </w:r>
      <w:r w:rsidRPr="001D4D6F" w:rsidR="00F806F3">
        <w:rPr>
          <w:rFonts w:eastAsia="Calibri"/>
        </w:rPr>
        <w:t>in order to</w:t>
      </w:r>
      <w:r w:rsidRPr="001D4D6F" w:rsidR="00F806F3">
        <w:rPr>
          <w:rFonts w:eastAsia="Calibri"/>
        </w:rPr>
        <w:t xml:space="preserve"> conduct a qualitative analysis of the incidents</w:t>
      </w:r>
      <w:r w:rsidRPr="001D4D6F" w:rsidR="004E2784">
        <w:rPr>
          <w:rFonts w:eastAsia="Calibri"/>
        </w:rPr>
        <w:t xml:space="preserve"> </w:t>
      </w:r>
      <w:r w:rsidRPr="001D4D6F" w:rsidR="004E2784">
        <w:rPr>
          <w:rFonts w:eastAsia="Malgun Gothic"/>
        </w:rPr>
        <w:t>(</w:t>
      </w:r>
      <w:r w:rsidRPr="001D4D6F" w:rsidR="004E2784">
        <w:rPr>
          <w:rFonts w:eastAsia="Malgun Gothic"/>
        </w:rPr>
        <w:t>Henni</w:t>
      </w:r>
      <w:r w:rsidRPr="001D4D6F" w:rsidR="007B5167">
        <w:rPr>
          <w:rFonts w:eastAsia="Malgun Gothic"/>
        </w:rPr>
        <w:t>n</w:t>
      </w:r>
      <w:r w:rsidRPr="001D4D6F" w:rsidR="004E2784">
        <w:rPr>
          <w:rFonts w:eastAsia="Malgun Gothic"/>
        </w:rPr>
        <w:t>k</w:t>
      </w:r>
      <w:r w:rsidRPr="001D4D6F" w:rsidR="004E2784">
        <w:rPr>
          <w:rFonts w:eastAsia="Malgun Gothic"/>
        </w:rPr>
        <w:t xml:space="preserve"> &amp; Kaiser, 2022). </w:t>
      </w:r>
      <w:r w:rsidRPr="001D4D6F" w:rsidR="007B5167">
        <w:rPr>
          <w:rFonts w:eastAsia="Calibri"/>
        </w:rPr>
        <w:t xml:space="preserve">Given </w:t>
      </w:r>
      <w:r w:rsidRPr="001D4D6F" w:rsidR="00175332">
        <w:rPr>
          <w:rFonts w:eastAsia="Calibri"/>
        </w:rPr>
        <w:t>the estimated failure rate of ENDS and</w:t>
      </w:r>
      <w:r w:rsidRPr="001D4D6F" w:rsidR="00D25183">
        <w:rPr>
          <w:rFonts w:eastAsia="Calibri"/>
        </w:rPr>
        <w:t xml:space="preserve"> </w:t>
      </w:r>
      <w:r w:rsidRPr="001D4D6F" w:rsidR="007B5167">
        <w:rPr>
          <w:rFonts w:eastAsia="Calibri"/>
        </w:rPr>
        <w:t>that we anticipate that current ENDS users will have purchased at least 1 ENDS product in the past year</w:t>
      </w:r>
      <w:r w:rsidRPr="001D4D6F" w:rsidR="00F806F3">
        <w:rPr>
          <w:rFonts w:eastAsia="Calibri"/>
        </w:rPr>
        <w:t>, the goal sample of 6,</w:t>
      </w:r>
      <w:r w:rsidRPr="001D4D6F" w:rsidR="000724AB">
        <w:rPr>
          <w:rFonts w:eastAsia="Calibri"/>
        </w:rPr>
        <w:t xml:space="preserve">100 </w:t>
      </w:r>
      <w:r w:rsidRPr="001D4D6F" w:rsidR="00F806F3">
        <w:rPr>
          <w:rFonts w:eastAsia="Calibri"/>
        </w:rPr>
        <w:t xml:space="preserve">ENDS users </w:t>
      </w:r>
      <w:r w:rsidRPr="001D4D6F" w:rsidR="007B5167">
        <w:rPr>
          <w:rFonts w:eastAsia="Calibri"/>
        </w:rPr>
        <w:t xml:space="preserve">is </w:t>
      </w:r>
      <w:r w:rsidRPr="001D4D6F" w:rsidR="00F806F3">
        <w:rPr>
          <w:rFonts w:eastAsia="Calibri"/>
        </w:rPr>
        <w:t>needed for the survey</w:t>
      </w:r>
      <w:r w:rsidRPr="001D4D6F" w:rsidR="00175332">
        <w:rPr>
          <w:rFonts w:eastAsia="Calibri"/>
        </w:rPr>
        <w:t xml:space="preserve"> </w:t>
      </w:r>
      <w:r w:rsidRPr="001D4D6F" w:rsidR="00175332">
        <w:rPr>
          <w:rFonts w:eastAsia="Calibri"/>
        </w:rPr>
        <w:t>in order to</w:t>
      </w:r>
      <w:r w:rsidRPr="001D4D6F" w:rsidR="00175332">
        <w:rPr>
          <w:rFonts w:eastAsia="Calibri"/>
        </w:rPr>
        <w:t xml:space="preserve"> include at least 12 ENDS users who have experienced </w:t>
      </w:r>
      <w:r w:rsidRPr="57FA07A0" w:rsidR="00175332">
        <w:rPr>
          <w:rFonts w:eastAsia="Calibri"/>
        </w:rPr>
        <w:t>serious O/F/E</w:t>
      </w:r>
      <w:r w:rsidRPr="57FA07A0" w:rsidR="00F806F3">
        <w:rPr>
          <w:rFonts w:eastAsia="Calibri"/>
        </w:rPr>
        <w:t xml:space="preserve">. </w:t>
      </w:r>
      <w:r w:rsidRPr="57FA07A0">
        <w:rPr>
          <w:rFonts w:eastAsia="Calibri"/>
        </w:rPr>
        <w:t xml:space="preserve"> </w:t>
      </w:r>
    </w:p>
    <w:p w:rsidR="005D3D6A" w:rsidRPr="005D3D6A" w:rsidP="005D3D6A" w14:paraId="15A71BBA" w14:textId="6B8A8765">
      <w:pPr>
        <w:spacing w:after="200"/>
        <w:rPr>
          <w:rFonts w:eastAsia="Calibri"/>
        </w:rPr>
      </w:pPr>
      <w:r w:rsidRPr="005D3D6A">
        <w:rPr>
          <w:rFonts w:eastAsia="Calibri"/>
        </w:rPr>
        <w:t>P</w:t>
      </w:r>
      <w:r w:rsidR="00B261B5">
        <w:rPr>
          <w:rFonts w:eastAsia="Calibri"/>
        </w:rPr>
        <w:t>otential p</w:t>
      </w:r>
      <w:r w:rsidRPr="005D3D6A">
        <w:rPr>
          <w:rFonts w:eastAsia="Calibri"/>
        </w:rPr>
        <w:t>articipants will receive a generic email</w:t>
      </w:r>
      <w:r w:rsidR="00B261B5">
        <w:rPr>
          <w:rFonts w:eastAsia="Calibri"/>
        </w:rPr>
        <w:t xml:space="preserve"> </w:t>
      </w:r>
      <w:r w:rsidRPr="005D3D6A" w:rsidR="00C51E16">
        <w:rPr>
          <w:rFonts w:eastAsia="Calibri"/>
        </w:rPr>
        <w:t>(Attachment A)</w:t>
      </w:r>
      <w:r w:rsidR="00C51E16">
        <w:rPr>
          <w:rFonts w:eastAsia="Calibri"/>
        </w:rPr>
        <w:t xml:space="preserve"> </w:t>
      </w:r>
      <w:r w:rsidR="00B261B5">
        <w:rPr>
          <w:rFonts w:eastAsia="Calibri"/>
        </w:rPr>
        <w:t xml:space="preserve">notifying them there are new studies available in their panel portal and prompting them to log in; </w:t>
      </w:r>
      <w:r w:rsidR="00C51E16">
        <w:rPr>
          <w:rFonts w:eastAsia="Calibri"/>
        </w:rPr>
        <w:t xml:space="preserve">the email is not an invitation to any </w:t>
      </w:r>
      <w:r w:rsidR="00C51E16">
        <w:rPr>
          <w:rFonts w:eastAsia="Calibri"/>
        </w:rPr>
        <w:t>particular study</w:t>
      </w:r>
      <w:r w:rsidRPr="005D3D6A">
        <w:rPr>
          <w:rFonts w:eastAsia="Calibri"/>
        </w:rPr>
        <w:t xml:space="preserve">. Once in the portal, there will be a link directing them to the online screener (Attachment </w:t>
      </w:r>
      <w:r w:rsidR="00C51E16">
        <w:rPr>
          <w:rFonts w:eastAsia="Calibri"/>
        </w:rPr>
        <w:t>B</w:t>
      </w:r>
      <w:r w:rsidRPr="005D3D6A">
        <w:rPr>
          <w:rFonts w:eastAsia="Calibri"/>
        </w:rPr>
        <w:t xml:space="preserve">). The screener will ask whether they are willing to answer a few questions to determine eligibility. Upon screener completion, participants will be immediately notified if they qualify. If they qualify to participate in the study, their consent will be requested (Attachment </w:t>
      </w:r>
      <w:r w:rsidR="00C51E16">
        <w:rPr>
          <w:rFonts w:eastAsia="Calibri"/>
        </w:rPr>
        <w:t>C</w:t>
      </w:r>
      <w:r w:rsidRPr="005D3D6A">
        <w:rPr>
          <w:rFonts w:eastAsia="Calibri"/>
        </w:rPr>
        <w:t xml:space="preserve">). </w:t>
      </w:r>
      <w:r w:rsidR="00280E0D">
        <w:rPr>
          <w:rFonts w:eastAsia="Calibri"/>
        </w:rPr>
        <w:t>If they consent, they will be automatically directed to an online survey (Attachment D).</w:t>
      </w:r>
    </w:p>
    <w:p w:rsidR="00280E0D" w:rsidP="00280E0D" w14:paraId="597DD100" w14:textId="05AB4293">
      <w:pPr>
        <w:spacing w:after="200"/>
        <w:rPr>
          <w:rFonts w:eastAsia="Calibri"/>
        </w:rPr>
      </w:pPr>
      <w:r>
        <w:rPr>
          <w:rFonts w:eastAsia="Calibri"/>
        </w:rPr>
        <w:t>The</w:t>
      </w:r>
      <w:r w:rsidRPr="00981F69" w:rsidR="00981F69">
        <w:rPr>
          <w:rFonts w:eastAsia="Calibri"/>
        </w:rPr>
        <w:t xml:space="preserve"> one-time online survey </w:t>
      </w:r>
      <w:r>
        <w:rPr>
          <w:rFonts w:eastAsia="Calibri"/>
        </w:rPr>
        <w:t>includes</w:t>
      </w:r>
      <w:r w:rsidRPr="00981F69">
        <w:rPr>
          <w:rFonts w:eastAsia="Calibri"/>
        </w:rPr>
        <w:t xml:space="preserve"> </w:t>
      </w:r>
      <w:r w:rsidRPr="00981F69" w:rsidR="00981F69">
        <w:rPr>
          <w:rFonts w:eastAsia="Calibri"/>
        </w:rPr>
        <w:t>questions assessing</w:t>
      </w:r>
      <w:r w:rsidR="006D0D09">
        <w:rPr>
          <w:rFonts w:eastAsia="Calibri"/>
        </w:rPr>
        <w:t xml:space="preserve"> characteristics of their most frequently used ENDS device, ENDS purchasing behaviors, ENDS use behaviors, believes of risk behaviors associated with O/F/E/s, perceptions of O/F/Es, </w:t>
      </w:r>
      <w:r w:rsidRPr="006D0D09" w:rsidR="006D0D09">
        <w:rPr>
          <w:rFonts w:eastAsia="Calibri"/>
        </w:rPr>
        <w:t>details of any O/F/E incidents experienced</w:t>
      </w:r>
      <w:r w:rsidR="00CC64BE">
        <w:rPr>
          <w:rFonts w:eastAsia="Calibri"/>
        </w:rPr>
        <w:t xml:space="preserve"> (if relevant)</w:t>
      </w:r>
      <w:r w:rsidR="006D0D09">
        <w:rPr>
          <w:rFonts w:eastAsia="Calibri"/>
        </w:rPr>
        <w:t>, consequences of any O/F/E incidents experienced</w:t>
      </w:r>
      <w:r w:rsidR="00CC64BE">
        <w:rPr>
          <w:rFonts w:eastAsia="Calibri"/>
        </w:rPr>
        <w:t xml:space="preserve"> (if relevant)</w:t>
      </w:r>
      <w:r w:rsidR="006D0D09">
        <w:rPr>
          <w:rFonts w:eastAsia="Calibri"/>
        </w:rPr>
        <w:t xml:space="preserve">, measures of other tobacco product use, and demographics. </w:t>
      </w:r>
    </w:p>
    <w:p w:rsidR="007E1A5E" w:rsidRPr="0053426D" w:rsidP="0022425B" w14:paraId="5490B9E2" w14:textId="1625A4C5">
      <w:pPr>
        <w:spacing w:after="200"/>
        <w:rPr>
          <w:rFonts w:eastAsia="Calibri"/>
          <w:highlight w:val="yellow"/>
        </w:rPr>
      </w:pPr>
      <w:r w:rsidRPr="005D3D6A">
        <w:rPr>
          <w:rFonts w:eastAsia="Calibri"/>
        </w:rPr>
        <w:t>We anticipate data collection to take place over four to six weeks.</w:t>
      </w:r>
      <w:r>
        <w:rPr>
          <w:rFonts w:eastAsia="Calibri"/>
        </w:rPr>
        <w:t xml:space="preserve"> </w:t>
      </w:r>
      <w:r w:rsidR="00AD5525">
        <w:rPr>
          <w:rFonts w:eastAsia="Calibri"/>
        </w:rPr>
        <w:t xml:space="preserve">Analyses will </w:t>
      </w:r>
      <w:r w:rsidR="00216238">
        <w:rPr>
          <w:rFonts w:eastAsia="Calibri"/>
        </w:rPr>
        <w:t>examine</w:t>
      </w:r>
      <w:r w:rsidR="00AD5525">
        <w:rPr>
          <w:rFonts w:eastAsia="Calibri"/>
        </w:rPr>
        <w:t xml:space="preserve"> sample characteristics, prevalence of use of ENDS device types, prevalence of </w:t>
      </w:r>
      <w:r w:rsidRPr="00AA333E" w:rsidR="00AD5525">
        <w:rPr>
          <w:szCs w:val="20"/>
        </w:rPr>
        <w:t xml:space="preserve">engaging in practices that increase or decrease </w:t>
      </w:r>
      <w:r w:rsidR="00AD5525">
        <w:rPr>
          <w:szCs w:val="20"/>
        </w:rPr>
        <w:t>the risk of</w:t>
      </w:r>
      <w:r w:rsidRPr="00AA333E" w:rsidR="00AD5525">
        <w:rPr>
          <w:szCs w:val="20"/>
        </w:rPr>
        <w:t xml:space="preserve"> experiencing O/F/E</w:t>
      </w:r>
      <w:r w:rsidR="00AD5525">
        <w:rPr>
          <w:szCs w:val="20"/>
        </w:rPr>
        <w:t xml:space="preserve"> incidents, prevalence and contextual details</w:t>
      </w:r>
      <w:r w:rsidRPr="00AA333E" w:rsidR="00AD5525">
        <w:rPr>
          <w:szCs w:val="20"/>
        </w:rPr>
        <w:t xml:space="preserve"> of O/F/E incidents</w:t>
      </w:r>
      <w:r w:rsidR="00AD5525">
        <w:rPr>
          <w:szCs w:val="20"/>
        </w:rPr>
        <w:t>, and</w:t>
      </w:r>
      <w:r w:rsidRPr="00AD5525" w:rsidR="00AD5525">
        <w:rPr>
          <w:szCs w:val="20"/>
        </w:rPr>
        <w:t xml:space="preserve"> </w:t>
      </w:r>
      <w:r w:rsidR="00AD5525">
        <w:rPr>
          <w:szCs w:val="20"/>
        </w:rPr>
        <w:t>dem</w:t>
      </w:r>
      <w:r w:rsidRPr="00AA333E" w:rsidR="00AD5525">
        <w:rPr>
          <w:szCs w:val="20"/>
        </w:rPr>
        <w:t>ographic and behavioral correlates of having experienced O/F/E</w:t>
      </w:r>
      <w:r w:rsidR="00AD5525">
        <w:rPr>
          <w:szCs w:val="20"/>
        </w:rPr>
        <w:t>.</w:t>
      </w:r>
    </w:p>
    <w:p w:rsidR="00357C8A" w:rsidRPr="00312410" w:rsidP="00216238" w14:paraId="66204B64" w14:textId="77777777">
      <w:pPr>
        <w:pStyle w:val="Heading1"/>
        <w:rPr>
          <w:b/>
          <w:bCs/>
        </w:rPr>
      </w:pPr>
      <w:r w:rsidRPr="00312410">
        <w:rPr>
          <w:b/>
          <w:bCs/>
        </w:rPr>
        <w:t>Use of Improved Information Technology and Burden Reduction</w:t>
      </w:r>
    </w:p>
    <w:p w:rsidR="004A5C3C" w:rsidRPr="004A5C3C" w:rsidP="00546A27" w14:paraId="0B645BD3" w14:textId="3E15552F">
      <w:pPr>
        <w:pStyle w:val="BodyText"/>
        <w:rPr>
          <w:rFonts w:eastAsia="Calibri"/>
        </w:rPr>
      </w:pPr>
      <w:r w:rsidRPr="004A5C3C">
        <w:rPr>
          <w:rFonts w:eastAsia="Calibri"/>
        </w:rPr>
        <w:t xml:space="preserve">This study </w:t>
      </w:r>
      <w:r w:rsidRPr="001D4D6F">
        <w:rPr>
          <w:rFonts w:eastAsia="Calibri"/>
        </w:rPr>
        <w:t xml:space="preserve">will rely on electronic web-based survey data collection. </w:t>
      </w:r>
      <w:r w:rsidRPr="001D4D6F">
        <w:t xml:space="preserve">Because this is a web-based study, 100% of the respondents will submit the information in an electronic format. Web-based surveys reduce respondent burden, minimize possible administration errors, and expedite the timeliness of data processing. Furthermore, web-based surveys are less intrusive and less costly compared with face-to-face interviews and mail and telephone surveys. </w:t>
      </w:r>
      <w:r w:rsidRPr="001D4D6F" w:rsidR="00844674">
        <w:t xml:space="preserve">Finally, this technology permits respondents to complete the survey questions in private. </w:t>
      </w:r>
      <w:r w:rsidRPr="001D4D6F">
        <w:t xml:space="preserve">Because there is no interviewer </w:t>
      </w:r>
      <w:r w:rsidRPr="001D4D6F">
        <w:t>present, participant responses to a web-based survey are less prone to social desirability bias.</w:t>
      </w:r>
      <w:r w:rsidRPr="001D4D6F" w:rsidR="004A6EF9">
        <w:t xml:space="preserve"> Providing the respondent with a methodology that improves privacy reduces the potential for experiencing embarrassment or stigmatization when reporting on tobacco use behaviors and </w:t>
      </w:r>
      <w:r w:rsidRPr="004A6EF9" w:rsidR="004A6EF9">
        <w:t>enhances response validity and response rates.</w:t>
      </w:r>
    </w:p>
    <w:p w:rsidR="00357C8A" w:rsidRPr="00312410" w:rsidP="00216238" w14:paraId="46686AE8" w14:textId="77777777">
      <w:pPr>
        <w:pStyle w:val="Heading1"/>
        <w:rPr>
          <w:b/>
          <w:bCs/>
        </w:rPr>
      </w:pPr>
      <w:r w:rsidRPr="00312410">
        <w:rPr>
          <w:b/>
          <w:bCs/>
        </w:rPr>
        <w:t xml:space="preserve">Efforts to Identify Duplication and Use of Similar Information </w:t>
      </w:r>
    </w:p>
    <w:p w:rsidR="00340DE5" w:rsidP="0053380B" w14:paraId="61DD8CB5" w14:textId="77777777">
      <w:pPr>
        <w:spacing w:after="200"/>
        <w:rPr>
          <w:rFonts w:eastAsia="Calibri"/>
        </w:rPr>
      </w:pPr>
      <w:r w:rsidRPr="004A5C3C">
        <w:rPr>
          <w:rFonts w:eastAsia="Calibri"/>
        </w:rPr>
        <w:t xml:space="preserve">There is no duplicative collection of this information. </w:t>
      </w:r>
    </w:p>
    <w:p w:rsidR="00340DE5" w:rsidP="0053380B" w14:paraId="7C622EDA" w14:textId="49B67C5C">
      <w:pPr>
        <w:spacing w:after="200"/>
        <w:rPr>
          <w:rFonts w:eastAsia="Calibri"/>
        </w:rPr>
      </w:pPr>
      <w:r w:rsidRPr="00BB32EA">
        <w:rPr>
          <w:rFonts w:eastAsia="Calibri"/>
        </w:rPr>
        <w:t>In order to</w:t>
      </w:r>
      <w:r w:rsidRPr="00BB32EA">
        <w:rPr>
          <w:rFonts w:eastAsia="Calibri"/>
        </w:rPr>
        <w:t xml:space="preserve"> ensure no duplication of efforts, we have reviewed existing </w:t>
      </w:r>
      <w:r>
        <w:rPr>
          <w:rFonts w:eastAsia="Calibri"/>
        </w:rPr>
        <w:t xml:space="preserve">survey instruments and </w:t>
      </w:r>
      <w:r w:rsidRPr="00BB32EA">
        <w:rPr>
          <w:rFonts w:eastAsia="Calibri"/>
        </w:rPr>
        <w:t>data sets</w:t>
      </w:r>
      <w:r>
        <w:rPr>
          <w:rFonts w:eastAsia="Calibri"/>
        </w:rPr>
        <w:t xml:space="preserve"> (for example, the Population Assessment of Tobacco and Health [PATH] and National Health Interview Survey [HINTS])</w:t>
      </w:r>
      <w:r w:rsidRPr="00BB32EA">
        <w:rPr>
          <w:rFonts w:eastAsia="Calibri"/>
        </w:rPr>
        <w:t xml:space="preserve"> to determine whether any of them are sufficiently similar or could be modified to address FDA’s need for information on </w:t>
      </w:r>
      <w:r>
        <w:rPr>
          <w:rFonts w:eastAsia="Calibri"/>
        </w:rPr>
        <w:t>causes and prevalence of ENDS-related O/F/E incidents. These existing survey instruments and data sets do not include data about O/F/E</w:t>
      </w:r>
      <w:r w:rsidRPr="004A5C3C" w:rsidR="004A5C3C">
        <w:rPr>
          <w:rFonts w:eastAsia="Calibri"/>
        </w:rPr>
        <w:t xml:space="preserve">. </w:t>
      </w:r>
    </w:p>
    <w:p w:rsidR="005D7691" w:rsidP="0053380B" w14:paraId="5921E36F" w14:textId="78CDC1EA">
      <w:pPr>
        <w:spacing w:after="200"/>
      </w:pPr>
      <w:r>
        <w:t>FDA maintains a public portal that allows individuals to self-report O/F/E incidents, but these data are not comparable because submissions to the portal are initiated by the individual who has already experienced</w:t>
      </w:r>
      <w:r w:rsidR="00340DE5">
        <w:t xml:space="preserve"> an O/F/E. Thus, there is no opportunity to estimate prevalence of O/F/E experiences and no representation of ENDS users who have not experienced O/F/E. In addition, the portal does not contain </w:t>
      </w:r>
      <w:r w:rsidR="003F28BF">
        <w:t xml:space="preserve">the full set of </w:t>
      </w:r>
      <w:r w:rsidR="00340DE5">
        <w:t xml:space="preserve">questions that are necessary for addressing our research questions. For example, there are no items that ask ENDS users to estimate their likelihood of experiencing O/F/E (Objective 3 of this study). </w:t>
      </w:r>
    </w:p>
    <w:p w:rsidR="00357C8A" w:rsidRPr="00312410" w:rsidP="00216238" w14:paraId="4EAF3F7E" w14:textId="77777777">
      <w:pPr>
        <w:pStyle w:val="Heading1"/>
        <w:rPr>
          <w:b/>
          <w:bCs/>
        </w:rPr>
      </w:pPr>
      <w:r w:rsidRPr="00312410">
        <w:rPr>
          <w:b/>
          <w:bCs/>
        </w:rPr>
        <w:t>Impact on Small Businesses or Other Small Entities</w:t>
      </w:r>
    </w:p>
    <w:p w:rsidR="00BB32EA" w:rsidRPr="00357C8A" w:rsidP="00357C8A" w14:paraId="746A62D1" w14:textId="1770440D">
      <w:pPr>
        <w:spacing w:after="200"/>
        <w:rPr>
          <w:rFonts w:eastAsia="Calibri"/>
        </w:rPr>
      </w:pPr>
      <w:r w:rsidRPr="00BB32EA">
        <w:rPr>
          <w:rFonts w:eastAsia="Calibri"/>
        </w:rPr>
        <w:t>Respondents in this study will be members of the public, not business entities. No impact on small businesses or other small entities is anticipated.</w:t>
      </w:r>
    </w:p>
    <w:p w:rsidR="00357C8A" w:rsidRPr="00312410" w:rsidP="00216238" w14:paraId="26B06ABA" w14:textId="77777777">
      <w:pPr>
        <w:pStyle w:val="Heading1"/>
        <w:rPr>
          <w:b/>
          <w:bCs/>
        </w:rPr>
      </w:pPr>
      <w:r w:rsidRPr="00312410">
        <w:rPr>
          <w:b/>
          <w:bCs/>
        </w:rPr>
        <w:t>Consequences of Collecting the Information Less Frequently</w:t>
      </w:r>
    </w:p>
    <w:p w:rsidR="00E46A5B" w:rsidRPr="00ED1F2B" w:rsidP="00357C8A" w14:paraId="79AC1992" w14:textId="3DEDE7FD">
      <w:pPr>
        <w:spacing w:after="200"/>
        <w:rPr>
          <w:rFonts w:eastAsia="Calibri"/>
        </w:rPr>
      </w:pPr>
      <w:r>
        <w:rPr>
          <w:rFonts w:eastAsia="Calibri"/>
        </w:rPr>
        <w:t xml:space="preserve">This is a one-time survey, ensuring that </w:t>
      </w:r>
      <w:r w:rsidRPr="00ED1F2B" w:rsidR="00ED1F2B">
        <w:rPr>
          <w:rFonts w:eastAsia="Calibri"/>
        </w:rPr>
        <w:t xml:space="preserve">the participant burden is as low as possible. Without the information collection requested for this evaluation study, it would be difficult </w:t>
      </w:r>
      <w:r w:rsidR="00ED1F2B">
        <w:rPr>
          <w:rFonts w:eastAsia="Calibri"/>
        </w:rPr>
        <w:t xml:space="preserve">for FDA to </w:t>
      </w:r>
      <w:r w:rsidRPr="00ED1F2B" w:rsidR="00ED1F2B">
        <w:rPr>
          <w:rFonts w:eastAsia="Calibri"/>
        </w:rPr>
        <w:t xml:space="preserve">understand the causes of </w:t>
      </w:r>
      <w:r w:rsidR="00340DE5">
        <w:rPr>
          <w:rFonts w:eastAsia="Calibri"/>
        </w:rPr>
        <w:t xml:space="preserve">and risk factors for </w:t>
      </w:r>
      <w:r w:rsidRPr="00ED1F2B" w:rsidR="00ED1F2B">
        <w:rPr>
          <w:rFonts w:eastAsia="Calibri"/>
        </w:rPr>
        <w:t>ENDS-related O/F/E incidents.</w:t>
      </w:r>
      <w:r w:rsidR="00ED1F2B">
        <w:rPr>
          <w:rFonts w:eastAsia="Calibri"/>
        </w:rPr>
        <w:t xml:space="preserve"> </w:t>
      </w:r>
      <w:r w:rsidRPr="00ED1F2B" w:rsidR="00ED1F2B">
        <w:rPr>
          <w:rFonts w:eastAsia="Calibri"/>
        </w:rPr>
        <w:t>Failure to collect these data could</w:t>
      </w:r>
      <w:r w:rsidR="00ED1F2B">
        <w:rPr>
          <w:rFonts w:eastAsia="Calibri"/>
        </w:rPr>
        <w:t xml:space="preserve"> reduce FDA’s ability to</w:t>
      </w:r>
      <w:r w:rsidRPr="00ED1F2B" w:rsidR="00ED1F2B">
        <w:rPr>
          <w:rFonts w:eastAsia="Calibri"/>
        </w:rPr>
        <w:t xml:space="preserve"> identify ways in which FDA may decrease the frequency of ENDS-related O/F/E incidents </w:t>
      </w:r>
      <w:r w:rsidRPr="00ED1F2B" w:rsidR="00ED1F2B">
        <w:rPr>
          <w:rFonts w:eastAsia="Calibri"/>
        </w:rPr>
        <w:t>in order to</w:t>
      </w:r>
      <w:r w:rsidRPr="00ED1F2B" w:rsidR="00ED1F2B">
        <w:rPr>
          <w:rFonts w:eastAsia="Calibri"/>
        </w:rPr>
        <w:t xml:space="preserve"> protect the public health.</w:t>
      </w:r>
    </w:p>
    <w:p w:rsidR="00357C8A" w:rsidRPr="00312410" w:rsidP="00216238" w14:paraId="7D5A066B" w14:textId="77777777">
      <w:pPr>
        <w:pStyle w:val="Heading1"/>
        <w:rPr>
          <w:b/>
          <w:bCs/>
        </w:rPr>
      </w:pPr>
      <w:r w:rsidRPr="00312410">
        <w:rPr>
          <w:b/>
          <w:bCs/>
        </w:rPr>
        <w:t xml:space="preserve">Special Circumstances Relating to the Guidelines of </w:t>
      </w:r>
      <w:bookmarkStart w:id="5" w:name="_Hlk66189747"/>
      <w:r w:rsidRPr="00312410">
        <w:rPr>
          <w:b/>
          <w:bCs/>
        </w:rPr>
        <w:t>5 CFR 1320.5</w:t>
      </w:r>
      <w:bookmarkEnd w:id="5"/>
    </w:p>
    <w:p w:rsidR="00E46A5B" w:rsidRPr="00357C8A" w:rsidP="00C929E7" w14:paraId="1A395C86" w14:textId="5548746F">
      <w:pPr>
        <w:spacing w:after="200"/>
        <w:rPr>
          <w:rFonts w:eastAsia="Calibri"/>
        </w:rPr>
      </w:pPr>
      <w:r w:rsidRPr="00E46A5B">
        <w:rPr>
          <w:rFonts w:eastAsia="Calibri"/>
        </w:rPr>
        <w:t xml:space="preserve">There are no special circumstances for this collection of information that require the data collection to be conducted in a manner inconsistent with 5 CFR 1320.5(d)(2). </w:t>
      </w:r>
    </w:p>
    <w:p w:rsidR="00357C8A" w:rsidRPr="00312410" w:rsidP="00216238" w14:paraId="16A1C521" w14:textId="77777777">
      <w:pPr>
        <w:pStyle w:val="Heading1"/>
        <w:rPr>
          <w:b/>
          <w:bCs/>
        </w:rPr>
      </w:pPr>
      <w:r w:rsidRPr="00312410">
        <w:rPr>
          <w:b/>
          <w:bCs/>
        </w:rPr>
        <w:t>Comments in Response to the Federal Register Notice and Efforts to Consult Outside the Agency</w:t>
      </w:r>
    </w:p>
    <w:p w:rsidR="00F3667F" w:rsidRPr="00F734AC" w:rsidP="003D26A7" w14:paraId="7D4C253A"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2"/>
        <w:rPr>
          <w:bCs/>
        </w:rPr>
      </w:pPr>
      <w:r w:rsidRPr="00F734AC">
        <w:rPr>
          <w:bCs/>
        </w:rPr>
        <w:t xml:space="preserve">The following individuals inside the agency have been consulted on the design of the </w:t>
      </w:r>
      <w:r>
        <w:rPr>
          <w:bCs/>
        </w:rPr>
        <w:t>study</w:t>
      </w:r>
      <w:r w:rsidRPr="00F734AC">
        <w:rPr>
          <w:bCs/>
        </w:rPr>
        <w:t xml:space="preserve">, </w:t>
      </w:r>
      <w:r>
        <w:rPr>
          <w:bCs/>
        </w:rPr>
        <w:t>instrument</w:t>
      </w:r>
      <w:r w:rsidRPr="00F734AC">
        <w:rPr>
          <w:bCs/>
        </w:rPr>
        <w:t xml:space="preserve"> development, or intra-agency coordination of information collection efforts:</w:t>
      </w:r>
    </w:p>
    <w:p w:rsidR="00F3667F" w:rsidRPr="00F3667F" w:rsidP="0053380B" w14:paraId="699C7CBB" w14:textId="057DCCAF">
      <w:pPr>
        <w:spacing w:after="200"/>
        <w:rPr>
          <w:rFonts w:eastAsia="Calibri"/>
        </w:rPr>
      </w:pPr>
      <w:r>
        <w:rPr>
          <w:rFonts w:eastAsia="Calibri"/>
        </w:rPr>
        <w:br/>
      </w:r>
      <w:r w:rsidRPr="00F3667F">
        <w:rPr>
          <w:rFonts w:eastAsia="Calibri"/>
        </w:rPr>
        <w:t>Name</w:t>
      </w:r>
    </w:p>
    <w:p w:rsidR="00BC6438" w:rsidRPr="007930FD" w:rsidP="00BC6438" w14:paraId="18C4536F" w14:textId="77777777">
      <w:r w:rsidRPr="007930FD">
        <w:t>Azieb Kidanu</w:t>
      </w:r>
    </w:p>
    <w:p w:rsidR="00BC6438" w:rsidP="00BC6438" w14:paraId="3EC17DB3" w14:textId="77777777">
      <w:bookmarkStart w:id="6" w:name="_Hlk101174222"/>
      <w:r>
        <w:t>Office of Science</w:t>
      </w:r>
    </w:p>
    <w:p w:rsidR="00BC6438" w:rsidP="00BC6438" w14:paraId="20001498" w14:textId="77777777">
      <w:r>
        <w:t>Center for Tobacco Products</w:t>
      </w:r>
    </w:p>
    <w:p w:rsidR="00BC6438" w:rsidP="00BC6438" w14:paraId="3E22D985" w14:textId="77777777">
      <w:r>
        <w:t>Food and Drug Administration</w:t>
      </w:r>
    </w:p>
    <w:p w:rsidR="00BC6438" w:rsidP="00BC6438" w14:paraId="59FF9609" w14:textId="77777777">
      <w:bookmarkStart w:id="7" w:name="_Hlk101173990"/>
      <w:r w:rsidRPr="00EA6960">
        <w:t>11785 Beltsville Drive</w:t>
      </w:r>
    </w:p>
    <w:p w:rsidR="00BC6438" w:rsidP="00BC6438" w14:paraId="3D2BC57D" w14:textId="77777777">
      <w:r>
        <w:t>Beltsville, MD 20705</w:t>
      </w:r>
    </w:p>
    <w:bookmarkEnd w:id="7"/>
    <w:p w:rsidR="00BC6438" w:rsidP="00BC6438" w14:paraId="53442DAB" w14:textId="77777777">
      <w:r w:rsidRPr="002260F8">
        <w:t xml:space="preserve">Phone: </w:t>
      </w:r>
      <w:bookmarkEnd w:id="6"/>
      <w:r w:rsidRPr="002260F8">
        <w:t>(301) 796-1248</w:t>
      </w:r>
    </w:p>
    <w:p w:rsidR="00BC6438" w:rsidP="00BC6438" w14:paraId="7998CA1E" w14:textId="77777777">
      <w:r>
        <w:t xml:space="preserve">E-mail: </w:t>
      </w:r>
      <w:hyperlink r:id="rId5" w:history="1">
        <w:r>
          <w:rPr>
            <w:rStyle w:val="Hyperlink"/>
          </w:rPr>
          <w:t>azieb.kidanu</w:t>
        </w:r>
        <w:r w:rsidRPr="00A349AA">
          <w:rPr>
            <w:rStyle w:val="Hyperlink"/>
          </w:rPr>
          <w:t>@fda.hhs.gov</w:t>
        </w:r>
      </w:hyperlink>
    </w:p>
    <w:p w:rsidR="00BC6438" w:rsidP="00BC6438" w14:paraId="758EC84C" w14:textId="77777777"/>
    <w:p w:rsidR="00BC6438" w:rsidRPr="00BC6438" w:rsidP="00BC6438" w14:paraId="01A6FEEE" w14:textId="77777777">
      <w:r w:rsidRPr="00BC6438">
        <w:t>Chelsea McKinney</w:t>
      </w:r>
    </w:p>
    <w:p w:rsidR="00BC6438" w:rsidRPr="00BC6438" w:rsidP="00BC6438" w14:paraId="7E8E928D" w14:textId="77777777">
      <w:pPr>
        <w:rPr>
          <w:noProof/>
          <w:bdr w:val="none" w:sz="0" w:space="0" w:color="auto" w:frame="1"/>
        </w:rPr>
      </w:pPr>
      <w:r w:rsidRPr="00BC6438">
        <w:rPr>
          <w:noProof/>
          <w:bdr w:val="none" w:sz="0" w:space="0" w:color="auto" w:frame="1"/>
        </w:rPr>
        <w:t>Office of Science</w:t>
      </w:r>
    </w:p>
    <w:p w:rsidR="00BC6438" w:rsidRPr="00BC6438" w:rsidP="00BC6438" w14:paraId="3E991DDD" w14:textId="77777777">
      <w:pPr>
        <w:rPr>
          <w:noProof/>
          <w:bdr w:val="none" w:sz="0" w:space="0" w:color="auto" w:frame="1"/>
        </w:rPr>
      </w:pPr>
      <w:r w:rsidRPr="00BC6438">
        <w:rPr>
          <w:noProof/>
          <w:bdr w:val="none" w:sz="0" w:space="0" w:color="auto" w:frame="1"/>
        </w:rPr>
        <w:t>Center for Tobacco Products</w:t>
      </w:r>
    </w:p>
    <w:p w:rsidR="00BC6438" w:rsidRPr="00BC6438" w:rsidP="00BC6438" w14:paraId="131B8938" w14:textId="77777777">
      <w:pPr>
        <w:rPr>
          <w:noProof/>
          <w:bdr w:val="none" w:sz="0" w:space="0" w:color="auto" w:frame="1"/>
        </w:rPr>
      </w:pPr>
      <w:r w:rsidRPr="00BC6438">
        <w:rPr>
          <w:noProof/>
          <w:bdr w:val="none" w:sz="0" w:space="0" w:color="auto" w:frame="1"/>
        </w:rPr>
        <w:t>Food and Drug Administration</w:t>
      </w:r>
    </w:p>
    <w:p w:rsidR="00BC6438" w:rsidRPr="00BC6438" w:rsidP="00BC6438" w14:paraId="226BEC55" w14:textId="77777777">
      <w:pPr>
        <w:rPr>
          <w:noProof/>
          <w:bdr w:val="none" w:sz="0" w:space="0" w:color="auto" w:frame="1"/>
        </w:rPr>
      </w:pPr>
      <w:r w:rsidRPr="00BC6438">
        <w:rPr>
          <w:noProof/>
          <w:bdr w:val="none" w:sz="0" w:space="0" w:color="auto" w:frame="1"/>
        </w:rPr>
        <w:t>11785 Beltsville Drive</w:t>
      </w:r>
    </w:p>
    <w:p w:rsidR="00BC6438" w:rsidRPr="00BC6438" w:rsidP="00BC6438" w14:paraId="21563B31" w14:textId="77777777">
      <w:pPr>
        <w:rPr>
          <w:noProof/>
          <w:bdr w:val="none" w:sz="0" w:space="0" w:color="auto" w:frame="1"/>
        </w:rPr>
      </w:pPr>
      <w:r w:rsidRPr="00BC6438">
        <w:rPr>
          <w:noProof/>
          <w:bdr w:val="none" w:sz="0" w:space="0" w:color="auto" w:frame="1"/>
        </w:rPr>
        <w:t>Beltsville, MD 20705</w:t>
      </w:r>
    </w:p>
    <w:p w:rsidR="00BC6438" w:rsidP="00BC6438" w14:paraId="4A9775AD" w14:textId="288A774F">
      <w:pPr>
        <w:rPr>
          <w:noProof/>
          <w:bdr w:val="none" w:sz="0" w:space="0" w:color="auto" w:frame="1"/>
        </w:rPr>
      </w:pPr>
      <w:r w:rsidRPr="00BC6438">
        <w:rPr>
          <w:noProof/>
          <w:bdr w:val="none" w:sz="0" w:space="0" w:color="auto" w:frame="1"/>
        </w:rPr>
        <w:t xml:space="preserve">E-mail: </w:t>
      </w:r>
      <w:hyperlink r:id="rId6" w:history="1">
        <w:r w:rsidRPr="007132BA" w:rsidR="00A512B5">
          <w:rPr>
            <w:rStyle w:val="Hyperlink"/>
            <w:noProof/>
            <w:bdr w:val="none" w:sz="0" w:space="0" w:color="auto" w:frame="1"/>
          </w:rPr>
          <w:t>chelsea.mckinney@fda.hhs.gov</w:t>
        </w:r>
      </w:hyperlink>
    </w:p>
    <w:p w:rsidR="0055591A" w:rsidP="00BC6438" w14:paraId="7133C86B" w14:textId="77777777">
      <w:pPr>
        <w:rPr>
          <w:rStyle w:val="Hyperlink"/>
          <w:noProof/>
          <w:bdr w:val="none" w:sz="0" w:space="0" w:color="auto" w:frame="1"/>
        </w:rPr>
      </w:pPr>
    </w:p>
    <w:p w:rsidR="0055591A" w:rsidRPr="007930FD" w:rsidP="0055591A" w14:paraId="0630AAA3" w14:textId="2E4594BA">
      <w:r>
        <w:t>Alexander Persoskie</w:t>
      </w:r>
    </w:p>
    <w:p w:rsidR="0055591A" w:rsidP="0055591A" w14:paraId="140EE7F0" w14:textId="77777777">
      <w:r>
        <w:t>Office of Science</w:t>
      </w:r>
    </w:p>
    <w:p w:rsidR="0055591A" w:rsidP="0055591A" w14:paraId="1AE4A8EC" w14:textId="77777777">
      <w:r>
        <w:t>Center for Tobacco Products</w:t>
      </w:r>
    </w:p>
    <w:p w:rsidR="0055591A" w:rsidP="0055591A" w14:paraId="51312B31" w14:textId="77777777">
      <w:r>
        <w:t>Food and Drug Administration</w:t>
      </w:r>
    </w:p>
    <w:p w:rsidR="0055591A" w:rsidP="0055591A" w14:paraId="6652DF40" w14:textId="77777777">
      <w:r w:rsidRPr="00EA6960">
        <w:t>11785 Beltsville Drive</w:t>
      </w:r>
    </w:p>
    <w:p w:rsidR="0055591A" w:rsidP="0055591A" w14:paraId="144B7C09" w14:textId="77777777">
      <w:r>
        <w:t>Beltsville, MD 20705</w:t>
      </w:r>
    </w:p>
    <w:p w:rsidR="0055591A" w:rsidP="0055591A" w14:paraId="2EE21A52" w14:textId="17EA96DB">
      <w:r w:rsidRPr="002260F8">
        <w:t xml:space="preserve">Phone: </w:t>
      </w:r>
      <w:r w:rsidR="00AA49FC">
        <w:t>(</w:t>
      </w:r>
      <w:r w:rsidRPr="00AA49FC" w:rsidR="00AA49FC">
        <w:t>240</w:t>
      </w:r>
      <w:r w:rsidR="00AA49FC">
        <w:t xml:space="preserve">) </w:t>
      </w:r>
      <w:r w:rsidRPr="00AA49FC" w:rsidR="00AA49FC">
        <w:t>402-6864</w:t>
      </w:r>
    </w:p>
    <w:p w:rsidR="005A0501" w:rsidP="0055591A" w14:paraId="0BA63A87" w14:textId="338DD08C">
      <w:r>
        <w:t xml:space="preserve">E-mail: </w:t>
      </w:r>
      <w:hyperlink r:id="rId7" w:history="1">
        <w:r w:rsidRPr="00AA49FC" w:rsidR="00AA49FC">
          <w:rPr>
            <w:rStyle w:val="Hyperlink"/>
          </w:rPr>
          <w:t>alexander.persoskie@fda.hhs.gov</w:t>
        </w:r>
      </w:hyperlink>
    </w:p>
    <w:p w:rsidR="002260F8" w:rsidP="00FF4D37" w14:paraId="51A17B06" w14:textId="77777777"/>
    <w:p w:rsidR="00F3667F" w:rsidRPr="002260F8" w:rsidP="0053380B" w14:paraId="1AD37A2F" w14:textId="4C5E1D93">
      <w:pPr>
        <w:spacing w:after="200"/>
      </w:pPr>
      <w:r w:rsidRPr="002260F8">
        <w:t>The following individuals outside of the agency have been consulted on survey development and data collection implementation:</w:t>
      </w:r>
    </w:p>
    <w:p w:rsidR="00F3667F" w:rsidRPr="00FD1E65" w:rsidP="00BE1CD4" w14:paraId="2CE764C2" w14:textId="5128DF0D">
      <w:pPr>
        <w:spacing w:line="259" w:lineRule="auto"/>
      </w:pPr>
      <w:r>
        <w:t xml:space="preserve">Erik </w:t>
      </w:r>
      <w:r>
        <w:t>Crankshaw</w:t>
      </w:r>
    </w:p>
    <w:p w:rsidR="00F3667F" w:rsidRPr="00FD1E65" w:rsidP="003D26A7" w14:paraId="44113201" w14:textId="77777777">
      <w:r w:rsidRPr="00FD1E65">
        <w:t>RTI International</w:t>
      </w:r>
    </w:p>
    <w:p w:rsidR="00F3667F" w:rsidRPr="00FD1E65" w:rsidP="003D26A7" w14:paraId="62B82DCC" w14:textId="77777777">
      <w:r w:rsidRPr="00FD1E65">
        <w:t>3040 Cornwallis Road</w:t>
      </w:r>
    </w:p>
    <w:p w:rsidR="00F3667F" w:rsidRPr="00FD1E65" w:rsidP="003D26A7" w14:paraId="4EC1D85B" w14:textId="77777777">
      <w:r w:rsidRPr="00FD1E65">
        <w:t>Research Triangle Park, NC 27709</w:t>
      </w:r>
    </w:p>
    <w:p w:rsidR="00F3667F" w:rsidRPr="00FD1E65" w:rsidP="003D26A7" w14:paraId="7D95EE73" w14:textId="2801D5DC">
      <w:r w:rsidRPr="00FD1E65">
        <w:t>Phone:</w:t>
      </w:r>
      <w:r w:rsidRPr="00AE0255">
        <w:t xml:space="preserve"> </w:t>
      </w:r>
      <w:r w:rsidRPr="00FD1E65">
        <w:t>919-</w:t>
      </w:r>
      <w:r>
        <w:t>316-3</w:t>
      </w:r>
      <w:r w:rsidR="3352C24A">
        <w:t>809</w:t>
      </w:r>
    </w:p>
    <w:p w:rsidR="00F3667F" w:rsidP="003D26A7" w14:paraId="7BE9B858" w14:textId="4F8086F9">
      <w:r>
        <w:t>E-mail:</w:t>
      </w:r>
      <w:r w:rsidR="001D4D6F">
        <w:t xml:space="preserve"> </w:t>
      </w:r>
      <w:hyperlink r:id="rId8" w:history="1">
        <w:r w:rsidRPr="0031686F" w:rsidR="001D4D6F">
          <w:rPr>
            <w:rStyle w:val="Hyperlink"/>
          </w:rPr>
          <w:t>ecrankshaw@rti.org</w:t>
        </w:r>
      </w:hyperlink>
    </w:p>
    <w:p w:rsidR="00F3667F" w:rsidP="003D26A7" w14:paraId="3EAB7133" w14:textId="77777777"/>
    <w:p w:rsidR="00F3667F" w:rsidRPr="007E1BA4" w:rsidP="003D26A7" w14:paraId="7E0D9B27" w14:textId="1E8DBD7F">
      <w:r>
        <w:t>Matt Eggers</w:t>
      </w:r>
    </w:p>
    <w:p w:rsidR="00F3667F" w:rsidRPr="007E1BA4" w:rsidP="003D26A7" w14:paraId="6B062FE9" w14:textId="77777777">
      <w:bookmarkStart w:id="8" w:name="_Hlk99548848"/>
      <w:r w:rsidRPr="007E1BA4">
        <w:t>RTI International</w:t>
      </w:r>
    </w:p>
    <w:p w:rsidR="00F3667F" w:rsidRPr="007E1BA4" w:rsidP="003D26A7" w14:paraId="6768EA83" w14:textId="77777777">
      <w:r w:rsidRPr="007E1BA4">
        <w:t>3040 Cornwallis Road</w:t>
      </w:r>
    </w:p>
    <w:p w:rsidR="00F3667F" w:rsidRPr="007E1BA4" w:rsidP="003D26A7" w14:paraId="3EF9A0F2" w14:textId="77777777">
      <w:r w:rsidRPr="007E1BA4">
        <w:t>Research Triangle Park, NC 27709</w:t>
      </w:r>
    </w:p>
    <w:p w:rsidR="00F3667F" w:rsidRPr="007E1BA4" w:rsidP="003D26A7" w14:paraId="09A03956" w14:textId="77777777">
      <w:r w:rsidRPr="007E1BA4">
        <w:t>Phone:</w:t>
      </w:r>
      <w:r>
        <w:t xml:space="preserve"> </w:t>
      </w:r>
      <w:r w:rsidRPr="007E1BA4">
        <w:t>919-541-6</w:t>
      </w:r>
      <w:r>
        <w:t>683</w:t>
      </w:r>
    </w:p>
    <w:p w:rsidR="00F3667F" w:rsidP="003D26A7" w14:paraId="3355CFB1" w14:textId="1D49540F">
      <w:pPr>
        <w:spacing w:after="200"/>
        <w:rPr>
          <w:rStyle w:val="Hyperlink"/>
        </w:rPr>
      </w:pPr>
      <w:r w:rsidRPr="007E1BA4">
        <w:t>E-mail:</w:t>
      </w:r>
      <w:r>
        <w:t xml:space="preserve"> </w:t>
      </w:r>
      <w:hyperlink r:id="rId9" w:history="1">
        <w:r w:rsidRPr="00E3673A">
          <w:rPr>
            <w:rStyle w:val="Hyperlink"/>
          </w:rPr>
          <w:t>meggers@rti.org</w:t>
        </w:r>
      </w:hyperlink>
    </w:p>
    <w:p w:rsidR="00F3667F" w:rsidP="003D26A7" w14:paraId="3FB2810B" w14:textId="77777777">
      <w:pPr>
        <w:widowControl w:val="0"/>
        <w:autoSpaceDE w:val="0"/>
        <w:autoSpaceDN w:val="0"/>
        <w:adjustRightInd w:val="0"/>
      </w:pPr>
      <w:bookmarkStart w:id="9" w:name="_Hlk110678875"/>
      <w:bookmarkEnd w:id="8"/>
      <w:r>
        <w:t>Laura Baum</w:t>
      </w:r>
    </w:p>
    <w:p w:rsidR="00F3667F" w:rsidP="003D26A7" w14:paraId="3E0D617B" w14:textId="77777777">
      <w:r>
        <w:t>RTI International</w:t>
      </w:r>
    </w:p>
    <w:p w:rsidR="00F3667F" w:rsidP="003D26A7" w14:paraId="22618766" w14:textId="77777777">
      <w:r>
        <w:t>2987 Clairmont Road NE</w:t>
      </w:r>
    </w:p>
    <w:p w:rsidR="00F3667F" w:rsidP="003D26A7" w14:paraId="1294141F" w14:textId="77777777">
      <w:r>
        <w:t>Atlanta, GA 30329-4434</w:t>
      </w:r>
    </w:p>
    <w:p w:rsidR="00F3667F" w:rsidP="003D26A7" w14:paraId="55D4A85A" w14:textId="77777777">
      <w:r>
        <w:t>Phone: 770-234-5017</w:t>
      </w:r>
    </w:p>
    <w:p w:rsidR="00F3667F" w:rsidP="003D26A7" w14:paraId="212A720F" w14:textId="472E8A50">
      <w:pPr>
        <w:spacing w:after="200"/>
        <w:rPr>
          <w:rFonts w:eastAsia="Calibri"/>
          <w:highlight w:val="yellow"/>
        </w:rPr>
      </w:pPr>
      <w:r>
        <w:t xml:space="preserve">E-mail: </w:t>
      </w:r>
      <w:hyperlink r:id="rId10" w:history="1">
        <w:r w:rsidRPr="00A90762" w:rsidR="004E2980">
          <w:rPr>
            <w:rStyle w:val="Hyperlink"/>
          </w:rPr>
          <w:t>lbaum@rti.org</w:t>
        </w:r>
      </w:hyperlink>
      <w:bookmarkEnd w:id="9"/>
      <w:r w:rsidR="004E2980">
        <w:t xml:space="preserve">   </w:t>
      </w:r>
    </w:p>
    <w:p w:rsidR="005E4114" w14:paraId="79471E8B" w14:textId="6C446F5C">
      <w:pPr>
        <w:rPr>
          <w:rFonts w:eastAsia="Calibri"/>
        </w:rPr>
      </w:pPr>
      <w:r>
        <w:rPr>
          <w:rFonts w:eastAsia="Calibri"/>
        </w:rPr>
        <w:br w:type="page"/>
      </w:r>
    </w:p>
    <w:p w:rsidR="00357C8A" w:rsidRPr="00312410" w:rsidP="00216238" w14:paraId="2F250E31" w14:textId="1EEFF1B5">
      <w:pPr>
        <w:pStyle w:val="Heading1"/>
        <w:rPr>
          <w:b/>
          <w:bCs/>
        </w:rPr>
      </w:pPr>
      <w:r w:rsidRPr="00312410">
        <w:rPr>
          <w:b/>
          <w:bCs/>
        </w:rPr>
        <w:t>Explanation of Any Payment or Gift to Respondents</w:t>
      </w:r>
    </w:p>
    <w:p w:rsidR="004D3258" w:rsidRPr="00E46A5B" w:rsidP="00E46A5B" w14:paraId="2D569CAF" w14:textId="6EB725F5">
      <w:pPr>
        <w:spacing w:after="200"/>
        <w:rPr>
          <w:rFonts w:eastAsia="Calibri"/>
        </w:rPr>
      </w:pPr>
      <w:bookmarkStart w:id="10" w:name="_Hlk98840893"/>
      <w:r w:rsidRPr="00E46A5B">
        <w:rPr>
          <w:rFonts w:eastAsia="Calibri"/>
        </w:rPr>
        <w:t xml:space="preserve">As is customary with online surveys conducted via panel sampling, panelists </w:t>
      </w:r>
      <w:r w:rsidR="00AD3F0F">
        <w:rPr>
          <w:rFonts w:eastAsia="Calibri"/>
        </w:rPr>
        <w:t>receive tokens of appreciation from the panel company for completing the survey</w:t>
      </w:r>
      <w:r w:rsidRPr="00E46A5B">
        <w:rPr>
          <w:rFonts w:eastAsia="Calibri"/>
        </w:rPr>
        <w:t xml:space="preserve">. </w:t>
      </w:r>
      <w:r>
        <w:rPr>
          <w:rFonts w:eastAsia="Calibri"/>
        </w:rPr>
        <w:t>Dynata</w:t>
      </w:r>
      <w:r w:rsidRPr="00E46A5B">
        <w:rPr>
          <w:rFonts w:eastAsia="Calibri"/>
        </w:rPr>
        <w:t xml:space="preserve"> panelists will receive nonmonetary points valued at approximately $3.00-$4.00 for completion of </w:t>
      </w:r>
      <w:r>
        <w:rPr>
          <w:rFonts w:eastAsia="Calibri"/>
        </w:rPr>
        <w:t>the</w:t>
      </w:r>
      <w:r w:rsidRPr="00E46A5B">
        <w:rPr>
          <w:rFonts w:eastAsia="Calibri"/>
        </w:rPr>
        <w:t xml:space="preserve"> survey. </w:t>
      </w:r>
      <w:r w:rsidRPr="00AA5E76" w:rsidR="00AA5E76">
        <w:rPr>
          <w:rFonts w:eastAsia="Calibri"/>
        </w:rPr>
        <w:t>Dynata</w:t>
      </w:r>
      <w:r w:rsidRPr="00AA5E76" w:rsidR="00AA5E76">
        <w:rPr>
          <w:rFonts w:eastAsia="Calibri"/>
        </w:rPr>
        <w:t xml:space="preserve"> determines the number of points based on survey length. </w:t>
      </w:r>
      <w:r w:rsidR="00EC7D65">
        <w:rPr>
          <w:rFonts w:eastAsia="Calibri"/>
        </w:rPr>
        <w:t xml:space="preserve">To receive a token of appreciation, </w:t>
      </w:r>
      <w:r w:rsidRPr="00EC7D65" w:rsidR="00EC7D65">
        <w:rPr>
          <w:rFonts w:eastAsia="Calibri"/>
        </w:rPr>
        <w:t xml:space="preserve">a </w:t>
      </w:r>
      <w:r w:rsidRPr="00EC7D65">
        <w:rPr>
          <w:rFonts w:eastAsia="Calibri"/>
        </w:rPr>
        <w:t>participant must be eligible to participate (per the screener)</w:t>
      </w:r>
      <w:r w:rsidRPr="00EC7D65" w:rsidR="00EC7D65">
        <w:rPr>
          <w:rFonts w:eastAsia="Calibri"/>
        </w:rPr>
        <w:t>,</w:t>
      </w:r>
      <w:r w:rsidRPr="00EC7D65">
        <w:rPr>
          <w:rFonts w:eastAsia="Calibri"/>
        </w:rPr>
        <w:t xml:space="preserve"> submit the questionnaire to receive the token of appreciation</w:t>
      </w:r>
      <w:r w:rsidRPr="00EC7D65" w:rsidR="00EC7D65">
        <w:rPr>
          <w:rFonts w:eastAsia="Calibri"/>
        </w:rPr>
        <w:t xml:space="preserve">, and not be a “speeder” (defined by </w:t>
      </w:r>
      <w:r w:rsidRPr="00EC7D65" w:rsidR="00EC7D65">
        <w:rPr>
          <w:rFonts w:eastAsia="Calibri"/>
        </w:rPr>
        <w:t>Dynata</w:t>
      </w:r>
      <w:r w:rsidRPr="00EC7D65" w:rsidR="00EC7D65">
        <w:rPr>
          <w:rFonts w:eastAsia="Calibri"/>
        </w:rPr>
        <w:t xml:space="preserve"> </w:t>
      </w:r>
      <w:r w:rsidR="00B75694">
        <w:t xml:space="preserve">defined by </w:t>
      </w:r>
      <w:r w:rsidR="00B75694">
        <w:t>Dynata</w:t>
      </w:r>
      <w:r w:rsidR="00B75694">
        <w:t xml:space="preserve"> as a survey completion time that is 30% or lower of the median length of survey</w:t>
      </w:r>
      <w:r w:rsidRPr="00EC7D65" w:rsidR="00EC7D65">
        <w:rPr>
          <w:rFonts w:eastAsia="Calibri"/>
        </w:rPr>
        <w:t>)</w:t>
      </w:r>
      <w:r w:rsidRPr="00EC7D65">
        <w:rPr>
          <w:rFonts w:eastAsia="Calibri"/>
        </w:rPr>
        <w:t>.</w:t>
      </w:r>
    </w:p>
    <w:bookmarkEnd w:id="10"/>
    <w:p w:rsidR="007A1955" w:rsidRPr="006A64E7" w:rsidP="007A1955" w14:paraId="0CCE0C92" w14:textId="60C8B34B">
      <w:pPr>
        <w:spacing w:after="200"/>
        <w:rPr>
          <w:rFonts w:eastAsia="Calibri"/>
        </w:rPr>
      </w:pPr>
      <w:r w:rsidRPr="7520388B">
        <w:rPr>
          <w:rFonts w:eastAsia="Calibri"/>
        </w:rPr>
        <w:t xml:space="preserve">This token of appreciation is warranted as we aim to recruit harder-to-reach populations, including young adults and ENDS users that have experienced an O/F/E incident. According to the 2020 National Health Interview Survey (NHIS), an estimated 3.7% of adults aged 18 and older are current users (Cornelius et al, 2022). By age </w:t>
      </w:r>
      <w:r w:rsidRPr="7520388B" w:rsidR="00D26222">
        <w:rPr>
          <w:rFonts w:eastAsia="Calibri"/>
        </w:rPr>
        <w:t>group, the</w:t>
      </w:r>
      <w:r w:rsidRPr="7520388B">
        <w:rPr>
          <w:rFonts w:eastAsia="Calibri"/>
        </w:rPr>
        <w:t xml:space="preserve"> prevalence of current ENDS use is highest among those aged 18-24 and decreases with increasing age</w:t>
      </w:r>
      <w:r w:rsidRPr="7520388B" w:rsidR="00D96D0B">
        <w:rPr>
          <w:rFonts w:eastAsia="Calibri"/>
        </w:rPr>
        <w:t xml:space="preserve"> (e.g.,</w:t>
      </w:r>
      <w:r w:rsidRPr="7520388B">
        <w:rPr>
          <w:rFonts w:eastAsia="Calibri"/>
        </w:rPr>
        <w:t xml:space="preserve"> 9.4% for those aged 18-24</w:t>
      </w:r>
      <w:r w:rsidRPr="7520388B" w:rsidR="00D96D0B">
        <w:rPr>
          <w:rFonts w:eastAsia="Calibri"/>
        </w:rPr>
        <w:t>;</w:t>
      </w:r>
      <w:r w:rsidRPr="7520388B">
        <w:rPr>
          <w:rFonts w:eastAsia="Calibri"/>
        </w:rPr>
        <w:t xml:space="preserve"> 5.2% for those aged 25-44</w:t>
      </w:r>
      <w:r w:rsidRPr="7520388B" w:rsidR="002A36BC">
        <w:rPr>
          <w:rFonts w:eastAsia="Calibri"/>
        </w:rPr>
        <w:t>;</w:t>
      </w:r>
      <w:r w:rsidRPr="7520388B">
        <w:rPr>
          <w:rFonts w:eastAsia="Calibri"/>
        </w:rPr>
        <w:t xml:space="preserve"> 2.2% for those aged 45-64</w:t>
      </w:r>
      <w:r w:rsidRPr="7520388B" w:rsidR="002A36BC">
        <w:rPr>
          <w:rFonts w:eastAsia="Calibri"/>
        </w:rPr>
        <w:t>;</w:t>
      </w:r>
      <w:r w:rsidRPr="7520388B">
        <w:rPr>
          <w:rFonts w:eastAsia="Calibri"/>
        </w:rPr>
        <w:t xml:space="preserve"> and 0.6% for those aged 65 and older</w:t>
      </w:r>
      <w:r w:rsidRPr="7520388B" w:rsidR="002A36BC">
        <w:rPr>
          <w:rFonts w:eastAsia="Calibri"/>
        </w:rPr>
        <w:t>)</w:t>
      </w:r>
      <w:r w:rsidRPr="7520388B">
        <w:rPr>
          <w:rFonts w:eastAsia="Calibri"/>
        </w:rPr>
        <w:t xml:space="preserve"> (Cornelius et al, 2022). The</w:t>
      </w:r>
      <w:r w:rsidRPr="7520388B" w:rsidR="00196EC7">
        <w:rPr>
          <w:rFonts w:eastAsia="Calibri"/>
        </w:rPr>
        <w:t>se</w:t>
      </w:r>
      <w:r w:rsidRPr="7520388B">
        <w:rPr>
          <w:rFonts w:eastAsia="Calibri"/>
        </w:rPr>
        <w:t xml:space="preserve"> national estimates provide evidence that young adults aged 18 to 24</w:t>
      </w:r>
      <w:r w:rsidRPr="7520388B" w:rsidR="000619FF">
        <w:rPr>
          <w:rFonts w:eastAsia="Calibri"/>
        </w:rPr>
        <w:t xml:space="preserve"> (the</w:t>
      </w:r>
      <w:r w:rsidR="002552D7">
        <w:rPr>
          <w:rFonts w:eastAsia="Calibri"/>
        </w:rPr>
        <w:t xml:space="preserve"> includes the</w:t>
      </w:r>
      <w:r w:rsidRPr="7520388B" w:rsidR="000619FF">
        <w:rPr>
          <w:rFonts w:eastAsia="Calibri"/>
        </w:rPr>
        <w:t xml:space="preserve"> target audience for our research)</w:t>
      </w:r>
      <w:r w:rsidRPr="7520388B">
        <w:rPr>
          <w:rFonts w:eastAsia="Calibri"/>
        </w:rPr>
        <w:t xml:space="preserve"> are more likely to be ENDS </w:t>
      </w:r>
      <w:r w:rsidRPr="7520388B" w:rsidR="005D1E86">
        <w:rPr>
          <w:rFonts w:eastAsia="Calibri"/>
        </w:rPr>
        <w:t>users than</w:t>
      </w:r>
      <w:r w:rsidRPr="7520388B">
        <w:rPr>
          <w:rFonts w:eastAsia="Calibri"/>
        </w:rPr>
        <w:t xml:space="preserve"> adults aged 25 and older; therefore, it is essential that we can successfully recruit this population to meet the goals of this study. Young adults are considered harder-to-reach due to survey </w:t>
      </w:r>
      <w:r w:rsidRPr="7520388B" w:rsidR="008364ED">
        <w:rPr>
          <w:rFonts w:eastAsia="Calibri"/>
        </w:rPr>
        <w:t>fatigue. They</w:t>
      </w:r>
      <w:r w:rsidRPr="7520388B">
        <w:rPr>
          <w:rFonts w:eastAsia="Calibri"/>
        </w:rPr>
        <w:t xml:space="preserve"> are often overwhelmed by the number of surveys they encounter in daily life</w:t>
      </w:r>
      <w:r w:rsidRPr="7520388B" w:rsidR="000619FF">
        <w:rPr>
          <w:rFonts w:eastAsia="Calibri"/>
        </w:rPr>
        <w:t>,</w:t>
      </w:r>
      <w:r w:rsidRPr="7520388B">
        <w:rPr>
          <w:rFonts w:eastAsia="Calibri"/>
        </w:rPr>
        <w:t xml:space="preserve"> and thus</w:t>
      </w:r>
      <w:r w:rsidRPr="7520388B" w:rsidR="000619FF">
        <w:rPr>
          <w:rFonts w:eastAsia="Calibri"/>
        </w:rPr>
        <w:t>,</w:t>
      </w:r>
      <w:r w:rsidRPr="7520388B">
        <w:rPr>
          <w:rFonts w:eastAsia="Calibri"/>
        </w:rPr>
        <w:t xml:space="preserve"> are not as motivated to participate in research</w:t>
      </w:r>
      <w:r w:rsidR="005D1E86">
        <w:rPr>
          <w:rFonts w:eastAsia="Calibri"/>
        </w:rPr>
        <w:t xml:space="preserve"> </w:t>
      </w:r>
      <w:r w:rsidRPr="7520388B">
        <w:rPr>
          <w:rFonts w:eastAsia="Calibri"/>
        </w:rPr>
        <w:t>(</w:t>
      </w:r>
      <w:r w:rsidRPr="7520388B">
        <w:rPr>
          <w:rFonts w:eastAsia="Calibri"/>
        </w:rPr>
        <w:t>Kalberg</w:t>
      </w:r>
      <w:r w:rsidRPr="7520388B">
        <w:rPr>
          <w:rFonts w:eastAsia="Calibri"/>
        </w:rPr>
        <w:t>, 2015)</w:t>
      </w:r>
      <w:r w:rsidR="00D26222">
        <w:rPr>
          <w:rFonts w:eastAsia="Calibri"/>
        </w:rPr>
        <w:t>.</w:t>
      </w:r>
      <w:r w:rsidRPr="7520388B">
        <w:rPr>
          <w:rFonts w:eastAsia="Calibri"/>
        </w:rPr>
        <w:t xml:space="preserve"> </w:t>
      </w:r>
      <w:r w:rsidRPr="7520388B" w:rsidR="00624E7A">
        <w:rPr>
          <w:rFonts w:eastAsia="Calibri"/>
        </w:rPr>
        <w:t>T</w:t>
      </w:r>
      <w:r w:rsidRPr="7520388B">
        <w:rPr>
          <w:rFonts w:eastAsia="Calibri"/>
        </w:rPr>
        <w:t>okens of appreciation help improve recruitment and response rates of online surveys in this population (Cantrell et al., 2018). Additionally, we seek to include participants who have experienced serious and less serious O/F/E incidents to better understand the practices and products that increase risk of an O/F/E incident. Though available evidence from public safety surveillance indicates that O/F/E incidents are underreported (Rudy &amp; Durmowicz, 2016), preliminary estimates suggest that less than 1% of ENDS users experience serious incidents (Consumer Product Safety Commission, 2022). The token of appreciation offered in this study reflects the unique nature of a sample that will likely be difficult to identify and recruit within the ENDS user population. Finally, the token of appreciation treats participants justly and with respect by recognizing and acknowledging the effort they expend to participate (Gelinas et al., 2018). When applied in a reasonable manner, tokens of appreciation are not an unjust inducement—they are an approach that acknowledges participants for their participation (Halpern et al., 2004).</w:t>
      </w:r>
    </w:p>
    <w:p w:rsidR="00E46A5B" w:rsidRPr="00A44164" w:rsidP="00357C8A" w14:paraId="172E0693" w14:textId="4BCBD72F">
      <w:pPr>
        <w:spacing w:after="200"/>
        <w:rPr>
          <w:rFonts w:eastAsia="Calibri"/>
        </w:rPr>
      </w:pPr>
      <w:r w:rsidRPr="006A64E7">
        <w:rPr>
          <w:rFonts w:eastAsia="Calibri"/>
        </w:rPr>
        <w:t>FDA recognizes that “</w:t>
      </w:r>
      <w:r w:rsidRPr="006A64E7" w:rsidR="001727D0">
        <w:rPr>
          <w:rFonts w:eastAsia="Calibri"/>
        </w:rPr>
        <w:t>paying</w:t>
      </w:r>
      <w:r w:rsidRPr="006A64E7">
        <w:rPr>
          <w:rFonts w:eastAsia="Calibri"/>
        </w:rPr>
        <w:t xml:space="preserve"> research subjects in exchange for their participation is a common and, in general, acceptable practice” in a guidance document (FDA, 2018). </w:t>
      </w:r>
      <w:r w:rsidRPr="006A64E7" w:rsidR="004D3258">
        <w:rPr>
          <w:rFonts w:eastAsia="Calibri"/>
        </w:rPr>
        <w:t>In this research, we are asking participants to respond to close-ended and open-ended questions and</w:t>
      </w:r>
      <w:r w:rsidRPr="004D3258" w:rsidR="004D3258">
        <w:rPr>
          <w:rFonts w:eastAsia="Calibri"/>
        </w:rPr>
        <w:t xml:space="preserve"> provide thought-intensive, open-ended</w:t>
      </w:r>
      <w:r w:rsidR="004D3258">
        <w:rPr>
          <w:rFonts w:eastAsia="Calibri"/>
        </w:rPr>
        <w:t xml:space="preserve"> responses on their O/F/E experiences and ENDS use</w:t>
      </w:r>
      <w:r w:rsidRPr="004D3258" w:rsidR="004D3258">
        <w:rPr>
          <w:rFonts w:eastAsia="Calibri"/>
        </w:rPr>
        <w:t xml:space="preserve">, which requires a high level of engagement. The use of </w:t>
      </w:r>
      <w:r w:rsidR="00AD3F0F">
        <w:rPr>
          <w:rFonts w:eastAsia="Calibri"/>
        </w:rPr>
        <w:t>a token of appreciation</w:t>
      </w:r>
      <w:r w:rsidRPr="004D3258" w:rsidR="004D3258">
        <w:rPr>
          <w:rFonts w:eastAsia="Calibri"/>
        </w:rPr>
        <w:t xml:space="preserve"> is provided as a thank you for the participants' time and the effort they expend to participate. We believe that utilizing a point award that is valued at </w:t>
      </w:r>
      <w:r w:rsidR="00D7265B">
        <w:rPr>
          <w:rFonts w:eastAsia="Calibri"/>
        </w:rPr>
        <w:t>approximately $3.00-</w:t>
      </w:r>
      <w:r w:rsidRPr="004D3258" w:rsidR="004D3258">
        <w:rPr>
          <w:rFonts w:eastAsia="Calibri"/>
        </w:rPr>
        <w:t>$</w:t>
      </w:r>
      <w:r w:rsidR="004D3258">
        <w:rPr>
          <w:rFonts w:eastAsia="Calibri"/>
        </w:rPr>
        <w:t>4</w:t>
      </w:r>
      <w:r w:rsidR="00D7265B">
        <w:rPr>
          <w:rFonts w:eastAsia="Calibri"/>
        </w:rPr>
        <w:t>.00</w:t>
      </w:r>
      <w:r w:rsidRPr="004D3258" w:rsidR="004D3258">
        <w:rPr>
          <w:rFonts w:eastAsia="Calibri"/>
        </w:rPr>
        <w:t xml:space="preserve"> as a token of appreciation in the current study will reduce overall burden by increasing participation rates, thereby reducing the number of participants needed to complete the screener </w:t>
      </w:r>
      <w:r w:rsidRPr="004D3258" w:rsidR="004D3258">
        <w:rPr>
          <w:rFonts w:eastAsia="Calibri"/>
        </w:rPr>
        <w:t>in order to</w:t>
      </w:r>
      <w:r w:rsidRPr="004D3258" w:rsidR="004D3258">
        <w:rPr>
          <w:rFonts w:eastAsia="Calibri"/>
        </w:rPr>
        <w:t xml:space="preserve"> achieve the required sample size</w:t>
      </w:r>
      <w:r w:rsidR="004D3258">
        <w:rPr>
          <w:rFonts w:eastAsia="Calibri"/>
        </w:rPr>
        <w:t>.</w:t>
      </w:r>
    </w:p>
    <w:p w:rsidR="00357C8A" w:rsidRPr="00312410" w:rsidP="00216238" w14:paraId="3D015BFC" w14:textId="77777777">
      <w:pPr>
        <w:pStyle w:val="Heading1"/>
        <w:rPr>
          <w:b/>
          <w:bCs/>
        </w:rPr>
      </w:pPr>
      <w:r w:rsidRPr="00312410">
        <w:rPr>
          <w:b/>
          <w:bCs/>
        </w:rPr>
        <w:t>Assurance of Confidentiality Provided to Respondents</w:t>
      </w:r>
    </w:p>
    <w:p w:rsidR="000E50AE" w:rsidRPr="000E50AE" w:rsidP="000E50AE" w14:paraId="135A3917" w14:textId="12376E4A">
      <w:pPr>
        <w:rPr>
          <w:rFonts w:eastAsia="Calibri"/>
          <w:u w:val="single"/>
        </w:rPr>
      </w:pPr>
      <w:r w:rsidRPr="000E50AE">
        <w:rPr>
          <w:rFonts w:eastAsia="Calibri"/>
          <w:u w:val="single"/>
        </w:rPr>
        <w:t>Overview of Data Collection System</w:t>
      </w:r>
    </w:p>
    <w:p w:rsidR="000E50AE" w:rsidRPr="000E50AE" w:rsidP="000E50AE" w14:paraId="074CDC09" w14:textId="77777777">
      <w:pPr>
        <w:rPr>
          <w:rFonts w:eastAsia="Calibri"/>
        </w:rPr>
      </w:pPr>
      <w:r w:rsidRPr="000E50AE">
        <w:rPr>
          <w:rFonts w:eastAsia="Calibri"/>
        </w:rPr>
        <w:tab/>
      </w:r>
    </w:p>
    <w:p w:rsidR="000E50AE" w:rsidRPr="000E50AE" w:rsidP="000E50AE" w14:paraId="2AA1ECFC" w14:textId="16290359">
      <w:pPr>
        <w:rPr>
          <w:rFonts w:eastAsia="Calibri"/>
        </w:rPr>
      </w:pPr>
      <w:r w:rsidRPr="000E50AE">
        <w:rPr>
          <w:rFonts w:eastAsia="Calibri"/>
        </w:rPr>
        <w:t xml:space="preserve">All information will be collected electronically through a self-administered survey instrument hosted in a secure, online, web-based data collection system.  Respondents will be recruited </w:t>
      </w:r>
      <w:r w:rsidRPr="000E50AE">
        <w:rPr>
          <w:rFonts w:eastAsia="Calibri"/>
        </w:rPr>
        <w:t xml:space="preserve">through </w:t>
      </w:r>
      <w:r w:rsidR="00B261B5">
        <w:rPr>
          <w:rFonts w:eastAsia="Calibri"/>
        </w:rPr>
        <w:t xml:space="preserve">an </w:t>
      </w:r>
      <w:r w:rsidRPr="000E50AE">
        <w:rPr>
          <w:rFonts w:eastAsia="Calibri"/>
        </w:rPr>
        <w:t xml:space="preserve">existing web-based panel and screened for eligibility prior to administration of the main information collection instrument. </w:t>
      </w:r>
      <w:r w:rsidR="00B62349">
        <w:rPr>
          <w:rFonts w:eastAsia="Calibri"/>
        </w:rPr>
        <w:t xml:space="preserve">Participants will be adults aged 21 </w:t>
      </w:r>
      <w:r w:rsidR="00B439E2">
        <w:rPr>
          <w:rFonts w:eastAsia="Calibri"/>
        </w:rPr>
        <w:t xml:space="preserve">or older </w:t>
      </w:r>
      <w:r w:rsidRPr="00B439E2" w:rsidR="00B439E2">
        <w:rPr>
          <w:rFonts w:eastAsia="Calibri"/>
        </w:rPr>
        <w:t>who report using ENDS on one or more of the past 30 day</w:t>
      </w:r>
      <w:r w:rsidR="00B439E2">
        <w:rPr>
          <w:rFonts w:eastAsia="Calibri"/>
        </w:rPr>
        <w:t>s</w:t>
      </w:r>
      <w:r w:rsidRPr="000E50AE">
        <w:rPr>
          <w:rFonts w:eastAsia="Calibri"/>
        </w:rPr>
        <w:t xml:space="preserve">. Each respondent will </w:t>
      </w:r>
      <w:r w:rsidR="00B439E2">
        <w:rPr>
          <w:rFonts w:eastAsia="Calibri"/>
        </w:rPr>
        <w:t xml:space="preserve">respond to items </w:t>
      </w:r>
      <w:r w:rsidRPr="00B439E2" w:rsidR="00B439E2">
        <w:rPr>
          <w:rFonts w:eastAsia="Calibri"/>
        </w:rPr>
        <w:t xml:space="preserve">assessing characteristics of their most frequently used ENDS device, ENDS purchasing behaviors, ENDS use behaviors, believes of risk behaviors associated with O/F/E/s, perceptions of O/F/Es, details of any O/F/E incidents experienced, consequences of any O/F/E incidents experienced, measures of other tobacco product use, and </w:t>
      </w:r>
      <w:r w:rsidR="00B439E2">
        <w:rPr>
          <w:rFonts w:eastAsia="Calibri"/>
        </w:rPr>
        <w:t xml:space="preserve">basic </w:t>
      </w:r>
      <w:r w:rsidRPr="00B439E2" w:rsidR="00B439E2">
        <w:rPr>
          <w:rFonts w:eastAsia="Calibri"/>
        </w:rPr>
        <w:t>demographic</w:t>
      </w:r>
      <w:r w:rsidR="00B439E2">
        <w:rPr>
          <w:rFonts w:eastAsia="Calibri"/>
        </w:rPr>
        <w:t xml:space="preserve"> information</w:t>
      </w:r>
      <w:r w:rsidRPr="00B439E2" w:rsidR="00B439E2">
        <w:rPr>
          <w:rFonts w:eastAsia="Calibri"/>
        </w:rPr>
        <w:t xml:space="preserve">. </w:t>
      </w:r>
      <w:r w:rsidRPr="000E50AE">
        <w:rPr>
          <w:rFonts w:eastAsia="Calibri"/>
        </w:rPr>
        <w:t>FDA will not have direct contact with participants</w:t>
      </w:r>
      <w:r w:rsidR="00312410">
        <w:rPr>
          <w:rFonts w:eastAsia="Calibri"/>
        </w:rPr>
        <w:t>,</w:t>
      </w:r>
      <w:r w:rsidRPr="000E50AE">
        <w:rPr>
          <w:rFonts w:eastAsia="Calibri"/>
        </w:rPr>
        <w:t xml:space="preserve"> nor will FDA have access to any personal identifying information about the panelists.</w:t>
      </w:r>
    </w:p>
    <w:p w:rsidR="000E50AE" w:rsidRPr="000E50AE" w:rsidP="000E50AE" w14:paraId="210D3D5D" w14:textId="77777777">
      <w:pPr>
        <w:rPr>
          <w:rFonts w:eastAsia="Calibri"/>
        </w:rPr>
      </w:pPr>
      <w:r w:rsidRPr="000E50AE">
        <w:rPr>
          <w:rFonts w:eastAsia="Calibri"/>
        </w:rPr>
        <w:tab/>
      </w:r>
    </w:p>
    <w:p w:rsidR="000E50AE" w:rsidRPr="000E50AE" w:rsidP="000E50AE" w14:paraId="13F7ED02" w14:textId="481A0836">
      <w:pPr>
        <w:rPr>
          <w:rFonts w:eastAsia="Calibri"/>
          <w:u w:val="single"/>
        </w:rPr>
      </w:pPr>
      <w:r w:rsidRPr="000E50AE">
        <w:rPr>
          <w:rFonts w:eastAsia="Calibri"/>
          <w:u w:val="single"/>
        </w:rPr>
        <w:t>Overview of How Information will be Shared and for What Purposes</w:t>
      </w:r>
    </w:p>
    <w:p w:rsidR="000E50AE" w:rsidRPr="000E50AE" w:rsidP="000E50AE" w14:paraId="294C1F7F" w14:textId="77777777">
      <w:pPr>
        <w:rPr>
          <w:rFonts w:eastAsia="Calibri"/>
        </w:rPr>
      </w:pPr>
      <w:r w:rsidRPr="000E50AE">
        <w:rPr>
          <w:rFonts w:eastAsia="Calibri"/>
        </w:rPr>
        <w:tab/>
      </w:r>
    </w:p>
    <w:p w:rsidR="000E50AE" w:rsidP="000E50AE" w14:paraId="77D245F6" w14:textId="2F09935C">
      <w:pPr>
        <w:rPr>
          <w:rFonts w:eastAsia="Calibri"/>
        </w:rPr>
      </w:pPr>
      <w:r w:rsidRPr="000E50AE">
        <w:rPr>
          <w:rFonts w:eastAsia="Calibri"/>
        </w:rPr>
        <w:t>Information will be collected</w:t>
      </w:r>
      <w:r w:rsidR="003C4656">
        <w:rPr>
          <w:rFonts w:eastAsia="Calibri"/>
        </w:rPr>
        <w:t xml:space="preserve"> from adults aged 21 and older who are current ENDS users (i.e., have used ENDS on at least 1 of the past 30 days)</w:t>
      </w:r>
      <w:r w:rsidRPr="000E50AE">
        <w:rPr>
          <w:rFonts w:eastAsia="Calibri"/>
        </w:rPr>
        <w:t xml:space="preserve"> through </w:t>
      </w:r>
      <w:r w:rsidR="00312410">
        <w:rPr>
          <w:rFonts w:eastAsia="Calibri"/>
        </w:rPr>
        <w:t>the</w:t>
      </w:r>
      <w:r w:rsidRPr="000E50AE" w:rsidR="00312410">
        <w:rPr>
          <w:rFonts w:eastAsia="Calibri"/>
        </w:rPr>
        <w:t xml:space="preserve"> </w:t>
      </w:r>
      <w:r w:rsidRPr="000E50AE">
        <w:rPr>
          <w:rFonts w:eastAsia="Calibri"/>
        </w:rPr>
        <w:t>web-based panel</w:t>
      </w:r>
      <w:r w:rsidR="003C4656">
        <w:rPr>
          <w:rFonts w:eastAsia="Calibri"/>
        </w:rPr>
        <w:t xml:space="preserve"> vendor</w:t>
      </w:r>
      <w:r w:rsidR="00312410">
        <w:rPr>
          <w:rFonts w:eastAsia="Calibri"/>
        </w:rPr>
        <w:t xml:space="preserve">, </w:t>
      </w:r>
      <w:r w:rsidR="00312410">
        <w:rPr>
          <w:rFonts w:eastAsia="Calibri"/>
        </w:rPr>
        <w:t>Dynata</w:t>
      </w:r>
      <w:r w:rsidR="00312410">
        <w:rPr>
          <w:rFonts w:eastAsia="Calibri"/>
        </w:rPr>
        <w:t xml:space="preserve">. </w:t>
      </w:r>
      <w:r w:rsidR="00B261B5">
        <w:rPr>
          <w:rFonts w:eastAsia="Calibri"/>
        </w:rPr>
        <w:t>Dynata</w:t>
      </w:r>
      <w:r w:rsidR="00B261B5">
        <w:rPr>
          <w:rFonts w:eastAsia="Calibri"/>
        </w:rPr>
        <w:t xml:space="preserve"> will host </w:t>
      </w:r>
      <w:r w:rsidR="00C51E16">
        <w:rPr>
          <w:rFonts w:eastAsia="Calibri"/>
        </w:rPr>
        <w:t xml:space="preserve">the </w:t>
      </w:r>
      <w:r w:rsidRPr="0037044C" w:rsidR="00312410">
        <w:rPr>
          <w:rFonts w:eastAsia="Calibri"/>
        </w:rPr>
        <w:t>screener, consent, and survey.</w:t>
      </w:r>
      <w:r w:rsidR="00312410">
        <w:rPr>
          <w:rFonts w:eastAsia="Calibri"/>
        </w:rPr>
        <w:t xml:space="preserve"> </w:t>
      </w:r>
      <w:r w:rsidR="00312410">
        <w:rPr>
          <w:rFonts w:eastAsia="Calibri"/>
        </w:rPr>
        <w:t>Dynata</w:t>
      </w:r>
      <w:r w:rsidRPr="000E50AE">
        <w:rPr>
          <w:rFonts w:eastAsia="Calibri"/>
        </w:rPr>
        <w:t xml:space="preserve"> will </w:t>
      </w:r>
      <w:r w:rsidR="003C4656">
        <w:rPr>
          <w:rFonts w:eastAsia="Calibri"/>
        </w:rPr>
        <w:t>send RTI the</w:t>
      </w:r>
      <w:r w:rsidRPr="000E50AE">
        <w:rPr>
          <w:rFonts w:eastAsia="Calibri"/>
        </w:rPr>
        <w:t xml:space="preserve"> dataset using a secure and password-protected online portal (e.g., ftp site). The password will be sent in </w:t>
      </w:r>
      <w:r w:rsidR="003C4656">
        <w:rPr>
          <w:rFonts w:eastAsia="Calibri"/>
        </w:rPr>
        <w:t>a separate</w:t>
      </w:r>
      <w:r w:rsidRPr="000E50AE">
        <w:rPr>
          <w:rFonts w:eastAsia="Calibri"/>
        </w:rPr>
        <w:t xml:space="preserve"> email </w:t>
      </w:r>
      <w:r w:rsidR="003C4656">
        <w:rPr>
          <w:rFonts w:eastAsia="Calibri"/>
        </w:rPr>
        <w:t>from</w:t>
      </w:r>
      <w:r w:rsidRPr="000E50AE" w:rsidR="003C4656">
        <w:rPr>
          <w:rFonts w:eastAsia="Calibri"/>
        </w:rPr>
        <w:t xml:space="preserve"> </w:t>
      </w:r>
      <w:r w:rsidRPr="000E50AE">
        <w:rPr>
          <w:rFonts w:eastAsia="Calibri"/>
        </w:rPr>
        <w:t xml:space="preserve">the </w:t>
      </w:r>
      <w:r>
        <w:rPr>
          <w:rFonts w:eastAsia="Calibri"/>
        </w:rPr>
        <w:t>link to the online portal</w:t>
      </w:r>
      <w:r w:rsidRPr="000E50AE">
        <w:rPr>
          <w:rFonts w:eastAsia="Calibri"/>
        </w:rPr>
        <w:t xml:space="preserve">.  </w:t>
      </w:r>
      <w:r>
        <w:rPr>
          <w:rFonts w:eastAsia="Calibri"/>
        </w:rPr>
        <w:t>RTI</w:t>
      </w:r>
      <w:r w:rsidRPr="000E50AE">
        <w:rPr>
          <w:rFonts w:eastAsia="Calibri"/>
        </w:rPr>
        <w:t xml:space="preserve"> will </w:t>
      </w:r>
      <w:r w:rsidR="003C4656">
        <w:rPr>
          <w:rFonts w:eastAsia="Calibri"/>
        </w:rPr>
        <w:t>analyze</w:t>
      </w:r>
      <w:r w:rsidRPr="000E50AE" w:rsidR="003C4656">
        <w:rPr>
          <w:rFonts w:eastAsia="Calibri"/>
        </w:rPr>
        <w:t xml:space="preserve"> </w:t>
      </w:r>
      <w:r w:rsidRPr="000E50AE">
        <w:rPr>
          <w:rFonts w:eastAsia="Calibri"/>
        </w:rPr>
        <w:t xml:space="preserve">this data to </w:t>
      </w:r>
      <w:r>
        <w:rPr>
          <w:rFonts w:eastAsia="Calibri"/>
        </w:rPr>
        <w:t>describe sample characteristics</w:t>
      </w:r>
      <w:r w:rsidR="00C51E16">
        <w:rPr>
          <w:rFonts w:eastAsia="Calibri"/>
        </w:rPr>
        <w:t xml:space="preserve">, </w:t>
      </w:r>
      <w:r>
        <w:rPr>
          <w:rFonts w:eastAsia="Calibri"/>
        </w:rPr>
        <w:t>the prevalence of use of ENDS devices and related materials</w:t>
      </w:r>
      <w:r w:rsidRPr="000E50AE">
        <w:t xml:space="preserve"> </w:t>
      </w:r>
      <w:r w:rsidRPr="000E50AE">
        <w:rPr>
          <w:rFonts w:eastAsia="Calibri"/>
        </w:rPr>
        <w:t>that may increase the risk of O/F/E</w:t>
      </w:r>
      <w:r>
        <w:rPr>
          <w:rFonts w:eastAsia="Calibri"/>
        </w:rPr>
        <w:t>, the frequency of practices that may increase the risk of O/F/E, perceptions of O/F/E incidents, the prevalence of O/F/E, and the k</w:t>
      </w:r>
      <w:r w:rsidR="00312410">
        <w:rPr>
          <w:rFonts w:eastAsia="Calibri"/>
        </w:rPr>
        <w:t>e</w:t>
      </w:r>
      <w:r>
        <w:rPr>
          <w:rFonts w:eastAsia="Calibri"/>
        </w:rPr>
        <w:t xml:space="preserve">y contextual factors of O/F/E incidents. </w:t>
      </w:r>
      <w:r w:rsidR="003C4656">
        <w:rPr>
          <w:rFonts w:eastAsia="Calibri"/>
        </w:rPr>
        <w:t xml:space="preserve">RTI will share the results of the analysis in the form of a report and manuscript. RTI will also send a copy of the dataset to FDA </w:t>
      </w:r>
      <w:r w:rsidRPr="000E50AE" w:rsidR="003C4656">
        <w:rPr>
          <w:rFonts w:eastAsia="Calibri"/>
        </w:rPr>
        <w:t>using a secure and password-protected online portal (e.g., ftp site)</w:t>
      </w:r>
      <w:r w:rsidR="003C4656">
        <w:rPr>
          <w:rFonts w:eastAsia="Calibri"/>
        </w:rPr>
        <w:t>.</w:t>
      </w:r>
    </w:p>
    <w:p w:rsidR="000E50AE" w:rsidRPr="000E50AE" w:rsidP="000E50AE" w14:paraId="72167984" w14:textId="4E105381">
      <w:pPr>
        <w:rPr>
          <w:rFonts w:eastAsia="Calibri"/>
        </w:rPr>
      </w:pPr>
    </w:p>
    <w:p w:rsidR="000E50AE" w:rsidRPr="000E50AE" w:rsidP="000E50AE" w14:paraId="6340AAA5" w14:textId="12A1C285">
      <w:pPr>
        <w:rPr>
          <w:rFonts w:eastAsia="Calibri"/>
          <w:u w:val="single"/>
        </w:rPr>
      </w:pPr>
      <w:r w:rsidRPr="000E50AE">
        <w:rPr>
          <w:rFonts w:eastAsia="Calibri"/>
          <w:u w:val="single"/>
        </w:rPr>
        <w:t>Overview of the Impact the Proposed Collection will have on the Respondent’s Privacy</w:t>
      </w:r>
    </w:p>
    <w:p w:rsidR="000E50AE" w:rsidRPr="000E50AE" w:rsidP="000E50AE" w14:paraId="62B027C7" w14:textId="77777777">
      <w:pPr>
        <w:rPr>
          <w:rFonts w:eastAsia="Calibri"/>
          <w:u w:val="single"/>
        </w:rPr>
      </w:pPr>
    </w:p>
    <w:p w:rsidR="00A44164" w:rsidRPr="000E50AE" w:rsidP="000E50AE" w14:paraId="1105A406" w14:textId="169DB67F">
      <w:pPr>
        <w:rPr>
          <w:rFonts w:eastAsia="Calibri"/>
        </w:rPr>
      </w:pPr>
      <w:r w:rsidRPr="000E50AE">
        <w:rPr>
          <w:rFonts w:eastAsia="Calibri"/>
        </w:rPr>
        <w:t>No individually identifiable information or personal identifying information (PII) is being collected</w:t>
      </w:r>
      <w:r w:rsidR="003C4656">
        <w:rPr>
          <w:rFonts w:eastAsia="Calibri"/>
        </w:rPr>
        <w:t xml:space="preserve"> as part of this project</w:t>
      </w:r>
      <w:r w:rsidRPr="000E50AE">
        <w:rPr>
          <w:rFonts w:eastAsia="Calibri"/>
        </w:rPr>
        <w:t xml:space="preserve">. </w:t>
      </w:r>
      <w:r w:rsidR="00BF7720">
        <w:t>As part of panel development and maintenance,</w:t>
      </w:r>
      <w:r w:rsidR="003C4656">
        <w:t xml:space="preserve"> </w:t>
      </w:r>
      <w:r w:rsidR="003C4656">
        <w:t>Dynata</w:t>
      </w:r>
      <w:r w:rsidR="003C4656">
        <w:t xml:space="preserve"> </w:t>
      </w:r>
      <w:r w:rsidR="00BF7720">
        <w:t>maintain</w:t>
      </w:r>
      <w:r w:rsidR="00B261B5">
        <w:t>s</w:t>
      </w:r>
      <w:r w:rsidR="00BF7720">
        <w:t xml:space="preserve"> databases with</w:t>
      </w:r>
      <w:r w:rsidRPr="00B631C8" w:rsidR="003C4656">
        <w:t xml:space="preserve"> identifiable information about </w:t>
      </w:r>
      <w:r w:rsidR="00BF7720">
        <w:t xml:space="preserve">respondents. However, </w:t>
      </w:r>
      <w:r w:rsidRPr="00B631C8" w:rsidR="003C4656">
        <w:t>this information will not be shared with RTI or FDA</w:t>
      </w:r>
      <w:r w:rsidR="003C4656">
        <w:t>.</w:t>
      </w:r>
      <w:r w:rsidRPr="000E50AE">
        <w:rPr>
          <w:rFonts w:eastAsia="Calibri"/>
        </w:rPr>
        <w:t xml:space="preserve"> </w:t>
      </w:r>
    </w:p>
    <w:p w:rsidR="00A44164" w:rsidP="0022425B" w14:paraId="5A4255B0" w14:textId="3DDE3706">
      <w:pPr>
        <w:rPr>
          <w:rFonts w:eastAsia="Calibri"/>
          <w:color w:val="FF0000"/>
        </w:rPr>
      </w:pPr>
    </w:p>
    <w:p w:rsidR="00A44164" w:rsidRPr="00A44164" w:rsidP="00A44164" w14:paraId="38A52FA2" w14:textId="48FF37B8">
      <w:pPr>
        <w:rPr>
          <w:rFonts w:eastAsia="Calibri"/>
          <w:u w:val="single"/>
        </w:rPr>
      </w:pPr>
      <w:r w:rsidRPr="00A44164">
        <w:rPr>
          <w:rFonts w:eastAsia="Calibri"/>
          <w:u w:val="single"/>
        </w:rPr>
        <w:t xml:space="preserve">Overview of Voluntary Participation </w:t>
      </w:r>
    </w:p>
    <w:p w:rsidR="00A44164" w:rsidRPr="00A44164" w:rsidP="00A44164" w14:paraId="3421200F" w14:textId="77777777">
      <w:pPr>
        <w:rPr>
          <w:rFonts w:eastAsia="Calibri"/>
        </w:rPr>
      </w:pPr>
      <w:r w:rsidRPr="00A44164">
        <w:rPr>
          <w:rFonts w:eastAsia="Calibri"/>
        </w:rPr>
        <w:tab/>
      </w:r>
    </w:p>
    <w:p w:rsidR="00A44164" w:rsidRPr="00A44164" w:rsidP="00A44164" w14:paraId="75D7C0DA" w14:textId="1D66EACB">
      <w:pPr>
        <w:rPr>
          <w:rFonts w:eastAsia="Calibri"/>
        </w:rPr>
      </w:pPr>
      <w:r>
        <w:rPr>
          <w:rFonts w:eastAsia="Calibri"/>
        </w:rPr>
        <w:t xml:space="preserve">Before initiating the online screener, potential participants will </w:t>
      </w:r>
      <w:r w:rsidRPr="00A44164">
        <w:rPr>
          <w:rFonts w:eastAsia="Calibri"/>
        </w:rPr>
        <w:t xml:space="preserve">be advised of the nature of the survey, the length of time it will require, and that participation is voluntary. </w:t>
      </w:r>
      <w:r>
        <w:rPr>
          <w:rFonts w:eastAsia="Calibri"/>
        </w:rPr>
        <w:t xml:space="preserve">They will also be asked if they are willing to answer questions to determine their eligibility. If eligible, they will read and provide affirmative consent to an online informed consent form. </w:t>
      </w:r>
      <w:r w:rsidRPr="00A44164">
        <w:rPr>
          <w:rFonts w:eastAsia="Calibri"/>
        </w:rPr>
        <w:t xml:space="preserve">Respondents will be assured that they will incur no penalties if they wish not to respond to the information collection as a whole or to any specific questions.  Respondents will have the option to decline to respond to </w:t>
      </w:r>
      <w:r>
        <w:rPr>
          <w:rFonts w:eastAsia="Calibri"/>
        </w:rPr>
        <w:t>most items in the screener (</w:t>
      </w:r>
      <w:r>
        <w:rPr>
          <w:rFonts w:eastAsia="Calibri"/>
        </w:rPr>
        <w:t>with the exception of</w:t>
      </w:r>
      <w:r>
        <w:rPr>
          <w:rFonts w:eastAsia="Calibri"/>
        </w:rPr>
        <w:t xml:space="preserve"> those required to determine eligibility, such as age and ENDS use) and all </w:t>
      </w:r>
      <w:r w:rsidRPr="00A44164">
        <w:rPr>
          <w:rFonts w:eastAsia="Calibri"/>
        </w:rPr>
        <w:t>item</w:t>
      </w:r>
      <w:r>
        <w:rPr>
          <w:rFonts w:eastAsia="Calibri"/>
        </w:rPr>
        <w:t>s</w:t>
      </w:r>
      <w:r w:rsidRPr="00A44164">
        <w:rPr>
          <w:rFonts w:eastAsia="Calibri"/>
        </w:rPr>
        <w:t xml:space="preserve"> in the survey for any reason and may drop out of the </w:t>
      </w:r>
      <w:r>
        <w:rPr>
          <w:rFonts w:eastAsia="Calibri"/>
        </w:rPr>
        <w:t>data collection</w:t>
      </w:r>
      <w:r w:rsidRPr="00A44164">
        <w:rPr>
          <w:rFonts w:eastAsia="Calibri"/>
        </w:rPr>
        <w:t xml:space="preserve"> </w:t>
      </w:r>
      <w:r w:rsidRPr="00A44164">
        <w:rPr>
          <w:rFonts w:eastAsia="Calibri"/>
        </w:rPr>
        <w:t xml:space="preserve">at any time. These procedures conform to ethical practices for collecting data from human participants. </w:t>
      </w:r>
    </w:p>
    <w:p w:rsidR="00A44164" w:rsidRPr="00A44164" w:rsidP="00A44164" w14:paraId="710E707D" w14:textId="77777777">
      <w:pPr>
        <w:rPr>
          <w:rFonts w:eastAsia="Calibri"/>
        </w:rPr>
      </w:pPr>
      <w:r w:rsidRPr="00A44164">
        <w:rPr>
          <w:rFonts w:eastAsia="Calibri"/>
        </w:rPr>
        <w:tab/>
      </w:r>
    </w:p>
    <w:p w:rsidR="00A44164" w:rsidRPr="00A44164" w:rsidP="00A44164" w14:paraId="51FE7102" w14:textId="020969DC">
      <w:pPr>
        <w:rPr>
          <w:rFonts w:eastAsia="Calibri"/>
          <w:u w:val="single"/>
        </w:rPr>
      </w:pPr>
      <w:r w:rsidRPr="00A44164">
        <w:rPr>
          <w:rFonts w:eastAsia="Calibri"/>
          <w:u w:val="single"/>
        </w:rPr>
        <w:t>Overview of Data Security</w:t>
      </w:r>
    </w:p>
    <w:p w:rsidR="00A44164" w:rsidRPr="00A44164" w:rsidP="00A44164" w14:paraId="29422E79" w14:textId="77777777">
      <w:pPr>
        <w:rPr>
          <w:rFonts w:eastAsia="Calibri"/>
        </w:rPr>
      </w:pPr>
      <w:r w:rsidRPr="00A44164">
        <w:rPr>
          <w:rFonts w:eastAsia="Calibri"/>
        </w:rPr>
        <w:tab/>
      </w:r>
    </w:p>
    <w:p w:rsidR="00F45D1A" w:rsidRPr="00DF7EF3" w:rsidP="00A44164" w14:paraId="5786193C" w14:textId="256E7B6B">
      <w:pPr>
        <w:rPr>
          <w:rFonts w:eastAsia="Calibri"/>
        </w:rPr>
      </w:pPr>
      <w:r w:rsidRPr="00DF7EF3">
        <w:rPr>
          <w:rFonts w:eastAsia="Calibri"/>
        </w:rPr>
        <w:t xml:space="preserve">Each respondent will be known to FDA and RTI only by </w:t>
      </w:r>
      <w:r w:rsidRPr="00DF7EF3" w:rsidR="00BF7720">
        <w:rPr>
          <w:rFonts w:eastAsia="Calibri"/>
        </w:rPr>
        <w:t xml:space="preserve">a </w:t>
      </w:r>
      <w:r w:rsidRPr="00DF7EF3">
        <w:rPr>
          <w:rFonts w:eastAsia="Calibri"/>
        </w:rPr>
        <w:t xml:space="preserve">unique alphanumeric ID variable provided by </w:t>
      </w:r>
      <w:r w:rsidRPr="00DF7EF3">
        <w:rPr>
          <w:rFonts w:eastAsia="Calibri"/>
        </w:rPr>
        <w:t>Dynata</w:t>
      </w:r>
      <w:r w:rsidRPr="00DF7EF3">
        <w:rPr>
          <w:rFonts w:eastAsia="Calibri"/>
        </w:rPr>
        <w:t xml:space="preserve">. That ID variable is specific to the study. The online survey will not include or request any PII, so the resulting data file has no PII. </w:t>
      </w:r>
      <w:r w:rsidRPr="00DF7EF3" w:rsidR="00A44164">
        <w:rPr>
          <w:rFonts w:eastAsia="Calibri"/>
        </w:rPr>
        <w:t xml:space="preserve">No </w:t>
      </w:r>
      <w:r w:rsidRPr="00DF7EF3" w:rsidR="00BF7720">
        <w:rPr>
          <w:rFonts w:eastAsia="Calibri"/>
        </w:rPr>
        <w:t>PII</w:t>
      </w:r>
      <w:r w:rsidRPr="00DF7EF3" w:rsidR="00A44164">
        <w:rPr>
          <w:rFonts w:eastAsia="Calibri"/>
        </w:rPr>
        <w:t xml:space="preserve"> will be linked to the survey data. All data will be reported </w:t>
      </w:r>
      <w:r w:rsidRPr="00DF7EF3" w:rsidR="00BF7720">
        <w:rPr>
          <w:rFonts w:eastAsia="Calibri"/>
        </w:rPr>
        <w:t xml:space="preserve">in manuscripts and reports </w:t>
      </w:r>
      <w:r w:rsidRPr="00DF7EF3" w:rsidR="00A44164">
        <w:rPr>
          <w:rFonts w:eastAsia="Calibri"/>
        </w:rPr>
        <w:t xml:space="preserve">in the aggregate only. </w:t>
      </w:r>
      <w:r w:rsidRPr="00DF7EF3">
        <w:rPr>
          <w:rFonts w:eastAsia="Calibri"/>
        </w:rPr>
        <w:t xml:space="preserve">Although </w:t>
      </w:r>
      <w:r w:rsidRPr="00DF7EF3">
        <w:rPr>
          <w:rFonts w:eastAsia="Calibri"/>
        </w:rPr>
        <w:t>Dynata</w:t>
      </w:r>
      <w:r w:rsidRPr="00DF7EF3">
        <w:rPr>
          <w:rFonts w:eastAsia="Calibri"/>
        </w:rPr>
        <w:t xml:space="preserve"> maintain</w:t>
      </w:r>
      <w:r w:rsidR="00B261B5">
        <w:rPr>
          <w:rFonts w:eastAsia="Calibri"/>
        </w:rPr>
        <w:t>s</w:t>
      </w:r>
      <w:r w:rsidRPr="00DF7EF3">
        <w:rPr>
          <w:rFonts w:eastAsia="Calibri"/>
        </w:rPr>
        <w:t xml:space="preserve"> databases of names and email addresses of potential participants as part of their normal operations, </w:t>
      </w:r>
      <w:r w:rsidRPr="00DF7EF3">
        <w:rPr>
          <w:rFonts w:eastAsia="Calibri"/>
        </w:rPr>
        <w:t xml:space="preserve">that PII is stored separately from survey responses. Neither FDA nor RTI will receive or request this information or any other PII from </w:t>
      </w:r>
      <w:r w:rsidRPr="00DF7EF3">
        <w:rPr>
          <w:rFonts w:eastAsia="Calibri"/>
        </w:rPr>
        <w:t>Dynata</w:t>
      </w:r>
      <w:r w:rsidRPr="00DF7EF3">
        <w:rPr>
          <w:rFonts w:eastAsia="Calibri"/>
        </w:rPr>
        <w:t>.</w:t>
      </w:r>
    </w:p>
    <w:p w:rsidR="00F45D1A" w:rsidRPr="00DF7EF3" w:rsidP="00A44164" w14:paraId="77556987" w14:textId="77777777">
      <w:pPr>
        <w:rPr>
          <w:rFonts w:eastAsia="Calibri"/>
        </w:rPr>
      </w:pPr>
    </w:p>
    <w:p w:rsidR="00F45D1A" w:rsidP="00A44164" w14:paraId="45EFB36A" w14:textId="4DFE7D60">
      <w:pPr>
        <w:rPr>
          <w:rFonts w:eastAsia="Calibri"/>
        </w:rPr>
      </w:pPr>
      <w:bookmarkStart w:id="11" w:name="_Hlk101881742"/>
      <w:r w:rsidRPr="00DF7EF3">
        <w:rPr>
          <w:rFonts w:eastAsia="Calibri"/>
        </w:rPr>
        <w:t xml:space="preserve">During data collection, all data will be stored on password-protected databases to which only panel employees working on this project have access. </w:t>
      </w:r>
      <w:r w:rsidRPr="00DF7EF3">
        <w:rPr>
          <w:rFonts w:cstheme="minorBidi"/>
          <w:color w:val="000000" w:themeColor="text1"/>
          <w:szCs w:val="20"/>
        </w:rPr>
        <w:t xml:space="preserve">At </w:t>
      </w:r>
      <w:r w:rsidRPr="00DF7EF3">
        <w:rPr>
          <w:rFonts w:cstheme="minorBidi"/>
          <w:color w:val="000000" w:themeColor="text1"/>
          <w:szCs w:val="20"/>
        </w:rPr>
        <w:t>Dynata</w:t>
      </w:r>
      <w:r w:rsidRPr="00DF7EF3">
        <w:rPr>
          <w:rFonts w:cstheme="minorBidi"/>
          <w:color w:val="000000" w:themeColor="text1"/>
          <w:szCs w:val="20"/>
        </w:rPr>
        <w:t xml:space="preserve">, personal data is encrypted in transit and at rest and is only accessible to those whose job requires it. </w:t>
      </w:r>
      <w:r w:rsidRPr="00DF7EF3">
        <w:rPr>
          <w:rFonts w:cstheme="minorBidi"/>
          <w:color w:val="000000" w:themeColor="text1"/>
          <w:szCs w:val="20"/>
        </w:rPr>
        <w:t>Dynata</w:t>
      </w:r>
      <w:r w:rsidRPr="00DF7EF3">
        <w:rPr>
          <w:rFonts w:cstheme="minorBidi"/>
          <w:color w:val="000000" w:themeColor="text1"/>
          <w:szCs w:val="20"/>
        </w:rPr>
        <w:t xml:space="preserve"> will not use the data it collects through the screener or survey to update panelists’ profiles. </w:t>
      </w:r>
      <w:bookmarkStart w:id="12" w:name="_Hlk99548966"/>
      <w:bookmarkEnd w:id="11"/>
      <w:r w:rsidRPr="00DF7EF3">
        <w:rPr>
          <w:rFonts w:eastAsia="Calibri"/>
        </w:rPr>
        <w:t>The panel will keep the data in non-aggregate form for</w:t>
      </w:r>
      <w:r w:rsidR="00730F0B">
        <w:rPr>
          <w:rFonts w:eastAsia="Calibri"/>
        </w:rPr>
        <w:t xml:space="preserve"> at least</w:t>
      </w:r>
      <w:r w:rsidRPr="00DF7EF3">
        <w:rPr>
          <w:rFonts w:eastAsia="Calibri"/>
        </w:rPr>
        <w:t xml:space="preserve"> six months after data collection has been completed, and then the data will be deleted from the password-protected databases.</w:t>
      </w:r>
      <w:bookmarkEnd w:id="12"/>
      <w:r w:rsidRPr="00DF7EF3">
        <w:rPr>
          <w:rFonts w:eastAsia="Calibri"/>
        </w:rPr>
        <w:t xml:space="preserve"> </w:t>
      </w:r>
      <w:r w:rsidRPr="00DF7EF3">
        <w:t xml:space="preserve"> </w:t>
      </w:r>
      <w:r w:rsidRPr="00DF7EF3">
        <w:rPr>
          <w:rFonts w:eastAsia="Calibri"/>
        </w:rPr>
        <w:t>When</w:t>
      </w:r>
      <w:r w:rsidRPr="00F45D1A">
        <w:rPr>
          <w:rFonts w:eastAsia="Calibri"/>
        </w:rPr>
        <w:t xml:space="preserve"> data collection is complete, the data file will be transmitted from </w:t>
      </w:r>
      <w:r w:rsidRPr="00F45D1A">
        <w:rPr>
          <w:rFonts w:eastAsia="Calibri"/>
        </w:rPr>
        <w:t>Dynata</w:t>
      </w:r>
      <w:r w:rsidRPr="00F45D1A">
        <w:rPr>
          <w:rFonts w:eastAsia="Calibri"/>
        </w:rPr>
        <w:t xml:space="preserve"> to RTI </w:t>
      </w:r>
      <w:bookmarkStart w:id="13" w:name="_Hlk101881861"/>
      <w:r w:rsidRPr="00F45D1A">
        <w:rPr>
          <w:rFonts w:eastAsia="Calibri"/>
        </w:rPr>
        <w:t>via a website with an SSL certificate applied</w:t>
      </w:r>
      <w:bookmarkEnd w:id="13"/>
      <w:r w:rsidRPr="00F45D1A">
        <w:rPr>
          <w:rFonts w:eastAsia="Calibri"/>
        </w:rPr>
        <w:t xml:space="preserve">. The data file, which contains no PII, will be stored by RTI on a restricted-access folder on a shared network drive that only authorized </w:t>
      </w:r>
      <w:r w:rsidR="005D5CFE">
        <w:rPr>
          <w:rFonts w:eastAsia="Calibri"/>
        </w:rPr>
        <w:t xml:space="preserve">RTI </w:t>
      </w:r>
      <w:r w:rsidRPr="00F45D1A">
        <w:rPr>
          <w:rFonts w:eastAsia="Calibri"/>
        </w:rPr>
        <w:t xml:space="preserve">project members have access to. All data maintained by RTI will be maintained in a secure manner in accordance with RTI standard policies and procedures. </w:t>
      </w:r>
      <w:r w:rsidRPr="00F45D1A" w:rsidR="00F96BE0">
        <w:rPr>
          <w:rFonts w:eastAsia="Calibri" w:cstheme="minorBidi"/>
          <w:color w:val="000000" w:themeColor="text1"/>
        </w:rPr>
        <w:t xml:space="preserve">All </w:t>
      </w:r>
      <w:r w:rsidR="00F96BE0">
        <w:rPr>
          <w:rFonts w:eastAsia="Calibri" w:cstheme="minorBidi"/>
          <w:color w:val="000000" w:themeColor="text1"/>
        </w:rPr>
        <w:t>RTI</w:t>
      </w:r>
      <w:r w:rsidRPr="00F45D1A" w:rsidR="00F96BE0">
        <w:rPr>
          <w:rFonts w:eastAsia="Calibri" w:cstheme="minorBidi"/>
          <w:color w:val="000000" w:themeColor="text1"/>
        </w:rPr>
        <w:t xml:space="preserve"> computers are password protected.</w:t>
      </w:r>
      <w:r w:rsidR="00F96BE0">
        <w:rPr>
          <w:rFonts w:eastAsia="Calibri" w:cstheme="minorBidi"/>
          <w:color w:val="000000" w:themeColor="text1"/>
        </w:rPr>
        <w:t xml:space="preserve"> </w:t>
      </w:r>
      <w:r w:rsidRPr="00F45D1A">
        <w:rPr>
          <w:rFonts w:eastAsia="Calibri"/>
        </w:rPr>
        <w:t xml:space="preserve">RTI will send the deidentified dataset to FDA using a secure and password-protected online portal (e.g., ftp site). The password will not be sent in the same email as </w:t>
      </w:r>
      <w:r>
        <w:rPr>
          <w:rFonts w:eastAsia="Calibri"/>
        </w:rPr>
        <w:t xml:space="preserve">link to the online portal. </w:t>
      </w:r>
      <w:r w:rsidRPr="00F45D1A">
        <w:rPr>
          <w:rFonts w:eastAsia="Calibri"/>
        </w:rPr>
        <w:t>FDA will limit access to this portion of the share drive by limiting the personnel with access to this share drive to appropriate project staff.</w:t>
      </w:r>
    </w:p>
    <w:p w:rsidR="00F45D1A" w:rsidP="00A44164" w14:paraId="270EF085" w14:textId="77777777">
      <w:pPr>
        <w:rPr>
          <w:rFonts w:eastAsia="Calibri"/>
        </w:rPr>
      </w:pPr>
    </w:p>
    <w:p w:rsidR="00F45D1A" w:rsidP="00F45D1A" w14:paraId="0F0B05D7" w14:textId="744C8C2A">
      <w:pPr>
        <w:spacing w:after="120" w:line="276" w:lineRule="auto"/>
        <w:rPr>
          <w:rFonts w:eastAsia="Calibri" w:cstheme="minorBidi"/>
          <w:color w:val="000000" w:themeColor="text1"/>
        </w:rPr>
      </w:pPr>
      <w:r>
        <w:t xml:space="preserve">RTI will store data for up to </w:t>
      </w:r>
      <w:r w:rsidR="000F26FC">
        <w:t xml:space="preserve">five </w:t>
      </w:r>
      <w:r>
        <w:t>years before deletion.</w:t>
      </w:r>
      <w:r>
        <w:rPr>
          <w:rFonts w:cstheme="minorBidi"/>
          <w:color w:val="000000" w:themeColor="text1"/>
        </w:rPr>
        <w:t xml:space="preserve"> </w:t>
      </w:r>
      <w:r w:rsidRPr="00F45D1A">
        <w:rPr>
          <w:rFonts w:eastAsia="Calibri" w:cstheme="minorBidi"/>
          <w:color w:val="000000" w:themeColor="text1"/>
        </w:rPr>
        <w:t xml:space="preserve">FDA will store data for up to </w:t>
      </w:r>
      <w:r w:rsidR="000F26FC">
        <w:rPr>
          <w:rFonts w:eastAsia="Calibri" w:cstheme="minorBidi"/>
          <w:color w:val="000000" w:themeColor="text1"/>
        </w:rPr>
        <w:t xml:space="preserve">five </w:t>
      </w:r>
      <w:r w:rsidRPr="00F45D1A">
        <w:rPr>
          <w:rFonts w:eastAsia="Calibri" w:cstheme="minorBidi"/>
          <w:color w:val="000000" w:themeColor="text1"/>
        </w:rPr>
        <w:t>years in a restricted-access folder on a shared network drive that only project staff can access. All FDA computers are password protected.</w:t>
      </w:r>
    </w:p>
    <w:p w:rsidR="005B5D74" w:rsidRPr="001075D3" w:rsidP="005E4114" w14:paraId="407F45FB" w14:textId="46221B68">
      <w:pPr>
        <w:spacing w:after="120" w:line="276" w:lineRule="auto"/>
      </w:pPr>
      <w:r w:rsidRPr="00F7561B">
        <w:rPr>
          <w:rFonts w:cstheme="minorBidi"/>
          <w:color w:val="000000" w:themeColor="text1"/>
        </w:rPr>
        <w:t xml:space="preserve">The </w:t>
      </w:r>
      <w:r>
        <w:rPr>
          <w:rFonts w:cstheme="minorBidi"/>
          <w:color w:val="000000" w:themeColor="text1"/>
        </w:rPr>
        <w:t>RTI</w:t>
      </w:r>
      <w:r w:rsidRPr="00F7561B">
        <w:rPr>
          <w:rFonts w:cstheme="minorBidi"/>
          <w:color w:val="000000" w:themeColor="text1"/>
        </w:rPr>
        <w:t xml:space="preserve"> IRB has approved this study, including its procedures to protect the privacy of participants.</w:t>
      </w:r>
    </w:p>
    <w:p w:rsidR="00357C8A" w:rsidRPr="00312410" w:rsidP="00216238" w14:paraId="1F87829E" w14:textId="77777777">
      <w:pPr>
        <w:pStyle w:val="Heading1"/>
        <w:rPr>
          <w:b/>
          <w:bCs/>
        </w:rPr>
      </w:pPr>
      <w:r w:rsidRPr="00312410">
        <w:rPr>
          <w:b/>
          <w:bCs/>
        </w:rPr>
        <w:t>Justification for Sensitive Questions</w:t>
      </w:r>
    </w:p>
    <w:p w:rsidR="00C402D6" w:rsidP="005B5D74" w14:paraId="1C56ECCC" w14:textId="455A914A">
      <w:pPr>
        <w:spacing w:after="200"/>
        <w:rPr>
          <w:rFonts w:eastAsia="Calibri"/>
        </w:rPr>
      </w:pPr>
      <w:r w:rsidRPr="005B5D74">
        <w:rPr>
          <w:rFonts w:eastAsia="Calibri"/>
        </w:rPr>
        <w:t>The majority of</w:t>
      </w:r>
      <w:r w:rsidRPr="005B5D74">
        <w:rPr>
          <w:rFonts w:eastAsia="Calibri"/>
        </w:rPr>
        <w:t xml:space="preserve"> questions asked will not be of a sensitive nature. Questions about messages concerning lifestyle (e.g., current </w:t>
      </w:r>
      <w:r>
        <w:rPr>
          <w:rFonts w:eastAsia="Calibri"/>
        </w:rPr>
        <w:t>ENDS use</w:t>
      </w:r>
      <w:r w:rsidRPr="005B5D74">
        <w:rPr>
          <w:rFonts w:eastAsia="Calibri"/>
        </w:rPr>
        <w:t xml:space="preserve">) and some demographic information, such as race, ethnicity, and </w:t>
      </w:r>
      <w:r w:rsidR="00D7265B">
        <w:rPr>
          <w:rFonts w:eastAsia="Calibri"/>
        </w:rPr>
        <w:t>perceived economic stability</w:t>
      </w:r>
      <w:r w:rsidRPr="005B5D74">
        <w:rPr>
          <w:rFonts w:eastAsia="Calibri"/>
        </w:rPr>
        <w:t xml:space="preserve">, could be considered sensitive, but not highly sensitive. </w:t>
      </w:r>
      <w:r w:rsidRPr="004B59A9" w:rsidR="004B59A9">
        <w:rPr>
          <w:rFonts w:eastAsia="Calibri"/>
        </w:rPr>
        <w:t>These questions are necessary to assess the diversity of the sample</w:t>
      </w:r>
      <w:r w:rsidR="004B59A9">
        <w:rPr>
          <w:rFonts w:eastAsia="Calibri"/>
        </w:rPr>
        <w:t>.</w:t>
      </w:r>
      <w:r w:rsidRPr="004B59A9" w:rsidR="004B59A9">
        <w:rPr>
          <w:rFonts w:eastAsia="Calibri"/>
        </w:rPr>
        <w:t xml:space="preserve"> </w:t>
      </w:r>
      <w:r w:rsidRPr="005B5D74">
        <w:rPr>
          <w:rFonts w:eastAsia="Calibri"/>
        </w:rPr>
        <w:t xml:space="preserve">To address any concerns about inadvertent disclosure of sensitive information, respondents will be fully informed of the applicable privacy safeguards. The informed consent protocol will apprise respondents that these topics will be covered during the survey. This study includes </w:t>
      </w:r>
      <w:r w:rsidRPr="005B5D74">
        <w:rPr>
          <w:rFonts w:eastAsia="Calibri"/>
        </w:rPr>
        <w:t>a number of</w:t>
      </w:r>
      <w:r w:rsidRPr="005B5D74">
        <w:rPr>
          <w:rFonts w:eastAsia="Calibri"/>
        </w:rPr>
        <w:t xml:space="preserve"> procedures and methodological characteristics that will minimize potential negative reactions to these types of questions, including the following:</w:t>
      </w:r>
    </w:p>
    <w:p w:rsidR="00C402D6" w:rsidP="005B5D74" w14:paraId="586DD60E" w14:textId="77777777">
      <w:pPr>
        <w:pStyle w:val="ListParagraph"/>
        <w:numPr>
          <w:ilvl w:val="0"/>
          <w:numId w:val="21"/>
        </w:numPr>
        <w:spacing w:after="200"/>
        <w:rPr>
          <w:rFonts w:eastAsia="Calibri"/>
        </w:rPr>
      </w:pPr>
      <w:r w:rsidRPr="00C402D6">
        <w:rPr>
          <w:rFonts w:eastAsia="Calibri"/>
        </w:rPr>
        <w:t>Respondents will be informed that they need not answer any question that makes them feel uncomfortable or that they simply do not wish to answer.</w:t>
      </w:r>
    </w:p>
    <w:p w:rsidR="00C402D6" w:rsidP="005B5D74" w14:paraId="4A515191" w14:textId="5D355B6E">
      <w:pPr>
        <w:pStyle w:val="ListParagraph"/>
        <w:numPr>
          <w:ilvl w:val="0"/>
          <w:numId w:val="21"/>
        </w:numPr>
        <w:spacing w:after="200"/>
        <w:rPr>
          <w:rFonts w:eastAsia="Calibri"/>
        </w:rPr>
      </w:pPr>
      <w:r w:rsidRPr="00C402D6">
        <w:rPr>
          <w:rFonts w:eastAsia="Calibri"/>
        </w:rPr>
        <w:t>Web surveys are entirely self-administered and maximize respondent privacy without the need to verbalize responses.</w:t>
      </w:r>
    </w:p>
    <w:p w:rsidR="006163C4" w:rsidP="006163C4" w14:paraId="7ABEF880" w14:textId="77777777">
      <w:pPr>
        <w:pStyle w:val="ListParagraph"/>
        <w:numPr>
          <w:ilvl w:val="0"/>
          <w:numId w:val="21"/>
        </w:numPr>
        <w:spacing w:after="200"/>
        <w:rPr>
          <w:rFonts w:eastAsia="Calibri"/>
        </w:rPr>
      </w:pPr>
      <w:r w:rsidRPr="00C402D6">
        <w:rPr>
          <w:rFonts w:eastAsia="Calibri"/>
        </w:rPr>
        <w:t xml:space="preserve">Participants will be provided with a phone number for the project director and the </w:t>
      </w:r>
      <w:r w:rsidR="00D7265B">
        <w:rPr>
          <w:rFonts w:eastAsia="Calibri"/>
        </w:rPr>
        <w:t xml:space="preserve">RTI Office of Research Protection </w:t>
      </w:r>
      <w:r w:rsidRPr="00C402D6">
        <w:rPr>
          <w:rFonts w:eastAsia="Calibri"/>
        </w:rPr>
        <w:t>should they have any questions or concerns about the study or their rights as a study participant.</w:t>
      </w:r>
    </w:p>
    <w:p w:rsidR="006163C4" w:rsidP="006163C4" w14:paraId="0B505026" w14:textId="49B04324">
      <w:pPr>
        <w:pStyle w:val="ListParagraph"/>
        <w:numPr>
          <w:ilvl w:val="0"/>
          <w:numId w:val="21"/>
        </w:numPr>
        <w:autoSpaceDE w:val="0"/>
        <w:autoSpaceDN w:val="0"/>
        <w:adjustRightInd w:val="0"/>
      </w:pPr>
      <w:r w:rsidRPr="004A3E11">
        <w:t xml:space="preserve">Along with the extensive and increasing body of literature showing tobacco use disparities among LGBTQ+ populations, the White House issued the Executive Order on Advancing Equality for Lesbian, Gay, Bisexual, Transgender, Queer, and Intersex Individuals which includes obligations for federal agencies to collect SOGI data. The order states that, </w:t>
      </w:r>
      <w:r w:rsidRPr="004A3E11">
        <w:t>“advancing equity and full inclusion for LGBTQI+ individuals requires that the Federal Government use evidence and data to measure and address the disparities that LGBTQI+ individuals, families, and households face.” It also states that federal agencies must “describe disparities faced by LGBTQI+ individuals that could be better understood through Federal statistics and data collection” (White House, 2022).</w:t>
      </w:r>
    </w:p>
    <w:p w:rsidR="00AE6AA5" w:rsidP="00AE6AA5" w14:paraId="2BE387D5" w14:textId="77777777">
      <w:pPr>
        <w:pStyle w:val="ListParagraph"/>
        <w:autoSpaceDE w:val="0"/>
        <w:autoSpaceDN w:val="0"/>
        <w:adjustRightInd w:val="0"/>
      </w:pPr>
    </w:p>
    <w:p w:rsidR="008D446E" w:rsidRPr="008D446E" w:rsidP="008D446E" w14:paraId="5BE4CDEE" w14:textId="1E4C6553">
      <w:pPr>
        <w:pStyle w:val="ListParagraph"/>
        <w:numPr>
          <w:ilvl w:val="0"/>
          <w:numId w:val="21"/>
        </w:numPr>
      </w:pPr>
      <w:r>
        <w:t xml:space="preserve">Furthermore, </w:t>
      </w:r>
      <w:r w:rsidR="001939E5">
        <w:t xml:space="preserve">data from a </w:t>
      </w:r>
      <w:r w:rsidR="009F200C">
        <w:t>nationally representative</w:t>
      </w:r>
      <w:r w:rsidR="001939E5">
        <w:t xml:space="preserve"> survey of adults in the US </w:t>
      </w:r>
      <w:r w:rsidR="00417D74">
        <w:t>demonstrates</w:t>
      </w:r>
      <w:r w:rsidR="001939E5">
        <w:t xml:space="preserve"> that</w:t>
      </w:r>
      <w:r w:rsidR="00597A9C">
        <w:t xml:space="preserve"> </w:t>
      </w:r>
      <w:r w:rsidR="008E7662">
        <w:t xml:space="preserve">ENDS use was almost twice as high </w:t>
      </w:r>
      <w:r w:rsidR="0028407B">
        <w:t>among</w:t>
      </w:r>
      <w:r w:rsidR="008E7662">
        <w:t xml:space="preserve"> </w:t>
      </w:r>
      <w:r w:rsidR="00597A9C">
        <w:t>lesbian</w:t>
      </w:r>
      <w:r w:rsidR="00202CC6">
        <w:t>, gay, and bisexual</w:t>
      </w:r>
      <w:r w:rsidR="008E7662">
        <w:t xml:space="preserve"> participants compared to </w:t>
      </w:r>
      <w:r w:rsidR="0028407B">
        <w:t>their heterosexual counterparts</w:t>
      </w:r>
      <w:r w:rsidR="009C511E">
        <w:t xml:space="preserve"> (8.9% vs. 4.8%</w:t>
      </w:r>
      <w:r w:rsidR="00377A36">
        <w:t xml:space="preserve">; </w:t>
      </w:r>
      <w:r w:rsidRPr="7520388B" w:rsidR="00361420">
        <w:rPr>
          <w:i/>
          <w:iCs/>
        </w:rPr>
        <w:t>p</w:t>
      </w:r>
      <w:r w:rsidR="00361420">
        <w:t xml:space="preserve"> &lt;0.0001</w:t>
      </w:r>
      <w:r w:rsidR="009C511E">
        <w:t>)</w:t>
      </w:r>
      <w:r w:rsidR="009F200C">
        <w:t xml:space="preserve"> </w:t>
      </w:r>
      <w:r w:rsidR="0028407B">
        <w:t xml:space="preserve">(Emory et al., 2016). </w:t>
      </w:r>
      <w:r w:rsidR="008441C8">
        <w:t xml:space="preserve">Transgender participants from the same study </w:t>
      </w:r>
      <w:r w:rsidR="00200C40">
        <w:t xml:space="preserve">also </w:t>
      </w:r>
      <w:r w:rsidR="008441C8">
        <w:t>reported substantially higher past 30</w:t>
      </w:r>
      <w:r w:rsidR="0035646E">
        <w:t>-</w:t>
      </w:r>
      <w:r w:rsidR="008441C8">
        <w:t xml:space="preserve">day </w:t>
      </w:r>
      <w:r w:rsidR="00200C40">
        <w:t xml:space="preserve">ENDS use </w:t>
      </w:r>
      <w:r w:rsidR="008441C8">
        <w:t xml:space="preserve">than cisgender adults (21.3% vs. 5.0%; </w:t>
      </w:r>
      <w:r w:rsidRPr="7520388B" w:rsidR="008441C8">
        <w:rPr>
          <w:i/>
          <w:iCs/>
        </w:rPr>
        <w:t>p</w:t>
      </w:r>
      <w:r w:rsidRPr="7520388B" w:rsidR="001502E8">
        <w:rPr>
          <w:i/>
          <w:iCs/>
        </w:rPr>
        <w:t xml:space="preserve"> </w:t>
      </w:r>
      <w:r w:rsidR="001502E8">
        <w:t>≤ 0.003)</w:t>
      </w:r>
      <w:r w:rsidR="00200C40">
        <w:t xml:space="preserve"> </w:t>
      </w:r>
      <w:r w:rsidR="00200C40">
        <w:t xml:space="preserve">and </w:t>
      </w:r>
      <w:r w:rsidR="004A3056">
        <w:t>also</w:t>
      </w:r>
      <w:r w:rsidR="004A3056">
        <w:t xml:space="preserve"> </w:t>
      </w:r>
      <w:r w:rsidR="00200C40">
        <w:t>demonstrated substantially higher odds of ENDS use (OR=5.15</w:t>
      </w:r>
      <w:r w:rsidR="0035646E">
        <w:t xml:space="preserve">; 95% CI=3.36, 7.88) </w:t>
      </w:r>
      <w:r w:rsidR="00990937">
        <w:t>(</w:t>
      </w:r>
      <w:r w:rsidR="00990937">
        <w:t>Buchting</w:t>
      </w:r>
      <w:r w:rsidR="00990937">
        <w:t xml:space="preserve"> et al., 2017)</w:t>
      </w:r>
      <w:r w:rsidR="0035646E">
        <w:t>.</w:t>
      </w:r>
      <w:r>
        <w:t xml:space="preserve"> Including survey items on sexual orientation and gender identity is necessary to identify </w:t>
      </w:r>
      <w:r w:rsidR="003B6342">
        <w:t xml:space="preserve">how </w:t>
      </w:r>
      <w:r w:rsidR="00CF4810">
        <w:t xml:space="preserve">ENDS use may differ </w:t>
      </w:r>
      <w:r w:rsidR="00F03562">
        <w:t>by SOGI</w:t>
      </w:r>
      <w:r w:rsidR="003B6342">
        <w:t xml:space="preserve"> and estimate how often </w:t>
      </w:r>
      <w:r w:rsidR="00A7137F">
        <w:t>LGBTQ+</w:t>
      </w:r>
      <w:r w:rsidR="003B6342">
        <w:t xml:space="preserve"> may experience O/F/E.</w:t>
      </w:r>
    </w:p>
    <w:p w:rsidR="006163C4" w:rsidRPr="006163C4" w:rsidP="00643B21" w14:paraId="3991CEAF" w14:textId="77777777">
      <w:pPr>
        <w:rPr>
          <w:rFonts w:eastAsia="Calibri"/>
        </w:rPr>
      </w:pPr>
    </w:p>
    <w:p w:rsidR="005B5D74" w:rsidRPr="00735B38" w:rsidP="0022425B" w14:paraId="5FD6A9FA" w14:textId="362EBF1E">
      <w:pPr>
        <w:spacing w:after="200"/>
        <w:rPr>
          <w:rFonts w:eastAsia="Calibri"/>
        </w:rPr>
      </w:pPr>
      <w:r w:rsidRPr="00735B38">
        <w:rPr>
          <w:rFonts w:eastAsia="Calibri"/>
        </w:rPr>
        <w:t>Finally, as with all information collected, these data will be presented with all identifiers removed.</w:t>
      </w:r>
    </w:p>
    <w:p w:rsidR="00357C8A" w:rsidRPr="00312410" w:rsidP="00216238" w14:paraId="7C472ACC" w14:textId="77777777">
      <w:pPr>
        <w:pStyle w:val="Heading1"/>
        <w:rPr>
          <w:b/>
          <w:bCs/>
        </w:rPr>
      </w:pPr>
      <w:r w:rsidRPr="00312410">
        <w:rPr>
          <w:b/>
          <w:bCs/>
        </w:rPr>
        <w:t>Estimates of Annualized Burden Hours and Cost</w:t>
      </w:r>
    </w:p>
    <w:p w:rsidR="00357C8A" w:rsidRPr="00735B38" w:rsidP="0022425B" w14:paraId="5141C46D" w14:textId="77777777">
      <w:pPr>
        <w:spacing w:after="200"/>
        <w:ind w:left="360"/>
        <w:rPr>
          <w:rFonts w:eastAsia="Calibri"/>
        </w:rPr>
      </w:pPr>
      <w:r w:rsidRPr="00735B38">
        <w:rPr>
          <w:rFonts w:eastAsia="Calibri"/>
        </w:rPr>
        <w:t>12a.  Annualized Hour Burden Estimate</w:t>
      </w:r>
    </w:p>
    <w:p w:rsidR="00E45D89" w:rsidP="00D46D87" w14:paraId="1422E286" w14:textId="730E30D6">
      <w:pPr>
        <w:autoSpaceDE w:val="0"/>
        <w:autoSpaceDN w:val="0"/>
        <w:adjustRightInd w:val="0"/>
        <w:ind w:left="180"/>
      </w:pPr>
      <w:r>
        <w:t xml:space="preserve">An estimated one-time reporting burden for this collection will be approximately </w:t>
      </w:r>
      <w:r w:rsidR="00730F0B">
        <w:t>3,876</w:t>
      </w:r>
      <w:r w:rsidRPr="00735B38">
        <w:t xml:space="preserve"> </w:t>
      </w:r>
      <w:r>
        <w:t xml:space="preserve">hours (Table </w:t>
      </w:r>
      <w:bookmarkStart w:id="14" w:name="_Toc361824170"/>
      <w:r w:rsidR="00D46D87">
        <w:t>1</w:t>
      </w:r>
      <w:r>
        <w:t xml:space="preserve">). This includes the time burden associated with the screener. </w:t>
      </w:r>
      <w:bookmarkStart w:id="15" w:name="_Hlk112161504"/>
      <w:r>
        <w:t xml:space="preserve">To obtain a final sample of approximately </w:t>
      </w:r>
      <w:r w:rsidR="00D46D87">
        <w:t>6,</w:t>
      </w:r>
      <w:r w:rsidR="00CC64BE">
        <w:t>1</w:t>
      </w:r>
      <w:r w:rsidR="00D46D87">
        <w:t xml:space="preserve">00 ENDS users 21 years old or older, </w:t>
      </w:r>
      <w:r>
        <w:t xml:space="preserve">we will need to screen approximately </w:t>
      </w:r>
      <w:r w:rsidR="000724AB">
        <w:t>61</w:t>
      </w:r>
      <w:r w:rsidR="00730F0B">
        <w:t>,000</w:t>
      </w:r>
      <w:r>
        <w:t xml:space="preserve"> potential participants</w:t>
      </w:r>
      <w:r w:rsidR="00F97302">
        <w:t xml:space="preserve">. In prior national surveys conducted by RTI with the same </w:t>
      </w:r>
      <w:r w:rsidR="00F97302">
        <w:t>Dynata</w:t>
      </w:r>
      <w:r w:rsidR="00F97302">
        <w:t xml:space="preserve"> panel, approximately 10% of adult panel members were current ENDS users; </w:t>
      </w:r>
      <w:r w:rsidR="00730F0B">
        <w:t>Dynata</w:t>
      </w:r>
      <w:r w:rsidR="00730F0B">
        <w:t xml:space="preserve"> anticipates</w:t>
      </w:r>
      <w:r w:rsidR="00F97302">
        <w:t xml:space="preserve"> the same</w:t>
      </w:r>
      <w:r w:rsidR="00730F0B">
        <w:t xml:space="preserve"> 10% incidence </w:t>
      </w:r>
      <w:r w:rsidR="00F97302">
        <w:t xml:space="preserve">in this study. In addition, </w:t>
      </w:r>
      <w:r w:rsidR="00730F0B">
        <w:t>we request an additional 1,000 to account for potential overages</w:t>
      </w:r>
      <w:r w:rsidR="000724AB">
        <w:t>, resulting in a total of 62,000 individuals screened</w:t>
      </w:r>
      <w:r>
        <w:t xml:space="preserve">. </w:t>
      </w:r>
    </w:p>
    <w:p w:rsidR="00F97302" w:rsidP="00D46D87" w14:paraId="2D26F3C4" w14:textId="3B2860D9">
      <w:pPr>
        <w:autoSpaceDE w:val="0"/>
        <w:autoSpaceDN w:val="0"/>
        <w:adjustRightInd w:val="0"/>
        <w:ind w:left="180"/>
      </w:pPr>
    </w:p>
    <w:p w:rsidR="00F97302" w:rsidP="00D46D87" w14:paraId="171847BD" w14:textId="6AF8BA08">
      <w:pPr>
        <w:autoSpaceDE w:val="0"/>
        <w:autoSpaceDN w:val="0"/>
        <w:adjustRightInd w:val="0"/>
        <w:ind w:left="180"/>
      </w:pPr>
      <w:bookmarkStart w:id="16" w:name="_Hlk110678599"/>
      <w:r>
        <w:t>We note that is not possible to calculate a</w:t>
      </w:r>
      <w:r w:rsidR="00827145">
        <w:t xml:space="preserve">n exact </w:t>
      </w:r>
      <w:r w:rsidR="009C2A9C">
        <w:t xml:space="preserve">participation rate or </w:t>
      </w:r>
      <w:r w:rsidR="00827145">
        <w:t>response rate because there are no study-specific invitations sent to panelist</w:t>
      </w:r>
      <w:r w:rsidR="009C2A9C">
        <w:t>s, nor is there a sample frame (because this is a non-probability panel-based sample)</w:t>
      </w:r>
      <w:r w:rsidR="00827145">
        <w:t xml:space="preserve">. Thus, there is no denominator from which to calculate a </w:t>
      </w:r>
      <w:r w:rsidR="009C2A9C">
        <w:t>participation rate or response rate</w:t>
      </w:r>
      <w:r w:rsidR="00827145">
        <w:t>.</w:t>
      </w:r>
      <w:bookmarkEnd w:id="15"/>
      <w:r w:rsidRPr="003A78CF" w:rsidR="003A78CF">
        <w:rPr>
          <w:rFonts w:eastAsia="Calibri"/>
        </w:rPr>
        <w:t xml:space="preserve"> </w:t>
      </w:r>
      <w:r w:rsidR="003A78CF">
        <w:rPr>
          <w:rFonts w:eastAsia="Calibri"/>
        </w:rPr>
        <w:t xml:space="preserve">We estimated this burden based on prior experience with similar data collections and </w:t>
      </w:r>
      <w:r w:rsidR="003A78CF">
        <w:rPr>
          <w:rFonts w:eastAsia="Calibri"/>
        </w:rPr>
        <w:t>Dynata’s</w:t>
      </w:r>
      <w:r w:rsidR="003A78CF">
        <w:rPr>
          <w:rFonts w:eastAsia="Calibri"/>
        </w:rPr>
        <w:t xml:space="preserve"> estimate of prevalence of ENDS use in their sample</w:t>
      </w:r>
    </w:p>
    <w:p w:rsidR="0046392A" w:rsidP="00D46D87" w14:paraId="429AA445" w14:textId="77777777">
      <w:pPr>
        <w:autoSpaceDE w:val="0"/>
        <w:autoSpaceDN w:val="0"/>
        <w:adjustRightInd w:val="0"/>
        <w:ind w:left="18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1260"/>
        <w:gridCol w:w="1619"/>
        <w:gridCol w:w="1619"/>
        <w:gridCol w:w="1618"/>
        <w:gridCol w:w="1228"/>
      </w:tblGrid>
      <w:tr w14:paraId="3ED0B7DE" w14:textId="77777777" w:rsidTr="002731D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20"/>
          <w:tblHeader/>
        </w:trPr>
        <w:tc>
          <w:tcPr>
            <w:tcW w:w="5000" w:type="pct"/>
            <w:gridSpan w:val="6"/>
            <w:tcBorders>
              <w:top w:val="nil"/>
              <w:left w:val="nil"/>
              <w:right w:val="nil"/>
            </w:tcBorders>
            <w:shd w:val="clear" w:color="auto" w:fill="auto"/>
          </w:tcPr>
          <w:bookmarkEnd w:id="14"/>
          <w:bookmarkEnd w:id="16"/>
          <w:p w:rsidR="0046392A" w:rsidRPr="0046392A" w:rsidP="0046392A" w14:paraId="35EF77B9" w14:textId="77777777">
            <w:pPr>
              <w:jc w:val="center"/>
              <w:rPr>
                <w:sz w:val="20"/>
                <w:szCs w:val="20"/>
              </w:rPr>
            </w:pPr>
            <w:r w:rsidRPr="0046392A">
              <w:rPr>
                <w:sz w:val="20"/>
                <w:szCs w:val="20"/>
              </w:rPr>
              <w:t xml:space="preserve">Table </w:t>
            </w:r>
            <w:r w:rsidRPr="0046392A">
              <w:rPr>
                <w:sz w:val="20"/>
                <w:szCs w:val="20"/>
              </w:rPr>
              <w:t>1.--</w:t>
            </w:r>
            <w:r w:rsidRPr="0046392A">
              <w:rPr>
                <w:sz w:val="20"/>
                <w:szCs w:val="20"/>
              </w:rPr>
              <w:t>Estimated Annual Reporting Burden</w:t>
            </w:r>
            <w:r w:rsidRPr="0046392A">
              <w:rPr>
                <w:sz w:val="20"/>
                <w:szCs w:val="20"/>
                <w:vertAlign w:val="superscript"/>
              </w:rPr>
              <w:t>1</w:t>
            </w:r>
          </w:p>
        </w:tc>
      </w:tr>
      <w:tr w14:paraId="6B9E47F0" w14:textId="77777777" w:rsidTr="003A78CF">
        <w:tblPrEx>
          <w:tblW w:w="5000" w:type="pct"/>
          <w:tblLook w:val="01E0"/>
        </w:tblPrEx>
        <w:trPr>
          <w:cantSplit/>
          <w:trHeight w:val="20"/>
        </w:trPr>
        <w:tc>
          <w:tcPr>
            <w:tcW w:w="1136" w:type="pct"/>
            <w:shd w:val="clear" w:color="auto" w:fill="auto"/>
          </w:tcPr>
          <w:p w:rsidR="0046392A" w:rsidRPr="0046392A" w:rsidP="0046392A" w14:paraId="456EC0A9" w14:textId="5224FD01">
            <w:pPr>
              <w:jc w:val="center"/>
              <w:rPr>
                <w:sz w:val="20"/>
                <w:szCs w:val="20"/>
              </w:rPr>
            </w:pPr>
            <w:r w:rsidRPr="0046392A">
              <w:rPr>
                <w:sz w:val="20"/>
                <w:szCs w:val="20"/>
              </w:rPr>
              <w:t>Type of Respondent</w:t>
            </w:r>
            <w:r>
              <w:rPr>
                <w:sz w:val="20"/>
                <w:szCs w:val="20"/>
              </w:rPr>
              <w:t xml:space="preserve">/Activity </w:t>
            </w:r>
          </w:p>
        </w:tc>
        <w:tc>
          <w:tcPr>
            <w:tcW w:w="663" w:type="pct"/>
            <w:shd w:val="clear" w:color="auto" w:fill="auto"/>
          </w:tcPr>
          <w:p w:rsidR="0046392A" w:rsidRPr="0046392A" w:rsidP="0046392A" w14:paraId="44E1E5D1" w14:textId="77777777">
            <w:pPr>
              <w:jc w:val="center"/>
              <w:rPr>
                <w:sz w:val="20"/>
                <w:szCs w:val="20"/>
              </w:rPr>
            </w:pPr>
            <w:r w:rsidRPr="0046392A">
              <w:rPr>
                <w:sz w:val="20"/>
                <w:szCs w:val="20"/>
              </w:rPr>
              <w:t>No. of Respondents</w:t>
            </w:r>
          </w:p>
        </w:tc>
        <w:tc>
          <w:tcPr>
            <w:tcW w:w="852" w:type="pct"/>
            <w:shd w:val="clear" w:color="auto" w:fill="auto"/>
          </w:tcPr>
          <w:p w:rsidR="0046392A" w:rsidRPr="0046392A" w:rsidP="0046392A" w14:paraId="293A5546" w14:textId="77777777">
            <w:pPr>
              <w:jc w:val="center"/>
              <w:rPr>
                <w:sz w:val="20"/>
                <w:szCs w:val="20"/>
              </w:rPr>
            </w:pPr>
            <w:r w:rsidRPr="0046392A">
              <w:rPr>
                <w:bCs/>
                <w:sz w:val="20"/>
                <w:szCs w:val="20"/>
              </w:rPr>
              <w:t>No. of Responses per Respondent</w:t>
            </w:r>
          </w:p>
        </w:tc>
        <w:tc>
          <w:tcPr>
            <w:tcW w:w="852" w:type="pct"/>
            <w:shd w:val="clear" w:color="auto" w:fill="auto"/>
          </w:tcPr>
          <w:p w:rsidR="0046392A" w:rsidRPr="0046392A" w:rsidP="0046392A" w14:paraId="3DE629CF" w14:textId="77777777">
            <w:pPr>
              <w:jc w:val="center"/>
              <w:rPr>
                <w:sz w:val="20"/>
                <w:szCs w:val="20"/>
              </w:rPr>
            </w:pPr>
            <w:r w:rsidRPr="0046392A">
              <w:rPr>
                <w:sz w:val="20"/>
                <w:szCs w:val="20"/>
              </w:rPr>
              <w:t>Total Annual Responses</w:t>
            </w:r>
          </w:p>
        </w:tc>
        <w:tc>
          <w:tcPr>
            <w:tcW w:w="851" w:type="pct"/>
            <w:shd w:val="clear" w:color="auto" w:fill="auto"/>
          </w:tcPr>
          <w:p w:rsidR="0046392A" w:rsidRPr="0046392A" w:rsidP="0046392A" w14:paraId="41DEB9B3" w14:textId="77777777">
            <w:pPr>
              <w:jc w:val="center"/>
              <w:rPr>
                <w:sz w:val="20"/>
                <w:szCs w:val="20"/>
              </w:rPr>
            </w:pPr>
            <w:r w:rsidRPr="0046392A">
              <w:rPr>
                <w:bCs/>
                <w:sz w:val="20"/>
                <w:szCs w:val="20"/>
              </w:rPr>
              <w:t>Average Burden per Response</w:t>
            </w:r>
          </w:p>
        </w:tc>
        <w:tc>
          <w:tcPr>
            <w:tcW w:w="646" w:type="pct"/>
            <w:shd w:val="clear" w:color="auto" w:fill="auto"/>
          </w:tcPr>
          <w:p w:rsidR="003A78CF" w:rsidP="003A78CF" w14:paraId="3A06162F" w14:textId="77777777">
            <w:pPr>
              <w:jc w:val="center"/>
              <w:rPr>
                <w:sz w:val="20"/>
                <w:szCs w:val="20"/>
              </w:rPr>
            </w:pPr>
            <w:r w:rsidRPr="0046392A">
              <w:rPr>
                <w:sz w:val="20"/>
                <w:szCs w:val="20"/>
              </w:rPr>
              <w:t>Total Hours</w:t>
            </w:r>
          </w:p>
          <w:p w:rsidR="003A78CF" w:rsidRPr="003A78CF" w:rsidP="003A78CF" w14:paraId="5A1F1582" w14:textId="77777777">
            <w:pPr>
              <w:rPr>
                <w:sz w:val="20"/>
                <w:szCs w:val="20"/>
              </w:rPr>
            </w:pPr>
          </w:p>
          <w:p w:rsidR="003A78CF" w:rsidRPr="003A78CF" w:rsidP="003A78CF" w14:paraId="25DB533E" w14:textId="77777777">
            <w:pPr>
              <w:rPr>
                <w:sz w:val="20"/>
                <w:szCs w:val="20"/>
              </w:rPr>
            </w:pPr>
          </w:p>
          <w:p w:rsidR="003A78CF" w:rsidP="003A78CF" w14:paraId="49B4B19A" w14:textId="77777777">
            <w:pPr>
              <w:rPr>
                <w:sz w:val="20"/>
                <w:szCs w:val="20"/>
              </w:rPr>
            </w:pPr>
          </w:p>
          <w:p w:rsidR="003A78CF" w:rsidRPr="003A78CF" w:rsidP="003A78CF" w14:paraId="6DC9A3D0" w14:textId="6A152EE3">
            <w:pPr>
              <w:rPr>
                <w:sz w:val="20"/>
                <w:szCs w:val="20"/>
              </w:rPr>
            </w:pPr>
          </w:p>
        </w:tc>
      </w:tr>
      <w:tr w14:paraId="13B2123F" w14:textId="77777777" w:rsidTr="003A78CF">
        <w:tblPrEx>
          <w:tblW w:w="5000" w:type="pct"/>
          <w:tblLook w:val="01E0"/>
        </w:tblPrEx>
        <w:trPr>
          <w:cantSplit/>
          <w:trHeight w:val="20"/>
        </w:trPr>
        <w:tc>
          <w:tcPr>
            <w:tcW w:w="1136" w:type="pct"/>
            <w:shd w:val="clear" w:color="auto" w:fill="auto"/>
          </w:tcPr>
          <w:p w:rsidR="0046392A" w:rsidRPr="0046392A" w:rsidP="0046392A" w14:paraId="323AB940" w14:textId="1F7887DC">
            <w:pPr>
              <w:rPr>
                <w:sz w:val="20"/>
                <w:szCs w:val="20"/>
              </w:rPr>
            </w:pPr>
            <w:r w:rsidRPr="003A78CF">
              <w:rPr>
                <w:sz w:val="20"/>
                <w:szCs w:val="20"/>
              </w:rPr>
              <w:t>Screened Adult ENDS Users</w:t>
            </w:r>
            <w:r>
              <w:rPr>
                <w:sz w:val="20"/>
                <w:szCs w:val="20"/>
              </w:rPr>
              <w:t xml:space="preserve"> </w:t>
            </w:r>
            <w:r w:rsidRPr="003A78CF">
              <w:rPr>
                <w:sz w:val="20"/>
                <w:szCs w:val="20"/>
              </w:rPr>
              <w:t>Screener completions</w:t>
            </w:r>
          </w:p>
        </w:tc>
        <w:tc>
          <w:tcPr>
            <w:tcW w:w="663" w:type="pct"/>
            <w:shd w:val="clear" w:color="auto" w:fill="auto"/>
          </w:tcPr>
          <w:p w:rsidR="0046392A" w:rsidRPr="0046392A" w:rsidP="0046392A" w14:paraId="11E197DB" w14:textId="387D1686">
            <w:pPr>
              <w:jc w:val="right"/>
              <w:rPr>
                <w:sz w:val="20"/>
                <w:szCs w:val="20"/>
              </w:rPr>
            </w:pPr>
            <w:r w:rsidRPr="003A78CF">
              <w:rPr>
                <w:sz w:val="20"/>
                <w:szCs w:val="20"/>
              </w:rPr>
              <w:t>62,000</w:t>
            </w:r>
          </w:p>
        </w:tc>
        <w:tc>
          <w:tcPr>
            <w:tcW w:w="852" w:type="pct"/>
            <w:shd w:val="clear" w:color="auto" w:fill="auto"/>
          </w:tcPr>
          <w:p w:rsidR="0046392A" w:rsidRPr="0046392A" w:rsidP="0046392A" w14:paraId="168B6A9A" w14:textId="31D5D9DD">
            <w:pPr>
              <w:jc w:val="right"/>
              <w:rPr>
                <w:sz w:val="20"/>
                <w:szCs w:val="20"/>
              </w:rPr>
            </w:pPr>
            <w:r>
              <w:rPr>
                <w:sz w:val="20"/>
                <w:szCs w:val="20"/>
              </w:rPr>
              <w:t>1</w:t>
            </w:r>
          </w:p>
        </w:tc>
        <w:tc>
          <w:tcPr>
            <w:tcW w:w="852" w:type="pct"/>
            <w:shd w:val="clear" w:color="auto" w:fill="auto"/>
          </w:tcPr>
          <w:p w:rsidR="0046392A" w:rsidRPr="0046392A" w:rsidP="0046392A" w14:paraId="7D8558B4" w14:textId="6806387B">
            <w:pPr>
              <w:jc w:val="right"/>
              <w:rPr>
                <w:sz w:val="20"/>
                <w:szCs w:val="20"/>
              </w:rPr>
            </w:pPr>
            <w:r w:rsidRPr="003A78CF">
              <w:rPr>
                <w:sz w:val="20"/>
                <w:szCs w:val="20"/>
              </w:rPr>
              <w:t>62,000</w:t>
            </w:r>
          </w:p>
        </w:tc>
        <w:tc>
          <w:tcPr>
            <w:tcW w:w="851" w:type="pct"/>
            <w:shd w:val="clear" w:color="auto" w:fill="auto"/>
          </w:tcPr>
          <w:p w:rsidR="003A78CF" w:rsidRPr="003A78CF" w:rsidP="003A78CF" w14:paraId="0BE15EAB" w14:textId="77777777">
            <w:pPr>
              <w:jc w:val="right"/>
              <w:rPr>
                <w:sz w:val="20"/>
                <w:szCs w:val="20"/>
              </w:rPr>
            </w:pPr>
            <w:r w:rsidRPr="003A78CF">
              <w:rPr>
                <w:sz w:val="20"/>
                <w:szCs w:val="20"/>
              </w:rPr>
              <w:t>0.033</w:t>
            </w:r>
          </w:p>
          <w:p w:rsidR="0046392A" w:rsidRPr="0046392A" w:rsidP="003A78CF" w14:paraId="0E605085" w14:textId="5FF985F5">
            <w:pPr>
              <w:jc w:val="right"/>
              <w:rPr>
                <w:sz w:val="20"/>
                <w:szCs w:val="20"/>
              </w:rPr>
            </w:pPr>
            <w:r w:rsidRPr="003A78CF">
              <w:rPr>
                <w:sz w:val="20"/>
                <w:szCs w:val="20"/>
              </w:rPr>
              <w:t>(2 min)</w:t>
            </w:r>
          </w:p>
        </w:tc>
        <w:tc>
          <w:tcPr>
            <w:tcW w:w="646" w:type="pct"/>
            <w:shd w:val="clear" w:color="auto" w:fill="auto"/>
          </w:tcPr>
          <w:p w:rsidR="0046392A" w:rsidRPr="0046392A" w:rsidP="0046392A" w14:paraId="6D709932" w14:textId="3F69646C">
            <w:pPr>
              <w:jc w:val="right"/>
              <w:rPr>
                <w:sz w:val="20"/>
                <w:szCs w:val="20"/>
              </w:rPr>
            </w:pPr>
            <w:r>
              <w:rPr>
                <w:sz w:val="20"/>
                <w:szCs w:val="20"/>
              </w:rPr>
              <w:t>2,046</w:t>
            </w:r>
          </w:p>
        </w:tc>
      </w:tr>
      <w:tr w14:paraId="00E7F901" w14:textId="77777777" w:rsidTr="0046392A">
        <w:tblPrEx>
          <w:tblW w:w="5000" w:type="pct"/>
          <w:tblLook w:val="01E0"/>
        </w:tblPrEx>
        <w:trPr>
          <w:cantSplit/>
          <w:trHeight w:val="20"/>
        </w:trPr>
        <w:tc>
          <w:tcPr>
            <w:tcW w:w="1136" w:type="pct"/>
            <w:shd w:val="clear" w:color="auto" w:fill="auto"/>
          </w:tcPr>
          <w:p w:rsidR="0046392A" w:rsidRPr="0046392A" w:rsidP="0046392A" w14:paraId="2A069D88" w14:textId="208F78E7">
            <w:pPr>
              <w:rPr>
                <w:sz w:val="20"/>
                <w:szCs w:val="20"/>
              </w:rPr>
            </w:pPr>
            <w:r w:rsidRPr="003A78CF">
              <w:rPr>
                <w:sz w:val="20"/>
                <w:szCs w:val="20"/>
              </w:rPr>
              <w:t>Adult ENDS User Participants</w:t>
            </w:r>
            <w:r>
              <w:rPr>
                <w:sz w:val="20"/>
                <w:szCs w:val="20"/>
              </w:rPr>
              <w:t xml:space="preserve"> </w:t>
            </w:r>
            <w:r w:rsidRPr="003A78CF">
              <w:rPr>
                <w:sz w:val="20"/>
                <w:szCs w:val="20"/>
              </w:rPr>
              <w:t>Consent</w:t>
            </w:r>
          </w:p>
        </w:tc>
        <w:tc>
          <w:tcPr>
            <w:tcW w:w="663" w:type="pct"/>
            <w:shd w:val="clear" w:color="auto" w:fill="auto"/>
          </w:tcPr>
          <w:p w:rsidR="0046392A" w:rsidRPr="0046392A" w:rsidP="0046392A" w14:paraId="5AD63E1A" w14:textId="647151CD">
            <w:pPr>
              <w:jc w:val="right"/>
              <w:rPr>
                <w:sz w:val="20"/>
                <w:szCs w:val="20"/>
              </w:rPr>
            </w:pPr>
            <w:r w:rsidRPr="003A78CF">
              <w:rPr>
                <w:sz w:val="20"/>
                <w:szCs w:val="20"/>
              </w:rPr>
              <w:t>6,100</w:t>
            </w:r>
          </w:p>
        </w:tc>
        <w:tc>
          <w:tcPr>
            <w:tcW w:w="852" w:type="pct"/>
            <w:shd w:val="clear" w:color="auto" w:fill="auto"/>
          </w:tcPr>
          <w:p w:rsidR="0046392A" w:rsidRPr="0046392A" w:rsidP="0046392A" w14:paraId="68194129" w14:textId="1BB6141E">
            <w:pPr>
              <w:jc w:val="right"/>
              <w:rPr>
                <w:sz w:val="20"/>
                <w:szCs w:val="20"/>
              </w:rPr>
            </w:pPr>
            <w:r>
              <w:rPr>
                <w:sz w:val="20"/>
                <w:szCs w:val="20"/>
              </w:rPr>
              <w:t>1</w:t>
            </w:r>
          </w:p>
        </w:tc>
        <w:tc>
          <w:tcPr>
            <w:tcW w:w="852" w:type="pct"/>
            <w:shd w:val="clear" w:color="auto" w:fill="auto"/>
          </w:tcPr>
          <w:p w:rsidR="0046392A" w:rsidRPr="0046392A" w:rsidP="0046392A" w14:paraId="2BE5BA4E" w14:textId="5652E127">
            <w:pPr>
              <w:jc w:val="right"/>
              <w:rPr>
                <w:sz w:val="20"/>
                <w:szCs w:val="20"/>
              </w:rPr>
            </w:pPr>
            <w:r w:rsidRPr="003A78CF">
              <w:rPr>
                <w:sz w:val="20"/>
                <w:szCs w:val="20"/>
              </w:rPr>
              <w:t>6,100</w:t>
            </w:r>
          </w:p>
        </w:tc>
        <w:tc>
          <w:tcPr>
            <w:tcW w:w="851" w:type="pct"/>
            <w:shd w:val="clear" w:color="auto" w:fill="auto"/>
          </w:tcPr>
          <w:p w:rsidR="003A78CF" w:rsidRPr="003A78CF" w:rsidP="003A78CF" w14:paraId="7183CA1F" w14:textId="77777777">
            <w:pPr>
              <w:jc w:val="right"/>
              <w:rPr>
                <w:sz w:val="20"/>
                <w:szCs w:val="20"/>
              </w:rPr>
            </w:pPr>
            <w:r w:rsidRPr="003A78CF">
              <w:rPr>
                <w:sz w:val="20"/>
                <w:szCs w:val="20"/>
              </w:rPr>
              <w:t>0.033</w:t>
            </w:r>
          </w:p>
          <w:p w:rsidR="0046392A" w:rsidRPr="0046392A" w:rsidP="003A78CF" w14:paraId="27291835" w14:textId="67EDEB5D">
            <w:pPr>
              <w:jc w:val="right"/>
              <w:rPr>
                <w:sz w:val="20"/>
                <w:szCs w:val="20"/>
              </w:rPr>
            </w:pPr>
            <w:r w:rsidRPr="003A78CF">
              <w:rPr>
                <w:sz w:val="20"/>
                <w:szCs w:val="20"/>
              </w:rPr>
              <w:t>(2 min)</w:t>
            </w:r>
          </w:p>
        </w:tc>
        <w:tc>
          <w:tcPr>
            <w:tcW w:w="646" w:type="pct"/>
            <w:shd w:val="clear" w:color="auto" w:fill="auto"/>
          </w:tcPr>
          <w:p w:rsidR="0046392A" w:rsidRPr="0046392A" w:rsidP="0046392A" w14:paraId="6E9262DF" w14:textId="3FC242A7">
            <w:pPr>
              <w:jc w:val="right"/>
              <w:rPr>
                <w:sz w:val="20"/>
                <w:szCs w:val="20"/>
              </w:rPr>
            </w:pPr>
            <w:r w:rsidRPr="003A78CF">
              <w:rPr>
                <w:sz w:val="20"/>
                <w:szCs w:val="20"/>
              </w:rPr>
              <w:t>201</w:t>
            </w:r>
          </w:p>
        </w:tc>
      </w:tr>
      <w:tr w14:paraId="0C54602D" w14:textId="77777777" w:rsidTr="0046392A">
        <w:tblPrEx>
          <w:tblW w:w="5000" w:type="pct"/>
          <w:tblLook w:val="01E0"/>
        </w:tblPrEx>
        <w:trPr>
          <w:cantSplit/>
          <w:trHeight w:val="20"/>
        </w:trPr>
        <w:tc>
          <w:tcPr>
            <w:tcW w:w="1136" w:type="pct"/>
            <w:shd w:val="clear" w:color="auto" w:fill="auto"/>
          </w:tcPr>
          <w:p w:rsidR="003A78CF" w:rsidRPr="003A78CF" w:rsidP="0046392A" w14:paraId="39867D02" w14:textId="1C77AC94">
            <w:pPr>
              <w:rPr>
                <w:sz w:val="20"/>
                <w:szCs w:val="20"/>
              </w:rPr>
            </w:pPr>
            <w:r w:rsidRPr="003A78CF">
              <w:rPr>
                <w:sz w:val="20"/>
                <w:szCs w:val="20"/>
              </w:rPr>
              <w:t>Adult ENDS User Participants</w:t>
            </w:r>
            <w:r>
              <w:rPr>
                <w:sz w:val="20"/>
                <w:szCs w:val="20"/>
              </w:rPr>
              <w:t xml:space="preserve"> </w:t>
            </w:r>
            <w:r w:rsidRPr="003A78CF">
              <w:rPr>
                <w:sz w:val="20"/>
                <w:szCs w:val="20"/>
              </w:rPr>
              <w:t>Questionnaire</w:t>
            </w:r>
          </w:p>
        </w:tc>
        <w:tc>
          <w:tcPr>
            <w:tcW w:w="663" w:type="pct"/>
            <w:shd w:val="clear" w:color="auto" w:fill="auto"/>
          </w:tcPr>
          <w:p w:rsidR="003A78CF" w:rsidRPr="0046392A" w:rsidP="0046392A" w14:paraId="77768C6A" w14:textId="7D50FB48">
            <w:pPr>
              <w:jc w:val="right"/>
              <w:rPr>
                <w:sz w:val="20"/>
                <w:szCs w:val="20"/>
              </w:rPr>
            </w:pPr>
            <w:r w:rsidRPr="003A78CF">
              <w:rPr>
                <w:sz w:val="20"/>
                <w:szCs w:val="20"/>
              </w:rPr>
              <w:t>6,100</w:t>
            </w:r>
          </w:p>
        </w:tc>
        <w:tc>
          <w:tcPr>
            <w:tcW w:w="852" w:type="pct"/>
            <w:shd w:val="clear" w:color="auto" w:fill="auto"/>
          </w:tcPr>
          <w:p w:rsidR="003A78CF" w:rsidRPr="0046392A" w:rsidP="0046392A" w14:paraId="19F5C4C8" w14:textId="332E8AAE">
            <w:pPr>
              <w:jc w:val="right"/>
              <w:rPr>
                <w:sz w:val="20"/>
                <w:szCs w:val="20"/>
              </w:rPr>
            </w:pPr>
            <w:r>
              <w:rPr>
                <w:sz w:val="20"/>
                <w:szCs w:val="20"/>
              </w:rPr>
              <w:t>1</w:t>
            </w:r>
          </w:p>
        </w:tc>
        <w:tc>
          <w:tcPr>
            <w:tcW w:w="852" w:type="pct"/>
            <w:shd w:val="clear" w:color="auto" w:fill="auto"/>
          </w:tcPr>
          <w:p w:rsidR="003A78CF" w:rsidRPr="0046392A" w:rsidP="0046392A" w14:paraId="048AF351" w14:textId="5683EFCE">
            <w:pPr>
              <w:jc w:val="right"/>
              <w:rPr>
                <w:sz w:val="20"/>
                <w:szCs w:val="20"/>
              </w:rPr>
            </w:pPr>
            <w:r w:rsidRPr="003A78CF">
              <w:rPr>
                <w:sz w:val="20"/>
                <w:szCs w:val="20"/>
              </w:rPr>
              <w:t>6,100</w:t>
            </w:r>
          </w:p>
        </w:tc>
        <w:tc>
          <w:tcPr>
            <w:tcW w:w="851" w:type="pct"/>
            <w:shd w:val="clear" w:color="auto" w:fill="auto"/>
          </w:tcPr>
          <w:p w:rsidR="003A78CF" w:rsidRPr="003A78CF" w:rsidP="003A78CF" w14:paraId="1801B902" w14:textId="77777777">
            <w:pPr>
              <w:jc w:val="right"/>
              <w:rPr>
                <w:sz w:val="20"/>
                <w:szCs w:val="20"/>
              </w:rPr>
            </w:pPr>
            <w:r w:rsidRPr="003A78CF">
              <w:rPr>
                <w:sz w:val="20"/>
                <w:szCs w:val="20"/>
              </w:rPr>
              <w:t>0.267</w:t>
            </w:r>
          </w:p>
          <w:p w:rsidR="003A78CF" w:rsidRPr="0046392A" w:rsidP="003A78CF" w14:paraId="61A528EA" w14:textId="1523483D">
            <w:pPr>
              <w:jc w:val="right"/>
              <w:rPr>
                <w:sz w:val="20"/>
                <w:szCs w:val="20"/>
              </w:rPr>
            </w:pPr>
            <w:r w:rsidRPr="003A78CF">
              <w:rPr>
                <w:sz w:val="20"/>
                <w:szCs w:val="20"/>
              </w:rPr>
              <w:t>(16 min)</w:t>
            </w:r>
          </w:p>
        </w:tc>
        <w:tc>
          <w:tcPr>
            <w:tcW w:w="646" w:type="pct"/>
            <w:shd w:val="clear" w:color="auto" w:fill="auto"/>
          </w:tcPr>
          <w:p w:rsidR="003A78CF" w:rsidRPr="0046392A" w:rsidP="0046392A" w14:paraId="181F8595" w14:textId="4E1ACDA4">
            <w:pPr>
              <w:jc w:val="right"/>
              <w:rPr>
                <w:sz w:val="20"/>
                <w:szCs w:val="20"/>
              </w:rPr>
            </w:pPr>
            <w:r w:rsidRPr="003A78CF">
              <w:rPr>
                <w:sz w:val="20"/>
                <w:szCs w:val="20"/>
              </w:rPr>
              <w:t>1,62</w:t>
            </w:r>
            <w:r w:rsidR="00012E80">
              <w:rPr>
                <w:sz w:val="20"/>
                <w:szCs w:val="20"/>
              </w:rPr>
              <w:t>9</w:t>
            </w:r>
          </w:p>
        </w:tc>
      </w:tr>
      <w:tr w14:paraId="04CA5966" w14:textId="77777777" w:rsidTr="0046392A">
        <w:tblPrEx>
          <w:tblW w:w="5000" w:type="pct"/>
          <w:tblLook w:val="01E0"/>
        </w:tblPrEx>
        <w:trPr>
          <w:cantSplit/>
          <w:trHeight w:val="20"/>
        </w:trPr>
        <w:tc>
          <w:tcPr>
            <w:tcW w:w="4354" w:type="pct"/>
            <w:gridSpan w:val="5"/>
            <w:shd w:val="clear" w:color="auto" w:fill="auto"/>
          </w:tcPr>
          <w:p w:rsidR="0046392A" w:rsidRPr="0046392A" w:rsidP="0046392A" w14:paraId="3172B0C3" w14:textId="0596FCB8">
            <w:pPr>
              <w:rPr>
                <w:sz w:val="20"/>
                <w:szCs w:val="20"/>
              </w:rPr>
            </w:pPr>
            <w:r w:rsidRPr="0046392A">
              <w:rPr>
                <w:sz w:val="20"/>
                <w:szCs w:val="20"/>
              </w:rPr>
              <w:t>Total</w:t>
            </w:r>
          </w:p>
        </w:tc>
        <w:tc>
          <w:tcPr>
            <w:tcW w:w="646" w:type="pct"/>
            <w:shd w:val="clear" w:color="auto" w:fill="auto"/>
          </w:tcPr>
          <w:p w:rsidR="0046392A" w:rsidRPr="0046392A" w:rsidP="0046392A" w14:paraId="17F3F352" w14:textId="02747549">
            <w:pPr>
              <w:jc w:val="right"/>
              <w:rPr>
                <w:sz w:val="20"/>
                <w:szCs w:val="20"/>
              </w:rPr>
            </w:pPr>
            <w:r>
              <w:rPr>
                <w:sz w:val="20"/>
                <w:szCs w:val="20"/>
              </w:rPr>
              <w:fldChar w:fldCharType="begin"/>
            </w:r>
            <w:r>
              <w:rPr>
                <w:sz w:val="20"/>
                <w:szCs w:val="20"/>
              </w:rPr>
              <w:instrText xml:space="preserve"> =SUM(ABOVE) </w:instrText>
            </w:r>
            <w:r>
              <w:rPr>
                <w:sz w:val="20"/>
                <w:szCs w:val="20"/>
              </w:rPr>
              <w:fldChar w:fldCharType="separate"/>
            </w:r>
            <w:r>
              <w:rPr>
                <w:noProof/>
                <w:sz w:val="20"/>
                <w:szCs w:val="20"/>
              </w:rPr>
              <w:t>3,876</w:t>
            </w:r>
            <w:r>
              <w:rPr>
                <w:sz w:val="20"/>
                <w:szCs w:val="20"/>
              </w:rPr>
              <w:fldChar w:fldCharType="end"/>
            </w:r>
          </w:p>
        </w:tc>
      </w:tr>
    </w:tbl>
    <w:p w:rsidR="0046392A" w:rsidP="00E45D89" w14:paraId="71568B17" w14:textId="77777777">
      <w:pPr>
        <w:spacing w:before="100" w:beforeAutospacing="1" w:after="100" w:afterAutospacing="1"/>
        <w:ind w:left="720"/>
        <w:jc w:val="center"/>
        <w:rPr>
          <w:b/>
        </w:rPr>
      </w:pPr>
    </w:p>
    <w:p w:rsidR="00357C8A" w:rsidRPr="00893719" w:rsidP="00DC371B" w14:paraId="5EFA87C7" w14:textId="77777777">
      <w:pPr>
        <w:spacing w:after="200"/>
        <w:ind w:left="360"/>
        <w:rPr>
          <w:rFonts w:eastAsia="Calibri"/>
        </w:rPr>
      </w:pPr>
      <w:r w:rsidRPr="00893719">
        <w:rPr>
          <w:rFonts w:eastAsia="Calibri"/>
        </w:rPr>
        <w:t>12b.  Annualized Cost Burden Estimate</w:t>
      </w:r>
    </w:p>
    <w:p w:rsidR="00D46D87" w:rsidP="00D46D87" w14:paraId="38EF545F" w14:textId="4A40CFA4">
      <w:pPr>
        <w:autoSpaceDE w:val="0"/>
        <w:autoSpaceDN w:val="0"/>
        <w:adjustRightInd w:val="0"/>
        <w:ind w:left="180"/>
      </w:pPr>
      <w:r>
        <w:t xml:space="preserve">Respondents participate on a purely voluntary basis and, therefore, are subject to no direct costs other than time to participate. There are also no start-up or maintenance costs. </w:t>
      </w:r>
      <w:r>
        <w:t>Dynata</w:t>
      </w:r>
      <w:r>
        <w:t xml:space="preserve"> has conducted many </w:t>
      </w:r>
      <w:r w:rsidR="00D7265B">
        <w:t>tobacco</w:t>
      </w:r>
      <w:r>
        <w:t xml:space="preserve">-related surveys of similar length among ENDS users. We have examined diagnostic data from prior surveys and estimate that data collection for this study </w:t>
      </w:r>
      <w:r w:rsidR="0076377E">
        <w:t xml:space="preserve">completion of </w:t>
      </w:r>
      <w:r w:rsidRPr="0076377E" w:rsidR="0076377E">
        <w:t xml:space="preserve">the online survey will take </w:t>
      </w:r>
      <w:r w:rsidR="00CC64BE">
        <w:t>16</w:t>
      </w:r>
      <w:r w:rsidRPr="0076377E" w:rsidR="0076377E">
        <w:t xml:space="preserve"> minutes on average. </w:t>
      </w:r>
      <w:r>
        <w:t xml:space="preserve">We have also allocated </w:t>
      </w:r>
      <w:r w:rsidR="00CC64BE">
        <w:t>an additional 2 minutes</w:t>
      </w:r>
      <w:r>
        <w:t xml:space="preserve"> for participants to give their consent to participate. </w:t>
      </w:r>
    </w:p>
    <w:p w:rsidR="00D46D87" w:rsidP="00D46D87" w14:paraId="50849CAC" w14:textId="77777777">
      <w:pPr>
        <w:autoSpaceDE w:val="0"/>
        <w:autoSpaceDN w:val="0"/>
        <w:adjustRightInd w:val="0"/>
        <w:ind w:left="180"/>
      </w:pPr>
    </w:p>
    <w:p w:rsidR="00D46D87" w:rsidP="00D46D87" w14:paraId="0A7B5C5D" w14:textId="56EC0392">
      <w:pPr>
        <w:autoSpaceDE w:val="0"/>
        <w:autoSpaceDN w:val="0"/>
        <w:adjustRightInd w:val="0"/>
        <w:ind w:left="180"/>
      </w:pPr>
      <w:r w:rsidRPr="002A2482">
        <w:t>To calculate this cost, the mean hourly wage of $</w:t>
      </w:r>
      <w:r w:rsidR="006B2C48">
        <w:t>28.01</w:t>
      </w:r>
      <w:r w:rsidRPr="002A2482">
        <w:t xml:space="preserve"> was used for adult participants. This cost represents the mean hourly wage for all occupations from the Department of Labor’s Occupational Employment Statistics survey (</w:t>
      </w:r>
      <w:hyperlink r:id="rId11" w:history="1">
        <w:r w:rsidRPr="00AE4243">
          <w:rPr>
            <w:rStyle w:val="Hyperlink"/>
          </w:rPr>
          <w:t xml:space="preserve">May </w:t>
        </w:r>
        <w:r w:rsidRPr="00AE4243" w:rsidR="006B2C48">
          <w:rPr>
            <w:rStyle w:val="Hyperlink"/>
          </w:rPr>
          <w:t xml:space="preserve">2021 </w:t>
        </w:r>
        <w:r w:rsidRPr="00AE4243">
          <w:rPr>
            <w:rStyle w:val="Hyperlink"/>
          </w:rPr>
          <w:t>data</w:t>
        </w:r>
      </w:hyperlink>
      <w:r w:rsidRPr="002A2482">
        <w:t>).</w:t>
      </w:r>
      <w:r>
        <w:t xml:space="preserve"> There are no direct costs to respondents associated with participation in this information collection. </w:t>
      </w:r>
      <w:r w:rsidRPr="006E0696" w:rsidR="006E0696">
        <w:t>Thus, assuming an average hourly wage of $</w:t>
      </w:r>
      <w:r w:rsidR="006E0696">
        <w:t>28</w:t>
      </w:r>
      <w:r w:rsidRPr="006E0696" w:rsidR="006E0696">
        <w:t>.</w:t>
      </w:r>
      <w:r w:rsidR="006E0696">
        <w:t>0</w:t>
      </w:r>
      <w:r w:rsidR="00476A11">
        <w:t>1</w:t>
      </w:r>
      <w:r w:rsidRPr="006E0696" w:rsidR="006E0696">
        <w:t xml:space="preserve"> doubling this </w:t>
      </w:r>
      <w:r w:rsidR="006E0696">
        <w:t xml:space="preserve">figure </w:t>
      </w:r>
      <w:r w:rsidRPr="006E0696" w:rsidR="006E0696">
        <w:t>to account for benefits and overhead, yielding an hourly wage rate of $</w:t>
      </w:r>
      <w:r w:rsidR="006E0696">
        <w:t>56.02</w:t>
      </w:r>
      <w:r w:rsidRPr="006E0696" w:rsidR="006E0696">
        <w:t xml:space="preserve">, the estimated one-time cost to participants </w:t>
      </w:r>
      <w:r w:rsidR="00476A11">
        <w:t>is</w:t>
      </w:r>
      <w:r w:rsidRPr="006E0696" w:rsidR="006E0696">
        <w:t xml:space="preserve"> </w:t>
      </w:r>
      <w:r w:rsidRPr="00EA31C3" w:rsidR="002A2482">
        <w:t>$</w:t>
      </w:r>
      <w:r w:rsidR="00930EAE">
        <w:t>217</w:t>
      </w:r>
      <w:r w:rsidR="00526014">
        <w:t>,133.52</w:t>
      </w:r>
      <w:r w:rsidR="00EA31C3">
        <w:t xml:space="preserve">. </w:t>
      </w:r>
      <w:r>
        <w:t>The estimated value of respondents’ time for participating in the information collection is summarized in Table 2.</w:t>
      </w:r>
    </w:p>
    <w:p w:rsidR="00D46D87" w:rsidP="00D46D87" w14:paraId="39930226" w14:textId="77777777">
      <w:pPr>
        <w:keepNext/>
        <w:keepLines/>
        <w:autoSpaceDE w:val="0"/>
        <w:autoSpaceDN w:val="0"/>
        <w:adjustRightInd w:val="0"/>
        <w:ind w:left="180"/>
        <w:rPr>
          <w:b/>
        </w:rPr>
      </w:pPr>
    </w:p>
    <w:p w:rsidR="00D46D87" w:rsidP="00D46D87" w14:paraId="57C645A5" w14:textId="77777777">
      <w:pPr>
        <w:keepNext/>
        <w:keepLines/>
        <w:autoSpaceDE w:val="0"/>
        <w:autoSpaceDN w:val="0"/>
        <w:adjustRightInd w:val="0"/>
        <w:ind w:left="180"/>
        <w:rPr>
          <w:b/>
        </w:rPr>
      </w:pPr>
      <w:r>
        <w:rPr>
          <w:b/>
        </w:rPr>
        <w:t>Table 2. Estimated Annual Cost</w:t>
      </w:r>
    </w:p>
    <w:tbl>
      <w:tblPr>
        <w:tblW w:w="9000" w:type="dxa"/>
        <w:tblBorders>
          <w:top w:val="single" w:sz="12" w:space="0" w:color="auto"/>
          <w:bottom w:val="single" w:sz="12" w:space="0" w:color="auto"/>
          <w:insideH w:val="single" w:sz="6" w:space="0" w:color="auto"/>
          <w:insideV w:val="single" w:sz="6" w:space="0" w:color="auto"/>
        </w:tblBorders>
        <w:tblLayout w:type="fixed"/>
        <w:tblCellMar>
          <w:left w:w="58" w:type="dxa"/>
          <w:right w:w="58" w:type="dxa"/>
        </w:tblCellMar>
        <w:tblLook w:val="00A0"/>
      </w:tblPr>
      <w:tblGrid>
        <w:gridCol w:w="1942"/>
        <w:gridCol w:w="2946"/>
        <w:gridCol w:w="1232"/>
        <w:gridCol w:w="1424"/>
        <w:gridCol w:w="1456"/>
      </w:tblGrid>
      <w:tr w14:paraId="04CB3591" w14:textId="77777777" w:rsidTr="004177AF">
        <w:tblPrEx>
          <w:tblW w:w="9000" w:type="dxa"/>
          <w:tblBorders>
            <w:top w:val="single" w:sz="12" w:space="0" w:color="auto"/>
            <w:bottom w:val="single" w:sz="12" w:space="0" w:color="auto"/>
            <w:insideH w:val="single" w:sz="6" w:space="0" w:color="auto"/>
            <w:insideV w:val="single" w:sz="6" w:space="0" w:color="auto"/>
          </w:tblBorders>
          <w:tblLayout w:type="fixed"/>
          <w:tblCellMar>
            <w:left w:w="58" w:type="dxa"/>
            <w:right w:w="58" w:type="dxa"/>
          </w:tblCellMar>
          <w:tblLook w:val="00A0"/>
        </w:tblPrEx>
        <w:trPr>
          <w:cantSplit/>
          <w:trHeight w:val="642"/>
          <w:tblHeader/>
        </w:trPr>
        <w:tc>
          <w:tcPr>
            <w:tcW w:w="1942" w:type="dxa"/>
            <w:tcBorders>
              <w:top w:val="single" w:sz="12" w:space="0" w:color="auto"/>
              <w:left w:val="nil"/>
              <w:bottom w:val="single" w:sz="6" w:space="0" w:color="auto"/>
              <w:right w:val="single" w:sz="6" w:space="0" w:color="auto"/>
            </w:tcBorders>
            <w:vAlign w:val="bottom"/>
            <w:hideMark/>
          </w:tcPr>
          <w:p w:rsidR="00D46D87" w:rsidRPr="004177AF" w14:paraId="6C6A9C9C" w14:textId="77777777">
            <w:pPr>
              <w:keepNext/>
              <w:autoSpaceDE w:val="0"/>
              <w:autoSpaceDN w:val="0"/>
              <w:adjustRightInd w:val="0"/>
              <w:ind w:left="180"/>
              <w:jc w:val="center"/>
              <w:rPr>
                <w:b/>
                <w:sz w:val="20"/>
                <w:szCs w:val="20"/>
              </w:rPr>
            </w:pPr>
            <w:r w:rsidRPr="004177AF">
              <w:rPr>
                <w:b/>
                <w:sz w:val="20"/>
                <w:szCs w:val="20"/>
              </w:rPr>
              <w:t>Type of Respondent</w:t>
            </w:r>
          </w:p>
        </w:tc>
        <w:tc>
          <w:tcPr>
            <w:tcW w:w="2946" w:type="dxa"/>
            <w:tcBorders>
              <w:top w:val="single" w:sz="12" w:space="0" w:color="auto"/>
              <w:left w:val="single" w:sz="6" w:space="0" w:color="auto"/>
              <w:bottom w:val="single" w:sz="6" w:space="0" w:color="auto"/>
              <w:right w:val="single" w:sz="6" w:space="0" w:color="auto"/>
            </w:tcBorders>
            <w:vAlign w:val="bottom"/>
            <w:hideMark/>
          </w:tcPr>
          <w:p w:rsidR="00D46D87" w:rsidRPr="004177AF" w14:paraId="51070C6D" w14:textId="77777777">
            <w:pPr>
              <w:keepNext/>
              <w:autoSpaceDE w:val="0"/>
              <w:autoSpaceDN w:val="0"/>
              <w:adjustRightInd w:val="0"/>
              <w:ind w:left="180"/>
              <w:jc w:val="center"/>
              <w:rPr>
                <w:b/>
                <w:sz w:val="20"/>
                <w:szCs w:val="20"/>
              </w:rPr>
            </w:pPr>
            <w:r w:rsidRPr="004177AF">
              <w:rPr>
                <w:b/>
                <w:sz w:val="20"/>
                <w:szCs w:val="20"/>
              </w:rPr>
              <w:t>Activity</w:t>
            </w:r>
          </w:p>
        </w:tc>
        <w:tc>
          <w:tcPr>
            <w:tcW w:w="1232" w:type="dxa"/>
            <w:tcBorders>
              <w:top w:val="single" w:sz="12" w:space="0" w:color="auto"/>
              <w:left w:val="single" w:sz="6" w:space="0" w:color="auto"/>
              <w:bottom w:val="single" w:sz="6" w:space="0" w:color="auto"/>
              <w:right w:val="single" w:sz="6" w:space="0" w:color="auto"/>
            </w:tcBorders>
            <w:vAlign w:val="bottom"/>
            <w:hideMark/>
          </w:tcPr>
          <w:p w:rsidR="00D46D87" w:rsidRPr="004177AF" w14:paraId="16747FE7" w14:textId="77777777">
            <w:pPr>
              <w:keepNext/>
              <w:autoSpaceDE w:val="0"/>
              <w:autoSpaceDN w:val="0"/>
              <w:adjustRightInd w:val="0"/>
              <w:ind w:left="180"/>
              <w:jc w:val="center"/>
              <w:rPr>
                <w:b/>
                <w:sz w:val="20"/>
                <w:szCs w:val="20"/>
              </w:rPr>
            </w:pPr>
            <w:r w:rsidRPr="004177AF">
              <w:rPr>
                <w:b/>
                <w:sz w:val="20"/>
                <w:szCs w:val="20"/>
              </w:rPr>
              <w:t>Annual Burden Hours</w:t>
            </w:r>
          </w:p>
        </w:tc>
        <w:tc>
          <w:tcPr>
            <w:tcW w:w="1424" w:type="dxa"/>
            <w:tcBorders>
              <w:top w:val="single" w:sz="12" w:space="0" w:color="auto"/>
              <w:left w:val="single" w:sz="6" w:space="0" w:color="auto"/>
              <w:bottom w:val="single" w:sz="6" w:space="0" w:color="auto"/>
              <w:right w:val="single" w:sz="6" w:space="0" w:color="auto"/>
            </w:tcBorders>
            <w:vAlign w:val="bottom"/>
            <w:hideMark/>
          </w:tcPr>
          <w:p w:rsidR="00D46D87" w:rsidRPr="004177AF" w14:paraId="0E5B6D47" w14:textId="77777777">
            <w:pPr>
              <w:keepNext/>
              <w:autoSpaceDE w:val="0"/>
              <w:autoSpaceDN w:val="0"/>
              <w:adjustRightInd w:val="0"/>
              <w:ind w:left="180"/>
              <w:jc w:val="center"/>
              <w:rPr>
                <w:b/>
                <w:sz w:val="20"/>
                <w:szCs w:val="20"/>
              </w:rPr>
            </w:pPr>
            <w:r w:rsidRPr="004177AF">
              <w:rPr>
                <w:b/>
                <w:sz w:val="20"/>
                <w:szCs w:val="20"/>
              </w:rPr>
              <w:t>Hourly Wage Rate</w:t>
            </w:r>
          </w:p>
        </w:tc>
        <w:tc>
          <w:tcPr>
            <w:tcW w:w="1456" w:type="dxa"/>
            <w:tcBorders>
              <w:top w:val="single" w:sz="12" w:space="0" w:color="auto"/>
              <w:left w:val="single" w:sz="6" w:space="0" w:color="auto"/>
              <w:bottom w:val="single" w:sz="6" w:space="0" w:color="auto"/>
              <w:right w:val="nil"/>
            </w:tcBorders>
            <w:vAlign w:val="bottom"/>
            <w:hideMark/>
          </w:tcPr>
          <w:p w:rsidR="00D46D87" w:rsidRPr="004177AF" w14:paraId="647C04A6" w14:textId="77777777">
            <w:pPr>
              <w:keepNext/>
              <w:autoSpaceDE w:val="0"/>
              <w:autoSpaceDN w:val="0"/>
              <w:adjustRightInd w:val="0"/>
              <w:ind w:left="180"/>
              <w:jc w:val="center"/>
              <w:rPr>
                <w:b/>
                <w:sz w:val="20"/>
                <w:szCs w:val="20"/>
              </w:rPr>
            </w:pPr>
            <w:r w:rsidRPr="004177AF">
              <w:rPr>
                <w:b/>
                <w:sz w:val="20"/>
                <w:szCs w:val="20"/>
              </w:rPr>
              <w:t>Total Cost</w:t>
            </w:r>
            <w:r w:rsidRPr="004177AF">
              <w:rPr>
                <w:b/>
                <w:sz w:val="20"/>
                <w:szCs w:val="20"/>
                <w:vertAlign w:val="superscript"/>
              </w:rPr>
              <w:t>1</w:t>
            </w:r>
          </w:p>
        </w:tc>
      </w:tr>
      <w:tr w14:paraId="456E25F6" w14:textId="77777777" w:rsidTr="004177AF">
        <w:tblPrEx>
          <w:tblW w:w="9000" w:type="dxa"/>
          <w:tblLayout w:type="fixed"/>
          <w:tblCellMar>
            <w:left w:w="58" w:type="dxa"/>
            <w:right w:w="58" w:type="dxa"/>
          </w:tblCellMar>
          <w:tblLook w:val="00A0"/>
        </w:tblPrEx>
        <w:trPr>
          <w:cantSplit/>
          <w:trHeight w:val="579"/>
        </w:trPr>
        <w:tc>
          <w:tcPr>
            <w:tcW w:w="1942" w:type="dxa"/>
            <w:vMerge w:val="restart"/>
            <w:tcBorders>
              <w:top w:val="single" w:sz="6" w:space="0" w:color="auto"/>
              <w:left w:val="nil"/>
              <w:right w:val="single" w:sz="6" w:space="0" w:color="auto"/>
            </w:tcBorders>
            <w:vAlign w:val="center"/>
            <w:hideMark/>
          </w:tcPr>
          <w:p w:rsidR="004E2980" w:rsidRPr="004177AF" w14:paraId="02D2A650" w14:textId="51504D2C">
            <w:pPr>
              <w:autoSpaceDE w:val="0"/>
              <w:autoSpaceDN w:val="0"/>
              <w:adjustRightInd w:val="0"/>
              <w:ind w:left="180"/>
              <w:rPr>
                <w:sz w:val="20"/>
                <w:szCs w:val="20"/>
              </w:rPr>
            </w:pPr>
            <w:r w:rsidRPr="004177AF">
              <w:rPr>
                <w:sz w:val="20"/>
                <w:szCs w:val="20"/>
              </w:rPr>
              <w:t>Adult ENDS Users</w:t>
            </w:r>
          </w:p>
        </w:tc>
        <w:tc>
          <w:tcPr>
            <w:tcW w:w="2946" w:type="dxa"/>
            <w:tcBorders>
              <w:top w:val="single" w:sz="6" w:space="0" w:color="auto"/>
              <w:left w:val="single" w:sz="6" w:space="0" w:color="auto"/>
              <w:bottom w:val="single" w:sz="6" w:space="0" w:color="auto"/>
              <w:right w:val="single" w:sz="6" w:space="0" w:color="auto"/>
            </w:tcBorders>
            <w:vAlign w:val="center"/>
          </w:tcPr>
          <w:p w:rsidR="004E2980" w:rsidRPr="004177AF" w:rsidP="004177AF" w14:paraId="66430C19" w14:textId="77777777">
            <w:pPr>
              <w:autoSpaceDE w:val="0"/>
              <w:autoSpaceDN w:val="0"/>
              <w:adjustRightInd w:val="0"/>
              <w:ind w:left="180"/>
              <w:jc w:val="center"/>
              <w:rPr>
                <w:sz w:val="20"/>
                <w:szCs w:val="20"/>
              </w:rPr>
            </w:pPr>
          </w:p>
          <w:p w:rsidR="004E2980" w:rsidRPr="004177AF" w:rsidP="004177AF" w14:paraId="35340E66" w14:textId="1FF04943">
            <w:pPr>
              <w:autoSpaceDE w:val="0"/>
              <w:autoSpaceDN w:val="0"/>
              <w:adjustRightInd w:val="0"/>
              <w:ind w:left="180"/>
              <w:jc w:val="center"/>
              <w:rPr>
                <w:sz w:val="20"/>
                <w:szCs w:val="20"/>
              </w:rPr>
            </w:pPr>
            <w:r w:rsidRPr="004177AF">
              <w:rPr>
                <w:sz w:val="20"/>
                <w:szCs w:val="20"/>
              </w:rPr>
              <w:t>Recruiting and Screening</w:t>
            </w:r>
          </w:p>
          <w:p w:rsidR="004E2980" w:rsidRPr="004177AF" w:rsidP="004177AF" w14:paraId="29193E71" w14:textId="77777777">
            <w:pPr>
              <w:autoSpaceDE w:val="0"/>
              <w:autoSpaceDN w:val="0"/>
              <w:adjustRightInd w:val="0"/>
              <w:ind w:left="180"/>
              <w:jc w:val="center"/>
              <w:rPr>
                <w:sz w:val="20"/>
                <w:szCs w:val="20"/>
              </w:rPr>
            </w:pPr>
          </w:p>
        </w:tc>
        <w:tc>
          <w:tcPr>
            <w:tcW w:w="1232" w:type="dxa"/>
            <w:tcBorders>
              <w:top w:val="single" w:sz="6" w:space="0" w:color="auto"/>
              <w:left w:val="single" w:sz="6" w:space="0" w:color="auto"/>
              <w:bottom w:val="single" w:sz="6" w:space="0" w:color="auto"/>
              <w:right w:val="single" w:sz="6" w:space="0" w:color="auto"/>
            </w:tcBorders>
            <w:vAlign w:val="center"/>
            <w:hideMark/>
          </w:tcPr>
          <w:p w:rsidR="004E2980" w:rsidRPr="004177AF" w:rsidP="004E2980" w14:paraId="487D314B" w14:textId="64C090F2">
            <w:pPr>
              <w:autoSpaceDE w:val="0"/>
              <w:autoSpaceDN w:val="0"/>
              <w:adjustRightInd w:val="0"/>
              <w:ind w:left="180"/>
              <w:jc w:val="center"/>
              <w:rPr>
                <w:sz w:val="20"/>
                <w:szCs w:val="20"/>
              </w:rPr>
            </w:pPr>
            <w:r w:rsidRPr="004177AF">
              <w:rPr>
                <w:sz w:val="20"/>
                <w:szCs w:val="20"/>
              </w:rPr>
              <w:t>2,046</w:t>
            </w:r>
          </w:p>
        </w:tc>
        <w:tc>
          <w:tcPr>
            <w:tcW w:w="1424" w:type="dxa"/>
            <w:tcBorders>
              <w:top w:val="single" w:sz="6" w:space="0" w:color="auto"/>
              <w:left w:val="single" w:sz="6" w:space="0" w:color="auto"/>
              <w:bottom w:val="single" w:sz="6" w:space="0" w:color="auto"/>
              <w:right w:val="single" w:sz="6" w:space="0" w:color="auto"/>
            </w:tcBorders>
            <w:vAlign w:val="center"/>
            <w:hideMark/>
          </w:tcPr>
          <w:p w:rsidR="004E2980" w:rsidRPr="004177AF" w:rsidP="004E2980" w14:paraId="05D8E596" w14:textId="446A39F8">
            <w:pPr>
              <w:autoSpaceDE w:val="0"/>
              <w:autoSpaceDN w:val="0"/>
              <w:adjustRightInd w:val="0"/>
              <w:ind w:left="180"/>
              <w:jc w:val="center"/>
              <w:rPr>
                <w:sz w:val="20"/>
                <w:szCs w:val="20"/>
              </w:rPr>
            </w:pPr>
            <w:r w:rsidRPr="004177AF">
              <w:rPr>
                <w:sz w:val="20"/>
                <w:szCs w:val="20"/>
              </w:rPr>
              <w:t xml:space="preserve">$ </w:t>
            </w:r>
            <w:r w:rsidR="006E0696">
              <w:rPr>
                <w:sz w:val="20"/>
                <w:szCs w:val="20"/>
              </w:rPr>
              <w:t>56.02</w:t>
            </w:r>
          </w:p>
        </w:tc>
        <w:tc>
          <w:tcPr>
            <w:tcW w:w="1456" w:type="dxa"/>
            <w:tcBorders>
              <w:top w:val="single" w:sz="6" w:space="0" w:color="auto"/>
              <w:left w:val="single" w:sz="6" w:space="0" w:color="auto"/>
              <w:bottom w:val="single" w:sz="6" w:space="0" w:color="auto"/>
              <w:right w:val="nil"/>
            </w:tcBorders>
            <w:vAlign w:val="center"/>
            <w:hideMark/>
          </w:tcPr>
          <w:p w:rsidR="004E2980" w:rsidRPr="004177AF" w14:paraId="6CEC6F13" w14:textId="3A3EADC5">
            <w:pPr>
              <w:autoSpaceDE w:val="0"/>
              <w:autoSpaceDN w:val="0"/>
              <w:adjustRightInd w:val="0"/>
              <w:ind w:left="180"/>
              <w:jc w:val="center"/>
              <w:rPr>
                <w:sz w:val="20"/>
                <w:szCs w:val="20"/>
              </w:rPr>
            </w:pPr>
            <w:r w:rsidRPr="004177AF">
              <w:rPr>
                <w:sz w:val="20"/>
                <w:szCs w:val="20"/>
              </w:rPr>
              <w:t>$</w:t>
            </w:r>
            <w:r w:rsidRPr="004177AF" w:rsidR="00FB1B6A">
              <w:rPr>
                <w:sz w:val="20"/>
                <w:szCs w:val="20"/>
              </w:rPr>
              <w:t xml:space="preserve"> </w:t>
            </w:r>
            <w:r w:rsidRPr="006E0696" w:rsidR="006E0696">
              <w:rPr>
                <w:sz w:val="20"/>
                <w:szCs w:val="20"/>
              </w:rPr>
              <w:t>114,616.92</w:t>
            </w:r>
          </w:p>
        </w:tc>
      </w:tr>
      <w:tr w14:paraId="253C5AE8" w14:textId="77777777" w:rsidTr="004177AF">
        <w:tblPrEx>
          <w:tblW w:w="9000" w:type="dxa"/>
          <w:tblLayout w:type="fixed"/>
          <w:tblCellMar>
            <w:left w:w="58" w:type="dxa"/>
            <w:right w:w="58" w:type="dxa"/>
          </w:tblCellMar>
          <w:tblLook w:val="00A0"/>
        </w:tblPrEx>
        <w:trPr>
          <w:cantSplit/>
          <w:trHeight w:val="604"/>
        </w:trPr>
        <w:tc>
          <w:tcPr>
            <w:tcW w:w="1942" w:type="dxa"/>
            <w:vMerge/>
            <w:tcBorders>
              <w:left w:val="nil"/>
              <w:right w:val="single" w:sz="6" w:space="0" w:color="auto"/>
            </w:tcBorders>
            <w:vAlign w:val="center"/>
            <w:hideMark/>
          </w:tcPr>
          <w:p w:rsidR="004E2980" w:rsidRPr="001727D0" w14:paraId="2DB32429" w14:textId="77777777">
            <w:pPr>
              <w:rPr>
                <w:sz w:val="20"/>
                <w:szCs w:val="20"/>
              </w:rPr>
            </w:pPr>
          </w:p>
        </w:tc>
        <w:tc>
          <w:tcPr>
            <w:tcW w:w="2946" w:type="dxa"/>
            <w:tcBorders>
              <w:top w:val="single" w:sz="6" w:space="0" w:color="auto"/>
              <w:left w:val="single" w:sz="6" w:space="0" w:color="auto"/>
              <w:bottom w:val="single" w:sz="6" w:space="0" w:color="auto"/>
              <w:right w:val="single" w:sz="6" w:space="0" w:color="auto"/>
            </w:tcBorders>
            <w:vAlign w:val="center"/>
          </w:tcPr>
          <w:p w:rsidR="004E2980" w:rsidRPr="001727D0" w:rsidP="004177AF" w14:paraId="4C7F11E9" w14:textId="77777777">
            <w:pPr>
              <w:autoSpaceDE w:val="0"/>
              <w:autoSpaceDN w:val="0"/>
              <w:adjustRightInd w:val="0"/>
              <w:ind w:left="180"/>
              <w:jc w:val="center"/>
              <w:rPr>
                <w:sz w:val="20"/>
                <w:szCs w:val="20"/>
              </w:rPr>
            </w:pPr>
          </w:p>
          <w:p w:rsidR="004E2980" w:rsidRPr="001727D0" w:rsidP="004177AF" w14:paraId="41DEE964" w14:textId="5ACBE2DC">
            <w:pPr>
              <w:autoSpaceDE w:val="0"/>
              <w:autoSpaceDN w:val="0"/>
              <w:adjustRightInd w:val="0"/>
              <w:ind w:left="180"/>
              <w:jc w:val="center"/>
              <w:rPr>
                <w:sz w:val="20"/>
                <w:szCs w:val="20"/>
              </w:rPr>
            </w:pPr>
            <w:r w:rsidRPr="001727D0">
              <w:rPr>
                <w:sz w:val="20"/>
                <w:szCs w:val="20"/>
              </w:rPr>
              <w:t>Consent</w:t>
            </w:r>
          </w:p>
          <w:p w:rsidR="004E2980" w:rsidRPr="001727D0" w:rsidP="004177AF" w14:paraId="1FAC81B0" w14:textId="77777777">
            <w:pPr>
              <w:autoSpaceDE w:val="0"/>
              <w:autoSpaceDN w:val="0"/>
              <w:adjustRightInd w:val="0"/>
              <w:ind w:left="180"/>
              <w:jc w:val="center"/>
              <w:rPr>
                <w:sz w:val="20"/>
                <w:szCs w:val="20"/>
              </w:rPr>
            </w:pPr>
          </w:p>
        </w:tc>
        <w:tc>
          <w:tcPr>
            <w:tcW w:w="1232" w:type="dxa"/>
            <w:tcBorders>
              <w:top w:val="single" w:sz="6" w:space="0" w:color="auto"/>
              <w:left w:val="single" w:sz="6" w:space="0" w:color="auto"/>
              <w:bottom w:val="single" w:sz="6" w:space="0" w:color="auto"/>
              <w:right w:val="single" w:sz="6" w:space="0" w:color="auto"/>
            </w:tcBorders>
            <w:vAlign w:val="center"/>
          </w:tcPr>
          <w:p w:rsidR="004E2980" w:rsidRPr="001727D0" w:rsidP="004E2980" w14:paraId="37F8070B" w14:textId="119D2DC5">
            <w:pPr>
              <w:autoSpaceDE w:val="0"/>
              <w:autoSpaceDN w:val="0"/>
              <w:adjustRightInd w:val="0"/>
              <w:ind w:left="180"/>
              <w:jc w:val="center"/>
              <w:rPr>
                <w:sz w:val="20"/>
                <w:szCs w:val="20"/>
              </w:rPr>
            </w:pPr>
            <w:r w:rsidRPr="001727D0">
              <w:rPr>
                <w:sz w:val="20"/>
                <w:szCs w:val="20"/>
              </w:rPr>
              <w:t>201</w:t>
            </w:r>
          </w:p>
        </w:tc>
        <w:tc>
          <w:tcPr>
            <w:tcW w:w="1424" w:type="dxa"/>
            <w:tcBorders>
              <w:top w:val="single" w:sz="6" w:space="0" w:color="auto"/>
              <w:left w:val="single" w:sz="6" w:space="0" w:color="auto"/>
              <w:bottom w:val="single" w:sz="6" w:space="0" w:color="auto"/>
              <w:right w:val="single" w:sz="6" w:space="0" w:color="auto"/>
            </w:tcBorders>
            <w:vAlign w:val="center"/>
            <w:hideMark/>
          </w:tcPr>
          <w:p w:rsidR="004E2980" w:rsidRPr="001727D0" w:rsidP="004E2980" w14:paraId="4132FD20" w14:textId="55F191D1">
            <w:pPr>
              <w:autoSpaceDE w:val="0"/>
              <w:autoSpaceDN w:val="0"/>
              <w:adjustRightInd w:val="0"/>
              <w:ind w:left="180"/>
              <w:jc w:val="center"/>
              <w:rPr>
                <w:sz w:val="20"/>
                <w:szCs w:val="20"/>
              </w:rPr>
            </w:pPr>
            <w:r w:rsidRPr="001727D0">
              <w:rPr>
                <w:sz w:val="20"/>
                <w:szCs w:val="20"/>
              </w:rPr>
              <w:t xml:space="preserve">$ </w:t>
            </w:r>
            <w:r w:rsidR="006E0696">
              <w:rPr>
                <w:sz w:val="20"/>
                <w:szCs w:val="20"/>
              </w:rPr>
              <w:t>56.02</w:t>
            </w:r>
          </w:p>
        </w:tc>
        <w:tc>
          <w:tcPr>
            <w:tcW w:w="1456" w:type="dxa"/>
            <w:tcBorders>
              <w:top w:val="single" w:sz="6" w:space="0" w:color="auto"/>
              <w:left w:val="single" w:sz="6" w:space="0" w:color="auto"/>
              <w:bottom w:val="single" w:sz="6" w:space="0" w:color="auto"/>
              <w:right w:val="nil"/>
            </w:tcBorders>
            <w:vAlign w:val="center"/>
          </w:tcPr>
          <w:p w:rsidR="004E2980" w:rsidRPr="001727D0" w14:paraId="5C257D14" w14:textId="0A877479">
            <w:pPr>
              <w:autoSpaceDE w:val="0"/>
              <w:autoSpaceDN w:val="0"/>
              <w:adjustRightInd w:val="0"/>
              <w:ind w:left="180"/>
              <w:jc w:val="center"/>
              <w:rPr>
                <w:sz w:val="20"/>
                <w:szCs w:val="20"/>
              </w:rPr>
            </w:pPr>
            <w:r w:rsidRPr="001727D0">
              <w:rPr>
                <w:sz w:val="20"/>
                <w:szCs w:val="20"/>
              </w:rPr>
              <w:t>$</w:t>
            </w:r>
            <w:r w:rsidRPr="001727D0" w:rsidR="00830A5B">
              <w:rPr>
                <w:sz w:val="20"/>
                <w:szCs w:val="20"/>
              </w:rPr>
              <w:t xml:space="preserve"> </w:t>
            </w:r>
            <w:r w:rsidRPr="006E0696" w:rsidR="006E0696">
              <w:rPr>
                <w:sz w:val="20"/>
                <w:szCs w:val="20"/>
              </w:rPr>
              <w:t>11,260.02</w:t>
            </w:r>
          </w:p>
        </w:tc>
      </w:tr>
      <w:tr w14:paraId="2611B205" w14:textId="77777777" w:rsidTr="004177AF">
        <w:tblPrEx>
          <w:tblW w:w="9000" w:type="dxa"/>
          <w:tblLayout w:type="fixed"/>
          <w:tblCellMar>
            <w:left w:w="58" w:type="dxa"/>
            <w:right w:w="58" w:type="dxa"/>
          </w:tblCellMar>
          <w:tblLook w:val="00A0"/>
        </w:tblPrEx>
        <w:trPr>
          <w:cantSplit/>
          <w:trHeight w:val="465"/>
        </w:trPr>
        <w:tc>
          <w:tcPr>
            <w:tcW w:w="1942" w:type="dxa"/>
            <w:vMerge/>
            <w:tcBorders>
              <w:left w:val="nil"/>
              <w:right w:val="single" w:sz="6" w:space="0" w:color="auto"/>
            </w:tcBorders>
            <w:vAlign w:val="center"/>
            <w:hideMark/>
          </w:tcPr>
          <w:p w:rsidR="004E2980" w:rsidRPr="001727D0" w:rsidP="004E2980" w14:paraId="7D224CE1" w14:textId="6F789ECD">
            <w:pPr>
              <w:autoSpaceDE w:val="0"/>
              <w:autoSpaceDN w:val="0"/>
              <w:adjustRightInd w:val="0"/>
              <w:ind w:left="180"/>
              <w:rPr>
                <w:sz w:val="20"/>
                <w:szCs w:val="20"/>
              </w:rPr>
            </w:pPr>
          </w:p>
        </w:tc>
        <w:tc>
          <w:tcPr>
            <w:tcW w:w="2946" w:type="dxa"/>
            <w:tcBorders>
              <w:top w:val="single" w:sz="6" w:space="0" w:color="auto"/>
              <w:left w:val="single" w:sz="6" w:space="0" w:color="auto"/>
              <w:bottom w:val="single" w:sz="6" w:space="0" w:color="auto"/>
              <w:right w:val="single" w:sz="6" w:space="0" w:color="auto"/>
            </w:tcBorders>
            <w:vAlign w:val="center"/>
          </w:tcPr>
          <w:p w:rsidR="004E2980" w:rsidRPr="001727D0" w:rsidP="004177AF" w14:paraId="7C465DE6" w14:textId="3D7076DA">
            <w:pPr>
              <w:keepNext/>
              <w:autoSpaceDE w:val="0"/>
              <w:autoSpaceDN w:val="0"/>
              <w:adjustRightInd w:val="0"/>
              <w:ind w:left="180"/>
              <w:jc w:val="center"/>
              <w:rPr>
                <w:sz w:val="20"/>
                <w:szCs w:val="20"/>
              </w:rPr>
            </w:pPr>
            <w:r w:rsidRPr="001727D0">
              <w:rPr>
                <w:sz w:val="20"/>
                <w:szCs w:val="20"/>
              </w:rPr>
              <w:t>Questionnaire</w:t>
            </w:r>
          </w:p>
        </w:tc>
        <w:tc>
          <w:tcPr>
            <w:tcW w:w="1232" w:type="dxa"/>
            <w:tcBorders>
              <w:top w:val="single" w:sz="6" w:space="0" w:color="auto"/>
              <w:left w:val="single" w:sz="6" w:space="0" w:color="auto"/>
              <w:bottom w:val="single" w:sz="6" w:space="0" w:color="auto"/>
              <w:right w:val="single" w:sz="6" w:space="0" w:color="auto"/>
            </w:tcBorders>
            <w:vAlign w:val="center"/>
          </w:tcPr>
          <w:p w:rsidR="004E2980" w:rsidRPr="001727D0" w:rsidP="004E2980" w14:paraId="328D49E6" w14:textId="098BFADC">
            <w:pPr>
              <w:autoSpaceDE w:val="0"/>
              <w:autoSpaceDN w:val="0"/>
              <w:adjustRightInd w:val="0"/>
              <w:ind w:left="180"/>
              <w:jc w:val="center"/>
              <w:rPr>
                <w:sz w:val="20"/>
                <w:szCs w:val="20"/>
              </w:rPr>
            </w:pPr>
            <w:r w:rsidRPr="001727D0">
              <w:rPr>
                <w:sz w:val="20"/>
                <w:szCs w:val="20"/>
              </w:rPr>
              <w:t>1,62</w:t>
            </w:r>
            <w:r w:rsidRPr="001727D0" w:rsidR="00012E80">
              <w:rPr>
                <w:sz w:val="20"/>
                <w:szCs w:val="20"/>
              </w:rPr>
              <w:t>9</w:t>
            </w:r>
          </w:p>
        </w:tc>
        <w:tc>
          <w:tcPr>
            <w:tcW w:w="1424" w:type="dxa"/>
            <w:tcBorders>
              <w:top w:val="single" w:sz="6" w:space="0" w:color="auto"/>
              <w:left w:val="single" w:sz="6" w:space="0" w:color="auto"/>
              <w:bottom w:val="single" w:sz="6" w:space="0" w:color="auto"/>
              <w:right w:val="single" w:sz="6" w:space="0" w:color="auto"/>
            </w:tcBorders>
            <w:vAlign w:val="center"/>
            <w:hideMark/>
          </w:tcPr>
          <w:p w:rsidR="004E2980" w:rsidRPr="001727D0" w:rsidP="004E2980" w14:paraId="7158D471" w14:textId="5A23868A">
            <w:pPr>
              <w:autoSpaceDE w:val="0"/>
              <w:autoSpaceDN w:val="0"/>
              <w:adjustRightInd w:val="0"/>
              <w:ind w:left="180"/>
              <w:jc w:val="center"/>
              <w:rPr>
                <w:sz w:val="20"/>
                <w:szCs w:val="20"/>
              </w:rPr>
            </w:pPr>
            <w:r w:rsidRPr="001727D0">
              <w:rPr>
                <w:sz w:val="20"/>
                <w:szCs w:val="20"/>
              </w:rPr>
              <w:t xml:space="preserve">$ </w:t>
            </w:r>
            <w:r w:rsidR="006E0696">
              <w:rPr>
                <w:sz w:val="20"/>
                <w:szCs w:val="20"/>
              </w:rPr>
              <w:t>56.02</w:t>
            </w:r>
          </w:p>
        </w:tc>
        <w:tc>
          <w:tcPr>
            <w:tcW w:w="1456" w:type="dxa"/>
            <w:tcBorders>
              <w:top w:val="single" w:sz="6" w:space="0" w:color="auto"/>
              <w:left w:val="single" w:sz="6" w:space="0" w:color="auto"/>
              <w:bottom w:val="single" w:sz="6" w:space="0" w:color="auto"/>
              <w:right w:val="nil"/>
            </w:tcBorders>
            <w:vAlign w:val="center"/>
          </w:tcPr>
          <w:p w:rsidR="004E2980" w:rsidRPr="004177AF" w:rsidP="00012E80" w14:paraId="77DAF5B9" w14:textId="08469755">
            <w:pPr>
              <w:autoSpaceDE w:val="0"/>
              <w:autoSpaceDN w:val="0"/>
              <w:adjustRightInd w:val="0"/>
              <w:ind w:left="180"/>
              <w:jc w:val="center"/>
              <w:rPr>
                <w:sz w:val="20"/>
                <w:szCs w:val="20"/>
              </w:rPr>
            </w:pPr>
            <w:r w:rsidRPr="001727D0">
              <w:rPr>
                <w:sz w:val="20"/>
                <w:szCs w:val="20"/>
              </w:rPr>
              <w:t>$</w:t>
            </w:r>
            <w:r w:rsidRPr="001727D0" w:rsidR="00B76038">
              <w:rPr>
                <w:sz w:val="20"/>
                <w:szCs w:val="20"/>
              </w:rPr>
              <w:t xml:space="preserve"> </w:t>
            </w:r>
            <w:r w:rsidRPr="006E0696" w:rsidR="006E0696">
              <w:rPr>
                <w:sz w:val="20"/>
                <w:szCs w:val="20"/>
              </w:rPr>
              <w:t>91,256.58</w:t>
            </w:r>
          </w:p>
        </w:tc>
      </w:tr>
      <w:tr w14:paraId="43EDAF8A" w14:textId="77777777" w:rsidTr="004177AF">
        <w:tblPrEx>
          <w:tblW w:w="9000" w:type="dxa"/>
          <w:tblLayout w:type="fixed"/>
          <w:tblCellMar>
            <w:left w:w="58" w:type="dxa"/>
            <w:right w:w="58" w:type="dxa"/>
          </w:tblCellMar>
          <w:tblLook w:val="00A0"/>
        </w:tblPrEx>
        <w:trPr>
          <w:cantSplit/>
          <w:trHeight w:val="428"/>
        </w:trPr>
        <w:tc>
          <w:tcPr>
            <w:tcW w:w="1942" w:type="dxa"/>
            <w:tcBorders>
              <w:top w:val="single" w:sz="6" w:space="0" w:color="auto"/>
              <w:left w:val="nil"/>
              <w:bottom w:val="single" w:sz="12" w:space="0" w:color="auto"/>
              <w:right w:val="single" w:sz="6" w:space="0" w:color="auto"/>
            </w:tcBorders>
            <w:vAlign w:val="center"/>
            <w:hideMark/>
          </w:tcPr>
          <w:p w:rsidR="00D46D87" w:rsidRPr="004177AF" w14:paraId="29F7D4AF" w14:textId="49758681">
            <w:pPr>
              <w:autoSpaceDE w:val="0"/>
              <w:autoSpaceDN w:val="0"/>
              <w:adjustRightInd w:val="0"/>
              <w:ind w:left="180"/>
              <w:rPr>
                <w:sz w:val="20"/>
                <w:szCs w:val="20"/>
              </w:rPr>
            </w:pPr>
            <w:r w:rsidRPr="004177AF">
              <w:rPr>
                <w:sz w:val="20"/>
                <w:szCs w:val="20"/>
              </w:rPr>
              <w:t>T</w:t>
            </w:r>
            <w:r w:rsidRPr="004177AF">
              <w:rPr>
                <w:sz w:val="20"/>
                <w:szCs w:val="20"/>
              </w:rPr>
              <w:t>otal</w:t>
            </w:r>
          </w:p>
        </w:tc>
        <w:tc>
          <w:tcPr>
            <w:tcW w:w="2946" w:type="dxa"/>
            <w:tcBorders>
              <w:top w:val="single" w:sz="6" w:space="0" w:color="auto"/>
              <w:left w:val="single" w:sz="6" w:space="0" w:color="auto"/>
              <w:bottom w:val="single" w:sz="12" w:space="0" w:color="auto"/>
              <w:right w:val="single" w:sz="6" w:space="0" w:color="auto"/>
            </w:tcBorders>
          </w:tcPr>
          <w:p w:rsidR="00D46D87" w:rsidRPr="004177AF" w14:paraId="23A700F0" w14:textId="77777777">
            <w:pPr>
              <w:keepNext/>
              <w:autoSpaceDE w:val="0"/>
              <w:autoSpaceDN w:val="0"/>
              <w:adjustRightInd w:val="0"/>
              <w:ind w:left="180"/>
              <w:rPr>
                <w:sz w:val="20"/>
                <w:szCs w:val="20"/>
              </w:rPr>
            </w:pPr>
          </w:p>
        </w:tc>
        <w:tc>
          <w:tcPr>
            <w:tcW w:w="1232" w:type="dxa"/>
            <w:tcBorders>
              <w:top w:val="single" w:sz="6" w:space="0" w:color="auto"/>
              <w:left w:val="single" w:sz="6" w:space="0" w:color="auto"/>
              <w:bottom w:val="single" w:sz="12" w:space="0" w:color="auto"/>
              <w:right w:val="single" w:sz="6" w:space="0" w:color="auto"/>
            </w:tcBorders>
            <w:vAlign w:val="center"/>
            <w:hideMark/>
          </w:tcPr>
          <w:p w:rsidR="00D46D87" w:rsidRPr="004177AF" w14:paraId="58DBB5FA" w14:textId="6C5F18DD">
            <w:pPr>
              <w:autoSpaceDE w:val="0"/>
              <w:autoSpaceDN w:val="0"/>
              <w:adjustRightInd w:val="0"/>
              <w:ind w:left="180"/>
              <w:jc w:val="center"/>
              <w:rPr>
                <w:sz w:val="20"/>
                <w:szCs w:val="20"/>
              </w:rPr>
            </w:pPr>
            <w:r w:rsidRPr="004177AF">
              <w:rPr>
                <w:sz w:val="20"/>
                <w:szCs w:val="20"/>
              </w:rPr>
              <w:t>3,876</w:t>
            </w:r>
          </w:p>
        </w:tc>
        <w:tc>
          <w:tcPr>
            <w:tcW w:w="1424" w:type="dxa"/>
            <w:tcBorders>
              <w:top w:val="single" w:sz="6" w:space="0" w:color="auto"/>
              <w:left w:val="single" w:sz="6" w:space="0" w:color="auto"/>
              <w:bottom w:val="single" w:sz="12" w:space="0" w:color="auto"/>
              <w:right w:val="single" w:sz="6" w:space="0" w:color="auto"/>
            </w:tcBorders>
            <w:vAlign w:val="center"/>
          </w:tcPr>
          <w:p w:rsidR="00D46D87" w:rsidRPr="004177AF" w14:paraId="7FE119E6" w14:textId="77777777">
            <w:pPr>
              <w:autoSpaceDE w:val="0"/>
              <w:autoSpaceDN w:val="0"/>
              <w:adjustRightInd w:val="0"/>
              <w:ind w:left="180"/>
              <w:jc w:val="center"/>
              <w:rPr>
                <w:sz w:val="20"/>
                <w:szCs w:val="20"/>
              </w:rPr>
            </w:pPr>
          </w:p>
        </w:tc>
        <w:tc>
          <w:tcPr>
            <w:tcW w:w="1456" w:type="dxa"/>
            <w:tcBorders>
              <w:top w:val="single" w:sz="6" w:space="0" w:color="auto"/>
              <w:left w:val="single" w:sz="6" w:space="0" w:color="auto"/>
              <w:bottom w:val="single" w:sz="12" w:space="0" w:color="auto"/>
              <w:right w:val="nil"/>
            </w:tcBorders>
            <w:vAlign w:val="center"/>
            <w:hideMark/>
          </w:tcPr>
          <w:p w:rsidR="00D46D87" w:rsidRPr="004177AF" w14:paraId="79AB83D6" w14:textId="17285BFE">
            <w:pPr>
              <w:autoSpaceDE w:val="0"/>
              <w:autoSpaceDN w:val="0"/>
              <w:adjustRightInd w:val="0"/>
              <w:ind w:left="180"/>
              <w:jc w:val="center"/>
              <w:rPr>
                <w:sz w:val="20"/>
                <w:szCs w:val="20"/>
              </w:rPr>
            </w:pPr>
            <w:r>
              <w:rPr>
                <w:sz w:val="20"/>
                <w:szCs w:val="20"/>
              </w:rPr>
              <w:fldChar w:fldCharType="begin"/>
            </w:r>
            <w:r>
              <w:rPr>
                <w:sz w:val="20"/>
                <w:szCs w:val="20"/>
              </w:rPr>
              <w:instrText xml:space="preserve"> =SUM(ABOVE) </w:instrText>
            </w:r>
            <w:r>
              <w:rPr>
                <w:sz w:val="20"/>
                <w:szCs w:val="20"/>
              </w:rPr>
              <w:fldChar w:fldCharType="separate"/>
            </w:r>
            <w:r>
              <w:rPr>
                <w:noProof/>
                <w:sz w:val="20"/>
                <w:szCs w:val="20"/>
              </w:rPr>
              <w:t>$217,133.52</w:t>
            </w:r>
            <w:r>
              <w:rPr>
                <w:sz w:val="20"/>
                <w:szCs w:val="20"/>
              </w:rPr>
              <w:fldChar w:fldCharType="end"/>
            </w:r>
          </w:p>
        </w:tc>
      </w:tr>
    </w:tbl>
    <w:p w:rsidR="00D46D87" w:rsidP="00D46D87" w14:paraId="10741249" w14:textId="77777777">
      <w:pPr>
        <w:autoSpaceDE w:val="0"/>
        <w:autoSpaceDN w:val="0"/>
        <w:adjustRightInd w:val="0"/>
        <w:ind w:left="180" w:firstLine="540"/>
        <w:rPr>
          <w:color w:val="000000"/>
          <w:sz w:val="16"/>
        </w:rPr>
      </w:pPr>
      <w:r>
        <w:rPr>
          <w:color w:val="000000"/>
          <w:sz w:val="16"/>
          <w:vertAlign w:val="superscript"/>
        </w:rPr>
        <w:t>1</w:t>
      </w:r>
      <w:r>
        <w:rPr>
          <w:sz w:val="12"/>
          <w:szCs w:val="20"/>
        </w:rPr>
        <w:t xml:space="preserve"> </w:t>
      </w:r>
      <w:r>
        <w:rPr>
          <w:color w:val="000000"/>
          <w:sz w:val="16"/>
        </w:rPr>
        <w:t>Cost was rounded up to the next dollar.</w:t>
      </w:r>
    </w:p>
    <w:p w:rsidR="00D46D87" w:rsidP="00357C8A" w14:paraId="10744A18" w14:textId="584B273A">
      <w:pPr>
        <w:rPr>
          <w:rFonts w:eastAsia="Calibri"/>
        </w:rPr>
      </w:pPr>
    </w:p>
    <w:p w:rsidR="00D46D87" w:rsidRPr="00357C8A" w:rsidP="00357C8A" w14:paraId="677BF27B" w14:textId="77777777">
      <w:pPr>
        <w:rPr>
          <w:rFonts w:eastAsia="Calibri"/>
        </w:rPr>
      </w:pPr>
    </w:p>
    <w:p w:rsidR="00357C8A" w:rsidRPr="00312410" w:rsidP="00216238" w14:paraId="1A4C954F" w14:textId="77777777">
      <w:pPr>
        <w:pStyle w:val="Heading1"/>
        <w:rPr>
          <w:b/>
          <w:bCs/>
        </w:rPr>
      </w:pPr>
      <w:r w:rsidRPr="00312410">
        <w:rPr>
          <w:b/>
          <w:bCs/>
        </w:rPr>
        <w:t xml:space="preserve">Estimates of Other Total Annual Costs </w:t>
      </w:r>
      <w:r w:rsidRPr="00312410" w:rsidR="00590E90">
        <w:rPr>
          <w:b/>
          <w:bCs/>
        </w:rPr>
        <w:t xml:space="preserve">to Respondents/Recordkeepers or </w:t>
      </w:r>
      <w:r w:rsidRPr="00312410">
        <w:rPr>
          <w:b/>
          <w:bCs/>
        </w:rPr>
        <w:t xml:space="preserve">Capital Costs </w:t>
      </w:r>
    </w:p>
    <w:p w:rsidR="00FA26FA" w:rsidRPr="00FA26FA" w:rsidP="0022425B" w14:paraId="0F68E314" w14:textId="7EBFD322">
      <w:pPr>
        <w:spacing w:after="200" w:line="276" w:lineRule="auto"/>
        <w:rPr>
          <w:rFonts w:eastAsia="Calibri"/>
        </w:rPr>
      </w:pPr>
      <w:r w:rsidRPr="00FA26FA">
        <w:rPr>
          <w:rFonts w:eastAsia="Calibri"/>
        </w:rPr>
        <w:t xml:space="preserve">There </w:t>
      </w:r>
      <w:r w:rsidRPr="00FA26FA">
        <w:rPr>
          <w:rFonts w:eastAsia="Calibri"/>
        </w:rPr>
        <w:t>are</w:t>
      </w:r>
      <w:r w:rsidRPr="00FA26FA">
        <w:rPr>
          <w:rFonts w:eastAsia="Calibri"/>
        </w:rPr>
        <w:t xml:space="preserve"> no capital, start-up, operating, or maintenance costs associated with this information collection.</w:t>
      </w:r>
    </w:p>
    <w:p w:rsidR="00357C8A" w:rsidRPr="00312410" w:rsidP="00216238" w14:paraId="0182B457" w14:textId="77777777">
      <w:pPr>
        <w:pStyle w:val="Heading1"/>
        <w:rPr>
          <w:b/>
          <w:bCs/>
        </w:rPr>
      </w:pPr>
      <w:r w:rsidRPr="00312410">
        <w:rPr>
          <w:b/>
          <w:bCs/>
        </w:rPr>
        <w:t>Annualized Cost to the Federal Government</w:t>
      </w:r>
    </w:p>
    <w:p w:rsidR="00A5382B" w:rsidP="00A5382B" w14:paraId="26C8A03E" w14:textId="025DD706">
      <w:pPr>
        <w:pStyle w:val="BodyText"/>
      </w:pPr>
      <w:r>
        <w:t>The total estimated cost to the Federal Government for this study is $</w:t>
      </w:r>
      <w:r w:rsidR="007D6D0B">
        <w:t>412,740.70</w:t>
      </w:r>
      <w:r>
        <w:t xml:space="preserve"> as shown in Table 3. </w:t>
      </w:r>
      <w:r w:rsidR="00FA26FA">
        <w:t xml:space="preserve">This information collection is funded through a contract </w:t>
      </w:r>
      <w:r w:rsidR="00D8236D">
        <w:t>$</w:t>
      </w:r>
      <w:r w:rsidR="007D6D0B">
        <w:t xml:space="preserve">369,041 </w:t>
      </w:r>
      <w:r w:rsidR="00FA26FA">
        <w:t xml:space="preserve">with RTI. </w:t>
      </w:r>
      <w:r w:rsidRPr="00AD4C50" w:rsidR="00612D05">
        <w:t xml:space="preserve">This includes costs to program the survey, draw the sample, and collect the data. </w:t>
      </w:r>
      <w:r w:rsidR="00FA26FA">
        <w:t xml:space="preserve">There are additional contract-funded activities occurring outside this data collection </w:t>
      </w:r>
      <w:r w:rsidR="00264630">
        <w:t xml:space="preserve">including </w:t>
      </w:r>
      <w:r w:rsidR="00824DA1">
        <w:t>coordination with FDA to develop</w:t>
      </w:r>
      <w:r w:rsidR="0055035C">
        <w:t xml:space="preserve"> the instrument, </w:t>
      </w:r>
      <w:r w:rsidR="00264630">
        <w:t>cognitive interview</w:t>
      </w:r>
      <w:r w:rsidR="00116826">
        <w:t xml:space="preserve"> testing</w:t>
      </w:r>
      <w:r w:rsidR="00D8236D">
        <w:t xml:space="preserve"> of the instrument</w:t>
      </w:r>
      <w:r w:rsidR="00264630">
        <w:t xml:space="preserve"> (i.e., creating materials for and conducting 9 cognitive interviews that are separate from this data collection effort), project management, </w:t>
      </w:r>
      <w:r w:rsidR="00FA26FA">
        <w:t>progress reporting</w:t>
      </w:r>
      <w:r w:rsidR="00A21C28">
        <w:t>, delivering the final data set</w:t>
      </w:r>
      <w:r w:rsidR="007D6D0B">
        <w:t>,</w:t>
      </w:r>
      <w:r w:rsidR="00A21C28">
        <w:t xml:space="preserve"> and producing </w:t>
      </w:r>
      <w:r w:rsidR="00F4392D">
        <w:t>a draft manuscript of study methodology and findings</w:t>
      </w:r>
      <w:r w:rsidR="00FA26FA">
        <w:t>.</w:t>
      </w:r>
      <w:r w:rsidR="000F6B30">
        <w:t xml:space="preserve"> </w:t>
      </w:r>
      <w:r w:rsidR="00CE6A8D">
        <w:t xml:space="preserve">The </w:t>
      </w:r>
      <w:r w:rsidR="000F6B30">
        <w:t>GS-1</w:t>
      </w:r>
      <w:r w:rsidR="00105213">
        <w:t>3</w:t>
      </w:r>
      <w:r w:rsidR="00116B1B">
        <w:t xml:space="preserve"> </w:t>
      </w:r>
      <w:r w:rsidR="00891A40">
        <w:t xml:space="preserve">government personnel </w:t>
      </w:r>
      <w:r w:rsidR="00105213">
        <w:t>oversee</w:t>
      </w:r>
      <w:r w:rsidR="00CE6A8D">
        <w:t xml:space="preserve"> the</w:t>
      </w:r>
      <w:r w:rsidR="00105213">
        <w:t xml:space="preserve"> </w:t>
      </w:r>
      <w:r w:rsidR="005E09C2">
        <w:t>scientific</w:t>
      </w:r>
      <w:r w:rsidR="00105213">
        <w:t xml:space="preserve"> activities </w:t>
      </w:r>
      <w:r w:rsidR="005E09C2">
        <w:t xml:space="preserve">of the </w:t>
      </w:r>
      <w:r w:rsidR="001A430F">
        <w:t>research</w:t>
      </w:r>
      <w:r w:rsidR="005E09C2">
        <w:t xml:space="preserve"> </w:t>
      </w:r>
      <w:r w:rsidR="001A430F">
        <w:t xml:space="preserve">(including </w:t>
      </w:r>
      <w:r w:rsidR="0044720D">
        <w:t xml:space="preserve">study </w:t>
      </w:r>
      <w:r w:rsidR="001A430F">
        <w:t xml:space="preserve">development, implementation, </w:t>
      </w:r>
      <w:r w:rsidR="0044720D">
        <w:t xml:space="preserve">data </w:t>
      </w:r>
      <w:r w:rsidR="00A04404">
        <w:t xml:space="preserve">analysis and reporting) </w:t>
      </w:r>
      <w:r w:rsidR="00105213">
        <w:t>and ensure</w:t>
      </w:r>
      <w:r w:rsidR="0044720D">
        <w:t xml:space="preserve"> activities</w:t>
      </w:r>
      <w:r w:rsidR="00105213">
        <w:t xml:space="preserve"> are aligned with </w:t>
      </w:r>
      <w:r w:rsidR="001A430F">
        <w:t>research</w:t>
      </w:r>
      <w:r w:rsidR="00105213">
        <w:t xml:space="preserve"> priorities are within the scope of work</w:t>
      </w:r>
      <w:r w:rsidR="0044720D">
        <w:t>.</w:t>
      </w:r>
      <w:r w:rsidR="00375E45">
        <w:t xml:space="preserve"> The GS-14</w:t>
      </w:r>
      <w:r w:rsidR="00985528">
        <w:t xml:space="preserve"> personnel supervise and provide additional support to GS-13</w:t>
      </w:r>
      <w:r w:rsidR="004177AF">
        <w:t xml:space="preserve"> government personnel on the project.</w:t>
      </w:r>
    </w:p>
    <w:p w:rsidR="00FA26FA" w:rsidP="00FA26FA" w14:paraId="76AEBE5C" w14:textId="7FCC07CF">
      <w:pPr>
        <w:ind w:left="720"/>
        <w:rPr>
          <w:rFonts w:eastAsiaTheme="minorEastAsia"/>
          <w:b/>
        </w:rPr>
      </w:pPr>
      <w:r>
        <w:rPr>
          <w:b/>
        </w:rPr>
        <w:t>Table</w:t>
      </w:r>
      <w:r>
        <w:rPr>
          <w:b/>
        </w:rPr>
        <w:t xml:space="preserve"> </w:t>
      </w:r>
      <w:r>
        <w:rPr>
          <w:b/>
        </w:rPr>
        <w:t>3</w:t>
      </w:r>
      <w:r>
        <w:rPr>
          <w:b/>
        </w:rPr>
        <w:t>. Itemized Cost to the Federal Government</w:t>
      </w:r>
    </w:p>
    <w:tbl>
      <w:tblPr>
        <w:tblStyle w:val="TableGrid"/>
        <w:tblW w:w="4619" w:type="pct"/>
        <w:tblInd w:w="715" w:type="dxa"/>
        <w:tblCellMar>
          <w:left w:w="115" w:type="dxa"/>
          <w:right w:w="115" w:type="dxa"/>
        </w:tblCellMar>
        <w:tblLook w:val="04A0"/>
      </w:tblPr>
      <w:tblGrid>
        <w:gridCol w:w="2010"/>
        <w:gridCol w:w="2087"/>
        <w:gridCol w:w="2665"/>
        <w:gridCol w:w="2009"/>
      </w:tblGrid>
      <w:tr w14:paraId="302297F8" w14:textId="77777777" w:rsidTr="00FA26FA">
        <w:tblPrEx>
          <w:tblW w:w="4619" w:type="pct"/>
          <w:tblInd w:w="715" w:type="dxa"/>
          <w:tblCellMar>
            <w:left w:w="115" w:type="dxa"/>
            <w:right w:w="115" w:type="dxa"/>
          </w:tblCellMar>
          <w:tblLook w:val="04A0"/>
        </w:tblPrEx>
        <w:trPr>
          <w:trHeight w:val="107"/>
        </w:trPr>
        <w:tc>
          <w:tcPr>
            <w:tcW w:w="114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A26FA" w:rsidRPr="002A2482" w14:paraId="28C9BDA5" w14:textId="77777777">
            <w:pPr>
              <w:pStyle w:val="FigureTitle"/>
              <w:spacing w:before="0" w:after="120"/>
              <w:ind w:hanging="24"/>
              <w:outlineLvl w:val="3"/>
              <w:rPr>
                <w:szCs w:val="24"/>
              </w:rPr>
            </w:pPr>
            <w:r w:rsidRPr="002A2482">
              <w:rPr>
                <w:szCs w:val="24"/>
              </w:rPr>
              <w:t>Government Personnel</w:t>
            </w:r>
          </w:p>
        </w:tc>
        <w:tc>
          <w:tcPr>
            <w:tcW w:w="1190"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A26FA" w:rsidRPr="002A2482" w14:paraId="5E7D1DE9" w14:textId="77777777">
            <w:pPr>
              <w:pStyle w:val="FigureTitle"/>
              <w:spacing w:before="0" w:after="120"/>
              <w:ind w:left="45" w:hanging="52"/>
              <w:outlineLvl w:val="3"/>
              <w:rPr>
                <w:szCs w:val="24"/>
              </w:rPr>
            </w:pPr>
            <w:r w:rsidRPr="002A2482">
              <w:rPr>
                <w:szCs w:val="24"/>
              </w:rPr>
              <w:t>Time Commitment</w:t>
            </w:r>
          </w:p>
        </w:tc>
        <w:tc>
          <w:tcPr>
            <w:tcW w:w="1519"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A26FA" w:rsidRPr="002A2482" w14:paraId="00F14B9D" w14:textId="77777777">
            <w:pPr>
              <w:pStyle w:val="FigureTitle"/>
              <w:spacing w:before="0" w:after="120"/>
              <w:ind w:hanging="13"/>
              <w:outlineLvl w:val="3"/>
              <w:rPr>
                <w:szCs w:val="24"/>
              </w:rPr>
            </w:pPr>
            <w:r w:rsidRPr="002A2482">
              <w:rPr>
                <w:szCs w:val="24"/>
              </w:rPr>
              <w:t>Average Annual Salary</w:t>
            </w:r>
          </w:p>
        </w:tc>
        <w:tc>
          <w:tcPr>
            <w:tcW w:w="1145"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A26FA" w:rsidRPr="002A2482" w14:paraId="43EE82F4" w14:textId="77777777">
            <w:pPr>
              <w:pStyle w:val="FigureTitle"/>
              <w:spacing w:before="0" w:after="120"/>
              <w:ind w:hanging="9"/>
              <w:outlineLvl w:val="3"/>
              <w:rPr>
                <w:szCs w:val="24"/>
              </w:rPr>
            </w:pPr>
            <w:r w:rsidRPr="002A2482">
              <w:rPr>
                <w:szCs w:val="24"/>
              </w:rPr>
              <w:t>Total</w:t>
            </w:r>
          </w:p>
        </w:tc>
      </w:tr>
      <w:tr w14:paraId="203DA109" w14:textId="77777777" w:rsidTr="009C2A9C">
        <w:tblPrEx>
          <w:tblW w:w="4619" w:type="pct"/>
          <w:tblInd w:w="715" w:type="dxa"/>
          <w:tblCellMar>
            <w:left w:w="115" w:type="dxa"/>
            <w:right w:w="115" w:type="dxa"/>
          </w:tblCellMar>
          <w:tblLook w:val="04A0"/>
        </w:tblPrEx>
        <w:trPr>
          <w:trHeight w:val="288"/>
        </w:trPr>
        <w:tc>
          <w:tcPr>
            <w:tcW w:w="1146" w:type="pct"/>
            <w:tcBorders>
              <w:top w:val="single" w:sz="4" w:space="0" w:color="auto"/>
              <w:left w:val="single" w:sz="4" w:space="0" w:color="auto"/>
              <w:bottom w:val="single" w:sz="4" w:space="0" w:color="auto"/>
              <w:right w:val="single" w:sz="4" w:space="0" w:color="auto"/>
            </w:tcBorders>
            <w:shd w:val="clear" w:color="auto" w:fill="auto"/>
            <w:hideMark/>
          </w:tcPr>
          <w:p w:rsidR="00FA26FA" w:rsidRPr="002A2482" w14:paraId="3A2CD56B" w14:textId="2F47BD67">
            <w:pPr>
              <w:pStyle w:val="FigureTitle"/>
              <w:spacing w:before="0" w:after="60"/>
              <w:jc w:val="center"/>
              <w:rPr>
                <w:b w:val="0"/>
                <w:szCs w:val="24"/>
              </w:rPr>
            </w:pPr>
            <w:r w:rsidRPr="002A2482">
              <w:rPr>
                <w:b w:val="0"/>
                <w:bCs/>
                <w:szCs w:val="24"/>
              </w:rPr>
              <w:t>GS</w:t>
            </w:r>
            <w:r w:rsidRPr="002A2482" w:rsidR="00FD641E">
              <w:rPr>
                <w:b w:val="0"/>
                <w:bCs/>
                <w:szCs w:val="24"/>
              </w:rPr>
              <w:t>-</w:t>
            </w:r>
            <w:r w:rsidR="00FD641E">
              <w:rPr>
                <w:b w:val="0"/>
                <w:bCs/>
                <w:szCs w:val="24"/>
              </w:rPr>
              <w:t>13</w:t>
            </w:r>
          </w:p>
        </w:tc>
        <w:tc>
          <w:tcPr>
            <w:tcW w:w="1190" w:type="pct"/>
            <w:tcBorders>
              <w:top w:val="single" w:sz="4" w:space="0" w:color="auto"/>
              <w:left w:val="single" w:sz="4" w:space="0" w:color="auto"/>
              <w:bottom w:val="single" w:sz="4" w:space="0" w:color="auto"/>
              <w:right w:val="single" w:sz="4" w:space="0" w:color="auto"/>
            </w:tcBorders>
            <w:shd w:val="clear" w:color="auto" w:fill="auto"/>
            <w:hideMark/>
          </w:tcPr>
          <w:p w:rsidR="00FA26FA" w:rsidRPr="002A2482" w14:paraId="650438EB" w14:textId="2C2B8594">
            <w:pPr>
              <w:pStyle w:val="FigureTitle"/>
              <w:spacing w:before="0" w:after="60"/>
              <w:jc w:val="center"/>
              <w:rPr>
                <w:b w:val="0"/>
                <w:szCs w:val="24"/>
              </w:rPr>
            </w:pPr>
            <w:r>
              <w:rPr>
                <w:b w:val="0"/>
                <w:bCs/>
                <w:szCs w:val="24"/>
              </w:rPr>
              <w:t>20</w:t>
            </w:r>
            <w:r w:rsidRPr="002A2482">
              <w:rPr>
                <w:b w:val="0"/>
                <w:bCs/>
                <w:szCs w:val="24"/>
              </w:rPr>
              <w:t>%</w:t>
            </w:r>
          </w:p>
        </w:tc>
        <w:tc>
          <w:tcPr>
            <w:tcW w:w="1519" w:type="pct"/>
            <w:tcBorders>
              <w:top w:val="single" w:sz="4" w:space="0" w:color="auto"/>
              <w:left w:val="single" w:sz="4" w:space="0" w:color="auto"/>
              <w:bottom w:val="single" w:sz="4" w:space="0" w:color="auto"/>
              <w:right w:val="single" w:sz="4" w:space="0" w:color="auto"/>
            </w:tcBorders>
            <w:shd w:val="clear" w:color="auto" w:fill="auto"/>
            <w:hideMark/>
          </w:tcPr>
          <w:p w:rsidR="00FA26FA" w:rsidRPr="002A2482" w14:paraId="6E088169" w14:textId="2FF5DEDA">
            <w:pPr>
              <w:pStyle w:val="FigureTitle"/>
              <w:spacing w:before="0" w:after="60"/>
              <w:jc w:val="right"/>
              <w:rPr>
                <w:b w:val="0"/>
                <w:szCs w:val="24"/>
              </w:rPr>
            </w:pPr>
            <w:r w:rsidRPr="002A2482">
              <w:rPr>
                <w:b w:val="0"/>
                <w:bCs/>
                <w:szCs w:val="24"/>
              </w:rPr>
              <w:t>$</w:t>
            </w:r>
            <w:r w:rsidR="00803F5D">
              <w:rPr>
                <w:b w:val="0"/>
                <w:bCs/>
                <w:szCs w:val="24"/>
              </w:rPr>
              <w:t>106</w:t>
            </w:r>
            <w:r w:rsidR="0007500C">
              <w:rPr>
                <w:b w:val="0"/>
                <w:bCs/>
                <w:szCs w:val="24"/>
              </w:rPr>
              <w:t>,823</w:t>
            </w:r>
            <w:r w:rsidR="00351E60">
              <w:rPr>
                <w:b w:val="0"/>
                <w:bCs/>
                <w:szCs w:val="24"/>
              </w:rPr>
              <w:t>*</w:t>
            </w:r>
            <w:r w:rsidRPr="002A2482">
              <w:rPr>
                <w:b w:val="0"/>
                <w:bCs/>
                <w:szCs w:val="24"/>
              </w:rPr>
              <w:t xml:space="preserve"> </w:t>
            </w:r>
          </w:p>
        </w:tc>
        <w:tc>
          <w:tcPr>
            <w:tcW w:w="1145" w:type="pct"/>
            <w:tcBorders>
              <w:top w:val="single" w:sz="4" w:space="0" w:color="auto"/>
              <w:left w:val="single" w:sz="4" w:space="0" w:color="auto"/>
              <w:bottom w:val="single" w:sz="4" w:space="0" w:color="auto"/>
              <w:right w:val="single" w:sz="4" w:space="0" w:color="auto"/>
            </w:tcBorders>
            <w:shd w:val="clear" w:color="auto" w:fill="auto"/>
            <w:hideMark/>
          </w:tcPr>
          <w:p w:rsidR="00FA26FA" w:rsidRPr="002A2482" w14:paraId="57598484" w14:textId="0DDE4F87">
            <w:pPr>
              <w:pStyle w:val="FigureTitle"/>
              <w:spacing w:before="0" w:after="60"/>
              <w:jc w:val="right"/>
              <w:rPr>
                <w:b w:val="0"/>
                <w:szCs w:val="24"/>
              </w:rPr>
            </w:pPr>
            <w:r w:rsidRPr="002A2482">
              <w:rPr>
                <w:b w:val="0"/>
                <w:bCs/>
                <w:szCs w:val="24"/>
              </w:rPr>
              <w:t>$</w:t>
            </w:r>
            <w:r w:rsidRPr="007A47C0" w:rsidR="007A47C0">
              <w:rPr>
                <w:b w:val="0"/>
                <w:bCs/>
                <w:szCs w:val="24"/>
              </w:rPr>
              <w:t>21</w:t>
            </w:r>
            <w:r w:rsidR="00BB2C95">
              <w:rPr>
                <w:b w:val="0"/>
                <w:bCs/>
                <w:szCs w:val="24"/>
              </w:rPr>
              <w:t>,</w:t>
            </w:r>
            <w:r w:rsidRPr="007A47C0" w:rsidR="007A47C0">
              <w:rPr>
                <w:b w:val="0"/>
                <w:bCs/>
                <w:szCs w:val="24"/>
              </w:rPr>
              <w:t>364.6</w:t>
            </w:r>
          </w:p>
        </w:tc>
      </w:tr>
      <w:tr w14:paraId="258F33BE" w14:textId="77777777" w:rsidTr="009C2A9C">
        <w:tblPrEx>
          <w:tblW w:w="4619" w:type="pct"/>
          <w:tblInd w:w="715" w:type="dxa"/>
          <w:tblCellMar>
            <w:left w:w="115" w:type="dxa"/>
            <w:right w:w="115" w:type="dxa"/>
          </w:tblCellMar>
          <w:tblLook w:val="04A0"/>
        </w:tblPrEx>
        <w:trPr>
          <w:trHeight w:val="288"/>
        </w:trPr>
        <w:tc>
          <w:tcPr>
            <w:tcW w:w="1146" w:type="pct"/>
            <w:tcBorders>
              <w:top w:val="single" w:sz="4" w:space="0" w:color="auto"/>
              <w:left w:val="single" w:sz="4" w:space="0" w:color="auto"/>
              <w:bottom w:val="single" w:sz="4" w:space="0" w:color="auto"/>
              <w:right w:val="single" w:sz="4" w:space="0" w:color="auto"/>
            </w:tcBorders>
            <w:shd w:val="clear" w:color="auto" w:fill="auto"/>
          </w:tcPr>
          <w:p w:rsidR="00FA26FA" w:rsidRPr="002A2482" w14:paraId="77578B04" w14:textId="779E5F1E">
            <w:pPr>
              <w:pStyle w:val="FigureTitle"/>
              <w:spacing w:before="0" w:after="60"/>
              <w:jc w:val="center"/>
              <w:rPr>
                <w:b w:val="0"/>
                <w:szCs w:val="24"/>
              </w:rPr>
            </w:pPr>
            <w:r w:rsidRPr="002A2482">
              <w:rPr>
                <w:b w:val="0"/>
                <w:bCs/>
                <w:szCs w:val="24"/>
              </w:rPr>
              <w:t>GS-</w:t>
            </w:r>
            <w:r>
              <w:rPr>
                <w:b w:val="0"/>
                <w:bCs/>
                <w:szCs w:val="24"/>
              </w:rPr>
              <w:t>13</w:t>
            </w:r>
          </w:p>
        </w:tc>
        <w:tc>
          <w:tcPr>
            <w:tcW w:w="1190" w:type="pct"/>
            <w:tcBorders>
              <w:top w:val="single" w:sz="4" w:space="0" w:color="auto"/>
              <w:left w:val="single" w:sz="4" w:space="0" w:color="auto"/>
              <w:bottom w:val="single" w:sz="4" w:space="0" w:color="auto"/>
              <w:right w:val="single" w:sz="4" w:space="0" w:color="auto"/>
            </w:tcBorders>
            <w:shd w:val="clear" w:color="auto" w:fill="auto"/>
          </w:tcPr>
          <w:p w:rsidR="00FA26FA" w:rsidRPr="002A2482" w14:paraId="747D13DB" w14:textId="6C98F39B">
            <w:pPr>
              <w:pStyle w:val="FigureTitle"/>
              <w:spacing w:before="0" w:after="60"/>
              <w:jc w:val="center"/>
              <w:rPr>
                <w:b w:val="0"/>
                <w:szCs w:val="24"/>
              </w:rPr>
            </w:pPr>
            <w:r>
              <w:rPr>
                <w:b w:val="0"/>
                <w:szCs w:val="24"/>
              </w:rPr>
              <w:t>15%</w:t>
            </w:r>
          </w:p>
        </w:tc>
        <w:tc>
          <w:tcPr>
            <w:tcW w:w="1519" w:type="pct"/>
            <w:tcBorders>
              <w:top w:val="single" w:sz="4" w:space="0" w:color="auto"/>
              <w:left w:val="single" w:sz="4" w:space="0" w:color="auto"/>
              <w:bottom w:val="single" w:sz="4" w:space="0" w:color="auto"/>
              <w:right w:val="single" w:sz="4" w:space="0" w:color="auto"/>
            </w:tcBorders>
            <w:shd w:val="clear" w:color="auto" w:fill="auto"/>
          </w:tcPr>
          <w:p w:rsidR="00FA26FA" w:rsidRPr="002A2482" w14:paraId="7D6FBF0D" w14:textId="06731B4E">
            <w:pPr>
              <w:pStyle w:val="FigureTitle"/>
              <w:spacing w:before="0" w:after="60"/>
              <w:jc w:val="right"/>
              <w:rPr>
                <w:b w:val="0"/>
                <w:szCs w:val="24"/>
              </w:rPr>
            </w:pPr>
            <w:r>
              <w:rPr>
                <w:b w:val="0"/>
                <w:szCs w:val="24"/>
              </w:rPr>
              <w:t>$106,823</w:t>
            </w:r>
            <w:r w:rsidR="00351E60">
              <w:rPr>
                <w:b w:val="0"/>
                <w:szCs w:val="24"/>
              </w:rPr>
              <w:t>*</w:t>
            </w:r>
          </w:p>
        </w:tc>
        <w:tc>
          <w:tcPr>
            <w:tcW w:w="1145" w:type="pct"/>
            <w:tcBorders>
              <w:top w:val="single" w:sz="4" w:space="0" w:color="auto"/>
              <w:left w:val="single" w:sz="4" w:space="0" w:color="auto"/>
              <w:bottom w:val="single" w:sz="4" w:space="0" w:color="auto"/>
              <w:right w:val="single" w:sz="4" w:space="0" w:color="auto"/>
            </w:tcBorders>
            <w:shd w:val="clear" w:color="auto" w:fill="auto"/>
          </w:tcPr>
          <w:p w:rsidR="00FA26FA" w:rsidRPr="002A2482" w14:paraId="430157B9" w14:textId="1D601AF6">
            <w:pPr>
              <w:pStyle w:val="FigureTitle"/>
              <w:spacing w:before="0" w:after="60"/>
              <w:jc w:val="right"/>
              <w:rPr>
                <w:b w:val="0"/>
                <w:szCs w:val="24"/>
              </w:rPr>
            </w:pPr>
            <w:r>
              <w:rPr>
                <w:b w:val="0"/>
                <w:szCs w:val="24"/>
              </w:rPr>
              <w:t>$</w:t>
            </w:r>
            <w:r w:rsidRPr="00D42845" w:rsidR="00D42845">
              <w:rPr>
                <w:b w:val="0"/>
                <w:szCs w:val="24"/>
              </w:rPr>
              <w:t>16,023.45</w:t>
            </w:r>
          </w:p>
        </w:tc>
      </w:tr>
      <w:tr w14:paraId="6FA09E0C" w14:textId="77777777" w:rsidTr="009C2A9C">
        <w:tblPrEx>
          <w:tblW w:w="4619" w:type="pct"/>
          <w:tblInd w:w="715" w:type="dxa"/>
          <w:tblCellMar>
            <w:left w:w="115" w:type="dxa"/>
            <w:right w:w="115" w:type="dxa"/>
          </w:tblCellMar>
          <w:tblLook w:val="04A0"/>
        </w:tblPrEx>
        <w:trPr>
          <w:trHeight w:val="288"/>
        </w:trPr>
        <w:tc>
          <w:tcPr>
            <w:tcW w:w="1146" w:type="pct"/>
            <w:tcBorders>
              <w:top w:val="single" w:sz="4" w:space="0" w:color="auto"/>
              <w:left w:val="single" w:sz="4" w:space="0" w:color="auto"/>
              <w:bottom w:val="single" w:sz="4" w:space="0" w:color="auto"/>
              <w:right w:val="single" w:sz="4" w:space="0" w:color="auto"/>
            </w:tcBorders>
            <w:shd w:val="clear" w:color="auto" w:fill="auto"/>
          </w:tcPr>
          <w:p w:rsidR="00803F5D" w:rsidRPr="002A2482" w14:paraId="52890A22" w14:textId="5B9A2FE7">
            <w:pPr>
              <w:pStyle w:val="FigureTitle"/>
              <w:spacing w:before="0" w:after="60"/>
              <w:jc w:val="center"/>
              <w:rPr>
                <w:b w:val="0"/>
                <w:bCs/>
                <w:szCs w:val="24"/>
              </w:rPr>
            </w:pPr>
            <w:r>
              <w:rPr>
                <w:b w:val="0"/>
                <w:bCs/>
                <w:szCs w:val="24"/>
              </w:rPr>
              <w:t>GS-14</w:t>
            </w:r>
          </w:p>
        </w:tc>
        <w:tc>
          <w:tcPr>
            <w:tcW w:w="1190" w:type="pct"/>
            <w:tcBorders>
              <w:top w:val="single" w:sz="4" w:space="0" w:color="auto"/>
              <w:left w:val="single" w:sz="4" w:space="0" w:color="auto"/>
              <w:bottom w:val="single" w:sz="4" w:space="0" w:color="auto"/>
              <w:right w:val="single" w:sz="4" w:space="0" w:color="auto"/>
            </w:tcBorders>
            <w:shd w:val="clear" w:color="auto" w:fill="auto"/>
          </w:tcPr>
          <w:p w:rsidR="00803F5D" w14:paraId="6E569C21" w14:textId="5B328ADC">
            <w:pPr>
              <w:pStyle w:val="FigureTitle"/>
              <w:spacing w:before="0" w:after="60"/>
              <w:jc w:val="center"/>
              <w:rPr>
                <w:b w:val="0"/>
                <w:szCs w:val="24"/>
              </w:rPr>
            </w:pPr>
            <w:r>
              <w:rPr>
                <w:b w:val="0"/>
                <w:szCs w:val="24"/>
              </w:rPr>
              <w:t>5%</w:t>
            </w:r>
          </w:p>
        </w:tc>
        <w:tc>
          <w:tcPr>
            <w:tcW w:w="1519" w:type="pct"/>
            <w:tcBorders>
              <w:top w:val="single" w:sz="4" w:space="0" w:color="auto"/>
              <w:left w:val="single" w:sz="4" w:space="0" w:color="auto"/>
              <w:bottom w:val="single" w:sz="4" w:space="0" w:color="auto"/>
              <w:right w:val="single" w:sz="4" w:space="0" w:color="auto"/>
            </w:tcBorders>
            <w:shd w:val="clear" w:color="auto" w:fill="auto"/>
          </w:tcPr>
          <w:p w:rsidR="00803F5D" w:rsidRPr="002A2482" w14:paraId="0BB09FC5" w14:textId="08EB251A">
            <w:pPr>
              <w:pStyle w:val="FigureTitle"/>
              <w:spacing w:before="0" w:after="60"/>
              <w:jc w:val="right"/>
              <w:rPr>
                <w:b w:val="0"/>
                <w:szCs w:val="24"/>
              </w:rPr>
            </w:pPr>
            <w:r>
              <w:rPr>
                <w:b w:val="0"/>
                <w:szCs w:val="24"/>
              </w:rPr>
              <w:t>$126,233</w:t>
            </w:r>
            <w:r w:rsidR="00351E60">
              <w:rPr>
                <w:b w:val="0"/>
                <w:szCs w:val="24"/>
              </w:rPr>
              <w:t>*</w:t>
            </w:r>
          </w:p>
        </w:tc>
        <w:tc>
          <w:tcPr>
            <w:tcW w:w="1145" w:type="pct"/>
            <w:tcBorders>
              <w:top w:val="single" w:sz="4" w:space="0" w:color="auto"/>
              <w:left w:val="single" w:sz="4" w:space="0" w:color="auto"/>
              <w:bottom w:val="single" w:sz="4" w:space="0" w:color="auto"/>
              <w:right w:val="single" w:sz="4" w:space="0" w:color="auto"/>
            </w:tcBorders>
            <w:shd w:val="clear" w:color="auto" w:fill="auto"/>
          </w:tcPr>
          <w:p w:rsidR="00803F5D" w:rsidRPr="002A2482" w14:paraId="11EDECC3" w14:textId="0AF7180D">
            <w:pPr>
              <w:pStyle w:val="FigureTitle"/>
              <w:spacing w:before="0" w:after="60"/>
              <w:jc w:val="right"/>
              <w:rPr>
                <w:b w:val="0"/>
                <w:szCs w:val="24"/>
              </w:rPr>
            </w:pPr>
            <w:r>
              <w:rPr>
                <w:b w:val="0"/>
                <w:szCs w:val="24"/>
              </w:rPr>
              <w:t>$</w:t>
            </w:r>
            <w:r w:rsidRPr="00BB2C95">
              <w:rPr>
                <w:b w:val="0"/>
                <w:szCs w:val="24"/>
              </w:rPr>
              <w:t>6,311.65</w:t>
            </w:r>
          </w:p>
        </w:tc>
      </w:tr>
      <w:tr w14:paraId="09E33D24" w14:textId="77777777" w:rsidTr="009C2A9C">
        <w:tblPrEx>
          <w:tblW w:w="4619" w:type="pct"/>
          <w:tblInd w:w="715" w:type="dxa"/>
          <w:tblCellMar>
            <w:left w:w="115" w:type="dxa"/>
            <w:right w:w="115" w:type="dxa"/>
          </w:tblCellMar>
          <w:tblLook w:val="04A0"/>
        </w:tblPrEx>
        <w:trPr>
          <w:trHeight w:val="288"/>
        </w:trPr>
        <w:tc>
          <w:tcPr>
            <w:tcW w:w="1146" w:type="pct"/>
            <w:tcBorders>
              <w:top w:val="single" w:sz="4" w:space="0" w:color="auto"/>
              <w:left w:val="single" w:sz="4" w:space="0" w:color="auto"/>
              <w:bottom w:val="single" w:sz="4" w:space="0" w:color="auto"/>
              <w:right w:val="single" w:sz="4" w:space="0" w:color="auto"/>
            </w:tcBorders>
            <w:shd w:val="clear" w:color="auto" w:fill="auto"/>
          </w:tcPr>
          <w:p w:rsidR="00BB2C95" w:rsidRPr="002A2482" w14:paraId="78683A5C" w14:textId="77777777">
            <w:pPr>
              <w:pStyle w:val="FigureTitle"/>
              <w:spacing w:before="0" w:after="60"/>
              <w:ind w:left="360"/>
              <w:rPr>
                <w:b w:val="0"/>
                <w:szCs w:val="24"/>
              </w:rPr>
            </w:pPr>
          </w:p>
        </w:tc>
        <w:tc>
          <w:tcPr>
            <w:tcW w:w="1190" w:type="pct"/>
            <w:tcBorders>
              <w:top w:val="single" w:sz="4" w:space="0" w:color="auto"/>
              <w:left w:val="single" w:sz="4" w:space="0" w:color="auto"/>
              <w:bottom w:val="single" w:sz="4" w:space="0" w:color="auto"/>
              <w:right w:val="single" w:sz="4" w:space="0" w:color="auto"/>
            </w:tcBorders>
            <w:shd w:val="clear" w:color="auto" w:fill="auto"/>
          </w:tcPr>
          <w:p w:rsidR="00BB2C95" w:rsidRPr="002A2482" w14:paraId="5193D70E" w14:textId="77777777">
            <w:pPr>
              <w:pStyle w:val="FigureTitle"/>
              <w:spacing w:before="0" w:after="60"/>
              <w:ind w:left="360"/>
              <w:rPr>
                <w:b w:val="0"/>
                <w:szCs w:val="24"/>
              </w:rPr>
            </w:pPr>
          </w:p>
        </w:tc>
        <w:tc>
          <w:tcPr>
            <w:tcW w:w="1519" w:type="pct"/>
            <w:tcBorders>
              <w:top w:val="single" w:sz="4" w:space="0" w:color="auto"/>
              <w:left w:val="single" w:sz="4" w:space="0" w:color="auto"/>
              <w:bottom w:val="single" w:sz="4" w:space="0" w:color="auto"/>
              <w:right w:val="single" w:sz="4" w:space="0" w:color="auto"/>
            </w:tcBorders>
            <w:shd w:val="clear" w:color="auto" w:fill="auto"/>
          </w:tcPr>
          <w:p w:rsidR="00BB2C95" w:rsidRPr="002A2482" w14:paraId="2FAE02D6" w14:textId="77777777">
            <w:pPr>
              <w:pStyle w:val="FigureTitle"/>
              <w:spacing w:before="0" w:after="60"/>
              <w:jc w:val="right"/>
              <w:rPr>
                <w:szCs w:val="24"/>
              </w:rPr>
            </w:pPr>
          </w:p>
        </w:tc>
        <w:tc>
          <w:tcPr>
            <w:tcW w:w="1145" w:type="pct"/>
            <w:tcBorders>
              <w:top w:val="single" w:sz="4" w:space="0" w:color="auto"/>
              <w:left w:val="single" w:sz="4" w:space="0" w:color="auto"/>
              <w:bottom w:val="single" w:sz="4" w:space="0" w:color="auto"/>
              <w:right w:val="single" w:sz="4" w:space="0" w:color="auto"/>
            </w:tcBorders>
            <w:shd w:val="clear" w:color="auto" w:fill="auto"/>
          </w:tcPr>
          <w:p w:rsidR="00BB2C95" w:rsidRPr="002A2482" w14:paraId="41AFA1E9" w14:textId="77777777">
            <w:pPr>
              <w:pStyle w:val="FigureTitle"/>
              <w:spacing w:before="0" w:after="60"/>
              <w:jc w:val="right"/>
              <w:rPr>
                <w:b w:val="0"/>
                <w:szCs w:val="24"/>
              </w:rPr>
            </w:pPr>
          </w:p>
        </w:tc>
      </w:tr>
      <w:tr w14:paraId="22B0BB74" w14:textId="77777777" w:rsidTr="009C2A9C">
        <w:tblPrEx>
          <w:tblW w:w="4619" w:type="pct"/>
          <w:tblInd w:w="715" w:type="dxa"/>
          <w:tblCellMar>
            <w:left w:w="115" w:type="dxa"/>
            <w:right w:w="115" w:type="dxa"/>
          </w:tblCellMar>
          <w:tblLook w:val="04A0"/>
        </w:tblPrEx>
        <w:trPr>
          <w:trHeight w:val="288"/>
        </w:trPr>
        <w:tc>
          <w:tcPr>
            <w:tcW w:w="1146" w:type="pct"/>
            <w:tcBorders>
              <w:top w:val="single" w:sz="4" w:space="0" w:color="auto"/>
              <w:left w:val="single" w:sz="4" w:space="0" w:color="auto"/>
              <w:bottom w:val="single" w:sz="4" w:space="0" w:color="auto"/>
              <w:right w:val="single" w:sz="4" w:space="0" w:color="auto"/>
            </w:tcBorders>
            <w:shd w:val="clear" w:color="auto" w:fill="auto"/>
          </w:tcPr>
          <w:p w:rsidR="00FA26FA" w:rsidRPr="002A2482" w14:paraId="01C0CA35" w14:textId="77777777">
            <w:pPr>
              <w:pStyle w:val="FigureTitle"/>
              <w:spacing w:before="0" w:after="60"/>
              <w:ind w:left="360"/>
              <w:rPr>
                <w:b w:val="0"/>
                <w:szCs w:val="24"/>
              </w:rPr>
            </w:pPr>
          </w:p>
        </w:tc>
        <w:tc>
          <w:tcPr>
            <w:tcW w:w="1190" w:type="pct"/>
            <w:tcBorders>
              <w:top w:val="single" w:sz="4" w:space="0" w:color="auto"/>
              <w:left w:val="single" w:sz="4" w:space="0" w:color="auto"/>
              <w:bottom w:val="single" w:sz="4" w:space="0" w:color="auto"/>
              <w:right w:val="single" w:sz="4" w:space="0" w:color="auto"/>
            </w:tcBorders>
            <w:shd w:val="clear" w:color="auto" w:fill="auto"/>
          </w:tcPr>
          <w:p w:rsidR="00FA26FA" w:rsidRPr="002A2482" w14:paraId="5C19FFFC" w14:textId="77777777">
            <w:pPr>
              <w:pStyle w:val="FigureTitle"/>
              <w:spacing w:before="0" w:after="60"/>
              <w:ind w:left="360"/>
              <w:rPr>
                <w:b w:val="0"/>
                <w:szCs w:val="24"/>
              </w:rPr>
            </w:pPr>
          </w:p>
        </w:tc>
        <w:tc>
          <w:tcPr>
            <w:tcW w:w="1519" w:type="pct"/>
            <w:tcBorders>
              <w:top w:val="single" w:sz="4" w:space="0" w:color="auto"/>
              <w:left w:val="single" w:sz="4" w:space="0" w:color="auto"/>
              <w:bottom w:val="single" w:sz="4" w:space="0" w:color="auto"/>
              <w:right w:val="single" w:sz="4" w:space="0" w:color="auto"/>
            </w:tcBorders>
            <w:shd w:val="clear" w:color="auto" w:fill="auto"/>
            <w:hideMark/>
          </w:tcPr>
          <w:p w:rsidR="00FA26FA" w:rsidRPr="002A2482" w14:paraId="6C7E513F" w14:textId="77777777">
            <w:pPr>
              <w:pStyle w:val="FigureTitle"/>
              <w:spacing w:before="0" w:after="60"/>
              <w:jc w:val="right"/>
              <w:rPr>
                <w:szCs w:val="24"/>
              </w:rPr>
            </w:pPr>
            <w:r w:rsidRPr="002A2482">
              <w:rPr>
                <w:szCs w:val="24"/>
              </w:rPr>
              <w:t>Total Salary Costs</w:t>
            </w:r>
          </w:p>
        </w:tc>
        <w:tc>
          <w:tcPr>
            <w:tcW w:w="1145" w:type="pct"/>
            <w:tcBorders>
              <w:top w:val="single" w:sz="4" w:space="0" w:color="auto"/>
              <w:left w:val="single" w:sz="4" w:space="0" w:color="auto"/>
              <w:bottom w:val="single" w:sz="4" w:space="0" w:color="auto"/>
              <w:right w:val="single" w:sz="4" w:space="0" w:color="auto"/>
            </w:tcBorders>
            <w:shd w:val="clear" w:color="auto" w:fill="auto"/>
            <w:hideMark/>
          </w:tcPr>
          <w:p w:rsidR="00FA26FA" w:rsidRPr="002A2482" w14:paraId="44FFC18B" w14:textId="48F1411A">
            <w:pPr>
              <w:pStyle w:val="FigureTitle"/>
              <w:spacing w:before="0" w:after="60"/>
              <w:jc w:val="right"/>
              <w:rPr>
                <w:b w:val="0"/>
                <w:szCs w:val="24"/>
              </w:rPr>
            </w:pPr>
            <w:r>
              <w:rPr>
                <w:b w:val="0"/>
                <w:szCs w:val="24"/>
              </w:rPr>
              <w:fldChar w:fldCharType="begin"/>
            </w:r>
            <w:r>
              <w:rPr>
                <w:b w:val="0"/>
                <w:szCs w:val="24"/>
              </w:rPr>
              <w:instrText xml:space="preserve"> =SUM(ABOVE) </w:instrText>
            </w:r>
            <w:r>
              <w:rPr>
                <w:b w:val="0"/>
                <w:szCs w:val="24"/>
              </w:rPr>
              <w:fldChar w:fldCharType="separate"/>
            </w:r>
            <w:r>
              <w:rPr>
                <w:b w:val="0"/>
                <w:noProof/>
                <w:szCs w:val="24"/>
              </w:rPr>
              <w:t>$43,699.70</w:t>
            </w:r>
            <w:r>
              <w:rPr>
                <w:b w:val="0"/>
                <w:szCs w:val="24"/>
              </w:rPr>
              <w:fldChar w:fldCharType="end"/>
            </w:r>
          </w:p>
        </w:tc>
      </w:tr>
      <w:tr w14:paraId="072BF95F" w14:textId="77777777" w:rsidTr="009C2A9C">
        <w:tblPrEx>
          <w:tblW w:w="4619" w:type="pct"/>
          <w:tblInd w:w="715" w:type="dxa"/>
          <w:tblCellMar>
            <w:left w:w="115" w:type="dxa"/>
            <w:right w:w="115" w:type="dxa"/>
          </w:tblCellMar>
          <w:tblLook w:val="04A0"/>
        </w:tblPrEx>
        <w:trPr>
          <w:trHeight w:val="288"/>
        </w:trPr>
        <w:tc>
          <w:tcPr>
            <w:tcW w:w="3855" w:type="pct"/>
            <w:gridSpan w:val="3"/>
            <w:tcBorders>
              <w:top w:val="single" w:sz="4" w:space="0" w:color="auto"/>
              <w:left w:val="single" w:sz="4" w:space="0" w:color="auto"/>
              <w:bottom w:val="single" w:sz="4" w:space="0" w:color="auto"/>
              <w:right w:val="single" w:sz="4" w:space="0" w:color="auto"/>
            </w:tcBorders>
            <w:shd w:val="clear" w:color="auto" w:fill="auto"/>
            <w:hideMark/>
          </w:tcPr>
          <w:p w:rsidR="00FA26FA" w:rsidRPr="002A2482" w14:paraId="71140F54" w14:textId="77777777">
            <w:pPr>
              <w:pStyle w:val="FigureTitle"/>
              <w:spacing w:before="0" w:after="60"/>
              <w:jc w:val="right"/>
              <w:rPr>
                <w:szCs w:val="24"/>
              </w:rPr>
            </w:pPr>
            <w:r w:rsidRPr="002A2482">
              <w:rPr>
                <w:szCs w:val="24"/>
              </w:rPr>
              <w:t>Contract Cost</w:t>
            </w:r>
          </w:p>
        </w:tc>
        <w:tc>
          <w:tcPr>
            <w:tcW w:w="1145" w:type="pct"/>
            <w:tcBorders>
              <w:top w:val="single" w:sz="4" w:space="0" w:color="auto"/>
              <w:left w:val="single" w:sz="4" w:space="0" w:color="auto"/>
              <w:bottom w:val="single" w:sz="4" w:space="0" w:color="auto"/>
              <w:right w:val="single" w:sz="4" w:space="0" w:color="auto"/>
            </w:tcBorders>
            <w:shd w:val="clear" w:color="auto" w:fill="auto"/>
            <w:hideMark/>
          </w:tcPr>
          <w:p w:rsidR="00FA26FA" w:rsidRPr="002A2482" w14:paraId="299D0094" w14:textId="2E5751FC">
            <w:pPr>
              <w:pStyle w:val="FigureTitle"/>
              <w:spacing w:before="0" w:after="60"/>
              <w:jc w:val="right"/>
              <w:rPr>
                <w:b w:val="0"/>
                <w:szCs w:val="24"/>
              </w:rPr>
            </w:pPr>
            <w:r>
              <w:rPr>
                <w:b w:val="0"/>
                <w:szCs w:val="24"/>
              </w:rPr>
              <w:t>$369,</w:t>
            </w:r>
            <w:r w:rsidR="00264630">
              <w:rPr>
                <w:b w:val="0"/>
                <w:szCs w:val="24"/>
              </w:rPr>
              <w:t xml:space="preserve">041 </w:t>
            </w:r>
          </w:p>
        </w:tc>
      </w:tr>
      <w:tr w14:paraId="7617F319" w14:textId="77777777" w:rsidTr="009C2A9C">
        <w:tblPrEx>
          <w:tblW w:w="4619" w:type="pct"/>
          <w:tblInd w:w="715" w:type="dxa"/>
          <w:tblCellMar>
            <w:left w:w="115" w:type="dxa"/>
            <w:right w:w="115" w:type="dxa"/>
          </w:tblCellMar>
          <w:tblLook w:val="04A0"/>
        </w:tblPrEx>
        <w:trPr>
          <w:trHeight w:val="288"/>
        </w:trPr>
        <w:tc>
          <w:tcPr>
            <w:tcW w:w="3855" w:type="pct"/>
            <w:gridSpan w:val="3"/>
            <w:tcBorders>
              <w:top w:val="single" w:sz="4" w:space="0" w:color="auto"/>
              <w:left w:val="single" w:sz="4" w:space="0" w:color="auto"/>
              <w:bottom w:val="single" w:sz="4" w:space="0" w:color="auto"/>
              <w:right w:val="single" w:sz="4" w:space="0" w:color="auto"/>
            </w:tcBorders>
            <w:shd w:val="clear" w:color="auto" w:fill="auto"/>
            <w:hideMark/>
          </w:tcPr>
          <w:p w:rsidR="00FA26FA" w:rsidRPr="002A2482" w14:paraId="3D0A6F8E" w14:textId="77777777">
            <w:pPr>
              <w:pStyle w:val="FigureTitle"/>
              <w:spacing w:before="0" w:after="60"/>
              <w:jc w:val="right"/>
              <w:rPr>
                <w:szCs w:val="24"/>
              </w:rPr>
            </w:pPr>
            <w:r w:rsidRPr="002A2482">
              <w:rPr>
                <w:szCs w:val="24"/>
              </w:rPr>
              <w:t>Total</w:t>
            </w:r>
          </w:p>
        </w:tc>
        <w:tc>
          <w:tcPr>
            <w:tcW w:w="1145" w:type="pct"/>
            <w:tcBorders>
              <w:top w:val="single" w:sz="4" w:space="0" w:color="auto"/>
              <w:left w:val="single" w:sz="4" w:space="0" w:color="auto"/>
              <w:bottom w:val="single" w:sz="4" w:space="0" w:color="auto"/>
              <w:right w:val="single" w:sz="4" w:space="0" w:color="auto"/>
            </w:tcBorders>
            <w:shd w:val="clear" w:color="auto" w:fill="auto"/>
            <w:hideMark/>
          </w:tcPr>
          <w:p w:rsidR="00FA26FA" w14:paraId="54665D59" w14:textId="07578CB6">
            <w:pPr>
              <w:pStyle w:val="FigureTitle"/>
              <w:spacing w:before="0" w:after="60"/>
              <w:jc w:val="right"/>
              <w:rPr>
                <w:szCs w:val="24"/>
              </w:rPr>
            </w:pPr>
            <w:r w:rsidRPr="002A2482">
              <w:rPr>
                <w:szCs w:val="24"/>
              </w:rPr>
              <w:t>$</w:t>
            </w:r>
            <w:r w:rsidR="00E11A68">
              <w:rPr>
                <w:szCs w:val="24"/>
              </w:rPr>
              <w:t>412,740.70</w:t>
            </w:r>
          </w:p>
        </w:tc>
      </w:tr>
    </w:tbl>
    <w:p w:rsidR="005A0501" w:rsidRPr="00FF4D37" w:rsidP="005A0501" w14:paraId="0F31F84A" w14:textId="03FB09C8">
      <w:pPr>
        <w:spacing w:after="200"/>
        <w:ind w:left="720"/>
        <w:rPr>
          <w:color w:val="242424"/>
          <w:sz w:val="22"/>
          <w:szCs w:val="22"/>
          <w:shd w:val="clear" w:color="auto" w:fill="FFFFFF"/>
        </w:rPr>
      </w:pPr>
      <w:r w:rsidRPr="00FF4D37">
        <w:rPr>
          <w:rFonts w:eastAsia="Calibri"/>
          <w:sz w:val="22"/>
          <w:szCs w:val="22"/>
        </w:rPr>
        <w:t>*</w:t>
      </w:r>
      <w:r w:rsidRPr="00FF4D37" w:rsidR="00516E87">
        <w:rPr>
          <w:color w:val="242424"/>
          <w:sz w:val="22"/>
          <w:szCs w:val="22"/>
          <w:shd w:val="clear" w:color="auto" w:fill="FFFFFF"/>
        </w:rPr>
        <w:t xml:space="preserve"> This reflects basis salary and wage data for the Washington DC-Metropolitan area found at </w:t>
      </w:r>
      <w:hyperlink r:id="rId12" w:tgtFrame="_blank" w:tooltip="https://www.opm.gov/" w:history="1">
        <w:r w:rsidRPr="00FF4D37" w:rsidR="00516E87">
          <w:rPr>
            <w:rStyle w:val="Hyperlink"/>
            <w:color w:val="5B5FC7"/>
            <w:sz w:val="22"/>
            <w:szCs w:val="22"/>
            <w:shd w:val="clear" w:color="auto" w:fill="FFFFFF"/>
          </w:rPr>
          <w:t>www.opm.gov</w:t>
        </w:r>
      </w:hyperlink>
      <w:r w:rsidRPr="00FF4D37" w:rsidR="00516E87">
        <w:rPr>
          <w:color w:val="242424"/>
          <w:sz w:val="22"/>
          <w:szCs w:val="22"/>
          <w:shd w:val="clear" w:color="auto" w:fill="FFFFFF"/>
        </w:rPr>
        <w:t xml:space="preserve"> for </w:t>
      </w:r>
      <w:r w:rsidRPr="00FF4D37" w:rsidR="00771820">
        <w:rPr>
          <w:color w:val="242424"/>
          <w:sz w:val="22"/>
          <w:szCs w:val="22"/>
          <w:shd w:val="clear" w:color="auto" w:fill="FFFFFF"/>
        </w:rPr>
        <w:t>GS-13</w:t>
      </w:r>
      <w:r w:rsidRPr="00FF4D37" w:rsidR="000F6B30">
        <w:rPr>
          <w:color w:val="242424"/>
          <w:sz w:val="22"/>
          <w:szCs w:val="22"/>
          <w:shd w:val="clear" w:color="auto" w:fill="FFFFFF"/>
        </w:rPr>
        <w:t xml:space="preserve"> and </w:t>
      </w:r>
      <w:r w:rsidRPr="00FF4D37" w:rsidR="005E09C2">
        <w:rPr>
          <w:color w:val="242424"/>
          <w:sz w:val="22"/>
          <w:szCs w:val="22"/>
          <w:shd w:val="clear" w:color="auto" w:fill="FFFFFF"/>
        </w:rPr>
        <w:t>GS-</w:t>
      </w:r>
      <w:r w:rsidRPr="00FF4D37" w:rsidR="000F6B30">
        <w:rPr>
          <w:color w:val="242424"/>
          <w:sz w:val="22"/>
          <w:szCs w:val="22"/>
          <w:shd w:val="clear" w:color="auto" w:fill="FFFFFF"/>
        </w:rPr>
        <w:t>1</w:t>
      </w:r>
      <w:r w:rsidRPr="00FF4D37" w:rsidR="00771820">
        <w:rPr>
          <w:color w:val="242424"/>
          <w:sz w:val="22"/>
          <w:szCs w:val="22"/>
          <w:shd w:val="clear" w:color="auto" w:fill="FFFFFF"/>
        </w:rPr>
        <w:t>4</w:t>
      </w:r>
      <w:r w:rsidRPr="00FF4D37" w:rsidR="002E1F97">
        <w:rPr>
          <w:color w:val="242424"/>
          <w:sz w:val="22"/>
          <w:szCs w:val="22"/>
          <w:shd w:val="clear" w:color="auto" w:fill="FFFFFF"/>
        </w:rPr>
        <w:t xml:space="preserve"> employees</w:t>
      </w:r>
    </w:p>
    <w:p w:rsidR="00357C8A" w:rsidRPr="00312410" w:rsidP="00216238" w14:paraId="4CFEFA08" w14:textId="77777777">
      <w:pPr>
        <w:pStyle w:val="Heading1"/>
        <w:rPr>
          <w:b/>
          <w:bCs/>
        </w:rPr>
      </w:pPr>
      <w:r w:rsidRPr="00312410">
        <w:rPr>
          <w:b/>
          <w:bCs/>
        </w:rPr>
        <w:t>Explanation for Program Changes or Adjustments*</w:t>
      </w:r>
    </w:p>
    <w:p w:rsidR="0062064A" w:rsidRPr="0062064A" w:rsidP="00357C8A" w14:paraId="24744404" w14:textId="6FC3A719">
      <w:pPr>
        <w:spacing w:after="200"/>
        <w:rPr>
          <w:rFonts w:eastAsia="Calibri"/>
        </w:rPr>
      </w:pPr>
      <w:r w:rsidRPr="0062064A">
        <w:rPr>
          <w:rFonts w:eastAsia="Calibri"/>
        </w:rPr>
        <w:t>This is a new data collection.</w:t>
      </w:r>
    </w:p>
    <w:p w:rsidR="00357C8A" w:rsidRPr="00312410" w:rsidP="00216238" w14:paraId="000086E2" w14:textId="77777777">
      <w:pPr>
        <w:pStyle w:val="Heading1"/>
        <w:rPr>
          <w:b/>
          <w:bCs/>
        </w:rPr>
      </w:pPr>
      <w:r w:rsidRPr="00312410">
        <w:rPr>
          <w:b/>
          <w:bCs/>
        </w:rPr>
        <w:t>Plans for Tabulation and Publication and Project Time Schedule</w:t>
      </w:r>
    </w:p>
    <w:p w:rsidR="00216238" w:rsidRPr="00216238" w:rsidP="00216238" w14:paraId="7E07AD48" w14:textId="4CE16B73">
      <w:pPr>
        <w:spacing w:after="240"/>
      </w:pPr>
      <w:bookmarkStart w:id="17" w:name="_Hlk1463631"/>
      <w:r w:rsidRPr="00216238">
        <w:t>Analyses will</w:t>
      </w:r>
      <w:r>
        <w:t xml:space="preserve"> examine </w:t>
      </w:r>
      <w:r w:rsidRPr="00216238">
        <w:t>sample characteristics, prevalence of use of ENDS device types, prevalence of engaging in practices that increase or decrease the risk of experiencing O/F/E incidents, prevalence and contextual details of O/F/E incidents, and demographic and behavioral correlates of having experienced O/F/E.</w:t>
      </w:r>
      <w:bookmarkStart w:id="18" w:name="_Hlk1464086"/>
      <w:r>
        <w:t xml:space="preserve"> </w:t>
      </w:r>
      <w:r w:rsidRPr="00216238">
        <w:rPr>
          <w:rFonts w:eastAsia="Calibri"/>
        </w:rPr>
        <w:t xml:space="preserve">Findings from these analyses will be used to inform FDA CTP </w:t>
      </w:r>
      <w:bookmarkEnd w:id="17"/>
      <w:bookmarkEnd w:id="18"/>
      <w:r>
        <w:rPr>
          <w:rFonts w:eastAsia="Calibri"/>
        </w:rPr>
        <w:t>strategies for protecting</w:t>
      </w:r>
      <w:r w:rsidRPr="00216238">
        <w:rPr>
          <w:rFonts w:eastAsia="Calibri"/>
        </w:rPr>
        <w:t xml:space="preserve"> ENDS users against O/F/E incidents.</w:t>
      </w:r>
    </w:p>
    <w:p w:rsidR="00216238" w:rsidRPr="00216238" w:rsidP="00216238" w14:paraId="078FA4B6" w14:textId="77777777">
      <w:pPr>
        <w:spacing w:before="100" w:beforeAutospacing="1" w:after="240"/>
        <w:rPr>
          <w:rFonts w:eastAsia="Calibri"/>
          <w:u w:val="single"/>
        </w:rPr>
      </w:pPr>
      <w:r w:rsidRPr="00216238">
        <w:rPr>
          <w:rFonts w:eastAsia="Calibri"/>
          <w:u w:val="single"/>
        </w:rPr>
        <w:t>Reporting</w:t>
      </w:r>
    </w:p>
    <w:p w:rsidR="00216238" w:rsidRPr="00216238" w:rsidP="00216238" w14:paraId="2CAE9B62" w14:textId="71924B86">
      <w:pPr>
        <w:spacing w:after="240"/>
        <w:rPr>
          <w:rFonts w:eastAsia="Calibri"/>
        </w:rPr>
      </w:pPr>
      <w:r w:rsidRPr="00216238">
        <w:rPr>
          <w:rFonts w:eastAsia="Calibri"/>
        </w:rPr>
        <w:t xml:space="preserve">The reporting and dissemination mechanism will consist of two primary components: 1) a comprehensive report summarizing findings from this information collection, and 2) a manuscript summarizing findings. The key events and reports to be prepared are listed in </w:t>
      </w:r>
      <w:r w:rsidR="00E043CE">
        <w:rPr>
          <w:rFonts w:eastAsia="Calibri"/>
        </w:rPr>
        <w:t>Table 4.</w:t>
      </w:r>
    </w:p>
    <w:p w:rsidR="00216238" w:rsidRPr="00216238" w:rsidP="00216238" w14:paraId="418BBA18" w14:textId="7528E79E">
      <w:pPr>
        <w:spacing w:before="100" w:beforeAutospacing="1" w:after="120"/>
        <w:ind w:left="720"/>
        <w:rPr>
          <w:rFonts w:eastAsia="Calibri"/>
        </w:rPr>
      </w:pPr>
      <w:bookmarkStart w:id="19" w:name="_Toc66689102"/>
      <w:bookmarkStart w:id="20" w:name="_Toc140476560"/>
      <w:bookmarkStart w:id="21" w:name="_Toc216595340"/>
      <w:bookmarkStart w:id="22" w:name="_Toc361824172"/>
      <w:r>
        <w:rPr>
          <w:rFonts w:eastAsia="Calibri"/>
          <w:b/>
        </w:rPr>
        <w:t>Ta</w:t>
      </w:r>
      <w:r w:rsidRPr="00E043CE">
        <w:rPr>
          <w:rFonts w:eastAsia="Calibri"/>
          <w:b/>
        </w:rPr>
        <w:t>ble 4</w:t>
      </w:r>
      <w:r w:rsidRPr="00E043CE">
        <w:rPr>
          <w:rFonts w:eastAsia="Calibri"/>
          <w:b/>
        </w:rPr>
        <w:t>.</w:t>
      </w:r>
      <w:bookmarkEnd w:id="19"/>
      <w:bookmarkEnd w:id="20"/>
      <w:bookmarkEnd w:id="21"/>
      <w:r w:rsidRPr="00E043CE">
        <w:rPr>
          <w:rFonts w:eastAsia="Calibri"/>
          <w:b/>
        </w:rPr>
        <w:t xml:space="preserve"> Project</w:t>
      </w:r>
      <w:r w:rsidRPr="00216238">
        <w:rPr>
          <w:rFonts w:eastAsia="Calibri"/>
          <w:b/>
        </w:rPr>
        <w:t xml:space="preserve"> Schedule</w:t>
      </w:r>
      <w:bookmarkEnd w:id="22"/>
      <w:r>
        <w:rPr>
          <w:rFonts w:eastAsia="Calibri"/>
          <w:b/>
        </w:rPr>
        <w:t xml:space="preserve"> (Approximate)</w:t>
      </w:r>
    </w:p>
    <w:tbl>
      <w:tblPr>
        <w:tblStyle w:val="TableGrid"/>
        <w:tblW w:w="7905" w:type="dxa"/>
        <w:tblInd w:w="715" w:type="dxa"/>
        <w:tblLayout w:type="fixed"/>
        <w:tblLook w:val="01E0"/>
      </w:tblPr>
      <w:tblGrid>
        <w:gridCol w:w="2970"/>
        <w:gridCol w:w="4935"/>
      </w:tblGrid>
      <w:tr w14:paraId="5868DBB0" w14:textId="77777777" w:rsidTr="3FE068A0">
        <w:tblPrEx>
          <w:tblW w:w="7905" w:type="dxa"/>
          <w:tblInd w:w="715" w:type="dxa"/>
          <w:tblLayout w:type="fixed"/>
          <w:tblLook w:val="01E0"/>
        </w:tblPrEx>
        <w:tc>
          <w:tcPr>
            <w:tcW w:w="297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16238" w:rsidRPr="00952E62" w:rsidP="00216238" w14:paraId="286F0D1A" w14:textId="77777777">
            <w:pPr>
              <w:rPr>
                <w:rFonts w:eastAsia="Calibri"/>
                <w:b/>
              </w:rPr>
            </w:pPr>
            <w:r w:rsidRPr="00952E62">
              <w:rPr>
                <w:rFonts w:eastAsia="Calibri"/>
                <w:b/>
              </w:rPr>
              <w:t>Project Activity</w:t>
            </w:r>
          </w:p>
        </w:tc>
        <w:tc>
          <w:tcPr>
            <w:tcW w:w="493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16238" w:rsidRPr="00952E62" w:rsidP="00216238" w14:paraId="475664E1" w14:textId="77777777">
            <w:pPr>
              <w:rPr>
                <w:rFonts w:eastAsia="Calibri"/>
                <w:b/>
              </w:rPr>
            </w:pPr>
            <w:r w:rsidRPr="00952E62">
              <w:rPr>
                <w:rFonts w:eastAsia="Calibri"/>
                <w:b/>
              </w:rPr>
              <w:t>Date</w:t>
            </w:r>
          </w:p>
        </w:tc>
      </w:tr>
      <w:tr w14:paraId="7937FCB9" w14:textId="77777777" w:rsidTr="00216238">
        <w:tblPrEx>
          <w:tblW w:w="7905" w:type="dxa"/>
          <w:tblInd w:w="715" w:type="dxa"/>
          <w:tblLayout w:type="fixed"/>
          <w:tblLook w:val="01E0"/>
        </w:tblPrEx>
        <w:tc>
          <w:tcPr>
            <w:tcW w:w="2970" w:type="dxa"/>
            <w:tcBorders>
              <w:top w:val="single" w:sz="4" w:space="0" w:color="auto"/>
              <w:left w:val="single" w:sz="4" w:space="0" w:color="auto"/>
              <w:bottom w:val="single" w:sz="4" w:space="0" w:color="auto"/>
              <w:right w:val="single" w:sz="4" w:space="0" w:color="auto"/>
            </w:tcBorders>
            <w:hideMark/>
          </w:tcPr>
          <w:p w:rsidR="00216238" w:rsidRPr="00952E62" w:rsidP="00216238" w14:paraId="49C0C182" w14:textId="0A45F4F7">
            <w:pPr>
              <w:rPr>
                <w:rFonts w:eastAsia="Calibri"/>
              </w:rPr>
            </w:pPr>
            <w:r w:rsidRPr="00952E62">
              <w:rPr>
                <w:rFonts w:eastAsia="Calibri"/>
              </w:rPr>
              <w:t>Survey</w:t>
            </w:r>
            <w:r w:rsidR="00952E62">
              <w:rPr>
                <w:rFonts w:eastAsia="Calibri"/>
              </w:rPr>
              <w:t xml:space="preserve"> data collection</w:t>
            </w:r>
          </w:p>
        </w:tc>
        <w:tc>
          <w:tcPr>
            <w:tcW w:w="4935" w:type="dxa"/>
            <w:tcBorders>
              <w:top w:val="single" w:sz="4" w:space="0" w:color="auto"/>
              <w:left w:val="single" w:sz="4" w:space="0" w:color="auto"/>
              <w:bottom w:val="single" w:sz="4" w:space="0" w:color="auto"/>
              <w:right w:val="single" w:sz="4" w:space="0" w:color="auto"/>
            </w:tcBorders>
            <w:hideMark/>
          </w:tcPr>
          <w:p w:rsidR="00216238" w:rsidRPr="00952E62" w:rsidP="00216238" w14:paraId="02CC7883" w14:textId="1DF6EAB6">
            <w:pPr>
              <w:rPr>
                <w:rFonts w:eastAsia="Calibri"/>
              </w:rPr>
            </w:pPr>
            <w:r w:rsidRPr="3FE068A0">
              <w:rPr>
                <w:rFonts w:eastAsia="Calibri"/>
              </w:rPr>
              <w:t xml:space="preserve">January </w:t>
            </w:r>
            <w:r w:rsidR="007C6400">
              <w:rPr>
                <w:rFonts w:eastAsia="Calibri"/>
              </w:rPr>
              <w:t>2023</w:t>
            </w:r>
            <w:r w:rsidRPr="00952E62">
              <w:rPr>
                <w:rFonts w:eastAsia="Calibri"/>
              </w:rPr>
              <w:t xml:space="preserve"> </w:t>
            </w:r>
          </w:p>
        </w:tc>
      </w:tr>
      <w:tr w14:paraId="4B3D17AF" w14:textId="77777777" w:rsidTr="00216238">
        <w:tblPrEx>
          <w:tblW w:w="7905" w:type="dxa"/>
          <w:tblInd w:w="715" w:type="dxa"/>
          <w:tblLayout w:type="fixed"/>
          <w:tblLook w:val="01E0"/>
        </w:tblPrEx>
        <w:tc>
          <w:tcPr>
            <w:tcW w:w="2970" w:type="dxa"/>
            <w:tcBorders>
              <w:top w:val="single" w:sz="4" w:space="0" w:color="auto"/>
              <w:left w:val="single" w:sz="4" w:space="0" w:color="auto"/>
              <w:bottom w:val="single" w:sz="4" w:space="0" w:color="auto"/>
              <w:right w:val="single" w:sz="4" w:space="0" w:color="auto"/>
            </w:tcBorders>
            <w:hideMark/>
          </w:tcPr>
          <w:p w:rsidR="00216238" w:rsidRPr="00952E62" w:rsidP="00216238" w14:paraId="73E73BD1" w14:textId="77777777">
            <w:pPr>
              <w:rPr>
                <w:rFonts w:eastAsia="Calibri"/>
              </w:rPr>
            </w:pPr>
            <w:r w:rsidRPr="00952E62">
              <w:rPr>
                <w:rFonts w:eastAsia="Calibri"/>
              </w:rPr>
              <w:t>Data analysis</w:t>
            </w:r>
          </w:p>
        </w:tc>
        <w:tc>
          <w:tcPr>
            <w:tcW w:w="4935" w:type="dxa"/>
            <w:tcBorders>
              <w:top w:val="single" w:sz="4" w:space="0" w:color="auto"/>
              <w:left w:val="single" w:sz="4" w:space="0" w:color="auto"/>
              <w:bottom w:val="single" w:sz="4" w:space="0" w:color="auto"/>
              <w:right w:val="single" w:sz="4" w:space="0" w:color="auto"/>
            </w:tcBorders>
            <w:hideMark/>
          </w:tcPr>
          <w:p w:rsidR="00216238" w:rsidRPr="00952E62" w:rsidP="00216238" w14:paraId="08EEC660" w14:textId="51D9A9E3">
            <w:pPr>
              <w:rPr>
                <w:rFonts w:eastAsia="Calibri"/>
              </w:rPr>
            </w:pPr>
            <w:r w:rsidRPr="3FE068A0">
              <w:rPr>
                <w:rFonts w:eastAsia="Calibri"/>
              </w:rPr>
              <w:t xml:space="preserve">February </w:t>
            </w:r>
            <w:r w:rsidR="007C6400">
              <w:rPr>
                <w:rFonts w:eastAsia="Calibri"/>
              </w:rPr>
              <w:t>2023</w:t>
            </w:r>
          </w:p>
        </w:tc>
      </w:tr>
      <w:tr w14:paraId="1ADB75AD" w14:textId="77777777" w:rsidTr="00216238">
        <w:tblPrEx>
          <w:tblW w:w="7905" w:type="dxa"/>
          <w:tblInd w:w="715" w:type="dxa"/>
          <w:tblLayout w:type="fixed"/>
          <w:tblLook w:val="01E0"/>
        </w:tblPrEx>
        <w:tc>
          <w:tcPr>
            <w:tcW w:w="2970" w:type="dxa"/>
            <w:tcBorders>
              <w:top w:val="single" w:sz="4" w:space="0" w:color="auto"/>
              <w:left w:val="single" w:sz="4" w:space="0" w:color="auto"/>
              <w:bottom w:val="single" w:sz="4" w:space="0" w:color="auto"/>
              <w:right w:val="single" w:sz="4" w:space="0" w:color="auto"/>
            </w:tcBorders>
            <w:hideMark/>
          </w:tcPr>
          <w:p w:rsidR="00216238" w:rsidRPr="00952E62" w:rsidP="00216238" w14:paraId="01C26101" w14:textId="7E6E38D9">
            <w:pPr>
              <w:rPr>
                <w:rFonts w:eastAsia="Calibri"/>
              </w:rPr>
            </w:pPr>
            <w:r w:rsidRPr="00952E62">
              <w:rPr>
                <w:rFonts w:eastAsia="Calibri"/>
              </w:rPr>
              <w:t xml:space="preserve">Report </w:t>
            </w:r>
            <w:r w:rsidR="00952E62">
              <w:rPr>
                <w:rFonts w:eastAsia="Calibri"/>
              </w:rPr>
              <w:t>and manuscript w</w:t>
            </w:r>
            <w:r w:rsidRPr="00952E62">
              <w:rPr>
                <w:rFonts w:eastAsia="Calibri"/>
              </w:rPr>
              <w:t xml:space="preserve">riting and </w:t>
            </w:r>
            <w:r w:rsidR="00952E62">
              <w:rPr>
                <w:rFonts w:eastAsia="Calibri"/>
              </w:rPr>
              <w:t>d</w:t>
            </w:r>
            <w:r w:rsidRPr="00952E62">
              <w:rPr>
                <w:rFonts w:eastAsia="Calibri"/>
              </w:rPr>
              <w:t>issemination</w:t>
            </w:r>
          </w:p>
        </w:tc>
        <w:tc>
          <w:tcPr>
            <w:tcW w:w="4935" w:type="dxa"/>
            <w:tcBorders>
              <w:top w:val="single" w:sz="4" w:space="0" w:color="auto"/>
              <w:left w:val="single" w:sz="4" w:space="0" w:color="auto"/>
              <w:bottom w:val="single" w:sz="4" w:space="0" w:color="auto"/>
              <w:right w:val="single" w:sz="4" w:space="0" w:color="auto"/>
            </w:tcBorders>
            <w:hideMark/>
          </w:tcPr>
          <w:p w:rsidR="00216238" w:rsidRPr="00952E62" w:rsidP="00216238" w14:paraId="19102155" w14:textId="7D1F949B">
            <w:pPr>
              <w:rPr>
                <w:rFonts w:eastAsia="Calibri"/>
              </w:rPr>
            </w:pPr>
            <w:r w:rsidRPr="3FE068A0">
              <w:rPr>
                <w:rFonts w:eastAsia="Calibri"/>
              </w:rPr>
              <w:t xml:space="preserve">March </w:t>
            </w:r>
            <w:r w:rsidR="007C6400">
              <w:rPr>
                <w:rFonts w:eastAsia="Calibri"/>
              </w:rPr>
              <w:t>2023</w:t>
            </w:r>
          </w:p>
        </w:tc>
      </w:tr>
    </w:tbl>
    <w:p w:rsidR="0062064A" w:rsidRPr="00357C8A" w:rsidP="00357C8A" w14:paraId="75C008D8" w14:textId="77777777">
      <w:pPr>
        <w:spacing w:after="200"/>
        <w:rPr>
          <w:rFonts w:eastAsia="Calibri"/>
          <w:color w:val="FF0000"/>
        </w:rPr>
      </w:pPr>
    </w:p>
    <w:p w:rsidR="00357C8A" w:rsidRPr="00312410" w:rsidP="00216238" w14:paraId="6BA6B247" w14:textId="77777777">
      <w:pPr>
        <w:pStyle w:val="Heading1"/>
        <w:rPr>
          <w:b/>
          <w:bCs/>
        </w:rPr>
      </w:pPr>
      <w:r w:rsidRPr="00312410">
        <w:rPr>
          <w:b/>
          <w:bCs/>
        </w:rPr>
        <w:t>Reason(s) Display of OMB Expiration Date is Inappropriate</w:t>
      </w:r>
    </w:p>
    <w:p w:rsidR="005E4114" w:rsidP="00357C8A" w14:paraId="6B5A236C" w14:textId="3275FBAB">
      <w:pPr>
        <w:spacing w:after="200"/>
        <w:rPr>
          <w:rFonts w:eastAsia="Calibri"/>
        </w:rPr>
      </w:pPr>
      <w:r w:rsidRPr="0062064A">
        <w:rPr>
          <w:rFonts w:eastAsia="Calibri"/>
        </w:rPr>
        <w:t>All data collection instruments will display the expiration date for OMB approval of the information collection.</w:t>
      </w:r>
    </w:p>
    <w:p w:rsidR="005E4114" w14:paraId="7344A62F" w14:textId="77777777">
      <w:pPr>
        <w:rPr>
          <w:rFonts w:eastAsia="Calibri"/>
        </w:rPr>
      </w:pPr>
      <w:r>
        <w:rPr>
          <w:rFonts w:eastAsia="Calibri"/>
        </w:rPr>
        <w:br w:type="page"/>
      </w:r>
    </w:p>
    <w:p w:rsidR="0062064A" w:rsidRPr="0062064A" w:rsidP="00357C8A" w14:paraId="04F1271B" w14:textId="77777777">
      <w:pPr>
        <w:spacing w:after="200"/>
        <w:rPr>
          <w:rFonts w:eastAsia="Calibri"/>
        </w:rPr>
      </w:pPr>
    </w:p>
    <w:p w:rsidR="00357C8A" w:rsidRPr="00312410" w:rsidP="00216238" w14:paraId="5183C62E" w14:textId="77777777">
      <w:pPr>
        <w:pStyle w:val="Heading1"/>
        <w:rPr>
          <w:b/>
          <w:bCs/>
        </w:rPr>
      </w:pPr>
      <w:r w:rsidRPr="00312410">
        <w:rPr>
          <w:b/>
          <w:bCs/>
        </w:rPr>
        <w:t>Exceptions to Certification for Paperwork Reduction Act Submissions</w:t>
      </w:r>
    </w:p>
    <w:p w:rsidR="009D3538" w:rsidRPr="005E4114" w:rsidP="005E4114" w14:paraId="69084F0B" w14:textId="2BA85BD3">
      <w:pPr>
        <w:spacing w:after="200"/>
        <w:rPr>
          <w:rFonts w:eastAsia="Calibri"/>
        </w:rPr>
      </w:pPr>
      <w:r w:rsidRPr="0062064A">
        <w:rPr>
          <w:rFonts w:eastAsia="Calibri"/>
        </w:rPr>
        <w:t>These information collection activities involve no exception to the Certification for Paperwork Reduction Act Submissions.</w:t>
      </w:r>
    </w:p>
    <w:p w:rsidR="009D3538" w:rsidP="009D3538" w14:paraId="7ECD4663" w14:textId="77777777">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heme="minorHAnsi" w:cstheme="minorBidi"/>
          <w:b/>
          <w:u w:val="single"/>
        </w:rPr>
      </w:pPr>
      <w:bookmarkStart w:id="23" w:name="_Hlk98841078"/>
      <w:r>
        <w:rPr>
          <w:b/>
          <w:u w:val="single"/>
        </w:rPr>
        <w:t>References</w:t>
      </w:r>
    </w:p>
    <w:p w:rsidR="009D3538" w:rsidP="009D3538" w14:paraId="24124BA9" w14:textId="77777777">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D3538" w:rsidRPr="001709C3" w:rsidP="00FF4D37" w14:paraId="6B190E92" w14:textId="7DD4D032">
      <w:pPr>
        <w:pStyle w:val="ListParagraph"/>
        <w:numPr>
          <w:ilvl w:val="0"/>
          <w:numId w:val="24"/>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24E07">
        <w:t xml:space="preserve">Abreu, D. A., &amp; Winters, F. (1999). Using monetary incentives to reduce attrition in the survey of income and program participation. </w:t>
      </w:r>
      <w:r w:rsidRPr="001709C3">
        <w:rPr>
          <w:i/>
        </w:rPr>
        <w:t xml:space="preserve">Proceedings of the Survey Research Methods Section </w:t>
      </w:r>
      <w:r w:rsidRPr="001709C3">
        <w:t>(pp. 533-538).</w:t>
      </w:r>
    </w:p>
    <w:p w:rsidR="005A0501" w:rsidRPr="00F753CD" w:rsidP="005A0501" w14:paraId="4F434DD8" w14:textId="417E665C">
      <w:pPr>
        <w:pStyle w:val="ListParagraph"/>
        <w:numPr>
          <w:ilvl w:val="0"/>
          <w:numId w:val="24"/>
        </w:numPr>
        <w:shd w:val="clear" w:color="auto" w:fill="FFFFFF"/>
        <w:contextualSpacing/>
        <w:rPr>
          <w:color w:val="212121"/>
          <w:shd w:val="clear" w:color="auto" w:fill="FFFFFF"/>
        </w:rPr>
      </w:pPr>
      <w:r w:rsidRPr="001709C3">
        <w:rPr>
          <w:color w:val="212121"/>
          <w:shd w:val="clear" w:color="auto" w:fill="FFFFFF"/>
        </w:rPr>
        <w:t>Buchting</w:t>
      </w:r>
      <w:r w:rsidRPr="001709C3">
        <w:rPr>
          <w:color w:val="212121"/>
          <w:shd w:val="clear" w:color="auto" w:fill="FFFFFF"/>
        </w:rPr>
        <w:t xml:space="preserve"> FO, Emory KT, Scout, Kim Y, Fagan P, Vera LE, Emery S. Transgender Use of Cigarettes, Cigars, and E-Cigarettes in a National Study. Am J </w:t>
      </w:r>
      <w:r w:rsidRPr="001709C3">
        <w:rPr>
          <w:color w:val="212121"/>
          <w:shd w:val="clear" w:color="auto" w:fill="FFFFFF"/>
        </w:rPr>
        <w:t>Prev</w:t>
      </w:r>
      <w:r w:rsidRPr="001709C3">
        <w:rPr>
          <w:color w:val="212121"/>
          <w:shd w:val="clear" w:color="auto" w:fill="FFFFFF"/>
        </w:rPr>
        <w:t xml:space="preserve"> Med. 2017 Jul;53(1</w:t>
      </w:r>
      <w:r w:rsidRPr="001709C3">
        <w:rPr>
          <w:color w:val="212121"/>
          <w:shd w:val="clear" w:color="auto" w:fill="FFFFFF"/>
        </w:rPr>
        <w:t>):e</w:t>
      </w:r>
      <w:r w:rsidRPr="001709C3">
        <w:rPr>
          <w:color w:val="212121"/>
          <w:shd w:val="clear" w:color="auto" w:fill="FFFFFF"/>
        </w:rPr>
        <w:t xml:space="preserve">1-e7. </w:t>
      </w:r>
      <w:r w:rsidRPr="001709C3">
        <w:rPr>
          <w:color w:val="212121"/>
          <w:shd w:val="clear" w:color="auto" w:fill="FFFFFF"/>
        </w:rPr>
        <w:t>doi</w:t>
      </w:r>
      <w:r w:rsidRPr="001709C3">
        <w:rPr>
          <w:color w:val="212121"/>
          <w:shd w:val="clear" w:color="auto" w:fill="FFFFFF"/>
        </w:rPr>
        <w:t xml:space="preserve">: 10.1016/j.amepre.2016.11.022. </w:t>
      </w:r>
      <w:r w:rsidRPr="001709C3">
        <w:rPr>
          <w:color w:val="212121"/>
          <w:shd w:val="clear" w:color="auto" w:fill="FFFFFF"/>
        </w:rPr>
        <w:t>Epub</w:t>
      </w:r>
      <w:r w:rsidRPr="001709C3">
        <w:rPr>
          <w:color w:val="212121"/>
          <w:shd w:val="clear" w:color="auto" w:fill="FFFFFF"/>
        </w:rPr>
        <w:t xml:space="preserve"> 2017 Jan 13. PMID: 28094133; PMCID: PMC5478444</w:t>
      </w:r>
      <w:r w:rsidRPr="00F753CD">
        <w:rPr>
          <w:color w:val="212121"/>
          <w:shd w:val="clear" w:color="auto" w:fill="FFFFFF"/>
        </w:rPr>
        <w:t>Cantrell J, Hair EC, Smith A, et al. Recruiting and retaining youth and young adults: challenges and opportunities in survey research for tobacco control. </w:t>
      </w:r>
      <w:r w:rsidRPr="00F753CD">
        <w:rPr>
          <w:i/>
          <w:iCs/>
          <w:color w:val="212121"/>
          <w:shd w:val="clear" w:color="auto" w:fill="FFFFFF"/>
        </w:rPr>
        <w:t>Tob</w:t>
      </w:r>
      <w:r w:rsidRPr="00F753CD">
        <w:rPr>
          <w:i/>
          <w:iCs/>
          <w:color w:val="212121"/>
          <w:shd w:val="clear" w:color="auto" w:fill="FFFFFF"/>
        </w:rPr>
        <w:t xml:space="preserve"> Control</w:t>
      </w:r>
      <w:r w:rsidRPr="00F753CD">
        <w:rPr>
          <w:color w:val="212121"/>
          <w:shd w:val="clear" w:color="auto" w:fill="FFFFFF"/>
        </w:rPr>
        <w:t>. 2018;27(2):147-154. doi:10.1136/tobaccocontrol-2016-053504</w:t>
      </w:r>
    </w:p>
    <w:p w:rsidR="009D3538" w:rsidRPr="001709C3" w:rsidP="00FF4D37" w14:paraId="180B092D" w14:textId="6843FC4E">
      <w:pPr>
        <w:pStyle w:val="ListParagraph"/>
        <w:numPr>
          <w:ilvl w:val="0"/>
          <w:numId w:val="24"/>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709C3">
        <w:t xml:space="preserve">Castiglioni, L., </w:t>
      </w:r>
      <w:r w:rsidRPr="001709C3">
        <w:t>Pforr</w:t>
      </w:r>
      <w:r w:rsidRPr="001709C3">
        <w:t xml:space="preserve">, K., &amp; Krieger, U. (2008, December). The effect of incentives on response rates and panel attrition: Results of a controlled experiment. </w:t>
      </w:r>
      <w:r w:rsidRPr="001709C3">
        <w:rPr>
          <w:i/>
        </w:rPr>
        <w:t>Survey Research Methods (</w:t>
      </w:r>
      <w:r w:rsidRPr="001709C3">
        <w:t>Vol. 2, No. 3, pp. 151-158).</w:t>
      </w:r>
    </w:p>
    <w:p w:rsidR="00175332" w:rsidRPr="001709C3" w:rsidP="00FF4D37" w14:paraId="0FA25DCB" w14:textId="13333D24">
      <w:pPr>
        <w:pStyle w:val="ListParagraph"/>
        <w:numPr>
          <w:ilvl w:val="0"/>
          <w:numId w:val="24"/>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bookmarkStart w:id="24" w:name="_Hlk112161800"/>
      <w:r w:rsidRPr="001709C3">
        <w:t xml:space="preserve">Consumer Product Safety Commission. National Electronic Injury Surveillance System (NEISS) 2002-2021 on NEISS Online Database, released </w:t>
      </w:r>
      <w:r w:rsidRPr="001709C3">
        <w:t>April,</w:t>
      </w:r>
      <w:r w:rsidRPr="001709C3">
        <w:t xml:space="preserve"> 2022. Generated at </w:t>
      </w:r>
      <w:hyperlink r:id="rId13" w:history="1">
        <w:r w:rsidRPr="001709C3">
          <w:rPr>
            <w:rStyle w:val="Hyperlink"/>
          </w:rPr>
          <w:t>https://www.cpsc.gov/cgibin/NEISSQuery/home.aspx</w:t>
        </w:r>
      </w:hyperlink>
      <w:bookmarkEnd w:id="24"/>
    </w:p>
    <w:p w:rsidR="005A0501" w:rsidRPr="000C6A54" w:rsidP="005A0501" w14:paraId="55021EBA" w14:textId="77777777">
      <w:pPr>
        <w:pStyle w:val="ListParagraph"/>
        <w:numPr>
          <w:ilvl w:val="0"/>
          <w:numId w:val="24"/>
        </w:numPr>
        <w:spacing w:line="259" w:lineRule="auto"/>
        <w:contextualSpacing/>
        <w:rPr>
          <w:color w:val="000000"/>
        </w:rPr>
      </w:pPr>
      <w:r w:rsidRPr="000C6A54">
        <w:rPr>
          <w:color w:val="000000"/>
        </w:rPr>
        <w:t xml:space="preserve">Cornelius ME, </w:t>
      </w:r>
      <w:r w:rsidRPr="000C6A54">
        <w:rPr>
          <w:color w:val="000000"/>
        </w:rPr>
        <w:t>Loretan</w:t>
      </w:r>
      <w:r w:rsidRPr="000C6A54">
        <w:rPr>
          <w:color w:val="000000"/>
        </w:rPr>
        <w:t xml:space="preserve"> CG, Wang TW, Jamal A, </w:t>
      </w:r>
      <w:r w:rsidRPr="000C6A54">
        <w:rPr>
          <w:color w:val="000000"/>
        </w:rPr>
        <w:t>Homa</w:t>
      </w:r>
      <w:r w:rsidRPr="000C6A54">
        <w:rPr>
          <w:color w:val="000000"/>
        </w:rPr>
        <w:t xml:space="preserve"> DM. Tobacco Product Use Among Adults - United States, 2020. MMWR </w:t>
      </w:r>
      <w:r w:rsidRPr="000C6A54">
        <w:rPr>
          <w:color w:val="000000"/>
        </w:rPr>
        <w:t>Morb</w:t>
      </w:r>
      <w:r w:rsidRPr="000C6A54">
        <w:rPr>
          <w:color w:val="000000"/>
        </w:rPr>
        <w:t xml:space="preserve"> Mortal </w:t>
      </w:r>
      <w:r w:rsidRPr="000C6A54">
        <w:rPr>
          <w:color w:val="000000"/>
        </w:rPr>
        <w:t>Wkly</w:t>
      </w:r>
      <w:r w:rsidRPr="000C6A54">
        <w:rPr>
          <w:color w:val="000000"/>
        </w:rPr>
        <w:t xml:space="preserve"> Rep. 2022;71(11):397-405.</w:t>
      </w:r>
    </w:p>
    <w:p w:rsidR="005A0501" w:rsidRPr="001709C3" w:rsidP="005A0501" w14:paraId="11C07EE4" w14:textId="77777777">
      <w:pPr>
        <w:pStyle w:val="ListParagraph"/>
        <w:numPr>
          <w:ilvl w:val="0"/>
          <w:numId w:val="24"/>
        </w:numPr>
      </w:pPr>
      <w:r w:rsidRPr="001709C3">
        <w:t xml:space="preserve">Emory K, Kim Y, </w:t>
      </w:r>
      <w:r w:rsidRPr="001709C3">
        <w:t>Buchting</w:t>
      </w:r>
      <w:r w:rsidRPr="001709C3">
        <w:t xml:space="preserve"> F, et al. Intragroup variance in lesbian, gay, and bisexual tobacco use behaviors: evidence that subgroups matter, notably bisexual women. Nicotine </w:t>
      </w:r>
      <w:r w:rsidRPr="001709C3">
        <w:t>Tob</w:t>
      </w:r>
      <w:r w:rsidRPr="001709C3">
        <w:t xml:space="preserve"> Res. 2016;18(6):1494–1501. </w:t>
      </w:r>
      <w:hyperlink r:id="rId14" w:history="1">
        <w:r w:rsidRPr="001709C3">
          <w:rPr>
            <w:rStyle w:val="Hyperlink"/>
          </w:rPr>
          <w:t>http://dx.doi.org/10.1093/ntr/ntv208</w:t>
        </w:r>
      </w:hyperlink>
      <w:r w:rsidRPr="00C24E07">
        <w:t>.</w:t>
      </w:r>
    </w:p>
    <w:p w:rsidR="005A0501" w:rsidRPr="004E4CCE" w:rsidP="005A0501" w14:paraId="0CA9590F" w14:textId="77777777">
      <w:pPr>
        <w:pStyle w:val="ListParagraph"/>
        <w:numPr>
          <w:ilvl w:val="0"/>
          <w:numId w:val="24"/>
        </w:numPr>
        <w:shd w:val="clear" w:color="auto" w:fill="FFFFFF"/>
        <w:contextualSpacing/>
        <w:rPr>
          <w:color w:val="242424"/>
        </w:rPr>
      </w:pPr>
      <w:r w:rsidRPr="004E4CCE">
        <w:rPr>
          <w:color w:val="242424"/>
        </w:rPr>
        <w:t xml:space="preserve">Gelinas L, Largent EA, Cohen IG, </w:t>
      </w:r>
      <w:r w:rsidRPr="004E4CCE">
        <w:rPr>
          <w:color w:val="242424"/>
        </w:rPr>
        <w:t>Kornetsky</w:t>
      </w:r>
      <w:r w:rsidRPr="004E4CCE">
        <w:rPr>
          <w:color w:val="242424"/>
        </w:rPr>
        <w:t xml:space="preserve"> S, </w:t>
      </w:r>
      <w:r w:rsidRPr="004E4CCE">
        <w:rPr>
          <w:color w:val="242424"/>
        </w:rPr>
        <w:t>Bierer</w:t>
      </w:r>
      <w:r w:rsidRPr="004E4CCE">
        <w:rPr>
          <w:color w:val="242424"/>
        </w:rPr>
        <w:t xml:space="preserve"> BE, Fernandez Lynch H. A Framework for Ethical Payment to Research Participants. N </w:t>
      </w:r>
      <w:r w:rsidRPr="004E4CCE">
        <w:rPr>
          <w:color w:val="242424"/>
        </w:rPr>
        <w:t>Engl</w:t>
      </w:r>
      <w:r w:rsidRPr="004E4CCE">
        <w:rPr>
          <w:color w:val="242424"/>
        </w:rPr>
        <w:t xml:space="preserve"> J Med. 2018;378(8):766-771. doi:10.1056/NEJMsb1710591</w:t>
      </w:r>
    </w:p>
    <w:p w:rsidR="005A0501" w:rsidRPr="00D158DA" w:rsidP="005A0501" w14:paraId="4602B877" w14:textId="77777777">
      <w:pPr>
        <w:pStyle w:val="ListParagraph"/>
        <w:numPr>
          <w:ilvl w:val="0"/>
          <w:numId w:val="24"/>
        </w:numPr>
        <w:shd w:val="clear" w:color="auto" w:fill="FFFFFF"/>
        <w:contextualSpacing/>
        <w:rPr>
          <w:color w:val="242424"/>
        </w:rPr>
      </w:pPr>
      <w:r w:rsidRPr="00D158DA">
        <w:rPr>
          <w:color w:val="242424"/>
        </w:rPr>
        <w:t xml:space="preserve">Halpern, SD., </w:t>
      </w:r>
      <w:r w:rsidRPr="00D158DA">
        <w:rPr>
          <w:color w:val="242424"/>
        </w:rPr>
        <w:t>Karlawish</w:t>
      </w:r>
      <w:r w:rsidRPr="00D158DA">
        <w:rPr>
          <w:color w:val="242424"/>
        </w:rPr>
        <w:t xml:space="preserve">, JH., </w:t>
      </w:r>
      <w:r w:rsidRPr="00D158DA">
        <w:rPr>
          <w:color w:val="242424"/>
        </w:rPr>
        <w:t>Casarett</w:t>
      </w:r>
      <w:r w:rsidRPr="00D158DA">
        <w:rPr>
          <w:color w:val="242424"/>
        </w:rPr>
        <w:t>, D., Berlin, JA., Asch, DA. Empirical assessment of whether moderate payments are undue or unjust inducements for participation in clinical trials. Archives of Internal Medicine. 2004; 164(7), 80l-803.</w:t>
      </w:r>
    </w:p>
    <w:p w:rsidR="00271275" w:rsidRPr="001709C3" w:rsidP="00FF4D37" w14:paraId="7293E538" w14:textId="2FBD4AC5">
      <w:pPr>
        <w:pStyle w:val="ListParagraph"/>
        <w:numPr>
          <w:ilvl w:val="0"/>
          <w:numId w:val="24"/>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709C3">
        <w:t>Hennink</w:t>
      </w:r>
      <w:r w:rsidRPr="001709C3">
        <w:t xml:space="preserve"> M, Kaiser BN. Sample sizes for saturation in qualitative research: A systematic review of empirical tests. Soc Sci Med. </w:t>
      </w:r>
      <w:r w:rsidRPr="001709C3">
        <w:t>2022;292:114523</w:t>
      </w:r>
      <w:r w:rsidRPr="001709C3">
        <w:t xml:space="preserve">. </w:t>
      </w:r>
      <w:r w:rsidRPr="001709C3">
        <w:t>doi:10.1016/j.socscimed</w:t>
      </w:r>
      <w:r w:rsidRPr="001709C3">
        <w:t>.2021.114523</w:t>
      </w:r>
    </w:p>
    <w:p w:rsidR="005A0501" w:rsidRPr="001709C3" w:rsidP="005A0501" w14:paraId="7E69F6DE" w14:textId="77777777">
      <w:pPr>
        <w:pStyle w:val="ListParagraph"/>
        <w:numPr>
          <w:ilvl w:val="0"/>
          <w:numId w:val="24"/>
        </w:numPr>
        <w:shd w:val="clear" w:color="auto" w:fill="FFFFFF"/>
        <w:contextualSpacing/>
        <w:rPr>
          <w:color w:val="242424"/>
        </w:rPr>
      </w:pPr>
      <w:r w:rsidRPr="001709C3">
        <w:rPr>
          <w:color w:val="212121"/>
          <w:shd w:val="clear" w:color="auto" w:fill="FFFFFF"/>
        </w:rPr>
        <w:t>Kalberg</w:t>
      </w:r>
      <w:r w:rsidRPr="001709C3">
        <w:rPr>
          <w:color w:val="212121"/>
          <w:shd w:val="clear" w:color="auto" w:fill="FFFFFF"/>
        </w:rPr>
        <w:t>, C. The survey fatigue challenge: Understanding young people’s motivation to participate in survey research studies. 2015. [Master’s Thesis, Lund University, Sweden].</w:t>
      </w:r>
    </w:p>
    <w:p w:rsidR="009D3538" w:rsidRPr="001709C3" w:rsidP="00FF4D37" w14:paraId="3A7CBC90" w14:textId="0BEA465B">
      <w:pPr>
        <w:pStyle w:val="ListParagraph"/>
        <w:numPr>
          <w:ilvl w:val="0"/>
          <w:numId w:val="24"/>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709C3">
        <w:t>Rossheim</w:t>
      </w:r>
      <w:r w:rsidRPr="001709C3">
        <w:t xml:space="preserve"> ME, Livingston MD, Soule EK, </w:t>
      </w:r>
      <w:r w:rsidRPr="001709C3">
        <w:t>Zeraye</w:t>
      </w:r>
      <w:r w:rsidRPr="001709C3">
        <w:t xml:space="preserve"> HA, Thombs DL. Electronic cigarette explosion and burn injuries, US Emergency Departments 2015-2017. </w:t>
      </w:r>
      <w:r w:rsidRPr="001709C3">
        <w:rPr>
          <w:i/>
          <w:iCs/>
        </w:rPr>
        <w:t>Tob</w:t>
      </w:r>
      <w:r w:rsidRPr="001709C3">
        <w:rPr>
          <w:i/>
          <w:iCs/>
        </w:rPr>
        <w:t xml:space="preserve"> Control</w:t>
      </w:r>
      <w:r w:rsidRPr="001709C3">
        <w:t>. 2019;28(4):472-474. doi:10.1136/tobaccocontrol-2018-054518</w:t>
      </w:r>
    </w:p>
    <w:p w:rsidR="005A0501" w:rsidRPr="00DF61E9" w:rsidP="005A0501" w14:paraId="5CC6D33A" w14:textId="77777777">
      <w:pPr>
        <w:pStyle w:val="ListParagraph"/>
        <w:numPr>
          <w:ilvl w:val="0"/>
          <w:numId w:val="24"/>
        </w:numPr>
        <w:shd w:val="clear" w:color="auto" w:fill="FFFFFF"/>
        <w:contextualSpacing/>
        <w:rPr>
          <w:color w:val="212121"/>
          <w:shd w:val="clear" w:color="auto" w:fill="FFFFFF"/>
        </w:rPr>
      </w:pPr>
      <w:r w:rsidRPr="00DF61E9">
        <w:rPr>
          <w:color w:val="212121"/>
          <w:shd w:val="clear" w:color="auto" w:fill="FFFFFF"/>
        </w:rPr>
        <w:t xml:space="preserve">Rudy SF, Durmowicz EL. Electronic nicotine delivery systems: overheating, </w:t>
      </w:r>
      <w:r w:rsidRPr="00DF61E9">
        <w:rPr>
          <w:color w:val="212121"/>
          <w:shd w:val="clear" w:color="auto" w:fill="FFFFFF"/>
        </w:rPr>
        <w:t>fires</w:t>
      </w:r>
      <w:r w:rsidRPr="00DF61E9">
        <w:rPr>
          <w:color w:val="212121"/>
          <w:shd w:val="clear" w:color="auto" w:fill="FFFFFF"/>
        </w:rPr>
        <w:t xml:space="preserve"> and explosions [published online ahead of print, 2016 Mar 9]. </w:t>
      </w:r>
      <w:r w:rsidRPr="00DF61E9">
        <w:rPr>
          <w:i/>
          <w:iCs/>
          <w:color w:val="212121"/>
          <w:shd w:val="clear" w:color="auto" w:fill="FFFFFF"/>
        </w:rPr>
        <w:t>Tob</w:t>
      </w:r>
      <w:r w:rsidRPr="00DF61E9">
        <w:rPr>
          <w:i/>
          <w:iCs/>
          <w:color w:val="212121"/>
          <w:shd w:val="clear" w:color="auto" w:fill="FFFFFF"/>
        </w:rPr>
        <w:t xml:space="preserve"> Control</w:t>
      </w:r>
      <w:r w:rsidRPr="00DF61E9">
        <w:rPr>
          <w:color w:val="212121"/>
          <w:shd w:val="clear" w:color="auto" w:fill="FFFFFF"/>
        </w:rPr>
        <w:t xml:space="preserve">. </w:t>
      </w:r>
      <w:r w:rsidRPr="00DF61E9">
        <w:rPr>
          <w:color w:val="212121"/>
          <w:shd w:val="clear" w:color="auto" w:fill="FFFFFF"/>
        </w:rPr>
        <w:t>2016;tobaccocontrol</w:t>
      </w:r>
      <w:r w:rsidRPr="00DF61E9">
        <w:rPr>
          <w:color w:val="212121"/>
          <w:shd w:val="clear" w:color="auto" w:fill="FFFFFF"/>
        </w:rPr>
        <w:t>-2015-052626. doi:10.1136/tobaccocontrol-2015-052626</w:t>
      </w:r>
    </w:p>
    <w:p w:rsidR="009D3538" w:rsidRPr="001709C3" w:rsidP="00FF4D37" w14:paraId="5B170B28" w14:textId="3599BBEB">
      <w:pPr>
        <w:pStyle w:val="ListParagraph"/>
        <w:numPr>
          <w:ilvl w:val="0"/>
          <w:numId w:val="24"/>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709C3">
        <w:t xml:space="preserve">Singer, E. (2002). The use of incentives to reduce nonresponse in household surveys. </w:t>
      </w:r>
      <w:r w:rsidRPr="001709C3">
        <w:rPr>
          <w:i/>
        </w:rPr>
        <w:t>Survey Nonresponse</w:t>
      </w:r>
      <w:r w:rsidRPr="001709C3">
        <w:t>, 51, 163-177.</w:t>
      </w:r>
    </w:p>
    <w:p w:rsidR="009D3538" w:rsidRPr="001709C3" w:rsidP="00FF4D37" w14:paraId="7AFAC084" w14:textId="65CAFC50">
      <w:pPr>
        <w:pStyle w:val="ListParagraph"/>
        <w:numPr>
          <w:ilvl w:val="0"/>
          <w:numId w:val="24"/>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709C3">
        <w:t>Shettle</w:t>
      </w:r>
      <w:r w:rsidRPr="001709C3">
        <w:t xml:space="preserve">, C., &amp; Mooney, G. (1999). Monetary incentives in US government surveys. </w:t>
      </w:r>
      <w:r w:rsidRPr="001709C3">
        <w:rPr>
          <w:i/>
        </w:rPr>
        <w:t>Journal of Official Statistics</w:t>
      </w:r>
      <w:r w:rsidRPr="001709C3">
        <w:t>, 15(2), 231.</w:t>
      </w:r>
    </w:p>
    <w:p w:rsidR="00D41AD1" w:rsidRPr="001709C3" w:rsidP="00FF4D37" w14:paraId="09E8FB3D" w14:textId="373E7004">
      <w:pPr>
        <w:pStyle w:val="ListParagraph"/>
        <w:numPr>
          <w:ilvl w:val="0"/>
          <w:numId w:val="24"/>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709C3">
        <w:t xml:space="preserve">U.S. Food and Drug Administration (FDA), “Payment and Reimbursement to Research Subjects - Information Sheet” (Jan. 25, 2018). This information sheet may be accessed at </w:t>
      </w:r>
      <w:hyperlink r:id="rId15" w:history="1">
        <w:r w:rsidRPr="001709C3">
          <w:rPr>
            <w:rStyle w:val="Hyperlink"/>
          </w:rPr>
          <w:t>https://www.fda.gov/RegulatoryInformation/Guidances/ucm126429.htm</w:t>
        </w:r>
      </w:hyperlink>
      <w:r w:rsidRPr="00C24E07">
        <w:t>.</w:t>
      </w:r>
    </w:p>
    <w:p w:rsidR="00D41AD1" w:rsidRPr="001709C3" w:rsidP="00FF4D37" w14:paraId="02C94531" w14:textId="715C12F5">
      <w:pPr>
        <w:pStyle w:val="ListParagraph"/>
      </w:pPr>
      <w:r w:rsidRPr="001709C3">
        <w:t xml:space="preserve">Wang, Teresa et al., National and State-specific unit sales and prices for electronic cigarettes, United States, 2012-2016, </w:t>
      </w:r>
      <w:r w:rsidRPr="001709C3">
        <w:t>Prev</w:t>
      </w:r>
      <w:r w:rsidRPr="001709C3">
        <w:t xml:space="preserve"> Chronic Dis 2018;15:170555.</w:t>
      </w:r>
    </w:p>
    <w:bookmarkEnd w:id="23"/>
    <w:p w:rsidR="0046057B" w:rsidP="0046057B" w14:paraId="6BF6B7F3" w14:textId="77777777"/>
    <w:p w:rsidR="009D3538" w:rsidRPr="00C20690" w:rsidP="00C20690" w14:paraId="18BA9A60" w14:textId="77777777">
      <w:pPr>
        <w:spacing w:after="200"/>
        <w:rPr>
          <w:rFonts w:eastAsia="Calibri"/>
        </w:rPr>
      </w:pPr>
    </w:p>
    <w:sectPr w:rsidSect="005C71CA">
      <w:footerReference w:type="even" r:id="rId16"/>
      <w:footerReference w:type="default" r:id="rId17"/>
      <w:pgSz w:w="12240" w:h="15840" w:code="1"/>
      <w:pgMar w:top="1008" w:right="1296"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3DE5" w:rsidP="003F3DF5" w14:paraId="2B45C2E6"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63DE5" w14:paraId="2E52B49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3DE5" w:rsidP="003F3DF5" w14:paraId="1ABD116A"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7FFD">
      <w:rPr>
        <w:rStyle w:val="PageNumber"/>
        <w:noProof/>
      </w:rPr>
      <w:t>7</w:t>
    </w:r>
    <w:r>
      <w:rPr>
        <w:rStyle w:val="PageNumber"/>
      </w:rPr>
      <w:fldChar w:fldCharType="end"/>
    </w:r>
  </w:p>
  <w:p w:rsidR="00E63DE5" w14:paraId="6251DEEE"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B35201D"/>
    <w:multiLevelType w:val="hybridMultilevel"/>
    <w:tmpl w:val="85A8EC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B5567B5"/>
    <w:multiLevelType w:val="hybridMultilevel"/>
    <w:tmpl w:val="9116875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0D7B4D6B"/>
    <w:multiLevelType w:val="hybridMultilevel"/>
    <w:tmpl w:val="A576504E"/>
    <w:lvl w:ilvl="0">
      <w:start w:val="1"/>
      <w:numFmt w:val="bullet"/>
      <w:pStyle w:val="bullets"/>
      <w:lvlText w:val="▪"/>
      <w:lvlJc w:val="left"/>
      <w:pPr>
        <w:ind w:left="1080" w:hanging="360"/>
      </w:pPr>
      <w:rPr>
        <w:rFonts w:ascii="Garamond" w:hAnsi="Garamond" w:hint="default"/>
        <w:sz w:val="2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17B65BAA"/>
    <w:multiLevelType w:val="hybridMultilevel"/>
    <w:tmpl w:val="A5E844D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1B507DAF"/>
    <w:multiLevelType w:val="hybridMultilevel"/>
    <w:tmpl w:val="5F744CAC"/>
    <w:lvl w:ilvl="0">
      <w:start w:val="1"/>
      <w:numFmt w:val="bullet"/>
      <w:lvlText w:val="o"/>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5">
    <w:nsid w:val="20F46B28"/>
    <w:multiLevelType w:val="hybridMultilevel"/>
    <w:tmpl w:val="204437AE"/>
    <w:lvl w:ilvl="0">
      <w:start w:val="1"/>
      <w:numFmt w:val="decimal"/>
      <w:pStyle w:val="Heading1"/>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245169F2"/>
    <w:multiLevelType w:val="hybridMultilevel"/>
    <w:tmpl w:val="7C94D6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B2E4934"/>
    <w:multiLevelType w:val="hybridMultilevel"/>
    <w:tmpl w:val="07605CE8"/>
    <w:lvl w:ilvl="0">
      <w:start w:val="1"/>
      <w:numFmt w:val="bullet"/>
      <w:lvlText w:val=""/>
      <w:lvlJc w:val="left"/>
      <w:pPr>
        <w:ind w:left="720" w:hanging="360"/>
      </w:pPr>
      <w:rPr>
        <w:rFonts w:ascii="Symbol" w:hAnsi="Symbol" w:hint="default"/>
      </w:rPr>
    </w:lvl>
    <w:lvl w:ilvl="1">
      <w:start w:val="0"/>
      <w:numFmt w:val="bullet"/>
      <w:lvlText w:val="•"/>
      <w:lvlJc w:val="left"/>
      <w:pPr>
        <w:ind w:left="1800" w:hanging="720"/>
      </w:pPr>
      <w:rPr>
        <w:rFonts w:ascii="Times New Roman" w:eastAsia="Times New Roma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B841AD1"/>
    <w:multiLevelType w:val="hybridMultilevel"/>
    <w:tmpl w:val="B5D66FEA"/>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Times New Roman" w:eastAsia="Calibri" w:hAnsi="Times New Roman" w:cs="Times New Roman"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EAF3879"/>
    <w:multiLevelType w:val="hybridMultilevel"/>
    <w:tmpl w:val="FC6ECA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nsid w:val="3BEE557C"/>
    <w:multiLevelType w:val="hybridMultilevel"/>
    <w:tmpl w:val="B024C99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4A992349"/>
    <w:multiLevelType w:val="hybridMultilevel"/>
    <w:tmpl w:val="B8FA08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C023330"/>
    <w:multiLevelType w:val="hybridMultilevel"/>
    <w:tmpl w:val="F33034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DC6669C"/>
    <w:multiLevelType w:val="hybridMultilevel"/>
    <w:tmpl w:val="75FA69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1C66BF9"/>
    <w:multiLevelType w:val="hybridMultilevel"/>
    <w:tmpl w:val="0468771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3BE5642"/>
    <w:multiLevelType w:val="hybridMultilevel"/>
    <w:tmpl w:val="BBCC08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8E75A47"/>
    <w:multiLevelType w:val="hybridMultilevel"/>
    <w:tmpl w:val="4B4632C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C1C735E"/>
    <w:multiLevelType w:val="hybridMultilevel"/>
    <w:tmpl w:val="3E72E7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4C10E29"/>
    <w:multiLevelType w:val="hybridMultilevel"/>
    <w:tmpl w:val="CA96503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Times New Roman"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Times New Roman"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Times New Roman" w:hint="default"/>
      </w:rPr>
    </w:lvl>
    <w:lvl w:ilvl="8">
      <w:start w:val="1"/>
      <w:numFmt w:val="bullet"/>
      <w:lvlText w:val=""/>
      <w:lvlJc w:val="left"/>
      <w:pPr>
        <w:ind w:left="6840" w:hanging="360"/>
      </w:pPr>
      <w:rPr>
        <w:rFonts w:ascii="Wingdings" w:hAnsi="Wingdings" w:hint="default"/>
      </w:rPr>
    </w:lvl>
  </w:abstractNum>
  <w:abstractNum w:abstractNumId="19">
    <w:nsid w:val="6DC55C4D"/>
    <w:multiLevelType w:val="hybridMultilevel"/>
    <w:tmpl w:val="8F8A4D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704B3A7E"/>
    <w:multiLevelType w:val="hybridMultilevel"/>
    <w:tmpl w:val="F0964A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28A7563"/>
    <w:multiLevelType w:val="hybridMultilevel"/>
    <w:tmpl w:val="516ACD8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2">
    <w:nsid w:val="78F364A5"/>
    <w:multiLevelType w:val="hybridMultilevel"/>
    <w:tmpl w:val="8440F1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7A5A208E"/>
    <w:multiLevelType w:val="hybridMultilevel"/>
    <w:tmpl w:val="4AA4EDD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abstractNumId w:val="19"/>
  </w:num>
  <w:num w:numId="2">
    <w:abstractNumId w:val="3"/>
  </w:num>
  <w:num w:numId="3">
    <w:abstractNumId w:val="20"/>
  </w:num>
  <w:num w:numId="4">
    <w:abstractNumId w:val="10"/>
  </w:num>
  <w:num w:numId="5">
    <w:abstractNumId w:val="23"/>
  </w:num>
  <w:num w:numId="6">
    <w:abstractNumId w:val="1"/>
  </w:num>
  <w:num w:numId="7">
    <w:abstractNumId w:val="4"/>
  </w:num>
  <w:num w:numId="8">
    <w:abstractNumId w:val="14"/>
  </w:num>
  <w:num w:numId="9">
    <w:abstractNumId w:val="21"/>
  </w:num>
  <w:num w:numId="10">
    <w:abstractNumId w:val="8"/>
  </w:num>
  <w:num w:numId="11">
    <w:abstractNumId w:val="12"/>
  </w:num>
  <w:num w:numId="12">
    <w:abstractNumId w:val="9"/>
  </w:num>
  <w:num w:numId="13">
    <w:abstractNumId w:val="7"/>
  </w:num>
  <w:num w:numId="14">
    <w:abstractNumId w:val="18"/>
  </w:num>
  <w:num w:numId="15">
    <w:abstractNumId w:val="22"/>
  </w:num>
  <w:num w:numId="16">
    <w:abstractNumId w:val="2"/>
  </w:num>
  <w:num w:numId="17">
    <w:abstractNumId w:val="15"/>
  </w:num>
  <w:num w:numId="18">
    <w:abstractNumId w:val="0"/>
  </w:num>
  <w:num w:numId="19">
    <w:abstractNumId w:val="11"/>
  </w:num>
  <w:num w:numId="20">
    <w:abstractNumId w:val="17"/>
  </w:num>
  <w:num w:numId="21">
    <w:abstractNumId w:val="13"/>
  </w:num>
  <w:num w:numId="22">
    <w:abstractNumId w:val="5"/>
  </w:num>
  <w:num w:numId="23">
    <w:abstractNumId w:val="16"/>
  </w:num>
  <w:num w:numId="24">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005F8"/>
    <w:rsid w:val="000040A3"/>
    <w:rsid w:val="00012E80"/>
    <w:rsid w:val="00017AF4"/>
    <w:rsid w:val="00030B7C"/>
    <w:rsid w:val="00031A2C"/>
    <w:rsid w:val="00042B93"/>
    <w:rsid w:val="00043C7F"/>
    <w:rsid w:val="000467A8"/>
    <w:rsid w:val="000619FF"/>
    <w:rsid w:val="0006570F"/>
    <w:rsid w:val="000724AB"/>
    <w:rsid w:val="00073314"/>
    <w:rsid w:val="0007500C"/>
    <w:rsid w:val="00075DE8"/>
    <w:rsid w:val="00087439"/>
    <w:rsid w:val="00090495"/>
    <w:rsid w:val="000A0BB0"/>
    <w:rsid w:val="000A3BE5"/>
    <w:rsid w:val="000C1260"/>
    <w:rsid w:val="000C560C"/>
    <w:rsid w:val="000C6A54"/>
    <w:rsid w:val="000D080B"/>
    <w:rsid w:val="000D48FD"/>
    <w:rsid w:val="000D79CC"/>
    <w:rsid w:val="000E1C64"/>
    <w:rsid w:val="000E43AD"/>
    <w:rsid w:val="000E50AE"/>
    <w:rsid w:val="000E7D1B"/>
    <w:rsid w:val="000F1943"/>
    <w:rsid w:val="000F26FC"/>
    <w:rsid w:val="000F6B30"/>
    <w:rsid w:val="000F7119"/>
    <w:rsid w:val="00100739"/>
    <w:rsid w:val="0010493E"/>
    <w:rsid w:val="00105213"/>
    <w:rsid w:val="001075D3"/>
    <w:rsid w:val="00107885"/>
    <w:rsid w:val="00114FC4"/>
    <w:rsid w:val="00116826"/>
    <w:rsid w:val="00116B1B"/>
    <w:rsid w:val="0012062A"/>
    <w:rsid w:val="0012329C"/>
    <w:rsid w:val="00133111"/>
    <w:rsid w:val="00134FA7"/>
    <w:rsid w:val="00137950"/>
    <w:rsid w:val="001471DA"/>
    <w:rsid w:val="00147566"/>
    <w:rsid w:val="001502E8"/>
    <w:rsid w:val="001527BE"/>
    <w:rsid w:val="00152F29"/>
    <w:rsid w:val="00156726"/>
    <w:rsid w:val="00161530"/>
    <w:rsid w:val="00165088"/>
    <w:rsid w:val="00166DE2"/>
    <w:rsid w:val="001709C3"/>
    <w:rsid w:val="001727D0"/>
    <w:rsid w:val="00173F6E"/>
    <w:rsid w:val="00174D54"/>
    <w:rsid w:val="00175332"/>
    <w:rsid w:val="0017702C"/>
    <w:rsid w:val="00181675"/>
    <w:rsid w:val="00185270"/>
    <w:rsid w:val="001939E5"/>
    <w:rsid w:val="0019543B"/>
    <w:rsid w:val="00196449"/>
    <w:rsid w:val="00196E13"/>
    <w:rsid w:val="00196EC7"/>
    <w:rsid w:val="001A3B5A"/>
    <w:rsid w:val="001A430F"/>
    <w:rsid w:val="001A603E"/>
    <w:rsid w:val="001A7030"/>
    <w:rsid w:val="001B7CE9"/>
    <w:rsid w:val="001C63D0"/>
    <w:rsid w:val="001C7668"/>
    <w:rsid w:val="001D12D9"/>
    <w:rsid w:val="001D495A"/>
    <w:rsid w:val="001D4D6F"/>
    <w:rsid w:val="001D6B1C"/>
    <w:rsid w:val="001E244C"/>
    <w:rsid w:val="001F1437"/>
    <w:rsid w:val="00200C40"/>
    <w:rsid w:val="00202CC6"/>
    <w:rsid w:val="00206799"/>
    <w:rsid w:val="002074FE"/>
    <w:rsid w:val="00211773"/>
    <w:rsid w:val="002122A3"/>
    <w:rsid w:val="00216238"/>
    <w:rsid w:val="0022330E"/>
    <w:rsid w:val="0022425B"/>
    <w:rsid w:val="002259EF"/>
    <w:rsid w:val="002260F8"/>
    <w:rsid w:val="002314F5"/>
    <w:rsid w:val="002360F3"/>
    <w:rsid w:val="00240663"/>
    <w:rsid w:val="00241667"/>
    <w:rsid w:val="00242ED1"/>
    <w:rsid w:val="002444BB"/>
    <w:rsid w:val="002467A1"/>
    <w:rsid w:val="00254069"/>
    <w:rsid w:val="002552D7"/>
    <w:rsid w:val="002563AC"/>
    <w:rsid w:val="00261797"/>
    <w:rsid w:val="00264630"/>
    <w:rsid w:val="00265D2B"/>
    <w:rsid w:val="00270748"/>
    <w:rsid w:val="00271275"/>
    <w:rsid w:val="0027303E"/>
    <w:rsid w:val="002731D4"/>
    <w:rsid w:val="00273340"/>
    <w:rsid w:val="002734E5"/>
    <w:rsid w:val="00273DFB"/>
    <w:rsid w:val="002746DB"/>
    <w:rsid w:val="00280CAF"/>
    <w:rsid w:val="00280E0D"/>
    <w:rsid w:val="00282F09"/>
    <w:rsid w:val="0028407B"/>
    <w:rsid w:val="00291810"/>
    <w:rsid w:val="00293169"/>
    <w:rsid w:val="00294D62"/>
    <w:rsid w:val="00297532"/>
    <w:rsid w:val="00297FFD"/>
    <w:rsid w:val="002A1210"/>
    <w:rsid w:val="002A2482"/>
    <w:rsid w:val="002A36BC"/>
    <w:rsid w:val="002A47D2"/>
    <w:rsid w:val="002A7FB5"/>
    <w:rsid w:val="002B2074"/>
    <w:rsid w:val="002B5E49"/>
    <w:rsid w:val="002D14D8"/>
    <w:rsid w:val="002D4799"/>
    <w:rsid w:val="002D652B"/>
    <w:rsid w:val="002E19BF"/>
    <w:rsid w:val="002E1F97"/>
    <w:rsid w:val="002E3FA4"/>
    <w:rsid w:val="002E53A5"/>
    <w:rsid w:val="002E64B8"/>
    <w:rsid w:val="002E6834"/>
    <w:rsid w:val="002E73F9"/>
    <w:rsid w:val="002E7D8C"/>
    <w:rsid w:val="002F05E6"/>
    <w:rsid w:val="002F1971"/>
    <w:rsid w:val="002F7370"/>
    <w:rsid w:val="00300630"/>
    <w:rsid w:val="00307348"/>
    <w:rsid w:val="003113FF"/>
    <w:rsid w:val="00312410"/>
    <w:rsid w:val="00312622"/>
    <w:rsid w:val="00314804"/>
    <w:rsid w:val="0031686F"/>
    <w:rsid w:val="00317AD9"/>
    <w:rsid w:val="003204CB"/>
    <w:rsid w:val="0032277F"/>
    <w:rsid w:val="003241AB"/>
    <w:rsid w:val="0033472C"/>
    <w:rsid w:val="00336B69"/>
    <w:rsid w:val="00337708"/>
    <w:rsid w:val="00340DE5"/>
    <w:rsid w:val="0034302B"/>
    <w:rsid w:val="00350523"/>
    <w:rsid w:val="0035189D"/>
    <w:rsid w:val="00351E60"/>
    <w:rsid w:val="00355B62"/>
    <w:rsid w:val="0035646E"/>
    <w:rsid w:val="00357C8A"/>
    <w:rsid w:val="00361420"/>
    <w:rsid w:val="00362DAB"/>
    <w:rsid w:val="00363C56"/>
    <w:rsid w:val="00364F35"/>
    <w:rsid w:val="0037044C"/>
    <w:rsid w:val="003737B0"/>
    <w:rsid w:val="00373920"/>
    <w:rsid w:val="00374016"/>
    <w:rsid w:val="003740BC"/>
    <w:rsid w:val="0037456B"/>
    <w:rsid w:val="00375E45"/>
    <w:rsid w:val="003778F9"/>
    <w:rsid w:val="00377A36"/>
    <w:rsid w:val="003801A3"/>
    <w:rsid w:val="00383D90"/>
    <w:rsid w:val="00386994"/>
    <w:rsid w:val="003870AE"/>
    <w:rsid w:val="00387A9D"/>
    <w:rsid w:val="0039614E"/>
    <w:rsid w:val="003A1A27"/>
    <w:rsid w:val="003A50CC"/>
    <w:rsid w:val="003A66F0"/>
    <w:rsid w:val="003A78CF"/>
    <w:rsid w:val="003B1F79"/>
    <w:rsid w:val="003B42B3"/>
    <w:rsid w:val="003B6342"/>
    <w:rsid w:val="003B6384"/>
    <w:rsid w:val="003B6840"/>
    <w:rsid w:val="003C0FE2"/>
    <w:rsid w:val="003C4656"/>
    <w:rsid w:val="003C4EBB"/>
    <w:rsid w:val="003C52BF"/>
    <w:rsid w:val="003D1531"/>
    <w:rsid w:val="003D26A7"/>
    <w:rsid w:val="003E3EF7"/>
    <w:rsid w:val="003E4EC6"/>
    <w:rsid w:val="003E527E"/>
    <w:rsid w:val="003E553E"/>
    <w:rsid w:val="003E7078"/>
    <w:rsid w:val="003F28BF"/>
    <w:rsid w:val="003F3DF5"/>
    <w:rsid w:val="003F73B8"/>
    <w:rsid w:val="0040297E"/>
    <w:rsid w:val="00407D34"/>
    <w:rsid w:val="00411D11"/>
    <w:rsid w:val="00414494"/>
    <w:rsid w:val="00415E23"/>
    <w:rsid w:val="0041670D"/>
    <w:rsid w:val="004177AF"/>
    <w:rsid w:val="00417D74"/>
    <w:rsid w:val="00423272"/>
    <w:rsid w:val="00424061"/>
    <w:rsid w:val="00426651"/>
    <w:rsid w:val="00426AFE"/>
    <w:rsid w:val="00430333"/>
    <w:rsid w:val="00442A3C"/>
    <w:rsid w:val="00442F86"/>
    <w:rsid w:val="00443969"/>
    <w:rsid w:val="0044720D"/>
    <w:rsid w:val="00447D74"/>
    <w:rsid w:val="00450A74"/>
    <w:rsid w:val="004546BF"/>
    <w:rsid w:val="00455D98"/>
    <w:rsid w:val="004578B0"/>
    <w:rsid w:val="0046057B"/>
    <w:rsid w:val="0046392A"/>
    <w:rsid w:val="00465350"/>
    <w:rsid w:val="004676AE"/>
    <w:rsid w:val="00470DF5"/>
    <w:rsid w:val="00471B97"/>
    <w:rsid w:val="00476A11"/>
    <w:rsid w:val="00476B91"/>
    <w:rsid w:val="004846BF"/>
    <w:rsid w:val="004909B0"/>
    <w:rsid w:val="00493726"/>
    <w:rsid w:val="00494912"/>
    <w:rsid w:val="00495288"/>
    <w:rsid w:val="00495B2C"/>
    <w:rsid w:val="004A093B"/>
    <w:rsid w:val="004A2C19"/>
    <w:rsid w:val="004A3056"/>
    <w:rsid w:val="004A3E11"/>
    <w:rsid w:val="004A5323"/>
    <w:rsid w:val="004A5A99"/>
    <w:rsid w:val="004A5C3C"/>
    <w:rsid w:val="004A6EF9"/>
    <w:rsid w:val="004B4010"/>
    <w:rsid w:val="004B59A9"/>
    <w:rsid w:val="004B764C"/>
    <w:rsid w:val="004C0643"/>
    <w:rsid w:val="004C6979"/>
    <w:rsid w:val="004D13A2"/>
    <w:rsid w:val="004D2947"/>
    <w:rsid w:val="004D3258"/>
    <w:rsid w:val="004D3E7A"/>
    <w:rsid w:val="004E2784"/>
    <w:rsid w:val="004E2980"/>
    <w:rsid w:val="004E4CCE"/>
    <w:rsid w:val="004E517F"/>
    <w:rsid w:val="004E5EE4"/>
    <w:rsid w:val="004E7B6B"/>
    <w:rsid w:val="004F594B"/>
    <w:rsid w:val="004F61E1"/>
    <w:rsid w:val="00503CA1"/>
    <w:rsid w:val="00503EFB"/>
    <w:rsid w:val="00504E40"/>
    <w:rsid w:val="00505F75"/>
    <w:rsid w:val="00516E87"/>
    <w:rsid w:val="005176E9"/>
    <w:rsid w:val="00520660"/>
    <w:rsid w:val="00526014"/>
    <w:rsid w:val="0052672E"/>
    <w:rsid w:val="00532B8F"/>
    <w:rsid w:val="0053380B"/>
    <w:rsid w:val="0053426D"/>
    <w:rsid w:val="005369FE"/>
    <w:rsid w:val="00543194"/>
    <w:rsid w:val="00544138"/>
    <w:rsid w:val="00546A27"/>
    <w:rsid w:val="0055035C"/>
    <w:rsid w:val="005507BD"/>
    <w:rsid w:val="00554E34"/>
    <w:rsid w:val="0055591A"/>
    <w:rsid w:val="00581E5D"/>
    <w:rsid w:val="00584583"/>
    <w:rsid w:val="00590E90"/>
    <w:rsid w:val="00590EEB"/>
    <w:rsid w:val="0059528F"/>
    <w:rsid w:val="00597A9C"/>
    <w:rsid w:val="005A0408"/>
    <w:rsid w:val="005A0501"/>
    <w:rsid w:val="005A4099"/>
    <w:rsid w:val="005B5D74"/>
    <w:rsid w:val="005C38B2"/>
    <w:rsid w:val="005C5029"/>
    <w:rsid w:val="005C55C2"/>
    <w:rsid w:val="005C71CA"/>
    <w:rsid w:val="005C745C"/>
    <w:rsid w:val="005D133F"/>
    <w:rsid w:val="005D1E86"/>
    <w:rsid w:val="005D3D6A"/>
    <w:rsid w:val="005D4DF5"/>
    <w:rsid w:val="005D5CFE"/>
    <w:rsid w:val="005D7691"/>
    <w:rsid w:val="005E09C2"/>
    <w:rsid w:val="005E31AD"/>
    <w:rsid w:val="005E4114"/>
    <w:rsid w:val="005E42BA"/>
    <w:rsid w:val="00611D6B"/>
    <w:rsid w:val="00612D05"/>
    <w:rsid w:val="006163C4"/>
    <w:rsid w:val="0062064A"/>
    <w:rsid w:val="00624E7A"/>
    <w:rsid w:val="00625CFD"/>
    <w:rsid w:val="006273A9"/>
    <w:rsid w:val="00630F7F"/>
    <w:rsid w:val="006326EC"/>
    <w:rsid w:val="006404EF"/>
    <w:rsid w:val="00641CB3"/>
    <w:rsid w:val="00643B21"/>
    <w:rsid w:val="00645148"/>
    <w:rsid w:val="0065289D"/>
    <w:rsid w:val="00663A42"/>
    <w:rsid w:val="006641C7"/>
    <w:rsid w:val="006659D5"/>
    <w:rsid w:val="006705EA"/>
    <w:rsid w:val="00670BE2"/>
    <w:rsid w:val="00681868"/>
    <w:rsid w:val="0068202E"/>
    <w:rsid w:val="006916D9"/>
    <w:rsid w:val="00692402"/>
    <w:rsid w:val="00694095"/>
    <w:rsid w:val="0069505C"/>
    <w:rsid w:val="006959D6"/>
    <w:rsid w:val="006A0E05"/>
    <w:rsid w:val="006A26C6"/>
    <w:rsid w:val="006A4490"/>
    <w:rsid w:val="006A465A"/>
    <w:rsid w:val="006A4889"/>
    <w:rsid w:val="006A64E7"/>
    <w:rsid w:val="006A7D5D"/>
    <w:rsid w:val="006B1738"/>
    <w:rsid w:val="006B2647"/>
    <w:rsid w:val="006B2C48"/>
    <w:rsid w:val="006B33A0"/>
    <w:rsid w:val="006C15D7"/>
    <w:rsid w:val="006C3F2A"/>
    <w:rsid w:val="006D0C12"/>
    <w:rsid w:val="006D0D09"/>
    <w:rsid w:val="006D4012"/>
    <w:rsid w:val="006D5D57"/>
    <w:rsid w:val="006D7B5E"/>
    <w:rsid w:val="006E0696"/>
    <w:rsid w:val="006E1854"/>
    <w:rsid w:val="006E2538"/>
    <w:rsid w:val="006E302F"/>
    <w:rsid w:val="006F4D6D"/>
    <w:rsid w:val="007023BB"/>
    <w:rsid w:val="00705086"/>
    <w:rsid w:val="007103A3"/>
    <w:rsid w:val="007132BA"/>
    <w:rsid w:val="00722001"/>
    <w:rsid w:val="00723333"/>
    <w:rsid w:val="00725B06"/>
    <w:rsid w:val="0072703D"/>
    <w:rsid w:val="00730F0B"/>
    <w:rsid w:val="00735392"/>
    <w:rsid w:val="00735B38"/>
    <w:rsid w:val="00751CDC"/>
    <w:rsid w:val="00751E66"/>
    <w:rsid w:val="00754497"/>
    <w:rsid w:val="00762F60"/>
    <w:rsid w:val="0076377E"/>
    <w:rsid w:val="007644BB"/>
    <w:rsid w:val="0076768D"/>
    <w:rsid w:val="00771820"/>
    <w:rsid w:val="00787C39"/>
    <w:rsid w:val="00792947"/>
    <w:rsid w:val="007930FD"/>
    <w:rsid w:val="00795DF3"/>
    <w:rsid w:val="007A1955"/>
    <w:rsid w:val="007A258D"/>
    <w:rsid w:val="007A373C"/>
    <w:rsid w:val="007A47C0"/>
    <w:rsid w:val="007B09EF"/>
    <w:rsid w:val="007B225C"/>
    <w:rsid w:val="007B5167"/>
    <w:rsid w:val="007C6400"/>
    <w:rsid w:val="007C75B1"/>
    <w:rsid w:val="007D3DFC"/>
    <w:rsid w:val="007D6D0B"/>
    <w:rsid w:val="007E105A"/>
    <w:rsid w:val="007E1A5E"/>
    <w:rsid w:val="007E1BA4"/>
    <w:rsid w:val="007E2F07"/>
    <w:rsid w:val="007E59A8"/>
    <w:rsid w:val="007E60D4"/>
    <w:rsid w:val="007E788C"/>
    <w:rsid w:val="008017F5"/>
    <w:rsid w:val="00803F5D"/>
    <w:rsid w:val="00804DA2"/>
    <w:rsid w:val="0080776D"/>
    <w:rsid w:val="00807BCE"/>
    <w:rsid w:val="00810145"/>
    <w:rsid w:val="008108FA"/>
    <w:rsid w:val="00810FF1"/>
    <w:rsid w:val="00811F35"/>
    <w:rsid w:val="00816565"/>
    <w:rsid w:val="00817D63"/>
    <w:rsid w:val="00821A77"/>
    <w:rsid w:val="00822336"/>
    <w:rsid w:val="00823DFA"/>
    <w:rsid w:val="00824DA1"/>
    <w:rsid w:val="00827145"/>
    <w:rsid w:val="00830A5B"/>
    <w:rsid w:val="008364ED"/>
    <w:rsid w:val="00836BC1"/>
    <w:rsid w:val="00842DB7"/>
    <w:rsid w:val="00843752"/>
    <w:rsid w:val="008441C8"/>
    <w:rsid w:val="00844255"/>
    <w:rsid w:val="00844674"/>
    <w:rsid w:val="0084479F"/>
    <w:rsid w:val="0084681C"/>
    <w:rsid w:val="00847B21"/>
    <w:rsid w:val="00853669"/>
    <w:rsid w:val="0085725E"/>
    <w:rsid w:val="008633AE"/>
    <w:rsid w:val="008640A0"/>
    <w:rsid w:val="00873D4F"/>
    <w:rsid w:val="0087509F"/>
    <w:rsid w:val="00885B09"/>
    <w:rsid w:val="00886EB3"/>
    <w:rsid w:val="00891A40"/>
    <w:rsid w:val="00892400"/>
    <w:rsid w:val="00892DBB"/>
    <w:rsid w:val="00893719"/>
    <w:rsid w:val="008A0E68"/>
    <w:rsid w:val="008A209D"/>
    <w:rsid w:val="008A22BB"/>
    <w:rsid w:val="008A4216"/>
    <w:rsid w:val="008A64F8"/>
    <w:rsid w:val="008A79F9"/>
    <w:rsid w:val="008B035D"/>
    <w:rsid w:val="008B0E29"/>
    <w:rsid w:val="008B0EFA"/>
    <w:rsid w:val="008B284F"/>
    <w:rsid w:val="008B30AB"/>
    <w:rsid w:val="008B350F"/>
    <w:rsid w:val="008C3BB8"/>
    <w:rsid w:val="008C4B65"/>
    <w:rsid w:val="008D446E"/>
    <w:rsid w:val="008E1DFF"/>
    <w:rsid w:val="008E5F55"/>
    <w:rsid w:val="008E7662"/>
    <w:rsid w:val="009009E7"/>
    <w:rsid w:val="00905DEF"/>
    <w:rsid w:val="00906056"/>
    <w:rsid w:val="009122AE"/>
    <w:rsid w:val="00913B43"/>
    <w:rsid w:val="00922315"/>
    <w:rsid w:val="00924A6C"/>
    <w:rsid w:val="00930203"/>
    <w:rsid w:val="00930BFE"/>
    <w:rsid w:val="00930EAE"/>
    <w:rsid w:val="009310A2"/>
    <w:rsid w:val="009311D2"/>
    <w:rsid w:val="009311E6"/>
    <w:rsid w:val="00931275"/>
    <w:rsid w:val="009351D6"/>
    <w:rsid w:val="00936AC7"/>
    <w:rsid w:val="00937307"/>
    <w:rsid w:val="00952E62"/>
    <w:rsid w:val="00953B64"/>
    <w:rsid w:val="00961981"/>
    <w:rsid w:val="00963D2E"/>
    <w:rsid w:val="009646A7"/>
    <w:rsid w:val="00965052"/>
    <w:rsid w:val="00970A88"/>
    <w:rsid w:val="00976760"/>
    <w:rsid w:val="009818A1"/>
    <w:rsid w:val="00981F69"/>
    <w:rsid w:val="00985528"/>
    <w:rsid w:val="00990937"/>
    <w:rsid w:val="009936AA"/>
    <w:rsid w:val="009943F1"/>
    <w:rsid w:val="00994874"/>
    <w:rsid w:val="00997001"/>
    <w:rsid w:val="009A1674"/>
    <w:rsid w:val="009A3C37"/>
    <w:rsid w:val="009B38BE"/>
    <w:rsid w:val="009B4D92"/>
    <w:rsid w:val="009B4DF2"/>
    <w:rsid w:val="009B5112"/>
    <w:rsid w:val="009C2A9C"/>
    <w:rsid w:val="009C511E"/>
    <w:rsid w:val="009C684F"/>
    <w:rsid w:val="009D074C"/>
    <w:rsid w:val="009D22C5"/>
    <w:rsid w:val="009D2602"/>
    <w:rsid w:val="009D3538"/>
    <w:rsid w:val="009D6E73"/>
    <w:rsid w:val="009E0E8F"/>
    <w:rsid w:val="009E15A1"/>
    <w:rsid w:val="009E5636"/>
    <w:rsid w:val="009F1F1D"/>
    <w:rsid w:val="009F200C"/>
    <w:rsid w:val="009F2105"/>
    <w:rsid w:val="009F2B4F"/>
    <w:rsid w:val="009F3C63"/>
    <w:rsid w:val="009F66B5"/>
    <w:rsid w:val="00A02F10"/>
    <w:rsid w:val="00A04404"/>
    <w:rsid w:val="00A1060C"/>
    <w:rsid w:val="00A16221"/>
    <w:rsid w:val="00A20A7D"/>
    <w:rsid w:val="00A21C28"/>
    <w:rsid w:val="00A241C0"/>
    <w:rsid w:val="00A349AA"/>
    <w:rsid w:val="00A35D42"/>
    <w:rsid w:val="00A40687"/>
    <w:rsid w:val="00A44164"/>
    <w:rsid w:val="00A4620F"/>
    <w:rsid w:val="00A46CCF"/>
    <w:rsid w:val="00A506DE"/>
    <w:rsid w:val="00A512B5"/>
    <w:rsid w:val="00A53451"/>
    <w:rsid w:val="00A5382B"/>
    <w:rsid w:val="00A542DF"/>
    <w:rsid w:val="00A70426"/>
    <w:rsid w:val="00A707CC"/>
    <w:rsid w:val="00A71119"/>
    <w:rsid w:val="00A7137F"/>
    <w:rsid w:val="00A71410"/>
    <w:rsid w:val="00A7355E"/>
    <w:rsid w:val="00A74890"/>
    <w:rsid w:val="00A90762"/>
    <w:rsid w:val="00A91E9A"/>
    <w:rsid w:val="00A93A34"/>
    <w:rsid w:val="00A93ED9"/>
    <w:rsid w:val="00A96221"/>
    <w:rsid w:val="00A96595"/>
    <w:rsid w:val="00AA333E"/>
    <w:rsid w:val="00AA40AA"/>
    <w:rsid w:val="00AA49FC"/>
    <w:rsid w:val="00AA5E76"/>
    <w:rsid w:val="00AA771E"/>
    <w:rsid w:val="00AB3EE9"/>
    <w:rsid w:val="00AB5F92"/>
    <w:rsid w:val="00AC2DBB"/>
    <w:rsid w:val="00AC6A99"/>
    <w:rsid w:val="00AC73B3"/>
    <w:rsid w:val="00AD3F0F"/>
    <w:rsid w:val="00AD4C50"/>
    <w:rsid w:val="00AD5525"/>
    <w:rsid w:val="00AD6048"/>
    <w:rsid w:val="00AE0255"/>
    <w:rsid w:val="00AE4243"/>
    <w:rsid w:val="00AE6AA5"/>
    <w:rsid w:val="00B055EF"/>
    <w:rsid w:val="00B06B5B"/>
    <w:rsid w:val="00B17342"/>
    <w:rsid w:val="00B23595"/>
    <w:rsid w:val="00B23769"/>
    <w:rsid w:val="00B261B5"/>
    <w:rsid w:val="00B34375"/>
    <w:rsid w:val="00B40A2D"/>
    <w:rsid w:val="00B41789"/>
    <w:rsid w:val="00B41A5B"/>
    <w:rsid w:val="00B42828"/>
    <w:rsid w:val="00B439E2"/>
    <w:rsid w:val="00B55252"/>
    <w:rsid w:val="00B62349"/>
    <w:rsid w:val="00B631C8"/>
    <w:rsid w:val="00B633A5"/>
    <w:rsid w:val="00B74955"/>
    <w:rsid w:val="00B75694"/>
    <w:rsid w:val="00B76038"/>
    <w:rsid w:val="00B81808"/>
    <w:rsid w:val="00B86DFA"/>
    <w:rsid w:val="00B936D0"/>
    <w:rsid w:val="00BA5B0E"/>
    <w:rsid w:val="00BA5B8F"/>
    <w:rsid w:val="00BA62BE"/>
    <w:rsid w:val="00BA766E"/>
    <w:rsid w:val="00BB15FB"/>
    <w:rsid w:val="00BB2C95"/>
    <w:rsid w:val="00BB32EA"/>
    <w:rsid w:val="00BC472E"/>
    <w:rsid w:val="00BC5693"/>
    <w:rsid w:val="00BC6438"/>
    <w:rsid w:val="00BD0830"/>
    <w:rsid w:val="00BD3D5B"/>
    <w:rsid w:val="00BE1CD4"/>
    <w:rsid w:val="00BE3600"/>
    <w:rsid w:val="00BF7720"/>
    <w:rsid w:val="00C01F6F"/>
    <w:rsid w:val="00C041EA"/>
    <w:rsid w:val="00C04E70"/>
    <w:rsid w:val="00C13BBD"/>
    <w:rsid w:val="00C13EDF"/>
    <w:rsid w:val="00C149AB"/>
    <w:rsid w:val="00C16929"/>
    <w:rsid w:val="00C172B5"/>
    <w:rsid w:val="00C20690"/>
    <w:rsid w:val="00C23360"/>
    <w:rsid w:val="00C24E07"/>
    <w:rsid w:val="00C26ED6"/>
    <w:rsid w:val="00C27173"/>
    <w:rsid w:val="00C36020"/>
    <w:rsid w:val="00C402D6"/>
    <w:rsid w:val="00C40694"/>
    <w:rsid w:val="00C479BF"/>
    <w:rsid w:val="00C5124B"/>
    <w:rsid w:val="00C51E16"/>
    <w:rsid w:val="00C60112"/>
    <w:rsid w:val="00C613EF"/>
    <w:rsid w:val="00C64C0F"/>
    <w:rsid w:val="00C67C9F"/>
    <w:rsid w:val="00C70542"/>
    <w:rsid w:val="00C71AFC"/>
    <w:rsid w:val="00C72F5B"/>
    <w:rsid w:val="00C75CBF"/>
    <w:rsid w:val="00C82077"/>
    <w:rsid w:val="00C90BC6"/>
    <w:rsid w:val="00C929E7"/>
    <w:rsid w:val="00CA4721"/>
    <w:rsid w:val="00CA495A"/>
    <w:rsid w:val="00CB03D0"/>
    <w:rsid w:val="00CB07A0"/>
    <w:rsid w:val="00CB16EC"/>
    <w:rsid w:val="00CC2894"/>
    <w:rsid w:val="00CC4298"/>
    <w:rsid w:val="00CC462A"/>
    <w:rsid w:val="00CC64BE"/>
    <w:rsid w:val="00CD77C3"/>
    <w:rsid w:val="00CE112C"/>
    <w:rsid w:val="00CE300C"/>
    <w:rsid w:val="00CE6A8D"/>
    <w:rsid w:val="00CF396C"/>
    <w:rsid w:val="00CF4810"/>
    <w:rsid w:val="00CF55D4"/>
    <w:rsid w:val="00CF7A2C"/>
    <w:rsid w:val="00D122E2"/>
    <w:rsid w:val="00D13495"/>
    <w:rsid w:val="00D13CE8"/>
    <w:rsid w:val="00D158DA"/>
    <w:rsid w:val="00D20E6F"/>
    <w:rsid w:val="00D25183"/>
    <w:rsid w:val="00D26222"/>
    <w:rsid w:val="00D348AD"/>
    <w:rsid w:val="00D41AD1"/>
    <w:rsid w:val="00D42845"/>
    <w:rsid w:val="00D46D87"/>
    <w:rsid w:val="00D57D1B"/>
    <w:rsid w:val="00D608DA"/>
    <w:rsid w:val="00D7265B"/>
    <w:rsid w:val="00D730BF"/>
    <w:rsid w:val="00D8236D"/>
    <w:rsid w:val="00D83D5A"/>
    <w:rsid w:val="00D85296"/>
    <w:rsid w:val="00D852F4"/>
    <w:rsid w:val="00D96D0B"/>
    <w:rsid w:val="00DB1110"/>
    <w:rsid w:val="00DB3730"/>
    <w:rsid w:val="00DC371B"/>
    <w:rsid w:val="00DC3788"/>
    <w:rsid w:val="00DC76C7"/>
    <w:rsid w:val="00DD09F5"/>
    <w:rsid w:val="00DD0E02"/>
    <w:rsid w:val="00DD2C00"/>
    <w:rsid w:val="00DD4201"/>
    <w:rsid w:val="00DD5E9F"/>
    <w:rsid w:val="00DE5711"/>
    <w:rsid w:val="00DF61E9"/>
    <w:rsid w:val="00DF7EF3"/>
    <w:rsid w:val="00E00EA0"/>
    <w:rsid w:val="00E021CB"/>
    <w:rsid w:val="00E042B2"/>
    <w:rsid w:val="00E043CE"/>
    <w:rsid w:val="00E04DD2"/>
    <w:rsid w:val="00E11A68"/>
    <w:rsid w:val="00E138F1"/>
    <w:rsid w:val="00E2309D"/>
    <w:rsid w:val="00E26758"/>
    <w:rsid w:val="00E3673A"/>
    <w:rsid w:val="00E369A5"/>
    <w:rsid w:val="00E42B17"/>
    <w:rsid w:val="00E4357B"/>
    <w:rsid w:val="00E443A7"/>
    <w:rsid w:val="00E45904"/>
    <w:rsid w:val="00E45D89"/>
    <w:rsid w:val="00E46A5B"/>
    <w:rsid w:val="00E55985"/>
    <w:rsid w:val="00E63DE5"/>
    <w:rsid w:val="00E647AF"/>
    <w:rsid w:val="00E647C7"/>
    <w:rsid w:val="00E65A37"/>
    <w:rsid w:val="00E65EF7"/>
    <w:rsid w:val="00E71775"/>
    <w:rsid w:val="00E717A7"/>
    <w:rsid w:val="00E76215"/>
    <w:rsid w:val="00E77B48"/>
    <w:rsid w:val="00E857FB"/>
    <w:rsid w:val="00E91799"/>
    <w:rsid w:val="00E97DF8"/>
    <w:rsid w:val="00EA21FE"/>
    <w:rsid w:val="00EA31C3"/>
    <w:rsid w:val="00EA34E3"/>
    <w:rsid w:val="00EA3EAF"/>
    <w:rsid w:val="00EA6960"/>
    <w:rsid w:val="00EB7538"/>
    <w:rsid w:val="00EC1868"/>
    <w:rsid w:val="00EC7D65"/>
    <w:rsid w:val="00ED0710"/>
    <w:rsid w:val="00ED1F2B"/>
    <w:rsid w:val="00EE6445"/>
    <w:rsid w:val="00EE6468"/>
    <w:rsid w:val="00F03562"/>
    <w:rsid w:val="00F1299B"/>
    <w:rsid w:val="00F15984"/>
    <w:rsid w:val="00F207A4"/>
    <w:rsid w:val="00F25173"/>
    <w:rsid w:val="00F355AC"/>
    <w:rsid w:val="00F3667F"/>
    <w:rsid w:val="00F40CF7"/>
    <w:rsid w:val="00F4392D"/>
    <w:rsid w:val="00F44194"/>
    <w:rsid w:val="00F45D1A"/>
    <w:rsid w:val="00F54943"/>
    <w:rsid w:val="00F706A2"/>
    <w:rsid w:val="00F70B0F"/>
    <w:rsid w:val="00F71A5A"/>
    <w:rsid w:val="00F72594"/>
    <w:rsid w:val="00F734AC"/>
    <w:rsid w:val="00F73A1A"/>
    <w:rsid w:val="00F753CD"/>
    <w:rsid w:val="00F7561B"/>
    <w:rsid w:val="00F769E0"/>
    <w:rsid w:val="00F806F3"/>
    <w:rsid w:val="00F81050"/>
    <w:rsid w:val="00F948B2"/>
    <w:rsid w:val="00F96BE0"/>
    <w:rsid w:val="00F97302"/>
    <w:rsid w:val="00FA26FA"/>
    <w:rsid w:val="00FA4A46"/>
    <w:rsid w:val="00FA75FE"/>
    <w:rsid w:val="00FA7EA1"/>
    <w:rsid w:val="00FB1032"/>
    <w:rsid w:val="00FB1B6A"/>
    <w:rsid w:val="00FB296A"/>
    <w:rsid w:val="00FB39BC"/>
    <w:rsid w:val="00FB6A53"/>
    <w:rsid w:val="00FC11CA"/>
    <w:rsid w:val="00FC6BDE"/>
    <w:rsid w:val="00FD0E26"/>
    <w:rsid w:val="00FD1E65"/>
    <w:rsid w:val="00FD2CF8"/>
    <w:rsid w:val="00FD3FFE"/>
    <w:rsid w:val="00FD641E"/>
    <w:rsid w:val="00FE0BC5"/>
    <w:rsid w:val="00FE17F4"/>
    <w:rsid w:val="00FE62D6"/>
    <w:rsid w:val="00FF0229"/>
    <w:rsid w:val="00FF4D37"/>
    <w:rsid w:val="00FF6138"/>
    <w:rsid w:val="09A43C04"/>
    <w:rsid w:val="0A95DEAA"/>
    <w:rsid w:val="0B04A754"/>
    <w:rsid w:val="140FB8AC"/>
    <w:rsid w:val="25ADF4C8"/>
    <w:rsid w:val="26FFC38E"/>
    <w:rsid w:val="3352C24A"/>
    <w:rsid w:val="3D62FFC0"/>
    <w:rsid w:val="3D7D528B"/>
    <w:rsid w:val="3EC56AA2"/>
    <w:rsid w:val="3FE068A0"/>
    <w:rsid w:val="48377EF6"/>
    <w:rsid w:val="4B8AC54D"/>
    <w:rsid w:val="4D99B94D"/>
    <w:rsid w:val="57FA07A0"/>
    <w:rsid w:val="5B8287CF"/>
    <w:rsid w:val="6ECB78D6"/>
    <w:rsid w:val="70D8184A"/>
    <w:rsid w:val="7520388B"/>
    <w:rsid w:val="7E95DCE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70676EE2"/>
  <w15:chartTrackingRefBased/>
  <w15:docId w15:val="{D89F0FD7-BABB-4B27-858F-454817F9C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5591A"/>
    <w:rPr>
      <w:sz w:val="24"/>
      <w:szCs w:val="24"/>
    </w:rPr>
  </w:style>
  <w:style w:type="paragraph" w:styleId="Heading1">
    <w:name w:val="heading 1"/>
    <w:basedOn w:val="Normal"/>
    <w:next w:val="Normal"/>
    <w:link w:val="Heading1Char"/>
    <w:qFormat/>
    <w:rsid w:val="00216238"/>
    <w:pPr>
      <w:numPr>
        <w:numId w:val="22"/>
      </w:numPr>
      <w:spacing w:after="200" w:line="276" w:lineRule="auto"/>
      <w:outlineLvl w:val="0"/>
    </w:pPr>
    <w:rPr>
      <w:rFonts w:eastAsia="Calibr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HTML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HTML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uiPriority w:val="59"/>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aliases w:val="Bullet List,Bulletr List Paragraph,FooterText,List Paragraph1,List Paragraph2,List Paragraph21,Listeafsnit1,Listenabsatz,Paragraphe de liste1,Parágrafo da Lista1,Response list,Response options,cS List Paragraph,numbered,q,qq,列出段落,列出段落1"/>
    <w:basedOn w:val="Normal"/>
    <w:link w:val="ListParagraphChar"/>
    <w:uiPriority w:val="34"/>
    <w:qFormat/>
    <w:rsid w:val="009D6E73"/>
    <w:pPr>
      <w:ind w:left="720"/>
    </w:pPr>
  </w:style>
  <w:style w:type="character" w:styleId="Hyperlink">
    <w:name w:val="Hyperlink"/>
    <w:rsid w:val="0010493E"/>
    <w:rPr>
      <w:color w:val="0563C1"/>
      <w:u w:val="single"/>
    </w:rPr>
  </w:style>
  <w:style w:type="character" w:styleId="UnresolvedMention">
    <w:name w:val="Unresolved Mention"/>
    <w:uiPriority w:val="99"/>
    <w:unhideWhenUsed/>
    <w:rsid w:val="0010493E"/>
    <w:rPr>
      <w:color w:val="605E5C"/>
      <w:shd w:val="clear" w:color="auto" w:fill="E1DFDD"/>
    </w:rPr>
  </w:style>
  <w:style w:type="character" w:styleId="FollowedHyperlink">
    <w:name w:val="FollowedHyperlink"/>
    <w:rsid w:val="00A506DE"/>
    <w:rPr>
      <w:color w:val="954F72"/>
      <w:u w:val="single"/>
    </w:rPr>
  </w:style>
  <w:style w:type="paragraph" w:customStyle="1" w:styleId="Default">
    <w:name w:val="Default"/>
    <w:rsid w:val="00A506DE"/>
    <w:pPr>
      <w:autoSpaceDE w:val="0"/>
      <w:autoSpaceDN w:val="0"/>
      <w:adjustRightInd w:val="0"/>
    </w:pPr>
    <w:rPr>
      <w:color w:val="000000"/>
      <w:sz w:val="24"/>
      <w:szCs w:val="24"/>
    </w:rPr>
  </w:style>
  <w:style w:type="paragraph" w:styleId="Header">
    <w:name w:val="header"/>
    <w:basedOn w:val="Normal"/>
    <w:link w:val="HeaderChar"/>
    <w:uiPriority w:val="99"/>
    <w:rsid w:val="003C0FE2"/>
    <w:pPr>
      <w:tabs>
        <w:tab w:val="center" w:pos="4680"/>
        <w:tab w:val="right" w:pos="9360"/>
      </w:tabs>
    </w:pPr>
  </w:style>
  <w:style w:type="character" w:customStyle="1" w:styleId="HeaderChar">
    <w:name w:val="Header Char"/>
    <w:link w:val="Header"/>
    <w:uiPriority w:val="99"/>
    <w:rsid w:val="003C0FE2"/>
    <w:rPr>
      <w:sz w:val="24"/>
      <w:szCs w:val="24"/>
    </w:rPr>
  </w:style>
  <w:style w:type="character" w:customStyle="1" w:styleId="BodyText2Char">
    <w:name w:val="Body Text 2 Char"/>
    <w:link w:val="BodyText2"/>
    <w:rsid w:val="00886EB3"/>
    <w:rPr>
      <w:sz w:val="24"/>
    </w:rPr>
  </w:style>
  <w:style w:type="paragraph" w:styleId="BodyText">
    <w:name w:val="Body Text"/>
    <w:basedOn w:val="Normal"/>
    <w:link w:val="BodyTextChar"/>
    <w:rsid w:val="00196E13"/>
    <w:pPr>
      <w:spacing w:after="120"/>
    </w:pPr>
  </w:style>
  <w:style w:type="character" w:customStyle="1" w:styleId="BodyTextChar">
    <w:name w:val="Body Text Char"/>
    <w:basedOn w:val="DefaultParagraphFont"/>
    <w:link w:val="BodyText"/>
    <w:rsid w:val="00196E13"/>
    <w:rPr>
      <w:sz w:val="24"/>
      <w:szCs w:val="24"/>
    </w:rPr>
  </w:style>
  <w:style w:type="character" w:styleId="CommentReference">
    <w:name w:val="annotation reference"/>
    <w:basedOn w:val="DefaultParagraphFont"/>
    <w:rsid w:val="00196E13"/>
    <w:rPr>
      <w:sz w:val="16"/>
      <w:szCs w:val="16"/>
    </w:rPr>
  </w:style>
  <w:style w:type="paragraph" w:styleId="CommentText">
    <w:name w:val="annotation text"/>
    <w:basedOn w:val="Normal"/>
    <w:link w:val="CommentTextChar"/>
    <w:rsid w:val="00196E13"/>
    <w:rPr>
      <w:sz w:val="20"/>
      <w:szCs w:val="20"/>
    </w:rPr>
  </w:style>
  <w:style w:type="character" w:customStyle="1" w:styleId="CommentTextChar">
    <w:name w:val="Comment Text Char"/>
    <w:basedOn w:val="DefaultParagraphFont"/>
    <w:link w:val="CommentText"/>
    <w:rsid w:val="00196E13"/>
  </w:style>
  <w:style w:type="paragraph" w:styleId="CommentSubject">
    <w:name w:val="annotation subject"/>
    <w:basedOn w:val="CommentText"/>
    <w:next w:val="CommentText"/>
    <w:link w:val="CommentSubjectChar"/>
    <w:rsid w:val="00196E13"/>
    <w:rPr>
      <w:b/>
      <w:bCs/>
    </w:rPr>
  </w:style>
  <w:style w:type="character" w:customStyle="1" w:styleId="CommentSubjectChar">
    <w:name w:val="Comment Subject Char"/>
    <w:basedOn w:val="CommentTextChar"/>
    <w:link w:val="CommentSubject"/>
    <w:rsid w:val="00196E13"/>
    <w:rPr>
      <w:b/>
      <w:bCs/>
    </w:rPr>
  </w:style>
  <w:style w:type="paragraph" w:customStyle="1" w:styleId="bullets">
    <w:name w:val="bullets"/>
    <w:basedOn w:val="Normal"/>
    <w:rsid w:val="00196E13"/>
    <w:pPr>
      <w:numPr>
        <w:numId w:val="16"/>
      </w:numPr>
      <w:spacing w:after="160"/>
    </w:pPr>
    <w:rPr>
      <w:rFonts w:ascii="Verdana" w:eastAsia="SimSun" w:hAnsi="Verdana"/>
      <w:sz w:val="20"/>
      <w:szCs w:val="22"/>
      <w:lang w:eastAsia="zh-CN"/>
    </w:rPr>
  </w:style>
  <w:style w:type="character" w:customStyle="1" w:styleId="ListParagraphChar">
    <w:name w:val="List Paragraph Char"/>
    <w:aliases w:val="Bullet List Char,Bulletr List Paragraph Char,FooterText Char,List Paragraph1 Char,List Paragraph2 Char,Listeafsnit1 Char,Paragraphe de liste1 Char,Parágrafo da Lista1 Char,cS List Paragraph Char,numbered Char,列出段落 Char,列出段落1 Char"/>
    <w:link w:val="ListParagraph"/>
    <w:uiPriority w:val="34"/>
    <w:rsid w:val="000E50AE"/>
    <w:rPr>
      <w:sz w:val="24"/>
      <w:szCs w:val="24"/>
    </w:rPr>
  </w:style>
  <w:style w:type="paragraph" w:customStyle="1" w:styleId="FigureTitle">
    <w:name w:val="Figure Title"/>
    <w:basedOn w:val="Normal"/>
    <w:uiPriority w:val="99"/>
    <w:rsid w:val="00FA26FA"/>
    <w:pPr>
      <w:keepNext/>
      <w:keepLines/>
      <w:spacing w:before="240" w:after="240"/>
    </w:pPr>
    <w:rPr>
      <w:b/>
      <w:szCs w:val="20"/>
    </w:rPr>
  </w:style>
  <w:style w:type="character" w:customStyle="1" w:styleId="Heading1Char">
    <w:name w:val="Heading 1 Char"/>
    <w:basedOn w:val="DefaultParagraphFont"/>
    <w:link w:val="Heading1"/>
    <w:rsid w:val="00216238"/>
    <w:rPr>
      <w:rFonts w:eastAsia="Calibri"/>
      <w:sz w:val="24"/>
      <w:szCs w:val="24"/>
      <w:u w:val="single"/>
    </w:rPr>
  </w:style>
  <w:style w:type="paragraph" w:styleId="NoSpacing">
    <w:name w:val="No Spacing"/>
    <w:uiPriority w:val="1"/>
    <w:qFormat/>
    <w:rsid w:val="004E2980"/>
    <w:rPr>
      <w:sz w:val="24"/>
      <w:szCs w:val="24"/>
    </w:rPr>
  </w:style>
  <w:style w:type="character" w:styleId="Mention">
    <w:name w:val="Mention"/>
    <w:basedOn w:val="DefaultParagraphFont"/>
    <w:uiPriority w:val="99"/>
    <w:unhideWhenUsed/>
    <w:rsid w:val="00F15984"/>
    <w:rPr>
      <w:color w:val="2B579A"/>
      <w:shd w:val="clear" w:color="auto" w:fill="E1DFDD"/>
    </w:rPr>
  </w:style>
  <w:style w:type="character" w:styleId="Emphasis">
    <w:name w:val="Emphasis"/>
    <w:basedOn w:val="DefaultParagraphFont"/>
    <w:uiPriority w:val="20"/>
    <w:qFormat/>
    <w:rsid w:val="00961981"/>
    <w:rPr>
      <w:i/>
      <w:iCs/>
    </w:rPr>
  </w:style>
  <w:style w:type="paragraph" w:styleId="Revision">
    <w:name w:val="Revision"/>
    <w:hidden/>
    <w:uiPriority w:val="99"/>
    <w:semiHidden/>
    <w:rsid w:val="001709C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lbaum@rti.org" TargetMode="External" /><Relationship Id="rId11" Type="http://schemas.openxmlformats.org/officeDocument/2006/relationships/hyperlink" Target="https://www.bls.gov/oes/current/oes_nat.htm" TargetMode="External" /><Relationship Id="rId12" Type="http://schemas.openxmlformats.org/officeDocument/2006/relationships/hyperlink" Target="https://www.opm.gov/" TargetMode="External" /><Relationship Id="rId13" Type="http://schemas.openxmlformats.org/officeDocument/2006/relationships/hyperlink" Target="https://nam04.safelinks.protection.outlook.com/?url=https%3A%2F%2Fwww.cpsc.gov%2Fcgibin%2FNEISSQuery%2Fhome.aspx&amp;data=05%7C01%7Cjpepper%40rti.org%7C5880fdd7e3a64ce547fa08da80876aa4%7C2ffc2ede4d4449948082487341fa43fb%7C0%7C0%7C637963616494344326%7CUnknown%7CTWFpbGZsb3d8eyJWIjoiMC4wLjAwMDAiLCJQIjoiV2luMzIiLCJBTiI6Ik1haWwiLCJXVCI6Mn0%3D%7C3000%7C%7C%7C&amp;sdata=BhwlMis54otZIOVQRQ4dK8iTrpxOA5CkpnaAdJwadrQ%3D&amp;reserved=0" TargetMode="External" /><Relationship Id="rId14" Type="http://schemas.openxmlformats.org/officeDocument/2006/relationships/hyperlink" Target="http://dx.doi.org/10.1093/ntr/ntv208" TargetMode="External" /><Relationship Id="rId15" Type="http://schemas.openxmlformats.org/officeDocument/2006/relationships/hyperlink" Target="https://www.fda.gov/RegulatoryInformation/Guidances/ucm126429.htm" TargetMode="External"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Matthew.Walker@fda.hhs.gov" TargetMode="External" /><Relationship Id="rId6" Type="http://schemas.openxmlformats.org/officeDocument/2006/relationships/hyperlink" Target="mailto:chelsea.mckinney@fda.hhs.gov" TargetMode="External" /><Relationship Id="rId7" Type="http://schemas.openxmlformats.org/officeDocument/2006/relationships/hyperlink" Target="mailto:alexander.persoskie@fda.hhs.gov" TargetMode="External" /><Relationship Id="rId8" Type="http://schemas.openxmlformats.org/officeDocument/2006/relationships/hyperlink" Target="mailto:ecrankshaw@rti.org" TargetMode="External" /><Relationship Id="rId9" Type="http://schemas.openxmlformats.org/officeDocument/2006/relationships/hyperlink" Target="mailto:meggers@rti.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C0D832-7AD0-4B6C-8802-7DD7A6462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5107</Words>
  <Characters>30001</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Capezzuto, JonnaLynn</dc:creator>
  <cp:lastModifiedBy>Capezzuto, JonnaLynn</cp:lastModifiedBy>
  <cp:revision>2</cp:revision>
  <dcterms:created xsi:type="dcterms:W3CDTF">2022-11-28T23:59:00Z</dcterms:created>
  <dcterms:modified xsi:type="dcterms:W3CDTF">2022-11-28T23:59:00Z</dcterms:modified>
</cp:coreProperties>
</file>