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4605" w:rsidP="001A4605" w14:paraId="551DFBA9" w14:textId="2AF3345C">
      <w:pPr>
        <w:pStyle w:val="Header"/>
        <w:contextualSpacing/>
        <w:jc w:val="center"/>
        <w:rPr>
          <w:rFonts w:ascii="Times New Roman" w:hAnsi="Times New Roman"/>
          <w:b/>
          <w:sz w:val="22"/>
        </w:rPr>
      </w:pPr>
      <w:bookmarkStart w:id="0" w:name="_Hlk46925286"/>
      <w:bookmarkStart w:id="1" w:name="_Hlk4767951"/>
      <w:r>
        <w:rPr>
          <w:rFonts w:ascii="Times New Roman" w:hAnsi="Times New Roman"/>
          <w:b/>
          <w:sz w:val="22"/>
        </w:rPr>
        <w:t>U.S. Food and Drug Administration</w:t>
      </w:r>
    </w:p>
    <w:p w:rsidR="001A4605" w:rsidP="001A4605" w14:paraId="4F2C8816" w14:textId="1C3DFC16">
      <w:pPr>
        <w:pStyle w:val="Header"/>
        <w:contextualSpacing/>
        <w:jc w:val="center"/>
        <w:rPr>
          <w:rFonts w:ascii="Times New Roman" w:hAnsi="Times New Roman"/>
          <w:b/>
          <w:sz w:val="22"/>
        </w:rPr>
      </w:pPr>
      <w:r>
        <w:rPr>
          <w:rFonts w:ascii="Times New Roman" w:hAnsi="Times New Roman"/>
          <w:b/>
          <w:sz w:val="22"/>
        </w:rPr>
        <w:t>Center for Tobacco Products</w:t>
      </w:r>
    </w:p>
    <w:p w:rsidR="000F0744" w:rsidP="001F2A01" w14:paraId="3FDF7219" w14:textId="42708F4D">
      <w:pPr>
        <w:pStyle w:val="Header"/>
        <w:contextualSpacing/>
        <w:jc w:val="center"/>
        <w:rPr>
          <w:rFonts w:ascii="Times New Roman" w:hAnsi="Times New Roman"/>
          <w:b/>
          <w:sz w:val="22"/>
        </w:rPr>
      </w:pPr>
      <w:r>
        <w:rPr>
          <w:rFonts w:ascii="Times New Roman" w:hAnsi="Times New Roman"/>
          <w:b/>
          <w:sz w:val="22"/>
        </w:rPr>
        <w:t xml:space="preserve">OMB </w:t>
      </w:r>
      <w:r w:rsidR="009029B4">
        <w:rPr>
          <w:rFonts w:ascii="Times New Roman" w:hAnsi="Times New Roman"/>
          <w:b/>
          <w:sz w:val="22"/>
        </w:rPr>
        <w:t xml:space="preserve">Control </w:t>
      </w:r>
      <w:r>
        <w:rPr>
          <w:rFonts w:ascii="Times New Roman" w:hAnsi="Times New Roman"/>
          <w:b/>
          <w:sz w:val="22"/>
        </w:rPr>
        <w:t>No. 0910-0</w:t>
      </w:r>
      <w:r w:rsidR="00E16A42">
        <w:rPr>
          <w:rFonts w:ascii="Times New Roman" w:hAnsi="Times New Roman"/>
          <w:b/>
          <w:sz w:val="22"/>
        </w:rPr>
        <w:t>810</w:t>
      </w:r>
    </w:p>
    <w:bookmarkEnd w:id="0"/>
    <w:p w:rsidR="000F0744" w:rsidP="00CE3249" w14:paraId="13EBB7B1" w14:textId="77777777">
      <w:pPr>
        <w:pStyle w:val="Header"/>
        <w:contextualSpacing/>
        <w:jc w:val="center"/>
        <w:rPr>
          <w:rFonts w:ascii="Times New Roman" w:hAnsi="Times New Roman"/>
          <w:b/>
          <w:sz w:val="22"/>
        </w:rPr>
      </w:pPr>
    </w:p>
    <w:p w:rsidR="00CE3249" w:rsidP="00CE3249" w14:paraId="17B37905" w14:textId="67850962">
      <w:pPr>
        <w:pStyle w:val="Header"/>
        <w:contextualSpacing/>
        <w:jc w:val="center"/>
      </w:pPr>
      <w:r w:rsidRPr="232A898F">
        <w:rPr>
          <w:rFonts w:ascii="Times New Roman" w:hAnsi="Times New Roman"/>
          <w:b/>
          <w:bCs/>
          <w:sz w:val="22"/>
        </w:rPr>
        <w:t>Monthly Monitoring Study: Little Cigar</w:t>
      </w:r>
      <w:r w:rsidRPr="232A898F" w:rsidR="004E1E41">
        <w:rPr>
          <w:rFonts w:ascii="Times New Roman" w:hAnsi="Times New Roman"/>
          <w:b/>
          <w:bCs/>
          <w:sz w:val="22"/>
        </w:rPr>
        <w:t>,</w:t>
      </w:r>
      <w:r w:rsidRPr="232A898F">
        <w:rPr>
          <w:rFonts w:ascii="Times New Roman" w:hAnsi="Times New Roman"/>
          <w:b/>
          <w:bCs/>
          <w:sz w:val="22"/>
        </w:rPr>
        <w:t xml:space="preserve"> Cigarillo</w:t>
      </w:r>
      <w:r w:rsidRPr="232A898F" w:rsidR="002254C1">
        <w:rPr>
          <w:rFonts w:ascii="Times New Roman" w:hAnsi="Times New Roman"/>
          <w:b/>
          <w:bCs/>
          <w:sz w:val="22"/>
        </w:rPr>
        <w:t>,</w:t>
      </w:r>
      <w:r w:rsidRPr="232A898F">
        <w:rPr>
          <w:rFonts w:ascii="Times New Roman" w:hAnsi="Times New Roman"/>
          <w:b/>
          <w:bCs/>
          <w:sz w:val="22"/>
        </w:rPr>
        <w:t xml:space="preserve"> </w:t>
      </w:r>
      <w:r w:rsidRPr="232A898F" w:rsidR="004E1E41">
        <w:rPr>
          <w:rFonts w:ascii="Times New Roman" w:hAnsi="Times New Roman"/>
          <w:b/>
          <w:bCs/>
          <w:sz w:val="22"/>
        </w:rPr>
        <w:t>and Blunt</w:t>
      </w:r>
      <w:r w:rsidRPr="232A898F" w:rsidR="00460AE5">
        <w:rPr>
          <w:rFonts w:ascii="Times New Roman" w:hAnsi="Times New Roman"/>
          <w:b/>
          <w:bCs/>
          <w:sz w:val="22"/>
        </w:rPr>
        <w:t xml:space="preserve"> Use</w:t>
      </w:r>
      <w:r w:rsidRPr="232A898F" w:rsidR="004E1E41">
        <w:rPr>
          <w:rFonts w:ascii="Times New Roman" w:hAnsi="Times New Roman"/>
          <w:b/>
          <w:bCs/>
          <w:sz w:val="22"/>
        </w:rPr>
        <w:t xml:space="preserve"> </w:t>
      </w:r>
      <w:r w:rsidRPr="232A898F">
        <w:rPr>
          <w:rFonts w:ascii="Times New Roman" w:hAnsi="Times New Roman"/>
          <w:b/>
          <w:bCs/>
          <w:sz w:val="22"/>
        </w:rPr>
        <w:t>Audience Insights Survey</w:t>
      </w:r>
    </w:p>
    <w:bookmarkEnd w:id="1"/>
    <w:p w:rsidR="00BE1FCB" w:rsidRPr="00533205" w:rsidP="00CE3249" w14:paraId="0341C426" w14:textId="342C8D1A">
      <w:pPr>
        <w:autoSpaceDE w:val="0"/>
        <w:autoSpaceDN w:val="0"/>
        <w:adjustRightInd w:val="0"/>
        <w:contextualSpacing/>
        <w:jc w:val="center"/>
        <w:rPr>
          <w:rFonts w:ascii="Times New Roman" w:eastAsia="Times New Roman" w:hAnsi="Times New Roman" w:cs="Times New Roman"/>
          <w:b/>
          <w:color w:val="000000"/>
          <w:sz w:val="22"/>
          <w:szCs w:val="28"/>
        </w:rPr>
      </w:pPr>
      <w:r w:rsidRPr="009F750E">
        <w:rPr>
          <w:rFonts w:ascii="Times New Roman" w:eastAsia="Times New Roman" w:hAnsi="Times New Roman" w:cs="Times New Roman"/>
          <w:b/>
          <w:color w:val="000000"/>
          <w:szCs w:val="28"/>
        </w:rPr>
        <w:t>Supporting Statement</w:t>
      </w:r>
      <w:r w:rsidR="001B79E7">
        <w:rPr>
          <w:rFonts w:ascii="Times New Roman" w:eastAsia="Times New Roman" w:hAnsi="Times New Roman" w:cs="Times New Roman"/>
          <w:b/>
          <w:color w:val="000000"/>
          <w:szCs w:val="28"/>
        </w:rPr>
        <w:t xml:space="preserve"> Part A</w:t>
      </w:r>
      <w:r w:rsidRPr="009F750E">
        <w:rPr>
          <w:rFonts w:ascii="Times New Roman" w:eastAsia="Times New Roman" w:hAnsi="Times New Roman" w:cs="Times New Roman"/>
          <w:b/>
          <w:color w:val="000000"/>
          <w:szCs w:val="28"/>
        </w:rPr>
        <w:t>: Summary</w:t>
      </w:r>
    </w:p>
    <w:p w:rsidR="00BE1FCB" w:rsidRPr="008265FC" w:rsidP="00BE1FCB" w14:paraId="0D0E929E" w14:textId="77777777">
      <w:pPr>
        <w:autoSpaceDE w:val="0"/>
        <w:autoSpaceDN w:val="0"/>
        <w:adjustRightInd w:val="0"/>
        <w:rPr>
          <w:rFonts w:ascii="Times New Roman" w:eastAsia="Times New Roman"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C094503" w14:textId="77777777" w:rsidTr="2EDDBB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shd w:val="clear" w:color="auto" w:fill="auto"/>
          </w:tcPr>
          <w:p w:rsidR="00105043" w:rsidP="00F3750D" w14:paraId="19C0A1AE" w14:textId="08F8255D">
            <w:pPr>
              <w:numPr>
                <w:ilvl w:val="0"/>
                <w:numId w:val="2"/>
              </w:numPr>
              <w:autoSpaceDE w:val="0"/>
              <w:autoSpaceDN w:val="0"/>
              <w:adjustRightInd w:val="0"/>
              <w:contextualSpacing/>
              <w:rPr>
                <w:rFonts w:ascii="Times New Roman" w:eastAsia="Times New Roman" w:hAnsi="Times New Roman" w:cs="Times New Roman"/>
              </w:rPr>
            </w:pPr>
            <w:r w:rsidRPr="00E9252F">
              <w:rPr>
                <w:rFonts w:ascii="Times New Roman" w:eastAsia="Times New Roman" w:hAnsi="Times New Roman" w:cs="Times New Roman"/>
              </w:rPr>
              <w:t>The goal of this study</w:t>
            </w:r>
            <w:r w:rsidR="0034447E">
              <w:rPr>
                <w:rFonts w:ascii="Times New Roman" w:eastAsia="Times New Roman" w:hAnsi="Times New Roman" w:cs="Times New Roman"/>
              </w:rPr>
              <w:t xml:space="preserve"> is</w:t>
            </w:r>
            <w:r w:rsidRPr="00E9252F">
              <w:rPr>
                <w:rFonts w:ascii="Times New Roman" w:eastAsia="Times New Roman" w:hAnsi="Times New Roman" w:cs="Times New Roman"/>
              </w:rPr>
              <w:t xml:space="preserve"> </w:t>
            </w:r>
            <w:r w:rsidRPr="001D0BA4" w:rsidR="001D0BA4">
              <w:rPr>
                <w:rFonts w:ascii="Times New Roman" w:eastAsia="Times New Roman" w:hAnsi="Times New Roman" w:cs="Times New Roman"/>
              </w:rPr>
              <w:t xml:space="preserve">to </w:t>
            </w:r>
            <w:r>
              <w:rPr>
                <w:rFonts w:ascii="Times New Roman" w:eastAsia="Times New Roman" w:hAnsi="Times New Roman" w:cs="Times New Roman"/>
              </w:rPr>
              <w:t>assess</w:t>
            </w:r>
            <w:r w:rsidRPr="001D0BA4" w:rsidR="001D0BA4">
              <w:rPr>
                <w:rFonts w:ascii="Times New Roman" w:eastAsia="Times New Roman" w:hAnsi="Times New Roman" w:cs="Times New Roman"/>
              </w:rPr>
              <w:t xml:space="preserve"> youth and young adult </w:t>
            </w:r>
            <w:r>
              <w:rPr>
                <w:rFonts w:ascii="Times New Roman" w:eastAsia="Times New Roman" w:hAnsi="Times New Roman" w:cs="Times New Roman"/>
              </w:rPr>
              <w:t xml:space="preserve">use </w:t>
            </w:r>
            <w:r w:rsidR="00D7301B">
              <w:rPr>
                <w:rFonts w:ascii="Times New Roman" w:eastAsia="Times New Roman" w:hAnsi="Times New Roman" w:cs="Times New Roman"/>
              </w:rPr>
              <w:t xml:space="preserve">of </w:t>
            </w:r>
            <w:r>
              <w:rPr>
                <w:rFonts w:ascii="Times New Roman" w:eastAsia="Times New Roman" w:hAnsi="Times New Roman" w:cs="Times New Roman"/>
              </w:rPr>
              <w:t xml:space="preserve">and </w:t>
            </w:r>
            <w:r w:rsidRPr="001D0BA4" w:rsidR="001D0BA4">
              <w:rPr>
                <w:rFonts w:ascii="Times New Roman" w:eastAsia="Times New Roman" w:hAnsi="Times New Roman" w:cs="Times New Roman"/>
              </w:rPr>
              <w:t xml:space="preserve">perceptions </w:t>
            </w:r>
            <w:r>
              <w:rPr>
                <w:rFonts w:ascii="Times New Roman" w:eastAsia="Times New Roman" w:hAnsi="Times New Roman" w:cs="Times New Roman"/>
              </w:rPr>
              <w:t>around</w:t>
            </w:r>
            <w:r w:rsidRPr="001D0BA4" w:rsidR="001D0BA4">
              <w:rPr>
                <w:rFonts w:ascii="Times New Roman" w:eastAsia="Times New Roman" w:hAnsi="Times New Roman" w:cs="Times New Roman"/>
              </w:rPr>
              <w:t xml:space="preserve"> </w:t>
            </w:r>
            <w:r w:rsidR="00EE2079">
              <w:rPr>
                <w:rFonts w:ascii="Times New Roman" w:eastAsia="Times New Roman" w:hAnsi="Times New Roman" w:cs="Times New Roman"/>
              </w:rPr>
              <w:t xml:space="preserve">blunt and other little </w:t>
            </w:r>
            <w:r w:rsidR="001B202E">
              <w:rPr>
                <w:rFonts w:ascii="Times New Roman" w:eastAsia="Times New Roman" w:hAnsi="Times New Roman" w:cs="Times New Roman"/>
              </w:rPr>
              <w:t>cigar and cigarillo (LCC) use</w:t>
            </w:r>
            <w:r w:rsidR="00D7301B">
              <w:rPr>
                <w:rFonts w:ascii="Times New Roman" w:eastAsia="Times New Roman" w:hAnsi="Times New Roman" w:cs="Times New Roman"/>
              </w:rPr>
              <w:t xml:space="preserve"> to inform future CTP public education programs</w:t>
            </w:r>
            <w:r w:rsidRPr="001D0BA4" w:rsidR="001D0BA4">
              <w:rPr>
                <w:rFonts w:ascii="Times New Roman" w:eastAsia="Times New Roman" w:hAnsi="Times New Roman" w:cs="Times New Roman"/>
              </w:rPr>
              <w:t>.</w:t>
            </w:r>
            <w:r>
              <w:rPr>
                <w:rFonts w:ascii="Times New Roman" w:eastAsia="Times New Roman" w:hAnsi="Times New Roman" w:cs="Times New Roman"/>
              </w:rPr>
              <w:t xml:space="preserve"> </w:t>
            </w:r>
          </w:p>
          <w:p w:rsidR="00D7301B" w:rsidP="00D7301B" w14:paraId="5E9E9FEB" w14:textId="77777777">
            <w:pPr>
              <w:autoSpaceDE w:val="0"/>
              <w:autoSpaceDN w:val="0"/>
              <w:adjustRightInd w:val="0"/>
              <w:ind w:left="360"/>
              <w:contextualSpacing/>
              <w:rPr>
                <w:rFonts w:ascii="Times New Roman" w:eastAsia="Times New Roman" w:hAnsi="Times New Roman" w:cs="Times New Roman"/>
              </w:rPr>
            </w:pPr>
          </w:p>
          <w:p w:rsidR="00BE1FCB" w:rsidP="00F3750D" w14:paraId="031B5C58" w14:textId="028DECC1">
            <w:pPr>
              <w:numPr>
                <w:ilvl w:val="0"/>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The target audience for this study is</w:t>
            </w:r>
            <w:r w:rsidRPr="009F750E">
              <w:rPr>
                <w:rFonts w:ascii="Times New Roman" w:eastAsia="Times New Roman" w:hAnsi="Times New Roman" w:cs="Times New Roman"/>
              </w:rPr>
              <w:t xml:space="preserve"> </w:t>
            </w:r>
            <w:r w:rsidRPr="00836FFE" w:rsidR="00836FFE">
              <w:rPr>
                <w:rFonts w:ascii="Times New Roman" w:eastAsia="Times New Roman" w:hAnsi="Times New Roman" w:cs="Times New Roman"/>
              </w:rPr>
              <w:t>youth and young adults ages 15 to 24 years in the United States</w:t>
            </w:r>
            <w:r w:rsidRPr="007E22C9" w:rsidR="0048512E">
              <w:rPr>
                <w:rFonts w:ascii="Times New Roman" w:eastAsia="Times New Roman" w:hAnsi="Times New Roman" w:cs="Times New Roman"/>
              </w:rPr>
              <w:t xml:space="preserve"> who are</w:t>
            </w:r>
            <w:r w:rsidR="00D7301B">
              <w:rPr>
                <w:rFonts w:ascii="Times New Roman" w:eastAsia="Times New Roman" w:hAnsi="Times New Roman" w:cs="Times New Roman"/>
              </w:rPr>
              <w:t>: 1)</w:t>
            </w:r>
            <w:r w:rsidRPr="007E22C9" w:rsidR="0048512E">
              <w:rPr>
                <w:rFonts w:ascii="Times New Roman" w:eastAsia="Times New Roman" w:hAnsi="Times New Roman" w:cs="Times New Roman"/>
              </w:rPr>
              <w:t xml:space="preserve"> susceptible to </w:t>
            </w:r>
            <w:r w:rsidR="00D7301B">
              <w:rPr>
                <w:rFonts w:ascii="Times New Roman" w:eastAsia="Times New Roman" w:hAnsi="Times New Roman" w:cs="Times New Roman"/>
              </w:rPr>
              <w:t>blunt use</w:t>
            </w:r>
            <w:r w:rsidR="005C1F73">
              <w:rPr>
                <w:rFonts w:ascii="Times New Roman" w:eastAsia="Times New Roman" w:hAnsi="Times New Roman" w:cs="Times New Roman"/>
              </w:rPr>
              <w:t xml:space="preserve"> or 2) blunt users.</w:t>
            </w:r>
            <w:r w:rsidR="00D7301B">
              <w:rPr>
                <w:rFonts w:ascii="Times New Roman" w:eastAsia="Times New Roman" w:hAnsi="Times New Roman" w:cs="Times New Roman"/>
              </w:rPr>
              <w:t xml:space="preserve"> Given the high prevalence of blunt use among African American/Black populations, the study design will include oversampling of youth and young adults who identify as African American or Black.</w:t>
            </w:r>
          </w:p>
          <w:p w:rsidR="00BE1FCB" w:rsidRPr="009F750E" w:rsidP="00F3750D" w14:paraId="4BB25521" w14:textId="77777777">
            <w:pPr>
              <w:autoSpaceDE w:val="0"/>
              <w:autoSpaceDN w:val="0"/>
              <w:adjustRightInd w:val="0"/>
              <w:ind w:left="360"/>
              <w:contextualSpacing/>
              <w:rPr>
                <w:rFonts w:ascii="Times New Roman" w:eastAsia="Times New Roman" w:hAnsi="Times New Roman" w:cs="Times New Roman"/>
              </w:rPr>
            </w:pPr>
          </w:p>
          <w:p w:rsidR="00D7301B" w:rsidP="001C6F16" w14:paraId="3AACA28C" w14:textId="1FEE60D1">
            <w:pPr>
              <w:pStyle w:val="ListParagraph"/>
              <w:numPr>
                <w:ilvl w:val="0"/>
                <w:numId w:val="2"/>
              </w:numPr>
              <w:autoSpaceDE w:val="0"/>
              <w:autoSpaceDN w:val="0"/>
              <w:adjustRightInd w:val="0"/>
              <w:rPr>
                <w:rFonts w:ascii="Times New Roman" w:eastAsia="Times New Roman" w:hAnsi="Times New Roman" w:cs="Times New Roman"/>
              </w:rPr>
            </w:pPr>
            <w:r w:rsidRPr="00D7301B">
              <w:rPr>
                <w:rFonts w:ascii="Times New Roman" w:eastAsia="Times New Roman" w:hAnsi="Times New Roman" w:cs="Times New Roman"/>
              </w:rPr>
              <w:t xml:space="preserve">RTI will </w:t>
            </w:r>
            <w:r w:rsidRPr="00D7301B">
              <w:rPr>
                <w:rFonts w:ascii="Times New Roman" w:eastAsia="Times New Roman" w:hAnsi="Times New Roman" w:cs="Times New Roman"/>
              </w:rPr>
              <w:t xml:space="preserve">recruit participants through social media advertisings (e.g., Facebook, Instagram) and </w:t>
            </w:r>
            <w:r>
              <w:rPr>
                <w:rFonts w:ascii="Times New Roman" w:eastAsia="Times New Roman" w:hAnsi="Times New Roman" w:cs="Times New Roman"/>
              </w:rPr>
              <w:t xml:space="preserve">collect data </w:t>
            </w:r>
            <w:r w:rsidRPr="00D7301B">
              <w:rPr>
                <w:rFonts w:ascii="Times New Roman" w:eastAsia="Times New Roman" w:hAnsi="Times New Roman" w:cs="Times New Roman"/>
              </w:rPr>
              <w:t xml:space="preserve">via </w:t>
            </w:r>
            <w:r>
              <w:rPr>
                <w:rFonts w:ascii="Times New Roman" w:eastAsia="Times New Roman" w:hAnsi="Times New Roman" w:cs="Times New Roman"/>
              </w:rPr>
              <w:t xml:space="preserve">self-administered </w:t>
            </w:r>
            <w:r w:rsidRPr="00D7301B">
              <w:rPr>
                <w:rFonts w:ascii="Times New Roman" w:eastAsia="Times New Roman" w:hAnsi="Times New Roman" w:cs="Times New Roman"/>
              </w:rPr>
              <w:t>online surveys</w:t>
            </w:r>
            <w:r>
              <w:rPr>
                <w:rFonts w:ascii="Times New Roman" w:eastAsia="Times New Roman" w:hAnsi="Times New Roman" w:cs="Times New Roman"/>
              </w:rPr>
              <w:t>.</w:t>
            </w:r>
          </w:p>
          <w:p w:rsidR="009A2EE5" w:rsidRPr="009A2EE5" w:rsidP="009A2EE5" w14:paraId="01E7E740" w14:textId="77777777">
            <w:pPr>
              <w:autoSpaceDE w:val="0"/>
              <w:autoSpaceDN w:val="0"/>
              <w:adjustRightInd w:val="0"/>
              <w:rPr>
                <w:rFonts w:ascii="Times New Roman" w:eastAsia="Times New Roman" w:hAnsi="Times New Roman" w:cs="Times New Roman"/>
              </w:rPr>
            </w:pPr>
          </w:p>
          <w:p w:rsidR="00323D4B" w:rsidP="00F3750D" w14:paraId="20E43B5B" w14:textId="34BB913E">
            <w:pPr>
              <w:numPr>
                <w:ilvl w:val="0"/>
                <w:numId w:val="2"/>
              </w:numPr>
              <w:autoSpaceDE w:val="0"/>
              <w:autoSpaceDN w:val="0"/>
              <w:adjustRightInd w:val="0"/>
              <w:contextualSpacing/>
              <w:rPr>
                <w:rFonts w:ascii="Times New Roman" w:eastAsia="Times New Roman" w:hAnsi="Times New Roman" w:cs="Times New Roman"/>
              </w:rPr>
            </w:pPr>
            <w:r w:rsidRPr="009F750E">
              <w:rPr>
                <w:rFonts w:ascii="Times New Roman" w:eastAsia="Times New Roman" w:hAnsi="Times New Roman" w:cs="Times New Roman"/>
              </w:rPr>
              <w:t>Results of the survey will help CTP better understand</w:t>
            </w:r>
            <w:r w:rsidR="00D7301B">
              <w:rPr>
                <w:rFonts w:ascii="Times New Roman" w:eastAsia="Times New Roman" w:hAnsi="Times New Roman" w:cs="Times New Roman"/>
              </w:rPr>
              <w:t>:</w:t>
            </w:r>
          </w:p>
          <w:p w:rsidR="00323D4B" w:rsidP="00323D4B" w14:paraId="6EC5DEEF" w14:textId="77777777">
            <w:pPr>
              <w:pStyle w:val="ListParagraph"/>
              <w:rPr>
                <w:rFonts w:ascii="Times New Roman" w:eastAsia="Times New Roman" w:hAnsi="Times New Roman" w:cs="Times New Roman"/>
              </w:rPr>
            </w:pPr>
          </w:p>
          <w:p w:rsidR="00BE1FCB" w:rsidP="00323D4B" w14:paraId="1F60F27F" w14:textId="4077C3FB">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The relationship between blunt use and use of other tobacco products (e.g., LCCs with tobacco, cigarettes, nicotine vapes)</w:t>
            </w:r>
            <w:r w:rsidR="00FA37E8">
              <w:rPr>
                <w:rFonts w:ascii="Times New Roman" w:eastAsia="Times New Roman" w:hAnsi="Times New Roman" w:cs="Times New Roman"/>
              </w:rPr>
              <w:t xml:space="preserve"> and marijuana.</w:t>
            </w:r>
          </w:p>
          <w:p w:rsidR="000374AD" w:rsidP="00323D4B" w14:paraId="75D99B12" w14:textId="57D71C8E">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The sociocultural context of blunts use</w:t>
            </w:r>
          </w:p>
          <w:p w:rsidR="000374AD" w:rsidP="00323D4B" w14:paraId="726F63FA" w14:textId="515EFECA">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Brands of LCCs or cigar wrappers used to make blunts</w:t>
            </w:r>
          </w:p>
          <w:p w:rsidR="000374AD" w:rsidP="00323D4B" w14:paraId="1EF0B068" w14:textId="2B27FE03">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Perceptions around the harm and addictiveness of blunts</w:t>
            </w:r>
          </w:p>
          <w:p w:rsidR="000374AD" w:rsidP="00323D4B" w14:paraId="38489374" w14:textId="346F2661">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Beliefs about blunt use that could inform CTP public education efforts</w:t>
            </w:r>
          </w:p>
          <w:p w:rsidR="00BE1FCB" w:rsidP="00F3750D" w14:paraId="6543A78F" w14:textId="77777777">
            <w:pPr>
              <w:autoSpaceDE w:val="0"/>
              <w:autoSpaceDN w:val="0"/>
              <w:adjustRightInd w:val="0"/>
              <w:ind w:left="360"/>
              <w:contextualSpacing/>
              <w:rPr>
                <w:rFonts w:ascii="Times New Roman" w:eastAsia="Times New Roman" w:hAnsi="Times New Roman" w:cs="Times New Roman"/>
              </w:rPr>
            </w:pPr>
          </w:p>
          <w:p w:rsidR="00BE1FCB" w:rsidRPr="00D54AB9" w:rsidP="00F475DC" w14:paraId="1D803F4E" w14:textId="7590C4B7">
            <w:pPr>
              <w:numPr>
                <w:ilvl w:val="0"/>
                <w:numId w:val="2"/>
              </w:numPr>
              <w:autoSpaceDE w:val="0"/>
              <w:autoSpaceDN w:val="0"/>
              <w:adjustRightInd w:val="0"/>
              <w:contextualSpacing/>
              <w:rPr>
                <w:rFonts w:ascii="Times New Roman" w:eastAsia="Times New Roman" w:hAnsi="Times New Roman" w:cs="Times New Roman"/>
              </w:rPr>
            </w:pPr>
            <w:r w:rsidRPr="2EDDBB35">
              <w:rPr>
                <w:rFonts w:ascii="Times New Roman" w:eastAsia="Times New Roman" w:hAnsi="Times New Roman" w:cs="Times New Roman"/>
                <w:b/>
                <w:bCs/>
              </w:rPr>
              <w:t>REQUESTED APPROVAL DATE: 8/19</w:t>
            </w:r>
            <w:r w:rsidRPr="2EDDBB35" w:rsidR="001F44E5">
              <w:rPr>
                <w:rFonts w:ascii="Times New Roman" w:eastAsia="Times New Roman" w:hAnsi="Times New Roman" w:cs="Times New Roman"/>
                <w:b/>
                <w:bCs/>
              </w:rPr>
              <w:t>/202</w:t>
            </w:r>
            <w:r w:rsidRPr="2EDDBB35" w:rsidR="00E92E44">
              <w:rPr>
                <w:rFonts w:ascii="Times New Roman" w:eastAsia="Times New Roman" w:hAnsi="Times New Roman" w:cs="Times New Roman"/>
                <w:b/>
                <w:bCs/>
              </w:rPr>
              <w:t>2</w:t>
            </w:r>
          </w:p>
        </w:tc>
      </w:tr>
    </w:tbl>
    <w:p w:rsidR="00900C46" w:rsidP="00BE1FCB" w14:paraId="058AA9C3" w14:textId="77777777">
      <w:pPr>
        <w:autoSpaceDE w:val="0"/>
        <w:autoSpaceDN w:val="0"/>
        <w:adjustRightInd w:val="0"/>
        <w:rPr>
          <w:rFonts w:ascii="Times New Roman" w:eastAsia="Times New Roman" w:hAnsi="Times New Roman" w:cs="Times New Roman"/>
          <w:b/>
          <w:color w:val="000000"/>
          <w:szCs w:val="20"/>
        </w:rPr>
      </w:pPr>
    </w:p>
    <w:p w:rsidR="00BE1FCB" w:rsidRPr="009F750E" w:rsidP="00BE1FCB" w14:paraId="00FAC8D1" w14:textId="6D202725">
      <w:pPr>
        <w:autoSpaceDE w:val="0"/>
        <w:autoSpaceDN w:val="0"/>
        <w:adjustRightInd w:val="0"/>
        <w:rPr>
          <w:rFonts w:ascii="Times New Roman" w:eastAsia="Times New Roman" w:hAnsi="Times New Roman" w:cs="Times New Roman"/>
          <w:b/>
          <w:color w:val="000000"/>
          <w:szCs w:val="20"/>
        </w:rPr>
      </w:pPr>
      <w:r w:rsidRPr="009F750E">
        <w:rPr>
          <w:rFonts w:ascii="Times New Roman" w:eastAsia="Times New Roman" w:hAnsi="Times New Roman" w:cs="Times New Roman"/>
          <w:b/>
          <w:color w:val="000000"/>
          <w:szCs w:val="20"/>
        </w:rPr>
        <w:t xml:space="preserve">Study Materials (attached): </w:t>
      </w:r>
    </w:p>
    <w:p w:rsidR="00197667" w:rsidP="009A734D" w14:paraId="5707DEA2" w14:textId="747C7D4A">
      <w:pPr>
        <w:widowControl w:val="0"/>
        <w:rPr>
          <w:rFonts w:ascii="Times New Roman" w:eastAsia="Times New Roman" w:hAnsi="Times New Roman" w:cs="Times New Roman"/>
          <w:bCs/>
          <w:iCs/>
        </w:rPr>
      </w:pPr>
      <w:r w:rsidRPr="004023E0">
        <w:rPr>
          <w:rFonts w:ascii="Times New Roman" w:eastAsia="Times New Roman" w:hAnsi="Times New Roman" w:cs="Times New Roman"/>
          <w:bCs/>
          <w:iCs/>
        </w:rPr>
        <w:t xml:space="preserve">Attachment </w:t>
      </w:r>
      <w:r w:rsidR="00410035">
        <w:rPr>
          <w:rFonts w:ascii="Times New Roman" w:eastAsia="Times New Roman" w:hAnsi="Times New Roman" w:cs="Times New Roman"/>
          <w:bCs/>
          <w:iCs/>
        </w:rPr>
        <w:t>1</w:t>
      </w:r>
      <w:r w:rsidR="0068610A">
        <w:rPr>
          <w:rFonts w:ascii="Times New Roman" w:eastAsia="Times New Roman" w:hAnsi="Times New Roman" w:cs="Times New Roman"/>
          <w:bCs/>
          <w:iCs/>
        </w:rPr>
        <w:t>.</w:t>
      </w:r>
      <w:r w:rsidRPr="004023E0">
        <w:rPr>
          <w:rFonts w:ascii="Times New Roman" w:eastAsia="Times New Roman" w:hAnsi="Times New Roman" w:cs="Times New Roman"/>
          <w:bCs/>
          <w:iCs/>
        </w:rPr>
        <w:t xml:space="preserve"> </w:t>
      </w:r>
      <w:r>
        <w:rPr>
          <w:rFonts w:ascii="Times New Roman" w:eastAsia="Times New Roman" w:hAnsi="Times New Roman" w:cs="Times New Roman"/>
          <w:bCs/>
          <w:iCs/>
        </w:rPr>
        <w:t>Screener</w:t>
      </w:r>
      <w:r w:rsidR="00531B6A">
        <w:rPr>
          <w:rFonts w:ascii="Times New Roman" w:eastAsia="Times New Roman" w:hAnsi="Times New Roman" w:cs="Times New Roman"/>
          <w:bCs/>
          <w:iCs/>
        </w:rPr>
        <w:t xml:space="preserve"> and Survey</w:t>
      </w:r>
    </w:p>
    <w:p w:rsidR="00941C1B" w:rsidP="00941C1B" w14:paraId="1B4B2E8C" w14:textId="262EF97F">
      <w:pPr>
        <w:widowControl w:val="0"/>
        <w:rPr>
          <w:rFonts w:ascii="Times New Roman" w:eastAsia="Times New Roman" w:hAnsi="Times New Roman" w:cs="Times New Roman"/>
          <w:bCs/>
          <w:iCs/>
        </w:rPr>
      </w:pPr>
      <w:r w:rsidRPr="00BA2CBC">
        <w:rPr>
          <w:rFonts w:ascii="Times New Roman" w:eastAsia="Times New Roman" w:hAnsi="Times New Roman" w:cs="Times New Roman"/>
          <w:bCs/>
          <w:iCs/>
        </w:rPr>
        <w:t xml:space="preserve">Attachment </w:t>
      </w:r>
      <w:r w:rsidR="00531B6A">
        <w:rPr>
          <w:rFonts w:ascii="Times New Roman" w:eastAsia="Times New Roman" w:hAnsi="Times New Roman" w:cs="Times New Roman"/>
          <w:bCs/>
          <w:iCs/>
        </w:rPr>
        <w:t>2</w:t>
      </w:r>
      <w:r w:rsidR="0068610A">
        <w:rPr>
          <w:rFonts w:ascii="Times New Roman" w:eastAsia="Times New Roman" w:hAnsi="Times New Roman" w:cs="Times New Roman"/>
          <w:bCs/>
          <w:iCs/>
        </w:rPr>
        <w:t>.</w:t>
      </w:r>
      <w:r w:rsidRPr="00BA2CBC">
        <w:rPr>
          <w:rFonts w:ascii="Times New Roman" w:eastAsia="Times New Roman" w:hAnsi="Times New Roman" w:cs="Times New Roman"/>
          <w:bCs/>
          <w:iCs/>
        </w:rPr>
        <w:t xml:space="preserve"> </w:t>
      </w:r>
      <w:r w:rsidRPr="00101059">
        <w:rPr>
          <w:rFonts w:ascii="Times New Roman" w:eastAsia="Times New Roman" w:hAnsi="Times New Roman" w:cs="Times New Roman"/>
          <w:bCs/>
          <w:iCs/>
        </w:rPr>
        <w:t>Youth Assent</w:t>
      </w:r>
      <w:r w:rsidR="001B1939">
        <w:rPr>
          <w:rFonts w:ascii="Times New Roman" w:eastAsia="Times New Roman" w:hAnsi="Times New Roman" w:cs="Times New Roman"/>
          <w:bCs/>
          <w:iCs/>
        </w:rPr>
        <w:t xml:space="preserve"> </w:t>
      </w:r>
    </w:p>
    <w:p w:rsidR="00A82821" w:rsidRPr="00101059" w:rsidP="00A82821" w14:paraId="21B93DAB" w14:textId="20E0A6A0">
      <w:pPr>
        <w:widowControl w:val="0"/>
        <w:rPr>
          <w:rFonts w:ascii="Times New Roman" w:eastAsia="Times New Roman" w:hAnsi="Times New Roman" w:cs="Times New Roman"/>
          <w:bCs/>
          <w:iCs/>
        </w:rPr>
      </w:pPr>
      <w:r>
        <w:rPr>
          <w:rFonts w:ascii="Times New Roman" w:eastAsia="Times New Roman" w:hAnsi="Times New Roman" w:cs="Times New Roman"/>
          <w:bCs/>
          <w:iCs/>
        </w:rPr>
        <w:t xml:space="preserve">Attachment </w:t>
      </w:r>
      <w:r w:rsidR="00531B6A">
        <w:rPr>
          <w:rFonts w:ascii="Times New Roman" w:eastAsia="Times New Roman" w:hAnsi="Times New Roman" w:cs="Times New Roman"/>
          <w:bCs/>
          <w:iCs/>
        </w:rPr>
        <w:t>3</w:t>
      </w:r>
      <w:r w:rsidR="0068610A">
        <w:rPr>
          <w:rFonts w:ascii="Times New Roman" w:eastAsia="Times New Roman" w:hAnsi="Times New Roman" w:cs="Times New Roman"/>
          <w:bCs/>
          <w:iCs/>
        </w:rPr>
        <w:t>.</w:t>
      </w:r>
      <w:r>
        <w:rPr>
          <w:rFonts w:ascii="Times New Roman" w:eastAsia="Times New Roman" w:hAnsi="Times New Roman" w:cs="Times New Roman"/>
          <w:bCs/>
          <w:iCs/>
        </w:rPr>
        <w:t xml:space="preserve"> Young </w:t>
      </w:r>
      <w:r w:rsidRPr="00101059">
        <w:rPr>
          <w:rFonts w:ascii="Times New Roman" w:eastAsia="Times New Roman" w:hAnsi="Times New Roman" w:cs="Times New Roman"/>
          <w:bCs/>
          <w:iCs/>
        </w:rPr>
        <w:t>Adult Consent</w:t>
      </w:r>
    </w:p>
    <w:p w:rsidR="00846644" w:rsidRPr="00B5361F" w:rsidP="00846644" w14:paraId="663F1E84" w14:textId="77777777">
      <w:pPr>
        <w:widowControl w:val="0"/>
        <w:rPr>
          <w:rFonts w:ascii="Times New Roman" w:eastAsia="Times New Roman" w:hAnsi="Times New Roman" w:cs="Times New Roman"/>
        </w:rPr>
      </w:pPr>
    </w:p>
    <w:p w:rsidR="005E16AA" w14:paraId="0122E8E3" w14:textId="77777777">
      <w:pPr>
        <w:spacing w:after="160" w:line="259" w:lineRule="auto"/>
        <w:rPr>
          <w:rFonts w:ascii="Times New Roman" w:eastAsia="Times New Roman" w:hAnsi="Times New Roman" w:cs="Times New Roman"/>
          <w:b/>
          <w:sz w:val="22"/>
          <w:szCs w:val="20"/>
        </w:rPr>
      </w:pPr>
      <w:r w:rsidRPr="232A898F">
        <w:rPr>
          <w:rFonts w:ascii="Times New Roman" w:eastAsia="Times New Roman" w:hAnsi="Times New Roman" w:cs="Times New Roman"/>
          <w:b/>
          <w:bCs/>
          <w:sz w:val="22"/>
        </w:rPr>
        <w:br w:type="page"/>
      </w:r>
    </w:p>
    <w:p w:rsidR="006427EC" w:rsidP="006427EC" w14:paraId="4401FBEA" w14:textId="77777777">
      <w:pPr>
        <w:pStyle w:val="Header"/>
        <w:contextualSpacing/>
        <w:jc w:val="center"/>
        <w:rPr>
          <w:rFonts w:ascii="Times New Roman" w:hAnsi="Times New Roman"/>
          <w:b/>
          <w:sz w:val="22"/>
        </w:rPr>
      </w:pPr>
      <w:r>
        <w:rPr>
          <w:rFonts w:ascii="Times New Roman" w:hAnsi="Times New Roman"/>
          <w:b/>
          <w:sz w:val="22"/>
        </w:rPr>
        <w:t>U.S. Food and Drug Administration</w:t>
      </w:r>
    </w:p>
    <w:p w:rsidR="006427EC" w:rsidRPr="006427EC" w:rsidP="006427EC" w14:paraId="457C136C" w14:textId="363A6D84">
      <w:pPr>
        <w:pStyle w:val="Header"/>
        <w:contextualSpacing/>
        <w:jc w:val="center"/>
        <w:rPr>
          <w:rFonts w:ascii="Times New Roman" w:hAnsi="Times New Roman"/>
          <w:b/>
          <w:sz w:val="22"/>
        </w:rPr>
      </w:pPr>
      <w:r>
        <w:rPr>
          <w:rFonts w:ascii="Times New Roman" w:hAnsi="Times New Roman"/>
          <w:b/>
          <w:sz w:val="22"/>
        </w:rPr>
        <w:t>Center for Tobacco Products</w:t>
      </w:r>
    </w:p>
    <w:p w:rsidR="000374AD" w:rsidP="232A898F" w14:paraId="07EEEC2A" w14:textId="38DB05D8">
      <w:pPr>
        <w:pStyle w:val="Header"/>
        <w:contextualSpacing/>
        <w:jc w:val="center"/>
        <w:rPr>
          <w:rFonts w:ascii="Times New Roman" w:hAnsi="Times New Roman"/>
          <w:b/>
          <w:bCs/>
          <w:sz w:val="22"/>
        </w:rPr>
      </w:pPr>
      <w:r w:rsidRPr="232A898F">
        <w:rPr>
          <w:rFonts w:ascii="Times New Roman" w:hAnsi="Times New Roman"/>
          <w:b/>
          <w:bCs/>
          <w:sz w:val="22"/>
        </w:rPr>
        <w:t xml:space="preserve">Monthly Monitoring Study: </w:t>
      </w:r>
      <w:r w:rsidRPr="232A898F">
        <w:rPr>
          <w:rFonts w:ascii="Times New Roman" w:hAnsi="Times New Roman"/>
          <w:b/>
          <w:bCs/>
          <w:sz w:val="22"/>
        </w:rPr>
        <w:t>Little Cigar</w:t>
      </w:r>
      <w:r w:rsidRPr="232A898F" w:rsidR="006D042C">
        <w:rPr>
          <w:rFonts w:ascii="Times New Roman" w:hAnsi="Times New Roman"/>
          <w:b/>
          <w:bCs/>
          <w:sz w:val="22"/>
        </w:rPr>
        <w:t>,</w:t>
      </w:r>
      <w:r w:rsidRPr="232A898F">
        <w:rPr>
          <w:rFonts w:ascii="Times New Roman" w:hAnsi="Times New Roman"/>
          <w:b/>
          <w:bCs/>
          <w:sz w:val="22"/>
        </w:rPr>
        <w:t xml:space="preserve"> Cigarillo</w:t>
      </w:r>
      <w:r w:rsidRPr="232A898F" w:rsidR="002254C1">
        <w:rPr>
          <w:rFonts w:ascii="Times New Roman" w:hAnsi="Times New Roman"/>
          <w:b/>
          <w:bCs/>
          <w:sz w:val="22"/>
        </w:rPr>
        <w:t>,</w:t>
      </w:r>
      <w:r w:rsidRPr="232A898F" w:rsidR="006D042C">
        <w:rPr>
          <w:rFonts w:ascii="Times New Roman" w:hAnsi="Times New Roman"/>
          <w:b/>
          <w:bCs/>
          <w:sz w:val="22"/>
        </w:rPr>
        <w:t xml:space="preserve"> and Blunt</w:t>
      </w:r>
      <w:r w:rsidRPr="232A898F" w:rsidR="00460AE5">
        <w:rPr>
          <w:rFonts w:ascii="Times New Roman" w:hAnsi="Times New Roman"/>
          <w:b/>
          <w:bCs/>
          <w:sz w:val="22"/>
        </w:rPr>
        <w:t xml:space="preserve"> Use</w:t>
      </w:r>
      <w:r w:rsidRPr="232A898F" w:rsidR="006D042C">
        <w:rPr>
          <w:rFonts w:ascii="Times New Roman" w:hAnsi="Times New Roman"/>
          <w:b/>
          <w:bCs/>
          <w:sz w:val="22"/>
        </w:rPr>
        <w:t xml:space="preserve"> </w:t>
      </w:r>
      <w:r w:rsidRPr="232A898F">
        <w:rPr>
          <w:rFonts w:ascii="Times New Roman" w:hAnsi="Times New Roman"/>
          <w:b/>
          <w:bCs/>
          <w:sz w:val="22"/>
        </w:rPr>
        <w:t>Audience Insights Survey</w:t>
      </w:r>
    </w:p>
    <w:p w:rsidR="00750900" w:rsidP="005E16AA" w14:paraId="06A3F2FC" w14:textId="5AAD690A">
      <w:pPr>
        <w:jc w:val="center"/>
        <w:outlineLvl w:val="0"/>
        <w:rPr>
          <w:rFonts w:ascii="Times New Roman" w:eastAsia="Times New Roman" w:hAnsi="Times New Roman" w:cs="Times New Roman"/>
          <w:b/>
          <w:sz w:val="22"/>
          <w:szCs w:val="20"/>
        </w:rPr>
      </w:pPr>
    </w:p>
    <w:p w:rsidR="00750900" w:rsidP="005E16AA" w14:paraId="49A38703" w14:textId="27A3E4A8">
      <w:pPr>
        <w:jc w:val="center"/>
        <w:outlineLvl w:val="0"/>
        <w:rPr>
          <w:rFonts w:ascii="Times New Roman" w:hAnsi="Times New Roman"/>
          <w:b/>
          <w:sz w:val="22"/>
        </w:rPr>
      </w:pPr>
      <w:r>
        <w:rPr>
          <w:rFonts w:ascii="Times New Roman" w:hAnsi="Times New Roman"/>
          <w:b/>
          <w:sz w:val="22"/>
        </w:rPr>
        <w:t xml:space="preserve">OMB Control No. </w:t>
      </w:r>
      <w:r>
        <w:rPr>
          <w:rFonts w:ascii="Times New Roman" w:hAnsi="Times New Roman"/>
          <w:b/>
          <w:sz w:val="22"/>
        </w:rPr>
        <w:t>0910-0810</w:t>
      </w:r>
    </w:p>
    <w:p w:rsidR="002E35CB" w:rsidRPr="008265FC" w:rsidP="005E16AA" w14:paraId="5587D9BF" w14:textId="77777777">
      <w:pPr>
        <w:jc w:val="center"/>
        <w:outlineLvl w:val="0"/>
        <w:rPr>
          <w:rFonts w:ascii="Times New Roman" w:eastAsia="Times New Roman" w:hAnsi="Times New Roman" w:cs="Times New Roman"/>
          <w:b/>
          <w:sz w:val="22"/>
          <w:szCs w:val="20"/>
        </w:rPr>
      </w:pPr>
    </w:p>
    <w:p w:rsidR="00BE1FCB" w:rsidRPr="008265FC" w:rsidP="00BE1FCB" w14:paraId="3039B841" w14:textId="0FB13321">
      <w:pPr>
        <w:jc w:val="center"/>
        <w:rPr>
          <w:rFonts w:ascii="Times New Roman" w:eastAsia="Times New Roman" w:hAnsi="Times New Roman" w:cs="Times New Roman"/>
          <w:b/>
          <w:szCs w:val="24"/>
        </w:rPr>
      </w:pPr>
      <w:r>
        <w:rPr>
          <w:rFonts w:ascii="Times New Roman" w:eastAsia="Times New Roman" w:hAnsi="Times New Roman" w:cs="Times New Roman"/>
          <w:b/>
          <w:szCs w:val="24"/>
        </w:rPr>
        <w:t xml:space="preserve">Generic IC </w:t>
      </w:r>
      <w:r w:rsidRPr="008265FC">
        <w:rPr>
          <w:rFonts w:ascii="Times New Roman" w:eastAsia="Times New Roman" w:hAnsi="Times New Roman" w:cs="Times New Roman"/>
          <w:b/>
          <w:szCs w:val="24"/>
        </w:rPr>
        <w:t>Supporting Statement</w:t>
      </w:r>
      <w:r w:rsidR="006427EC">
        <w:rPr>
          <w:rFonts w:ascii="Times New Roman" w:eastAsia="Times New Roman" w:hAnsi="Times New Roman" w:cs="Times New Roman"/>
          <w:b/>
          <w:szCs w:val="24"/>
        </w:rPr>
        <w:t xml:space="preserve"> Part A</w:t>
      </w:r>
    </w:p>
    <w:p w:rsidR="00BE1FCB" w:rsidRPr="008265FC" w:rsidP="00BE1FCB" w14:paraId="315E5C7F" w14:textId="77777777">
      <w:pPr>
        <w:jc w:val="center"/>
        <w:rPr>
          <w:rFonts w:ascii="Times New Roman" w:eastAsia="Times New Roman" w:hAnsi="Times New Roman" w:cs="Times New Roman"/>
          <w:b/>
          <w:szCs w:val="24"/>
        </w:rPr>
      </w:pPr>
    </w:p>
    <w:p w:rsidR="00BE1FCB" w:rsidRPr="008265FC" w:rsidP="00BE1FCB" w14:paraId="0C0F4789"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2" w:name="_Toc239649220"/>
      <w:r>
        <w:rPr>
          <w:rFonts w:ascii="Times New Roman" w:eastAsia="Times New Roman" w:hAnsi="Times New Roman" w:cs="Times New Roman"/>
          <w:b/>
          <w:bCs/>
          <w:szCs w:val="24"/>
        </w:rPr>
        <w:t xml:space="preserve">A. </w:t>
      </w:r>
      <w:r w:rsidRPr="008265FC">
        <w:rPr>
          <w:rFonts w:ascii="Times New Roman" w:eastAsia="Times New Roman" w:hAnsi="Times New Roman" w:cs="Times New Roman"/>
          <w:b/>
          <w:bCs/>
          <w:szCs w:val="24"/>
        </w:rPr>
        <w:t>JUSTIFICATION</w:t>
      </w:r>
      <w:bookmarkEnd w:id="2"/>
    </w:p>
    <w:p w:rsidR="00BE1FCB" w:rsidRPr="008265FC" w:rsidP="00BE1FCB" w14:paraId="41380C9D"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8265FC" w:rsidP="00BE1FCB" w14:paraId="1E48C591"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3" w:name="_Toc239649221"/>
      <w:r>
        <w:rPr>
          <w:rFonts w:ascii="Times New Roman" w:eastAsia="Times New Roman" w:hAnsi="Times New Roman" w:cs="Times New Roman"/>
          <w:b/>
          <w:bCs/>
          <w:szCs w:val="24"/>
        </w:rPr>
        <w:t>1.</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Circumstances Making the Collection of Information Necessary</w:t>
      </w:r>
      <w:bookmarkEnd w:id="3"/>
    </w:p>
    <w:p w:rsidR="00BE1FCB" w:rsidP="00BE1FCB" w14:paraId="68D0200B" w14:textId="5A31C8ED">
      <w:pPr>
        <w:numPr>
          <w:ilvl w:val="12"/>
          <w:numId w:val="0"/>
        </w:numPr>
        <w:autoSpaceDE w:val="0"/>
        <w:autoSpaceDN w:val="0"/>
        <w:adjustRightInd w:val="0"/>
        <w:ind w:left="180"/>
        <w:rPr>
          <w:rFonts w:ascii="Times New Roman" w:eastAsia="Times New Roman" w:hAnsi="Times New Roman" w:cs="Times New Roman"/>
          <w:szCs w:val="24"/>
        </w:rPr>
      </w:pPr>
    </w:p>
    <w:p w:rsidR="00D068AE" w:rsidRPr="00CE13FB" w:rsidP="00CE13FB" w14:paraId="0885400B" w14:textId="01B45028">
      <w:pPr>
        <w:numPr>
          <w:ilvl w:val="12"/>
          <w:numId w:val="0"/>
        </w:numPr>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This information collection is i</w:t>
      </w:r>
      <w:r w:rsidRPr="00F90702" w:rsidR="00F90702">
        <w:rPr>
          <w:rFonts w:ascii="Times New Roman" w:eastAsia="Times New Roman" w:hAnsi="Times New Roman" w:cs="Times New Roman"/>
          <w:szCs w:val="24"/>
        </w:rPr>
        <w:t xml:space="preserve">n support of </w:t>
      </w:r>
      <w:r w:rsidR="00091895">
        <w:rPr>
          <w:rFonts w:ascii="Times New Roman" w:eastAsia="Times New Roman" w:hAnsi="Times New Roman" w:cs="Times New Roman"/>
          <w:szCs w:val="24"/>
        </w:rPr>
        <w:t>the U.S. Food and Drug Administration’s (</w:t>
      </w:r>
      <w:r w:rsidRPr="00F90702" w:rsidR="00F90702">
        <w:rPr>
          <w:rFonts w:ascii="Times New Roman" w:eastAsia="Times New Roman" w:hAnsi="Times New Roman" w:cs="Times New Roman"/>
          <w:szCs w:val="24"/>
        </w:rPr>
        <w:t>FDA</w:t>
      </w:r>
      <w:r w:rsidR="00091895">
        <w:rPr>
          <w:rFonts w:ascii="Times New Roman" w:eastAsia="Times New Roman" w:hAnsi="Times New Roman" w:cs="Times New Roman"/>
          <w:szCs w:val="24"/>
        </w:rPr>
        <w:t>)</w:t>
      </w:r>
      <w:r w:rsidRPr="00F90702" w:rsidR="00F90702">
        <w:rPr>
          <w:rFonts w:ascii="Times New Roman" w:eastAsia="Times New Roman" w:hAnsi="Times New Roman" w:cs="Times New Roman"/>
          <w:szCs w:val="24"/>
        </w:rPr>
        <w:t xml:space="preserve"> Center for Tobacco Products (CTP)</w:t>
      </w:r>
      <w:r>
        <w:rPr>
          <w:rFonts w:ascii="Times New Roman" w:eastAsia="Times New Roman" w:hAnsi="Times New Roman" w:cs="Times New Roman"/>
          <w:szCs w:val="24"/>
        </w:rPr>
        <w:t xml:space="preserve"> efforts to develop public education content aimed at preventing use of little cigars and cigarillos (LCCs).</w:t>
      </w:r>
      <w:r w:rsidRPr="00F90702" w:rsidR="00F90702">
        <w:rPr>
          <w:rFonts w:ascii="Times New Roman" w:eastAsia="Times New Roman" w:hAnsi="Times New Roman" w:cs="Times New Roman"/>
          <w:szCs w:val="24"/>
        </w:rPr>
        <w:t xml:space="preserve"> </w:t>
      </w:r>
      <w:r w:rsidRPr="008265FC" w:rsidR="00CE13FB">
        <w:rPr>
          <w:rFonts w:ascii="Times New Roman" w:eastAsia="Times New Roman" w:hAnsi="Times New Roman" w:cs="Times New Roman"/>
        </w:rPr>
        <w:t xml:space="preserve"> </w:t>
      </w:r>
    </w:p>
    <w:p w:rsidR="00D068AE" w:rsidRPr="008265FC" w:rsidP="2EAEF721" w14:paraId="01D56021" w14:textId="09F0A711">
      <w:pPr>
        <w:autoSpaceDE w:val="0"/>
        <w:autoSpaceDN w:val="0"/>
        <w:adjustRightInd w:val="0"/>
        <w:ind w:left="180"/>
        <w:rPr>
          <w:rFonts w:ascii="Times New Roman" w:eastAsia="Times New Roman" w:hAnsi="Times New Roman" w:cs="Times New Roman"/>
        </w:rPr>
      </w:pPr>
    </w:p>
    <w:p w:rsidR="00D068AE" w:rsidRPr="008265FC" w:rsidP="2EAEF721" w14:paraId="1B836686" w14:textId="494F3B4C">
      <w:pPr>
        <w:autoSpaceDE w:val="0"/>
        <w:autoSpaceDN w:val="0"/>
        <w:adjustRightInd w:val="0"/>
        <w:ind w:left="180"/>
        <w:rPr>
          <w:rFonts w:ascii="Times New Roman" w:eastAsia="Times New Roman" w:hAnsi="Times New Roman" w:cs="Times New Roman"/>
        </w:rPr>
      </w:pPr>
      <w:r>
        <w:rPr>
          <w:rFonts w:ascii="Times New Roman" w:eastAsia="Times New Roman" w:hAnsi="Times New Roman" w:cs="Times New Roman"/>
        </w:rPr>
        <w:t>According to the</w:t>
      </w:r>
      <w:r w:rsidRPr="2EAEF721" w:rsidR="2EAEF721">
        <w:rPr>
          <w:rFonts w:ascii="Times New Roman" w:eastAsia="Times New Roman" w:hAnsi="Times New Roman" w:cs="Times New Roman"/>
        </w:rPr>
        <w:t xml:space="preserve"> </w:t>
      </w:r>
      <w:r>
        <w:rPr>
          <w:rFonts w:ascii="Times New Roman" w:eastAsia="Times New Roman" w:hAnsi="Times New Roman" w:cs="Times New Roman"/>
        </w:rPr>
        <w:t xml:space="preserve">2020 </w:t>
      </w:r>
      <w:r w:rsidRPr="2EAEF721" w:rsidR="2EAEF721">
        <w:rPr>
          <w:rFonts w:ascii="Times New Roman" w:eastAsia="Times New Roman" w:hAnsi="Times New Roman" w:cs="Times New Roman"/>
        </w:rPr>
        <w:t>National Youth Tobacco Survey (NYTS)</w:t>
      </w:r>
      <w:r w:rsidR="00ED1AF2">
        <w:rPr>
          <w:rFonts w:ascii="Times New Roman" w:eastAsia="Times New Roman" w:hAnsi="Times New Roman" w:cs="Times New Roman"/>
        </w:rPr>
        <w:t>,</w:t>
      </w:r>
      <w:r w:rsidRPr="2EAEF721" w:rsidR="2EAEF721">
        <w:rPr>
          <w:rFonts w:ascii="Times New Roman" w:eastAsia="Times New Roman" w:hAnsi="Times New Roman" w:cs="Times New Roman"/>
        </w:rPr>
        <w:t xml:space="preserve"> </w:t>
      </w:r>
      <w:r w:rsidR="002254C1">
        <w:rPr>
          <w:rFonts w:ascii="Times New Roman" w:eastAsia="Times New Roman" w:hAnsi="Times New Roman" w:cs="Times New Roman"/>
        </w:rPr>
        <w:t>l</w:t>
      </w:r>
      <w:r w:rsidRPr="2EAEF721" w:rsidR="2EAEF721">
        <w:rPr>
          <w:rFonts w:ascii="Times New Roman" w:eastAsia="Times New Roman" w:hAnsi="Times New Roman" w:cs="Times New Roman"/>
        </w:rPr>
        <w:t xml:space="preserve">ittle </w:t>
      </w:r>
      <w:r w:rsidR="002254C1">
        <w:rPr>
          <w:rFonts w:ascii="Times New Roman" w:eastAsia="Times New Roman" w:hAnsi="Times New Roman" w:cs="Times New Roman"/>
        </w:rPr>
        <w:t>c</w:t>
      </w:r>
      <w:r w:rsidRPr="2EAEF721" w:rsidR="2EAEF721">
        <w:rPr>
          <w:rFonts w:ascii="Times New Roman" w:eastAsia="Times New Roman" w:hAnsi="Times New Roman" w:cs="Times New Roman"/>
        </w:rPr>
        <w:t xml:space="preserve">igar and </w:t>
      </w:r>
      <w:r w:rsidR="002254C1">
        <w:rPr>
          <w:rFonts w:ascii="Times New Roman" w:eastAsia="Times New Roman" w:hAnsi="Times New Roman" w:cs="Times New Roman"/>
        </w:rPr>
        <w:t>c</w:t>
      </w:r>
      <w:r w:rsidRPr="2EAEF721" w:rsidR="2EAEF721">
        <w:rPr>
          <w:rFonts w:ascii="Times New Roman" w:eastAsia="Times New Roman" w:hAnsi="Times New Roman" w:cs="Times New Roman"/>
        </w:rPr>
        <w:t xml:space="preserve">igarillo (LCC) </w:t>
      </w:r>
      <w:r w:rsidR="00ED1AF2">
        <w:rPr>
          <w:rFonts w:ascii="Times New Roman" w:eastAsia="Times New Roman" w:hAnsi="Times New Roman" w:cs="Times New Roman"/>
        </w:rPr>
        <w:t xml:space="preserve">products continue to be the top combustible tobacco product used by youth </w:t>
      </w:r>
      <w:r w:rsidRPr="2EAEF721" w:rsidR="2EAEF721">
        <w:rPr>
          <w:rFonts w:ascii="Times New Roman" w:eastAsia="Times New Roman" w:hAnsi="Times New Roman" w:cs="Times New Roman"/>
        </w:rPr>
        <w:t>(3.5% for LCCs</w:t>
      </w:r>
      <w:r w:rsidR="00085463">
        <w:rPr>
          <w:rFonts w:ascii="Times New Roman" w:eastAsia="Times New Roman" w:hAnsi="Times New Roman" w:cs="Times New Roman"/>
        </w:rPr>
        <w:t xml:space="preserve"> compared to</w:t>
      </w:r>
      <w:r w:rsidRPr="2EAEF721" w:rsidR="2EAEF721">
        <w:rPr>
          <w:rFonts w:ascii="Times New Roman" w:eastAsia="Times New Roman" w:hAnsi="Times New Roman" w:cs="Times New Roman"/>
        </w:rPr>
        <w:t xml:space="preserve"> 3.3% for cigarettes) </w:t>
      </w:r>
      <w:r w:rsidR="00AA188C">
        <w:rPr>
          <w:rFonts w:ascii="Times New Roman" w:eastAsia="Times New Roman" w:hAnsi="Times New Roman" w:cs="Times New Roman"/>
        </w:rPr>
        <w:t>and</w:t>
      </w:r>
      <w:r w:rsidRPr="2EAEF721" w:rsidR="2EAEF721">
        <w:rPr>
          <w:rFonts w:ascii="Times New Roman" w:eastAsia="Times New Roman" w:hAnsi="Times New Roman" w:cs="Times New Roman"/>
        </w:rPr>
        <w:t xml:space="preserve"> the second most-used tobacco product (Gentzke et al. 2020). </w:t>
      </w:r>
      <w:r w:rsidR="00E27B3D">
        <w:rPr>
          <w:rFonts w:ascii="Times New Roman" w:eastAsia="Times New Roman" w:hAnsi="Times New Roman" w:cs="Times New Roman"/>
        </w:rPr>
        <w:t>Moreover</w:t>
      </w:r>
      <w:r w:rsidR="00CE13FB">
        <w:rPr>
          <w:rFonts w:ascii="Times New Roman" w:eastAsia="Times New Roman" w:hAnsi="Times New Roman" w:cs="Times New Roman"/>
        </w:rPr>
        <w:t>,</w:t>
      </w:r>
      <w:r w:rsidRPr="2EAEF721" w:rsidR="2EAEF721">
        <w:rPr>
          <w:rFonts w:ascii="Times New Roman" w:eastAsia="Times New Roman" w:hAnsi="Times New Roman" w:cs="Times New Roman"/>
        </w:rPr>
        <w:t xml:space="preserve"> there is also a persistent and well-documented trend of disproportionate use of LCCs among youth of color </w:t>
      </w:r>
      <w:r w:rsidR="00384396">
        <w:rPr>
          <w:rFonts w:ascii="Times New Roman" w:eastAsia="Times New Roman" w:hAnsi="Times New Roman" w:cs="Times New Roman"/>
        </w:rPr>
        <w:t>(Wang et al. 2021 and Gentzke at al. 2020)</w:t>
      </w:r>
      <w:r w:rsidRPr="2EAEF721" w:rsidR="2EAEF721">
        <w:rPr>
          <w:rFonts w:ascii="Times New Roman" w:eastAsia="Times New Roman" w:hAnsi="Times New Roman" w:cs="Times New Roman"/>
        </w:rPr>
        <w:t xml:space="preserve">. </w:t>
      </w:r>
    </w:p>
    <w:p w:rsidR="00D068AE" w:rsidRPr="008265FC" w:rsidP="2EAEF721" w14:paraId="4F100251" w14:textId="147B1142">
      <w:pPr>
        <w:autoSpaceDE w:val="0"/>
        <w:autoSpaceDN w:val="0"/>
        <w:adjustRightInd w:val="0"/>
        <w:ind w:left="180"/>
        <w:rPr>
          <w:rFonts w:ascii="Times New Roman" w:eastAsia="Times New Roman" w:hAnsi="Times New Roman" w:cs="Times New Roman"/>
        </w:rPr>
      </w:pPr>
    </w:p>
    <w:p w:rsidR="00D068AE" w:rsidRPr="008265FC" w:rsidP="2EAEF721" w14:paraId="41C591B4" w14:textId="13FABF1B">
      <w:pPr>
        <w:autoSpaceDE w:val="0"/>
        <w:autoSpaceDN w:val="0"/>
        <w:adjustRightInd w:val="0"/>
        <w:ind w:left="180"/>
        <w:rPr>
          <w:rFonts w:ascii="Times New Roman" w:eastAsia="Times New Roman" w:hAnsi="Times New Roman" w:cs="Times New Roman"/>
        </w:rPr>
      </w:pPr>
      <w:r w:rsidRPr="2EAEF721">
        <w:rPr>
          <w:rFonts w:ascii="Times New Roman" w:eastAsia="Times New Roman" w:hAnsi="Times New Roman" w:cs="Times New Roman"/>
        </w:rPr>
        <w:t xml:space="preserve">Cigarillos are the most popular LCC product sold in the U.S. (X. Wang et al., 2021). Research has shown that among </w:t>
      </w:r>
      <w:r w:rsidR="00CE13FB">
        <w:rPr>
          <w:rFonts w:ascii="Times New Roman" w:eastAsia="Times New Roman" w:hAnsi="Times New Roman" w:cs="Times New Roman"/>
        </w:rPr>
        <w:t>youth</w:t>
      </w:r>
      <w:r w:rsidRPr="2EAEF721">
        <w:rPr>
          <w:rFonts w:ascii="Times New Roman" w:eastAsia="Times New Roman" w:hAnsi="Times New Roman" w:cs="Times New Roman"/>
        </w:rPr>
        <w:t xml:space="preserve"> and young adults</w:t>
      </w:r>
      <w:r w:rsidR="00E27B3D">
        <w:rPr>
          <w:rFonts w:ascii="Times New Roman" w:eastAsia="Times New Roman" w:hAnsi="Times New Roman" w:cs="Times New Roman"/>
        </w:rPr>
        <w:t>,</w:t>
      </w:r>
      <w:r w:rsidRPr="2EAEF721">
        <w:rPr>
          <w:rFonts w:ascii="Times New Roman" w:eastAsia="Times New Roman" w:hAnsi="Times New Roman" w:cs="Times New Roman"/>
        </w:rPr>
        <w:t xml:space="preserve"> </w:t>
      </w:r>
      <w:r w:rsidR="00F7704B">
        <w:rPr>
          <w:rFonts w:ascii="Times New Roman" w:eastAsia="Times New Roman" w:hAnsi="Times New Roman" w:cs="Times New Roman"/>
        </w:rPr>
        <w:t>cigarillos</w:t>
      </w:r>
      <w:r w:rsidRPr="2EAEF721">
        <w:rPr>
          <w:rFonts w:ascii="Times New Roman" w:eastAsia="Times New Roman" w:hAnsi="Times New Roman" w:cs="Times New Roman"/>
        </w:rPr>
        <w:t xml:space="preserve"> are most often used as blunts (where the tobacco filler is removed and replaced with marijuana) as well as co-used with blunts (Cohn et al. 2016). Further,</w:t>
      </w:r>
      <w:r w:rsidR="00F7704B">
        <w:rPr>
          <w:rFonts w:ascii="Times New Roman" w:eastAsia="Times New Roman" w:hAnsi="Times New Roman" w:cs="Times New Roman"/>
        </w:rPr>
        <w:t xml:space="preserve"> </w:t>
      </w:r>
      <w:r w:rsidR="0045731E">
        <w:rPr>
          <w:rFonts w:ascii="Times New Roman" w:eastAsia="Times New Roman" w:hAnsi="Times New Roman" w:cs="Times New Roman"/>
        </w:rPr>
        <w:t xml:space="preserve">research has shown that </w:t>
      </w:r>
      <w:r w:rsidRPr="2EAEF721">
        <w:rPr>
          <w:rFonts w:ascii="Times New Roman" w:eastAsia="Times New Roman" w:hAnsi="Times New Roman" w:cs="Times New Roman"/>
        </w:rPr>
        <w:t>blunts are disproportionately used by Black youth and young adults and particularly in urban areas (Antognoli et al., 2018; Giovenco et al., 2018; Rolle et al., 2015).</w:t>
      </w:r>
    </w:p>
    <w:p w:rsidR="00D068AE" w:rsidRPr="008265FC" w:rsidP="2EAEF721" w14:paraId="3B086ADA" w14:textId="02243E6B">
      <w:pPr>
        <w:autoSpaceDE w:val="0"/>
        <w:autoSpaceDN w:val="0"/>
        <w:adjustRightInd w:val="0"/>
        <w:ind w:left="180"/>
        <w:rPr>
          <w:rFonts w:eastAsia="Calibri"/>
          <w:szCs w:val="24"/>
        </w:rPr>
      </w:pPr>
    </w:p>
    <w:p w:rsidR="00D068AE" w:rsidRPr="008265FC" w:rsidP="2EAEF721" w14:paraId="42F60437" w14:textId="1BA2641B">
      <w:pPr>
        <w:autoSpaceDE w:val="0"/>
        <w:autoSpaceDN w:val="0"/>
        <w:adjustRightInd w:val="0"/>
        <w:ind w:left="180"/>
        <w:rPr>
          <w:rFonts w:ascii="Times New Roman" w:eastAsia="Times New Roman" w:hAnsi="Times New Roman" w:cs="Times New Roman"/>
        </w:rPr>
      </w:pPr>
      <w:r w:rsidRPr="2EAEF721">
        <w:rPr>
          <w:rFonts w:ascii="Times New Roman" w:eastAsia="Times New Roman" w:hAnsi="Times New Roman" w:cs="Times New Roman"/>
        </w:rPr>
        <w:t>As a way to reduce the enormous public health burden of tobacco,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control.</w:t>
      </w:r>
    </w:p>
    <w:p w:rsidR="00D068AE" w:rsidP="00C4552B" w14:paraId="652BBE56" w14:textId="77777777">
      <w:pPr>
        <w:numPr>
          <w:ilvl w:val="12"/>
          <w:numId w:val="0"/>
        </w:numPr>
        <w:autoSpaceDE w:val="0"/>
        <w:autoSpaceDN w:val="0"/>
        <w:adjustRightInd w:val="0"/>
        <w:ind w:left="180"/>
        <w:rPr>
          <w:rFonts w:ascii="Times New Roman" w:eastAsia="Times New Roman" w:hAnsi="Times New Roman" w:cs="Times New Roman"/>
          <w:szCs w:val="24"/>
        </w:rPr>
      </w:pPr>
    </w:p>
    <w:p w:rsidR="00BE1FCB" w:rsidRPr="000F7E48" w:rsidP="00C4552B" w14:paraId="306AFE0D" w14:textId="7FAAE1D0">
      <w:pPr>
        <w:numPr>
          <w:ilvl w:val="12"/>
          <w:numId w:val="0"/>
        </w:numPr>
        <w:autoSpaceDE w:val="0"/>
        <w:autoSpaceDN w:val="0"/>
        <w:adjustRightInd w:val="0"/>
        <w:ind w:left="180"/>
        <w:rPr>
          <w:rFonts w:ascii="Times New Roman" w:eastAsia="Times New Roman" w:hAnsi="Times New Roman" w:cs="Times New Roman"/>
          <w:szCs w:val="24"/>
        </w:rPr>
      </w:pPr>
      <w:r w:rsidRPr="00533205">
        <w:rPr>
          <w:rFonts w:ascii="Times New Roman" w:eastAsia="Times New Roman" w:hAnsi="Times New Roman" w:cs="Times New Roman"/>
          <w:szCs w:val="24"/>
        </w:rPr>
        <w:t xml:space="preserve">In </w:t>
      </w:r>
      <w:r w:rsidR="0037144B">
        <w:rPr>
          <w:rFonts w:ascii="Times New Roman" w:eastAsia="Times New Roman" w:hAnsi="Times New Roman" w:cs="Times New Roman"/>
          <w:szCs w:val="24"/>
        </w:rPr>
        <w:t>an</w:t>
      </w:r>
      <w:r w:rsidRPr="00533205">
        <w:rPr>
          <w:rFonts w:ascii="Times New Roman" w:eastAsia="Times New Roman" w:hAnsi="Times New Roman" w:cs="Times New Roman"/>
          <w:szCs w:val="24"/>
        </w:rPr>
        <w:t xml:space="preserve"> effort to </w:t>
      </w:r>
      <w:r w:rsidRPr="0037144B" w:rsidR="0037144B">
        <w:rPr>
          <w:rFonts w:ascii="Times New Roman" w:eastAsia="Times New Roman" w:hAnsi="Times New Roman" w:cs="Times New Roman"/>
          <w:szCs w:val="24"/>
        </w:rPr>
        <w:t xml:space="preserve">inform specified recommendations around FDA’s public education programs </w:t>
      </w:r>
      <w:r w:rsidR="00D13CDB">
        <w:rPr>
          <w:rFonts w:ascii="Times New Roman" w:eastAsia="Times New Roman" w:hAnsi="Times New Roman" w:cs="Times New Roman"/>
          <w:szCs w:val="24"/>
        </w:rPr>
        <w:t>aimed at</w:t>
      </w:r>
      <w:r w:rsidRPr="0037144B" w:rsidR="0037144B">
        <w:rPr>
          <w:rFonts w:ascii="Times New Roman" w:eastAsia="Times New Roman" w:hAnsi="Times New Roman" w:cs="Times New Roman"/>
          <w:szCs w:val="24"/>
        </w:rPr>
        <w:t xml:space="preserve"> reducing tobacco-related death and disease</w:t>
      </w:r>
      <w:r w:rsidR="00A555B5">
        <w:rPr>
          <w:rFonts w:ascii="Times New Roman" w:eastAsia="Times New Roman" w:hAnsi="Times New Roman" w:cs="Times New Roman"/>
          <w:szCs w:val="24"/>
        </w:rPr>
        <w:t>, m</w:t>
      </w:r>
      <w:r w:rsidRPr="00C4552B" w:rsidR="00C4552B">
        <w:rPr>
          <w:rFonts w:ascii="Times New Roman" w:eastAsia="Times New Roman" w:hAnsi="Times New Roman" w:cs="Times New Roman"/>
          <w:szCs w:val="24"/>
        </w:rPr>
        <w:t xml:space="preserve">ore research is needed to understand </w:t>
      </w:r>
      <w:r w:rsidR="00A42054">
        <w:rPr>
          <w:rFonts w:ascii="Times New Roman" w:eastAsia="Times New Roman" w:hAnsi="Times New Roman" w:cs="Times New Roman"/>
          <w:szCs w:val="24"/>
        </w:rPr>
        <w:t xml:space="preserve">use and perceptions of </w:t>
      </w:r>
      <w:r w:rsidR="00761DFC">
        <w:rPr>
          <w:rFonts w:ascii="Times New Roman" w:eastAsia="Times New Roman" w:hAnsi="Times New Roman" w:cs="Times New Roman"/>
          <w:szCs w:val="24"/>
        </w:rPr>
        <w:t xml:space="preserve">LCCs, and particularly their use as </w:t>
      </w:r>
      <w:r w:rsidR="003723C0">
        <w:rPr>
          <w:rFonts w:ascii="Times New Roman" w:eastAsia="Times New Roman" w:hAnsi="Times New Roman" w:cs="Times New Roman"/>
          <w:szCs w:val="24"/>
        </w:rPr>
        <w:t>blunts</w:t>
      </w:r>
      <w:r w:rsidR="00761DFC">
        <w:rPr>
          <w:rFonts w:ascii="Times New Roman" w:eastAsia="Times New Roman" w:hAnsi="Times New Roman" w:cs="Times New Roman"/>
          <w:szCs w:val="24"/>
        </w:rPr>
        <w:t>,</w:t>
      </w:r>
      <w:r w:rsidR="00D13CDB">
        <w:rPr>
          <w:rFonts w:ascii="Times New Roman" w:eastAsia="Times New Roman" w:hAnsi="Times New Roman" w:cs="Times New Roman"/>
          <w:szCs w:val="24"/>
        </w:rPr>
        <w:t xml:space="preserve"> so that</w:t>
      </w:r>
      <w:r w:rsidRPr="00C4552B" w:rsidR="00C4552B">
        <w:rPr>
          <w:rFonts w:ascii="Times New Roman" w:eastAsia="Times New Roman" w:hAnsi="Times New Roman" w:cs="Times New Roman"/>
          <w:szCs w:val="24"/>
        </w:rPr>
        <w:t xml:space="preserve"> FDA can develop new </w:t>
      </w:r>
      <w:r w:rsidR="00D13CDB">
        <w:rPr>
          <w:rFonts w:ascii="Times New Roman" w:eastAsia="Times New Roman" w:hAnsi="Times New Roman" w:cs="Times New Roman"/>
          <w:szCs w:val="24"/>
        </w:rPr>
        <w:t>public education programs</w:t>
      </w:r>
      <w:r w:rsidRPr="00C4552B" w:rsidR="00C4552B">
        <w:rPr>
          <w:rFonts w:ascii="Times New Roman" w:eastAsia="Times New Roman" w:hAnsi="Times New Roman" w:cs="Times New Roman"/>
          <w:szCs w:val="24"/>
        </w:rPr>
        <w:t xml:space="preserve"> that resonate with youth and young adults </w:t>
      </w:r>
      <w:r w:rsidR="00987029">
        <w:rPr>
          <w:rFonts w:ascii="Times New Roman" w:eastAsia="Times New Roman" w:hAnsi="Times New Roman" w:cs="Times New Roman"/>
          <w:szCs w:val="24"/>
        </w:rPr>
        <w:t xml:space="preserve">who are </w:t>
      </w:r>
      <w:r w:rsidR="00D13CDB">
        <w:rPr>
          <w:rFonts w:ascii="Times New Roman" w:eastAsia="Times New Roman" w:hAnsi="Times New Roman" w:cs="Times New Roman"/>
          <w:szCs w:val="24"/>
        </w:rPr>
        <w:t>most at risk for use</w:t>
      </w:r>
      <w:r w:rsidRPr="00C4552B" w:rsidR="00C4552B">
        <w:rPr>
          <w:rFonts w:ascii="Times New Roman" w:eastAsia="Times New Roman" w:hAnsi="Times New Roman" w:cs="Times New Roman"/>
          <w:szCs w:val="24"/>
        </w:rPr>
        <w:t xml:space="preserve">. </w:t>
      </w:r>
      <w:r w:rsidRPr="00BA09CD" w:rsidR="00BA09CD">
        <w:rPr>
          <w:rFonts w:ascii="Times New Roman" w:eastAsia="Times New Roman" w:hAnsi="Times New Roman" w:cs="Times New Roman"/>
          <w:szCs w:val="24"/>
        </w:rPr>
        <w:t xml:space="preserve">The purpose of this study is to </w:t>
      </w:r>
      <w:r w:rsidR="007478CB">
        <w:rPr>
          <w:rFonts w:ascii="Times New Roman" w:eastAsia="Times New Roman" w:hAnsi="Times New Roman" w:cs="Times New Roman"/>
          <w:szCs w:val="24"/>
        </w:rPr>
        <w:t xml:space="preserve">collect primary data to </w:t>
      </w:r>
      <w:r w:rsidR="00D13CDB">
        <w:rPr>
          <w:rFonts w:ascii="Times New Roman" w:eastAsia="Times New Roman" w:hAnsi="Times New Roman" w:cs="Times New Roman"/>
          <w:szCs w:val="24"/>
        </w:rPr>
        <w:t xml:space="preserve">better understand use and perceptions of </w:t>
      </w:r>
      <w:r w:rsidR="00F05095">
        <w:rPr>
          <w:rFonts w:ascii="Times New Roman" w:eastAsia="Times New Roman" w:hAnsi="Times New Roman" w:cs="Times New Roman"/>
          <w:szCs w:val="24"/>
        </w:rPr>
        <w:t>blunt</w:t>
      </w:r>
      <w:r w:rsidR="00D13CDB">
        <w:rPr>
          <w:rFonts w:ascii="Times New Roman" w:eastAsia="Times New Roman" w:hAnsi="Times New Roman" w:cs="Times New Roman"/>
          <w:szCs w:val="24"/>
        </w:rPr>
        <w:t xml:space="preserve"> </w:t>
      </w:r>
      <w:r w:rsidR="005B6EC4">
        <w:rPr>
          <w:rFonts w:ascii="Times New Roman" w:eastAsia="Times New Roman" w:hAnsi="Times New Roman" w:cs="Times New Roman"/>
          <w:szCs w:val="24"/>
        </w:rPr>
        <w:t xml:space="preserve">and LCCs </w:t>
      </w:r>
      <w:r w:rsidR="00D13CDB">
        <w:rPr>
          <w:rFonts w:ascii="Times New Roman" w:eastAsia="Times New Roman" w:hAnsi="Times New Roman" w:cs="Times New Roman"/>
          <w:szCs w:val="24"/>
        </w:rPr>
        <w:t>among youth and young adults ages 15-24 in the U.S</w:t>
      </w:r>
      <w:r w:rsidRPr="00BA09CD" w:rsidR="00BA09CD">
        <w:rPr>
          <w:rFonts w:ascii="Times New Roman" w:eastAsia="Times New Roman" w:hAnsi="Times New Roman" w:cs="Times New Roman"/>
          <w:szCs w:val="24"/>
        </w:rPr>
        <w:t>.</w:t>
      </w:r>
    </w:p>
    <w:p w:rsidR="00BE1FCB" w:rsidP="00BE1FCB" w14:paraId="13A10C92" w14:textId="77777777">
      <w:pPr>
        <w:numPr>
          <w:ilvl w:val="12"/>
          <w:numId w:val="0"/>
        </w:numPr>
        <w:autoSpaceDE w:val="0"/>
        <w:autoSpaceDN w:val="0"/>
        <w:adjustRightInd w:val="0"/>
        <w:ind w:left="180"/>
        <w:rPr>
          <w:rFonts w:ascii="Times New Roman" w:eastAsia="Times New Roman" w:hAnsi="Times New Roman" w:cs="Times New Roman"/>
          <w:szCs w:val="24"/>
        </w:rPr>
      </w:pPr>
    </w:p>
    <w:p w:rsidR="00BE1FCB" w:rsidRPr="001B47BD" w:rsidP="00BE1FCB" w14:paraId="246BFA55" w14:textId="46AE7EF0">
      <w:pPr>
        <w:numPr>
          <w:ilvl w:val="12"/>
          <w:numId w:val="0"/>
        </w:numPr>
        <w:autoSpaceDE w:val="0"/>
        <w:autoSpaceDN w:val="0"/>
        <w:adjustRightInd w:val="0"/>
        <w:ind w:left="180"/>
        <w:rPr>
          <w:rFonts w:ascii="Times New Roman" w:eastAsia="Times New Roman" w:hAnsi="Times New Roman" w:cs="Times New Roman"/>
          <w:szCs w:val="24"/>
        </w:rPr>
      </w:pPr>
      <w:r w:rsidRPr="00533205">
        <w:rPr>
          <w:rFonts w:ascii="Times New Roman" w:eastAsia="Times New Roman" w:hAnsi="Times New Roman" w:cs="Times New Roman"/>
          <w:szCs w:val="24"/>
        </w:rPr>
        <w:t xml:space="preserve">. </w:t>
      </w:r>
    </w:p>
    <w:p w:rsidR="00BE1FCB" w:rsidRPr="001B47BD" w:rsidP="00BE1FCB" w14:paraId="5D6F58AF" w14:textId="77777777">
      <w:pPr>
        <w:numPr>
          <w:ilvl w:val="12"/>
          <w:numId w:val="0"/>
        </w:numPr>
        <w:autoSpaceDE w:val="0"/>
        <w:autoSpaceDN w:val="0"/>
        <w:adjustRightInd w:val="0"/>
        <w:ind w:left="180"/>
        <w:rPr>
          <w:rFonts w:ascii="Times New Roman" w:eastAsia="Times New Roman" w:hAnsi="Times New Roman" w:cs="Times New Roman"/>
          <w:szCs w:val="24"/>
        </w:rPr>
      </w:pPr>
    </w:p>
    <w:p w:rsidR="00BE1FCB" w:rsidRPr="001B47BD" w:rsidP="00BE1FCB" w14:paraId="2BB33DC8" w14:textId="53E43937">
      <w:pPr>
        <w:ind w:left="180"/>
        <w:rPr>
          <w:rFonts w:ascii="Times New Roman" w:eastAsia="Times New Roman" w:hAnsi="Times New Roman" w:cs="Times New Roman"/>
          <w:b/>
          <w:bCs/>
          <w:szCs w:val="24"/>
        </w:rPr>
      </w:pPr>
      <w:bookmarkStart w:id="4" w:name="_Toc239649222"/>
    </w:p>
    <w:p w:rsidR="00BE1FCB" w:rsidRPr="001B47BD" w:rsidP="00BE1FCB" w14:paraId="1655EED6"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r w:rsidRPr="001B47BD">
        <w:rPr>
          <w:rFonts w:ascii="Times New Roman" w:eastAsia="Times New Roman" w:hAnsi="Times New Roman" w:cs="Times New Roman"/>
          <w:b/>
          <w:bCs/>
          <w:szCs w:val="24"/>
        </w:rPr>
        <w:t xml:space="preserve">2. </w:t>
      </w:r>
      <w:r w:rsidRPr="001B47BD">
        <w:rPr>
          <w:rFonts w:ascii="Times New Roman" w:eastAsia="Times New Roman" w:hAnsi="Times New Roman" w:cs="Times New Roman"/>
          <w:b/>
          <w:bCs/>
          <w:szCs w:val="24"/>
          <w:u w:val="single"/>
        </w:rPr>
        <w:t>Purpose and Use of the Information</w:t>
      </w:r>
      <w:bookmarkEnd w:id="4"/>
    </w:p>
    <w:p w:rsidR="00BE1FCB" w:rsidRPr="001B47BD" w:rsidP="00BE1FCB" w14:paraId="79B83EA9" w14:textId="77777777">
      <w:pPr>
        <w:numPr>
          <w:ilvl w:val="12"/>
          <w:numId w:val="0"/>
        </w:numPr>
        <w:autoSpaceDE w:val="0"/>
        <w:autoSpaceDN w:val="0"/>
        <w:adjustRightInd w:val="0"/>
        <w:ind w:left="180"/>
        <w:rPr>
          <w:rFonts w:ascii="Times New Roman" w:eastAsia="Times New Roman" w:hAnsi="Times New Roman" w:cs="Times New Roman"/>
          <w:szCs w:val="24"/>
        </w:rPr>
      </w:pPr>
    </w:p>
    <w:p w:rsidR="007A5292" w:rsidP="001F2A01" w14:paraId="1D5D4F4C" w14:textId="440CC3B0">
      <w:pPr>
        <w:numPr>
          <w:ilvl w:val="12"/>
          <w:numId w:val="0"/>
        </w:numPr>
        <w:autoSpaceDE w:val="0"/>
        <w:autoSpaceDN w:val="0"/>
        <w:adjustRightInd w:val="0"/>
        <w:ind w:left="360"/>
        <w:rPr>
          <w:rFonts w:ascii="Times New Roman" w:eastAsia="Times New Roman" w:hAnsi="Times New Roman" w:cs="Arial"/>
        </w:rPr>
      </w:pPr>
      <w:r w:rsidRPr="007A5292">
        <w:rPr>
          <w:rFonts w:ascii="Times New Roman" w:eastAsia="Times New Roman" w:hAnsi="Times New Roman" w:cs="Arial"/>
        </w:rPr>
        <w:t xml:space="preserve">RTI </w:t>
      </w:r>
      <w:r w:rsidR="008E5E90">
        <w:rPr>
          <w:rFonts w:ascii="Times New Roman" w:eastAsia="Times New Roman" w:hAnsi="Times New Roman" w:cs="Arial"/>
        </w:rPr>
        <w:t>International</w:t>
      </w:r>
      <w:r w:rsidR="00A13A1E">
        <w:rPr>
          <w:rFonts w:ascii="Times New Roman" w:eastAsia="Times New Roman" w:hAnsi="Times New Roman" w:cs="Arial"/>
        </w:rPr>
        <w:t xml:space="preserve"> (RTI)</w:t>
      </w:r>
      <w:r w:rsidRPr="001B47BD">
        <w:rPr>
          <w:rFonts w:ascii="Times New Roman" w:eastAsia="Times New Roman" w:hAnsi="Times New Roman" w:cs="Arial"/>
        </w:rPr>
        <w:t xml:space="preserve"> will conduct online surveys with youth and young adults in the United States recruited through</w:t>
      </w:r>
      <w:r w:rsidRPr="001B47BD" w:rsidR="00371833">
        <w:rPr>
          <w:rFonts w:ascii="Times New Roman" w:eastAsia="Times New Roman" w:hAnsi="Times New Roman" w:cs="Arial"/>
        </w:rPr>
        <w:t xml:space="preserve"> advertisements on</w:t>
      </w:r>
      <w:r w:rsidRPr="001B47BD">
        <w:rPr>
          <w:rFonts w:ascii="Times New Roman" w:eastAsia="Times New Roman" w:hAnsi="Times New Roman" w:cs="Arial"/>
        </w:rPr>
        <w:t xml:space="preserve"> social media</w:t>
      </w:r>
      <w:r w:rsidRPr="001B47BD" w:rsidR="00D13CDB">
        <w:rPr>
          <w:rFonts w:ascii="Times New Roman" w:eastAsia="Times New Roman" w:hAnsi="Times New Roman" w:cs="Arial"/>
        </w:rPr>
        <w:t xml:space="preserve"> </w:t>
      </w:r>
      <w:r w:rsidRPr="001B47BD">
        <w:rPr>
          <w:rFonts w:ascii="Times New Roman" w:eastAsia="Times New Roman" w:hAnsi="Times New Roman" w:cs="Arial"/>
        </w:rPr>
        <w:t>(</w:t>
      </w:r>
      <w:r w:rsidRPr="001B47BD" w:rsidR="00D13CDB">
        <w:rPr>
          <w:rFonts w:ascii="Times New Roman" w:eastAsia="Times New Roman" w:hAnsi="Times New Roman" w:cs="Arial"/>
        </w:rPr>
        <w:t>e.g.</w:t>
      </w:r>
      <w:r w:rsidRPr="001B47BD">
        <w:rPr>
          <w:rFonts w:ascii="Times New Roman" w:eastAsia="Times New Roman" w:hAnsi="Times New Roman" w:cs="Arial"/>
        </w:rPr>
        <w:t xml:space="preserve">, Facebook, Instagram) </w:t>
      </w:r>
      <w:bookmarkStart w:id="5" w:name="_Hlk39672704"/>
      <w:r w:rsidRPr="001B47BD">
        <w:rPr>
          <w:rFonts w:ascii="Times New Roman" w:eastAsia="Times New Roman" w:hAnsi="Times New Roman" w:cs="Arial"/>
        </w:rPr>
        <w:t xml:space="preserve">to </w:t>
      </w:r>
      <w:bookmarkStart w:id="6" w:name="_Hlk34039953"/>
      <w:r w:rsidRPr="001B47BD" w:rsidR="00D13CDB">
        <w:rPr>
          <w:rFonts w:ascii="Times New Roman" w:eastAsia="Times New Roman" w:hAnsi="Times New Roman" w:cs="Arial"/>
        </w:rPr>
        <w:t>assess use and perceptions of LCCs and blunts</w:t>
      </w:r>
      <w:r w:rsidRPr="001B47BD">
        <w:rPr>
          <w:rFonts w:ascii="Times New Roman" w:eastAsia="Times New Roman" w:hAnsi="Times New Roman" w:cs="Arial"/>
        </w:rPr>
        <w:t>.</w:t>
      </w:r>
      <w:bookmarkEnd w:id="5"/>
      <w:r w:rsidRPr="001B47BD">
        <w:rPr>
          <w:rFonts w:ascii="Times New Roman" w:eastAsia="Times New Roman" w:hAnsi="Times New Roman" w:cs="Arial"/>
        </w:rPr>
        <w:t xml:space="preserve"> </w:t>
      </w:r>
      <w:r w:rsidRPr="001B47BD" w:rsidR="00384655">
        <w:rPr>
          <w:rFonts w:ascii="Times New Roman" w:eastAsia="Times New Roman" w:hAnsi="Times New Roman" w:cs="Arial"/>
        </w:rPr>
        <w:t>A</w:t>
      </w:r>
      <w:r w:rsidRPr="001B47BD">
        <w:rPr>
          <w:rFonts w:ascii="Times New Roman" w:eastAsia="Times New Roman" w:hAnsi="Times New Roman" w:cs="Arial"/>
        </w:rPr>
        <w:t xml:space="preserve">s soon as approvals are received, we will begin data collection for a national, online self-administered survey of </w:t>
      </w:r>
      <w:bookmarkEnd w:id="6"/>
      <w:r w:rsidRPr="001B47BD" w:rsidR="00D13CDB">
        <w:rPr>
          <w:rFonts w:ascii="Times New Roman" w:eastAsia="Times New Roman" w:hAnsi="Times New Roman" w:cs="Arial"/>
        </w:rPr>
        <w:t xml:space="preserve">up to </w:t>
      </w:r>
      <w:r w:rsidRPr="001B47BD" w:rsidR="005C1F73">
        <w:rPr>
          <w:rFonts w:ascii="Times New Roman" w:eastAsia="Times New Roman" w:hAnsi="Times New Roman" w:cs="Times New Roman"/>
          <w:szCs w:val="24"/>
        </w:rPr>
        <w:t>1,5</w:t>
      </w:r>
      <w:r w:rsidR="00C014B4">
        <w:rPr>
          <w:rFonts w:ascii="Times New Roman" w:eastAsia="Times New Roman" w:hAnsi="Times New Roman" w:cs="Times New Roman"/>
          <w:szCs w:val="24"/>
        </w:rPr>
        <w:t>5</w:t>
      </w:r>
      <w:r w:rsidRPr="001B47BD" w:rsidR="005C1F73">
        <w:rPr>
          <w:rFonts w:ascii="Times New Roman" w:eastAsia="Times New Roman" w:hAnsi="Times New Roman" w:cs="Times New Roman"/>
          <w:szCs w:val="24"/>
        </w:rPr>
        <w:t xml:space="preserve">0 </w:t>
      </w:r>
      <w:r w:rsidRPr="001B47BD" w:rsidR="00D13CDB">
        <w:rPr>
          <w:rFonts w:ascii="Times New Roman" w:eastAsia="Times New Roman" w:hAnsi="Times New Roman" w:cs="Arial"/>
        </w:rPr>
        <w:t>participants</w:t>
      </w:r>
      <w:r w:rsidRPr="00DA7983">
        <w:rPr>
          <w:rFonts w:ascii="Times New Roman" w:eastAsia="Times New Roman" w:hAnsi="Times New Roman" w:cs="Arial"/>
        </w:rPr>
        <w:t xml:space="preserve"> ages 15-</w:t>
      </w:r>
      <w:r w:rsidR="00D13CDB">
        <w:rPr>
          <w:rFonts w:ascii="Times New Roman" w:eastAsia="Times New Roman" w:hAnsi="Times New Roman" w:cs="Arial"/>
        </w:rPr>
        <w:t>24.</w:t>
      </w:r>
      <w:bookmarkStart w:id="7" w:name="_Hlk39673167"/>
      <w:r w:rsidRPr="00DA7983">
        <w:rPr>
          <w:rFonts w:ascii="Times New Roman" w:eastAsia="Times New Roman" w:hAnsi="Times New Roman" w:cs="Arial"/>
        </w:rPr>
        <w:t xml:space="preserve"> </w:t>
      </w:r>
      <w:bookmarkEnd w:id="7"/>
      <w:r w:rsidRPr="001B47BD" w:rsidR="00FA37E8">
        <w:rPr>
          <w:rFonts w:ascii="Times New Roman" w:eastAsia="Times New Roman" w:hAnsi="Times New Roman" w:cs="Times New Roman"/>
          <w:szCs w:val="24"/>
        </w:rPr>
        <w:t>The survey will include questions about LCC and other tobacco product use to allow the study team to better understand co-use behaviors. The survey will take approximately 15 minutes to complete per participant.</w:t>
      </w:r>
      <w:r w:rsidR="00FF190F">
        <w:rPr>
          <w:rFonts w:ascii="Times New Roman" w:eastAsia="Times New Roman" w:hAnsi="Times New Roman" w:cs="Times New Roman"/>
          <w:szCs w:val="24"/>
        </w:rPr>
        <w:t xml:space="preserve"> </w:t>
      </w:r>
      <w:r w:rsidR="00D13CDB">
        <w:rPr>
          <w:rFonts w:ascii="Times New Roman" w:eastAsia="Times New Roman" w:hAnsi="Times New Roman" w:cs="Arial"/>
        </w:rPr>
        <w:t>Study results</w:t>
      </w:r>
      <w:r w:rsidRPr="007A5292">
        <w:rPr>
          <w:rFonts w:ascii="Times New Roman" w:eastAsia="Times New Roman" w:hAnsi="Times New Roman" w:cs="Arial"/>
        </w:rPr>
        <w:t xml:space="preserve"> </w:t>
      </w:r>
      <w:r w:rsidR="001E29A0">
        <w:rPr>
          <w:rFonts w:ascii="Times New Roman" w:eastAsia="Times New Roman" w:hAnsi="Times New Roman" w:cs="Arial"/>
        </w:rPr>
        <w:t>will</w:t>
      </w:r>
      <w:r w:rsidRPr="007A5292">
        <w:rPr>
          <w:rFonts w:ascii="Times New Roman" w:eastAsia="Times New Roman" w:hAnsi="Times New Roman" w:cs="Arial"/>
        </w:rPr>
        <w:t xml:space="preserve"> be used to inform specified recommendations around FDA’s public education </w:t>
      </w:r>
      <w:r w:rsidR="00D13CDB">
        <w:rPr>
          <w:rFonts w:ascii="Times New Roman" w:eastAsia="Times New Roman" w:hAnsi="Times New Roman" w:cs="Arial"/>
        </w:rPr>
        <w:t>programs aimed at</w:t>
      </w:r>
      <w:r w:rsidRPr="007A5292">
        <w:rPr>
          <w:rFonts w:ascii="Times New Roman" w:eastAsia="Times New Roman" w:hAnsi="Times New Roman" w:cs="Arial"/>
        </w:rPr>
        <w:t xml:space="preserve"> reducing tobacco-related death and disease.</w:t>
      </w:r>
      <w:r w:rsidRPr="007A5292">
        <w:rPr>
          <w:rFonts w:ascii="Times New Roman" w:eastAsia="Times New Roman" w:hAnsi="Times New Roman" w:cs="Arial"/>
        </w:rPr>
        <w:tab/>
      </w:r>
    </w:p>
    <w:p w:rsidR="000E66A3" w:rsidP="001F2A01" w14:paraId="38BC00E4" w14:textId="77777777">
      <w:pPr>
        <w:numPr>
          <w:ilvl w:val="12"/>
          <w:numId w:val="0"/>
        </w:numPr>
        <w:autoSpaceDE w:val="0"/>
        <w:autoSpaceDN w:val="0"/>
        <w:adjustRightInd w:val="0"/>
        <w:ind w:left="360"/>
        <w:rPr>
          <w:rFonts w:ascii="Times New Roman" w:eastAsia="Times New Roman" w:hAnsi="Times New Roman" w:cs="Arial"/>
        </w:rPr>
      </w:pPr>
    </w:p>
    <w:p w:rsidR="000D4DC0" w:rsidRPr="00705808" w:rsidP="00301FDC" w14:paraId="57FBCA50" w14:textId="19C45E2B">
      <w:pPr>
        <w:spacing w:after="80"/>
        <w:ind w:left="180"/>
        <w:rPr>
          <w:rFonts w:ascii="Times New Roman" w:eastAsia="Times New Roman" w:hAnsi="Times New Roman" w:cs="Arial"/>
        </w:rPr>
      </w:pPr>
      <w:r w:rsidRPr="00705808">
        <w:rPr>
          <w:rFonts w:ascii="Times New Roman" w:eastAsia="Times New Roman" w:hAnsi="Times New Roman" w:cs="Arial"/>
        </w:rPr>
        <w:t>The study aims to answer the following questions:</w:t>
      </w:r>
    </w:p>
    <w:p w:rsidR="00D13CDB" w:rsidRPr="00D13CDB" w:rsidP="00D13CDB" w14:paraId="7C9A21F8" w14:textId="5DF0DF0F">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What is t</w:t>
      </w:r>
      <w:r w:rsidRPr="00D13CDB">
        <w:rPr>
          <w:rFonts w:ascii="Times New Roman" w:eastAsia="Times New Roman" w:hAnsi="Times New Roman" w:cs="Times New Roman"/>
        </w:rPr>
        <w:t>he relationship between blunt use and use of other tobacco products (e.g., LCCs with tobacco, cigarettes, nicotine vapes)</w:t>
      </w:r>
      <w:r w:rsidR="00197667">
        <w:rPr>
          <w:rFonts w:ascii="Times New Roman" w:eastAsia="Times New Roman" w:hAnsi="Times New Roman" w:cs="Times New Roman"/>
        </w:rPr>
        <w:t xml:space="preserve"> among youth/young adults</w:t>
      </w:r>
      <w:r>
        <w:rPr>
          <w:rFonts w:ascii="Times New Roman" w:eastAsia="Times New Roman" w:hAnsi="Times New Roman" w:cs="Times New Roman"/>
        </w:rPr>
        <w:t>?</w:t>
      </w:r>
    </w:p>
    <w:p w:rsidR="00D13CDB" w:rsidP="00D13CDB" w14:paraId="40162BDE" w14:textId="16876204">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What are the sociocultural contexts of blunts use? Where are youth/young adults using blunts? Who are they using them with? What are their reasons for use?</w:t>
      </w:r>
    </w:p>
    <w:p w:rsidR="00D13CDB" w:rsidP="00D13CDB" w14:paraId="2D9DB865" w14:textId="48F44466">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What brands of LCCs or cigar wrappers are commonly used to make blunts?</w:t>
      </w:r>
    </w:p>
    <w:p w:rsidR="00D13CDB" w:rsidP="00D13CDB" w14:paraId="16B7BEE1" w14:textId="51AB8F9B">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What are youth/young adults’ perceptions around the harm and addictiveness of blunts?</w:t>
      </w:r>
    </w:p>
    <w:p w:rsidR="00FA37E8" w:rsidP="00D13CDB" w14:paraId="3DB114EF" w14:textId="4723DC78">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What beliefs related to blunt use are held by youth/young adults?</w:t>
      </w:r>
    </w:p>
    <w:p w:rsidR="00FA37E8" w:rsidRPr="00FA37E8" w:rsidP="001F2A01" w14:paraId="5512EA18" w14:textId="77777777">
      <w:pPr>
        <w:autoSpaceDE w:val="0"/>
        <w:autoSpaceDN w:val="0"/>
        <w:adjustRightInd w:val="0"/>
        <w:ind w:left="720"/>
        <w:contextualSpacing/>
        <w:rPr>
          <w:rFonts w:ascii="Times New Roman" w:eastAsia="Times New Roman" w:hAnsi="Times New Roman" w:cs="Times New Roman"/>
        </w:rPr>
      </w:pPr>
    </w:p>
    <w:p w:rsidR="00B962AE" w:rsidP="00301FDC" w14:paraId="1DA49FBA" w14:textId="6B40677A">
      <w:pPr>
        <w:numPr>
          <w:ilvl w:val="12"/>
          <w:numId w:val="0"/>
        </w:numPr>
        <w:autoSpaceDE w:val="0"/>
        <w:autoSpaceDN w:val="0"/>
        <w:adjustRightInd w:val="0"/>
        <w:ind w:left="360"/>
        <w:rPr>
          <w:rFonts w:ascii="Times New Roman" w:eastAsia="Times New Roman" w:hAnsi="Times New Roman" w:cs="Times New Roman"/>
          <w:szCs w:val="24"/>
        </w:rPr>
      </w:pPr>
    </w:p>
    <w:p w:rsidR="00BE1FCB" w:rsidRPr="008265FC" w:rsidP="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8" w:name="_Toc239649223"/>
      <w:r>
        <w:rPr>
          <w:rFonts w:ascii="Times New Roman" w:eastAsia="Times New Roman" w:hAnsi="Times New Roman" w:cs="Times New Roman"/>
          <w:b/>
          <w:bCs/>
          <w:szCs w:val="24"/>
        </w:rPr>
        <w:t xml:space="preserve">3. </w:t>
      </w:r>
      <w:r w:rsidRPr="008265FC">
        <w:rPr>
          <w:rFonts w:ascii="Times New Roman" w:eastAsia="Times New Roman" w:hAnsi="Times New Roman" w:cs="Times New Roman"/>
          <w:b/>
          <w:bCs/>
          <w:szCs w:val="24"/>
          <w:u w:val="single"/>
        </w:rPr>
        <w:t>Use of Information Technology and Burden Reduction</w:t>
      </w:r>
      <w:bookmarkEnd w:id="8"/>
    </w:p>
    <w:p w:rsidR="00BE1FCB" w:rsidRPr="008265FC" w:rsidP="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01EBE105" w14:textId="56E6EDA1">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szCs w:val="24"/>
        </w:rPr>
      </w:pPr>
      <w:r w:rsidRPr="00533205">
        <w:rPr>
          <w:rFonts w:ascii="Times New Roman" w:eastAsia="Times New Roman" w:hAnsi="Times New Roman" w:cs="Times New Roman"/>
          <w:szCs w:val="24"/>
        </w:rPr>
        <w:t xml:space="preserve">The study will be conducted using </w:t>
      </w:r>
      <w:r>
        <w:rPr>
          <w:rFonts w:ascii="Times New Roman" w:eastAsia="Times New Roman" w:hAnsi="Times New Roman" w:cs="Times New Roman"/>
          <w:szCs w:val="24"/>
        </w:rPr>
        <w:t xml:space="preserve">a </w:t>
      </w:r>
      <w:r w:rsidRPr="00533205">
        <w:rPr>
          <w:rFonts w:ascii="Times New Roman" w:eastAsia="Times New Roman" w:hAnsi="Times New Roman" w:cs="Times New Roman"/>
          <w:szCs w:val="24"/>
        </w:rPr>
        <w:t xml:space="preserve">web-based survey that </w:t>
      </w:r>
      <w:r>
        <w:rPr>
          <w:rFonts w:ascii="Times New Roman" w:eastAsia="Times New Roman" w:hAnsi="Times New Roman" w:cs="Times New Roman"/>
          <w:szCs w:val="24"/>
        </w:rPr>
        <w:t>is</w:t>
      </w:r>
      <w:r w:rsidRPr="00533205">
        <w:rPr>
          <w:rFonts w:ascii="Times New Roman" w:eastAsia="Times New Roman" w:hAnsi="Times New Roman" w:cs="Times New Roman"/>
          <w:szCs w:val="24"/>
        </w:rPr>
        <w:t xml:space="preserve"> self-administered on personal computers</w:t>
      </w:r>
      <w:r>
        <w:rPr>
          <w:rFonts w:ascii="Times New Roman" w:eastAsia="Times New Roman" w:hAnsi="Times New Roman" w:cs="Times New Roman"/>
          <w:szCs w:val="24"/>
        </w:rPr>
        <w:t xml:space="preserve"> or web enabled mobile devices</w:t>
      </w:r>
      <w:r w:rsidRPr="008265FC">
        <w:rPr>
          <w:rFonts w:ascii="Times New Roman" w:eastAsia="Times New Roman" w:hAnsi="Times New Roman" w:cs="Times New Roman"/>
          <w:color w:val="000000"/>
          <w:szCs w:val="24"/>
        </w:rPr>
        <w:t xml:space="preserve"> </w:t>
      </w:r>
      <w:r w:rsidRPr="008265FC">
        <w:rPr>
          <w:rFonts w:ascii="Times New Roman" w:eastAsia="Times New Roman" w:hAnsi="Times New Roman" w:cs="Times New Roman"/>
          <w:color w:val="000000"/>
          <w:szCs w:val="24"/>
        </w:rPr>
        <w:t xml:space="preserve">This study will rely on web-based survey data collection </w:t>
      </w:r>
      <w:r w:rsidRPr="00CE514D" w:rsidR="00CE514D">
        <w:rPr>
          <w:rFonts w:ascii="Times New Roman" w:eastAsia="Times New Roman" w:hAnsi="Times New Roman" w:cs="Times New Roman"/>
          <w:color w:val="000000"/>
          <w:szCs w:val="24"/>
        </w:rPr>
        <w:t xml:space="preserve">to collect primary data to </w:t>
      </w:r>
      <w:r w:rsidR="00197667">
        <w:rPr>
          <w:rFonts w:ascii="Times New Roman" w:eastAsia="Times New Roman" w:hAnsi="Times New Roman" w:cs="Times New Roman"/>
          <w:color w:val="000000"/>
          <w:szCs w:val="24"/>
        </w:rPr>
        <w:t>assess</w:t>
      </w:r>
      <w:r w:rsidRPr="00CE514D" w:rsidR="00CE514D">
        <w:rPr>
          <w:rFonts w:ascii="Times New Roman" w:eastAsia="Times New Roman" w:hAnsi="Times New Roman" w:cs="Times New Roman"/>
          <w:color w:val="000000"/>
          <w:szCs w:val="24"/>
        </w:rPr>
        <w:t xml:space="preserve"> youth and young adult </w:t>
      </w:r>
      <w:r w:rsidR="00197667">
        <w:rPr>
          <w:rFonts w:ascii="Times New Roman" w:eastAsia="Times New Roman" w:hAnsi="Times New Roman" w:cs="Times New Roman"/>
          <w:color w:val="000000"/>
          <w:szCs w:val="24"/>
        </w:rPr>
        <w:t xml:space="preserve">use and </w:t>
      </w:r>
      <w:r w:rsidRPr="00CE514D" w:rsidR="00CE514D">
        <w:rPr>
          <w:rFonts w:ascii="Times New Roman" w:eastAsia="Times New Roman" w:hAnsi="Times New Roman" w:cs="Times New Roman"/>
          <w:color w:val="000000"/>
          <w:szCs w:val="24"/>
        </w:rPr>
        <w:t xml:space="preserve">perceptions </w:t>
      </w:r>
      <w:r w:rsidR="00197667">
        <w:rPr>
          <w:rFonts w:ascii="Times New Roman" w:eastAsia="Times New Roman" w:hAnsi="Times New Roman" w:cs="Times New Roman"/>
          <w:color w:val="000000"/>
          <w:szCs w:val="24"/>
        </w:rPr>
        <w:t xml:space="preserve">of </w:t>
      </w:r>
      <w:r w:rsidRPr="00CE514D" w:rsidR="00CE514D">
        <w:rPr>
          <w:rFonts w:ascii="Times New Roman" w:eastAsia="Times New Roman" w:hAnsi="Times New Roman" w:cs="Times New Roman"/>
          <w:color w:val="000000"/>
          <w:szCs w:val="24"/>
        </w:rPr>
        <w:t>LCCs</w:t>
      </w:r>
      <w:r w:rsidR="00197667">
        <w:rPr>
          <w:rFonts w:ascii="Times New Roman" w:eastAsia="Times New Roman" w:hAnsi="Times New Roman" w:cs="Times New Roman"/>
          <w:color w:val="000000"/>
          <w:szCs w:val="24"/>
        </w:rPr>
        <w:t xml:space="preserve"> and blunts</w:t>
      </w:r>
      <w:r w:rsidRPr="00CE514D" w:rsidR="00CE514D">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 xml:space="preserve"> </w:t>
      </w:r>
      <w:r w:rsidRPr="008265FC">
        <w:rPr>
          <w:rFonts w:ascii="Times New Roman" w:eastAsia="Times New Roman" w:hAnsi="Times New Roman" w:cs="Times New Roman"/>
          <w:color w:val="000000"/>
          <w:szCs w:val="24"/>
        </w:rPr>
        <w:t xml:space="preserve">Using </w:t>
      </w:r>
      <w:r>
        <w:rPr>
          <w:rFonts w:ascii="Times New Roman" w:eastAsia="Times New Roman" w:hAnsi="Times New Roman" w:cs="Times New Roman"/>
          <w:color w:val="000000"/>
          <w:szCs w:val="24"/>
        </w:rPr>
        <w:t xml:space="preserve">an online </w:t>
      </w:r>
      <w:r w:rsidRPr="008265FC">
        <w:rPr>
          <w:rFonts w:ascii="Times New Roman" w:eastAsia="Times New Roman" w:hAnsi="Times New Roman" w:cs="Times New Roman"/>
          <w:color w:val="000000"/>
          <w:szCs w:val="24"/>
        </w:rPr>
        <w:t xml:space="preserve">survey allows the respondent to be </w:t>
      </w:r>
      <w:r>
        <w:rPr>
          <w:rFonts w:ascii="Times New Roman" w:eastAsia="Times New Roman" w:hAnsi="Times New Roman" w:cs="Times New Roman"/>
          <w:color w:val="000000"/>
          <w:szCs w:val="24"/>
        </w:rPr>
        <w:t xml:space="preserve">candid with their responses. </w:t>
      </w:r>
      <w:r w:rsidRPr="008265FC">
        <w:rPr>
          <w:rFonts w:ascii="Times New Roman" w:eastAsia="Times New Roman" w:hAnsi="Times New Roman" w:cs="Times New Roman"/>
          <w:color w:val="000000"/>
          <w:szCs w:val="24"/>
        </w:rPr>
        <w:t xml:space="preserve">This </w:t>
      </w:r>
      <w:r w:rsidR="00201680">
        <w:rPr>
          <w:rFonts w:ascii="Times New Roman" w:eastAsia="Times New Roman" w:hAnsi="Times New Roman" w:cs="Times New Roman"/>
          <w:color w:val="000000"/>
          <w:szCs w:val="24"/>
        </w:rPr>
        <w:t>increases</w:t>
      </w:r>
      <w:r w:rsidRPr="008265FC">
        <w:rPr>
          <w:rFonts w:ascii="Times New Roman" w:eastAsia="Times New Roman" w:hAnsi="Times New Roman" w:cs="Times New Roman"/>
          <w:color w:val="000000"/>
          <w:szCs w:val="24"/>
        </w:rPr>
        <w:t xml:space="preserve"> accura</w:t>
      </w:r>
      <w:r w:rsidR="00201680">
        <w:rPr>
          <w:rFonts w:ascii="Times New Roman" w:eastAsia="Times New Roman" w:hAnsi="Times New Roman" w:cs="Times New Roman"/>
          <w:color w:val="000000"/>
          <w:szCs w:val="24"/>
        </w:rPr>
        <w:t>cy</w:t>
      </w:r>
      <w:r w:rsidRPr="008265FC">
        <w:rPr>
          <w:rFonts w:ascii="Times New Roman" w:eastAsia="Times New Roman" w:hAnsi="Times New Roman" w:cs="Times New Roman"/>
          <w:color w:val="000000"/>
          <w:szCs w:val="24"/>
        </w:rPr>
        <w:t xml:space="preserve"> </w:t>
      </w:r>
      <w:r w:rsidR="00201680">
        <w:rPr>
          <w:rFonts w:ascii="Times New Roman" w:eastAsia="Times New Roman" w:hAnsi="Times New Roman" w:cs="Times New Roman"/>
          <w:color w:val="000000"/>
          <w:szCs w:val="24"/>
        </w:rPr>
        <w:t xml:space="preserve">of the </w:t>
      </w:r>
      <w:r w:rsidRPr="008265FC">
        <w:rPr>
          <w:rFonts w:ascii="Times New Roman" w:eastAsia="Times New Roman" w:hAnsi="Times New Roman" w:cs="Times New Roman"/>
          <w:color w:val="000000"/>
          <w:szCs w:val="24"/>
        </w:rPr>
        <w:t xml:space="preserve">data because respondents provide more honest responses than </w:t>
      </w:r>
      <w:r>
        <w:rPr>
          <w:rFonts w:ascii="Times New Roman" w:eastAsia="Times New Roman" w:hAnsi="Times New Roman" w:cs="Times New Roman"/>
          <w:color w:val="000000"/>
          <w:szCs w:val="24"/>
        </w:rPr>
        <w:t xml:space="preserve">when </w:t>
      </w:r>
      <w:r w:rsidRPr="008265FC">
        <w:rPr>
          <w:rFonts w:ascii="Times New Roman" w:eastAsia="Times New Roman" w:hAnsi="Times New Roman" w:cs="Times New Roman"/>
          <w:color w:val="000000"/>
          <w:szCs w:val="24"/>
        </w:rPr>
        <w:t xml:space="preserve">other types of </w:t>
      </w:r>
      <w:r>
        <w:rPr>
          <w:rFonts w:ascii="Times New Roman" w:eastAsia="Times New Roman" w:hAnsi="Times New Roman" w:cs="Times New Roman"/>
          <w:color w:val="000000"/>
          <w:szCs w:val="24"/>
        </w:rPr>
        <w:t>data collection methods are employed</w:t>
      </w:r>
      <w:r w:rsidRPr="008265FC">
        <w:rPr>
          <w:rFonts w:ascii="Times New Roman" w:eastAsia="Times New Roman" w:hAnsi="Times New Roman" w:cs="Times New Roman"/>
          <w:color w:val="000000"/>
          <w:szCs w:val="24"/>
        </w:rPr>
        <w:t>, especially</w:t>
      </w:r>
      <w:r>
        <w:rPr>
          <w:rFonts w:ascii="Times New Roman" w:eastAsia="Times New Roman" w:hAnsi="Times New Roman" w:cs="Times New Roman"/>
          <w:color w:val="000000"/>
          <w:szCs w:val="24"/>
        </w:rPr>
        <w:t xml:space="preserve"> when</w:t>
      </w:r>
      <w:r w:rsidRPr="008265FC">
        <w:rPr>
          <w:rFonts w:ascii="Times New Roman" w:eastAsia="Times New Roman" w:hAnsi="Times New Roman" w:cs="Times New Roman"/>
          <w:color w:val="000000"/>
          <w:szCs w:val="24"/>
        </w:rPr>
        <w:t xml:space="preserve"> it is clear that the ans</w:t>
      </w:r>
      <w:r>
        <w:rPr>
          <w:rFonts w:ascii="Times New Roman" w:eastAsia="Times New Roman" w:hAnsi="Times New Roman" w:cs="Times New Roman"/>
          <w:color w:val="000000"/>
          <w:szCs w:val="24"/>
        </w:rPr>
        <w:t xml:space="preserve">wers will remain private. </w:t>
      </w:r>
      <w:r w:rsidRPr="008265FC">
        <w:rPr>
          <w:rFonts w:ascii="Times New Roman" w:eastAsia="Times New Roman" w:hAnsi="Times New Roman" w:cs="Times New Roman"/>
          <w:color w:val="000000"/>
          <w:szCs w:val="24"/>
        </w:rPr>
        <w:t>In addition, using a survey will allow for more participa</w:t>
      </w:r>
      <w:r>
        <w:rPr>
          <w:rFonts w:ascii="Times New Roman" w:eastAsia="Times New Roman" w:hAnsi="Times New Roman" w:cs="Times New Roman"/>
          <w:color w:val="000000"/>
          <w:szCs w:val="24"/>
        </w:rPr>
        <w:t>nt</w:t>
      </w:r>
      <w:r w:rsidRPr="008265FC">
        <w:rPr>
          <w:rFonts w:ascii="Times New Roman" w:eastAsia="Times New Roman" w:hAnsi="Times New Roman" w:cs="Times New Roman"/>
          <w:color w:val="000000"/>
          <w:szCs w:val="24"/>
        </w:rPr>
        <w:t>s to respond in a cos</w:t>
      </w:r>
      <w:r>
        <w:rPr>
          <w:rFonts w:ascii="Times New Roman" w:eastAsia="Times New Roman" w:hAnsi="Times New Roman" w:cs="Times New Roman"/>
          <w:color w:val="000000"/>
          <w:szCs w:val="24"/>
        </w:rPr>
        <w:t xml:space="preserve">t-effective and timely manner. </w:t>
      </w:r>
      <w:r w:rsidRPr="008265FC">
        <w:rPr>
          <w:rFonts w:ascii="Times New Roman" w:eastAsia="Times New Roman" w:hAnsi="Times New Roman" w:cs="Times New Roman"/>
          <w:color w:val="000000"/>
          <w:szCs w:val="24"/>
        </w:rPr>
        <w:t>The self-administered, web-based survey permits greater expediency with respect to data processing and analysis (</w:t>
      </w:r>
      <w:r w:rsidR="003A59C7">
        <w:rPr>
          <w:rFonts w:ascii="Times New Roman" w:eastAsia="Times New Roman" w:hAnsi="Times New Roman" w:cs="Times New Roman"/>
          <w:color w:val="000000"/>
          <w:szCs w:val="24"/>
        </w:rPr>
        <w:t>i.e</w:t>
      </w:r>
      <w:r w:rsidRPr="008265FC">
        <w:rPr>
          <w:rFonts w:ascii="Times New Roman" w:eastAsia="Times New Roman" w:hAnsi="Times New Roman" w:cs="Times New Roman"/>
          <w:color w:val="000000"/>
          <w:szCs w:val="24"/>
        </w:rPr>
        <w:t>., a number of back-end processing steps, including coding and data entry). Data are transmitted electronically, rather than by mail. These efficiencies save time due to the speed of data transmission, as well as receipt in a format suitable for analysis.</w:t>
      </w:r>
      <w:r>
        <w:rPr>
          <w:rFonts w:ascii="Times New Roman" w:eastAsia="Times New Roman" w:hAnsi="Times New Roman" w:cs="Times New Roman"/>
          <w:color w:val="000000"/>
          <w:szCs w:val="24"/>
        </w:rPr>
        <w:t xml:space="preserve"> An added benefit is increased data protection by limiting the amount of personally identifiable information (PII) collected from participants, reducing the risk of data security issues.</w:t>
      </w:r>
      <w:r w:rsidRPr="008265FC">
        <w:rPr>
          <w:rFonts w:ascii="Times New Roman" w:eastAsia="Times New Roman" w:hAnsi="Times New Roman" w:cs="Times New Roman"/>
          <w:color w:val="000000"/>
          <w:szCs w:val="24"/>
        </w:rPr>
        <w:t xml:space="preserve"> Finally, as noted above, this technology permits respondents to complete the </w:t>
      </w:r>
      <w:r>
        <w:rPr>
          <w:rFonts w:ascii="Times New Roman" w:eastAsia="Times New Roman" w:hAnsi="Times New Roman" w:cs="Times New Roman"/>
          <w:color w:val="000000"/>
          <w:szCs w:val="24"/>
        </w:rPr>
        <w:t>survey</w:t>
      </w:r>
      <w:r w:rsidRPr="008265FC">
        <w:rPr>
          <w:rFonts w:ascii="Times New Roman" w:eastAsia="Times New Roman" w:hAnsi="Times New Roman" w:cs="Times New Roman"/>
          <w:color w:val="000000"/>
          <w:szCs w:val="24"/>
        </w:rPr>
        <w:t xml:space="preserve"> in privacy.</w:t>
      </w:r>
      <w:r>
        <w:rPr>
          <w:rFonts w:ascii="Times New Roman" w:eastAsia="Times New Roman" w:hAnsi="Times New Roman" w:cs="Times New Roman"/>
          <w:color w:val="000000"/>
          <w:szCs w:val="24"/>
        </w:rPr>
        <w:t xml:space="preserve"> The use of a more private data collection method makes reporting </w:t>
      </w:r>
      <w:r w:rsidRPr="008265FC">
        <w:rPr>
          <w:rFonts w:ascii="Times New Roman" w:eastAsia="Times New Roman" w:hAnsi="Times New Roman" w:cs="Times New Roman"/>
          <w:color w:val="000000"/>
          <w:szCs w:val="24"/>
        </w:rPr>
        <w:t xml:space="preserve">potentially embarrassing or stigmatizing behaviors (e.g., </w:t>
      </w:r>
      <w:r w:rsidR="00197667">
        <w:rPr>
          <w:rFonts w:ascii="Times New Roman" w:eastAsia="Times New Roman" w:hAnsi="Times New Roman" w:cs="Times New Roman"/>
          <w:color w:val="000000"/>
          <w:szCs w:val="24"/>
        </w:rPr>
        <w:t>marijuana</w:t>
      </w:r>
      <w:r w:rsidRPr="008265FC">
        <w:rPr>
          <w:rFonts w:ascii="Times New Roman" w:eastAsia="Times New Roman" w:hAnsi="Times New Roman" w:cs="Times New Roman"/>
          <w:color w:val="000000"/>
          <w:szCs w:val="24"/>
        </w:rPr>
        <w:t xml:space="preserve"> use) less threatening and enhances response validity and response rates.</w:t>
      </w:r>
    </w:p>
    <w:p w:rsidR="00BE1FCB" w:rsidRPr="008265FC" w:rsidP="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8265FC" w:rsidP="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9" w:name="_Toc239649224"/>
      <w:r>
        <w:rPr>
          <w:rFonts w:ascii="Times New Roman" w:eastAsia="Times New Roman" w:hAnsi="Times New Roman" w:cs="Times New Roman"/>
          <w:b/>
          <w:bCs/>
          <w:szCs w:val="24"/>
        </w:rPr>
        <w:t xml:space="preserve">4. </w:t>
      </w:r>
      <w:r w:rsidRPr="008265FC">
        <w:rPr>
          <w:rFonts w:ascii="Times New Roman" w:eastAsia="Times New Roman" w:hAnsi="Times New Roman" w:cs="Times New Roman"/>
          <w:b/>
          <w:bCs/>
          <w:szCs w:val="24"/>
          <w:u w:val="single"/>
        </w:rPr>
        <w:t>Efforts to Identify Duplication and Use of Similar Information</w:t>
      </w:r>
      <w:bookmarkEnd w:id="9"/>
    </w:p>
    <w:p w:rsidR="00BE1FCB" w:rsidRPr="008265FC" w:rsidP="00BE1FCB" w14:paraId="4D44462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rsidR="00361FC2" w:rsidRPr="00361FC2" w:rsidP="2EAEF721" w14:paraId="186B0149" w14:textId="45268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rPr>
      </w:pPr>
      <w:r w:rsidRPr="2EAEF721">
        <w:rPr>
          <w:rFonts w:ascii="Times New Roman" w:eastAsia="Times New Roman" w:hAnsi="Times New Roman" w:cs="Times New Roman"/>
        </w:rPr>
        <w:t xml:space="preserve">Given disproportionate use of </w:t>
      </w:r>
      <w:r w:rsidR="00C20758">
        <w:rPr>
          <w:rFonts w:ascii="Times New Roman" w:eastAsia="Times New Roman" w:hAnsi="Times New Roman" w:cs="Times New Roman"/>
        </w:rPr>
        <w:t xml:space="preserve">both </w:t>
      </w:r>
      <w:r w:rsidRPr="2EAEF721">
        <w:rPr>
          <w:rFonts w:ascii="Times New Roman" w:eastAsia="Times New Roman" w:hAnsi="Times New Roman" w:cs="Times New Roman"/>
        </w:rPr>
        <w:t>blunts</w:t>
      </w:r>
      <w:r w:rsidR="00C20758">
        <w:rPr>
          <w:rFonts w:ascii="Times New Roman" w:eastAsia="Times New Roman" w:hAnsi="Times New Roman" w:cs="Times New Roman"/>
        </w:rPr>
        <w:t xml:space="preserve"> and LCCs</w:t>
      </w:r>
      <w:r w:rsidRPr="2EAEF721">
        <w:rPr>
          <w:rFonts w:ascii="Times New Roman" w:eastAsia="Times New Roman" w:hAnsi="Times New Roman" w:cs="Times New Roman"/>
        </w:rPr>
        <w:t xml:space="preserve"> among Black/African American youth and young adults</w:t>
      </w:r>
      <w:r w:rsidRPr="2EAEF721" w:rsidR="00BE1FCB">
        <w:rPr>
          <w:rFonts w:ascii="Times New Roman" w:eastAsia="Times New Roman" w:hAnsi="Times New Roman" w:cs="Times New Roman"/>
        </w:rPr>
        <w:t xml:space="preserve"> it is important to develop messages</w:t>
      </w:r>
      <w:r w:rsidRPr="2EAEF721" w:rsidR="008F272E">
        <w:rPr>
          <w:rFonts w:ascii="Times New Roman" w:eastAsia="Times New Roman" w:hAnsi="Times New Roman" w:cs="Times New Roman"/>
        </w:rPr>
        <w:t xml:space="preserve"> that incorporate the terminology and use patterns used by at-risk populations</w:t>
      </w:r>
      <w:r w:rsidRPr="2EAEF721" w:rsidR="00EB45BE">
        <w:rPr>
          <w:rFonts w:ascii="Times New Roman" w:eastAsia="Times New Roman" w:hAnsi="Times New Roman" w:cs="Times New Roman"/>
        </w:rPr>
        <w:t xml:space="preserve"> in order to be salient and have the best chance of affecting</w:t>
      </w:r>
      <w:r w:rsidRPr="2EAEF721" w:rsidR="00BE1FCB">
        <w:rPr>
          <w:rFonts w:ascii="Times New Roman" w:eastAsia="Times New Roman" w:hAnsi="Times New Roman" w:cs="Times New Roman"/>
        </w:rPr>
        <w:t xml:space="preserve"> behavior change. </w:t>
      </w:r>
      <w:r w:rsidRPr="2EAEF721" w:rsidR="00820C3A">
        <w:rPr>
          <w:rFonts w:ascii="Times New Roman" w:eastAsia="Times New Roman" w:hAnsi="Times New Roman" w:cs="Times New Roman"/>
        </w:rPr>
        <w:t xml:space="preserve">In designing the proposed data collection activities, we </w:t>
      </w:r>
      <w:r w:rsidRPr="2EAEF721" w:rsidR="00800620">
        <w:rPr>
          <w:rFonts w:ascii="Times New Roman" w:eastAsia="Times New Roman" w:hAnsi="Times New Roman" w:cs="Times New Roman"/>
        </w:rPr>
        <w:t>took</w:t>
      </w:r>
      <w:r w:rsidRPr="2EAEF721" w:rsidR="00820C3A">
        <w:rPr>
          <w:rFonts w:ascii="Times New Roman" w:eastAsia="Times New Roman" w:hAnsi="Times New Roman" w:cs="Times New Roman"/>
        </w:rPr>
        <w:t xml:space="preserve"> several steps to ensure that this effort does not duplicate ongoing efforts and that no existing data sets would address the proposed study questions.</w:t>
      </w:r>
      <w:r w:rsidR="00987F60">
        <w:t xml:space="preserve"> </w:t>
      </w:r>
      <w:r w:rsidRPr="2EAEF721" w:rsidR="00987F60">
        <w:rPr>
          <w:rFonts w:ascii="Times New Roman" w:eastAsia="Times New Roman" w:hAnsi="Times New Roman" w:cs="Times New Roman"/>
        </w:rPr>
        <w:t xml:space="preserve">We carefully reviewed existing data sets to determine whether any of them are sufficiently similar or could be modified to address FDA’s need for information on </w:t>
      </w:r>
      <w:r w:rsidR="0011726E">
        <w:rPr>
          <w:rFonts w:ascii="Times New Roman" w:eastAsia="Times New Roman" w:hAnsi="Times New Roman" w:cs="Times New Roman"/>
        </w:rPr>
        <w:t>blunt use and perceptions</w:t>
      </w:r>
      <w:r w:rsidRPr="2EAEF721" w:rsidR="00987F60">
        <w:rPr>
          <w:rFonts w:ascii="Times New Roman" w:eastAsia="Times New Roman" w:hAnsi="Times New Roman" w:cs="Times New Roman"/>
        </w:rPr>
        <w:t xml:space="preserve">. </w:t>
      </w:r>
      <w:r w:rsidRPr="2EAEF721" w:rsidR="00CE5FFE">
        <w:rPr>
          <w:rFonts w:ascii="Times New Roman" w:eastAsia="Times New Roman" w:hAnsi="Times New Roman" w:cs="Times New Roman"/>
        </w:rPr>
        <w:t xml:space="preserve">Data sources we examined for this purpose include ongoing national surveillance systems such as the National </w:t>
      </w:r>
      <w:r w:rsidRPr="2EAEF721" w:rsidR="00074DCB">
        <w:rPr>
          <w:rFonts w:ascii="Times New Roman" w:eastAsia="Times New Roman" w:hAnsi="Times New Roman" w:cs="Times New Roman"/>
        </w:rPr>
        <w:t>Youth</w:t>
      </w:r>
      <w:r w:rsidRPr="2EAEF721" w:rsidR="00025BEE">
        <w:rPr>
          <w:rFonts w:ascii="Times New Roman" w:eastAsia="Times New Roman" w:hAnsi="Times New Roman" w:cs="Times New Roman"/>
        </w:rPr>
        <w:t xml:space="preserve"> </w:t>
      </w:r>
      <w:r w:rsidRPr="2EAEF721" w:rsidR="00CE5FFE">
        <w:rPr>
          <w:rFonts w:ascii="Times New Roman" w:eastAsia="Times New Roman" w:hAnsi="Times New Roman" w:cs="Times New Roman"/>
        </w:rPr>
        <w:t>Tobacco Survey (NYTS), the Youth Risk Behavior Surveillance System (YRBSS)</w:t>
      </w:r>
      <w:r w:rsidRPr="2EAEF721" w:rsidR="008F272E">
        <w:rPr>
          <w:rFonts w:ascii="Times New Roman" w:eastAsia="Times New Roman" w:hAnsi="Times New Roman" w:cs="Times New Roman"/>
        </w:rPr>
        <w:t>,</w:t>
      </w:r>
      <w:r w:rsidRPr="2EAEF721" w:rsidR="00EB45BE">
        <w:rPr>
          <w:rFonts w:ascii="Times New Roman" w:eastAsia="Times New Roman" w:hAnsi="Times New Roman" w:cs="Times New Roman"/>
        </w:rPr>
        <w:t xml:space="preserve"> </w:t>
      </w:r>
      <w:r w:rsidRPr="2EAEF721" w:rsidR="00CE5FFE">
        <w:rPr>
          <w:rFonts w:ascii="Times New Roman" w:eastAsia="Times New Roman" w:hAnsi="Times New Roman" w:cs="Times New Roman"/>
        </w:rPr>
        <w:t xml:space="preserve">the </w:t>
      </w:r>
      <w:r w:rsidRPr="2EAEF721" w:rsidR="008D752E">
        <w:rPr>
          <w:rFonts w:ascii="Times New Roman" w:eastAsia="Times New Roman" w:hAnsi="Times New Roman" w:cs="Times New Roman"/>
        </w:rPr>
        <w:t>National Health Interview Survey (NHIS)</w:t>
      </w:r>
      <w:r w:rsidRPr="2EAEF721" w:rsidR="008F272E">
        <w:rPr>
          <w:rFonts w:ascii="Times New Roman" w:eastAsia="Times New Roman" w:hAnsi="Times New Roman" w:cs="Times New Roman"/>
        </w:rPr>
        <w:t xml:space="preserve">, and the </w:t>
      </w:r>
      <w:r w:rsidRPr="2EAEF721" w:rsidR="00CE5FFE">
        <w:rPr>
          <w:rFonts w:ascii="Times New Roman" w:eastAsia="Times New Roman" w:hAnsi="Times New Roman" w:cs="Times New Roman"/>
        </w:rPr>
        <w:t>Population Assessment of Tobacco and Health (PATH)</w:t>
      </w:r>
      <w:r w:rsidRPr="2EAEF721" w:rsidR="008F272E">
        <w:rPr>
          <w:rFonts w:ascii="Times New Roman" w:eastAsia="Times New Roman" w:hAnsi="Times New Roman" w:cs="Times New Roman"/>
        </w:rPr>
        <w:t>.</w:t>
      </w:r>
      <w:r w:rsidRPr="2EAEF721" w:rsidR="00CE5FFE">
        <w:rPr>
          <w:rFonts w:ascii="Times New Roman" w:eastAsia="Times New Roman" w:hAnsi="Times New Roman" w:cs="Times New Roman"/>
        </w:rPr>
        <w:t xml:space="preserve"> We concluded that these data sources do not include the </w:t>
      </w:r>
      <w:r w:rsidR="00AF5142">
        <w:rPr>
          <w:rFonts w:ascii="Times New Roman" w:eastAsia="Times New Roman" w:hAnsi="Times New Roman" w:cs="Times New Roman"/>
        </w:rPr>
        <w:t xml:space="preserve">necessary </w:t>
      </w:r>
      <w:r w:rsidRPr="2EAEF721" w:rsidR="00CE5FFE">
        <w:rPr>
          <w:rFonts w:ascii="Times New Roman" w:eastAsia="Times New Roman" w:hAnsi="Times New Roman" w:cs="Times New Roman"/>
        </w:rPr>
        <w:t>measures (e.g.</w:t>
      </w:r>
      <w:r w:rsidR="00EC00D4">
        <w:rPr>
          <w:rFonts w:ascii="Times New Roman" w:eastAsia="Times New Roman" w:hAnsi="Times New Roman" w:cs="Times New Roman"/>
        </w:rPr>
        <w:t>,</w:t>
      </w:r>
      <w:r w:rsidRPr="2EAEF721" w:rsidR="00CE5FFE">
        <w:rPr>
          <w:rFonts w:ascii="Times New Roman" w:eastAsia="Times New Roman" w:hAnsi="Times New Roman" w:cs="Times New Roman"/>
        </w:rPr>
        <w:t xml:space="preserve"> use and susceptibility to blunts</w:t>
      </w:r>
      <w:r w:rsidR="00CB6ECD">
        <w:rPr>
          <w:rFonts w:ascii="Times New Roman" w:eastAsia="Times New Roman" w:hAnsi="Times New Roman" w:cs="Times New Roman"/>
        </w:rPr>
        <w:t xml:space="preserve"> and/or blunt related knowledge, attitudes and beliefs and behaviors</w:t>
      </w:r>
      <w:r w:rsidRPr="2EAEF721" w:rsidR="00CE5FFE">
        <w:rPr>
          <w:rFonts w:ascii="Times New Roman" w:eastAsia="Times New Roman" w:hAnsi="Times New Roman" w:cs="Times New Roman"/>
        </w:rPr>
        <w:t xml:space="preserve">) nor sufficient sample sizes of Black/African American youth and young adults needed to </w:t>
      </w:r>
      <w:r w:rsidRPr="2EAEF721" w:rsidR="00EB45BE">
        <w:rPr>
          <w:rFonts w:ascii="Times New Roman" w:eastAsia="Times New Roman" w:hAnsi="Times New Roman" w:cs="Times New Roman"/>
        </w:rPr>
        <w:t xml:space="preserve">fully understand product use and </w:t>
      </w:r>
      <w:r w:rsidRPr="2EAEF721" w:rsidR="00F402A8">
        <w:rPr>
          <w:rFonts w:ascii="Times New Roman" w:eastAsia="Times New Roman" w:hAnsi="Times New Roman" w:cs="Times New Roman"/>
        </w:rPr>
        <w:t>perceptions</w:t>
      </w:r>
      <w:r w:rsidR="00AF5142">
        <w:rPr>
          <w:rFonts w:ascii="Times New Roman" w:eastAsia="Times New Roman" w:hAnsi="Times New Roman" w:cs="Times New Roman"/>
        </w:rPr>
        <w:t>,</w:t>
      </w:r>
      <w:r w:rsidRPr="2EAEF721" w:rsidR="00F402A8">
        <w:rPr>
          <w:rFonts w:ascii="Times New Roman" w:eastAsia="Times New Roman" w:hAnsi="Times New Roman" w:cs="Times New Roman"/>
        </w:rPr>
        <w:t xml:space="preserve"> </w:t>
      </w:r>
      <w:r w:rsidR="00AF5142">
        <w:rPr>
          <w:rFonts w:ascii="Times New Roman" w:eastAsia="Times New Roman" w:hAnsi="Times New Roman" w:cs="Times New Roman"/>
        </w:rPr>
        <w:t xml:space="preserve">as well as to </w:t>
      </w:r>
      <w:r w:rsidRPr="2EAEF721" w:rsidR="00F402A8">
        <w:rPr>
          <w:rFonts w:ascii="Times New Roman" w:eastAsia="Times New Roman" w:hAnsi="Times New Roman" w:cs="Times New Roman"/>
        </w:rPr>
        <w:t>explore subgroup differences among this audience most at risk of use.</w:t>
      </w:r>
      <w:r w:rsidRPr="2EAEF721" w:rsidR="007A7AC4">
        <w:rPr>
          <w:rFonts w:ascii="Times New Roman" w:eastAsia="Times New Roman" w:hAnsi="Times New Roman" w:cs="Times New Roman"/>
        </w:rPr>
        <w:t xml:space="preserve"> </w:t>
      </w:r>
    </w:p>
    <w:p w:rsidR="00CF5A7E" w:rsidRPr="008265FC" w:rsidP="00BE1FCB"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26F4174A" w14:textId="77777777">
      <w:pPr>
        <w:ind w:left="180"/>
        <w:rPr>
          <w:rFonts w:ascii="Times New Roman" w:eastAsia="Times New Roman" w:hAnsi="Times New Roman" w:cs="Times New Roman"/>
          <w:b/>
          <w:bCs/>
          <w:szCs w:val="24"/>
        </w:rPr>
      </w:pPr>
      <w:bookmarkStart w:id="10" w:name="_Toc239649225"/>
      <w:r w:rsidRPr="008265FC">
        <w:rPr>
          <w:rFonts w:ascii="Times New Roman" w:eastAsia="Times New Roman" w:hAnsi="Times New Roman" w:cs="Times New Roman"/>
          <w:b/>
          <w:bCs/>
          <w:szCs w:val="24"/>
        </w:rPr>
        <w:t>5.</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Impact on Small Businesses or Other Small Entities</w:t>
      </w:r>
      <w:bookmarkEnd w:id="10"/>
    </w:p>
    <w:p w:rsidR="00BE1FCB" w:rsidRPr="008265FC" w:rsidP="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11" w:name="_Toc239649226"/>
    </w:p>
    <w:p w:rsidR="00BE1FCB" w:rsidRPr="008265FC" w:rsidP="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r w:rsidRPr="008265FC">
        <w:rPr>
          <w:rFonts w:ascii="Times New Roman" w:eastAsia="Times New Roman" w:hAnsi="Times New Roman" w:cs="Times New Roman"/>
          <w:szCs w:val="24"/>
        </w:rPr>
        <w:t>Respondents in this study will be members of the general public, specific subpopulations or specific professions, not business entities. No impact on small businesses or other small entities is anticipated.</w:t>
      </w:r>
    </w:p>
    <w:p w:rsidR="00BE1FCB" w:rsidP="00BE1FCB"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rsidR="00BE1FCB" w:rsidRPr="008265FC" w:rsidP="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6.</w:t>
      </w:r>
      <w:r>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Consequence of Collecting the Information Less Frequently</w:t>
      </w:r>
      <w:bookmarkEnd w:id="11"/>
    </w:p>
    <w:p w:rsidR="00BE1FCB" w:rsidRPr="008265FC" w:rsidP="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BE1FCB" w:rsidP="00BE1FCB" w14:paraId="5240C679" w14:textId="34CCCA0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12" w:name="_Toc239649227"/>
      <w:r w:rsidRPr="008265FC">
        <w:rPr>
          <w:rFonts w:ascii="Times New Roman" w:eastAsia="Times New Roman" w:hAnsi="Times New Roman" w:cs="Times New Roman"/>
          <w:szCs w:val="24"/>
        </w:rPr>
        <w:t xml:space="preserve">Respondents to this </w:t>
      </w:r>
      <w:r>
        <w:rPr>
          <w:rFonts w:ascii="Times New Roman" w:eastAsia="Times New Roman" w:hAnsi="Times New Roman" w:cs="Times New Roman"/>
          <w:szCs w:val="24"/>
        </w:rPr>
        <w:t>data collection</w:t>
      </w:r>
      <w:r w:rsidRPr="008265FC">
        <w:rPr>
          <w:rFonts w:ascii="Times New Roman" w:eastAsia="Times New Roman" w:hAnsi="Times New Roman" w:cs="Times New Roman"/>
          <w:szCs w:val="24"/>
        </w:rPr>
        <w:t xml:space="preserve"> will answer only once</w:t>
      </w:r>
      <w:r w:rsidR="00557C71">
        <w:rPr>
          <w:rFonts w:ascii="Times New Roman" w:eastAsia="Times New Roman" w:hAnsi="Times New Roman" w:cs="Times New Roman"/>
          <w:szCs w:val="24"/>
        </w:rPr>
        <w:t xml:space="preserve"> </w:t>
      </w:r>
      <w:r w:rsidRPr="008265FC">
        <w:rPr>
          <w:rFonts w:ascii="Times New Roman" w:eastAsia="Times New Roman" w:hAnsi="Times New Roman" w:cs="Times New Roman"/>
          <w:szCs w:val="24"/>
        </w:rPr>
        <w:t>to ensure the participant burden is as low as po</w:t>
      </w:r>
      <w:r>
        <w:rPr>
          <w:rFonts w:ascii="Times New Roman" w:eastAsia="Times New Roman" w:hAnsi="Times New Roman" w:cs="Times New Roman"/>
          <w:szCs w:val="24"/>
        </w:rPr>
        <w:t xml:space="preserve">ssible. </w:t>
      </w:r>
      <w:r w:rsidR="00EB4780">
        <w:rPr>
          <w:rFonts w:ascii="Times New Roman" w:eastAsia="Times New Roman" w:hAnsi="Times New Roman" w:cs="Times New Roman"/>
          <w:szCs w:val="24"/>
        </w:rPr>
        <w:t xml:space="preserve">Without the data </w:t>
      </w:r>
      <w:r w:rsidRPr="008265FC" w:rsidR="00EB4780">
        <w:rPr>
          <w:rFonts w:ascii="Times New Roman" w:eastAsia="Times New Roman" w:hAnsi="Times New Roman" w:cs="Times New Roman"/>
          <w:szCs w:val="24"/>
        </w:rPr>
        <w:t>collectio</w:t>
      </w:r>
      <w:r w:rsidR="00EB4780">
        <w:rPr>
          <w:rFonts w:ascii="Times New Roman" w:eastAsia="Times New Roman" w:hAnsi="Times New Roman" w:cs="Times New Roman"/>
          <w:szCs w:val="24"/>
        </w:rPr>
        <w:t xml:space="preserve">n requested for this </w:t>
      </w:r>
      <w:r w:rsidRPr="008265FC" w:rsidR="00EB4780">
        <w:rPr>
          <w:rFonts w:ascii="Times New Roman" w:eastAsia="Times New Roman" w:hAnsi="Times New Roman" w:cs="Times New Roman"/>
          <w:szCs w:val="24"/>
        </w:rPr>
        <w:t xml:space="preserve">study, it would be difficult to </w:t>
      </w:r>
      <w:r w:rsidR="00197667">
        <w:rPr>
          <w:rFonts w:ascii="Times New Roman" w:eastAsia="Times New Roman" w:hAnsi="Times New Roman" w:cs="Times New Roman"/>
          <w:szCs w:val="24"/>
        </w:rPr>
        <w:t>understand LCC and blunt use and perceptions needed to develop public education programs that resonate with those most at risk for tobacco-related death and disease</w:t>
      </w:r>
      <w:r w:rsidRPr="008265FC" w:rsidR="00EB4780">
        <w:rPr>
          <w:rFonts w:ascii="Times New Roman" w:eastAsia="Times New Roman" w:hAnsi="Times New Roman" w:cs="Times New Roman"/>
          <w:szCs w:val="24"/>
        </w:rPr>
        <w:t xml:space="preserve">. </w:t>
      </w:r>
      <w:r w:rsidRPr="008265FC">
        <w:rPr>
          <w:rFonts w:ascii="Times New Roman" w:eastAsia="Times New Roman" w:hAnsi="Times New Roman" w:cs="Times New Roman"/>
          <w:szCs w:val="24"/>
        </w:rPr>
        <w:t>Failure to collect these data could reduce effectiveness of the FDA’s messaging, and therefore reduce the benefit of the messages for youth</w:t>
      </w:r>
      <w:r w:rsidR="00197667">
        <w:rPr>
          <w:rFonts w:ascii="Times New Roman" w:eastAsia="Times New Roman" w:hAnsi="Times New Roman" w:cs="Times New Roman"/>
          <w:szCs w:val="24"/>
        </w:rPr>
        <w:t>/young adults</w:t>
      </w:r>
      <w:r w:rsidRPr="008265FC">
        <w:rPr>
          <w:rFonts w:ascii="Times New Roman" w:eastAsia="Times New Roman" w:hAnsi="Times New Roman" w:cs="Times New Roman"/>
          <w:szCs w:val="24"/>
        </w:rPr>
        <w:t xml:space="preserve"> in the United States. </w:t>
      </w:r>
    </w:p>
    <w:p w:rsidR="00BE1FCB" w:rsidP="00BE1FCB" w14:paraId="1A0AF856" w14:textId="1C17C08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rsidR="00BE1FCB" w:rsidRPr="008265FC" w:rsidP="00BE1FCB"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8265FC">
        <w:rPr>
          <w:rFonts w:ascii="Times New Roman" w:eastAsia="Times New Roman" w:hAnsi="Times New Roman" w:cs="Times New Roman"/>
          <w:b/>
          <w:bCs/>
          <w:szCs w:val="24"/>
        </w:rPr>
        <w:t>7.</w:t>
      </w:r>
      <w:r>
        <w:rPr>
          <w:rFonts w:ascii="Times New Roman" w:eastAsia="Times New Roman" w:hAnsi="Times New Roman" w:cs="Times New Roman"/>
          <w:b/>
          <w:szCs w:val="24"/>
        </w:rPr>
        <w:t xml:space="preserve"> </w:t>
      </w:r>
      <w:r w:rsidRPr="008265FC">
        <w:rPr>
          <w:rFonts w:ascii="Times New Roman" w:eastAsia="Times New Roman" w:hAnsi="Times New Roman" w:cs="Times New Roman"/>
          <w:b/>
          <w:bCs/>
          <w:szCs w:val="24"/>
          <w:u w:val="single"/>
        </w:rPr>
        <w:t>Special Circumstances Relating to the Guidelines of 5 CFR 1320.5</w:t>
      </w:r>
      <w:bookmarkEnd w:id="12"/>
    </w:p>
    <w:p w:rsidR="00BE1FCB" w:rsidRPr="008265FC" w:rsidP="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00BE1FCB" w:rsidRPr="008265FC" w:rsidP="00BE1FCB"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BE1FCB" w:rsidRPr="008265FC" w:rsidP="00BE1FCB" w14:paraId="618F3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3" w:name="_Toc239649228"/>
      <w:r>
        <w:rPr>
          <w:rFonts w:ascii="Times New Roman" w:eastAsia="Times New Roman" w:hAnsi="Times New Roman" w:cs="Times New Roman"/>
          <w:b/>
          <w:bCs/>
          <w:szCs w:val="24"/>
        </w:rPr>
        <w:t xml:space="preserve">8. </w:t>
      </w:r>
      <w:r w:rsidRPr="008265FC">
        <w:rPr>
          <w:rFonts w:ascii="Times New Roman" w:eastAsia="Times New Roman" w:hAnsi="Times New Roman" w:cs="Times New Roman"/>
          <w:b/>
          <w:bCs/>
          <w:szCs w:val="24"/>
          <w:u w:val="single"/>
        </w:rPr>
        <w:t>Comments in Response to the Federal Register Notice and Efforts to Consult Outside</w:t>
      </w:r>
      <w:bookmarkEnd w:id="13"/>
      <w:r w:rsidRPr="008265FC">
        <w:rPr>
          <w:rFonts w:ascii="Times New Roman" w:eastAsia="Times New Roman" w:hAnsi="Times New Roman" w:cs="Times New Roman"/>
          <w:b/>
          <w:bCs/>
          <w:szCs w:val="24"/>
          <w:u w:val="single"/>
        </w:rPr>
        <w:t xml:space="preserve"> </w:t>
      </w:r>
    </w:p>
    <w:p w:rsidR="00BE1FCB" w:rsidRPr="008265FC" w:rsidP="00BE1FCB"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
          <w:bCs/>
          <w:szCs w:val="24"/>
          <w:u w:val="single"/>
        </w:rPr>
      </w:pPr>
      <w:bookmarkStart w:id="14" w:name="_Toc239649229"/>
      <w:r>
        <w:rPr>
          <w:rFonts w:ascii="Times New Roman" w:eastAsia="Times New Roman" w:hAnsi="Times New Roman" w:cs="Times New Roman"/>
          <w:b/>
          <w:bCs/>
          <w:szCs w:val="24"/>
        </w:rPr>
        <w:tab/>
      </w:r>
      <w:r w:rsidRPr="008265FC">
        <w:rPr>
          <w:rFonts w:ascii="Times New Roman" w:eastAsia="Times New Roman" w:hAnsi="Times New Roman" w:cs="Times New Roman"/>
          <w:b/>
          <w:bCs/>
          <w:szCs w:val="24"/>
          <w:u w:val="single"/>
        </w:rPr>
        <w:t>Agency</w:t>
      </w:r>
      <w:bookmarkEnd w:id="14"/>
    </w:p>
    <w:p w:rsidR="00BE1FCB" w:rsidP="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F734AC" w:rsidRPr="00F734AC" w:rsidP="00F734AC"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F734AC">
        <w:rPr>
          <w:rFonts w:ascii="Times New Roman" w:eastAsia="Times New Roman" w:hAnsi="Times New Roman" w:cs="Times New Roman"/>
          <w:bCs/>
          <w:szCs w:val="24"/>
        </w:rPr>
        <w:t xml:space="preserve">The following individuals inside the agency have been consulted on the design of the </w:t>
      </w:r>
      <w:r w:rsidR="002462E5">
        <w:rPr>
          <w:rFonts w:ascii="Times New Roman" w:eastAsia="Times New Roman" w:hAnsi="Times New Roman" w:cs="Times New Roman"/>
          <w:bCs/>
          <w:szCs w:val="24"/>
        </w:rPr>
        <w:t>study</w:t>
      </w:r>
      <w:r w:rsidRPr="00F734AC">
        <w:rPr>
          <w:rFonts w:ascii="Times New Roman" w:eastAsia="Times New Roman" w:hAnsi="Times New Roman" w:cs="Times New Roman"/>
          <w:bCs/>
          <w:szCs w:val="24"/>
        </w:rPr>
        <w:t xml:space="preserve">, </w:t>
      </w:r>
      <w:r w:rsidR="00333524">
        <w:rPr>
          <w:rFonts w:ascii="Times New Roman" w:eastAsia="Times New Roman" w:hAnsi="Times New Roman" w:cs="Times New Roman"/>
          <w:bCs/>
          <w:szCs w:val="24"/>
        </w:rPr>
        <w:t>instrument</w:t>
      </w:r>
      <w:r w:rsidRPr="00F734AC">
        <w:rPr>
          <w:rFonts w:ascii="Times New Roman" w:eastAsia="Times New Roman" w:hAnsi="Times New Roman" w:cs="Times New Roman"/>
          <w:bCs/>
          <w:szCs w:val="24"/>
        </w:rPr>
        <w:t xml:space="preserve"> development, or intra-agency coordination of information collection efforts:</w:t>
      </w:r>
    </w:p>
    <w:p w:rsidR="00BE1FCB" w:rsidRPr="008265FC" w:rsidP="00BE1FCB"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rsidR="00464A80" w:rsidRPr="007F4407" w:rsidP="00456F1C" w14:paraId="661A7157" w14:textId="3A787018">
      <w:pPr>
        <w:ind w:left="180"/>
        <w:rPr>
          <w:rFonts w:ascii="Times New Roman" w:hAnsi="Times New Roman" w:cs="Times New Roman"/>
          <w:szCs w:val="24"/>
        </w:rPr>
      </w:pPr>
      <w:r>
        <w:rPr>
          <w:rFonts w:ascii="Times New Roman" w:hAnsi="Times New Roman" w:cs="Times New Roman"/>
          <w:szCs w:val="24"/>
        </w:rPr>
        <w:t>Emily Sanders</w:t>
      </w:r>
    </w:p>
    <w:p w:rsidR="00464A80" w:rsidRPr="007F4407" w:rsidP="00456F1C" w14:paraId="1F7B0128" w14:textId="77777777">
      <w:pPr>
        <w:ind w:left="180"/>
        <w:rPr>
          <w:rFonts w:ascii="Times New Roman" w:hAnsi="Times New Roman" w:cs="Times New Roman"/>
          <w:szCs w:val="24"/>
        </w:rPr>
      </w:pPr>
      <w:r w:rsidRPr="007F4407">
        <w:rPr>
          <w:rFonts w:ascii="Times New Roman" w:hAnsi="Times New Roman" w:cs="Times New Roman"/>
          <w:szCs w:val="24"/>
        </w:rPr>
        <w:t>Office of Health Communication &amp; Education</w:t>
      </w:r>
    </w:p>
    <w:p w:rsidR="00464A80" w:rsidRPr="007F4407" w:rsidP="00456F1C" w14:paraId="4CE81A3F" w14:textId="77777777">
      <w:pPr>
        <w:ind w:left="180"/>
        <w:rPr>
          <w:rFonts w:ascii="Times New Roman" w:hAnsi="Times New Roman" w:cs="Times New Roman"/>
          <w:szCs w:val="24"/>
        </w:rPr>
      </w:pPr>
      <w:r w:rsidRPr="007F4407">
        <w:rPr>
          <w:rFonts w:ascii="Times New Roman" w:hAnsi="Times New Roman" w:cs="Times New Roman"/>
          <w:szCs w:val="24"/>
        </w:rPr>
        <w:t>Center for Tobacco Products</w:t>
      </w:r>
    </w:p>
    <w:p w:rsidR="00197667" w:rsidRPr="00197667" w:rsidP="00197667" w14:paraId="520EF4AB" w14:textId="77777777">
      <w:pPr>
        <w:ind w:left="180"/>
        <w:rPr>
          <w:rFonts w:ascii="Times New Roman" w:hAnsi="Times New Roman" w:cs="Times New Roman"/>
          <w:szCs w:val="24"/>
        </w:rPr>
      </w:pPr>
      <w:r w:rsidRPr="00197667">
        <w:rPr>
          <w:rFonts w:ascii="Times New Roman" w:hAnsi="Times New Roman" w:cs="Times New Roman"/>
          <w:szCs w:val="24"/>
        </w:rPr>
        <w:t>Food and Drug Administration</w:t>
      </w:r>
    </w:p>
    <w:p w:rsidR="00197667" w:rsidRPr="00197667" w:rsidP="00197667" w14:paraId="22CD2F58" w14:textId="77777777">
      <w:pPr>
        <w:ind w:left="180"/>
        <w:rPr>
          <w:rFonts w:ascii="Times New Roman" w:hAnsi="Times New Roman" w:cs="Times New Roman"/>
          <w:szCs w:val="24"/>
        </w:rPr>
      </w:pPr>
      <w:r w:rsidRPr="00197667">
        <w:rPr>
          <w:rFonts w:ascii="Times New Roman" w:hAnsi="Times New Roman" w:cs="Times New Roman"/>
          <w:szCs w:val="24"/>
        </w:rPr>
        <w:t>10903 New Hampshire Avenue</w:t>
      </w:r>
    </w:p>
    <w:p w:rsidR="00197667" w:rsidRPr="00197667" w:rsidP="00197667" w14:paraId="349E1A09" w14:textId="77777777">
      <w:pPr>
        <w:ind w:left="180"/>
        <w:rPr>
          <w:rFonts w:ascii="Times New Roman" w:hAnsi="Times New Roman" w:cs="Times New Roman"/>
          <w:szCs w:val="24"/>
        </w:rPr>
      </w:pPr>
      <w:r w:rsidRPr="00197667">
        <w:rPr>
          <w:rFonts w:ascii="Times New Roman" w:hAnsi="Times New Roman" w:cs="Times New Roman"/>
          <w:szCs w:val="24"/>
        </w:rPr>
        <w:t>Silver Spring, MD 20993</w:t>
      </w:r>
    </w:p>
    <w:p w:rsidR="00197667" w:rsidRPr="00197667" w:rsidP="00197667" w14:paraId="2E54BD70" w14:textId="67713FCD">
      <w:pPr>
        <w:pStyle w:val="xmsonormal"/>
        <w:ind w:firstLine="180"/>
        <w:rPr>
          <w:rFonts w:ascii="Times New Roman" w:hAnsi="Times New Roman" w:cs="Times New Roman"/>
          <w:sz w:val="24"/>
          <w:szCs w:val="24"/>
        </w:rPr>
      </w:pPr>
      <w:r>
        <w:rPr>
          <w:rFonts w:ascii="Times New Roman" w:hAnsi="Times New Roman" w:cs="Times New Roman"/>
          <w:sz w:val="24"/>
          <w:szCs w:val="24"/>
          <w:bdr w:val="none" w:sz="0" w:space="0" w:color="auto" w:frame="1"/>
        </w:rPr>
        <w:t>Phone</w:t>
      </w:r>
      <w:r w:rsidRPr="00197667">
        <w:rPr>
          <w:rFonts w:ascii="Times New Roman" w:hAnsi="Times New Roman" w:cs="Times New Roman"/>
          <w:sz w:val="24"/>
          <w:szCs w:val="24"/>
          <w:bdr w:val="none" w:sz="0" w:space="0" w:color="auto" w:frame="1"/>
        </w:rPr>
        <w:t>: 240-402-4269</w:t>
      </w:r>
      <w:r>
        <w:rPr>
          <w:rFonts w:ascii="Times New Roman" w:hAnsi="Times New Roman" w:cs="Times New Roman"/>
          <w:sz w:val="24"/>
          <w:szCs w:val="24"/>
          <w:bdr w:val="none" w:sz="0" w:space="0" w:color="auto" w:frame="1"/>
        </w:rPr>
        <w:t>,</w:t>
      </w:r>
      <w:r w:rsidRPr="00197667">
        <w:rPr>
          <w:rFonts w:ascii="Times New Roman" w:hAnsi="Times New Roman" w:cs="Times New Roman"/>
          <w:sz w:val="24"/>
          <w:szCs w:val="24"/>
          <w:bdr w:val="none" w:sz="0" w:space="0" w:color="auto" w:frame="1"/>
        </w:rPr>
        <w:t xml:space="preserve"> Cell: 240-485-9209</w:t>
      </w:r>
    </w:p>
    <w:p w:rsidR="00197667" w:rsidRPr="00197667" w:rsidP="00197667" w14:paraId="03F42B76" w14:textId="6C617952">
      <w:pPr>
        <w:pStyle w:val="xmsonormal"/>
        <w:spacing w:after="210"/>
        <w:ind w:firstLine="180"/>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6F018C">
          <w:rPr>
            <w:rStyle w:val="Hyperlink"/>
            <w:rFonts w:ascii="Times New Roman" w:hAnsi="Times New Roman" w:cs="Times New Roman"/>
            <w:sz w:val="24"/>
            <w:szCs w:val="24"/>
          </w:rPr>
          <w:t>emily.sanders@fda.hhs.gov</w:t>
        </w:r>
      </w:hyperlink>
    </w:p>
    <w:p w:rsidR="007F4407" w:rsidRPr="00197667" w:rsidP="007F4407" w14:paraId="0715A557" w14:textId="2610D7B5">
      <w:pPr>
        <w:ind w:left="180"/>
        <w:rPr>
          <w:rFonts w:ascii="Times New Roman" w:hAnsi="Times New Roman" w:cs="Times New Roman"/>
          <w:szCs w:val="24"/>
        </w:rPr>
      </w:pPr>
      <w:r w:rsidRPr="00197667">
        <w:rPr>
          <w:rFonts w:ascii="Times New Roman" w:hAnsi="Times New Roman" w:cs="Times New Roman"/>
          <w:szCs w:val="24"/>
        </w:rPr>
        <w:t>M</w:t>
      </w:r>
      <w:r w:rsidRPr="00197667" w:rsidR="00E16A42">
        <w:rPr>
          <w:rFonts w:ascii="Times New Roman" w:hAnsi="Times New Roman" w:cs="Times New Roman"/>
          <w:szCs w:val="24"/>
        </w:rPr>
        <w:t>organe Bennett</w:t>
      </w:r>
    </w:p>
    <w:p w:rsidR="007F4407" w:rsidRPr="00197667" w:rsidP="007F4407" w14:paraId="64749EB8" w14:textId="77777777">
      <w:pPr>
        <w:ind w:left="180"/>
        <w:rPr>
          <w:rFonts w:ascii="Times New Roman" w:hAnsi="Times New Roman" w:cs="Times New Roman"/>
          <w:szCs w:val="24"/>
        </w:rPr>
      </w:pPr>
      <w:r w:rsidRPr="00197667">
        <w:rPr>
          <w:rFonts w:ascii="Times New Roman" w:hAnsi="Times New Roman" w:cs="Times New Roman"/>
          <w:szCs w:val="24"/>
        </w:rPr>
        <w:t>Office of Health Communication &amp; Education</w:t>
      </w:r>
    </w:p>
    <w:p w:rsidR="007F4407" w:rsidRPr="007F4407" w:rsidP="007F4407" w14:paraId="68F9E7CF" w14:textId="77777777">
      <w:pPr>
        <w:ind w:left="180"/>
        <w:rPr>
          <w:rFonts w:ascii="Times New Roman" w:hAnsi="Times New Roman" w:cs="Times New Roman"/>
          <w:szCs w:val="24"/>
        </w:rPr>
      </w:pPr>
      <w:r w:rsidRPr="00197667">
        <w:rPr>
          <w:rFonts w:ascii="Times New Roman" w:hAnsi="Times New Roman" w:cs="Times New Roman"/>
          <w:szCs w:val="24"/>
        </w:rPr>
        <w:t>Center for</w:t>
      </w:r>
      <w:r w:rsidRPr="007F4407">
        <w:rPr>
          <w:rFonts w:ascii="Times New Roman" w:hAnsi="Times New Roman" w:cs="Times New Roman"/>
          <w:szCs w:val="24"/>
        </w:rPr>
        <w:t xml:space="preserve"> Tobacco Products</w:t>
      </w:r>
    </w:p>
    <w:p w:rsidR="007F4407" w:rsidRPr="007F4407" w:rsidP="007F4407" w14:paraId="563EF0C6" w14:textId="77777777">
      <w:pPr>
        <w:ind w:left="180"/>
        <w:rPr>
          <w:rFonts w:ascii="Times New Roman" w:hAnsi="Times New Roman" w:cs="Times New Roman"/>
          <w:szCs w:val="24"/>
        </w:rPr>
      </w:pPr>
      <w:r w:rsidRPr="007F4407">
        <w:rPr>
          <w:rFonts w:ascii="Times New Roman" w:hAnsi="Times New Roman" w:cs="Times New Roman"/>
          <w:szCs w:val="24"/>
        </w:rPr>
        <w:t>Food and Drug Administration</w:t>
      </w:r>
    </w:p>
    <w:p w:rsidR="007F4407" w:rsidRPr="007F4407" w:rsidP="007F4407" w14:paraId="47A7D071" w14:textId="77777777">
      <w:pPr>
        <w:ind w:left="180"/>
        <w:rPr>
          <w:rFonts w:ascii="Times New Roman" w:hAnsi="Times New Roman" w:cs="Times New Roman"/>
          <w:szCs w:val="24"/>
        </w:rPr>
      </w:pPr>
      <w:r w:rsidRPr="007F4407">
        <w:rPr>
          <w:rFonts w:ascii="Times New Roman" w:hAnsi="Times New Roman" w:cs="Times New Roman"/>
          <w:szCs w:val="24"/>
        </w:rPr>
        <w:t>10903 New Hampshire Avenue</w:t>
      </w:r>
    </w:p>
    <w:p w:rsidR="007F4407" w:rsidRPr="007F4407" w:rsidP="007F4407" w14:paraId="0BF46A34" w14:textId="77777777">
      <w:pPr>
        <w:ind w:left="180"/>
        <w:rPr>
          <w:rFonts w:ascii="Times New Roman" w:hAnsi="Times New Roman" w:cs="Times New Roman"/>
          <w:szCs w:val="24"/>
        </w:rPr>
      </w:pPr>
      <w:r w:rsidRPr="007F4407">
        <w:rPr>
          <w:rFonts w:ascii="Times New Roman" w:hAnsi="Times New Roman" w:cs="Times New Roman"/>
          <w:szCs w:val="24"/>
        </w:rPr>
        <w:t>Silver Spring, MD 20993</w:t>
      </w:r>
    </w:p>
    <w:p w:rsidR="007F4407" w:rsidRPr="007F4407" w:rsidP="007F4407" w14:paraId="3A9AF6A0" w14:textId="656F2A2C">
      <w:pPr>
        <w:ind w:left="180"/>
        <w:rPr>
          <w:rFonts w:ascii="Times New Roman" w:hAnsi="Times New Roman" w:cs="Times New Roman"/>
          <w:szCs w:val="24"/>
        </w:rPr>
      </w:pPr>
      <w:r>
        <w:rPr>
          <w:rFonts w:ascii="Times New Roman" w:hAnsi="Times New Roman" w:cs="Times New Roman"/>
          <w:szCs w:val="24"/>
        </w:rPr>
        <w:t>Phone</w:t>
      </w:r>
      <w:r w:rsidRPr="007F4407">
        <w:rPr>
          <w:rFonts w:ascii="Times New Roman" w:hAnsi="Times New Roman" w:cs="Times New Roman"/>
          <w:szCs w:val="24"/>
        </w:rPr>
        <w:t>:</w:t>
      </w:r>
      <w:r w:rsidR="004412EF">
        <w:rPr>
          <w:rFonts w:ascii="Times New Roman" w:hAnsi="Times New Roman" w:cs="Times New Roman"/>
          <w:szCs w:val="24"/>
        </w:rPr>
        <w:t xml:space="preserve"> </w:t>
      </w:r>
      <w:r w:rsidRPr="00AF69D5" w:rsidR="00AF69D5">
        <w:rPr>
          <w:rFonts w:ascii="Times New Roman" w:hAnsi="Times New Roman" w:cs="Times New Roman"/>
          <w:szCs w:val="24"/>
        </w:rPr>
        <w:t>240-402-9281</w:t>
      </w:r>
    </w:p>
    <w:p w:rsidR="007F4407" w:rsidP="007F4407" w14:paraId="65F438A1" w14:textId="44A6E583">
      <w:pPr>
        <w:ind w:left="180"/>
        <w:rPr>
          <w:rFonts w:ascii="Times New Roman" w:hAnsi="Times New Roman" w:cs="Times New Roman"/>
          <w:szCs w:val="24"/>
        </w:rPr>
      </w:pPr>
      <w:r w:rsidRPr="007F4407">
        <w:rPr>
          <w:rFonts w:ascii="Times New Roman" w:hAnsi="Times New Roman" w:cs="Times New Roman"/>
          <w:szCs w:val="24"/>
        </w:rPr>
        <w:t>E-mail:</w:t>
      </w:r>
      <w:r w:rsidR="004412EF">
        <w:rPr>
          <w:rFonts w:ascii="Times New Roman" w:hAnsi="Times New Roman" w:cs="Times New Roman"/>
          <w:szCs w:val="24"/>
        </w:rPr>
        <w:t xml:space="preserve"> </w:t>
      </w:r>
      <w:hyperlink r:id="rId7" w:history="1">
        <w:r w:rsidRPr="007C1C5E" w:rsidR="00E16A42">
          <w:rPr>
            <w:rStyle w:val="Hyperlink"/>
            <w:rFonts w:ascii="Times New Roman" w:hAnsi="Times New Roman" w:cs="Times New Roman"/>
            <w:szCs w:val="24"/>
          </w:rPr>
          <w:t>Morgane.Bennett@fda.hhs.gov</w:t>
        </w:r>
      </w:hyperlink>
    </w:p>
    <w:p w:rsidR="00D54A74" w:rsidP="00456F1C" w14:paraId="7DF589AD" w14:textId="77777777">
      <w:pPr>
        <w:ind w:left="180"/>
        <w:rPr>
          <w:rFonts w:ascii="Times New Roman" w:hAnsi="Times New Roman" w:cs="Times New Roman"/>
          <w:szCs w:val="24"/>
        </w:rPr>
      </w:pPr>
    </w:p>
    <w:p w:rsidR="004F27E6" w:rsidRPr="008265FC" w:rsidP="004F27E6" w14:paraId="6A1E4F8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ascii="Times New Roman" w:eastAsia="Times New Roman" w:hAnsi="Times New Roman" w:cs="Times New Roman"/>
          <w:bCs/>
          <w:szCs w:val="24"/>
        </w:rPr>
        <w:t xml:space="preserve">National Institutes of Health </w:t>
      </w:r>
      <w:r w:rsidRPr="008265FC">
        <w:rPr>
          <w:rFonts w:ascii="Times New Roman" w:eastAsia="Times New Roman" w:hAnsi="Times New Roman" w:cs="Times New Roman"/>
          <w:bCs/>
          <w:szCs w:val="24"/>
        </w:rPr>
        <w:t>Nation</w:t>
      </w:r>
      <w:r>
        <w:rPr>
          <w:rFonts w:ascii="Times New Roman" w:eastAsia="Times New Roman" w:hAnsi="Times New Roman" w:cs="Times New Roman"/>
          <w:bCs/>
          <w:szCs w:val="24"/>
        </w:rPr>
        <w:t xml:space="preserve">al Cancer Institute (NIH/NCI). </w:t>
      </w:r>
      <w:r w:rsidRPr="008265FC">
        <w:rPr>
          <w:rFonts w:ascii="Times New Roman" w:eastAsia="Times New Roman" w:hAnsi="Times New Roman" w:cs="Times New Roman"/>
          <w:bCs/>
          <w:szCs w:val="24"/>
        </w:rPr>
        <w:t>These affiliations serve as information channels, help prevent redundancy, and promote use of consist</w:t>
      </w:r>
      <w:r>
        <w:rPr>
          <w:rFonts w:ascii="Times New Roman" w:eastAsia="Times New Roman" w:hAnsi="Times New Roman" w:cs="Times New Roman"/>
          <w:bCs/>
          <w:szCs w:val="24"/>
        </w:rPr>
        <w:t xml:space="preserve">ent measures of effectiveness. </w:t>
      </w:r>
      <w:r w:rsidRPr="008265FC">
        <w:rPr>
          <w:rFonts w:ascii="Times New Roman" w:eastAsia="Times New Roman" w:hAnsi="Times New Roman" w:cs="Times New Roman"/>
          <w:bCs/>
          <w:szCs w:val="24"/>
        </w:rPr>
        <w:t>Coordination activities include:</w:t>
      </w:r>
    </w:p>
    <w:p w:rsidR="004F27E6" w:rsidP="004F27E6"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Review of questionnaires for testing purposes;</w:t>
      </w:r>
    </w:p>
    <w:p w:rsidR="004F27E6" w:rsidP="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Sharing data; and</w:t>
      </w:r>
    </w:p>
    <w:p w:rsidR="004F27E6" w:rsidRPr="000F7E48" w:rsidP="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 xml:space="preserve">Standardizing survey tools where at all possible. </w:t>
      </w:r>
    </w:p>
    <w:p w:rsidR="004F27E6" w:rsidP="004412EF" w14:paraId="5C094163" w14:textId="77777777">
      <w:pPr>
        <w:ind w:left="180"/>
        <w:rPr>
          <w:rFonts w:ascii="Times New Roman" w:hAnsi="Times New Roman" w:cs="Times New Roman"/>
          <w:szCs w:val="24"/>
        </w:rPr>
      </w:pPr>
    </w:p>
    <w:p w:rsidR="004412EF" w:rsidRPr="004412EF" w:rsidP="004412EF" w14:paraId="6F2D089F" w14:textId="16025819">
      <w:pPr>
        <w:ind w:left="180"/>
        <w:rPr>
          <w:rFonts w:ascii="Times New Roman" w:hAnsi="Times New Roman" w:cs="Times New Roman"/>
          <w:szCs w:val="24"/>
        </w:rPr>
      </w:pPr>
      <w:r w:rsidRPr="004412EF">
        <w:rPr>
          <w:rFonts w:ascii="Times New Roman" w:hAnsi="Times New Roman" w:cs="Times New Roman"/>
          <w:szCs w:val="24"/>
        </w:rPr>
        <w:t xml:space="preserve">The following individuals outside of the agency have been consulted on questionnaire development. </w:t>
      </w:r>
    </w:p>
    <w:p w:rsidR="00EA0D40" w:rsidP="00EA0D40" w14:paraId="6A756158" w14:textId="62CF6EE1">
      <w:pPr>
        <w:ind w:left="180"/>
      </w:pPr>
    </w:p>
    <w:p w:rsidR="00257AD0" w:rsidRPr="00AE0255" w:rsidP="00257AD0" w14:paraId="49BA033E" w14:textId="77777777">
      <w:pPr>
        <w:ind w:left="180"/>
        <w:rPr>
          <w:rFonts w:ascii="Times New Roman" w:hAnsi="Times New Roman" w:cs="Times New Roman"/>
        </w:rPr>
      </w:pPr>
      <w:r w:rsidRPr="00AE0255">
        <w:rPr>
          <w:rFonts w:ascii="Times New Roman" w:hAnsi="Times New Roman" w:cs="Times New Roman"/>
        </w:rPr>
        <w:t>Nathaniel Taylor</w:t>
      </w:r>
    </w:p>
    <w:p w:rsidR="00257AD0" w:rsidRPr="00AE0255" w:rsidP="00257AD0" w14:paraId="001B3BAB" w14:textId="77777777">
      <w:pPr>
        <w:ind w:left="180"/>
        <w:rPr>
          <w:rFonts w:ascii="Times New Roman" w:hAnsi="Times New Roman" w:cs="Times New Roman"/>
        </w:rPr>
      </w:pPr>
      <w:r w:rsidRPr="00AE0255">
        <w:rPr>
          <w:rFonts w:ascii="Times New Roman" w:hAnsi="Times New Roman" w:cs="Times New Roman"/>
        </w:rPr>
        <w:t>RTI International</w:t>
      </w:r>
    </w:p>
    <w:p w:rsidR="00257AD0" w:rsidRPr="00AE0255" w:rsidP="00257AD0" w14:paraId="2FCCAFF1" w14:textId="77777777">
      <w:pPr>
        <w:ind w:left="180"/>
        <w:rPr>
          <w:rFonts w:ascii="Times New Roman" w:hAnsi="Times New Roman" w:cs="Times New Roman"/>
        </w:rPr>
      </w:pPr>
      <w:r w:rsidRPr="00AE0255">
        <w:rPr>
          <w:rFonts w:ascii="Times New Roman" w:hAnsi="Times New Roman" w:cs="Times New Roman"/>
        </w:rPr>
        <w:t>3040 Cornwallis Road</w:t>
      </w:r>
    </w:p>
    <w:p w:rsidR="00257AD0" w:rsidRPr="00AE0255" w:rsidP="00257AD0" w14:paraId="5A867975" w14:textId="77777777">
      <w:pPr>
        <w:ind w:left="180"/>
        <w:rPr>
          <w:rFonts w:ascii="Times New Roman" w:hAnsi="Times New Roman" w:cs="Times New Roman"/>
        </w:rPr>
      </w:pPr>
      <w:r w:rsidRPr="00AE0255">
        <w:rPr>
          <w:rFonts w:ascii="Times New Roman" w:hAnsi="Times New Roman" w:cs="Times New Roman"/>
        </w:rPr>
        <w:t>Research Triangle Park, NC 27709</w:t>
      </w:r>
    </w:p>
    <w:p w:rsidR="00257AD0" w:rsidRPr="00AE0255" w:rsidP="00257AD0" w14:paraId="73EE5B9C" w14:textId="77777777">
      <w:pPr>
        <w:ind w:left="180"/>
        <w:rPr>
          <w:rFonts w:ascii="Times New Roman" w:hAnsi="Times New Roman" w:cs="Times New Roman"/>
        </w:rPr>
      </w:pPr>
      <w:r w:rsidRPr="00AE0255">
        <w:rPr>
          <w:rFonts w:ascii="Times New Roman" w:hAnsi="Times New Roman" w:cs="Times New Roman"/>
        </w:rPr>
        <w:t>Phone: 919-316-3523</w:t>
      </w:r>
    </w:p>
    <w:p w:rsidR="00257AD0" w:rsidP="00257AD0" w14:paraId="1A3D7546" w14:textId="274DF341">
      <w:pPr>
        <w:ind w:left="180"/>
        <w:rPr>
          <w:rFonts w:ascii="Times New Roman" w:hAnsi="Times New Roman" w:cs="Times New Roman"/>
        </w:rPr>
      </w:pPr>
      <w:r w:rsidRPr="00AE0255">
        <w:rPr>
          <w:rFonts w:ascii="Times New Roman" w:hAnsi="Times New Roman" w:cs="Times New Roman"/>
        </w:rPr>
        <w:t xml:space="preserve">Email: </w:t>
      </w:r>
      <w:hyperlink r:id="rId8" w:history="1">
        <w:r w:rsidRPr="0031319E">
          <w:rPr>
            <w:rStyle w:val="Hyperlink"/>
            <w:rFonts w:ascii="Times New Roman" w:hAnsi="Times New Roman" w:cs="Times New Roman"/>
          </w:rPr>
          <w:t>ntaylor@rti.org</w:t>
        </w:r>
      </w:hyperlink>
    </w:p>
    <w:p w:rsidR="00257AD0" w:rsidRPr="00456F1C" w:rsidP="00257AD0" w14:paraId="279A6BC0" w14:textId="77777777">
      <w:pPr>
        <w:ind w:left="180"/>
        <w:rPr>
          <w:rFonts w:ascii="Times New Roman" w:hAnsi="Times New Roman" w:cs="Times New Roman"/>
        </w:rPr>
      </w:pPr>
    </w:p>
    <w:p w:rsidR="00FD1E65" w:rsidRPr="00FD1E65" w:rsidP="00FD1E65" w14:paraId="188B937C" w14:textId="77777777">
      <w:pPr>
        <w:ind w:left="180"/>
        <w:rPr>
          <w:rFonts w:ascii="Times New Roman" w:hAnsi="Times New Roman" w:cs="Times New Roman"/>
        </w:rPr>
      </w:pPr>
      <w:r w:rsidRPr="00FD1E65">
        <w:rPr>
          <w:rFonts w:ascii="Times New Roman" w:hAnsi="Times New Roman" w:cs="Times New Roman"/>
        </w:rPr>
        <w:t xml:space="preserve">Jane Allen </w:t>
      </w:r>
    </w:p>
    <w:p w:rsidR="00FD1E65" w:rsidRPr="00FD1E65" w:rsidP="00FD1E65" w14:paraId="3DA5C879" w14:textId="77777777">
      <w:pPr>
        <w:ind w:left="180"/>
        <w:rPr>
          <w:rFonts w:ascii="Times New Roman" w:hAnsi="Times New Roman" w:cs="Times New Roman"/>
        </w:rPr>
      </w:pPr>
      <w:r w:rsidRPr="00FD1E65">
        <w:rPr>
          <w:rFonts w:ascii="Times New Roman" w:hAnsi="Times New Roman" w:cs="Times New Roman"/>
        </w:rPr>
        <w:t>RTI International</w:t>
      </w:r>
    </w:p>
    <w:p w:rsidR="00FD1E65" w:rsidRPr="00FD1E65" w:rsidP="00FD1E65" w14:paraId="1C08AE4A" w14:textId="77777777">
      <w:pPr>
        <w:ind w:left="180"/>
        <w:rPr>
          <w:rFonts w:ascii="Times New Roman" w:hAnsi="Times New Roman" w:cs="Times New Roman"/>
        </w:rPr>
      </w:pPr>
      <w:r w:rsidRPr="00FD1E65">
        <w:rPr>
          <w:rFonts w:ascii="Times New Roman" w:hAnsi="Times New Roman" w:cs="Times New Roman"/>
        </w:rPr>
        <w:t>3040 Cornwallis Road</w:t>
      </w:r>
    </w:p>
    <w:p w:rsidR="00FD1E65" w:rsidRPr="00FD1E65" w:rsidP="00FD1E65" w14:paraId="141308AE" w14:textId="77777777">
      <w:pPr>
        <w:ind w:left="180"/>
        <w:rPr>
          <w:rFonts w:ascii="Times New Roman" w:hAnsi="Times New Roman" w:cs="Times New Roman"/>
        </w:rPr>
      </w:pPr>
      <w:r w:rsidRPr="00FD1E65">
        <w:rPr>
          <w:rFonts w:ascii="Times New Roman" w:hAnsi="Times New Roman" w:cs="Times New Roman"/>
        </w:rPr>
        <w:t>Research Triangle Park, NC 27709</w:t>
      </w:r>
    </w:p>
    <w:p w:rsidR="00FD1E65" w:rsidRPr="00FD1E65" w:rsidP="00FD1E65" w14:paraId="3940ACBD" w14:textId="47D19DAC">
      <w:pPr>
        <w:ind w:left="180"/>
        <w:rPr>
          <w:rFonts w:ascii="Times New Roman" w:hAnsi="Times New Roman" w:cs="Times New Roman"/>
        </w:rPr>
      </w:pPr>
      <w:r w:rsidRPr="00FD1E65">
        <w:rPr>
          <w:rFonts w:ascii="Times New Roman" w:hAnsi="Times New Roman" w:cs="Times New Roman"/>
        </w:rPr>
        <w:t>Phone:</w:t>
      </w:r>
      <w:r w:rsidR="00257AD0">
        <w:rPr>
          <w:rFonts w:ascii="Times New Roman" w:hAnsi="Times New Roman" w:cs="Times New Roman"/>
        </w:rPr>
        <w:t xml:space="preserve"> </w:t>
      </w:r>
      <w:r w:rsidRPr="00FD1E65">
        <w:rPr>
          <w:rFonts w:ascii="Times New Roman" w:hAnsi="Times New Roman" w:cs="Times New Roman"/>
        </w:rPr>
        <w:t>919-597-5115</w:t>
      </w:r>
    </w:p>
    <w:p w:rsidR="00FD1E65" w:rsidRPr="00FD1E65" w:rsidP="00FD1E65" w14:paraId="012FAAFA" w14:textId="5A85C44E">
      <w:pPr>
        <w:ind w:left="180"/>
        <w:rPr>
          <w:rFonts w:ascii="Times New Roman" w:hAnsi="Times New Roman" w:cs="Times New Roman"/>
        </w:rPr>
      </w:pPr>
      <w:r w:rsidRPr="00FD1E65">
        <w:rPr>
          <w:rFonts w:ascii="Times New Roman" w:hAnsi="Times New Roman" w:cs="Times New Roman"/>
        </w:rPr>
        <w:t>E-mail</w:t>
      </w:r>
      <w:r w:rsidR="00257AD0">
        <w:rPr>
          <w:rFonts w:ascii="Times New Roman" w:hAnsi="Times New Roman" w:cs="Times New Roman"/>
        </w:rPr>
        <w:t>:</w:t>
      </w:r>
      <w:hyperlink r:id="rId9" w:history="1">
        <w:r w:rsidRPr="00FD1E65">
          <w:rPr>
            <w:rStyle w:val="Hyperlink"/>
            <w:rFonts w:ascii="Times New Roman" w:hAnsi="Times New Roman" w:cs="Times New Roman"/>
          </w:rPr>
          <w:t>Janeallen@rti.org</w:t>
        </w:r>
      </w:hyperlink>
    </w:p>
    <w:p w:rsidR="00CE3249" w:rsidP="007E1BA4" w14:paraId="16949E34" w14:textId="77777777">
      <w:pPr>
        <w:ind w:left="180"/>
        <w:rPr>
          <w:rFonts w:ascii="Times New Roman" w:hAnsi="Times New Roman" w:cs="Times New Roman"/>
        </w:rPr>
      </w:pPr>
    </w:p>
    <w:p w:rsidR="007E1BA4" w:rsidRPr="007E1BA4" w:rsidP="007E1BA4" w14:paraId="6699DB63" w14:textId="1CF63F6D">
      <w:pPr>
        <w:ind w:left="180"/>
        <w:rPr>
          <w:rFonts w:ascii="Times New Roman" w:hAnsi="Times New Roman" w:cs="Times New Roman"/>
        </w:rPr>
      </w:pPr>
      <w:r>
        <w:rPr>
          <w:rFonts w:ascii="Times New Roman" w:hAnsi="Times New Roman" w:cs="Times New Roman"/>
        </w:rPr>
        <w:t>Amy Henes</w:t>
      </w:r>
    </w:p>
    <w:p w:rsidR="007E1BA4" w:rsidRPr="007E1BA4" w:rsidP="007E1BA4" w14:paraId="37824805" w14:textId="77777777">
      <w:pPr>
        <w:ind w:left="180"/>
        <w:rPr>
          <w:rFonts w:ascii="Times New Roman" w:hAnsi="Times New Roman" w:cs="Times New Roman"/>
        </w:rPr>
      </w:pPr>
      <w:r w:rsidRPr="007E1BA4">
        <w:rPr>
          <w:rFonts w:ascii="Times New Roman" w:hAnsi="Times New Roman" w:cs="Times New Roman"/>
        </w:rPr>
        <w:t>RTI International</w:t>
      </w:r>
    </w:p>
    <w:p w:rsidR="007E1BA4" w:rsidRPr="007E1BA4" w:rsidP="007E1BA4" w14:paraId="1C11C69A" w14:textId="77777777">
      <w:pPr>
        <w:ind w:left="180"/>
        <w:rPr>
          <w:rFonts w:ascii="Times New Roman" w:hAnsi="Times New Roman" w:cs="Times New Roman"/>
        </w:rPr>
      </w:pPr>
      <w:r w:rsidRPr="007E1BA4">
        <w:rPr>
          <w:rFonts w:ascii="Times New Roman" w:hAnsi="Times New Roman" w:cs="Times New Roman"/>
        </w:rPr>
        <w:t>3040 Cornwallis Road</w:t>
      </w:r>
    </w:p>
    <w:p w:rsidR="007E1BA4" w:rsidRPr="007E1BA4" w:rsidP="007E1BA4" w14:paraId="70FCD32A" w14:textId="77777777">
      <w:pPr>
        <w:ind w:left="180"/>
        <w:rPr>
          <w:rFonts w:ascii="Times New Roman" w:hAnsi="Times New Roman" w:cs="Times New Roman"/>
        </w:rPr>
      </w:pPr>
      <w:r w:rsidRPr="007E1BA4">
        <w:rPr>
          <w:rFonts w:ascii="Times New Roman" w:hAnsi="Times New Roman" w:cs="Times New Roman"/>
        </w:rPr>
        <w:t>Research Triangle Park, NC 27709</w:t>
      </w:r>
    </w:p>
    <w:p w:rsidR="007E1BA4" w:rsidRPr="007E1BA4" w:rsidP="007E1BA4" w14:paraId="2E3DEE91" w14:textId="2DEC0D31">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7E1BA4">
        <w:rPr>
          <w:rFonts w:ascii="Times New Roman" w:hAnsi="Times New Roman" w:cs="Times New Roman"/>
        </w:rPr>
        <w:t>919-541-</w:t>
      </w:r>
      <w:r w:rsidR="00F9606E">
        <w:rPr>
          <w:rFonts w:ascii="Times New Roman" w:hAnsi="Times New Roman" w:cs="Times New Roman"/>
        </w:rPr>
        <w:t>7293</w:t>
      </w:r>
    </w:p>
    <w:p w:rsidR="007E1BA4" w:rsidRPr="00AA4F3B" w:rsidP="007E1BA4" w14:paraId="18F5F157" w14:textId="53C2ED69">
      <w:pPr>
        <w:ind w:left="180"/>
        <w:rPr>
          <w:rFonts w:ascii="Times New Roman" w:hAnsi="Times New Roman" w:cs="Times New Roman"/>
        </w:rPr>
      </w:pPr>
      <w:r w:rsidRPr="00AA4F3B">
        <w:rPr>
          <w:rFonts w:ascii="Times New Roman" w:hAnsi="Times New Roman" w:cs="Times New Roman"/>
        </w:rPr>
        <w:t xml:space="preserve">E-mail: </w:t>
      </w:r>
      <w:hyperlink r:id="rId10" w:history="1">
        <w:r w:rsidRPr="00AA4F3B" w:rsidR="00A13A1E">
          <w:rPr>
            <w:rStyle w:val="Hyperlink"/>
            <w:rFonts w:ascii="Times New Roman" w:hAnsi="Times New Roman" w:cs="Times New Roman"/>
          </w:rPr>
          <w:t>ahenes@rti.org</w:t>
        </w:r>
      </w:hyperlink>
    </w:p>
    <w:p w:rsidR="007E1BA4" w:rsidRPr="00AA4F3B" w:rsidP="007E1BA4" w14:paraId="4E6BCC56" w14:textId="6E094D3A">
      <w:pPr>
        <w:ind w:left="180"/>
        <w:rPr>
          <w:rFonts w:ascii="Times New Roman" w:hAnsi="Times New Roman" w:cs="Times New Roman"/>
        </w:rPr>
      </w:pPr>
    </w:p>
    <w:p w:rsidR="007E1BA4" w:rsidRPr="00AA4F3B" w:rsidP="007E1BA4" w14:paraId="56CEB4C1" w14:textId="38A38B5E">
      <w:pPr>
        <w:ind w:left="180"/>
        <w:rPr>
          <w:rFonts w:ascii="Times New Roman" w:hAnsi="Times New Roman" w:cs="Times New Roman"/>
        </w:rPr>
      </w:pPr>
      <w:r w:rsidRPr="00AA4F3B">
        <w:rPr>
          <w:rFonts w:ascii="Times New Roman" w:hAnsi="Times New Roman" w:cs="Times New Roman"/>
        </w:rPr>
        <w:t>Laurel Curry</w:t>
      </w:r>
    </w:p>
    <w:p w:rsidR="007E1BA4" w:rsidRPr="007E1BA4" w:rsidP="007E1BA4" w14:paraId="52F928C1" w14:textId="77777777">
      <w:pPr>
        <w:ind w:left="180"/>
        <w:rPr>
          <w:rFonts w:ascii="Times New Roman" w:hAnsi="Times New Roman" w:cs="Times New Roman"/>
        </w:rPr>
      </w:pPr>
      <w:r w:rsidRPr="007E1BA4">
        <w:rPr>
          <w:rFonts w:ascii="Times New Roman" w:hAnsi="Times New Roman" w:cs="Times New Roman"/>
        </w:rPr>
        <w:t>RTI International</w:t>
      </w:r>
    </w:p>
    <w:p w:rsidR="007E1BA4" w:rsidRPr="007E1BA4" w:rsidP="007E1BA4" w14:paraId="3B9D4962" w14:textId="77777777">
      <w:pPr>
        <w:ind w:left="180"/>
        <w:rPr>
          <w:rFonts w:ascii="Times New Roman" w:hAnsi="Times New Roman" w:cs="Times New Roman"/>
        </w:rPr>
      </w:pPr>
      <w:r w:rsidRPr="007E1BA4">
        <w:rPr>
          <w:rFonts w:ascii="Times New Roman" w:hAnsi="Times New Roman" w:cs="Times New Roman"/>
        </w:rPr>
        <w:t>3040 Cornwallis Road</w:t>
      </w:r>
    </w:p>
    <w:p w:rsidR="007E1BA4" w:rsidRPr="007E1BA4" w:rsidP="007E1BA4" w14:paraId="1C150334" w14:textId="77777777">
      <w:pPr>
        <w:ind w:left="180"/>
        <w:rPr>
          <w:rFonts w:ascii="Times New Roman" w:hAnsi="Times New Roman" w:cs="Times New Roman"/>
        </w:rPr>
      </w:pPr>
      <w:r w:rsidRPr="007E1BA4">
        <w:rPr>
          <w:rFonts w:ascii="Times New Roman" w:hAnsi="Times New Roman" w:cs="Times New Roman"/>
        </w:rPr>
        <w:t>Research Triangle Park, NC 27709</w:t>
      </w:r>
    </w:p>
    <w:p w:rsidR="007E1BA4" w:rsidRPr="007E1BA4" w:rsidP="007E1BA4" w14:paraId="6D28AA1E" w14:textId="1F029918">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BA0560" w:rsidR="00BA0560">
        <w:rPr>
          <w:rFonts w:ascii="Times New Roman" w:hAnsi="Times New Roman" w:cs="Times New Roman"/>
        </w:rPr>
        <w:t>202-728-2086</w:t>
      </w:r>
    </w:p>
    <w:p w:rsidR="007E1BA4" w:rsidRPr="007E1BA4" w:rsidP="007E1BA4" w14:paraId="2299E216" w14:textId="0C39CF54">
      <w:pPr>
        <w:ind w:left="180"/>
        <w:rPr>
          <w:rFonts w:ascii="Times New Roman" w:hAnsi="Times New Roman" w:cs="Times New Roman"/>
        </w:rPr>
      </w:pPr>
      <w:r w:rsidRPr="007E1BA4">
        <w:rPr>
          <w:rFonts w:ascii="Times New Roman" w:hAnsi="Times New Roman" w:cs="Times New Roman"/>
        </w:rPr>
        <w:t>E-mail:</w:t>
      </w:r>
      <w:r w:rsidR="00193625">
        <w:rPr>
          <w:rFonts w:ascii="Times New Roman" w:hAnsi="Times New Roman" w:cs="Times New Roman"/>
        </w:rPr>
        <w:t xml:space="preserve"> </w:t>
      </w:r>
      <w:hyperlink r:id="rId11" w:history="1">
        <w:r w:rsidRPr="00193625" w:rsidR="00193625">
          <w:rPr>
            <w:rStyle w:val="Hyperlink"/>
            <w:rFonts w:ascii="Times New Roman" w:hAnsi="Times New Roman" w:cs="Times New Roman"/>
          </w:rPr>
          <w:t>lcurry@rti.org</w:t>
        </w:r>
      </w:hyperlink>
    </w:p>
    <w:p w:rsidR="00456F1C" w:rsidRPr="00CE7EE2" w:rsidP="00456F1C" w14:paraId="60DDBEF1" w14:textId="77777777">
      <w:pPr>
        <w:ind w:left="180"/>
      </w:pPr>
    </w:p>
    <w:p w:rsidR="00BE1FCB" w:rsidRPr="00F74829" w:rsidP="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5" w:name="_Toc239649230"/>
      <w:r>
        <w:rPr>
          <w:rFonts w:ascii="Times New Roman" w:eastAsia="Times New Roman" w:hAnsi="Times New Roman" w:cs="Times New Roman"/>
          <w:b/>
          <w:bCs/>
          <w:szCs w:val="24"/>
        </w:rPr>
        <w:t xml:space="preserve">9. </w:t>
      </w:r>
      <w:r w:rsidRPr="008265FC">
        <w:rPr>
          <w:rFonts w:ascii="Times New Roman" w:eastAsia="Times New Roman" w:hAnsi="Times New Roman" w:cs="Times New Roman"/>
          <w:b/>
          <w:bCs/>
          <w:szCs w:val="24"/>
          <w:u w:val="single"/>
        </w:rPr>
        <w:t>Explanation of Any Payment or Gift to Respondents</w:t>
      </w:r>
      <w:bookmarkStart w:id="16" w:name="_Toc239649231"/>
      <w:bookmarkEnd w:id="15"/>
    </w:p>
    <w:p w:rsidR="00BE1FCB" w:rsidRPr="00CE3249" w:rsidP="00CE3249" w14:paraId="405DF652" w14:textId="77777777"/>
    <w:p w:rsidR="00EF183E" w:rsidRPr="001F7E7E" w:rsidP="001F7E7E" w14:paraId="456E3FFA" w14:textId="0C693AAC">
      <w:pPr>
        <w:ind w:left="180"/>
        <w:rPr>
          <w:rFonts w:ascii="Times New Roman" w:hAnsi="Times New Roman" w:cs="Times New Roman"/>
          <w:szCs w:val="24"/>
        </w:rPr>
      </w:pPr>
      <w:bookmarkStart w:id="17" w:name="_Hlk3981578"/>
      <w:r w:rsidRPr="001F7E7E">
        <w:rPr>
          <w:rFonts w:ascii="Times New Roman" w:hAnsi="Times New Roman" w:cs="Times New Roman"/>
          <w:szCs w:val="24"/>
        </w:rPr>
        <w:t xml:space="preserve">As a token of appreciation, participants recruited through social media who complete and submit the </w:t>
      </w:r>
      <w:r w:rsidR="00070227">
        <w:rPr>
          <w:rFonts w:ascii="Times New Roman" w:hAnsi="Times New Roman" w:cs="Times New Roman"/>
          <w:szCs w:val="24"/>
        </w:rPr>
        <w:t xml:space="preserve">full </w:t>
      </w:r>
      <w:r w:rsidRPr="001F7E7E">
        <w:rPr>
          <w:rFonts w:ascii="Times New Roman" w:hAnsi="Times New Roman" w:cs="Times New Roman"/>
          <w:szCs w:val="24"/>
        </w:rPr>
        <w:t xml:space="preserve">survey will receive a </w:t>
      </w:r>
      <w:r w:rsidRPr="001F7E7E" w:rsidR="00175A31">
        <w:rPr>
          <w:rFonts w:ascii="Times New Roman" w:hAnsi="Times New Roman" w:cs="Times New Roman"/>
          <w:szCs w:val="24"/>
        </w:rPr>
        <w:t xml:space="preserve">$5 </w:t>
      </w:r>
      <w:r w:rsidRPr="009C11AD" w:rsidR="00197667">
        <w:rPr>
          <w:rFonts w:ascii="Times New Roman" w:hAnsi="Times New Roman" w:cs="Times New Roman"/>
          <w:szCs w:val="24"/>
        </w:rPr>
        <w:t>token of appreciation</w:t>
      </w:r>
      <w:r w:rsidRPr="009C11AD">
        <w:rPr>
          <w:rFonts w:ascii="Times New Roman" w:hAnsi="Times New Roman" w:cs="Times New Roman"/>
          <w:szCs w:val="24"/>
        </w:rPr>
        <w:t>.</w:t>
      </w:r>
      <w:bookmarkStart w:id="18" w:name="_Hlk45028191"/>
      <w:r w:rsidRPr="009C11AD">
        <w:rPr>
          <w:rFonts w:ascii="Times New Roman" w:hAnsi="Times New Roman" w:cs="Times New Roman"/>
          <w:szCs w:val="24"/>
        </w:rPr>
        <w:t xml:space="preserve"> </w:t>
      </w:r>
      <w:bookmarkEnd w:id="18"/>
      <w:r w:rsidRPr="009C11AD" w:rsidR="00070227">
        <w:rPr>
          <w:rFonts w:ascii="Times New Roman" w:hAnsi="Times New Roman" w:cs="Times New Roman"/>
          <w:szCs w:val="24"/>
        </w:rPr>
        <w:t xml:space="preserve">Participants will be eligible to take the </w:t>
      </w:r>
      <w:r w:rsidRPr="009C11AD" w:rsidR="00197667">
        <w:rPr>
          <w:rFonts w:ascii="Times New Roman" w:hAnsi="Times New Roman" w:cs="Times New Roman"/>
          <w:szCs w:val="24"/>
        </w:rPr>
        <w:t>survey one time</w:t>
      </w:r>
      <w:r w:rsidRPr="009C11AD" w:rsidR="00070227">
        <w:rPr>
          <w:rFonts w:ascii="Times New Roman" w:hAnsi="Times New Roman" w:cs="Times New Roman"/>
          <w:szCs w:val="24"/>
        </w:rPr>
        <w:t xml:space="preserve">. </w:t>
      </w:r>
      <w:r w:rsidRPr="009C11AD" w:rsidR="00AF62F5">
        <w:rPr>
          <w:rFonts w:ascii="Times New Roman" w:hAnsi="Times New Roman" w:cs="Times New Roman"/>
          <w:szCs w:val="24"/>
        </w:rPr>
        <w:t xml:space="preserve">There is no </w:t>
      </w:r>
      <w:r w:rsidRPr="009C11AD" w:rsidR="0062156B">
        <w:rPr>
          <w:rFonts w:ascii="Times New Roman" w:hAnsi="Times New Roman" w:cs="Times New Roman"/>
          <w:szCs w:val="24"/>
        </w:rPr>
        <w:t xml:space="preserve">token of appreciation </w:t>
      </w:r>
      <w:r w:rsidRPr="009C11AD" w:rsidR="00AF62F5">
        <w:rPr>
          <w:rFonts w:ascii="Times New Roman" w:hAnsi="Times New Roman" w:cs="Times New Roman"/>
          <w:szCs w:val="24"/>
        </w:rPr>
        <w:t>for completing the web screener. Participants will be informed that they will receiv</w:t>
      </w:r>
      <w:r w:rsidRPr="001F7E7E" w:rsidR="00AF62F5">
        <w:rPr>
          <w:rFonts w:ascii="Times New Roman" w:hAnsi="Times New Roman" w:cs="Times New Roman"/>
          <w:szCs w:val="24"/>
        </w:rPr>
        <w:t xml:space="preserve">e their </w:t>
      </w:r>
      <w:r w:rsidRPr="001F7E7E" w:rsidR="0062156B">
        <w:rPr>
          <w:rFonts w:ascii="Times New Roman" w:hAnsi="Times New Roman" w:cs="Times New Roman"/>
          <w:szCs w:val="24"/>
        </w:rPr>
        <w:t>token of appreciation</w:t>
      </w:r>
      <w:r w:rsidR="0062156B">
        <w:rPr>
          <w:rFonts w:ascii="Times New Roman" w:hAnsi="Times New Roman" w:cs="Times New Roman"/>
          <w:szCs w:val="24"/>
        </w:rPr>
        <w:t xml:space="preserve"> </w:t>
      </w:r>
      <w:r w:rsidRPr="001F7E7E" w:rsidR="00AF62F5">
        <w:rPr>
          <w:rFonts w:ascii="Times New Roman" w:hAnsi="Times New Roman" w:cs="Times New Roman"/>
          <w:szCs w:val="24"/>
        </w:rPr>
        <w:t>within 5-7 business days of completing the survey</w:t>
      </w:r>
      <w:r w:rsidRPr="001F7E7E" w:rsidR="00D64916">
        <w:rPr>
          <w:rFonts w:ascii="Times New Roman" w:hAnsi="Times New Roman" w:cs="Times New Roman"/>
          <w:szCs w:val="24"/>
        </w:rPr>
        <w:t xml:space="preserve">. </w:t>
      </w:r>
    </w:p>
    <w:p w:rsidR="00EF183E" w:rsidRPr="00946D48" w:rsidP="00946D48" w14:paraId="5C8AF5A3" w14:textId="77777777">
      <w:pPr>
        <w:rPr>
          <w:rFonts w:ascii="Times New Roman" w:hAnsi="Times New Roman" w:cs="Times New Roman"/>
          <w:szCs w:val="24"/>
        </w:rPr>
      </w:pPr>
    </w:p>
    <w:p w:rsidR="0065210E" w:rsidRPr="00FA226E" w:rsidP="0065210E" w14:paraId="5ABA1615" w14:textId="493C0ABB">
      <w:pPr>
        <w:ind w:left="180"/>
        <w:rPr>
          <w:rFonts w:ascii="Times New Roman" w:hAnsi="Times New Roman" w:cs="Times New Roman"/>
          <w:szCs w:val="24"/>
        </w:rPr>
      </w:pPr>
      <w:r>
        <w:rPr>
          <w:rFonts w:ascii="Times New Roman" w:hAnsi="Times New Roman" w:cs="Times New Roman"/>
          <w:szCs w:val="24"/>
        </w:rPr>
        <w:t>T</w:t>
      </w:r>
      <w:r w:rsidRPr="00FA226E">
        <w:rPr>
          <w:rFonts w:ascii="Times New Roman" w:hAnsi="Times New Roman" w:cs="Times New Roman"/>
          <w:szCs w:val="24"/>
        </w:rPr>
        <w:t>his token of appreciation is warranted as we aim to over-recruit harder-to-reach populations, including people who are Black/African American</w:t>
      </w:r>
      <w:r>
        <w:rPr>
          <w:rFonts w:ascii="Times New Roman" w:hAnsi="Times New Roman" w:cs="Times New Roman"/>
          <w:szCs w:val="24"/>
        </w:rPr>
        <w:t xml:space="preserve"> and </w:t>
      </w:r>
      <w:r w:rsidRPr="00FA226E">
        <w:rPr>
          <w:rFonts w:ascii="Times New Roman" w:hAnsi="Times New Roman" w:cs="Times New Roman"/>
          <w:szCs w:val="24"/>
        </w:rPr>
        <w:t>participants</w:t>
      </w:r>
      <w:r>
        <w:rPr>
          <w:rFonts w:ascii="Times New Roman" w:hAnsi="Times New Roman" w:cs="Times New Roman"/>
          <w:szCs w:val="24"/>
        </w:rPr>
        <w:t xml:space="preserve"> of lower socioeconomic status (SES)</w:t>
      </w:r>
      <w:r w:rsidRPr="00FA226E">
        <w:rPr>
          <w:rFonts w:ascii="Times New Roman" w:hAnsi="Times New Roman" w:cs="Times New Roman"/>
          <w:szCs w:val="24"/>
        </w:rPr>
        <w:t>. These populations are more likely to be</w:t>
      </w:r>
      <w:r>
        <w:rPr>
          <w:rFonts w:ascii="Times New Roman" w:hAnsi="Times New Roman" w:cs="Times New Roman"/>
          <w:szCs w:val="24"/>
        </w:rPr>
        <w:t xml:space="preserve"> cigarillo and blunt users </w:t>
      </w:r>
      <w:r w:rsidRPr="00FA226E">
        <w:rPr>
          <w:rFonts w:ascii="Times New Roman" w:hAnsi="Times New Roman" w:cs="Times New Roman"/>
          <w:szCs w:val="24"/>
        </w:rPr>
        <w:t>(the target audience for our research), therefore it is essential that we can successfully recruit these populations to meet the goals of this study. The above populations are considered harder-to-reach for several reasons: (1) Historical and ongoing experiences with the health care system have caused mistrust among African Americans.</w:t>
      </w:r>
      <w:r>
        <w:rPr>
          <w:rStyle w:val="FootnoteReference"/>
          <w:rFonts w:cs="Times New Roman"/>
          <w:szCs w:val="24"/>
        </w:rPr>
        <w:footnoteReference w:id="3"/>
      </w:r>
      <w:r w:rsidRPr="00FA226E">
        <w:rPr>
          <w:rFonts w:ascii="Times New Roman" w:hAnsi="Times New Roman" w:cs="Times New Roman"/>
          <w:szCs w:val="24"/>
        </w:rPr>
        <w:t xml:space="preserve"> This continues to reduce our ability to recruit African American participants into all types of research studies. (2) Socially disadvantaged groups</w:t>
      </w:r>
      <w:r>
        <w:rPr>
          <w:rFonts w:ascii="Times New Roman" w:hAnsi="Times New Roman" w:cs="Times New Roman"/>
          <w:szCs w:val="24"/>
        </w:rPr>
        <w:t xml:space="preserve">, including low SES, </w:t>
      </w:r>
      <w:r w:rsidRPr="00FA226E">
        <w:rPr>
          <w:rFonts w:ascii="Times New Roman" w:hAnsi="Times New Roman" w:cs="Times New Roman"/>
          <w:szCs w:val="24"/>
        </w:rPr>
        <w:t>are consistently underrepresented in all types of research studies.</w:t>
      </w:r>
      <w:r>
        <w:rPr>
          <w:rStyle w:val="FootnoteReference"/>
          <w:rFonts w:cs="Times New Roman"/>
          <w:szCs w:val="24"/>
        </w:rPr>
        <w:footnoteReference w:id="4"/>
      </w:r>
      <w:r w:rsidRPr="00FA226E">
        <w:rPr>
          <w:rFonts w:ascii="Times New Roman" w:hAnsi="Times New Roman" w:cs="Times New Roman"/>
          <w:szCs w:val="24"/>
        </w:rPr>
        <w:t xml:space="preserve"> One reason for this may be because people who are lower </w:t>
      </w:r>
      <w:r>
        <w:rPr>
          <w:rFonts w:ascii="Times New Roman" w:hAnsi="Times New Roman" w:cs="Times New Roman"/>
          <w:szCs w:val="24"/>
        </w:rPr>
        <w:t>SES</w:t>
      </w:r>
      <w:r w:rsidRPr="00FA226E">
        <w:rPr>
          <w:rFonts w:ascii="Times New Roman" w:hAnsi="Times New Roman" w:cs="Times New Roman"/>
          <w:szCs w:val="24"/>
        </w:rPr>
        <w:t xml:space="preserve"> may be unable to take time off work for research study participation. The token of appreciation treats participants justly and with respect by recognizing and acknowledging the effort they expend to participate.</w:t>
      </w:r>
      <w:r>
        <w:rPr>
          <w:rStyle w:val="FootnoteReference"/>
          <w:rFonts w:cs="Times New Roman"/>
          <w:szCs w:val="24"/>
        </w:rPr>
        <w:footnoteReference w:id="5"/>
      </w:r>
      <w:r w:rsidRPr="00FA226E">
        <w:rPr>
          <w:rFonts w:ascii="Times New Roman" w:hAnsi="Times New Roman" w:cs="Times New Roman"/>
          <w:szCs w:val="24"/>
        </w:rPr>
        <w:t xml:space="preserve"> When applied in a reasonable manner, tokens of appreciation are not an unjust inducement—they are an approach that acknowledges participants for their participation.</w:t>
      </w:r>
      <w:r>
        <w:rPr>
          <w:rStyle w:val="FootnoteReference"/>
          <w:rFonts w:cs="Times New Roman"/>
          <w:szCs w:val="24"/>
        </w:rPr>
        <w:footnoteReference w:id="6"/>
      </w:r>
    </w:p>
    <w:p w:rsidR="0065210E" w:rsidRPr="00E80491" w:rsidP="0065210E" w14:paraId="2FEDFA52" w14:textId="77777777">
      <w:pPr>
        <w:ind w:left="180"/>
        <w:rPr>
          <w:rFonts w:ascii="Times New Roman" w:hAnsi="Times New Roman" w:cs="Times New Roman"/>
          <w:szCs w:val="24"/>
        </w:rPr>
      </w:pPr>
    </w:p>
    <w:p w:rsidR="00D84754" w:rsidP="00AA4F3B" w14:paraId="68F32520" w14:textId="174862D5">
      <w:pPr>
        <w:ind w:left="180"/>
        <w:rPr>
          <w:rFonts w:ascii="Times New Roman" w:hAnsi="Times New Roman" w:cs="Times New Roman"/>
          <w:szCs w:val="24"/>
        </w:rPr>
      </w:pPr>
      <w:r w:rsidRPr="00E80491">
        <w:rPr>
          <w:rFonts w:ascii="Times New Roman" w:hAnsi="Times New Roman" w:cs="Times New Roman"/>
          <w:szCs w:val="24"/>
        </w:rPr>
        <w:t>In general, empirical studies show that incentives can increase response rates in cross-sectional surveys and reduce attrition in longitudinal surveys within some respondent populations.</w:t>
      </w:r>
      <w:r>
        <w:rPr>
          <w:rFonts w:ascii="Times New Roman" w:hAnsi="Times New Roman" w:cs="Times New Roman"/>
          <w:szCs w:val="24"/>
          <w:vertAlign w:val="superscript"/>
        </w:rPr>
        <w:footnoteReference w:id="7"/>
      </w:r>
      <w:r w:rsidRPr="00E80491">
        <w:rPr>
          <w:rFonts w:ascii="Times New Roman" w:hAnsi="Times New Roman" w:cs="Times New Roman"/>
          <w:szCs w:val="24"/>
        </w:rPr>
        <w:t xml:space="preserve"> </w:t>
      </w:r>
      <w:r w:rsidRPr="00E80491">
        <w:rPr>
          <w:rFonts w:ascii="Times New Roman" w:hAnsi="Times New Roman" w:cs="Times New Roman"/>
          <w:szCs w:val="24"/>
        </w:rPr>
        <w:t>Although the vast majority of published research on this topic is based on mail, telephone, or in-person surveys, there are now several studies on the effects of incentives within the context of a web-based survey. For example, a 2006 meta-analysis of 32 studies indicates that incentives increase the odds that potential respondents will begin a web survey, and a second meta-analysis of 26 studies shows that incentives increase the odds of completing a web survey once respondents have begun it.</w:t>
      </w:r>
      <w:r>
        <w:rPr>
          <w:rFonts w:ascii="Times New Roman" w:hAnsi="Times New Roman" w:cs="Times New Roman"/>
          <w:szCs w:val="24"/>
          <w:vertAlign w:val="superscript"/>
        </w:rPr>
        <w:footnoteReference w:id="8"/>
      </w:r>
      <w:r w:rsidRPr="00E80491">
        <w:rPr>
          <w:rFonts w:ascii="Times New Roman" w:hAnsi="Times New Roman" w:cs="Times New Roman"/>
          <w:szCs w:val="24"/>
        </w:rPr>
        <w:t xml:space="preserve">  </w:t>
      </w:r>
    </w:p>
    <w:bookmarkEnd w:id="17"/>
    <w:p w:rsidR="00B34E36" w:rsidRPr="00CE3249" w:rsidP="00CE3249" w14:paraId="01DD2E52" w14:textId="5BAC6DB0"/>
    <w:p w:rsidR="00CE3249" w:rsidRPr="00CE3249" w:rsidP="00CE3249" w14:paraId="0125A038" w14:textId="77777777"/>
    <w:p w:rsidR="00BE1FCB" w:rsidRPr="008265FC" w:rsidP="00BE1FCB" w14:paraId="5719D0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Pr>
          <w:rFonts w:ascii="Times New Roman" w:eastAsia="Times New Roman" w:hAnsi="Times New Roman" w:cs="Times New Roman"/>
          <w:b/>
          <w:bCs/>
          <w:szCs w:val="24"/>
        </w:rPr>
        <w:t xml:space="preserve">10. </w:t>
      </w:r>
      <w:r w:rsidRPr="008265FC">
        <w:rPr>
          <w:rFonts w:ascii="Times New Roman" w:eastAsia="Times New Roman" w:hAnsi="Times New Roman" w:cs="Times New Roman"/>
          <w:b/>
          <w:bCs/>
          <w:szCs w:val="24"/>
          <w:u w:val="single"/>
        </w:rPr>
        <w:t>Assurance of Confidentiality Provided to Respondents</w:t>
      </w:r>
      <w:bookmarkEnd w:id="16"/>
    </w:p>
    <w:p w:rsidR="00BE1FCB" w:rsidRPr="008265FC" w:rsidP="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FE5973" w:rsidRPr="00FE5973" w:rsidP="00060E16" w14:paraId="7566B2F8" w14:textId="2CFDDDB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FE5973">
        <w:rPr>
          <w:rFonts w:ascii="Times New Roman" w:hAnsi="Times New Roman" w:cs="Times New Roman"/>
        </w:rPr>
        <w:t>Generic 0910-0810 is covered underneath an approved umbrella PIA.</w:t>
      </w:r>
    </w:p>
    <w:p w:rsidR="00FE5973" w:rsidP="00060E16" w14:paraId="3A88259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060E16" w:rsidRPr="00060E16" w:rsidP="00060E16" w14:paraId="09E2F76E" w14:textId="7FECCD2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060E16">
        <w:rPr>
          <w:rFonts w:ascii="Times New Roman" w:eastAsia="Times New Roman" w:hAnsi="Times New Roman" w:cs="Times New Roman"/>
          <w:szCs w:val="24"/>
          <w:u w:val="single"/>
        </w:rPr>
        <w:t>PII Collection</w:t>
      </w:r>
    </w:p>
    <w:p w:rsidR="00060E16" w:rsidRPr="00060E16" w:rsidP="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P="00060E16" w14:paraId="408FAB4D" w14:textId="2DCB04E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060E16">
        <w:rPr>
          <w:rFonts w:ascii="Times New Roman" w:eastAsia="Times New Roman" w:hAnsi="Times New Roman" w:cs="Times New Roman"/>
          <w:szCs w:val="24"/>
        </w:rPr>
        <w:t xml:space="preserve">As part of this study, RTI, the contractor acting on behalf of FDA, is collecting and maintaining personally identifiable information (PII) about participants who complete the </w:t>
      </w:r>
      <w:r>
        <w:rPr>
          <w:rFonts w:ascii="Times New Roman" w:eastAsia="Times New Roman" w:hAnsi="Times New Roman" w:cs="Times New Roman"/>
          <w:szCs w:val="24"/>
        </w:rPr>
        <w:t>online</w:t>
      </w:r>
      <w:r w:rsidRPr="00060E16">
        <w:rPr>
          <w:rFonts w:ascii="Times New Roman" w:eastAsia="Times New Roman" w:hAnsi="Times New Roman" w:cs="Times New Roman"/>
          <w:szCs w:val="24"/>
        </w:rPr>
        <w:t xml:space="preserve"> screener</w:t>
      </w:r>
      <w:r w:rsidR="00E25223">
        <w:rPr>
          <w:rFonts w:ascii="Times New Roman" w:eastAsia="Times New Roman" w:hAnsi="Times New Roman" w:cs="Times New Roman"/>
          <w:szCs w:val="24"/>
        </w:rPr>
        <w:t xml:space="preserve"> and</w:t>
      </w:r>
      <w:r w:rsidRPr="00060E16">
        <w:rPr>
          <w:rFonts w:ascii="Times New Roman" w:eastAsia="Times New Roman" w:hAnsi="Times New Roman" w:cs="Times New Roman"/>
          <w:szCs w:val="24"/>
        </w:rPr>
        <w:t xml:space="preserve"> </w:t>
      </w:r>
      <w:r w:rsidR="00023F60">
        <w:rPr>
          <w:rFonts w:ascii="Times New Roman" w:eastAsia="Times New Roman" w:hAnsi="Times New Roman" w:cs="Times New Roman"/>
          <w:szCs w:val="24"/>
        </w:rPr>
        <w:t>the</w:t>
      </w:r>
      <w:r>
        <w:rPr>
          <w:rFonts w:ascii="Times New Roman" w:eastAsia="Times New Roman" w:hAnsi="Times New Roman" w:cs="Times New Roman"/>
          <w:szCs w:val="24"/>
        </w:rPr>
        <w:t xml:space="preserve"> </w:t>
      </w:r>
      <w:r w:rsidRPr="00060E16">
        <w:rPr>
          <w:rFonts w:ascii="Times New Roman" w:eastAsia="Times New Roman" w:hAnsi="Times New Roman" w:cs="Times New Roman"/>
          <w:szCs w:val="24"/>
        </w:rPr>
        <w:t>online survey</w:t>
      </w:r>
      <w:r w:rsidR="00023F60">
        <w:rPr>
          <w:rFonts w:ascii="Times New Roman" w:eastAsia="Times New Roman" w:hAnsi="Times New Roman" w:cs="Times New Roman"/>
          <w:szCs w:val="24"/>
        </w:rPr>
        <w:t>.</w:t>
      </w:r>
      <w:r w:rsidRPr="0020465D" w:rsidR="0020465D">
        <w:t xml:space="preserve"> </w:t>
      </w:r>
      <w:r w:rsidRPr="0020465D" w:rsidR="0020465D">
        <w:rPr>
          <w:rFonts w:ascii="Times New Roman" w:eastAsia="Times New Roman" w:hAnsi="Times New Roman" w:cs="Times New Roman"/>
          <w:szCs w:val="24"/>
        </w:rPr>
        <w:t>The only PII we will be collecting is email address</w:t>
      </w:r>
      <w:r w:rsidR="00757FBF">
        <w:rPr>
          <w:rFonts w:ascii="Times New Roman" w:eastAsia="Times New Roman" w:hAnsi="Times New Roman" w:cs="Times New Roman"/>
          <w:szCs w:val="24"/>
        </w:rPr>
        <w:t xml:space="preserve">, </w:t>
      </w:r>
      <w:r w:rsidRPr="0020465D" w:rsidR="0020465D">
        <w:rPr>
          <w:rFonts w:ascii="Times New Roman" w:eastAsia="Times New Roman" w:hAnsi="Times New Roman" w:cs="Times New Roman"/>
          <w:szCs w:val="24"/>
        </w:rPr>
        <w:t>IP address,</w:t>
      </w:r>
      <w:r w:rsidR="00757FBF">
        <w:rPr>
          <w:rFonts w:ascii="Times New Roman" w:eastAsia="Times New Roman" w:hAnsi="Times New Roman" w:cs="Times New Roman"/>
          <w:szCs w:val="24"/>
        </w:rPr>
        <w:t xml:space="preserve"> and birthdate,</w:t>
      </w:r>
      <w:r w:rsidRPr="0020465D" w:rsidR="0020465D">
        <w:rPr>
          <w:rFonts w:ascii="Times New Roman" w:eastAsia="Times New Roman" w:hAnsi="Times New Roman" w:cs="Times New Roman"/>
          <w:szCs w:val="24"/>
        </w:rPr>
        <w:t xml:space="preserve"> but this information will be stored separately from each other and from survey responses (except for 24 hours after download when the fraud detection procedures are completed). We are not collecting any</w:t>
      </w:r>
      <w:r w:rsidR="00D54A74">
        <w:rPr>
          <w:rFonts w:ascii="Times New Roman" w:eastAsia="Times New Roman" w:hAnsi="Times New Roman" w:cs="Times New Roman"/>
          <w:szCs w:val="24"/>
        </w:rPr>
        <w:t xml:space="preserve"> Protected Health Information,</w:t>
      </w:r>
      <w:r w:rsidRPr="0020465D" w:rsidR="0020465D">
        <w:rPr>
          <w:rFonts w:ascii="Times New Roman" w:eastAsia="Times New Roman" w:hAnsi="Times New Roman" w:cs="Times New Roman"/>
          <w:szCs w:val="24"/>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0034447E">
        <w:rPr>
          <w:rFonts w:ascii="Times New Roman" w:eastAsia="Times New Roman" w:hAnsi="Times New Roman" w:cs="Times New Roman"/>
          <w:szCs w:val="24"/>
        </w:rPr>
        <w:t>S</w:t>
      </w:r>
      <w:r w:rsidRPr="0020465D" w:rsidR="0020465D">
        <w:rPr>
          <w:rFonts w:ascii="Times New Roman" w:eastAsia="Times New Roman" w:hAnsi="Times New Roman" w:cs="Times New Roman"/>
          <w:szCs w:val="24"/>
        </w:rPr>
        <w:t xml:space="preserve">urvey data will be kept separate from PII and/or stored on the </w:t>
      </w:r>
      <w:r w:rsidRPr="001C34F8" w:rsidR="001C34F8">
        <w:rPr>
          <w:rFonts w:ascii="Times New Roman" w:eastAsia="Times New Roman" w:hAnsi="Times New Roman" w:cs="Times New Roman"/>
          <w:szCs w:val="24"/>
        </w:rPr>
        <w:t xml:space="preserve">Federal Information Processing Standards (FIPS) 199 </w:t>
      </w:r>
      <w:r w:rsidRPr="0020465D" w:rsidR="0020465D">
        <w:rPr>
          <w:rFonts w:ascii="Times New Roman" w:eastAsia="Times New Roman" w:hAnsi="Times New Roman" w:cs="Times New Roman"/>
          <w:szCs w:val="24"/>
        </w:rPr>
        <w:t>except for the 24-hour period after download when the combined dataset is stored temporarily on the study share drive so that the fraud detection procedures can be conducted.</w:t>
      </w:r>
      <w:r w:rsidR="00604003">
        <w:rPr>
          <w:rFonts w:ascii="Times New Roman" w:eastAsia="Times New Roman" w:hAnsi="Times New Roman" w:cs="Times New Roman"/>
          <w:szCs w:val="24"/>
        </w:rPr>
        <w:t xml:space="preserve"> FDA will not have access to any PII.</w:t>
      </w:r>
    </w:p>
    <w:p w:rsidR="004E510C" w:rsidP="00060E16"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0E4CF3" w:rsidP="000E4CF3" w14:paraId="2D2B8946" w14:textId="5BC41F76">
      <w:pPr>
        <w:numPr>
          <w:ilvl w:val="12"/>
          <w:numId w:val="0"/>
        </w:numPr>
        <w:autoSpaceDE w:val="0"/>
        <w:autoSpaceDN w:val="0"/>
        <w:ind w:left="180"/>
        <w:rPr>
          <w:rFonts w:ascii="Times New Roman" w:hAnsi="Times New Roman" w:cs="Times New Roman"/>
          <w:sz w:val="22"/>
        </w:rPr>
      </w:pPr>
      <w:r>
        <w:rPr>
          <w:rFonts w:ascii="Times New Roman" w:hAnsi="Times New Roman" w:cs="Times New Roman"/>
        </w:rPr>
        <w:t>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consent form of the protections that the Certificate provides.</w:t>
      </w:r>
      <w:r w:rsidR="00604003">
        <w:rPr>
          <w:rFonts w:ascii="Times New Roman" w:hAnsi="Times New Roman" w:cs="Times New Roman"/>
        </w:rPr>
        <w:t xml:space="preserve"> </w:t>
      </w:r>
    </w:p>
    <w:p w:rsidR="00BE1FCB" w:rsidRPr="008265FC" w:rsidP="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6417F9E7" w14:textId="1A895B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7A744B">
        <w:rPr>
          <w:rFonts w:ascii="Times New Roman" w:eastAsia="Times New Roman" w:hAnsi="Times New Roman" w:cs="Times New Roman"/>
          <w:szCs w:val="24"/>
          <w:u w:val="single"/>
        </w:rPr>
        <w:t>Overview of Data Collection System</w:t>
      </w:r>
    </w:p>
    <w:p w:rsidR="002E35CB" w:rsidP="00BE1FCB" w14:paraId="227F95C6"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E070C7" w:rsidP="00BE1FCB" w14:paraId="6970C13D" w14:textId="56F92A8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433F6">
        <w:rPr>
          <w:rFonts w:ascii="Times New Roman" w:eastAsia="Times New Roman" w:hAnsi="Times New Roman" w:cs="Times New Roman"/>
          <w:szCs w:val="24"/>
        </w:rPr>
        <w:t>All information will be collected electronically through a self-</w:t>
      </w:r>
      <w:r w:rsidRPr="00765F6A">
        <w:rPr>
          <w:rFonts w:ascii="Times New Roman" w:eastAsia="Times New Roman" w:hAnsi="Times New Roman" w:cs="Times New Roman"/>
          <w:szCs w:val="24"/>
        </w:rPr>
        <w:t xml:space="preserve">administered survey instrument hosted in a secure, online, web-based data collection system. </w:t>
      </w:r>
      <w:r w:rsidRPr="00765F6A" w:rsidR="00D62508">
        <w:rPr>
          <w:rFonts w:ascii="Times New Roman" w:eastAsia="Times New Roman" w:hAnsi="Times New Roman" w:cs="Times New Roman"/>
          <w:szCs w:val="24"/>
        </w:rPr>
        <w:t xml:space="preserve">Up to </w:t>
      </w:r>
      <w:r w:rsidRPr="00765F6A" w:rsidR="004A020D">
        <w:rPr>
          <w:rFonts w:ascii="Times New Roman" w:eastAsia="Times New Roman" w:hAnsi="Times New Roman" w:cs="Times New Roman"/>
          <w:szCs w:val="24"/>
        </w:rPr>
        <w:t>1,5</w:t>
      </w:r>
      <w:r w:rsidR="00635EF2">
        <w:rPr>
          <w:rFonts w:ascii="Times New Roman" w:eastAsia="Times New Roman" w:hAnsi="Times New Roman" w:cs="Times New Roman"/>
          <w:szCs w:val="24"/>
        </w:rPr>
        <w:t>5</w:t>
      </w:r>
      <w:r w:rsidRPr="00765F6A" w:rsidR="004A020D">
        <w:rPr>
          <w:rFonts w:ascii="Times New Roman" w:eastAsia="Times New Roman" w:hAnsi="Times New Roman" w:cs="Times New Roman"/>
          <w:szCs w:val="24"/>
        </w:rPr>
        <w:t xml:space="preserve">0 </w:t>
      </w:r>
      <w:r w:rsidRPr="00765F6A">
        <w:rPr>
          <w:rFonts w:ascii="Times New Roman" w:eastAsia="Times New Roman" w:hAnsi="Times New Roman" w:cs="Times New Roman"/>
          <w:szCs w:val="24"/>
        </w:rPr>
        <w:t>participants will be recruited via social media. All participants will be screened for eligibility</w:t>
      </w:r>
      <w:r w:rsidRPr="00E433F6">
        <w:rPr>
          <w:rFonts w:ascii="Times New Roman" w:eastAsia="Times New Roman" w:hAnsi="Times New Roman" w:cs="Times New Roman"/>
          <w:szCs w:val="24"/>
        </w:rPr>
        <w:t xml:space="preserve"> prior to administration of the survey instrument. </w:t>
      </w:r>
      <w:r w:rsidRPr="009C48E7" w:rsidR="009C48E7">
        <w:rPr>
          <w:rFonts w:ascii="Times New Roman" w:eastAsia="Times New Roman" w:hAnsi="Times New Roman" w:cs="Times New Roman"/>
          <w:szCs w:val="24"/>
        </w:rPr>
        <w:t xml:space="preserve">The screener is designed to not reveal specifically why a respondent is not eligible. All respondents, regardless of age, gender, race/ethnicity, tobacco use behavior, and residence will complete the full screener. Respondents must complete all screener questions to find out whether they can move on to </w:t>
      </w:r>
      <w:r w:rsidR="00784E5E">
        <w:rPr>
          <w:rFonts w:ascii="Times New Roman" w:eastAsia="Times New Roman" w:hAnsi="Times New Roman" w:cs="Times New Roman"/>
          <w:szCs w:val="24"/>
        </w:rPr>
        <w:t>the study survey</w:t>
      </w:r>
      <w:r w:rsidRPr="009C48E7" w:rsidR="009C48E7">
        <w:rPr>
          <w:rFonts w:ascii="Times New Roman" w:eastAsia="Times New Roman" w:hAnsi="Times New Roman" w:cs="Times New Roman"/>
          <w:szCs w:val="24"/>
        </w:rPr>
        <w:t xml:space="preserve">. </w:t>
      </w:r>
      <w:r w:rsidRPr="00E070C7">
        <w:rPr>
          <w:rFonts w:ascii="Times New Roman" w:eastAsia="Times New Roman" w:hAnsi="Times New Roman" w:cs="Times New Roman"/>
          <w:szCs w:val="24"/>
        </w:rPr>
        <w:t xml:space="preserve">To recruit </w:t>
      </w:r>
      <w:r w:rsidR="00784E5E">
        <w:rPr>
          <w:rFonts w:ascii="Times New Roman" w:eastAsia="Times New Roman" w:hAnsi="Times New Roman" w:cs="Times New Roman"/>
          <w:szCs w:val="24"/>
        </w:rPr>
        <w:t>participants</w:t>
      </w:r>
      <w:r w:rsidRPr="00E070C7">
        <w:rPr>
          <w:rFonts w:ascii="Times New Roman" w:eastAsia="Times New Roman" w:hAnsi="Times New Roman" w:cs="Times New Roman"/>
          <w:szCs w:val="24"/>
        </w:rPr>
        <w:t xml:space="preserve">, RTI will place ads on </w:t>
      </w:r>
      <w:r w:rsidR="00784E5E">
        <w:rPr>
          <w:rFonts w:ascii="Times New Roman" w:eastAsia="Times New Roman" w:hAnsi="Times New Roman" w:cs="Times New Roman"/>
          <w:szCs w:val="24"/>
        </w:rPr>
        <w:t xml:space="preserve">social media platforms, such as </w:t>
      </w:r>
      <w:r w:rsidRPr="00E070C7">
        <w:rPr>
          <w:rFonts w:ascii="Times New Roman" w:eastAsia="Times New Roman" w:hAnsi="Times New Roman" w:cs="Times New Roman"/>
          <w:szCs w:val="24"/>
        </w:rPr>
        <w:t xml:space="preserve">Facebook and Instagram. As much as possible, these ads will target potentially eligible respondents who are thought to be age 15-24 and are </w:t>
      </w:r>
      <w:r w:rsidR="00035733">
        <w:rPr>
          <w:rFonts w:ascii="Times New Roman" w:eastAsia="Times New Roman" w:hAnsi="Times New Roman" w:cs="Times New Roman"/>
          <w:szCs w:val="24"/>
        </w:rPr>
        <w:t xml:space="preserve">blunt users or are </w:t>
      </w:r>
      <w:r w:rsidRPr="00E070C7">
        <w:rPr>
          <w:rFonts w:ascii="Times New Roman" w:eastAsia="Times New Roman" w:hAnsi="Times New Roman" w:cs="Times New Roman"/>
          <w:szCs w:val="24"/>
        </w:rPr>
        <w:t xml:space="preserve">susceptible to </w:t>
      </w:r>
      <w:r w:rsidR="00784E5E">
        <w:rPr>
          <w:rFonts w:ascii="Times New Roman" w:eastAsia="Times New Roman" w:hAnsi="Times New Roman" w:cs="Times New Roman"/>
          <w:szCs w:val="24"/>
        </w:rPr>
        <w:t>blunt use</w:t>
      </w:r>
      <w:r w:rsidRPr="00E070C7">
        <w:rPr>
          <w:rFonts w:ascii="Times New Roman" w:eastAsia="Times New Roman" w:hAnsi="Times New Roman" w:cs="Times New Roman"/>
          <w:szCs w:val="24"/>
        </w:rPr>
        <w:t xml:space="preserve">. </w:t>
      </w:r>
      <w:r w:rsidR="00D62508">
        <w:rPr>
          <w:rFonts w:ascii="Times New Roman" w:eastAsia="Times New Roman" w:hAnsi="Times New Roman" w:cs="Times New Roman"/>
        </w:rPr>
        <w:t>Given the high prevalence of blunt use among African American/Black populations, the study design will include oversampling of youth and young adults who identify as African American or Black.</w:t>
      </w:r>
    </w:p>
    <w:p w:rsidR="00E070C7" w:rsidP="00BE1FCB"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06DB118D" w14:textId="3F8886D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433F6">
        <w:rPr>
          <w:rFonts w:ascii="Times New Roman" w:eastAsia="Times New Roman" w:hAnsi="Times New Roman" w:cs="Times New Roman"/>
          <w:szCs w:val="24"/>
        </w:rPr>
        <w:t xml:space="preserve">Each participant will give feedback on </w:t>
      </w:r>
      <w:r w:rsidR="00073B0B">
        <w:rPr>
          <w:rFonts w:ascii="Times New Roman" w:eastAsia="Times New Roman" w:hAnsi="Times New Roman" w:cs="Times New Roman"/>
          <w:szCs w:val="24"/>
        </w:rPr>
        <w:t xml:space="preserve">their </w:t>
      </w:r>
      <w:r w:rsidR="0033742D">
        <w:rPr>
          <w:rFonts w:ascii="Times New Roman" w:eastAsia="Times New Roman" w:hAnsi="Times New Roman" w:cs="Times New Roman"/>
          <w:szCs w:val="24"/>
        </w:rPr>
        <w:t xml:space="preserve">blunt and </w:t>
      </w:r>
      <w:r w:rsidR="00931C96">
        <w:rPr>
          <w:rFonts w:ascii="Times New Roman" w:eastAsia="Times New Roman" w:hAnsi="Times New Roman" w:cs="Times New Roman"/>
          <w:szCs w:val="24"/>
        </w:rPr>
        <w:t xml:space="preserve">tobacco use </w:t>
      </w:r>
      <w:r w:rsidR="00B4639C">
        <w:rPr>
          <w:rFonts w:ascii="Times New Roman" w:eastAsia="Times New Roman" w:hAnsi="Times New Roman" w:cs="Times New Roman"/>
          <w:szCs w:val="24"/>
        </w:rPr>
        <w:t>status</w:t>
      </w:r>
      <w:r w:rsidRPr="00E433F6">
        <w:rPr>
          <w:rFonts w:ascii="Times New Roman" w:eastAsia="Times New Roman" w:hAnsi="Times New Roman" w:cs="Times New Roman"/>
          <w:szCs w:val="24"/>
        </w:rPr>
        <w:t>, followed by a series of questions about their knowledge, attitudes, and behaviors in regard to</w:t>
      </w:r>
      <w:r w:rsidR="00314892">
        <w:rPr>
          <w:rFonts w:ascii="Times New Roman" w:eastAsia="Times New Roman" w:hAnsi="Times New Roman" w:cs="Times New Roman"/>
          <w:szCs w:val="24"/>
        </w:rPr>
        <w:t xml:space="preserve"> </w:t>
      </w:r>
      <w:r w:rsidRPr="00E433F6">
        <w:rPr>
          <w:rFonts w:ascii="Times New Roman" w:eastAsia="Times New Roman" w:hAnsi="Times New Roman" w:cs="Times New Roman"/>
          <w:szCs w:val="24"/>
        </w:rPr>
        <w:t>specific tobacco products</w:t>
      </w:r>
      <w:r w:rsidR="00314892">
        <w:rPr>
          <w:rFonts w:ascii="Times New Roman" w:eastAsia="Times New Roman" w:hAnsi="Times New Roman" w:cs="Times New Roman"/>
          <w:szCs w:val="24"/>
        </w:rPr>
        <w:t xml:space="preserve"> and marijuana</w:t>
      </w:r>
      <w:r w:rsidRPr="00E433F6">
        <w:rPr>
          <w:rFonts w:ascii="Times New Roman" w:eastAsia="Times New Roman" w:hAnsi="Times New Roman" w:cs="Times New Roman"/>
          <w:szCs w:val="24"/>
        </w:rPr>
        <w:t>, and complete</w:t>
      </w:r>
      <w:r>
        <w:rPr>
          <w:rFonts w:ascii="Times New Roman" w:eastAsia="Times New Roman" w:hAnsi="Times New Roman" w:cs="Times New Roman"/>
          <w:szCs w:val="24"/>
        </w:rPr>
        <w:t xml:space="preserve"> the survey by answering basic demographic information. </w:t>
      </w:r>
      <w:r w:rsidRPr="008265FC">
        <w:rPr>
          <w:rFonts w:ascii="Times New Roman" w:eastAsia="Times New Roman" w:hAnsi="Times New Roman" w:cs="Times New Roman"/>
          <w:szCs w:val="24"/>
        </w:rPr>
        <w:t xml:space="preserve">The </w:t>
      </w:r>
      <w:r>
        <w:rPr>
          <w:rFonts w:ascii="Times New Roman" w:eastAsia="Times New Roman" w:hAnsi="Times New Roman" w:cs="Times New Roman"/>
          <w:szCs w:val="24"/>
        </w:rPr>
        <w:t>participant will complete the survey</w:t>
      </w:r>
      <w:r w:rsidRPr="008265FC">
        <w:rPr>
          <w:rFonts w:ascii="Times New Roman" w:eastAsia="Times New Roman" w:hAnsi="Times New Roman" w:cs="Times New Roman"/>
          <w:szCs w:val="24"/>
        </w:rPr>
        <w:t xml:space="preserve"> at th</w:t>
      </w:r>
      <w:r>
        <w:rPr>
          <w:rFonts w:ascii="Times New Roman" w:eastAsia="Times New Roman" w:hAnsi="Times New Roman" w:cs="Times New Roman"/>
          <w:szCs w:val="24"/>
        </w:rPr>
        <w:t xml:space="preserve">e time of his or her choosing. </w:t>
      </w:r>
      <w:r w:rsidRPr="008265FC">
        <w:rPr>
          <w:rFonts w:ascii="Times New Roman" w:eastAsia="Times New Roman" w:hAnsi="Times New Roman" w:cs="Times New Roman"/>
          <w:szCs w:val="24"/>
        </w:rPr>
        <w:t>There is no website content directed at children younger than 13 years of age.</w:t>
      </w:r>
      <w:r>
        <w:rPr>
          <w:rFonts w:ascii="Times New Roman" w:eastAsia="Times New Roman" w:hAnsi="Times New Roman" w:cs="Times New Roman"/>
          <w:szCs w:val="24"/>
        </w:rPr>
        <w:t xml:space="preserve"> </w:t>
      </w:r>
    </w:p>
    <w:p w:rsidR="00D40586" w:rsidP="00BE1FCB"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484EC382" w14:textId="3C6DC38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Overview of How Information will be Shared and for What Purposes</w:t>
      </w:r>
    </w:p>
    <w:p w:rsidR="002E35CB" w:rsidRPr="008265FC" w:rsidP="00BE1FCB" w14:paraId="59F1EF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P="00BE1FCB" w14:paraId="2E0EB942" w14:textId="317AB83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01C98">
        <w:rPr>
          <w:rFonts w:ascii="Times New Roman" w:eastAsia="Times New Roman" w:hAnsi="Times New Roman" w:cs="Times New Roman"/>
          <w:szCs w:val="24"/>
        </w:rPr>
        <w:t xml:space="preserve">All data will be downloaded from Qualtrics (which requires a password) and stored in databases only on RTI’s secure shared drive and/or </w:t>
      </w:r>
      <w:r w:rsidRPr="006A1FB1" w:rsidR="006A1FB1">
        <w:rPr>
          <w:rFonts w:ascii="Times New Roman" w:eastAsia="Times New Roman" w:hAnsi="Times New Roman" w:cs="Times New Roman"/>
          <w:szCs w:val="24"/>
        </w:rPr>
        <w:t>FIPS 199</w:t>
      </w:r>
      <w:r w:rsidRPr="00801C98">
        <w:rPr>
          <w:rFonts w:ascii="Times New Roman" w:eastAsia="Times New Roman" w:hAnsi="Times New Roman" w:cs="Times New Roman"/>
          <w:szCs w:val="24"/>
        </w:rPr>
        <w:t xml:space="preserve">, which are only accessible by study staff trained in human subjects. At the completion of data collection, the databases will be deleted from our Qualtrics account and remain only on RTI’s secure shared drive and </w:t>
      </w:r>
      <w:r w:rsidR="00A53433">
        <w:rPr>
          <w:rFonts w:ascii="Times New Roman" w:eastAsia="Times New Roman" w:hAnsi="Times New Roman" w:cs="Times New Roman"/>
          <w:szCs w:val="24"/>
        </w:rPr>
        <w:t>FIPS</w:t>
      </w:r>
      <w:r w:rsidRPr="00927E99" w:rsidR="00927E99">
        <w:rPr>
          <w:rFonts w:ascii="Times New Roman" w:eastAsia="Times New Roman" w:hAnsi="Times New Roman" w:cs="Times New Roman"/>
          <w:szCs w:val="24"/>
        </w:rPr>
        <w:t xml:space="preserve"> 199</w:t>
      </w:r>
      <w:r w:rsidRPr="00801C98">
        <w:rPr>
          <w:rFonts w:ascii="Times New Roman" w:eastAsia="Times New Roman" w:hAnsi="Times New Roman" w:cs="Times New Roman"/>
          <w:szCs w:val="24"/>
        </w:rPr>
        <w:t>.</w:t>
      </w:r>
      <w:r w:rsidR="00604003">
        <w:rPr>
          <w:rFonts w:ascii="Times New Roman" w:eastAsia="Times New Roman" w:hAnsi="Times New Roman" w:cs="Times New Roman"/>
          <w:szCs w:val="24"/>
        </w:rPr>
        <w:t xml:space="preserve"> No PII will be shared with FDA.</w:t>
      </w:r>
    </w:p>
    <w:p w:rsidR="00801C98" w:rsidP="00BE1FCB"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05E5EFAC" w14:textId="13A1A4C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EE3540">
        <w:rPr>
          <w:rFonts w:ascii="Times New Roman" w:eastAsia="Times New Roman" w:hAnsi="Times New Roman" w:cs="Times New Roman"/>
          <w:szCs w:val="24"/>
          <w:u w:val="single"/>
        </w:rPr>
        <w:t>Overview of the Impact the Proposed Collection will have on the Respondent’s Privacy</w:t>
      </w:r>
    </w:p>
    <w:p w:rsidR="002E35CB" w:rsidRPr="00EE3540" w:rsidP="00BE1FCB" w14:paraId="3B3A08B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P="00BE1FCB" w14:paraId="61285307" w14:textId="18E646F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E3540">
        <w:rPr>
          <w:rFonts w:ascii="Times New Roman" w:eastAsia="Times New Roman" w:hAnsi="Times New Roman" w:cs="Times New Roman"/>
          <w:szCs w:val="24"/>
        </w:rPr>
        <w:t xml:space="preserve">The following procedures will be used to ensure participant </w:t>
      </w:r>
      <w:r>
        <w:rPr>
          <w:rFonts w:ascii="Times New Roman" w:eastAsia="Times New Roman" w:hAnsi="Times New Roman" w:cs="Times New Roman"/>
          <w:szCs w:val="24"/>
        </w:rPr>
        <w:t>privacy</w:t>
      </w:r>
      <w:r w:rsidRPr="00EE3540">
        <w:rPr>
          <w:rFonts w:ascii="Times New Roman" w:eastAsia="Times New Roman" w:hAnsi="Times New Roman" w:cs="Times New Roman"/>
          <w:szCs w:val="24"/>
        </w:rPr>
        <w:t xml:space="preserve"> before, during, and after fielding: (1) </w:t>
      </w:r>
      <w:r>
        <w:rPr>
          <w:rFonts w:ascii="Times New Roman" w:eastAsia="Times New Roman" w:hAnsi="Times New Roman" w:cs="Times New Roman"/>
          <w:szCs w:val="24"/>
        </w:rPr>
        <w:t>PII in the form of participants’ email addresses</w:t>
      </w:r>
      <w:r w:rsidR="00D2633C">
        <w:rPr>
          <w:rFonts w:ascii="Times New Roman" w:eastAsia="Times New Roman" w:hAnsi="Times New Roman" w:cs="Times New Roman"/>
          <w:szCs w:val="24"/>
        </w:rPr>
        <w:t xml:space="preserve"> and birthdate</w:t>
      </w:r>
      <w:r>
        <w:rPr>
          <w:rFonts w:ascii="Times New Roman" w:eastAsia="Times New Roman" w:hAnsi="Times New Roman" w:cs="Times New Roman"/>
          <w:szCs w:val="24"/>
        </w:rPr>
        <w:t xml:space="preserve"> will be stored separately from screening-related data and survey data, and email addresses </w:t>
      </w:r>
      <w:r w:rsidR="00D2633C">
        <w:rPr>
          <w:rFonts w:ascii="Times New Roman" w:eastAsia="Times New Roman" w:hAnsi="Times New Roman" w:cs="Times New Roman"/>
          <w:szCs w:val="24"/>
        </w:rPr>
        <w:t xml:space="preserve">and birthdate </w:t>
      </w:r>
      <w:r>
        <w:rPr>
          <w:rFonts w:ascii="Times New Roman" w:eastAsia="Times New Roman" w:hAnsi="Times New Roman" w:cs="Times New Roman"/>
          <w:szCs w:val="24"/>
        </w:rPr>
        <w:t>will be deleted after survey completion</w:t>
      </w:r>
      <w:r w:rsidRPr="00EE3540">
        <w:rPr>
          <w:rFonts w:ascii="Times New Roman" w:eastAsia="Times New Roman" w:hAnsi="Times New Roman" w:cs="Times New Roman"/>
          <w:szCs w:val="24"/>
        </w:rPr>
        <w:t xml:space="preserve">; (2) datasets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00BE1FCB" w:rsidP="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583432" w:rsidP="00BE1FCB" w14:paraId="2C592734" w14:textId="3C3254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 xml:space="preserve">PII will be collected in the form of email addresses for the purposes of </w:t>
      </w:r>
      <w:r w:rsidR="003D6A14">
        <w:rPr>
          <w:rFonts w:ascii="Times New Roman" w:eastAsia="Times New Roman" w:hAnsi="Times New Roman" w:cs="Times New Roman"/>
          <w:szCs w:val="24"/>
        </w:rPr>
        <w:t xml:space="preserve">distributing the </w:t>
      </w:r>
      <w:r w:rsidRPr="001F7E7E" w:rsidR="0062156B">
        <w:rPr>
          <w:rFonts w:ascii="Times New Roman" w:hAnsi="Times New Roman" w:cs="Times New Roman"/>
          <w:szCs w:val="24"/>
        </w:rPr>
        <w:t>token of appreciation</w:t>
      </w:r>
      <w:r w:rsidR="0062156B">
        <w:rPr>
          <w:rFonts w:ascii="Times New Roman" w:hAnsi="Times New Roman" w:cs="Times New Roman"/>
          <w:szCs w:val="24"/>
        </w:rPr>
        <w:t xml:space="preserve"> </w:t>
      </w:r>
      <w:r w:rsidR="00D2633C">
        <w:rPr>
          <w:rFonts w:ascii="Times New Roman" w:eastAsia="Times New Roman" w:hAnsi="Times New Roman" w:cs="Times New Roman"/>
          <w:szCs w:val="24"/>
        </w:rPr>
        <w:t>and birthdate to confirm age</w:t>
      </w:r>
      <w:r>
        <w:rPr>
          <w:rFonts w:ascii="Times New Roman" w:eastAsia="Times New Roman" w:hAnsi="Times New Roman" w:cs="Times New Roman"/>
          <w:szCs w:val="24"/>
        </w:rPr>
        <w:t xml:space="preserve">. No additional personal identifiers (e.g., full name, phone number, social security number) will be collected aside from basic demographic information (e.g., gender, age, race). </w:t>
      </w:r>
      <w:r w:rsidR="00DA7983">
        <w:rPr>
          <w:rFonts w:ascii="Times New Roman" w:eastAsia="Times New Roman" w:hAnsi="Times New Roman" w:cs="Times New Roman"/>
          <w:szCs w:val="24"/>
        </w:rPr>
        <w:t xml:space="preserve">Other than the participant’s email address, no other social media profile identifiers will be collected through the social media recruitment. </w:t>
      </w:r>
      <w:r>
        <w:rPr>
          <w:rFonts w:ascii="Times New Roman" w:eastAsia="Times New Roman" w:hAnsi="Times New Roman" w:cs="Times New Roman"/>
          <w:szCs w:val="24"/>
        </w:rPr>
        <w:t>PII will be stored separately from any survey responses</w:t>
      </w:r>
      <w:r w:rsidR="001B0020">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rsidR="00583432" w:rsidRPr="008265FC" w:rsidP="00A35C6D"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P="00BE1FCB" w14:paraId="6BD6427F" w14:textId="3190019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 xml:space="preserve">Overview of Voluntary Participation </w:t>
      </w:r>
    </w:p>
    <w:p w:rsidR="002E35CB" w:rsidRPr="008265FC" w:rsidP="00BE1FCB" w14:paraId="7C98F6E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8265FC" w:rsidP="00BE1FCB" w14:paraId="15C1E80B" w14:textId="00A526E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Potential participants</w:t>
      </w:r>
      <w:r w:rsidRPr="008265FC">
        <w:rPr>
          <w:rFonts w:ascii="Times New Roman" w:eastAsia="Times New Roman" w:hAnsi="Times New Roman" w:cs="Times New Roman"/>
          <w:szCs w:val="24"/>
        </w:rPr>
        <w:t xml:space="preserve"> will be advised of the nature of the survey, the length of time it will require, and that participation is voluntary. </w:t>
      </w:r>
      <w:r>
        <w:rPr>
          <w:rFonts w:ascii="Times New Roman" w:eastAsia="Times New Roman" w:hAnsi="Times New Roman" w:cs="Times New Roman"/>
          <w:szCs w:val="24"/>
        </w:rPr>
        <w:t>Participants</w:t>
      </w:r>
      <w:r w:rsidRPr="008265FC">
        <w:rPr>
          <w:rFonts w:ascii="Times New Roman" w:eastAsia="Times New Roman" w:hAnsi="Times New Roman" w:cs="Times New Roman"/>
          <w:szCs w:val="24"/>
        </w:rPr>
        <w:t xml:space="preserve"> will be assured that they will incur no penalties if t</w:t>
      </w:r>
      <w:r>
        <w:rPr>
          <w:rFonts w:ascii="Times New Roman" w:eastAsia="Times New Roman" w:hAnsi="Times New Roman" w:cs="Times New Roman"/>
          <w:szCs w:val="24"/>
        </w:rPr>
        <w:t>hey wish not to respond to the data</w:t>
      </w:r>
      <w:r w:rsidRPr="008265FC">
        <w:rPr>
          <w:rFonts w:ascii="Times New Roman" w:eastAsia="Times New Roman" w:hAnsi="Times New Roman" w:cs="Times New Roman"/>
          <w:szCs w:val="24"/>
        </w:rPr>
        <w:t xml:space="preserve"> collection as a whole or to any specific questions. </w:t>
      </w:r>
      <w:r>
        <w:rPr>
          <w:rFonts w:ascii="Times New Roman" w:eastAsia="Times New Roman" w:hAnsi="Times New Roman" w:cs="Times New Roman"/>
          <w:szCs w:val="24"/>
        </w:rPr>
        <w:t xml:space="preserve">Participants </w:t>
      </w:r>
      <w:r w:rsidRPr="008265FC">
        <w:rPr>
          <w:rFonts w:ascii="Times New Roman" w:eastAsia="Times New Roman" w:hAnsi="Times New Roman" w:cs="Times New Roman"/>
          <w:szCs w:val="24"/>
        </w:rPr>
        <w:t xml:space="preserve">will have the option to decline to respond to any item in the survey for any reason and may drop </w:t>
      </w:r>
      <w:r>
        <w:rPr>
          <w:rFonts w:ascii="Times New Roman" w:eastAsia="Times New Roman" w:hAnsi="Times New Roman" w:cs="Times New Roman"/>
          <w:szCs w:val="24"/>
        </w:rPr>
        <w:t xml:space="preserve">out of the survey at any time. </w:t>
      </w:r>
      <w:r w:rsidRPr="008265FC">
        <w:rPr>
          <w:rFonts w:ascii="Times New Roman" w:eastAsia="Times New Roman" w:hAnsi="Times New Roman" w:cs="Times New Roman"/>
          <w:szCs w:val="24"/>
        </w:rPr>
        <w:t xml:space="preserve">These procedures conform to ethical practices for collecting data from human participants. </w:t>
      </w:r>
    </w:p>
    <w:p w:rsidR="00BE1FCB" w:rsidP="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P="00BE1FCB" w14:paraId="66406E8F" w14:textId="13451D5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Overview of Data Security</w:t>
      </w:r>
    </w:p>
    <w:p w:rsidR="002E35CB" w:rsidRPr="008265FC" w:rsidP="00BE1FCB" w14:paraId="5D8269C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A35C6D" w:rsidRPr="00A35C6D" w:rsidP="00A35C6D" w14:paraId="649AC07E" w14:textId="62624C0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A35C6D">
        <w:rPr>
          <w:rFonts w:ascii="Times New Roman" w:eastAsia="Times New Roman" w:hAnsi="Times New Roman" w:cs="Times New Roman"/>
          <w:szCs w:val="24"/>
        </w:rPr>
        <w:t xml:space="preserve">E-mail addresses </w:t>
      </w:r>
      <w:r w:rsidR="00D2633C">
        <w:rPr>
          <w:rFonts w:ascii="Times New Roman" w:eastAsia="Times New Roman" w:hAnsi="Times New Roman" w:cs="Times New Roman"/>
          <w:szCs w:val="24"/>
        </w:rPr>
        <w:t xml:space="preserve">and birthdate </w:t>
      </w:r>
      <w:r w:rsidRPr="00A35C6D">
        <w:rPr>
          <w:rFonts w:ascii="Times New Roman" w:eastAsia="Times New Roman" w:hAnsi="Times New Roman" w:cs="Times New Roman"/>
          <w:szCs w:val="24"/>
        </w:rPr>
        <w:t xml:space="preserve">will </w:t>
      </w:r>
      <w:r w:rsidR="00D2633C">
        <w:rPr>
          <w:rFonts w:ascii="Times New Roman" w:eastAsia="Times New Roman" w:hAnsi="Times New Roman" w:cs="Times New Roman"/>
          <w:szCs w:val="24"/>
        </w:rPr>
        <w:t xml:space="preserve">each </w:t>
      </w:r>
      <w:r w:rsidRPr="00A35C6D">
        <w:rPr>
          <w:rFonts w:ascii="Times New Roman" w:eastAsia="Times New Roman" w:hAnsi="Times New Roman" w:cs="Times New Roman"/>
          <w:szCs w:val="24"/>
        </w:rPr>
        <w:t xml:space="preserve">be collected </w:t>
      </w:r>
      <w:r w:rsidR="00D2633C">
        <w:rPr>
          <w:rFonts w:ascii="Times New Roman" w:eastAsia="Times New Roman" w:hAnsi="Times New Roman" w:cs="Times New Roman"/>
          <w:szCs w:val="24"/>
        </w:rPr>
        <w:t xml:space="preserve">separately </w:t>
      </w:r>
      <w:r w:rsidRPr="00A35C6D">
        <w:rPr>
          <w:rFonts w:ascii="Times New Roman" w:eastAsia="Times New Roman" w:hAnsi="Times New Roman" w:cs="Times New Roman"/>
          <w:szCs w:val="24"/>
        </w:rPr>
        <w:t xml:space="preserve">in the Qualtrics survey platform and stored in </w:t>
      </w:r>
      <w:r w:rsidR="00D2633C">
        <w:rPr>
          <w:rFonts w:ascii="Times New Roman" w:eastAsia="Times New Roman" w:hAnsi="Times New Roman" w:cs="Times New Roman"/>
          <w:szCs w:val="24"/>
        </w:rPr>
        <w:t xml:space="preserve">separate </w:t>
      </w:r>
      <w:r w:rsidRPr="00A35C6D">
        <w:rPr>
          <w:rFonts w:ascii="Times New Roman" w:eastAsia="Times New Roman" w:hAnsi="Times New Roman" w:cs="Times New Roman"/>
          <w:szCs w:val="24"/>
        </w:rPr>
        <w:t>isolated survey</w:t>
      </w:r>
      <w:r w:rsidR="00D2633C">
        <w:rPr>
          <w:rFonts w:ascii="Times New Roman" w:eastAsia="Times New Roman" w:hAnsi="Times New Roman" w:cs="Times New Roman"/>
          <w:szCs w:val="24"/>
        </w:rPr>
        <w:t>s</w:t>
      </w:r>
      <w:r w:rsidRPr="00A35C6D">
        <w:rPr>
          <w:rFonts w:ascii="Times New Roman" w:eastAsia="Times New Roman" w:hAnsi="Times New Roman" w:cs="Times New Roman"/>
          <w:szCs w:val="24"/>
        </w:rPr>
        <w:t xml:space="preserve"> that will contain a RTI-assigned unique ID and email address</w:t>
      </w:r>
      <w:r w:rsidR="00D2633C">
        <w:rPr>
          <w:rFonts w:ascii="Times New Roman" w:eastAsia="Times New Roman" w:hAnsi="Times New Roman" w:cs="Times New Roman"/>
          <w:szCs w:val="24"/>
        </w:rPr>
        <w:t xml:space="preserve"> or birthdate</w:t>
      </w:r>
      <w:r w:rsidRPr="00A35C6D">
        <w:rPr>
          <w:rFonts w:ascii="Times New Roman" w:eastAsia="Times New Roman" w:hAnsi="Times New Roman" w:cs="Times New Roman"/>
          <w:szCs w:val="24"/>
        </w:rPr>
        <w:t>. IP address will be collected in the survey platform in an isolated survey that contains IP address, RTI-assigned unique ID, and screener responses. Responses to the body of the survey will be collected in the Qualtrics survey platform and stored in an isolated survey. IP address</w:t>
      </w:r>
      <w:r w:rsidR="00D2633C">
        <w:rPr>
          <w:rFonts w:ascii="Times New Roman" w:eastAsia="Times New Roman" w:hAnsi="Times New Roman" w:cs="Times New Roman"/>
          <w:szCs w:val="24"/>
        </w:rPr>
        <w:t xml:space="preserve">, </w:t>
      </w:r>
      <w:r w:rsidRPr="00A35C6D">
        <w:rPr>
          <w:rFonts w:ascii="Times New Roman" w:eastAsia="Times New Roman" w:hAnsi="Times New Roman" w:cs="Times New Roman"/>
          <w:szCs w:val="24"/>
        </w:rPr>
        <w:t>e-mail address</w:t>
      </w:r>
      <w:r w:rsidR="00D2633C">
        <w:rPr>
          <w:rFonts w:ascii="Times New Roman" w:eastAsia="Times New Roman" w:hAnsi="Times New Roman" w:cs="Times New Roman"/>
          <w:szCs w:val="24"/>
        </w:rPr>
        <w:t>, and birthdate</w:t>
      </w:r>
      <w:r w:rsidRPr="00A35C6D">
        <w:rPr>
          <w:rFonts w:ascii="Times New Roman" w:eastAsia="Times New Roman" w:hAnsi="Times New Roman" w:cs="Times New Roman"/>
          <w:szCs w:val="24"/>
        </w:rPr>
        <w:t xml:space="preserve"> will not be collected in the same file. </w:t>
      </w:r>
    </w:p>
    <w:p w:rsidR="00A35C6D" w:rsidRPr="00A35C6D" w:rsidP="00A35C6D"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A35C6D">
        <w:rPr>
          <w:rFonts w:ascii="Times New Roman" w:eastAsia="Times New Roman" w:hAnsi="Times New Roman" w:cs="Times New Roman"/>
          <w:szCs w:val="24"/>
        </w:rPr>
        <w:tab/>
      </w:r>
    </w:p>
    <w:p w:rsidR="00A35C6D" w:rsidRPr="00A35C6D" w:rsidP="00A35C6D" w14:paraId="2C1220A7" w14:textId="142B16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A35C6D">
        <w:rPr>
          <w:rFonts w:ascii="Times New Roman" w:eastAsia="Times New Roman" w:hAnsi="Times New Roman" w:cs="Times New Roman"/>
          <w:szCs w:val="24"/>
        </w:rPr>
        <w:t xml:space="preserve">All </w:t>
      </w:r>
      <w:r w:rsidR="00D2633C">
        <w:rPr>
          <w:rFonts w:ascii="Times New Roman" w:eastAsia="Times New Roman" w:hAnsi="Times New Roman" w:cs="Times New Roman"/>
          <w:szCs w:val="24"/>
        </w:rPr>
        <w:t>four</w:t>
      </w:r>
      <w:r w:rsidRPr="00A35C6D">
        <w:rPr>
          <w:rFonts w:ascii="Times New Roman" w:eastAsia="Times New Roman" w:hAnsi="Times New Roman" w:cs="Times New Roman"/>
          <w:szCs w:val="24"/>
        </w:rPr>
        <w:t xml:space="preserve"> survey data files (IP address, e-mail, </w:t>
      </w:r>
      <w:r w:rsidR="00D2633C">
        <w:rPr>
          <w:rFonts w:ascii="Times New Roman" w:eastAsia="Times New Roman" w:hAnsi="Times New Roman" w:cs="Times New Roman"/>
          <w:szCs w:val="24"/>
        </w:rPr>
        <w:t xml:space="preserve">birthdate, </w:t>
      </w:r>
      <w:r w:rsidRPr="00A35C6D">
        <w:rPr>
          <w:rFonts w:ascii="Times New Roman" w:eastAsia="Times New Roman" w:hAnsi="Times New Roman" w:cs="Times New Roman"/>
          <w:szCs w:val="24"/>
        </w:rPr>
        <w:t xml:space="preserve">and survey responses) will be downloaded separately from Qualtrics (which requires a password). Since the </w:t>
      </w:r>
      <w:r w:rsidRPr="00927E99" w:rsidR="00927E99">
        <w:rPr>
          <w:rFonts w:ascii="Times New Roman" w:eastAsia="Times New Roman" w:hAnsi="Times New Roman" w:cs="Times New Roman"/>
          <w:szCs w:val="24"/>
        </w:rPr>
        <w:t xml:space="preserve">FIPS 199 </w:t>
      </w:r>
      <w:r w:rsidRPr="00A35C6D">
        <w:rPr>
          <w:rFonts w:ascii="Times New Roman" w:eastAsia="Times New Roman" w:hAnsi="Times New Roman" w:cs="Times New Roman"/>
          <w:szCs w:val="24"/>
        </w:rPr>
        <w:t xml:space="preserve">does not permit access to the internet (and downloading the data from Qualtrics requires an internet connection), the </w:t>
      </w:r>
      <w:r w:rsidR="00D2633C">
        <w:rPr>
          <w:rFonts w:ascii="Times New Roman" w:eastAsia="Times New Roman" w:hAnsi="Times New Roman" w:cs="Times New Roman"/>
          <w:szCs w:val="24"/>
        </w:rPr>
        <w:t>four</w:t>
      </w:r>
      <w:r w:rsidRPr="00A35C6D">
        <w:rPr>
          <w:rFonts w:ascii="Times New Roman" w:eastAsia="Times New Roman" w:hAnsi="Times New Roman" w:cs="Times New Roman"/>
          <w:szCs w:val="24"/>
        </w:rPr>
        <w:t xml:space="preserve"> files will be downloaded to the secure RTI study share drive and stored on the study share drive for no more than 24 hours after download. Study staff will be given as-needed access to the data files on the share during that 24-hour period to conduct fraud detection procedures, at which point data from the individual will be combined to check for fraudulent responses. </w:t>
      </w:r>
    </w:p>
    <w:p w:rsidR="00A35C6D" w:rsidRPr="00A35C6D" w:rsidP="00A35C6D"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A35C6D">
        <w:rPr>
          <w:rFonts w:ascii="Times New Roman" w:eastAsia="Times New Roman" w:hAnsi="Times New Roman" w:cs="Times New Roman"/>
          <w:szCs w:val="24"/>
        </w:rPr>
        <w:tab/>
      </w:r>
    </w:p>
    <w:p w:rsidR="00BE1FCB" w:rsidP="00A35C6D" w14:paraId="7A81EE34" w14:textId="7E46D12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A35C6D">
        <w:rPr>
          <w:rFonts w:ascii="Times New Roman" w:eastAsia="Times New Roman" w:hAnsi="Times New Roman" w:cs="Times New Roman"/>
          <w:szCs w:val="24"/>
        </w:rPr>
        <w:t xml:space="preserve">At the end of data collection, a member of the </w:t>
      </w:r>
      <w:r w:rsidR="00A52909">
        <w:rPr>
          <w:rFonts w:ascii="Times New Roman" w:eastAsia="Times New Roman" w:hAnsi="Times New Roman" w:cs="Times New Roman"/>
          <w:szCs w:val="24"/>
        </w:rPr>
        <w:t xml:space="preserve">RTI </w:t>
      </w:r>
      <w:r w:rsidRPr="00A35C6D">
        <w:rPr>
          <w:rFonts w:ascii="Times New Roman" w:eastAsia="Times New Roman" w:hAnsi="Times New Roman" w:cs="Times New Roman"/>
          <w:szCs w:val="24"/>
        </w:rPr>
        <w:t xml:space="preserve">project staff will export the data from the survey and out of the </w:t>
      </w:r>
      <w:r w:rsidRPr="00D43F21" w:rsidR="00D43F21">
        <w:rPr>
          <w:rFonts w:ascii="Times New Roman" w:eastAsia="Times New Roman" w:hAnsi="Times New Roman" w:cs="Times New Roman"/>
          <w:szCs w:val="24"/>
        </w:rPr>
        <w:t>FIPS 199</w:t>
      </w:r>
      <w:r w:rsidRPr="00A35C6D">
        <w:rPr>
          <w:rFonts w:ascii="Times New Roman" w:eastAsia="Times New Roman" w:hAnsi="Times New Roman" w:cs="Times New Roman"/>
          <w:szCs w:val="24"/>
        </w:rPr>
        <w:t>,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00D54A74" w:rsidP="00A35C6D" w14:paraId="4C0EBD5F" w14:textId="10EA83B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659C4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9" w:name="_Toc239649232"/>
      <w:r>
        <w:rPr>
          <w:rFonts w:ascii="Times New Roman" w:eastAsia="Times New Roman" w:hAnsi="Times New Roman" w:cs="Times New Roman"/>
          <w:b/>
          <w:bCs/>
          <w:szCs w:val="24"/>
        </w:rPr>
        <w:t xml:space="preserve">11. </w:t>
      </w:r>
      <w:r w:rsidRPr="008265FC">
        <w:rPr>
          <w:rFonts w:ascii="Times New Roman" w:eastAsia="Times New Roman" w:hAnsi="Times New Roman" w:cs="Times New Roman"/>
          <w:b/>
          <w:bCs/>
          <w:szCs w:val="24"/>
          <w:u w:val="single"/>
        </w:rPr>
        <w:t>Justification for Sensitive Questions</w:t>
      </w:r>
      <w:bookmarkEnd w:id="19"/>
    </w:p>
    <w:p w:rsidR="00BE1FCB" w:rsidRPr="008265FC" w:rsidP="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785196C4" w14:paraId="2E6C37E6" w14:textId="74FE9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785196C4">
        <w:rPr>
          <w:rFonts w:ascii="Times New Roman" w:eastAsia="Times New Roman" w:hAnsi="Times New Roman" w:cs="Times New Roman"/>
        </w:rPr>
        <w:t>The majority of questions asked will not be of a sensitive nature. However, it will be necessary to ask some questions that may be considered to be of a sensitive nature in order to assess specific health behaviors such as tobacco product use</w:t>
      </w:r>
      <w:r w:rsidRPr="785196C4" w:rsidR="00E371F6">
        <w:rPr>
          <w:rFonts w:ascii="Times New Roman" w:eastAsia="Times New Roman" w:hAnsi="Times New Roman" w:cs="Times New Roman"/>
        </w:rPr>
        <w:t xml:space="preserve"> and </w:t>
      </w:r>
      <w:r w:rsidRPr="785196C4" w:rsidR="00314892">
        <w:rPr>
          <w:rFonts w:ascii="Times New Roman" w:eastAsia="Times New Roman" w:hAnsi="Times New Roman" w:cs="Times New Roman"/>
        </w:rPr>
        <w:t>marijuana use</w:t>
      </w:r>
      <w:r w:rsidRPr="785196C4">
        <w:rPr>
          <w:rFonts w:ascii="Times New Roman" w:eastAsia="Times New Roman" w:hAnsi="Times New Roman" w:cs="Times New Roman"/>
        </w:rPr>
        <w:t>. These questions are essential to the objectives of this data collection. Although we do not anticipate any risks from these health questions, some participants may perceive them to be sensitive. To address any concerns about inadvertent disclosure of sensitive information, participants will be fully informed of the applicable privacy safeguards.</w:t>
      </w:r>
      <w:r w:rsidR="00576167">
        <w:rPr>
          <w:rFonts w:ascii="Times New Roman" w:eastAsia="Times New Roman" w:hAnsi="Times New Roman" w:cs="Times New Roman"/>
        </w:rPr>
        <w:t xml:space="preserve"> </w:t>
      </w:r>
      <w:r w:rsidRPr="785196C4">
        <w:rPr>
          <w:rFonts w:ascii="Times New Roman" w:eastAsia="Times New Roman" w:hAnsi="Times New Roman" w:cs="Times New Roman"/>
        </w:rPr>
        <w:t xml:space="preserve">The informed consent will notify participants that these topics will be covered in the survey. </w:t>
      </w:r>
    </w:p>
    <w:p w:rsidR="00BE1FCB" w:rsidP="785196C4" w14:paraId="5FDBC814" w14:textId="58265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00933813" w14:paraId="7312EF4A" w14:textId="57AF55D6">
      <w:pPr>
        <w:autoSpaceDE w:val="0"/>
        <w:autoSpaceDN w:val="0"/>
        <w:adjustRightInd w:val="0"/>
        <w:ind w:left="180"/>
        <w:rPr>
          <w:rFonts w:ascii="Times New Roman" w:eastAsia="Times New Roman" w:hAnsi="Times New Roman" w:cs="Times New Roman"/>
          <w:szCs w:val="24"/>
        </w:rPr>
      </w:pPr>
      <w:r w:rsidRPr="785196C4">
        <w:rPr>
          <w:rFonts w:ascii="Times New Roman" w:eastAsia="Times New Roman" w:hAnsi="Times New Roman" w:cs="Times New Roman"/>
          <w:szCs w:val="24"/>
        </w:rPr>
        <w:t xml:space="preserve">Collection of detailed demographic information, including race/ethnicity, sexual orientation, and gender identity are necessary in order to assess disparities in tobacco use and possible </w:t>
      </w:r>
      <w:r w:rsidRPr="785196C4">
        <w:rPr>
          <w:rFonts w:ascii="Times New Roman" w:eastAsia="Times New Roman" w:hAnsi="Times New Roman" w:cs="Times New Roman"/>
          <w:szCs w:val="24"/>
        </w:rPr>
        <w:t xml:space="preserve">differences in campaign impact across different populations. Decades of research has shown significant disparities in tobacco use by race/ethnicity (e.g., </w:t>
      </w:r>
      <w:r w:rsidRPr="785196C4">
        <w:rPr>
          <w:rFonts w:ascii="Times New Roman" w:eastAsia="Times New Roman" w:hAnsi="Times New Roman" w:cs="Times New Roman"/>
          <w:color w:val="222222"/>
          <w:szCs w:val="24"/>
        </w:rPr>
        <w:t>Harlow et al., 2019; Odani et al, 2018</w:t>
      </w:r>
      <w:r w:rsidRPr="785196C4">
        <w:rPr>
          <w:rFonts w:ascii="Times New Roman" w:eastAsia="Times New Roman" w:hAnsi="Times New Roman" w:cs="Times New Roman"/>
          <w:szCs w:val="24"/>
        </w:rPr>
        <w:t xml:space="preserve">), gender identity (e.g., Johnson et al, 2019; </w:t>
      </w:r>
      <w:r w:rsidRPr="785196C4">
        <w:rPr>
          <w:rFonts w:ascii="Times New Roman" w:eastAsia="Times New Roman" w:hAnsi="Times New Roman" w:cs="Times New Roman"/>
          <w:color w:val="222222"/>
          <w:szCs w:val="24"/>
        </w:rPr>
        <w:t>Delahanty et al, 2019</w:t>
      </w:r>
      <w:r w:rsidRPr="785196C4">
        <w:rPr>
          <w:rFonts w:ascii="Times New Roman" w:eastAsia="Times New Roman" w:hAnsi="Times New Roman" w:cs="Times New Roman"/>
          <w:szCs w:val="24"/>
        </w:rPr>
        <w:t xml:space="preserve">), and sexual orientation (e.g., Johnson et al, 2019; </w:t>
      </w:r>
      <w:r w:rsidRPr="785196C4">
        <w:rPr>
          <w:rFonts w:ascii="Times New Roman" w:eastAsia="Times New Roman" w:hAnsi="Times New Roman" w:cs="Times New Roman"/>
          <w:color w:val="222222"/>
          <w:szCs w:val="24"/>
        </w:rPr>
        <w:t>McCabe et al., 2018</w:t>
      </w:r>
      <w:r w:rsidRPr="785196C4">
        <w:rPr>
          <w:rFonts w:ascii="Times New Roman" w:eastAsia="Times New Roman" w:hAnsi="Times New Roman" w:cs="Times New Roman"/>
          <w:szCs w:val="24"/>
        </w:rPr>
        <w:t xml:space="preserve">). Therefore, collecting detailed information on these demographic characteristics will allow us to measure these differences with the goal of reducing these disparities. As multiple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785196C4">
        <w:rPr>
          <w:rFonts w:ascii="Times New Roman" w:eastAsia="Times New Roman" w:hAnsi="Times New Roman" w:cs="Times New Roman"/>
          <w:i/>
          <w:iCs/>
          <w:szCs w:val="24"/>
        </w:rPr>
        <w:t xml:space="preserve">This Free Life </w:t>
      </w:r>
      <w:r w:rsidRPr="785196C4">
        <w:rPr>
          <w:rFonts w:ascii="Times New Roman" w:eastAsia="Times New Roman" w:hAnsi="Times New Roman" w:cs="Times New Roman"/>
          <w:szCs w:val="24"/>
        </w:rPr>
        <w:t xml:space="preserve">campaign), </w:t>
      </w:r>
      <w:r w:rsidRPr="00576167">
        <w:rPr>
          <w:rFonts w:ascii="Times New Roman" w:eastAsia="Times New Roman" w:hAnsi="Times New Roman" w:cs="Times New Roman"/>
          <w:szCs w:val="24"/>
        </w:rPr>
        <w:t xml:space="preserve">including gender non-conforming/non-binary response options is necessary to identify and assess tobacco use and campaign effectiveness among this population. Gender identity questions with genderqueer/gender non-conforming/non-binary response options have been approved by OMB for ExPECTT </w:t>
      </w:r>
      <w:r w:rsidRPr="00576167" w:rsidR="00576167">
        <w:rPr>
          <w:rFonts w:ascii="Times New Roman" w:eastAsia="Times New Roman" w:hAnsi="Times New Roman" w:cs="Times New Roman"/>
          <w:szCs w:val="24"/>
        </w:rPr>
        <w:t>(</w:t>
      </w:r>
      <w:r w:rsidRPr="00576167" w:rsidR="00576167">
        <w:rPr>
          <w:rFonts w:ascii="Times New Roman" w:hAnsi="Times New Roman" w:cs="Times New Roman"/>
        </w:rPr>
        <w:t xml:space="preserve">0910-0753) </w:t>
      </w:r>
      <w:r w:rsidRPr="00576167">
        <w:rPr>
          <w:rFonts w:ascii="Times New Roman" w:eastAsia="Times New Roman" w:hAnsi="Times New Roman" w:cs="Times New Roman"/>
          <w:szCs w:val="24"/>
        </w:rPr>
        <w:t>and for RESPECT (0910-0808).</w:t>
      </w:r>
    </w:p>
    <w:p w:rsidR="004A3E11" w:rsidP="00933813" w14:paraId="7C7CCB27" w14:textId="5A8AA442">
      <w:pPr>
        <w:autoSpaceDE w:val="0"/>
        <w:autoSpaceDN w:val="0"/>
        <w:adjustRightInd w:val="0"/>
        <w:ind w:left="180"/>
        <w:rPr>
          <w:rFonts w:ascii="Times New Roman" w:eastAsia="Times New Roman" w:hAnsi="Times New Roman" w:cs="Times New Roman"/>
          <w:szCs w:val="24"/>
        </w:rPr>
      </w:pPr>
    </w:p>
    <w:p w:rsidR="004A3E11" w:rsidRPr="004A3E11" w:rsidP="004A3E11" w14:paraId="3D013292" w14:textId="77777777">
      <w:pPr>
        <w:autoSpaceDE w:val="0"/>
        <w:autoSpaceDN w:val="0"/>
        <w:adjustRightInd w:val="0"/>
        <w:ind w:left="180"/>
        <w:rPr>
          <w:rFonts w:ascii="Times New Roman" w:hAnsi="Times New Roman" w:cs="Times New Roman"/>
        </w:rPr>
      </w:pPr>
      <w:r w:rsidRPr="004A3E11">
        <w:rPr>
          <w:rFonts w:ascii="Times New Roman" w:hAnsi="Times New Roman" w:cs="Times New Roman"/>
        </w:rPr>
        <w:t xml:space="preserve">Furthermore, data the 2021 National Youth Tobacco Survey demonstrates that teens who are sexual or gender minorities have higher cigar (large cigar, little cigar, or cigarillo) use compared to heterosexual teens. While 4.9% of heterosexual teens reported ever use of cigars, 7.9% of gay/lesbian teens, 5.5% of bisexual male teens, and 10.2% of transgender teens reported ever cigar use. Including survey items on sexual orientation and gender identity is necessary to identify our target audience for education activities and address disparities in cigar use.  </w:t>
      </w:r>
    </w:p>
    <w:p w:rsidR="004A3E11" w:rsidP="004A3E11" w14:paraId="13CC5304" w14:textId="0D439CDB">
      <w:pPr>
        <w:autoSpaceDE w:val="0"/>
        <w:autoSpaceDN w:val="0"/>
        <w:adjustRightInd w:val="0"/>
        <w:ind w:left="180"/>
        <w:rPr>
          <w:rFonts w:ascii="Times New Roman" w:hAnsi="Times New Roman" w:cs="Times New Roman"/>
        </w:rPr>
      </w:pPr>
      <w:r w:rsidRPr="004A3E11">
        <w:rPr>
          <w:rFonts w:ascii="Times New Roman" w:hAnsi="Times New Roman" w:cs="Times New Roman"/>
        </w:rPr>
        <w:t>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r w:rsidRPr="004A3E11">
        <w:rPr>
          <w:rFonts w:ascii="Times New Roman" w:hAnsi="Times New Roman" w:cs="Times New Roman"/>
        </w:rPr>
        <w:t>.</w:t>
      </w:r>
    </w:p>
    <w:p w:rsidR="004A3E11" w:rsidP="004A3E11" w14:paraId="75E543D7" w14:textId="7768777A">
      <w:pPr>
        <w:autoSpaceDE w:val="0"/>
        <w:autoSpaceDN w:val="0"/>
        <w:adjustRightInd w:val="0"/>
        <w:ind w:left="180"/>
        <w:rPr>
          <w:rFonts w:ascii="Times New Roman" w:hAnsi="Times New Roman" w:cs="Times New Roman"/>
        </w:rPr>
      </w:pPr>
    </w:p>
    <w:p w:rsidR="004A3E11" w:rsidRPr="004A3E11" w:rsidP="004A3E11" w14:paraId="7DBC8491" w14:textId="317FEF10">
      <w:pPr>
        <w:autoSpaceDE w:val="0"/>
        <w:autoSpaceDN w:val="0"/>
        <w:adjustRightInd w:val="0"/>
        <w:ind w:left="180"/>
        <w:rPr>
          <w:rFonts w:ascii="Times New Roman" w:hAnsi="Times New Roman" w:cs="Times New Roman"/>
        </w:rPr>
      </w:pPr>
      <w:r w:rsidRPr="004A3E11">
        <w:rPr>
          <w:rFonts w:ascii="Times New Roman" w:hAnsi="Times New Roman" w:cs="Times New Roman"/>
        </w:rPr>
        <w:t>Given that teens who are sexual or gender minorities have higher use of cigar products compared to heterosexual and cisgender teens, it’s important for us to capture both sexual and gender identity information to accurately identify our target audience for education activities and address disparities in cigar product use.</w:t>
      </w:r>
    </w:p>
    <w:p w:rsidR="00BE1FCB" w:rsidP="785196C4" w14:paraId="41AA5EE9" w14:textId="02429991">
      <w:pPr>
        <w:autoSpaceDE w:val="0"/>
        <w:autoSpaceDN w:val="0"/>
        <w:adjustRightInd w:val="0"/>
      </w:pPr>
      <w:r w:rsidRPr="785196C4">
        <w:rPr>
          <w:rFonts w:ascii="Times New Roman" w:eastAsia="Times New Roman" w:hAnsi="Times New Roman" w:cs="Times New Roman"/>
          <w:szCs w:val="24"/>
        </w:rPr>
        <w:t xml:space="preserve"> </w:t>
      </w:r>
    </w:p>
    <w:p w:rsidR="00BE1FCB" w:rsidP="00933813" w14:paraId="1206060C" w14:textId="1938B12A">
      <w:pPr>
        <w:autoSpaceDE w:val="0"/>
        <w:autoSpaceDN w:val="0"/>
        <w:adjustRightInd w:val="0"/>
        <w:ind w:left="180"/>
      </w:pPr>
      <w:r w:rsidRPr="785196C4">
        <w:rPr>
          <w:rFonts w:ascii="Times New Roman" w:eastAsia="Times New Roman" w:hAnsi="Times New Roman" w:cs="Times New Roman"/>
          <w:szCs w:val="24"/>
        </w:rPr>
        <w:t>The project team will not conduct or report on statistical analysis for demographic groups for which there is insufficient statistical power.</w:t>
      </w:r>
      <w:r w:rsidRPr="785196C4">
        <w:rPr>
          <w:rFonts w:ascii="Times New Roman" w:eastAsia="Times New Roman" w:hAnsi="Times New Roman" w:cs="Times New Roman"/>
        </w:rPr>
        <w:t xml:space="preserve"> </w:t>
      </w:r>
    </w:p>
    <w:p w:rsidR="00BE1FCB" w:rsidP="785196C4" w14:paraId="2BC6B3CA" w14:textId="58ACA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785196C4" w14:paraId="3197FF68" w14:textId="16F57C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785196C4">
        <w:rPr>
          <w:rFonts w:ascii="Times New Roman" w:eastAsia="Times New Roman" w:hAnsi="Times New Roman" w:cs="Times New Roman"/>
        </w:rPr>
        <w:t>This study includes a number of procedures and methodological characteristics that will minimize potential negative reactions to these types of questions, including the following:</w:t>
      </w:r>
    </w:p>
    <w:p w:rsidR="00BE1FCB" w:rsidP="00BE1FCB" w14:paraId="2F2DFBF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Pr>
          <w:rFonts w:ascii="Times New Roman" w:eastAsia="Times New Roman" w:hAnsi="Times New Roman" w:cs="Times New Roman"/>
          <w:szCs w:val="24"/>
        </w:rPr>
        <w:t xml:space="preserve">Participants </w:t>
      </w:r>
      <w:r w:rsidRPr="00C361E3">
        <w:rPr>
          <w:rFonts w:ascii="Times New Roman" w:eastAsia="Times New Roman" w:hAnsi="Times New Roman" w:cs="Times New Roman"/>
          <w:szCs w:val="24"/>
        </w:rPr>
        <w:t>will be informed that they need not answer any question that makes them feel uncomfortable or that th</w:t>
      </w:r>
      <w:r>
        <w:rPr>
          <w:rFonts w:ascii="Times New Roman" w:eastAsia="Times New Roman" w:hAnsi="Times New Roman" w:cs="Times New Roman"/>
          <w:szCs w:val="24"/>
        </w:rPr>
        <w:t>ey simply do not wish to answer;</w:t>
      </w:r>
    </w:p>
    <w:p w:rsidR="00BE1FCB" w:rsidP="00BE1FCB" w14:paraId="1229167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Web surveys are entirely self-administered and maximize respondent privacy without the need to verbalize responses; and</w:t>
      </w:r>
    </w:p>
    <w:p w:rsidR="00BE1FCB" w:rsidRPr="000F7E48" w:rsidP="00BE1FCB" w14:paraId="4D50A3BC" w14:textId="306E0F32">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Participants will be provided with </w:t>
      </w:r>
      <w:r w:rsidR="006F41BB">
        <w:rPr>
          <w:rFonts w:ascii="Times New Roman" w:eastAsia="Times New Roman" w:hAnsi="Times New Roman" w:cs="Times New Roman"/>
          <w:szCs w:val="24"/>
        </w:rPr>
        <w:t>contact information</w:t>
      </w:r>
      <w:r w:rsidRPr="000F7E48">
        <w:rPr>
          <w:rFonts w:ascii="Times New Roman" w:eastAsia="Times New Roman" w:hAnsi="Times New Roman" w:cs="Times New Roman"/>
          <w:szCs w:val="24"/>
        </w:rPr>
        <w:t xml:space="preserve"> for the </w:t>
      </w:r>
      <w:r>
        <w:rPr>
          <w:rFonts w:ascii="Times New Roman" w:eastAsia="Times New Roman" w:hAnsi="Times New Roman" w:cs="Times New Roman"/>
          <w:szCs w:val="24"/>
        </w:rPr>
        <w:t>Principal Investigator</w:t>
      </w:r>
      <w:r w:rsidRPr="000F7E48">
        <w:rPr>
          <w:rFonts w:ascii="Times New Roman" w:eastAsia="Times New Roman" w:hAnsi="Times New Roman" w:cs="Times New Roman"/>
          <w:szCs w:val="24"/>
        </w:rPr>
        <w:t xml:space="preserve"> should they have any questions or concerns about the study. </w:t>
      </w:r>
    </w:p>
    <w:p w:rsidR="00BE1FCB" w:rsidRPr="008265FC" w:rsidP="00BE1FCB" w14:paraId="29A633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68116A11" w14:textId="4FC342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20" w:name="_Toc239649233"/>
    </w:p>
    <w:p w:rsidR="00BE1FCB" w:rsidRPr="008265FC" w:rsidP="00BE1FCB" w14:paraId="7F1F08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 xml:space="preserve">12.  </w:t>
      </w:r>
      <w:r w:rsidRPr="008265FC">
        <w:rPr>
          <w:rFonts w:ascii="Times New Roman" w:eastAsia="Times New Roman" w:hAnsi="Times New Roman" w:cs="Times New Roman"/>
          <w:b/>
          <w:bCs/>
          <w:szCs w:val="24"/>
          <w:u w:val="single"/>
        </w:rPr>
        <w:t>Estimates of Annualized Burden Hours and Costs</w:t>
      </w:r>
      <w:bookmarkEnd w:id="20"/>
    </w:p>
    <w:p w:rsidR="00BE1FCB" w:rsidRPr="008265FC" w:rsidP="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2A78C6C0" w14:textId="77777777">
      <w:pPr>
        <w:autoSpaceDE w:val="0"/>
        <w:autoSpaceDN w:val="0"/>
        <w:adjustRightInd w:val="0"/>
        <w:ind w:left="180"/>
        <w:rPr>
          <w:rFonts w:ascii="Times New Roman" w:eastAsia="Times New Roman" w:hAnsi="Times New Roman" w:cs="Times New Roman"/>
          <w:szCs w:val="24"/>
        </w:rPr>
      </w:pPr>
      <w:r w:rsidRPr="00810AC2">
        <w:rPr>
          <w:rFonts w:ascii="Times New Roman" w:eastAsia="Times New Roman" w:hAnsi="Times New Roman" w:cs="Times New Roman"/>
          <w:szCs w:val="24"/>
        </w:rPr>
        <w:t xml:space="preserve">12 a. </w:t>
      </w:r>
      <w:r w:rsidRPr="008265FC">
        <w:rPr>
          <w:rFonts w:ascii="Times New Roman" w:eastAsia="Times New Roman" w:hAnsi="Times New Roman" w:cs="Times New Roman"/>
          <w:szCs w:val="24"/>
          <w:u w:val="single"/>
        </w:rPr>
        <w:t>Annualized Hour Burden Estimate</w:t>
      </w:r>
    </w:p>
    <w:p w:rsidR="00810AC2" w:rsidRPr="00E922F8" w:rsidP="00BE1FCB" w14:paraId="77052F2C" w14:textId="77777777">
      <w:pPr>
        <w:autoSpaceDE w:val="0"/>
        <w:autoSpaceDN w:val="0"/>
        <w:adjustRightInd w:val="0"/>
        <w:ind w:left="180"/>
        <w:rPr>
          <w:rFonts w:ascii="Times New Roman" w:eastAsia="Times New Roman" w:hAnsi="Times New Roman" w:cs="Times New Roman"/>
          <w:szCs w:val="24"/>
        </w:rPr>
      </w:pPr>
    </w:p>
    <w:p w:rsidR="00687A00" w:rsidRPr="00E922F8" w:rsidP="00BE1FCB" w14:paraId="766D6B58" w14:textId="26C4B0B4">
      <w:pPr>
        <w:autoSpaceDE w:val="0"/>
        <w:autoSpaceDN w:val="0"/>
        <w:adjustRightInd w:val="0"/>
        <w:ind w:left="180"/>
        <w:rPr>
          <w:rFonts w:ascii="Times New Roman" w:eastAsia="Times New Roman" w:hAnsi="Times New Roman" w:cs="Times New Roman"/>
          <w:szCs w:val="24"/>
        </w:rPr>
      </w:pPr>
      <w:r w:rsidRPr="00BA4EDE">
        <w:rPr>
          <w:rFonts w:ascii="Times New Roman" w:eastAsia="Times New Roman" w:hAnsi="Times New Roman" w:cs="Times New Roman"/>
          <w:szCs w:val="24"/>
        </w:rPr>
        <w:t xml:space="preserve">An estimated one-time reporting burden for this collection will be approximately </w:t>
      </w:r>
      <w:r w:rsidRPr="00BA4EDE" w:rsidR="00732939">
        <w:rPr>
          <w:rFonts w:ascii="Times New Roman" w:eastAsia="Times New Roman" w:hAnsi="Times New Roman" w:cs="Times New Roman"/>
          <w:szCs w:val="24"/>
        </w:rPr>
        <w:t>868</w:t>
      </w:r>
      <w:r w:rsidRPr="00BA4EDE" w:rsidR="00DB54E8">
        <w:rPr>
          <w:rFonts w:ascii="Times New Roman" w:eastAsia="Times New Roman" w:hAnsi="Times New Roman" w:cs="Times New Roman"/>
          <w:szCs w:val="24"/>
        </w:rPr>
        <w:t xml:space="preserve"> </w:t>
      </w:r>
      <w:r w:rsidRPr="00BA4EDE">
        <w:rPr>
          <w:rFonts w:ascii="Times New Roman" w:eastAsia="Times New Roman" w:hAnsi="Times New Roman" w:cs="Times New Roman"/>
          <w:szCs w:val="24"/>
        </w:rPr>
        <w:t>hours (Table 1</w:t>
      </w:r>
      <w:bookmarkStart w:id="21" w:name="_Toc361824170"/>
      <w:r w:rsidRPr="00BA4EDE">
        <w:rPr>
          <w:rFonts w:ascii="Times New Roman" w:eastAsia="Times New Roman" w:hAnsi="Times New Roman" w:cs="Times New Roman"/>
          <w:szCs w:val="24"/>
        </w:rPr>
        <w:t>). This includes the time burden associated with the screener</w:t>
      </w:r>
      <w:r w:rsidRPr="00BA4EDE" w:rsidR="00804FE9">
        <w:rPr>
          <w:rFonts w:ascii="Times New Roman" w:eastAsia="Times New Roman" w:hAnsi="Times New Roman" w:cs="Times New Roman"/>
          <w:szCs w:val="24"/>
        </w:rPr>
        <w:t xml:space="preserve"> </w:t>
      </w:r>
      <w:r w:rsidRPr="00BA4EDE" w:rsidR="00F421E3">
        <w:rPr>
          <w:rFonts w:ascii="Times New Roman" w:eastAsia="Times New Roman" w:hAnsi="Times New Roman" w:cs="Times New Roman"/>
          <w:szCs w:val="24"/>
        </w:rPr>
        <w:t>(2.5 mins per response),</w:t>
      </w:r>
      <w:r w:rsidRPr="00BA4EDE" w:rsidR="00A04FFB">
        <w:rPr>
          <w:rFonts w:ascii="Times New Roman" w:eastAsia="Times New Roman" w:hAnsi="Times New Roman" w:cs="Times New Roman"/>
          <w:szCs w:val="24"/>
        </w:rPr>
        <w:t xml:space="preserve"> </w:t>
      </w:r>
      <w:r w:rsidRPr="00BA4EDE" w:rsidR="00F421E3">
        <w:rPr>
          <w:rFonts w:ascii="Times New Roman" w:eastAsia="Times New Roman" w:hAnsi="Times New Roman" w:cs="Times New Roman"/>
          <w:szCs w:val="24"/>
        </w:rPr>
        <w:t xml:space="preserve">youth assent (2.5 mins per response), </w:t>
      </w:r>
      <w:r w:rsidRPr="00BA4EDE" w:rsidR="00A04FFB">
        <w:rPr>
          <w:rFonts w:ascii="Times New Roman" w:eastAsia="Times New Roman" w:hAnsi="Times New Roman" w:cs="Times New Roman"/>
          <w:szCs w:val="24"/>
        </w:rPr>
        <w:t xml:space="preserve">young adult consent (2.5 mins per response), </w:t>
      </w:r>
      <w:r w:rsidRPr="00BA4EDE" w:rsidR="00F421E3">
        <w:rPr>
          <w:rFonts w:ascii="Times New Roman" w:eastAsia="Times New Roman" w:hAnsi="Times New Roman" w:cs="Times New Roman"/>
          <w:szCs w:val="24"/>
        </w:rPr>
        <w:t>and survey (15 mins per response)</w:t>
      </w:r>
      <w:r w:rsidRPr="00BA4EDE">
        <w:rPr>
          <w:rFonts w:ascii="Times New Roman" w:eastAsia="Times New Roman" w:hAnsi="Times New Roman" w:cs="Times New Roman"/>
          <w:szCs w:val="24"/>
        </w:rPr>
        <w:t xml:space="preserve">. </w:t>
      </w:r>
      <w:bookmarkStart w:id="22" w:name="_Hlk45028396"/>
      <w:r w:rsidRPr="00BA4EDE" w:rsidR="003F6F63">
        <w:rPr>
          <w:rFonts w:ascii="Times New Roman" w:eastAsia="Times New Roman" w:hAnsi="Times New Roman" w:cs="Times New Roman"/>
          <w:szCs w:val="24"/>
        </w:rPr>
        <w:t xml:space="preserve">We will obtain a final sample size of </w:t>
      </w:r>
      <w:r w:rsidRPr="00BA4EDE" w:rsidR="001F326C">
        <w:rPr>
          <w:rFonts w:ascii="Times New Roman" w:eastAsia="Times New Roman" w:hAnsi="Times New Roman" w:cs="Times New Roman"/>
          <w:szCs w:val="24"/>
        </w:rPr>
        <w:t>1,5</w:t>
      </w:r>
      <w:r w:rsidRPr="00BA4EDE" w:rsidR="00BA4EDE">
        <w:rPr>
          <w:rFonts w:ascii="Times New Roman" w:eastAsia="Times New Roman" w:hAnsi="Times New Roman" w:cs="Times New Roman"/>
          <w:szCs w:val="24"/>
        </w:rPr>
        <w:t>5</w:t>
      </w:r>
      <w:r w:rsidRPr="00BA4EDE" w:rsidR="001F326C">
        <w:rPr>
          <w:rFonts w:ascii="Times New Roman" w:eastAsia="Times New Roman" w:hAnsi="Times New Roman" w:cs="Times New Roman"/>
          <w:szCs w:val="24"/>
        </w:rPr>
        <w:t>0</w:t>
      </w:r>
      <w:r w:rsidRPr="00BA4EDE" w:rsidR="00D00DCC">
        <w:rPr>
          <w:rFonts w:ascii="Times New Roman" w:eastAsia="Times New Roman" w:hAnsi="Times New Roman" w:cs="Times New Roman"/>
          <w:szCs w:val="24"/>
        </w:rPr>
        <w:t xml:space="preserve"> participants</w:t>
      </w:r>
      <w:r w:rsidRPr="00BA4EDE" w:rsidR="00F421E3">
        <w:rPr>
          <w:rFonts w:ascii="Times New Roman" w:eastAsia="Times New Roman" w:hAnsi="Times New Roman" w:cs="Times New Roman"/>
          <w:szCs w:val="24"/>
        </w:rPr>
        <w:t xml:space="preserve"> </w:t>
      </w:r>
      <w:r w:rsidRPr="00BA4EDE" w:rsidR="00D00DCC">
        <w:rPr>
          <w:rFonts w:ascii="Times New Roman" w:eastAsia="Times New Roman" w:hAnsi="Times New Roman" w:cs="Times New Roman"/>
          <w:szCs w:val="24"/>
        </w:rPr>
        <w:t>(</w:t>
      </w:r>
      <w:r w:rsidRPr="00BA4EDE" w:rsidR="001F326C">
        <w:rPr>
          <w:rFonts w:ascii="Times New Roman" w:eastAsia="Times New Roman" w:hAnsi="Times New Roman" w:cs="Times New Roman"/>
          <w:szCs w:val="24"/>
        </w:rPr>
        <w:t>7</w:t>
      </w:r>
      <w:r w:rsidRPr="00BA4EDE" w:rsidR="00BA4EDE">
        <w:rPr>
          <w:rFonts w:ascii="Times New Roman" w:eastAsia="Times New Roman" w:hAnsi="Times New Roman" w:cs="Times New Roman"/>
          <w:szCs w:val="24"/>
        </w:rPr>
        <w:t>75</w:t>
      </w:r>
      <w:r w:rsidR="00AC0B1E">
        <w:rPr>
          <w:rFonts w:ascii="Times New Roman" w:eastAsia="Times New Roman" w:hAnsi="Times New Roman" w:cs="Times New Roman"/>
          <w:szCs w:val="24"/>
        </w:rPr>
        <w:t xml:space="preserve"> </w:t>
      </w:r>
      <w:r w:rsidRPr="00BA4EDE" w:rsidR="003F6F63">
        <w:rPr>
          <w:rFonts w:ascii="Times New Roman" w:eastAsia="Times New Roman" w:hAnsi="Times New Roman" w:cs="Times New Roman"/>
          <w:szCs w:val="24"/>
        </w:rPr>
        <w:t xml:space="preserve">youth and </w:t>
      </w:r>
      <w:r w:rsidRPr="00BA4EDE" w:rsidR="001F326C">
        <w:rPr>
          <w:rFonts w:ascii="Times New Roman" w:eastAsia="Times New Roman" w:hAnsi="Times New Roman" w:cs="Times New Roman"/>
          <w:szCs w:val="24"/>
        </w:rPr>
        <w:t>7</w:t>
      </w:r>
      <w:r w:rsidRPr="00BA4EDE" w:rsidR="00BA4EDE">
        <w:rPr>
          <w:rFonts w:ascii="Times New Roman" w:eastAsia="Times New Roman" w:hAnsi="Times New Roman" w:cs="Times New Roman"/>
          <w:szCs w:val="24"/>
        </w:rPr>
        <w:t>75</w:t>
      </w:r>
      <w:r w:rsidRPr="00BA4EDE" w:rsidR="00D00DCC">
        <w:rPr>
          <w:rFonts w:ascii="Times New Roman" w:eastAsia="Times New Roman" w:hAnsi="Times New Roman" w:cs="Times New Roman"/>
          <w:szCs w:val="24"/>
        </w:rPr>
        <w:t xml:space="preserve"> </w:t>
      </w:r>
      <w:r w:rsidRPr="00BA4EDE" w:rsidR="003F6F63">
        <w:rPr>
          <w:rFonts w:ascii="Times New Roman" w:eastAsia="Times New Roman" w:hAnsi="Times New Roman" w:cs="Times New Roman"/>
          <w:szCs w:val="24"/>
        </w:rPr>
        <w:t>young adults</w:t>
      </w:r>
      <w:r w:rsidRPr="00BA4EDE" w:rsidR="00D00DCC">
        <w:rPr>
          <w:rFonts w:ascii="Times New Roman" w:eastAsia="Times New Roman" w:hAnsi="Times New Roman" w:cs="Times New Roman"/>
          <w:szCs w:val="24"/>
        </w:rPr>
        <w:t>)</w:t>
      </w:r>
      <w:r w:rsidRPr="00BA4EDE" w:rsidR="003F6F63">
        <w:rPr>
          <w:rFonts w:ascii="Times New Roman" w:eastAsia="Times New Roman" w:hAnsi="Times New Roman" w:cs="Times New Roman"/>
          <w:szCs w:val="24"/>
        </w:rPr>
        <w:t>.</w:t>
      </w:r>
      <w:bookmarkEnd w:id="22"/>
      <w:r w:rsidRPr="00BA4EDE" w:rsidR="003F6F63">
        <w:rPr>
          <w:rFonts w:ascii="Times New Roman" w:eastAsia="Times New Roman" w:hAnsi="Times New Roman" w:cs="Times New Roman"/>
          <w:szCs w:val="24"/>
        </w:rPr>
        <w:t xml:space="preserve"> </w:t>
      </w:r>
      <w:bookmarkStart w:id="23" w:name="_Hlk45028509"/>
      <w:r w:rsidRPr="00BA4EDE" w:rsidR="00283FAE">
        <w:rPr>
          <w:rFonts w:ascii="Times New Roman" w:eastAsia="Times New Roman" w:hAnsi="Times New Roman" w:cs="Times New Roman"/>
          <w:szCs w:val="24"/>
        </w:rPr>
        <w:t>W</w:t>
      </w:r>
      <w:r w:rsidRPr="00BA4EDE">
        <w:rPr>
          <w:rFonts w:ascii="Times New Roman" w:eastAsia="Times New Roman" w:hAnsi="Times New Roman" w:cs="Times New Roman"/>
          <w:szCs w:val="24"/>
        </w:rPr>
        <w:t xml:space="preserve">e will need to screen approximately </w:t>
      </w:r>
      <w:r w:rsidRPr="00BA4EDE" w:rsidR="00BA4EDE">
        <w:rPr>
          <w:rFonts w:ascii="Times New Roman" w:eastAsia="Times New Roman" w:hAnsi="Times New Roman" w:cs="Times New Roman"/>
          <w:szCs w:val="24"/>
        </w:rPr>
        <w:t>10,000</w:t>
      </w:r>
      <w:r w:rsidRPr="00BA4EDE" w:rsidR="00E535FC">
        <w:rPr>
          <w:rFonts w:ascii="Times New Roman" w:eastAsia="Times New Roman" w:hAnsi="Times New Roman" w:cs="Times New Roman"/>
          <w:szCs w:val="24"/>
        </w:rPr>
        <w:t xml:space="preserve"> </w:t>
      </w:r>
      <w:r w:rsidRPr="00BA4EDE" w:rsidR="00BB26F6">
        <w:rPr>
          <w:rFonts w:ascii="Times New Roman" w:eastAsia="Times New Roman" w:hAnsi="Times New Roman" w:cs="Times New Roman"/>
          <w:szCs w:val="24"/>
        </w:rPr>
        <w:t xml:space="preserve">potential participants </w:t>
      </w:r>
      <w:r w:rsidRPr="00BA4EDE" w:rsidR="00E535FC">
        <w:rPr>
          <w:rFonts w:ascii="Times New Roman" w:eastAsia="Times New Roman" w:hAnsi="Times New Roman" w:cs="Times New Roman"/>
          <w:szCs w:val="24"/>
        </w:rPr>
        <w:t>(</w:t>
      </w:r>
      <w:r w:rsidRPr="00BA4EDE" w:rsidR="00BA4EDE">
        <w:rPr>
          <w:rFonts w:ascii="Times New Roman" w:eastAsia="Times New Roman" w:hAnsi="Times New Roman" w:cs="Times New Roman"/>
          <w:szCs w:val="24"/>
        </w:rPr>
        <w:t>5,000</w:t>
      </w:r>
      <w:r w:rsidRPr="00BA4EDE" w:rsidR="00E535FC">
        <w:rPr>
          <w:rFonts w:ascii="Times New Roman" w:eastAsia="Times New Roman" w:hAnsi="Times New Roman" w:cs="Times New Roman"/>
          <w:szCs w:val="24"/>
        </w:rPr>
        <w:t xml:space="preserve"> youth and </w:t>
      </w:r>
      <w:r w:rsidRPr="00BA4EDE" w:rsidR="00BA4EDE">
        <w:rPr>
          <w:rFonts w:ascii="Times New Roman" w:eastAsia="Times New Roman" w:hAnsi="Times New Roman" w:cs="Times New Roman"/>
          <w:szCs w:val="24"/>
        </w:rPr>
        <w:t>5,000</w:t>
      </w:r>
      <w:r w:rsidRPr="00BA4EDE" w:rsidR="00E535FC">
        <w:rPr>
          <w:rFonts w:ascii="Times New Roman" w:eastAsia="Times New Roman" w:hAnsi="Times New Roman" w:cs="Times New Roman"/>
          <w:szCs w:val="24"/>
        </w:rPr>
        <w:t xml:space="preserve"> young adults)</w:t>
      </w:r>
      <w:r w:rsidRPr="00BA4EDE" w:rsidR="00A023ED">
        <w:rPr>
          <w:rFonts w:ascii="Times New Roman" w:eastAsia="Times New Roman" w:hAnsi="Times New Roman" w:cs="Times New Roman"/>
          <w:szCs w:val="24"/>
        </w:rPr>
        <w:t xml:space="preserve"> </w:t>
      </w:r>
      <w:r w:rsidRPr="00BA4EDE" w:rsidR="00F101D8">
        <w:rPr>
          <w:rFonts w:ascii="Times New Roman" w:eastAsia="Times New Roman" w:hAnsi="Times New Roman" w:cs="Times New Roman"/>
          <w:szCs w:val="24"/>
        </w:rPr>
        <w:t>to obtain our target sample size</w:t>
      </w:r>
      <w:r w:rsidRPr="00BA4EDE">
        <w:rPr>
          <w:rFonts w:ascii="Times New Roman" w:eastAsia="Times New Roman" w:hAnsi="Times New Roman" w:cs="Times New Roman"/>
          <w:szCs w:val="24"/>
        </w:rPr>
        <w:t>.</w:t>
      </w:r>
      <w:r w:rsidRPr="00E922F8">
        <w:rPr>
          <w:rFonts w:ascii="Times New Roman" w:eastAsia="Times New Roman" w:hAnsi="Times New Roman" w:cs="Times New Roman"/>
          <w:szCs w:val="24"/>
        </w:rPr>
        <w:t xml:space="preserve"> </w:t>
      </w:r>
      <w:bookmarkEnd w:id="23"/>
    </w:p>
    <w:p w:rsidR="00687A00" w14:paraId="6617C801" w14:textId="71BCA5C6">
      <w:pPr>
        <w:spacing w:after="160" w:line="259" w:lineRule="auto"/>
        <w:rPr>
          <w:rFonts w:ascii="Times New Roman" w:eastAsia="Times New Roman" w:hAnsi="Times New Roman" w:cs="Times New Roman"/>
          <w:szCs w:val="24"/>
        </w:rPr>
      </w:pPr>
    </w:p>
    <w:p w:rsidR="00BE1FCB" w:rsidRPr="008265FC" w:rsidP="00BE1FCB" w14:paraId="6E572B79" w14:textId="5B92C8DE">
      <w:pPr>
        <w:autoSpaceDE w:val="0"/>
        <w:autoSpaceDN w:val="0"/>
        <w:adjustRightInd w:val="0"/>
        <w:ind w:left="180"/>
        <w:rPr>
          <w:rFonts w:ascii="Times New Roman" w:eastAsia="Times New Roman" w:hAnsi="Times New Roman" w:cs="Times New Roman"/>
          <w:b/>
          <w:szCs w:val="24"/>
          <w:vertAlign w:val="superscript"/>
        </w:rPr>
      </w:pPr>
      <w:r>
        <w:rPr>
          <w:rFonts w:ascii="Times New Roman" w:eastAsia="Times New Roman" w:hAnsi="Times New Roman" w:cs="Times New Roman"/>
          <w:b/>
          <w:szCs w:val="24"/>
        </w:rPr>
        <w:t xml:space="preserve">Table 1. </w:t>
      </w:r>
      <w:r w:rsidRPr="008265FC">
        <w:rPr>
          <w:rFonts w:ascii="Times New Roman" w:eastAsia="Times New Roman" w:hAnsi="Times New Roman" w:cs="Times New Roman"/>
          <w:b/>
          <w:szCs w:val="24"/>
        </w:rPr>
        <w:t>Estimated Annual Reporting Burden</w:t>
      </w:r>
      <w:bookmarkEnd w:id="21"/>
    </w:p>
    <w:tbl>
      <w:tblPr>
        <w:tblW w:w="8922" w:type="dxa"/>
        <w:tblInd w:w="180"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tblPr>
      <w:tblGrid>
        <w:gridCol w:w="2066"/>
        <w:gridCol w:w="25"/>
        <w:gridCol w:w="1599"/>
        <w:gridCol w:w="1018"/>
        <w:gridCol w:w="26"/>
        <w:gridCol w:w="1026"/>
        <w:gridCol w:w="990"/>
        <w:gridCol w:w="1138"/>
        <w:gridCol w:w="18"/>
        <w:gridCol w:w="1016"/>
      </w:tblGrid>
      <w:tr w14:paraId="0D53B4C4" w14:textId="77777777" w:rsidTr="003920EF">
        <w:tblPrEx>
          <w:tblW w:w="8922" w:type="dxa"/>
          <w:tblInd w:w="180"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tblPrEx>
        <w:trPr>
          <w:cantSplit/>
          <w:trHeight w:val="397"/>
        </w:trPr>
        <w:tc>
          <w:tcPr>
            <w:tcW w:w="2066" w:type="dxa"/>
            <w:vAlign w:val="bottom"/>
          </w:tcPr>
          <w:p w:rsidR="00BE1FCB" w:rsidRPr="003920EF" w:rsidP="00F3750D" w14:paraId="212BAAC2" w14:textId="77777777">
            <w:pPr>
              <w:keepNext/>
              <w:autoSpaceDE w:val="0"/>
              <w:autoSpaceDN w:val="0"/>
              <w:adjustRightInd w:val="0"/>
              <w:ind w:left="18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Type of Respondent</w:t>
            </w:r>
          </w:p>
        </w:tc>
        <w:tc>
          <w:tcPr>
            <w:tcW w:w="1624" w:type="dxa"/>
            <w:gridSpan w:val="2"/>
            <w:vAlign w:val="bottom"/>
          </w:tcPr>
          <w:p w:rsidR="00BE1FCB" w:rsidRPr="003920EF" w:rsidP="00F3750D" w14:paraId="23429A3D" w14:textId="77777777">
            <w:pPr>
              <w:keepNext/>
              <w:autoSpaceDE w:val="0"/>
              <w:autoSpaceDN w:val="0"/>
              <w:adjustRightInd w:val="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Activity</w:t>
            </w:r>
          </w:p>
        </w:tc>
        <w:tc>
          <w:tcPr>
            <w:tcW w:w="1018" w:type="dxa"/>
            <w:vAlign w:val="bottom"/>
          </w:tcPr>
          <w:p w:rsidR="00BE1FCB" w:rsidRPr="003920EF" w:rsidP="003920EF" w14:paraId="4D23CDC2" w14:textId="6884C484">
            <w:pPr>
              <w:keepNext/>
              <w:autoSpaceDE w:val="0"/>
              <w:autoSpaceDN w:val="0"/>
              <w:adjustRightInd w:val="0"/>
              <w:ind w:left="-5"/>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 xml:space="preserve">Number </w:t>
            </w:r>
            <w:r w:rsidR="003920EF">
              <w:rPr>
                <w:rFonts w:ascii="Times New Roman" w:eastAsia="Times New Roman" w:hAnsi="Times New Roman" w:cs="Times New Roman"/>
                <w:b/>
                <w:sz w:val="16"/>
                <w:szCs w:val="24"/>
              </w:rPr>
              <w:br/>
            </w:r>
            <w:r w:rsidRPr="003920EF">
              <w:rPr>
                <w:rFonts w:ascii="Times New Roman" w:eastAsia="Times New Roman" w:hAnsi="Times New Roman" w:cs="Times New Roman"/>
                <w:b/>
                <w:sz w:val="16"/>
                <w:szCs w:val="24"/>
              </w:rPr>
              <w:t>of Respondents</w:t>
            </w:r>
          </w:p>
        </w:tc>
        <w:tc>
          <w:tcPr>
            <w:tcW w:w="1052" w:type="dxa"/>
            <w:gridSpan w:val="2"/>
            <w:vAlign w:val="bottom"/>
          </w:tcPr>
          <w:p w:rsidR="00BE1FCB" w:rsidRPr="003920EF" w:rsidP="003920EF" w14:paraId="71995CC5" w14:textId="77777777">
            <w:pPr>
              <w:keepNext/>
              <w:autoSpaceDE w:val="0"/>
              <w:autoSpaceDN w:val="0"/>
              <w:adjustRightInd w:val="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Number of Responses per Respondent</w:t>
            </w:r>
          </w:p>
        </w:tc>
        <w:tc>
          <w:tcPr>
            <w:tcW w:w="990" w:type="dxa"/>
            <w:vAlign w:val="bottom"/>
          </w:tcPr>
          <w:p w:rsidR="00BE1FCB" w:rsidRPr="003920EF" w:rsidP="003920EF" w14:paraId="2388F4D8" w14:textId="77777777">
            <w:pPr>
              <w:keepNext/>
              <w:autoSpaceDE w:val="0"/>
              <w:autoSpaceDN w:val="0"/>
              <w:adjustRightInd w:val="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Total Responses</w:t>
            </w:r>
          </w:p>
        </w:tc>
        <w:tc>
          <w:tcPr>
            <w:tcW w:w="1138" w:type="dxa"/>
            <w:vAlign w:val="bottom"/>
          </w:tcPr>
          <w:p w:rsidR="00BE1FCB" w:rsidRPr="003920EF" w:rsidP="00F3750D" w14:paraId="5825BEEF" w14:textId="76B9390C">
            <w:pPr>
              <w:keepNext/>
              <w:autoSpaceDE w:val="0"/>
              <w:autoSpaceDN w:val="0"/>
              <w:adjustRightInd w:val="0"/>
              <w:ind w:left="18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 xml:space="preserve">Average Burden per Response </w:t>
            </w:r>
            <w:r w:rsidR="003920EF">
              <w:rPr>
                <w:rFonts w:ascii="Times New Roman" w:eastAsia="Times New Roman" w:hAnsi="Times New Roman" w:cs="Times New Roman"/>
                <w:b/>
                <w:sz w:val="16"/>
                <w:szCs w:val="24"/>
              </w:rPr>
              <w:br/>
            </w:r>
            <w:r w:rsidRPr="003920EF">
              <w:rPr>
                <w:rFonts w:ascii="Times New Roman" w:eastAsia="Times New Roman" w:hAnsi="Times New Roman" w:cs="Times New Roman"/>
                <w:b/>
                <w:sz w:val="16"/>
                <w:szCs w:val="24"/>
              </w:rPr>
              <w:t>in hours</w:t>
            </w:r>
          </w:p>
        </w:tc>
        <w:tc>
          <w:tcPr>
            <w:tcW w:w="1034" w:type="dxa"/>
            <w:gridSpan w:val="2"/>
            <w:vAlign w:val="bottom"/>
          </w:tcPr>
          <w:p w:rsidR="00BE1FCB" w:rsidRPr="003920EF" w:rsidP="00F3750D" w14:paraId="3B1AC711" w14:textId="2930DE77">
            <w:pPr>
              <w:keepNext/>
              <w:autoSpaceDE w:val="0"/>
              <w:autoSpaceDN w:val="0"/>
              <w:adjustRightInd w:val="0"/>
              <w:ind w:left="180"/>
              <w:jc w:val="center"/>
              <w:rPr>
                <w:rFonts w:ascii="Times New Roman" w:eastAsia="Times New Roman" w:hAnsi="Times New Roman" w:cs="Times New Roman"/>
                <w:b/>
                <w:sz w:val="16"/>
                <w:szCs w:val="24"/>
              </w:rPr>
            </w:pPr>
            <w:r w:rsidRPr="003920EF">
              <w:rPr>
                <w:rFonts w:ascii="Times New Roman" w:eastAsia="Times New Roman" w:hAnsi="Times New Roman" w:cs="Times New Roman"/>
                <w:b/>
                <w:sz w:val="16"/>
                <w:szCs w:val="24"/>
              </w:rPr>
              <w:t>Total Hours</w:t>
            </w:r>
          </w:p>
        </w:tc>
      </w:tr>
      <w:tr w14:paraId="45F72B8C" w14:textId="77777777" w:rsidTr="003920EF">
        <w:tblPrEx>
          <w:tblW w:w="8922" w:type="dxa"/>
          <w:tblInd w:w="180" w:type="dxa"/>
          <w:tblLayout w:type="fixed"/>
          <w:tblCellMar>
            <w:left w:w="29" w:type="dxa"/>
            <w:right w:w="29" w:type="dxa"/>
          </w:tblCellMar>
          <w:tblLook w:val="00A0"/>
        </w:tblPrEx>
        <w:trPr>
          <w:cantSplit/>
          <w:trHeight w:val="163"/>
        </w:trPr>
        <w:tc>
          <w:tcPr>
            <w:tcW w:w="8922" w:type="dxa"/>
            <w:gridSpan w:val="10"/>
            <w:vAlign w:val="center"/>
          </w:tcPr>
          <w:p w:rsidR="00BE1FCB" w:rsidRPr="008265FC" w:rsidP="006A1BAE" w14:paraId="5F4A71A8" w14:textId="503DF354">
            <w:pPr>
              <w:autoSpaceDE w:val="0"/>
              <w:autoSpaceDN w:val="0"/>
              <w:adjustRightInd w:val="0"/>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Screen</w:t>
            </w:r>
            <w:r>
              <w:rPr>
                <w:rFonts w:ascii="Times New Roman" w:eastAsia="Times New Roman" w:hAnsi="Times New Roman" w:cs="Times New Roman"/>
                <w:b/>
                <w:sz w:val="16"/>
                <w:szCs w:val="24"/>
              </w:rPr>
              <w:t>ing</w:t>
            </w:r>
          </w:p>
        </w:tc>
      </w:tr>
      <w:tr w14:paraId="68729FAE" w14:textId="77777777" w:rsidTr="003920EF">
        <w:tblPrEx>
          <w:tblW w:w="8922" w:type="dxa"/>
          <w:tblInd w:w="180" w:type="dxa"/>
          <w:tblLayout w:type="fixed"/>
          <w:tblCellMar>
            <w:left w:w="29" w:type="dxa"/>
            <w:right w:w="29" w:type="dxa"/>
          </w:tblCellMar>
          <w:tblLook w:val="00A0"/>
        </w:tblPrEx>
        <w:trPr>
          <w:cantSplit/>
          <w:trHeight w:val="291"/>
        </w:trPr>
        <w:tc>
          <w:tcPr>
            <w:tcW w:w="2091" w:type="dxa"/>
            <w:gridSpan w:val="2"/>
            <w:vAlign w:val="center"/>
          </w:tcPr>
          <w:p w:rsidR="00E26752" w:rsidRPr="008265FC" w:rsidP="00E26752" w14:paraId="4A178F80" w14:textId="26B4A9F3">
            <w:pPr>
              <w:keepNext/>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Youth aged 1</w:t>
            </w:r>
            <w:r>
              <w:rPr>
                <w:rFonts w:ascii="Times New Roman" w:eastAsia="Times New Roman" w:hAnsi="Times New Roman" w:cs="Times New Roman"/>
                <w:sz w:val="16"/>
                <w:szCs w:val="24"/>
              </w:rPr>
              <w:t>5–</w:t>
            </w:r>
            <w:r w:rsidRPr="008265FC">
              <w:rPr>
                <w:rFonts w:ascii="Times New Roman" w:eastAsia="Times New Roman" w:hAnsi="Times New Roman" w:cs="Times New Roman"/>
                <w:sz w:val="16"/>
                <w:szCs w:val="24"/>
              </w:rPr>
              <w:t xml:space="preserve">17 </w:t>
            </w:r>
          </w:p>
        </w:tc>
        <w:tc>
          <w:tcPr>
            <w:tcW w:w="1599" w:type="dxa"/>
            <w:vAlign w:val="center"/>
          </w:tcPr>
          <w:p w:rsidR="00E26752" w:rsidRPr="008265FC" w:rsidP="00E26752" w14:paraId="04E9010A" w14:textId="5941CF7D">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Youth</w:t>
            </w:r>
            <w:r>
              <w:rPr>
                <w:rFonts w:ascii="Times New Roman" w:eastAsia="Times New Roman" w:hAnsi="Times New Roman" w:cs="Times New Roman"/>
                <w:sz w:val="16"/>
                <w:szCs w:val="24"/>
              </w:rPr>
              <w:t xml:space="preserve"> Recruiting and</w:t>
            </w:r>
            <w:r w:rsidRPr="008265FC">
              <w:rPr>
                <w:rFonts w:ascii="Times New Roman" w:eastAsia="Times New Roman" w:hAnsi="Times New Roman" w:cs="Times New Roman"/>
                <w:sz w:val="16"/>
                <w:szCs w:val="24"/>
              </w:rPr>
              <w:t xml:space="preserve"> Screening</w:t>
            </w:r>
          </w:p>
        </w:tc>
        <w:tc>
          <w:tcPr>
            <w:tcW w:w="1044" w:type="dxa"/>
            <w:gridSpan w:val="2"/>
            <w:vAlign w:val="center"/>
          </w:tcPr>
          <w:p w:rsidR="00E26752" w:rsidRPr="008265FC" w:rsidP="00E26752" w14:paraId="79D98072" w14:textId="61494D72">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5,000</w:t>
            </w:r>
          </w:p>
        </w:tc>
        <w:tc>
          <w:tcPr>
            <w:tcW w:w="1026" w:type="dxa"/>
            <w:vAlign w:val="center"/>
          </w:tcPr>
          <w:p w:rsidR="00E26752" w:rsidRPr="008265FC" w:rsidP="00E26752" w14:paraId="28218EE0" w14:textId="77777777">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w:t>
            </w:r>
          </w:p>
        </w:tc>
        <w:tc>
          <w:tcPr>
            <w:tcW w:w="990" w:type="dxa"/>
            <w:vAlign w:val="center"/>
          </w:tcPr>
          <w:p w:rsidR="00E26752" w:rsidRPr="0045460B" w:rsidP="00E26752" w14:paraId="2A72EBC9" w14:textId="7D43FC7B">
            <w:pPr>
              <w:keepNext/>
              <w:tabs>
                <w:tab w:val="decimal" w:pos="-29"/>
              </w:tabs>
              <w:autoSpaceDE w:val="0"/>
              <w:autoSpaceDN w:val="0"/>
              <w:adjustRightInd w:val="0"/>
              <w:ind w:left="-29"/>
              <w:jc w:val="center"/>
              <w:rPr>
                <w:rFonts w:ascii="Times New Roman" w:eastAsia="Times New Roman" w:hAnsi="Times New Roman" w:cs="Times New Roman"/>
                <w:sz w:val="16"/>
                <w:szCs w:val="14"/>
              </w:rPr>
            </w:pPr>
            <w:r>
              <w:rPr>
                <w:rFonts w:ascii="Times New Roman" w:eastAsia="Times New Roman" w:hAnsi="Times New Roman" w:cs="Times New Roman"/>
                <w:sz w:val="16"/>
                <w:szCs w:val="24"/>
              </w:rPr>
              <w:t>5,000</w:t>
            </w:r>
          </w:p>
        </w:tc>
        <w:tc>
          <w:tcPr>
            <w:tcW w:w="1156" w:type="dxa"/>
            <w:gridSpan w:val="2"/>
            <w:vAlign w:val="center"/>
          </w:tcPr>
          <w:p w:rsidR="00E26752" w:rsidRPr="008265FC" w:rsidP="00E26752" w14:paraId="15CC51A4" w14:textId="157E9053">
            <w:pPr>
              <w:keepNext/>
              <w:tabs>
                <w:tab w:val="decimal" w:pos="-29"/>
              </w:tabs>
              <w:autoSpaceDE w:val="0"/>
              <w:autoSpaceDN w:val="0"/>
              <w:adjustRightInd w:val="0"/>
              <w:ind w:hanging="29"/>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w:t>
            </w:r>
            <w:r>
              <w:rPr>
                <w:rFonts w:ascii="Times New Roman" w:eastAsia="Times New Roman" w:hAnsi="Times New Roman" w:cs="Times New Roman"/>
                <w:sz w:val="16"/>
                <w:szCs w:val="24"/>
              </w:rPr>
              <w:t>04</w:t>
            </w:r>
            <w:r w:rsidR="00FA37E8">
              <w:rPr>
                <w:rFonts w:ascii="Times New Roman" w:eastAsia="Times New Roman" w:hAnsi="Times New Roman" w:cs="Times New Roman"/>
                <w:sz w:val="16"/>
                <w:szCs w:val="24"/>
              </w:rPr>
              <w:t>16</w:t>
            </w:r>
            <w:r>
              <w:rPr>
                <w:rFonts w:ascii="Times New Roman" w:eastAsia="Times New Roman" w:hAnsi="Times New Roman" w:cs="Times New Roman"/>
                <w:sz w:val="16"/>
                <w:szCs w:val="24"/>
              </w:rPr>
              <w:br/>
              <w:t>(2.5 minutes)</w:t>
            </w:r>
          </w:p>
        </w:tc>
        <w:tc>
          <w:tcPr>
            <w:tcW w:w="1016" w:type="dxa"/>
            <w:vAlign w:val="center"/>
          </w:tcPr>
          <w:p w:rsidR="00E26752" w:rsidRPr="00A54475" w:rsidP="00E26752" w14:paraId="5A64CF54" w14:textId="48699D40">
            <w:pPr>
              <w:autoSpaceDE w:val="0"/>
              <w:autoSpaceDN w:val="0"/>
              <w:adjustRightInd w:val="0"/>
              <w:ind w:left="180"/>
              <w:jc w:val="center"/>
              <w:rPr>
                <w:rFonts w:ascii="Times New Roman" w:eastAsia="Times New Roman" w:hAnsi="Times New Roman" w:cs="Times New Roman"/>
                <w:b/>
                <w:bCs/>
                <w:sz w:val="16"/>
                <w:szCs w:val="14"/>
              </w:rPr>
            </w:pPr>
            <w:r>
              <w:rPr>
                <w:rFonts w:ascii="Times New Roman" w:eastAsia="Times New Roman" w:hAnsi="Times New Roman" w:cs="Times New Roman"/>
                <w:b/>
                <w:bCs/>
                <w:sz w:val="16"/>
                <w:szCs w:val="14"/>
              </w:rPr>
              <w:t>208</w:t>
            </w:r>
          </w:p>
        </w:tc>
      </w:tr>
      <w:tr w14:paraId="7EDFDFEC" w14:textId="77777777" w:rsidTr="003920EF">
        <w:tblPrEx>
          <w:tblW w:w="8922" w:type="dxa"/>
          <w:tblInd w:w="180" w:type="dxa"/>
          <w:tblLayout w:type="fixed"/>
          <w:tblCellMar>
            <w:left w:w="29" w:type="dxa"/>
            <w:right w:w="29" w:type="dxa"/>
          </w:tblCellMar>
          <w:tblLook w:val="00A0"/>
        </w:tblPrEx>
        <w:trPr>
          <w:cantSplit/>
          <w:trHeight w:val="291"/>
        </w:trPr>
        <w:tc>
          <w:tcPr>
            <w:tcW w:w="2091" w:type="dxa"/>
            <w:gridSpan w:val="2"/>
            <w:vAlign w:val="center"/>
          </w:tcPr>
          <w:p w:rsidR="00E26752" w:rsidP="00E26752" w14:paraId="737A5E92" w14:textId="779B2F02">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Young Adult aged 18-24 </w:t>
            </w:r>
          </w:p>
        </w:tc>
        <w:tc>
          <w:tcPr>
            <w:tcW w:w="1599" w:type="dxa"/>
            <w:vAlign w:val="center"/>
          </w:tcPr>
          <w:p w:rsidR="00E26752" w:rsidP="00E26752" w14:paraId="388B0884" w14:textId="587203CC">
            <w:pPr>
              <w:keepNext/>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Adult Recruiting and Screening</w:t>
            </w:r>
          </w:p>
        </w:tc>
        <w:tc>
          <w:tcPr>
            <w:tcW w:w="1044" w:type="dxa"/>
            <w:gridSpan w:val="2"/>
            <w:vAlign w:val="center"/>
          </w:tcPr>
          <w:p w:rsidR="00E26752" w:rsidP="00E26752" w14:paraId="48D284FF" w14:textId="068F9789">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5,000</w:t>
            </w:r>
          </w:p>
        </w:tc>
        <w:tc>
          <w:tcPr>
            <w:tcW w:w="1026" w:type="dxa"/>
            <w:vAlign w:val="center"/>
          </w:tcPr>
          <w:p w:rsidR="00E26752" w:rsidP="00E26752" w14:paraId="4F450AB2" w14:textId="1959597F">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w:t>
            </w:r>
          </w:p>
        </w:tc>
        <w:tc>
          <w:tcPr>
            <w:tcW w:w="990" w:type="dxa"/>
            <w:vAlign w:val="center"/>
          </w:tcPr>
          <w:p w:rsidR="00E26752" w:rsidRPr="0045460B" w:rsidP="00E26752" w14:paraId="26B82343" w14:textId="072BD4D3">
            <w:pPr>
              <w:keepNext/>
              <w:tabs>
                <w:tab w:val="decimal" w:pos="-29"/>
              </w:tabs>
              <w:autoSpaceDE w:val="0"/>
              <w:autoSpaceDN w:val="0"/>
              <w:adjustRightInd w:val="0"/>
              <w:ind w:left="-29"/>
              <w:jc w:val="center"/>
              <w:rPr>
                <w:rFonts w:ascii="Times New Roman" w:eastAsia="Times New Roman" w:hAnsi="Times New Roman" w:cs="Times New Roman"/>
                <w:sz w:val="16"/>
                <w:szCs w:val="14"/>
              </w:rPr>
            </w:pPr>
            <w:r>
              <w:rPr>
                <w:rFonts w:ascii="Times New Roman" w:eastAsia="Times New Roman" w:hAnsi="Times New Roman" w:cs="Times New Roman"/>
                <w:sz w:val="16"/>
                <w:szCs w:val="24"/>
              </w:rPr>
              <w:t>5,000</w:t>
            </w:r>
          </w:p>
        </w:tc>
        <w:tc>
          <w:tcPr>
            <w:tcW w:w="1156" w:type="dxa"/>
            <w:gridSpan w:val="2"/>
            <w:vAlign w:val="center"/>
          </w:tcPr>
          <w:p w:rsidR="00E26752" w:rsidP="00E26752" w14:paraId="012D7798" w14:textId="6F3338A4">
            <w:pPr>
              <w:keepNext/>
              <w:tabs>
                <w:tab w:val="decimal" w:pos="-29"/>
              </w:tabs>
              <w:autoSpaceDE w:val="0"/>
              <w:autoSpaceDN w:val="0"/>
              <w:adjustRightInd w:val="0"/>
              <w:ind w:hanging="29"/>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w:t>
            </w:r>
            <w:r>
              <w:rPr>
                <w:rFonts w:ascii="Times New Roman" w:eastAsia="Times New Roman" w:hAnsi="Times New Roman" w:cs="Times New Roman"/>
                <w:sz w:val="16"/>
                <w:szCs w:val="24"/>
              </w:rPr>
              <w:t>04</w:t>
            </w:r>
            <w:r w:rsidR="00FA37E8">
              <w:rPr>
                <w:rFonts w:ascii="Times New Roman" w:eastAsia="Times New Roman" w:hAnsi="Times New Roman" w:cs="Times New Roman"/>
                <w:sz w:val="16"/>
                <w:szCs w:val="24"/>
              </w:rPr>
              <w:t>16</w:t>
            </w:r>
            <w:r>
              <w:rPr>
                <w:rFonts w:ascii="Times New Roman" w:eastAsia="Times New Roman" w:hAnsi="Times New Roman" w:cs="Times New Roman"/>
                <w:sz w:val="16"/>
                <w:szCs w:val="24"/>
              </w:rPr>
              <w:br/>
              <w:t>(2.5 minutes)</w:t>
            </w:r>
          </w:p>
        </w:tc>
        <w:tc>
          <w:tcPr>
            <w:tcW w:w="1016" w:type="dxa"/>
            <w:vAlign w:val="center"/>
          </w:tcPr>
          <w:p w:rsidR="00E26752" w:rsidRPr="00A54475" w:rsidP="00E26752" w14:paraId="4851A2D0" w14:textId="0E029931">
            <w:pPr>
              <w:autoSpaceDE w:val="0"/>
              <w:autoSpaceDN w:val="0"/>
              <w:adjustRightInd w:val="0"/>
              <w:ind w:left="180"/>
              <w:jc w:val="center"/>
              <w:rPr>
                <w:rFonts w:ascii="Times New Roman" w:eastAsia="Times New Roman" w:hAnsi="Times New Roman" w:cs="Times New Roman"/>
                <w:b/>
                <w:bCs/>
                <w:sz w:val="16"/>
                <w:szCs w:val="14"/>
              </w:rPr>
            </w:pPr>
            <w:r>
              <w:rPr>
                <w:rFonts w:ascii="Times New Roman" w:eastAsia="Times New Roman" w:hAnsi="Times New Roman" w:cs="Times New Roman"/>
                <w:b/>
                <w:bCs/>
                <w:sz w:val="16"/>
                <w:szCs w:val="14"/>
              </w:rPr>
              <w:t>208</w:t>
            </w:r>
          </w:p>
        </w:tc>
      </w:tr>
      <w:tr w14:paraId="3CE292A2" w14:textId="77777777" w:rsidTr="003920EF">
        <w:tblPrEx>
          <w:tblW w:w="8922" w:type="dxa"/>
          <w:tblInd w:w="180" w:type="dxa"/>
          <w:tblLayout w:type="fixed"/>
          <w:tblCellMar>
            <w:left w:w="29" w:type="dxa"/>
            <w:right w:w="29" w:type="dxa"/>
          </w:tblCellMar>
          <w:tblLook w:val="00A0"/>
        </w:tblPrEx>
        <w:trPr>
          <w:cantSplit/>
          <w:trHeight w:val="155"/>
        </w:trPr>
        <w:tc>
          <w:tcPr>
            <w:tcW w:w="8922" w:type="dxa"/>
            <w:gridSpan w:val="10"/>
            <w:tcBorders>
              <w:top w:val="single" w:sz="12" w:space="0" w:color="auto"/>
              <w:bottom w:val="single" w:sz="4" w:space="0" w:color="auto"/>
            </w:tcBorders>
            <w:vAlign w:val="center"/>
          </w:tcPr>
          <w:p w:rsidR="008D435F" w:rsidP="006A1BAE" w14:paraId="1EA862CA" w14:textId="27214F6D">
            <w:pPr>
              <w:autoSpaceDE w:val="0"/>
              <w:autoSpaceDN w:val="0"/>
              <w:adjustRightInd w:val="0"/>
              <w:ind w:left="180"/>
              <w:rPr>
                <w:rFonts w:ascii="Times New Roman" w:hAnsi="Times New Roman" w:cs="Times New Roman"/>
                <w:b/>
                <w:bCs/>
                <w:sz w:val="16"/>
                <w:szCs w:val="14"/>
              </w:rPr>
            </w:pPr>
            <w:r>
              <w:rPr>
                <w:rFonts w:ascii="Times New Roman" w:eastAsia="Times New Roman" w:hAnsi="Times New Roman" w:cs="Times New Roman"/>
                <w:b/>
                <w:sz w:val="16"/>
                <w:szCs w:val="24"/>
              </w:rPr>
              <w:t>Informed Consent</w:t>
            </w:r>
          </w:p>
        </w:tc>
      </w:tr>
      <w:tr w14:paraId="705A9859" w14:textId="77777777" w:rsidTr="003920EF">
        <w:tblPrEx>
          <w:tblW w:w="8922" w:type="dxa"/>
          <w:tblInd w:w="180" w:type="dxa"/>
          <w:tblLayout w:type="fixed"/>
          <w:tblCellMar>
            <w:left w:w="29" w:type="dxa"/>
            <w:right w:w="29" w:type="dxa"/>
          </w:tblCellMar>
          <w:tblLook w:val="00A0"/>
        </w:tblPrEx>
        <w:trPr>
          <w:cantSplit/>
          <w:trHeight w:val="276"/>
        </w:trPr>
        <w:tc>
          <w:tcPr>
            <w:tcW w:w="2091" w:type="dxa"/>
            <w:gridSpan w:val="2"/>
            <w:tcBorders>
              <w:top w:val="single" w:sz="4" w:space="0" w:color="auto"/>
            </w:tcBorders>
            <w:vAlign w:val="center"/>
          </w:tcPr>
          <w:p w:rsidR="00E26752" w:rsidRPr="00DA7983" w:rsidP="00E26752" w14:paraId="3E745A82" w14:textId="456DBB3E">
            <w:pPr>
              <w:keepNext/>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 xml:space="preserve">Youth aged 15–17 </w:t>
            </w:r>
          </w:p>
        </w:tc>
        <w:tc>
          <w:tcPr>
            <w:tcW w:w="1599" w:type="dxa"/>
            <w:tcBorders>
              <w:top w:val="single" w:sz="4" w:space="0" w:color="auto"/>
            </w:tcBorders>
            <w:vAlign w:val="center"/>
          </w:tcPr>
          <w:p w:rsidR="00E26752" w:rsidRPr="00DA7983" w:rsidP="00E26752" w14:paraId="10C10E90" w14:textId="4C256AFC">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Youth Assent</w:t>
            </w:r>
          </w:p>
        </w:tc>
        <w:tc>
          <w:tcPr>
            <w:tcW w:w="1044" w:type="dxa"/>
            <w:gridSpan w:val="2"/>
            <w:tcBorders>
              <w:top w:val="single" w:sz="4" w:space="0" w:color="auto"/>
            </w:tcBorders>
            <w:vAlign w:val="center"/>
          </w:tcPr>
          <w:p w:rsidR="00E26752" w:rsidRPr="00DA7983" w:rsidP="00E26752" w14:paraId="59585BEA" w14:textId="00CB1041">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026" w:type="dxa"/>
            <w:tcBorders>
              <w:top w:val="single" w:sz="4" w:space="0" w:color="auto"/>
            </w:tcBorders>
            <w:vAlign w:val="center"/>
          </w:tcPr>
          <w:p w:rsidR="00E26752" w:rsidRPr="00DA7983" w:rsidP="00E26752" w14:paraId="2DCB034A" w14:textId="43CF91F9">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1</w:t>
            </w:r>
          </w:p>
        </w:tc>
        <w:tc>
          <w:tcPr>
            <w:tcW w:w="990" w:type="dxa"/>
            <w:tcBorders>
              <w:top w:val="single" w:sz="4" w:space="0" w:color="auto"/>
            </w:tcBorders>
            <w:vAlign w:val="center"/>
          </w:tcPr>
          <w:p w:rsidR="00E26752" w:rsidRPr="00DA7983" w:rsidP="00E26752" w14:paraId="6049FB35" w14:textId="17809038">
            <w:pPr>
              <w:keepNext/>
              <w:tabs>
                <w:tab w:val="decimal" w:pos="180"/>
              </w:tabs>
              <w:autoSpaceDE w:val="0"/>
              <w:autoSpaceDN w:val="0"/>
              <w:adjustRightInd w:val="0"/>
              <w:ind w:left="180" w:hanging="180"/>
              <w:jc w:val="center"/>
              <w:rPr>
                <w:rFonts w:ascii="Times New Roman" w:hAnsi="Times New Roman" w:cs="Times New Roman"/>
                <w:sz w:val="16"/>
                <w:szCs w:val="1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156" w:type="dxa"/>
            <w:gridSpan w:val="2"/>
            <w:tcBorders>
              <w:top w:val="single" w:sz="4" w:space="0" w:color="auto"/>
            </w:tcBorders>
            <w:vAlign w:val="center"/>
          </w:tcPr>
          <w:p w:rsidR="00E26752" w:rsidRPr="00DA7983" w:rsidP="00E26752" w14:paraId="11370B7B" w14:textId="70A886A1">
            <w:pPr>
              <w:keepNext/>
              <w:tabs>
                <w:tab w:val="decimal" w:pos="-29"/>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0.0</w:t>
            </w:r>
            <w:r>
              <w:rPr>
                <w:rFonts w:ascii="Times New Roman" w:eastAsia="Times New Roman" w:hAnsi="Times New Roman" w:cs="Times New Roman"/>
                <w:sz w:val="16"/>
                <w:szCs w:val="24"/>
              </w:rPr>
              <w:t>4</w:t>
            </w:r>
            <w:r w:rsidR="00FA37E8">
              <w:rPr>
                <w:rFonts w:ascii="Times New Roman" w:eastAsia="Times New Roman" w:hAnsi="Times New Roman" w:cs="Times New Roman"/>
                <w:sz w:val="16"/>
                <w:szCs w:val="24"/>
              </w:rPr>
              <w:t>16</w:t>
            </w:r>
            <w:r w:rsidRPr="00DA7983">
              <w:rPr>
                <w:rFonts w:ascii="Times New Roman" w:eastAsia="Times New Roman" w:hAnsi="Times New Roman" w:cs="Times New Roman"/>
                <w:sz w:val="16"/>
                <w:szCs w:val="24"/>
              </w:rPr>
              <w:br/>
              <w:t>(</w:t>
            </w:r>
            <w:r>
              <w:rPr>
                <w:rFonts w:ascii="Times New Roman" w:eastAsia="Times New Roman" w:hAnsi="Times New Roman" w:cs="Times New Roman"/>
                <w:sz w:val="16"/>
                <w:szCs w:val="24"/>
              </w:rPr>
              <w:t xml:space="preserve">2.5 </w:t>
            </w:r>
            <w:r w:rsidRPr="00DA7983">
              <w:rPr>
                <w:rFonts w:ascii="Times New Roman" w:eastAsia="Times New Roman" w:hAnsi="Times New Roman" w:cs="Times New Roman"/>
                <w:sz w:val="16"/>
                <w:szCs w:val="24"/>
              </w:rPr>
              <w:t>minutes)</w:t>
            </w:r>
          </w:p>
        </w:tc>
        <w:tc>
          <w:tcPr>
            <w:tcW w:w="1016" w:type="dxa"/>
            <w:tcBorders>
              <w:top w:val="single" w:sz="4" w:space="0" w:color="auto"/>
            </w:tcBorders>
            <w:vAlign w:val="center"/>
          </w:tcPr>
          <w:p w:rsidR="00E26752" w:rsidRPr="00DA7983" w:rsidP="00E26752" w14:paraId="07C01E64" w14:textId="0A33A6C2">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3</w:t>
            </w:r>
            <w:r w:rsidR="00B85E19">
              <w:rPr>
                <w:rFonts w:ascii="Times New Roman" w:hAnsi="Times New Roman" w:cs="Times New Roman"/>
                <w:b/>
                <w:bCs/>
                <w:sz w:val="16"/>
                <w:szCs w:val="14"/>
              </w:rPr>
              <w:t>2</w:t>
            </w:r>
          </w:p>
        </w:tc>
      </w:tr>
      <w:tr w14:paraId="6731368E" w14:textId="77777777" w:rsidTr="003920EF">
        <w:tblPrEx>
          <w:tblW w:w="8922" w:type="dxa"/>
          <w:tblInd w:w="180" w:type="dxa"/>
          <w:tblLayout w:type="fixed"/>
          <w:tblCellMar>
            <w:left w:w="29" w:type="dxa"/>
            <w:right w:w="29" w:type="dxa"/>
          </w:tblCellMar>
          <w:tblLook w:val="00A0"/>
        </w:tblPrEx>
        <w:trPr>
          <w:cantSplit/>
          <w:trHeight w:val="276"/>
        </w:trPr>
        <w:tc>
          <w:tcPr>
            <w:tcW w:w="2091" w:type="dxa"/>
            <w:gridSpan w:val="2"/>
            <w:vAlign w:val="center"/>
          </w:tcPr>
          <w:p w:rsidR="00E26752" w:rsidRPr="00DA7983" w:rsidP="00E26752" w14:paraId="0767EB43" w14:textId="1DB5219A">
            <w:pPr>
              <w:keepNext/>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 xml:space="preserve">Young Adult aged 18-24 </w:t>
            </w:r>
          </w:p>
        </w:tc>
        <w:tc>
          <w:tcPr>
            <w:tcW w:w="1599" w:type="dxa"/>
            <w:vAlign w:val="center"/>
          </w:tcPr>
          <w:p w:rsidR="00E26752" w:rsidRPr="00DA7983" w:rsidP="00E26752" w14:paraId="38B9238F" w14:textId="43FEB4A1">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Adult Consent</w:t>
            </w:r>
          </w:p>
        </w:tc>
        <w:tc>
          <w:tcPr>
            <w:tcW w:w="1044" w:type="dxa"/>
            <w:gridSpan w:val="2"/>
            <w:tcBorders>
              <w:top w:val="single" w:sz="4" w:space="0" w:color="auto"/>
            </w:tcBorders>
            <w:vAlign w:val="center"/>
          </w:tcPr>
          <w:p w:rsidR="00E26752" w:rsidRPr="00DA7983" w:rsidP="00E26752" w14:paraId="319603F6" w14:textId="0198FC8A">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026" w:type="dxa"/>
            <w:tcBorders>
              <w:top w:val="single" w:sz="4" w:space="0" w:color="auto"/>
            </w:tcBorders>
            <w:vAlign w:val="center"/>
          </w:tcPr>
          <w:p w:rsidR="00E26752" w:rsidRPr="00DA7983" w:rsidP="00E26752" w14:paraId="6322B421" w14:textId="15DA0415">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1</w:t>
            </w:r>
          </w:p>
        </w:tc>
        <w:tc>
          <w:tcPr>
            <w:tcW w:w="990" w:type="dxa"/>
            <w:tcBorders>
              <w:top w:val="single" w:sz="4" w:space="0" w:color="auto"/>
            </w:tcBorders>
            <w:vAlign w:val="center"/>
          </w:tcPr>
          <w:p w:rsidR="00E26752" w:rsidRPr="00DA7983" w:rsidP="00E26752" w14:paraId="456545EE" w14:textId="5E3EABE1">
            <w:pPr>
              <w:keepNext/>
              <w:tabs>
                <w:tab w:val="decimal" w:pos="180"/>
              </w:tabs>
              <w:autoSpaceDE w:val="0"/>
              <w:autoSpaceDN w:val="0"/>
              <w:adjustRightInd w:val="0"/>
              <w:ind w:left="180" w:hanging="180"/>
              <w:jc w:val="center"/>
              <w:rPr>
                <w:rFonts w:ascii="Times New Roman" w:hAnsi="Times New Roman" w:cs="Times New Roman"/>
                <w:sz w:val="16"/>
                <w:szCs w:val="1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156" w:type="dxa"/>
            <w:gridSpan w:val="2"/>
            <w:tcBorders>
              <w:top w:val="single" w:sz="4" w:space="0" w:color="auto"/>
            </w:tcBorders>
            <w:vAlign w:val="center"/>
          </w:tcPr>
          <w:p w:rsidR="00E26752" w:rsidRPr="00DA7983" w:rsidP="00E26752" w14:paraId="5938A389" w14:textId="5075B292">
            <w:pPr>
              <w:keepNext/>
              <w:tabs>
                <w:tab w:val="decimal" w:pos="-29"/>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0.0</w:t>
            </w:r>
            <w:r>
              <w:rPr>
                <w:rFonts w:ascii="Times New Roman" w:eastAsia="Times New Roman" w:hAnsi="Times New Roman" w:cs="Times New Roman"/>
                <w:sz w:val="16"/>
                <w:szCs w:val="24"/>
              </w:rPr>
              <w:t>4</w:t>
            </w:r>
            <w:r w:rsidR="00FA37E8">
              <w:rPr>
                <w:rFonts w:ascii="Times New Roman" w:eastAsia="Times New Roman" w:hAnsi="Times New Roman" w:cs="Times New Roman"/>
                <w:sz w:val="16"/>
                <w:szCs w:val="24"/>
              </w:rPr>
              <w:t>16</w:t>
            </w:r>
            <w:r w:rsidRPr="00DA7983">
              <w:rPr>
                <w:rFonts w:ascii="Times New Roman" w:eastAsia="Times New Roman" w:hAnsi="Times New Roman" w:cs="Times New Roman"/>
                <w:sz w:val="16"/>
                <w:szCs w:val="24"/>
              </w:rPr>
              <w:br/>
              <w:t>(</w:t>
            </w:r>
            <w:r>
              <w:rPr>
                <w:rFonts w:ascii="Times New Roman" w:eastAsia="Times New Roman" w:hAnsi="Times New Roman" w:cs="Times New Roman"/>
                <w:sz w:val="16"/>
                <w:szCs w:val="24"/>
              </w:rPr>
              <w:t>2.5</w:t>
            </w:r>
            <w:r w:rsidRPr="00DA7983">
              <w:rPr>
                <w:rFonts w:ascii="Times New Roman" w:eastAsia="Times New Roman" w:hAnsi="Times New Roman" w:cs="Times New Roman"/>
                <w:sz w:val="16"/>
                <w:szCs w:val="24"/>
              </w:rPr>
              <w:t xml:space="preserve"> minutes)</w:t>
            </w:r>
          </w:p>
        </w:tc>
        <w:tc>
          <w:tcPr>
            <w:tcW w:w="1016" w:type="dxa"/>
            <w:tcBorders>
              <w:top w:val="single" w:sz="4" w:space="0" w:color="auto"/>
            </w:tcBorders>
            <w:vAlign w:val="center"/>
          </w:tcPr>
          <w:p w:rsidR="00E26752" w:rsidRPr="00DA7983" w:rsidP="00E26752" w14:paraId="6CE6A412" w14:textId="2B8EDF9D">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3</w:t>
            </w:r>
            <w:r w:rsidR="00B85E19">
              <w:rPr>
                <w:rFonts w:ascii="Times New Roman" w:hAnsi="Times New Roman" w:cs="Times New Roman"/>
                <w:b/>
                <w:bCs/>
                <w:sz w:val="16"/>
                <w:szCs w:val="14"/>
              </w:rPr>
              <w:t>2</w:t>
            </w:r>
          </w:p>
        </w:tc>
      </w:tr>
      <w:tr w14:paraId="42588C29" w14:textId="77777777" w:rsidTr="003920EF">
        <w:tblPrEx>
          <w:tblW w:w="8922" w:type="dxa"/>
          <w:tblInd w:w="180" w:type="dxa"/>
          <w:tblLayout w:type="fixed"/>
          <w:tblCellMar>
            <w:left w:w="29" w:type="dxa"/>
            <w:right w:w="29" w:type="dxa"/>
          </w:tblCellMar>
          <w:tblLook w:val="00A0"/>
        </w:tblPrEx>
        <w:trPr>
          <w:cantSplit/>
          <w:trHeight w:val="153"/>
        </w:trPr>
        <w:tc>
          <w:tcPr>
            <w:tcW w:w="8922" w:type="dxa"/>
            <w:gridSpan w:val="10"/>
            <w:vAlign w:val="center"/>
          </w:tcPr>
          <w:p w:rsidR="00BE1FCB" w:rsidRPr="00DA7983" w:rsidP="006A1BAE" w14:paraId="00D68FD5" w14:textId="77777777">
            <w:pPr>
              <w:autoSpaceDE w:val="0"/>
              <w:autoSpaceDN w:val="0"/>
              <w:adjustRightInd w:val="0"/>
              <w:ind w:left="180"/>
              <w:rPr>
                <w:rFonts w:ascii="Times New Roman" w:eastAsia="Times New Roman" w:hAnsi="Times New Roman" w:cs="Times New Roman"/>
                <w:b/>
                <w:sz w:val="16"/>
                <w:szCs w:val="24"/>
              </w:rPr>
            </w:pPr>
            <w:r w:rsidRPr="00DA7983">
              <w:rPr>
                <w:rFonts w:ascii="Times New Roman" w:eastAsia="Times New Roman" w:hAnsi="Times New Roman" w:cs="Times New Roman"/>
                <w:b/>
                <w:sz w:val="16"/>
                <w:szCs w:val="24"/>
              </w:rPr>
              <w:t>Survey</w:t>
            </w:r>
          </w:p>
        </w:tc>
      </w:tr>
      <w:tr w14:paraId="28DC6980" w14:textId="77777777" w:rsidTr="003920EF">
        <w:tblPrEx>
          <w:tblW w:w="8922" w:type="dxa"/>
          <w:tblInd w:w="180" w:type="dxa"/>
          <w:tblLayout w:type="fixed"/>
          <w:tblCellMar>
            <w:left w:w="29" w:type="dxa"/>
            <w:right w:w="29" w:type="dxa"/>
          </w:tblCellMar>
          <w:tblLook w:val="00A0"/>
        </w:tblPrEx>
        <w:trPr>
          <w:cantSplit/>
          <w:trHeight w:val="299"/>
        </w:trPr>
        <w:tc>
          <w:tcPr>
            <w:tcW w:w="2066" w:type="dxa"/>
            <w:vAlign w:val="center"/>
          </w:tcPr>
          <w:p w:rsidR="00E26752" w:rsidRPr="00DA7983" w:rsidP="00E26752" w14:paraId="5A05DA0F" w14:textId="35D42602">
            <w:pPr>
              <w:keepNext/>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Youth aged 15–17</w:t>
            </w:r>
          </w:p>
        </w:tc>
        <w:tc>
          <w:tcPr>
            <w:tcW w:w="1624" w:type="dxa"/>
            <w:gridSpan w:val="2"/>
            <w:vAlign w:val="center"/>
          </w:tcPr>
          <w:p w:rsidR="00E26752" w:rsidRPr="00DA7983" w:rsidP="00E26752" w14:paraId="2D8B5C99" w14:textId="1FE4E00E">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Online Survey</w:t>
            </w:r>
          </w:p>
        </w:tc>
        <w:tc>
          <w:tcPr>
            <w:tcW w:w="1018" w:type="dxa"/>
            <w:vAlign w:val="center"/>
          </w:tcPr>
          <w:p w:rsidR="00E26752" w:rsidRPr="00DA7983" w:rsidP="00E26752" w14:paraId="566C29AE" w14:textId="1BF04490">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052" w:type="dxa"/>
            <w:gridSpan w:val="2"/>
            <w:vAlign w:val="center"/>
          </w:tcPr>
          <w:p w:rsidR="00E26752" w:rsidRPr="00DA7983" w:rsidP="00E26752" w14:paraId="0E87D8B9" w14:textId="287CB106">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1</w:t>
            </w:r>
          </w:p>
        </w:tc>
        <w:tc>
          <w:tcPr>
            <w:tcW w:w="990" w:type="dxa"/>
            <w:vAlign w:val="center"/>
          </w:tcPr>
          <w:p w:rsidR="00E26752" w:rsidRPr="00DA7983" w:rsidP="00E26752" w14:paraId="53B9E259" w14:textId="20A3FBF3">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138" w:type="dxa"/>
            <w:vAlign w:val="center"/>
          </w:tcPr>
          <w:p w:rsidR="00E26752" w:rsidRPr="00DA7983" w:rsidP="00E26752" w14:paraId="70C4E626" w14:textId="715B8F06">
            <w:pPr>
              <w:keepNext/>
              <w:tabs>
                <w:tab w:val="decimal" w:pos="0"/>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0.</w:t>
            </w:r>
            <w:r>
              <w:rPr>
                <w:rFonts w:ascii="Times New Roman" w:eastAsia="Times New Roman" w:hAnsi="Times New Roman" w:cs="Times New Roman"/>
                <w:sz w:val="16"/>
                <w:szCs w:val="24"/>
              </w:rPr>
              <w:t>25</w:t>
            </w:r>
          </w:p>
          <w:p w:rsidR="00E26752" w:rsidRPr="00DA7983" w:rsidP="00E26752" w14:paraId="4CBE39B6" w14:textId="0175F9D1">
            <w:pPr>
              <w:keepNext/>
              <w:tabs>
                <w:tab w:val="decimal" w:pos="0"/>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w:t>
            </w:r>
            <w:r>
              <w:rPr>
                <w:rFonts w:ascii="Times New Roman" w:eastAsia="Times New Roman" w:hAnsi="Times New Roman" w:cs="Times New Roman"/>
                <w:sz w:val="16"/>
                <w:szCs w:val="24"/>
              </w:rPr>
              <w:t>15</w:t>
            </w:r>
            <w:r w:rsidRPr="00DA7983">
              <w:rPr>
                <w:rFonts w:ascii="Times New Roman" w:eastAsia="Times New Roman" w:hAnsi="Times New Roman" w:cs="Times New Roman"/>
                <w:sz w:val="16"/>
                <w:szCs w:val="24"/>
              </w:rPr>
              <w:t xml:space="preserve"> minutes)</w:t>
            </w:r>
          </w:p>
        </w:tc>
        <w:tc>
          <w:tcPr>
            <w:tcW w:w="1034" w:type="dxa"/>
            <w:gridSpan w:val="2"/>
            <w:vAlign w:val="center"/>
          </w:tcPr>
          <w:p w:rsidR="00E26752" w:rsidRPr="00DA7983" w:rsidP="00E26752" w14:paraId="38B8E956" w14:textId="395E150B">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w:t>
            </w:r>
            <w:r w:rsidR="009337AF">
              <w:rPr>
                <w:rFonts w:ascii="Times New Roman" w:eastAsia="Times New Roman" w:hAnsi="Times New Roman" w:cs="Times New Roman"/>
                <w:b/>
                <w:sz w:val="16"/>
                <w:szCs w:val="24"/>
              </w:rPr>
              <w:t>94</w:t>
            </w:r>
          </w:p>
        </w:tc>
      </w:tr>
      <w:tr w14:paraId="0738F7CE" w14:textId="77777777" w:rsidTr="003920EF">
        <w:tblPrEx>
          <w:tblW w:w="8922" w:type="dxa"/>
          <w:tblInd w:w="180" w:type="dxa"/>
          <w:tblLayout w:type="fixed"/>
          <w:tblCellMar>
            <w:left w:w="29" w:type="dxa"/>
            <w:right w:w="29" w:type="dxa"/>
          </w:tblCellMar>
          <w:tblLook w:val="00A0"/>
        </w:tblPrEx>
        <w:trPr>
          <w:cantSplit/>
          <w:trHeight w:val="299"/>
        </w:trPr>
        <w:tc>
          <w:tcPr>
            <w:tcW w:w="2066" w:type="dxa"/>
            <w:vAlign w:val="center"/>
          </w:tcPr>
          <w:p w:rsidR="00E26752" w:rsidRPr="00DA7983" w:rsidP="00E26752" w14:paraId="376B0FBE" w14:textId="26C2DC71">
            <w:pPr>
              <w:keepNext/>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Young Adult aged 18-24</w:t>
            </w:r>
          </w:p>
        </w:tc>
        <w:tc>
          <w:tcPr>
            <w:tcW w:w="1624" w:type="dxa"/>
            <w:gridSpan w:val="2"/>
            <w:vAlign w:val="center"/>
          </w:tcPr>
          <w:p w:rsidR="00E26752" w:rsidRPr="00DA7983" w:rsidP="00E26752" w14:paraId="2147CC29" w14:textId="2486E7FF">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Online Survey</w:t>
            </w:r>
          </w:p>
        </w:tc>
        <w:tc>
          <w:tcPr>
            <w:tcW w:w="1018" w:type="dxa"/>
            <w:vAlign w:val="center"/>
          </w:tcPr>
          <w:p w:rsidR="00E26752" w:rsidRPr="00DA7983" w:rsidP="00E26752" w14:paraId="5A6FF618" w14:textId="138F5A88">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052" w:type="dxa"/>
            <w:gridSpan w:val="2"/>
            <w:vAlign w:val="center"/>
          </w:tcPr>
          <w:p w:rsidR="00E26752" w:rsidRPr="00DA7983" w:rsidP="00E26752" w14:paraId="1440CF36" w14:textId="773CB343">
            <w:pPr>
              <w:keepNext/>
              <w:autoSpaceDE w:val="0"/>
              <w:autoSpaceDN w:val="0"/>
              <w:adjustRightInd w:val="0"/>
              <w:ind w:left="180"/>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1</w:t>
            </w:r>
          </w:p>
        </w:tc>
        <w:tc>
          <w:tcPr>
            <w:tcW w:w="990" w:type="dxa"/>
            <w:vAlign w:val="center"/>
          </w:tcPr>
          <w:p w:rsidR="00E26752" w:rsidRPr="00DA7983" w:rsidP="00E26752" w14:paraId="155A11F4" w14:textId="0BC45E2D">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7</w:t>
            </w:r>
            <w:r w:rsidR="004D50DF">
              <w:rPr>
                <w:rFonts w:ascii="Times New Roman" w:eastAsia="Times New Roman" w:hAnsi="Times New Roman" w:cs="Times New Roman"/>
                <w:sz w:val="16"/>
                <w:szCs w:val="24"/>
              </w:rPr>
              <w:t>75</w:t>
            </w:r>
          </w:p>
        </w:tc>
        <w:tc>
          <w:tcPr>
            <w:tcW w:w="1138" w:type="dxa"/>
            <w:vAlign w:val="center"/>
          </w:tcPr>
          <w:p w:rsidR="00E26752" w:rsidRPr="00DA7983" w:rsidP="00E26752" w14:paraId="54BFD1E5" w14:textId="484F871B">
            <w:pPr>
              <w:keepNext/>
              <w:tabs>
                <w:tab w:val="decimal" w:pos="0"/>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0.</w:t>
            </w:r>
            <w:r>
              <w:rPr>
                <w:rFonts w:ascii="Times New Roman" w:eastAsia="Times New Roman" w:hAnsi="Times New Roman" w:cs="Times New Roman"/>
                <w:sz w:val="16"/>
                <w:szCs w:val="24"/>
              </w:rPr>
              <w:t>25</w:t>
            </w:r>
          </w:p>
          <w:p w:rsidR="00E26752" w:rsidRPr="00DA7983" w:rsidP="00E26752" w14:paraId="3B6F6E1F" w14:textId="39284A50">
            <w:pPr>
              <w:keepNext/>
              <w:tabs>
                <w:tab w:val="decimal" w:pos="0"/>
              </w:tabs>
              <w:autoSpaceDE w:val="0"/>
              <w:autoSpaceDN w:val="0"/>
              <w:adjustRightInd w:val="0"/>
              <w:ind w:left="-29"/>
              <w:jc w:val="center"/>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w:t>
            </w:r>
            <w:r>
              <w:rPr>
                <w:rFonts w:ascii="Times New Roman" w:eastAsia="Times New Roman" w:hAnsi="Times New Roman" w:cs="Times New Roman"/>
                <w:sz w:val="16"/>
                <w:szCs w:val="24"/>
              </w:rPr>
              <w:t>15</w:t>
            </w:r>
            <w:r w:rsidRPr="00DA7983">
              <w:rPr>
                <w:rFonts w:ascii="Times New Roman" w:eastAsia="Times New Roman" w:hAnsi="Times New Roman" w:cs="Times New Roman"/>
                <w:sz w:val="16"/>
                <w:szCs w:val="24"/>
              </w:rPr>
              <w:t xml:space="preserve"> minutes)</w:t>
            </w:r>
          </w:p>
        </w:tc>
        <w:tc>
          <w:tcPr>
            <w:tcW w:w="1034" w:type="dxa"/>
            <w:gridSpan w:val="2"/>
            <w:vAlign w:val="center"/>
          </w:tcPr>
          <w:p w:rsidR="00E26752" w:rsidRPr="00DA7983" w:rsidP="00E26752" w14:paraId="3CE062BE" w14:textId="756AC067">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w:t>
            </w:r>
            <w:r w:rsidR="009337AF">
              <w:rPr>
                <w:rFonts w:ascii="Times New Roman" w:eastAsia="Times New Roman" w:hAnsi="Times New Roman" w:cs="Times New Roman"/>
                <w:b/>
                <w:sz w:val="16"/>
                <w:szCs w:val="24"/>
              </w:rPr>
              <w:t>94</w:t>
            </w:r>
          </w:p>
        </w:tc>
      </w:tr>
      <w:tr w14:paraId="34F320D2" w14:textId="77777777" w:rsidTr="003920EF">
        <w:tblPrEx>
          <w:tblW w:w="8922" w:type="dxa"/>
          <w:tblInd w:w="180" w:type="dxa"/>
          <w:tblLayout w:type="fixed"/>
          <w:tblCellMar>
            <w:left w:w="29" w:type="dxa"/>
            <w:right w:w="29" w:type="dxa"/>
          </w:tblCellMar>
          <w:tblLook w:val="00A0"/>
        </w:tblPrEx>
        <w:trPr>
          <w:cantSplit/>
          <w:trHeight w:val="98"/>
        </w:trPr>
        <w:tc>
          <w:tcPr>
            <w:tcW w:w="2066" w:type="dxa"/>
            <w:vAlign w:val="center"/>
          </w:tcPr>
          <w:p w:rsidR="00BE1FCB" w:rsidRPr="00DA7983" w:rsidP="00F3750D" w14:paraId="1670D87D" w14:textId="77777777">
            <w:pPr>
              <w:keepNext/>
              <w:autoSpaceDE w:val="0"/>
              <w:autoSpaceDN w:val="0"/>
              <w:adjustRightInd w:val="0"/>
              <w:ind w:left="180"/>
              <w:rPr>
                <w:rFonts w:ascii="Times New Roman" w:eastAsia="Times New Roman" w:hAnsi="Times New Roman" w:cs="Times New Roman"/>
                <w:b/>
                <w:sz w:val="16"/>
                <w:szCs w:val="24"/>
              </w:rPr>
            </w:pPr>
            <w:r w:rsidRPr="00DA7983">
              <w:rPr>
                <w:rFonts w:ascii="Times New Roman" w:eastAsia="Times New Roman" w:hAnsi="Times New Roman" w:cs="Times New Roman"/>
                <w:b/>
                <w:sz w:val="16"/>
                <w:szCs w:val="24"/>
              </w:rPr>
              <w:t>Total Annualized Hours</w:t>
            </w:r>
          </w:p>
        </w:tc>
        <w:tc>
          <w:tcPr>
            <w:tcW w:w="1624" w:type="dxa"/>
            <w:gridSpan w:val="2"/>
            <w:vAlign w:val="center"/>
          </w:tcPr>
          <w:p w:rsidR="00BE1FCB" w:rsidRPr="00DA7983" w:rsidP="00F3750D" w14:paraId="022DDE33" w14:textId="77777777">
            <w:pPr>
              <w:keepNext/>
              <w:autoSpaceDE w:val="0"/>
              <w:autoSpaceDN w:val="0"/>
              <w:adjustRightInd w:val="0"/>
              <w:ind w:left="180"/>
              <w:rPr>
                <w:rFonts w:ascii="Times New Roman" w:eastAsia="Times New Roman" w:hAnsi="Times New Roman" w:cs="Times New Roman"/>
                <w:sz w:val="16"/>
                <w:szCs w:val="24"/>
              </w:rPr>
            </w:pPr>
          </w:p>
        </w:tc>
        <w:tc>
          <w:tcPr>
            <w:tcW w:w="1018" w:type="dxa"/>
            <w:vAlign w:val="center"/>
          </w:tcPr>
          <w:p w:rsidR="00BE1FCB" w:rsidRPr="00DA7983" w:rsidP="00F3750D" w14:paraId="34B1F324" w14:textId="77777777">
            <w:pPr>
              <w:keepNext/>
              <w:tabs>
                <w:tab w:val="decimal" w:pos="932"/>
              </w:tabs>
              <w:autoSpaceDE w:val="0"/>
              <w:autoSpaceDN w:val="0"/>
              <w:adjustRightInd w:val="0"/>
              <w:ind w:left="180"/>
              <w:jc w:val="right"/>
              <w:rPr>
                <w:rFonts w:ascii="Times New Roman" w:eastAsia="Times New Roman" w:hAnsi="Times New Roman" w:cs="Times New Roman"/>
                <w:sz w:val="16"/>
                <w:szCs w:val="24"/>
              </w:rPr>
            </w:pPr>
          </w:p>
        </w:tc>
        <w:tc>
          <w:tcPr>
            <w:tcW w:w="1052" w:type="dxa"/>
            <w:gridSpan w:val="2"/>
            <w:vAlign w:val="center"/>
          </w:tcPr>
          <w:p w:rsidR="00BE1FCB" w:rsidRPr="00DA7983" w:rsidP="00F3750D" w14:paraId="29C970CB" w14:textId="77777777">
            <w:pPr>
              <w:keepNext/>
              <w:autoSpaceDE w:val="0"/>
              <w:autoSpaceDN w:val="0"/>
              <w:adjustRightInd w:val="0"/>
              <w:ind w:left="180"/>
              <w:jc w:val="right"/>
              <w:rPr>
                <w:rFonts w:ascii="Times New Roman" w:eastAsia="Times New Roman" w:hAnsi="Times New Roman" w:cs="Times New Roman"/>
                <w:sz w:val="16"/>
                <w:szCs w:val="24"/>
              </w:rPr>
            </w:pPr>
          </w:p>
        </w:tc>
        <w:tc>
          <w:tcPr>
            <w:tcW w:w="990" w:type="dxa"/>
            <w:vAlign w:val="center"/>
          </w:tcPr>
          <w:p w:rsidR="00BE1FCB" w:rsidRPr="00DA7983" w:rsidP="00F3750D" w14:paraId="2FF8D584" w14:textId="77777777">
            <w:pPr>
              <w:keepNext/>
              <w:tabs>
                <w:tab w:val="decimal" w:pos="710"/>
              </w:tabs>
              <w:autoSpaceDE w:val="0"/>
              <w:autoSpaceDN w:val="0"/>
              <w:adjustRightInd w:val="0"/>
              <w:ind w:left="180"/>
              <w:jc w:val="right"/>
              <w:rPr>
                <w:rFonts w:ascii="Times New Roman" w:eastAsia="Times New Roman" w:hAnsi="Times New Roman" w:cs="Times New Roman"/>
                <w:sz w:val="16"/>
                <w:szCs w:val="24"/>
              </w:rPr>
            </w:pPr>
          </w:p>
        </w:tc>
        <w:tc>
          <w:tcPr>
            <w:tcW w:w="1138" w:type="dxa"/>
            <w:vAlign w:val="center"/>
          </w:tcPr>
          <w:p w:rsidR="00BE1FCB" w:rsidRPr="00DA7983" w:rsidP="00F3750D" w14:paraId="78240483" w14:textId="77777777">
            <w:pPr>
              <w:keepNext/>
              <w:tabs>
                <w:tab w:val="decimal" w:pos="454"/>
              </w:tabs>
              <w:autoSpaceDE w:val="0"/>
              <w:autoSpaceDN w:val="0"/>
              <w:adjustRightInd w:val="0"/>
              <w:ind w:left="180"/>
              <w:jc w:val="right"/>
              <w:rPr>
                <w:rFonts w:ascii="Times New Roman" w:eastAsia="Times New Roman" w:hAnsi="Times New Roman" w:cs="Times New Roman"/>
                <w:sz w:val="16"/>
                <w:szCs w:val="24"/>
              </w:rPr>
            </w:pPr>
          </w:p>
        </w:tc>
        <w:tc>
          <w:tcPr>
            <w:tcW w:w="1034" w:type="dxa"/>
            <w:gridSpan w:val="2"/>
            <w:vAlign w:val="center"/>
          </w:tcPr>
          <w:p w:rsidR="00BE1FCB" w:rsidRPr="00DA7983" w:rsidP="00F3750D" w14:paraId="18CE1472" w14:textId="42A8B9AC">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868</w:t>
            </w:r>
          </w:p>
        </w:tc>
      </w:tr>
    </w:tbl>
    <w:p w:rsidR="007E58CF" w:rsidP="00BE1FCB" w14:paraId="2F336D8E" w14:textId="77777777">
      <w:pPr>
        <w:autoSpaceDE w:val="0"/>
        <w:autoSpaceDN w:val="0"/>
        <w:adjustRightInd w:val="0"/>
        <w:ind w:left="180"/>
        <w:jc w:val="both"/>
        <w:rPr>
          <w:rFonts w:ascii="Times New Roman" w:eastAsia="Times New Roman" w:hAnsi="Times New Roman" w:cs="Times New Roman"/>
          <w:szCs w:val="24"/>
          <w:u w:val="single"/>
        </w:rPr>
      </w:pPr>
    </w:p>
    <w:p w:rsidR="00BE1FCB" w:rsidRPr="008265FC" w:rsidP="00BE1FCB" w14:paraId="7E35F210" w14:textId="62FE9ACE">
      <w:pPr>
        <w:autoSpaceDE w:val="0"/>
        <w:autoSpaceDN w:val="0"/>
        <w:adjustRightInd w:val="0"/>
        <w:ind w:left="180"/>
        <w:jc w:val="both"/>
        <w:rPr>
          <w:rFonts w:ascii="Times New Roman" w:eastAsia="Times New Roman" w:hAnsi="Times New Roman" w:cs="Times New Roman"/>
          <w:szCs w:val="24"/>
          <w:u w:val="single"/>
        </w:rPr>
      </w:pPr>
      <w:r w:rsidRPr="00810AC2">
        <w:rPr>
          <w:rFonts w:ascii="Times New Roman" w:eastAsia="Times New Roman" w:hAnsi="Times New Roman" w:cs="Times New Roman"/>
          <w:szCs w:val="24"/>
        </w:rPr>
        <w:t xml:space="preserve">12b. </w:t>
      </w:r>
      <w:r w:rsidRPr="008265FC">
        <w:rPr>
          <w:rFonts w:ascii="Times New Roman" w:eastAsia="Times New Roman" w:hAnsi="Times New Roman" w:cs="Times New Roman"/>
          <w:szCs w:val="24"/>
          <w:u w:val="single"/>
        </w:rPr>
        <w:t>Annualized Cost Burden Estimate</w:t>
      </w:r>
    </w:p>
    <w:p w:rsidR="00810AC2" w:rsidP="00BE1FCB" w14:paraId="7BB5C25B" w14:textId="77777777">
      <w:pPr>
        <w:autoSpaceDE w:val="0"/>
        <w:autoSpaceDN w:val="0"/>
        <w:adjustRightInd w:val="0"/>
        <w:ind w:left="180"/>
        <w:rPr>
          <w:rFonts w:ascii="Times New Roman" w:eastAsia="Times New Roman" w:hAnsi="Times New Roman" w:cs="Times New Roman"/>
          <w:szCs w:val="24"/>
        </w:rPr>
      </w:pPr>
    </w:p>
    <w:p w:rsidR="00BE1FCB" w:rsidP="00BE1FCB" w14:paraId="2F564EA1" w14:textId="3AFA7081">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Respondents participate on a purely voluntary basis and, therefore, are subject to no direct costs other than time to participate. There are also no start-up or maintenance costs. </w:t>
      </w:r>
    </w:p>
    <w:p w:rsidR="007E58CF" w:rsidRPr="008265FC" w:rsidP="00BE1FCB" w14:paraId="1AD6D22A" w14:textId="77777777">
      <w:pPr>
        <w:autoSpaceDE w:val="0"/>
        <w:autoSpaceDN w:val="0"/>
        <w:adjustRightInd w:val="0"/>
        <w:ind w:left="180"/>
        <w:rPr>
          <w:rFonts w:ascii="Times New Roman" w:eastAsia="Times New Roman" w:hAnsi="Times New Roman" w:cs="Times New Roman"/>
          <w:szCs w:val="24"/>
        </w:rPr>
      </w:pPr>
    </w:p>
    <w:p w:rsidR="008C2BBD" w:rsidP="00BE1FCB" w14:paraId="352D3848" w14:textId="77777777">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To calculate </w:t>
      </w:r>
      <w:bookmarkStart w:id="24" w:name="_Hlk46317441"/>
      <w:r w:rsidRPr="008A72B9" w:rsidR="008A72B9">
        <w:rPr>
          <w:rFonts w:ascii="Times New Roman" w:eastAsia="Times New Roman" w:hAnsi="Times New Roman" w:cs="Times New Roman"/>
          <w:szCs w:val="24"/>
        </w:rPr>
        <w:t xml:space="preserve">the estimate annual </w:t>
      </w:r>
      <w:r w:rsidRPr="008265FC">
        <w:rPr>
          <w:rFonts w:ascii="Times New Roman" w:eastAsia="Times New Roman" w:hAnsi="Times New Roman" w:cs="Times New Roman"/>
          <w:szCs w:val="24"/>
        </w:rPr>
        <w:t>cost, the mean hourly wage of $7.25 was used for youth</w:t>
      </w:r>
      <w:r w:rsidR="00E031B2">
        <w:rPr>
          <w:rFonts w:ascii="Times New Roman" w:eastAsia="Times New Roman" w:hAnsi="Times New Roman" w:cs="Times New Roman"/>
          <w:szCs w:val="24"/>
        </w:rPr>
        <w:t xml:space="preserve"> and </w:t>
      </w:r>
      <w:r w:rsidRPr="00427FC4" w:rsidR="00427FC4">
        <w:rPr>
          <w:rFonts w:ascii="Times New Roman" w:eastAsia="Times New Roman" w:hAnsi="Times New Roman" w:cs="Times New Roman"/>
          <w:szCs w:val="24"/>
        </w:rPr>
        <w:t>$</w:t>
      </w:r>
      <w:r w:rsidRPr="00CC46B3" w:rsidR="00CC46B3">
        <w:rPr>
          <w:rFonts w:ascii="Times New Roman" w:eastAsia="Times New Roman" w:hAnsi="Times New Roman" w:cs="Times New Roman"/>
          <w:szCs w:val="24"/>
        </w:rPr>
        <w:t xml:space="preserve">26.95 </w:t>
      </w:r>
      <w:r w:rsidRPr="00427FC4" w:rsidR="00427FC4">
        <w:rPr>
          <w:rFonts w:ascii="Times New Roman" w:eastAsia="Times New Roman" w:hAnsi="Times New Roman" w:cs="Times New Roman"/>
          <w:szCs w:val="24"/>
        </w:rPr>
        <w:t xml:space="preserve">was used for </w:t>
      </w:r>
      <w:r w:rsidR="00E031B2">
        <w:rPr>
          <w:rFonts w:ascii="Times New Roman" w:eastAsia="Times New Roman" w:hAnsi="Times New Roman" w:cs="Times New Roman"/>
          <w:szCs w:val="24"/>
        </w:rPr>
        <w:t>young adults</w:t>
      </w:r>
      <w:r>
        <w:rPr>
          <w:rFonts w:ascii="Times New Roman" w:eastAsia="Times New Roman" w:hAnsi="Times New Roman" w:cs="Times New Roman"/>
          <w:szCs w:val="24"/>
        </w:rPr>
        <w:t xml:space="preserve">. </w:t>
      </w:r>
      <w:bookmarkEnd w:id="24"/>
      <w:r w:rsidRPr="00C44863" w:rsidR="00C44863">
        <w:rPr>
          <w:rFonts w:ascii="Times New Roman" w:eastAsia="Times New Roman" w:hAnsi="Times New Roman" w:cs="Times New Roman"/>
          <w:szCs w:val="24"/>
        </w:rPr>
        <w:t xml:space="preserve">The youth price represents the minimum wage, and the </w:t>
      </w:r>
      <w:r w:rsidR="00C44863">
        <w:rPr>
          <w:rFonts w:ascii="Times New Roman" w:eastAsia="Times New Roman" w:hAnsi="Times New Roman" w:cs="Times New Roman"/>
          <w:szCs w:val="24"/>
        </w:rPr>
        <w:t>young adult</w:t>
      </w:r>
      <w:r w:rsidRPr="00C44863" w:rsidR="00C44863">
        <w:rPr>
          <w:rFonts w:ascii="Times New Roman" w:eastAsia="Times New Roman" w:hAnsi="Times New Roman" w:cs="Times New Roman"/>
          <w:szCs w:val="24"/>
        </w:rPr>
        <w:t xml:space="preserve"> costs represent the mean hourly wage for </w:t>
      </w:r>
      <w:r w:rsidR="00B00EFE">
        <w:rPr>
          <w:rFonts w:ascii="Times New Roman" w:eastAsia="Times New Roman" w:hAnsi="Times New Roman" w:cs="Times New Roman"/>
          <w:szCs w:val="24"/>
        </w:rPr>
        <w:t>other</w:t>
      </w:r>
      <w:r w:rsidRPr="00C44863" w:rsidR="00C44863">
        <w:rPr>
          <w:rFonts w:ascii="Times New Roman" w:eastAsia="Times New Roman" w:hAnsi="Times New Roman" w:cs="Times New Roman"/>
          <w:szCs w:val="24"/>
        </w:rPr>
        <w:t xml:space="preserve"> occupation</w:t>
      </w:r>
      <w:r w:rsidR="00E53B28">
        <w:rPr>
          <w:rFonts w:ascii="Times New Roman" w:eastAsia="Times New Roman" w:hAnsi="Times New Roman" w:cs="Times New Roman"/>
          <w:szCs w:val="24"/>
        </w:rPr>
        <w:t xml:space="preserve"> earning</w:t>
      </w:r>
      <w:r w:rsidRPr="00C44863" w:rsidR="00C44863">
        <w:rPr>
          <w:rFonts w:ascii="Times New Roman" w:eastAsia="Times New Roman" w:hAnsi="Times New Roman" w:cs="Times New Roman"/>
          <w:szCs w:val="24"/>
        </w:rPr>
        <w:t xml:space="preserve">s from the </w:t>
      </w:r>
      <w:r w:rsidRPr="005E3BBC" w:rsidR="005E3BBC">
        <w:rPr>
          <w:rFonts w:ascii="Times New Roman" w:eastAsia="Times New Roman" w:hAnsi="Times New Roman" w:cs="Times New Roman"/>
          <w:szCs w:val="24"/>
        </w:rPr>
        <w:t>U.S. Department of Labor Bureau of Labor Statistics</w:t>
      </w:r>
      <w:r w:rsidRPr="00C44863" w:rsidR="00C44863">
        <w:rPr>
          <w:rFonts w:ascii="Times New Roman" w:eastAsia="Times New Roman" w:hAnsi="Times New Roman" w:cs="Times New Roman"/>
          <w:szCs w:val="24"/>
        </w:rPr>
        <w:t xml:space="preserve"> (May 20</w:t>
      </w:r>
      <w:r w:rsidR="00E75926">
        <w:rPr>
          <w:rFonts w:ascii="Times New Roman" w:eastAsia="Times New Roman" w:hAnsi="Times New Roman" w:cs="Times New Roman"/>
          <w:szCs w:val="24"/>
        </w:rPr>
        <w:t xml:space="preserve">20 </w:t>
      </w:r>
      <w:r w:rsidRPr="00C44863" w:rsidR="00C44863">
        <w:rPr>
          <w:rFonts w:ascii="Times New Roman" w:eastAsia="Times New Roman" w:hAnsi="Times New Roman" w:cs="Times New Roman"/>
          <w:szCs w:val="24"/>
        </w:rPr>
        <w:t xml:space="preserve">data). </w:t>
      </w:r>
    </w:p>
    <w:p w:rsidR="008C2BBD" w:rsidP="00BE1FCB" w14:paraId="5E810691" w14:textId="77777777">
      <w:pPr>
        <w:autoSpaceDE w:val="0"/>
        <w:autoSpaceDN w:val="0"/>
        <w:adjustRightInd w:val="0"/>
        <w:ind w:left="180"/>
        <w:rPr>
          <w:rFonts w:ascii="Times New Roman" w:eastAsia="Times New Roman" w:hAnsi="Times New Roman" w:cs="Times New Roman"/>
          <w:szCs w:val="24"/>
        </w:rPr>
      </w:pPr>
    </w:p>
    <w:p w:rsidR="00BE1FCB" w:rsidRPr="008265FC" w:rsidP="00BE1FCB" w14:paraId="1D132FF6" w14:textId="02E1980A">
      <w:pPr>
        <w:autoSpaceDE w:val="0"/>
        <w:autoSpaceDN w:val="0"/>
        <w:adjustRightInd w:val="0"/>
        <w:ind w:left="180"/>
        <w:rPr>
          <w:rFonts w:ascii="Times New Roman" w:eastAsia="Times New Roman" w:hAnsi="Times New Roman" w:cs="Times New Roman"/>
          <w:szCs w:val="24"/>
        </w:rPr>
      </w:pPr>
      <w:r w:rsidRPr="0091733F">
        <w:rPr>
          <w:rFonts w:ascii="Times New Roman" w:eastAsia="Times New Roman" w:hAnsi="Times New Roman" w:cs="Times New Roman"/>
          <w:szCs w:val="24"/>
        </w:rPr>
        <w:t>RTI has conducted many smoking-related surveys of similar length among youth</w:t>
      </w:r>
      <w:r>
        <w:rPr>
          <w:rFonts w:ascii="Times New Roman" w:eastAsia="Times New Roman" w:hAnsi="Times New Roman" w:cs="Times New Roman"/>
          <w:szCs w:val="24"/>
        </w:rPr>
        <w:t xml:space="preserve"> and adults</w:t>
      </w:r>
      <w:r w:rsidRPr="0091733F">
        <w:rPr>
          <w:rFonts w:ascii="Times New Roman" w:eastAsia="Times New Roman" w:hAnsi="Times New Roman" w:cs="Times New Roman"/>
          <w:szCs w:val="24"/>
        </w:rPr>
        <w:t xml:space="preserve">. </w:t>
      </w:r>
      <w:r w:rsidRPr="00134DCE" w:rsidR="00134DCE">
        <w:rPr>
          <w:rFonts w:ascii="Times New Roman" w:eastAsia="Times New Roman" w:hAnsi="Times New Roman" w:cs="Times New Roman"/>
          <w:szCs w:val="24"/>
        </w:rPr>
        <w:t xml:space="preserve">We have examined diagnostic data from each of these prior surveys and estimate that data </w:t>
      </w:r>
      <w:r w:rsidRPr="00765F6A" w:rsidR="00134DCE">
        <w:rPr>
          <w:rFonts w:ascii="Times New Roman" w:eastAsia="Times New Roman" w:hAnsi="Times New Roman" w:cs="Times New Roman"/>
          <w:szCs w:val="24"/>
        </w:rPr>
        <w:t xml:space="preserve">collection for this study will take, on average, </w:t>
      </w:r>
      <w:r w:rsidRPr="00765F6A" w:rsidR="00495504">
        <w:rPr>
          <w:rFonts w:ascii="Times New Roman" w:eastAsia="Times New Roman" w:hAnsi="Times New Roman" w:cs="Times New Roman"/>
          <w:szCs w:val="24"/>
        </w:rPr>
        <w:t>2.5</w:t>
      </w:r>
      <w:r w:rsidRPr="00765F6A" w:rsidR="00804FE9">
        <w:rPr>
          <w:rFonts w:ascii="Times New Roman" w:eastAsia="Times New Roman" w:hAnsi="Times New Roman" w:cs="Times New Roman"/>
          <w:szCs w:val="24"/>
        </w:rPr>
        <w:t xml:space="preserve"> minutes per respondent for screening, </w:t>
      </w:r>
      <w:r w:rsidRPr="00765F6A" w:rsidR="00495504">
        <w:rPr>
          <w:rFonts w:ascii="Times New Roman" w:eastAsia="Times New Roman" w:hAnsi="Times New Roman" w:cs="Times New Roman"/>
          <w:szCs w:val="24"/>
        </w:rPr>
        <w:t>2.5</w:t>
      </w:r>
      <w:r w:rsidRPr="00765F6A" w:rsidR="00804FE9">
        <w:rPr>
          <w:rFonts w:ascii="Times New Roman" w:eastAsia="Times New Roman" w:hAnsi="Times New Roman" w:cs="Times New Roman"/>
          <w:szCs w:val="24"/>
        </w:rPr>
        <w:t xml:space="preserve"> minutes per respondent for assenting/consenting, and approximately 1</w:t>
      </w:r>
      <w:r w:rsidRPr="00765F6A" w:rsidR="006722E2">
        <w:rPr>
          <w:rFonts w:ascii="Times New Roman" w:eastAsia="Times New Roman" w:hAnsi="Times New Roman" w:cs="Times New Roman"/>
          <w:szCs w:val="24"/>
        </w:rPr>
        <w:t>5</w:t>
      </w:r>
      <w:r w:rsidRPr="00765F6A" w:rsidR="00804FE9">
        <w:rPr>
          <w:rFonts w:ascii="Times New Roman" w:eastAsia="Times New Roman" w:hAnsi="Times New Roman" w:cs="Times New Roman"/>
          <w:szCs w:val="24"/>
        </w:rPr>
        <w:t xml:space="preserve"> minutes per respondent for the online surveys</w:t>
      </w:r>
      <w:r w:rsidRPr="00765F6A" w:rsidR="00134DCE">
        <w:rPr>
          <w:rFonts w:ascii="Times New Roman" w:eastAsia="Times New Roman" w:hAnsi="Times New Roman" w:cs="Times New Roman"/>
          <w:szCs w:val="24"/>
        </w:rPr>
        <w:t xml:space="preserve">. </w:t>
      </w:r>
      <w:r w:rsidRPr="00765F6A">
        <w:rPr>
          <w:rFonts w:ascii="Times New Roman" w:eastAsia="Times New Roman" w:hAnsi="Times New Roman" w:cs="Times New Roman"/>
          <w:szCs w:val="24"/>
        </w:rPr>
        <w:t>Thus, assuming an average hourly wage of $7.25 and $</w:t>
      </w:r>
      <w:r w:rsidRPr="00765F6A" w:rsidR="004C0C3A">
        <w:rPr>
          <w:rFonts w:ascii="Times New Roman" w:eastAsia="Times New Roman" w:hAnsi="Times New Roman" w:cs="Times New Roman"/>
          <w:szCs w:val="24"/>
        </w:rPr>
        <w:t xml:space="preserve">26.95 </w:t>
      </w:r>
      <w:r w:rsidRPr="00765F6A">
        <w:rPr>
          <w:rFonts w:ascii="Times New Roman" w:eastAsia="Times New Roman" w:hAnsi="Times New Roman" w:cs="Times New Roman"/>
          <w:szCs w:val="24"/>
        </w:rPr>
        <w:t xml:space="preserve">(youth and </w:t>
      </w:r>
      <w:r w:rsidRPr="00765F6A" w:rsidR="004C0C3A">
        <w:rPr>
          <w:rFonts w:ascii="Times New Roman" w:eastAsia="Times New Roman" w:hAnsi="Times New Roman" w:cs="Times New Roman"/>
          <w:szCs w:val="24"/>
        </w:rPr>
        <w:t>young adult</w:t>
      </w:r>
      <w:r w:rsidRPr="00765F6A" w:rsidR="00C52708">
        <w:rPr>
          <w:rFonts w:ascii="Times New Roman" w:eastAsia="Times New Roman" w:hAnsi="Times New Roman" w:cs="Times New Roman"/>
          <w:szCs w:val="24"/>
        </w:rPr>
        <w:t>, respectively</w:t>
      </w:r>
      <w:r w:rsidRPr="00765F6A">
        <w:rPr>
          <w:rFonts w:ascii="Times New Roman" w:eastAsia="Times New Roman" w:hAnsi="Times New Roman" w:cs="Times New Roman"/>
          <w:szCs w:val="24"/>
        </w:rPr>
        <w:t xml:space="preserve">), the estimated one-year annualized cost to participants will be </w:t>
      </w:r>
      <w:r w:rsidRPr="00765F6A" w:rsidR="00E85BBE">
        <w:rPr>
          <w:rFonts w:ascii="Times New Roman" w:eastAsia="Times New Roman" w:hAnsi="Times New Roman" w:cs="Times New Roman"/>
          <w:szCs w:val="24"/>
        </w:rPr>
        <w:t>$</w:t>
      </w:r>
      <w:r w:rsidR="005B3FB7">
        <w:rPr>
          <w:rFonts w:ascii="Times New Roman" w:eastAsia="Times New Roman" w:hAnsi="Times New Roman" w:cs="Times New Roman"/>
          <w:szCs w:val="24"/>
        </w:rPr>
        <w:t>14,</w:t>
      </w:r>
      <w:r w:rsidR="006B33B8">
        <w:rPr>
          <w:rFonts w:ascii="Times New Roman" w:eastAsia="Times New Roman" w:hAnsi="Times New Roman" w:cs="Times New Roman"/>
          <w:szCs w:val="24"/>
        </w:rPr>
        <w:t>843</w:t>
      </w:r>
      <w:r w:rsidRPr="00765F6A">
        <w:rPr>
          <w:rFonts w:ascii="Times New Roman" w:eastAsia="Times New Roman" w:hAnsi="Times New Roman" w:cs="Times New Roman"/>
          <w:szCs w:val="24"/>
        </w:rPr>
        <w:t>. The estimated</w:t>
      </w:r>
      <w:r w:rsidRPr="008265FC">
        <w:rPr>
          <w:rFonts w:ascii="Times New Roman" w:eastAsia="Times New Roman" w:hAnsi="Times New Roman" w:cs="Times New Roman"/>
          <w:szCs w:val="24"/>
        </w:rPr>
        <w:t xml:space="preserve"> value of respondents’ time for participating in the information collection is summarized in </w:t>
      </w:r>
      <w:r>
        <w:rPr>
          <w:rFonts w:ascii="Times New Roman" w:eastAsia="Times New Roman" w:hAnsi="Times New Roman" w:cs="Times New Roman"/>
          <w:szCs w:val="24"/>
        </w:rPr>
        <w:t>Table 2</w:t>
      </w:r>
      <w:r w:rsidRPr="008265FC">
        <w:rPr>
          <w:rFonts w:ascii="Times New Roman" w:eastAsia="Times New Roman" w:hAnsi="Times New Roman" w:cs="Times New Roman"/>
          <w:szCs w:val="24"/>
        </w:rPr>
        <w:t>.</w:t>
      </w:r>
    </w:p>
    <w:p w:rsidR="00BE1FCB" w:rsidP="00BE1FCB" w14:paraId="0423B00F" w14:textId="77777777">
      <w:pPr>
        <w:keepNext/>
        <w:keepLines/>
        <w:autoSpaceDE w:val="0"/>
        <w:autoSpaceDN w:val="0"/>
        <w:adjustRightInd w:val="0"/>
        <w:ind w:left="180"/>
        <w:rPr>
          <w:rFonts w:ascii="Times New Roman" w:eastAsia="Times New Roman" w:hAnsi="Times New Roman" w:cs="Times New Roman"/>
          <w:b/>
          <w:szCs w:val="24"/>
        </w:rPr>
      </w:pPr>
    </w:p>
    <w:p w:rsidR="00BE1FCB" w:rsidRPr="008265FC" w:rsidP="00BE1FCB" w14:paraId="6825F20F" w14:textId="77777777">
      <w:pPr>
        <w:keepNext/>
        <w:keepLines/>
        <w:autoSpaceDE w:val="0"/>
        <w:autoSpaceDN w:val="0"/>
        <w:adjustRightInd w:val="0"/>
        <w:ind w:left="180"/>
        <w:rPr>
          <w:rFonts w:ascii="Times New Roman" w:eastAsia="Times New Roman" w:hAnsi="Times New Roman" w:cs="Times New Roman"/>
          <w:b/>
          <w:szCs w:val="24"/>
        </w:rPr>
      </w:pPr>
      <w:r w:rsidRPr="008265FC">
        <w:rPr>
          <w:rFonts w:ascii="Times New Roman" w:eastAsia="Times New Roman" w:hAnsi="Times New Roman" w:cs="Times New Roman"/>
          <w:b/>
          <w:szCs w:val="24"/>
        </w:rPr>
        <w:t xml:space="preserve">Table </w:t>
      </w:r>
      <w:r>
        <w:rPr>
          <w:rFonts w:ascii="Times New Roman" w:eastAsia="Times New Roman" w:hAnsi="Times New Roman" w:cs="Times New Roman"/>
          <w:b/>
          <w:szCs w:val="24"/>
        </w:rPr>
        <w:t>2</w:t>
      </w:r>
      <w:r w:rsidRPr="008265FC">
        <w:rPr>
          <w:rFonts w:ascii="Times New Roman" w:eastAsia="Times New Roman" w:hAnsi="Times New Roman" w:cs="Times New Roman"/>
          <w:b/>
          <w:szCs w:val="24"/>
        </w:rPr>
        <w:t>. Estimated Annual Cost</w:t>
      </w:r>
    </w:p>
    <w:tbl>
      <w:tblPr>
        <w:tblW w:w="828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2070"/>
        <w:gridCol w:w="2402"/>
        <w:gridCol w:w="1350"/>
        <w:gridCol w:w="1080"/>
        <w:gridCol w:w="1378"/>
      </w:tblGrid>
      <w:tr w14:paraId="7F676096" w14:textId="77777777" w:rsidTr="00D63FEC">
        <w:tblPrEx>
          <w:tblW w:w="828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blHeader/>
        </w:trPr>
        <w:tc>
          <w:tcPr>
            <w:tcW w:w="2070" w:type="dxa"/>
            <w:vAlign w:val="bottom"/>
          </w:tcPr>
          <w:p w:rsidR="00BE1FCB" w:rsidRPr="008265FC" w:rsidP="00F3750D" w14:paraId="12C415A6" w14:textId="77777777">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Type of Respondent</w:t>
            </w:r>
          </w:p>
        </w:tc>
        <w:tc>
          <w:tcPr>
            <w:tcW w:w="2402" w:type="dxa"/>
            <w:vAlign w:val="bottom"/>
          </w:tcPr>
          <w:p w:rsidR="00BE1FCB" w:rsidRPr="008265FC" w:rsidP="00F3750D" w14:paraId="077F3FE0" w14:textId="77777777">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Activity</w:t>
            </w:r>
          </w:p>
        </w:tc>
        <w:tc>
          <w:tcPr>
            <w:tcW w:w="1350" w:type="dxa"/>
            <w:vAlign w:val="bottom"/>
          </w:tcPr>
          <w:p w:rsidR="00BE1FCB" w:rsidRPr="008265FC" w:rsidP="00F3750D" w14:paraId="37C21B30" w14:textId="77777777">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Annual Burden Hours</w:t>
            </w:r>
          </w:p>
        </w:tc>
        <w:tc>
          <w:tcPr>
            <w:tcW w:w="1080" w:type="dxa"/>
            <w:vAlign w:val="bottom"/>
          </w:tcPr>
          <w:p w:rsidR="00BE1FCB" w:rsidRPr="008265FC" w:rsidP="00F3750D" w14:paraId="2C99DDBA" w14:textId="77777777">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Hourly Wage Rate</w:t>
            </w:r>
          </w:p>
        </w:tc>
        <w:tc>
          <w:tcPr>
            <w:tcW w:w="1378" w:type="dxa"/>
            <w:vAlign w:val="bottom"/>
          </w:tcPr>
          <w:p w:rsidR="00BE1FCB" w:rsidRPr="008265FC" w:rsidP="00F3750D" w14:paraId="25DBE185" w14:textId="77777777">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Total Cost</w:t>
            </w:r>
            <w:r w:rsidRPr="0058491C">
              <w:rPr>
                <w:rFonts w:ascii="Times New Roman" w:eastAsia="Times New Roman" w:hAnsi="Times New Roman" w:cs="Times New Roman"/>
                <w:b/>
                <w:sz w:val="18"/>
                <w:szCs w:val="24"/>
                <w:vertAlign w:val="superscript"/>
              </w:rPr>
              <w:t>1</w:t>
            </w:r>
          </w:p>
        </w:tc>
      </w:tr>
      <w:tr w14:paraId="0E7ACC8E" w14:textId="77777777" w:rsidTr="00D63FEC">
        <w:tblPrEx>
          <w:tblW w:w="8280" w:type="dxa"/>
          <w:tblInd w:w="720" w:type="dxa"/>
          <w:tblLayout w:type="fixed"/>
          <w:tblCellMar>
            <w:left w:w="58" w:type="dxa"/>
            <w:right w:w="58" w:type="dxa"/>
          </w:tblCellMar>
          <w:tblLook w:val="00A0"/>
        </w:tblPrEx>
        <w:trPr>
          <w:cantSplit/>
        </w:trPr>
        <w:tc>
          <w:tcPr>
            <w:tcW w:w="2070" w:type="dxa"/>
            <w:vMerge w:val="restart"/>
            <w:vAlign w:val="center"/>
          </w:tcPr>
          <w:p w:rsidR="004A062E" w:rsidRPr="00DA7983" w:rsidP="005055A6" w14:paraId="6766E7B1" w14:textId="77777777">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 xml:space="preserve">Youth aged </w:t>
            </w:r>
          </w:p>
          <w:p w:rsidR="004A062E" w:rsidRPr="00DA7983" w:rsidP="005055A6" w14:paraId="3BF16051" w14:textId="0BED783A">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1</w:t>
            </w:r>
            <w:r w:rsidRPr="00DA7983" w:rsidR="0045460B">
              <w:rPr>
                <w:rFonts w:ascii="Times New Roman" w:eastAsia="Times New Roman" w:hAnsi="Times New Roman" w:cs="Times New Roman"/>
                <w:sz w:val="16"/>
                <w:szCs w:val="24"/>
              </w:rPr>
              <w:t>5</w:t>
            </w:r>
            <w:r w:rsidRPr="00DA7983">
              <w:rPr>
                <w:rFonts w:ascii="Times New Roman" w:eastAsia="Times New Roman" w:hAnsi="Times New Roman" w:cs="Times New Roman"/>
                <w:sz w:val="16"/>
                <w:szCs w:val="24"/>
              </w:rPr>
              <w:t>–17</w:t>
            </w:r>
          </w:p>
        </w:tc>
        <w:tc>
          <w:tcPr>
            <w:tcW w:w="2402" w:type="dxa"/>
          </w:tcPr>
          <w:p w:rsidR="004A062E" w:rsidRPr="00DA7983" w:rsidP="00F3750D" w14:paraId="3608C6CA" w14:textId="77777777">
            <w:pPr>
              <w:autoSpaceDE w:val="0"/>
              <w:autoSpaceDN w:val="0"/>
              <w:adjustRightInd w:val="0"/>
              <w:ind w:left="180"/>
              <w:rPr>
                <w:rFonts w:ascii="Times New Roman" w:eastAsia="Times New Roman" w:hAnsi="Times New Roman" w:cs="Times New Roman"/>
                <w:sz w:val="16"/>
                <w:szCs w:val="24"/>
              </w:rPr>
            </w:pPr>
          </w:p>
          <w:p w:rsidR="00C13D4C" w:rsidRPr="00DA7983" w:rsidP="00C13D4C" w14:paraId="188740E2" w14:textId="77777777">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Youth Recruiting and Screening</w:t>
            </w:r>
          </w:p>
          <w:p w:rsidR="004A062E" w:rsidRPr="00DA7983" w:rsidP="00F3750D" w14:paraId="7D5D6410" w14:textId="77777777">
            <w:pPr>
              <w:autoSpaceDE w:val="0"/>
              <w:autoSpaceDN w:val="0"/>
              <w:adjustRightInd w:val="0"/>
              <w:ind w:left="180"/>
              <w:rPr>
                <w:rFonts w:ascii="Times New Roman" w:eastAsia="Times New Roman" w:hAnsi="Times New Roman" w:cs="Times New Roman"/>
                <w:sz w:val="16"/>
                <w:szCs w:val="24"/>
              </w:rPr>
            </w:pPr>
          </w:p>
        </w:tc>
        <w:tc>
          <w:tcPr>
            <w:tcW w:w="1350" w:type="dxa"/>
            <w:vAlign w:val="center"/>
          </w:tcPr>
          <w:p w:rsidR="004A062E" w:rsidRPr="00DA7983" w:rsidP="004F4DAC" w14:paraId="02D4B11A" w14:textId="6D65592B">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208</w:t>
            </w:r>
          </w:p>
        </w:tc>
        <w:tc>
          <w:tcPr>
            <w:tcW w:w="1080" w:type="dxa"/>
            <w:vAlign w:val="center"/>
          </w:tcPr>
          <w:p w:rsidR="004A062E" w:rsidRPr="00DA7983" w:rsidP="00F3750D" w14:paraId="349AEC84" w14:textId="6C8E4CBB">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$7.25</w:t>
            </w:r>
          </w:p>
        </w:tc>
        <w:tc>
          <w:tcPr>
            <w:tcW w:w="1378" w:type="dxa"/>
            <w:vAlign w:val="center"/>
          </w:tcPr>
          <w:p w:rsidR="004A062E" w:rsidRPr="00DA7983" w:rsidP="00F3750D" w14:paraId="36705507" w14:textId="0ACCACBD">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573E56">
              <w:rPr>
                <w:rFonts w:ascii="Times New Roman" w:eastAsia="Times New Roman" w:hAnsi="Times New Roman" w:cs="Times New Roman"/>
                <w:sz w:val="18"/>
                <w:szCs w:val="24"/>
              </w:rPr>
              <w:t>1,508</w:t>
            </w:r>
          </w:p>
        </w:tc>
      </w:tr>
      <w:tr w14:paraId="4FDF32FF" w14:textId="77777777" w:rsidTr="00D63FEC">
        <w:tblPrEx>
          <w:tblW w:w="8280" w:type="dxa"/>
          <w:tblInd w:w="720" w:type="dxa"/>
          <w:tblLayout w:type="fixed"/>
          <w:tblCellMar>
            <w:left w:w="58" w:type="dxa"/>
            <w:right w:w="58" w:type="dxa"/>
          </w:tblCellMar>
          <w:tblLook w:val="00A0"/>
        </w:tblPrEx>
        <w:trPr>
          <w:cantSplit/>
        </w:trPr>
        <w:tc>
          <w:tcPr>
            <w:tcW w:w="2070" w:type="dxa"/>
            <w:vMerge/>
            <w:vAlign w:val="center"/>
          </w:tcPr>
          <w:p w:rsidR="004A062E" w:rsidRPr="00DA7983" w:rsidP="00F3750D" w14:paraId="1806235A" w14:textId="77777777">
            <w:pPr>
              <w:autoSpaceDE w:val="0"/>
              <w:autoSpaceDN w:val="0"/>
              <w:adjustRightInd w:val="0"/>
              <w:ind w:left="180"/>
              <w:rPr>
                <w:rFonts w:ascii="Times New Roman" w:eastAsia="Times New Roman" w:hAnsi="Times New Roman" w:cs="Times New Roman"/>
                <w:sz w:val="16"/>
                <w:szCs w:val="24"/>
              </w:rPr>
            </w:pPr>
          </w:p>
        </w:tc>
        <w:tc>
          <w:tcPr>
            <w:tcW w:w="2402" w:type="dxa"/>
          </w:tcPr>
          <w:p w:rsidR="004A062E" w:rsidRPr="00DA7983" w:rsidP="00F3750D" w14:paraId="3E86FD46" w14:textId="77777777">
            <w:pPr>
              <w:autoSpaceDE w:val="0"/>
              <w:autoSpaceDN w:val="0"/>
              <w:adjustRightInd w:val="0"/>
              <w:ind w:left="180"/>
              <w:rPr>
                <w:rFonts w:ascii="Times New Roman" w:eastAsia="Times New Roman" w:hAnsi="Times New Roman" w:cs="Times New Roman"/>
                <w:sz w:val="16"/>
                <w:szCs w:val="24"/>
              </w:rPr>
            </w:pPr>
          </w:p>
          <w:p w:rsidR="004A062E" w:rsidRPr="00DA7983" w:rsidP="00F3750D" w14:paraId="5BAF4E81" w14:textId="40F2EBCE">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Youth Assent</w:t>
            </w:r>
          </w:p>
          <w:p w:rsidR="004A062E" w:rsidRPr="00DA7983" w:rsidP="00F3750D" w14:paraId="6F63902A" w14:textId="77777777">
            <w:pPr>
              <w:autoSpaceDE w:val="0"/>
              <w:autoSpaceDN w:val="0"/>
              <w:adjustRightInd w:val="0"/>
              <w:ind w:left="180"/>
              <w:rPr>
                <w:rFonts w:ascii="Times New Roman" w:eastAsia="Times New Roman" w:hAnsi="Times New Roman" w:cs="Times New Roman"/>
                <w:sz w:val="16"/>
                <w:szCs w:val="24"/>
              </w:rPr>
            </w:pPr>
          </w:p>
        </w:tc>
        <w:tc>
          <w:tcPr>
            <w:tcW w:w="1350" w:type="dxa"/>
            <w:vAlign w:val="center"/>
          </w:tcPr>
          <w:p w:rsidR="004A062E" w:rsidRPr="00DA7983" w:rsidP="004F4DAC" w14:paraId="599E8B46" w14:textId="596D4871">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32</w:t>
            </w:r>
          </w:p>
        </w:tc>
        <w:tc>
          <w:tcPr>
            <w:tcW w:w="1080" w:type="dxa"/>
            <w:vAlign w:val="center"/>
          </w:tcPr>
          <w:p w:rsidR="004A062E" w:rsidRPr="00DA7983" w:rsidP="00F3750D" w14:paraId="3251EB8D" w14:textId="0013AD18">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$7.25</w:t>
            </w:r>
          </w:p>
        </w:tc>
        <w:tc>
          <w:tcPr>
            <w:tcW w:w="1378" w:type="dxa"/>
            <w:vAlign w:val="center"/>
          </w:tcPr>
          <w:p w:rsidR="004A062E" w:rsidRPr="00DA7983" w:rsidP="00F3750D" w14:paraId="0BC64203" w14:textId="45DF3E0C">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D46F0F">
              <w:rPr>
                <w:rFonts w:ascii="Times New Roman" w:eastAsia="Times New Roman" w:hAnsi="Times New Roman" w:cs="Times New Roman"/>
                <w:sz w:val="18"/>
                <w:szCs w:val="24"/>
              </w:rPr>
              <w:t>2</w:t>
            </w:r>
            <w:r w:rsidR="00573E56">
              <w:rPr>
                <w:rFonts w:ascii="Times New Roman" w:eastAsia="Times New Roman" w:hAnsi="Times New Roman" w:cs="Times New Roman"/>
                <w:sz w:val="18"/>
                <w:szCs w:val="24"/>
              </w:rPr>
              <w:t>32</w:t>
            </w:r>
          </w:p>
        </w:tc>
      </w:tr>
      <w:tr w14:paraId="3BEC3BBA" w14:textId="77777777" w:rsidTr="00D63FEC">
        <w:tblPrEx>
          <w:tblW w:w="8280" w:type="dxa"/>
          <w:tblInd w:w="720" w:type="dxa"/>
          <w:tblLayout w:type="fixed"/>
          <w:tblCellMar>
            <w:left w:w="58" w:type="dxa"/>
            <w:right w:w="58" w:type="dxa"/>
          </w:tblCellMar>
          <w:tblLook w:val="00A0"/>
        </w:tblPrEx>
        <w:trPr>
          <w:cantSplit/>
          <w:trHeight w:val="417"/>
        </w:trPr>
        <w:tc>
          <w:tcPr>
            <w:tcW w:w="2070" w:type="dxa"/>
            <w:vMerge/>
            <w:vAlign w:val="center"/>
          </w:tcPr>
          <w:p w:rsidR="004A062E" w:rsidRPr="00DA7983" w:rsidP="00F3750D" w14:paraId="6F206C47" w14:textId="77777777">
            <w:pPr>
              <w:autoSpaceDE w:val="0"/>
              <w:autoSpaceDN w:val="0"/>
              <w:adjustRightInd w:val="0"/>
              <w:ind w:left="180"/>
              <w:rPr>
                <w:rFonts w:ascii="Times New Roman" w:eastAsia="Times New Roman" w:hAnsi="Times New Roman" w:cs="Times New Roman"/>
                <w:sz w:val="16"/>
                <w:szCs w:val="24"/>
              </w:rPr>
            </w:pPr>
          </w:p>
        </w:tc>
        <w:tc>
          <w:tcPr>
            <w:tcW w:w="2402" w:type="dxa"/>
            <w:vAlign w:val="center"/>
          </w:tcPr>
          <w:p w:rsidR="004A062E" w:rsidRPr="00DA7983" w:rsidP="00F3750D" w14:paraId="49E6E158" w14:textId="18CA5037">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Online Survey</w:t>
            </w:r>
          </w:p>
        </w:tc>
        <w:tc>
          <w:tcPr>
            <w:tcW w:w="1350" w:type="dxa"/>
            <w:vAlign w:val="center"/>
          </w:tcPr>
          <w:p w:rsidR="004A062E" w:rsidRPr="00DA7983" w:rsidP="004F4DAC" w14:paraId="395FC90E" w14:textId="4E469EBA">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194</w:t>
            </w:r>
          </w:p>
        </w:tc>
        <w:tc>
          <w:tcPr>
            <w:tcW w:w="1080" w:type="dxa"/>
            <w:vAlign w:val="center"/>
          </w:tcPr>
          <w:p w:rsidR="004A062E" w:rsidRPr="00DA7983" w:rsidP="00F3750D" w14:paraId="2AB100FE" w14:textId="6EC32C9C">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$7.25</w:t>
            </w:r>
          </w:p>
        </w:tc>
        <w:tc>
          <w:tcPr>
            <w:tcW w:w="1378" w:type="dxa"/>
            <w:vAlign w:val="center"/>
          </w:tcPr>
          <w:p w:rsidR="004A062E" w:rsidRPr="00DA7983" w:rsidP="00F3750D" w14:paraId="637FE11F" w14:textId="0E8E450A">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D46F0F">
              <w:rPr>
                <w:rFonts w:ascii="Times New Roman" w:eastAsia="Times New Roman" w:hAnsi="Times New Roman" w:cs="Times New Roman"/>
                <w:sz w:val="18"/>
                <w:szCs w:val="24"/>
              </w:rPr>
              <w:t>1</w:t>
            </w:r>
            <w:r w:rsidR="008613D8">
              <w:rPr>
                <w:rFonts w:ascii="Times New Roman" w:eastAsia="Times New Roman" w:hAnsi="Times New Roman" w:cs="Times New Roman"/>
                <w:sz w:val="18"/>
                <w:szCs w:val="24"/>
              </w:rPr>
              <w:t>,407</w:t>
            </w:r>
          </w:p>
        </w:tc>
      </w:tr>
      <w:tr w14:paraId="3A98DED0" w14:textId="77777777" w:rsidTr="00D63FEC">
        <w:tblPrEx>
          <w:tblW w:w="8280" w:type="dxa"/>
          <w:tblInd w:w="720" w:type="dxa"/>
          <w:tblLayout w:type="fixed"/>
          <w:tblCellMar>
            <w:left w:w="58" w:type="dxa"/>
            <w:right w:w="58" w:type="dxa"/>
          </w:tblCellMar>
          <w:tblLook w:val="00A0"/>
        </w:tblPrEx>
        <w:trPr>
          <w:cantSplit/>
          <w:trHeight w:val="444"/>
        </w:trPr>
        <w:tc>
          <w:tcPr>
            <w:tcW w:w="2070" w:type="dxa"/>
            <w:vMerge w:val="restart"/>
            <w:vAlign w:val="center"/>
          </w:tcPr>
          <w:p w:rsidR="004F4DAC" w:rsidRPr="00DA7983" w:rsidP="004F4DAC" w14:paraId="5FE8ECD3" w14:textId="0899D091">
            <w:pPr>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Young Adult aged 18-24</w:t>
            </w:r>
          </w:p>
        </w:tc>
        <w:tc>
          <w:tcPr>
            <w:tcW w:w="2402" w:type="dxa"/>
          </w:tcPr>
          <w:p w:rsidR="004F4DAC" w:rsidRPr="00DA7983" w:rsidP="004F4DAC" w14:paraId="05D23851" w14:textId="77777777">
            <w:pPr>
              <w:keepNext/>
              <w:autoSpaceDE w:val="0"/>
              <w:autoSpaceDN w:val="0"/>
              <w:adjustRightInd w:val="0"/>
              <w:ind w:left="180"/>
              <w:rPr>
                <w:rFonts w:ascii="Times New Roman" w:eastAsia="Times New Roman" w:hAnsi="Times New Roman" w:cs="Times New Roman"/>
                <w:sz w:val="16"/>
                <w:szCs w:val="24"/>
              </w:rPr>
            </w:pPr>
          </w:p>
          <w:p w:rsidR="004F4DAC" w:rsidRPr="00DA7983" w:rsidP="004F4DAC" w14:paraId="6CC730D9" w14:textId="3CD735EA">
            <w:pPr>
              <w:keepNext/>
              <w:autoSpaceDE w:val="0"/>
              <w:autoSpaceDN w:val="0"/>
              <w:adjustRightInd w:val="0"/>
              <w:ind w:left="180"/>
              <w:rPr>
                <w:rFonts w:ascii="Times New Roman" w:eastAsia="Times New Roman" w:hAnsi="Times New Roman" w:cs="Times New Roman"/>
                <w:sz w:val="16"/>
                <w:szCs w:val="24"/>
              </w:rPr>
            </w:pPr>
            <w:r w:rsidRPr="00DA7983">
              <w:rPr>
                <w:rFonts w:ascii="Times New Roman" w:eastAsia="Times New Roman" w:hAnsi="Times New Roman" w:cs="Times New Roman"/>
                <w:sz w:val="16"/>
                <w:szCs w:val="24"/>
              </w:rPr>
              <w:t>Adult Recruiting and Screening</w:t>
            </w:r>
          </w:p>
          <w:p w:rsidR="004F4DAC" w:rsidRPr="00DA7983" w:rsidP="004F4DAC" w14:paraId="30A9E23B" w14:textId="77777777">
            <w:pPr>
              <w:keepNext/>
              <w:autoSpaceDE w:val="0"/>
              <w:autoSpaceDN w:val="0"/>
              <w:adjustRightInd w:val="0"/>
              <w:ind w:left="180"/>
              <w:rPr>
                <w:rFonts w:ascii="Times New Roman" w:eastAsia="Times New Roman" w:hAnsi="Times New Roman" w:cs="Times New Roman"/>
                <w:sz w:val="18"/>
                <w:szCs w:val="24"/>
              </w:rPr>
            </w:pPr>
          </w:p>
        </w:tc>
        <w:tc>
          <w:tcPr>
            <w:tcW w:w="1350" w:type="dxa"/>
            <w:vAlign w:val="center"/>
          </w:tcPr>
          <w:p w:rsidR="004F4DAC" w:rsidRPr="00DA7983" w:rsidP="004F4DAC" w14:paraId="0058AC68" w14:textId="5B301638">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208</w:t>
            </w:r>
          </w:p>
        </w:tc>
        <w:tc>
          <w:tcPr>
            <w:tcW w:w="1080" w:type="dxa"/>
            <w:vAlign w:val="center"/>
          </w:tcPr>
          <w:p w:rsidR="004F4DAC" w:rsidRPr="00DA7983" w:rsidP="004F4DAC" w14:paraId="64DAC362" w14:textId="18C569DF">
            <w:pPr>
              <w:autoSpaceDE w:val="0"/>
              <w:autoSpaceDN w:val="0"/>
              <w:adjustRightInd w:val="0"/>
              <w:ind w:left="180"/>
              <w:jc w:val="center"/>
              <w:rPr>
                <w:rFonts w:ascii="Times New Roman" w:eastAsia="Times New Roman" w:hAnsi="Times New Roman" w:cs="Times New Roman"/>
                <w:sz w:val="18"/>
                <w:szCs w:val="18"/>
              </w:rPr>
            </w:pPr>
            <w:r w:rsidRPr="00DA7983">
              <w:rPr>
                <w:rFonts w:ascii="Times New Roman" w:eastAsia="Times New Roman" w:hAnsi="Times New Roman" w:cs="Times New Roman"/>
                <w:sz w:val="18"/>
                <w:szCs w:val="18"/>
              </w:rPr>
              <w:t xml:space="preserve">$26.95 </w:t>
            </w:r>
          </w:p>
        </w:tc>
        <w:tc>
          <w:tcPr>
            <w:tcW w:w="1378" w:type="dxa"/>
            <w:vAlign w:val="center"/>
          </w:tcPr>
          <w:p w:rsidR="004F4DAC" w:rsidRPr="00DA7983" w:rsidP="004F4DAC" w14:paraId="378669E2" w14:textId="6931AB70">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8613D8">
              <w:rPr>
                <w:rFonts w:ascii="Times New Roman" w:eastAsia="Times New Roman" w:hAnsi="Times New Roman" w:cs="Times New Roman"/>
                <w:sz w:val="18"/>
                <w:szCs w:val="24"/>
              </w:rPr>
              <w:t>5,606</w:t>
            </w:r>
          </w:p>
        </w:tc>
      </w:tr>
      <w:tr w14:paraId="72802FA4" w14:textId="77777777" w:rsidTr="00D63FEC">
        <w:tblPrEx>
          <w:tblW w:w="8280" w:type="dxa"/>
          <w:tblInd w:w="720" w:type="dxa"/>
          <w:tblLayout w:type="fixed"/>
          <w:tblCellMar>
            <w:left w:w="58" w:type="dxa"/>
            <w:right w:w="58" w:type="dxa"/>
          </w:tblCellMar>
          <w:tblLook w:val="00A0"/>
        </w:tblPrEx>
        <w:trPr>
          <w:cantSplit/>
          <w:trHeight w:val="444"/>
        </w:trPr>
        <w:tc>
          <w:tcPr>
            <w:tcW w:w="2070" w:type="dxa"/>
            <w:vMerge/>
            <w:vAlign w:val="center"/>
          </w:tcPr>
          <w:p w:rsidR="004F4DAC" w:rsidRPr="00DA7983" w:rsidP="004F4DAC" w14:paraId="15A8B7FE" w14:textId="77777777">
            <w:pPr>
              <w:autoSpaceDE w:val="0"/>
              <w:autoSpaceDN w:val="0"/>
              <w:adjustRightInd w:val="0"/>
              <w:ind w:left="180"/>
              <w:rPr>
                <w:rFonts w:ascii="Times New Roman" w:eastAsia="Times New Roman" w:hAnsi="Times New Roman" w:cs="Times New Roman"/>
                <w:sz w:val="16"/>
                <w:szCs w:val="24"/>
              </w:rPr>
            </w:pPr>
          </w:p>
        </w:tc>
        <w:tc>
          <w:tcPr>
            <w:tcW w:w="2402" w:type="dxa"/>
            <w:vAlign w:val="center"/>
          </w:tcPr>
          <w:p w:rsidR="004F4DAC" w:rsidRPr="00DA7983" w:rsidP="004F4DAC" w14:paraId="04A74A5E" w14:textId="24E56CB4">
            <w:pPr>
              <w:keepNext/>
              <w:autoSpaceDE w:val="0"/>
              <w:autoSpaceDN w:val="0"/>
              <w:adjustRightInd w:val="0"/>
              <w:ind w:left="180"/>
              <w:rPr>
                <w:rFonts w:ascii="Times New Roman" w:eastAsia="Times New Roman" w:hAnsi="Times New Roman" w:cs="Times New Roman"/>
                <w:sz w:val="16"/>
                <w:szCs w:val="16"/>
              </w:rPr>
            </w:pPr>
            <w:r w:rsidRPr="00DA7983">
              <w:rPr>
                <w:rFonts w:ascii="Times New Roman" w:eastAsia="Times New Roman" w:hAnsi="Times New Roman" w:cs="Times New Roman"/>
                <w:sz w:val="16"/>
                <w:szCs w:val="16"/>
              </w:rPr>
              <w:t xml:space="preserve">Adult Consent </w:t>
            </w:r>
          </w:p>
        </w:tc>
        <w:tc>
          <w:tcPr>
            <w:tcW w:w="1350" w:type="dxa"/>
            <w:vAlign w:val="center"/>
          </w:tcPr>
          <w:p w:rsidR="004F4DAC" w:rsidRPr="00DA7983" w:rsidP="004F4DAC" w14:paraId="20DCA961" w14:textId="1C7A4330">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w:t>
            </w:r>
            <w:r w:rsidR="00AC0B1E">
              <w:rPr>
                <w:rFonts w:ascii="Times New Roman" w:eastAsia="Times New Roman" w:hAnsi="Times New Roman" w:cs="Times New Roman"/>
                <w:sz w:val="18"/>
                <w:szCs w:val="24"/>
              </w:rPr>
              <w:t>2</w:t>
            </w:r>
          </w:p>
        </w:tc>
        <w:tc>
          <w:tcPr>
            <w:tcW w:w="1080" w:type="dxa"/>
            <w:vAlign w:val="center"/>
          </w:tcPr>
          <w:p w:rsidR="004F4DAC" w:rsidRPr="00DA7983" w:rsidP="004F4DAC" w14:paraId="4C5AAEAD" w14:textId="5ECCE211">
            <w:pPr>
              <w:autoSpaceDE w:val="0"/>
              <w:autoSpaceDN w:val="0"/>
              <w:adjustRightInd w:val="0"/>
              <w:ind w:left="180"/>
              <w:jc w:val="center"/>
              <w:rPr>
                <w:rFonts w:ascii="Times New Roman" w:eastAsia="Times New Roman" w:hAnsi="Times New Roman" w:cs="Times New Roman"/>
                <w:sz w:val="18"/>
                <w:szCs w:val="18"/>
              </w:rPr>
            </w:pPr>
            <w:r w:rsidRPr="00DA7983">
              <w:rPr>
                <w:rFonts w:ascii="Times New Roman" w:eastAsia="Times New Roman" w:hAnsi="Times New Roman" w:cs="Times New Roman"/>
                <w:sz w:val="18"/>
                <w:szCs w:val="18"/>
              </w:rPr>
              <w:t xml:space="preserve">$26.95 </w:t>
            </w:r>
          </w:p>
        </w:tc>
        <w:tc>
          <w:tcPr>
            <w:tcW w:w="1378" w:type="dxa"/>
            <w:vAlign w:val="center"/>
          </w:tcPr>
          <w:p w:rsidR="004F4DAC" w:rsidRPr="00DA7983" w:rsidP="004F4DAC" w14:paraId="4DEC04C7" w14:textId="540D3078">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461149">
              <w:rPr>
                <w:rFonts w:ascii="Times New Roman" w:eastAsia="Times New Roman" w:hAnsi="Times New Roman" w:cs="Times New Roman"/>
                <w:sz w:val="18"/>
                <w:szCs w:val="24"/>
              </w:rPr>
              <w:t>862</w:t>
            </w:r>
          </w:p>
        </w:tc>
      </w:tr>
      <w:tr w14:paraId="4A8402E8" w14:textId="77777777" w:rsidTr="00D63FEC">
        <w:tblPrEx>
          <w:tblW w:w="8280" w:type="dxa"/>
          <w:tblInd w:w="720" w:type="dxa"/>
          <w:tblLayout w:type="fixed"/>
          <w:tblCellMar>
            <w:left w:w="58" w:type="dxa"/>
            <w:right w:w="58" w:type="dxa"/>
          </w:tblCellMar>
          <w:tblLook w:val="00A0"/>
        </w:tblPrEx>
        <w:trPr>
          <w:cantSplit/>
          <w:trHeight w:val="444"/>
        </w:trPr>
        <w:tc>
          <w:tcPr>
            <w:tcW w:w="2070" w:type="dxa"/>
            <w:vMerge/>
            <w:vAlign w:val="center"/>
          </w:tcPr>
          <w:p w:rsidR="004F4DAC" w:rsidRPr="00DA7983" w:rsidP="004F4DAC" w14:paraId="3AB08F41" w14:textId="77777777">
            <w:pPr>
              <w:autoSpaceDE w:val="0"/>
              <w:autoSpaceDN w:val="0"/>
              <w:adjustRightInd w:val="0"/>
              <w:ind w:left="180"/>
              <w:rPr>
                <w:rFonts w:ascii="Times New Roman" w:eastAsia="Times New Roman" w:hAnsi="Times New Roman" w:cs="Times New Roman"/>
                <w:sz w:val="16"/>
                <w:szCs w:val="24"/>
              </w:rPr>
            </w:pPr>
          </w:p>
        </w:tc>
        <w:tc>
          <w:tcPr>
            <w:tcW w:w="2402" w:type="dxa"/>
            <w:vAlign w:val="center"/>
          </w:tcPr>
          <w:p w:rsidR="004F4DAC" w:rsidRPr="00DA7983" w:rsidP="004F4DAC" w14:paraId="22748103" w14:textId="3EDE1D1B">
            <w:pPr>
              <w:keepNext/>
              <w:autoSpaceDE w:val="0"/>
              <w:autoSpaceDN w:val="0"/>
              <w:adjustRightInd w:val="0"/>
              <w:ind w:left="180"/>
              <w:rPr>
                <w:rFonts w:ascii="Times New Roman" w:eastAsia="Times New Roman" w:hAnsi="Times New Roman" w:cs="Times New Roman"/>
                <w:sz w:val="16"/>
                <w:szCs w:val="16"/>
              </w:rPr>
            </w:pPr>
            <w:r w:rsidRPr="00DA7983">
              <w:rPr>
                <w:rFonts w:ascii="Times New Roman" w:eastAsia="Times New Roman" w:hAnsi="Times New Roman" w:cs="Times New Roman"/>
                <w:sz w:val="16"/>
                <w:szCs w:val="16"/>
              </w:rPr>
              <w:t xml:space="preserve">Adult Survey </w:t>
            </w:r>
          </w:p>
        </w:tc>
        <w:tc>
          <w:tcPr>
            <w:tcW w:w="1350" w:type="dxa"/>
            <w:vAlign w:val="center"/>
          </w:tcPr>
          <w:p w:rsidR="004F4DAC" w:rsidRPr="00DA7983" w:rsidP="004F4DAC" w14:paraId="6A86261B" w14:textId="4D626D7E">
            <w:pPr>
              <w:autoSpaceDE w:val="0"/>
              <w:autoSpaceDN w:val="0"/>
              <w:adjustRightInd w:val="0"/>
              <w:ind w:left="-29"/>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194</w:t>
            </w:r>
          </w:p>
        </w:tc>
        <w:tc>
          <w:tcPr>
            <w:tcW w:w="1080" w:type="dxa"/>
            <w:vAlign w:val="center"/>
          </w:tcPr>
          <w:p w:rsidR="004F4DAC" w:rsidRPr="00DA7983" w:rsidP="004F4DAC" w14:paraId="3770C7BB" w14:textId="0CBC9A5F">
            <w:pPr>
              <w:autoSpaceDE w:val="0"/>
              <w:autoSpaceDN w:val="0"/>
              <w:adjustRightInd w:val="0"/>
              <w:ind w:left="180"/>
              <w:jc w:val="center"/>
              <w:rPr>
                <w:rFonts w:ascii="Times New Roman" w:eastAsia="Times New Roman" w:hAnsi="Times New Roman" w:cs="Times New Roman"/>
                <w:sz w:val="18"/>
                <w:szCs w:val="18"/>
              </w:rPr>
            </w:pPr>
            <w:r w:rsidRPr="00DA7983">
              <w:rPr>
                <w:rFonts w:ascii="Times New Roman" w:eastAsia="Times New Roman" w:hAnsi="Times New Roman" w:cs="Times New Roman"/>
                <w:sz w:val="18"/>
                <w:szCs w:val="18"/>
              </w:rPr>
              <w:t xml:space="preserve">$26.95 </w:t>
            </w:r>
          </w:p>
        </w:tc>
        <w:tc>
          <w:tcPr>
            <w:tcW w:w="1378" w:type="dxa"/>
            <w:vAlign w:val="center"/>
          </w:tcPr>
          <w:p w:rsidR="004F4DAC" w:rsidRPr="00DA7983" w:rsidP="004F4DAC" w14:paraId="7CAB1650" w14:textId="4F32B1BF">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461149">
              <w:rPr>
                <w:rFonts w:ascii="Times New Roman" w:eastAsia="Times New Roman" w:hAnsi="Times New Roman" w:cs="Times New Roman"/>
                <w:sz w:val="18"/>
                <w:szCs w:val="24"/>
              </w:rPr>
              <w:t>5,228</w:t>
            </w:r>
          </w:p>
        </w:tc>
      </w:tr>
      <w:tr w14:paraId="3BE2644A" w14:textId="77777777" w:rsidTr="00D63FEC">
        <w:tblPrEx>
          <w:tblW w:w="8280" w:type="dxa"/>
          <w:tblInd w:w="720" w:type="dxa"/>
          <w:tblLayout w:type="fixed"/>
          <w:tblCellMar>
            <w:left w:w="58" w:type="dxa"/>
            <w:right w:w="58" w:type="dxa"/>
          </w:tblCellMar>
          <w:tblLook w:val="00A0"/>
        </w:tblPrEx>
        <w:trPr>
          <w:cantSplit/>
        </w:trPr>
        <w:tc>
          <w:tcPr>
            <w:tcW w:w="2070" w:type="dxa"/>
            <w:vAlign w:val="center"/>
          </w:tcPr>
          <w:p w:rsidR="00BE1FCB" w:rsidRPr="00DA7983" w:rsidP="00F3750D" w14:paraId="45706442" w14:textId="77777777">
            <w:pPr>
              <w:autoSpaceDE w:val="0"/>
              <w:autoSpaceDN w:val="0"/>
              <w:adjustRightInd w:val="0"/>
              <w:ind w:left="180"/>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Total</w:t>
            </w:r>
          </w:p>
        </w:tc>
        <w:tc>
          <w:tcPr>
            <w:tcW w:w="2402" w:type="dxa"/>
          </w:tcPr>
          <w:p w:rsidR="00BE1FCB" w:rsidRPr="00DA7983" w:rsidP="00F3750D" w14:paraId="03C319FD" w14:textId="77777777">
            <w:pPr>
              <w:keepNext/>
              <w:autoSpaceDE w:val="0"/>
              <w:autoSpaceDN w:val="0"/>
              <w:adjustRightInd w:val="0"/>
              <w:ind w:left="180"/>
              <w:rPr>
                <w:rFonts w:ascii="Times New Roman" w:eastAsia="Times New Roman" w:hAnsi="Times New Roman" w:cs="Times New Roman"/>
                <w:sz w:val="18"/>
                <w:szCs w:val="24"/>
              </w:rPr>
            </w:pPr>
          </w:p>
        </w:tc>
        <w:tc>
          <w:tcPr>
            <w:tcW w:w="1350" w:type="dxa"/>
            <w:vAlign w:val="center"/>
          </w:tcPr>
          <w:p w:rsidR="00BE1FCB" w:rsidRPr="00DA7983" w:rsidP="00F3750D" w14:paraId="6EC8A280" w14:textId="496115EF">
            <w:pPr>
              <w:autoSpaceDE w:val="0"/>
              <w:autoSpaceDN w:val="0"/>
              <w:adjustRightInd w:val="0"/>
              <w:ind w:left="180"/>
              <w:jc w:val="center"/>
              <w:rPr>
                <w:rFonts w:ascii="Times New Roman" w:eastAsia="Times New Roman" w:hAnsi="Times New Roman" w:cs="Times New Roman"/>
                <w:sz w:val="18"/>
                <w:szCs w:val="24"/>
              </w:rPr>
            </w:pPr>
          </w:p>
        </w:tc>
        <w:tc>
          <w:tcPr>
            <w:tcW w:w="1080" w:type="dxa"/>
            <w:vAlign w:val="center"/>
          </w:tcPr>
          <w:p w:rsidR="00BE1FCB" w:rsidRPr="00DA7983" w:rsidP="00F3750D" w14:paraId="220EED0E" w14:textId="77777777">
            <w:pPr>
              <w:autoSpaceDE w:val="0"/>
              <w:autoSpaceDN w:val="0"/>
              <w:adjustRightInd w:val="0"/>
              <w:ind w:left="180"/>
              <w:jc w:val="center"/>
              <w:rPr>
                <w:rFonts w:ascii="Times New Roman" w:eastAsia="Times New Roman" w:hAnsi="Times New Roman" w:cs="Times New Roman"/>
                <w:sz w:val="18"/>
                <w:szCs w:val="24"/>
              </w:rPr>
            </w:pPr>
          </w:p>
        </w:tc>
        <w:tc>
          <w:tcPr>
            <w:tcW w:w="1378" w:type="dxa"/>
            <w:vAlign w:val="center"/>
          </w:tcPr>
          <w:p w:rsidR="00BE1FCB" w:rsidRPr="00DA7983" w:rsidP="00F3750D" w14:paraId="31A902EF" w14:textId="3313E717">
            <w:pPr>
              <w:autoSpaceDE w:val="0"/>
              <w:autoSpaceDN w:val="0"/>
              <w:adjustRightInd w:val="0"/>
              <w:ind w:left="180"/>
              <w:jc w:val="center"/>
              <w:rPr>
                <w:rFonts w:ascii="Times New Roman" w:eastAsia="Times New Roman" w:hAnsi="Times New Roman" w:cs="Times New Roman"/>
                <w:sz w:val="18"/>
                <w:szCs w:val="24"/>
              </w:rPr>
            </w:pPr>
            <w:r w:rsidRPr="00DA7983">
              <w:rPr>
                <w:rFonts w:ascii="Times New Roman" w:eastAsia="Times New Roman" w:hAnsi="Times New Roman" w:cs="Times New Roman"/>
                <w:sz w:val="18"/>
                <w:szCs w:val="24"/>
              </w:rPr>
              <w:t>$</w:t>
            </w:r>
            <w:r w:rsidR="005B3FB7">
              <w:rPr>
                <w:rFonts w:ascii="Times New Roman" w:eastAsia="Times New Roman" w:hAnsi="Times New Roman" w:cs="Times New Roman"/>
                <w:sz w:val="18"/>
                <w:szCs w:val="24"/>
              </w:rPr>
              <w:t>14,843</w:t>
            </w:r>
          </w:p>
        </w:tc>
      </w:tr>
    </w:tbl>
    <w:p w:rsidR="00BE1FCB" w:rsidRPr="008265FC" w:rsidP="00BE1FCB" w14:paraId="772E4013" w14:textId="77777777">
      <w:pPr>
        <w:autoSpaceDE w:val="0"/>
        <w:autoSpaceDN w:val="0"/>
        <w:adjustRightInd w:val="0"/>
        <w:ind w:left="180" w:firstLine="540"/>
        <w:rPr>
          <w:rFonts w:ascii="Times New Roman" w:eastAsia="Times New Roman" w:hAnsi="Times New Roman" w:cs="Times New Roman"/>
          <w:color w:val="000000"/>
          <w:sz w:val="16"/>
          <w:szCs w:val="24"/>
        </w:rPr>
      </w:pPr>
      <w:r w:rsidRPr="00DA7983">
        <w:rPr>
          <w:rFonts w:ascii="Times New Roman" w:eastAsia="Times New Roman" w:hAnsi="Times New Roman" w:cs="Times New Roman"/>
          <w:color w:val="000000"/>
          <w:sz w:val="16"/>
          <w:szCs w:val="24"/>
          <w:vertAlign w:val="superscript"/>
        </w:rPr>
        <w:t>1</w:t>
      </w:r>
      <w:r w:rsidRPr="00DA7983">
        <w:rPr>
          <w:rFonts w:ascii="Times New Roman" w:eastAsia="Times New Roman" w:hAnsi="Times New Roman" w:cs="Times New Roman"/>
          <w:sz w:val="12"/>
          <w:szCs w:val="20"/>
        </w:rPr>
        <w:t xml:space="preserve"> </w:t>
      </w:r>
      <w:r w:rsidRPr="00DA7983">
        <w:rPr>
          <w:rFonts w:ascii="Times New Roman" w:eastAsia="Times New Roman" w:hAnsi="Times New Roman" w:cs="Times New Roman"/>
          <w:color w:val="000000"/>
          <w:sz w:val="16"/>
          <w:szCs w:val="24"/>
        </w:rPr>
        <w:t>Cost was rounded up to the next dollar.</w:t>
      </w:r>
    </w:p>
    <w:p w:rsidR="00BE1FCB" w:rsidRPr="008265FC" w:rsidP="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p>
    <w:p w:rsidR="00BE1FCB" w:rsidRPr="008265FC" w:rsidP="00BE1FCB" w14:paraId="3FDE71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5" w:name="_Toc239649234"/>
      <w:r w:rsidRPr="008265FC">
        <w:rPr>
          <w:rFonts w:ascii="Times New Roman" w:eastAsia="Times New Roman" w:hAnsi="Times New Roman" w:cs="Times New Roman"/>
          <w:b/>
          <w:bCs/>
          <w:szCs w:val="24"/>
        </w:rPr>
        <w:t xml:space="preserve">13.  </w:t>
      </w:r>
      <w:r w:rsidRPr="008265FC">
        <w:rPr>
          <w:rFonts w:ascii="Times New Roman" w:eastAsia="Times New Roman" w:hAnsi="Times New Roman" w:cs="Times New Roman"/>
          <w:b/>
          <w:bCs/>
          <w:szCs w:val="24"/>
          <w:u w:val="single"/>
        </w:rPr>
        <w:t>Estimates of Other Total Annual Cost Burden to Respondents or Record Keepers</w:t>
      </w:r>
      <w:bookmarkEnd w:id="25"/>
    </w:p>
    <w:p w:rsidR="00BE1FCB" w:rsidP="00BE1FCB" w14:paraId="53C4AEA4" w14:textId="77777777">
      <w:pPr>
        <w:ind w:left="180"/>
        <w:contextualSpacing/>
        <w:rPr>
          <w:rFonts w:ascii="Times New Roman" w:eastAsia="Times New Roman" w:hAnsi="Times New Roman" w:cs="Times New Roman"/>
          <w:szCs w:val="24"/>
        </w:rPr>
      </w:pPr>
    </w:p>
    <w:p w:rsidR="00BE1FCB" w:rsidRPr="008265FC" w:rsidP="00BE1FCB" w14:paraId="3B6CAFDB" w14:textId="77777777">
      <w:pPr>
        <w:ind w:left="18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are no capital, start-up, operating, or maintenance costs associated with this </w:t>
      </w:r>
      <w:r>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rsidR="00BE1FCB" w:rsidP="00E85BBE" w14:paraId="13524828" w14:textId="05D958C3">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id="26" w:name="_Toc239649235"/>
      <w:r w:rsidRPr="00F40B83">
        <w:rPr>
          <w:rFonts w:ascii="Times New Roman" w:hAnsi="Times New Roman" w:cs="Times New Roman"/>
          <w:b/>
          <w:u w:val="single"/>
        </w:rPr>
        <w:t>Annualized Cost to the Federal Government</w:t>
      </w:r>
    </w:p>
    <w:p w:rsidR="00645FFC" w:rsidRPr="001D1FEA" w:rsidP="001D1FEA" w14:paraId="52F93849" w14:textId="23926FFB">
      <w:pPr>
        <w:spacing w:before="100" w:beforeAutospacing="1" w:after="100" w:afterAutospacing="1"/>
        <w:ind w:left="270"/>
        <w:rPr>
          <w:rFonts w:ascii="Times New Roman" w:hAnsi="Times New Roman" w:cs="Times New Roman"/>
          <w:bCs/>
        </w:rPr>
      </w:pPr>
      <w:r w:rsidRPr="001D1FEA">
        <w:rPr>
          <w:rFonts w:ascii="Times New Roman" w:hAnsi="Times New Roman" w:cs="Times New Roman"/>
          <w:bCs/>
        </w:rPr>
        <w:t xml:space="preserve">This information collection is funded through a contract with RTI. The estimated costs attributable to this data collection are </w:t>
      </w:r>
      <w:r w:rsidRPr="001D1FEA" w:rsidR="00C12674">
        <w:rPr>
          <w:rFonts w:ascii="Times New Roman" w:hAnsi="Times New Roman" w:cs="Times New Roman"/>
          <w:bCs/>
        </w:rPr>
        <w:t>$</w:t>
      </w:r>
      <w:r w:rsidRPr="001D1FEA" w:rsidR="00DA7983">
        <w:rPr>
          <w:rFonts w:ascii="Times New Roman" w:hAnsi="Times New Roman" w:cs="Times New Roman"/>
          <w:bCs/>
        </w:rPr>
        <w:t>753,587 per year</w:t>
      </w:r>
      <w:r w:rsidRPr="001D1FEA" w:rsidR="00C12674">
        <w:rPr>
          <w:rFonts w:ascii="Times New Roman" w:hAnsi="Times New Roman" w:cs="Times New Roman"/>
          <w:bCs/>
        </w:rPr>
        <w:t xml:space="preserve">. </w:t>
      </w:r>
      <w:r w:rsidRPr="001D1FEA">
        <w:rPr>
          <w:rFonts w:ascii="Times New Roman" w:hAnsi="Times New Roman" w:cs="Times New Roman"/>
          <w:bCs/>
        </w:rPr>
        <w:t>(</w:t>
      </w:r>
      <w:r w:rsidRPr="001D1FEA" w:rsidR="004D7181">
        <w:rPr>
          <w:rFonts w:ascii="Times New Roman" w:hAnsi="Times New Roman" w:cs="Times New Roman"/>
          <w:bCs/>
        </w:rPr>
        <w:t>Table 3</w:t>
      </w:r>
      <w:r w:rsidRPr="001D1FEA">
        <w:rPr>
          <w:rFonts w:ascii="Times New Roman" w:hAnsi="Times New Roman" w:cs="Times New Roman"/>
          <w:bCs/>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00D70CC4">
        <w:rPr>
          <w:rFonts w:ascii="Times New Roman" w:hAnsi="Times New Roman" w:cs="Times New Roman"/>
          <w:bCs/>
        </w:rPr>
        <w:t>Advarra</w:t>
      </w:r>
      <w:r w:rsidRPr="001D1FEA">
        <w:rPr>
          <w:rFonts w:ascii="Times New Roman" w:hAnsi="Times New Roman" w:cs="Times New Roman"/>
          <w:bCs/>
        </w:rPr>
        <w:t xml:space="preserve"> IRB</w:t>
      </w:r>
      <w:r w:rsidRPr="001D1FEA" w:rsidR="001124F6">
        <w:rPr>
          <w:rFonts w:ascii="Times New Roman" w:hAnsi="Times New Roman" w:cs="Times New Roman"/>
          <w:bCs/>
        </w:rPr>
        <w:t xml:space="preserve">, </w:t>
      </w:r>
      <w:r w:rsidRPr="001D1FEA">
        <w:rPr>
          <w:rFonts w:ascii="Times New Roman" w:hAnsi="Times New Roman" w:cs="Times New Roman"/>
          <w:bCs/>
        </w:rPr>
        <w:t>project management</w:t>
      </w:r>
      <w:r w:rsidRPr="001D1FEA" w:rsidR="001124F6">
        <w:rPr>
          <w:rFonts w:ascii="Times New Roman" w:hAnsi="Times New Roman" w:cs="Times New Roman"/>
          <w:bCs/>
        </w:rPr>
        <w:t xml:space="preserve"> and progress reporting</w:t>
      </w:r>
      <w:r w:rsidRPr="001D1FEA">
        <w:rPr>
          <w:rFonts w:ascii="Times New Roman" w:hAnsi="Times New Roman" w:cs="Times New Roman"/>
          <w:bCs/>
        </w:rPr>
        <w:t xml:space="preserve">. </w:t>
      </w:r>
    </w:p>
    <w:p w:rsidR="00BE1FCB" w:rsidRPr="00F332CB" w:rsidP="00BE1FCB" w14:paraId="56A6E28C" w14:textId="77777777">
      <w:pPr>
        <w:pStyle w:val="FigureTitle"/>
        <w:ind w:left="720"/>
      </w:pPr>
      <w:r>
        <w:t>Table 3</w:t>
      </w:r>
      <w:r w:rsidRPr="00F332CB">
        <w:t>. Itemized Cost to the Federal Government</w:t>
      </w:r>
    </w:p>
    <w:tbl>
      <w:tblPr>
        <w:tblW w:w="0" w:type="auto"/>
        <w:tblInd w:w="720" w:type="dxa"/>
        <w:tblCellMar>
          <w:left w:w="0" w:type="dxa"/>
          <w:right w:w="0" w:type="dxa"/>
        </w:tblCellMar>
        <w:tblLook w:val="04A0"/>
      </w:tblPr>
      <w:tblGrid>
        <w:gridCol w:w="2357"/>
        <w:gridCol w:w="1992"/>
        <w:gridCol w:w="2687"/>
        <w:gridCol w:w="1604"/>
      </w:tblGrid>
      <w:tr w14:paraId="0AD30C32" w14:textId="77777777" w:rsidTr="00F3750D">
        <w:tblPrEx>
          <w:tblW w:w="0" w:type="auto"/>
          <w:tblInd w:w="720" w:type="dxa"/>
          <w:tblCellMar>
            <w:left w:w="0" w:type="dxa"/>
            <w:right w:w="0" w:type="dxa"/>
          </w:tblCellMar>
          <w:tblLook w:val="04A0"/>
        </w:tblPrEx>
        <w:trPr>
          <w:trHeight w:val="107"/>
        </w:trPr>
        <w:tc>
          <w:tcPr>
            <w:tcW w:w="235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5B4E01A7" w14:textId="77777777">
            <w:pPr>
              <w:pStyle w:val="FigureTitle"/>
              <w:spacing w:before="0" w:after="120"/>
              <w:jc w:val="center"/>
            </w:pPr>
            <w:r w:rsidRPr="008A74EB">
              <w:rPr>
                <w:sz w:val="22"/>
                <w:szCs w:val="22"/>
              </w:rPr>
              <w:t>Government Personnel</w:t>
            </w:r>
          </w:p>
        </w:tc>
        <w:tc>
          <w:tcPr>
            <w:tcW w:w="199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5AA259FA" w14:textId="77777777">
            <w:pPr>
              <w:pStyle w:val="FigureTitle"/>
              <w:spacing w:before="0" w:after="120"/>
              <w:jc w:val="center"/>
            </w:pPr>
            <w:r w:rsidRPr="008A74EB">
              <w:rPr>
                <w:sz w:val="22"/>
                <w:szCs w:val="22"/>
              </w:rPr>
              <w:t>Time Commitment</w:t>
            </w:r>
          </w:p>
        </w:tc>
        <w:tc>
          <w:tcPr>
            <w:tcW w:w="268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rsidR="00BE1FCB" w:rsidRPr="008A74EB" w:rsidP="00F3750D" w14:paraId="2162C4C2" w14:textId="77777777">
            <w:pPr>
              <w:pStyle w:val="FigureTitle"/>
              <w:spacing w:before="0" w:after="120"/>
              <w:jc w:val="center"/>
            </w:pPr>
            <w:r w:rsidRPr="008A74EB">
              <w:rPr>
                <w:sz w:val="22"/>
                <w:szCs w:val="22"/>
              </w:rPr>
              <w:t>Average Annual Salary</w:t>
            </w:r>
          </w:p>
        </w:tc>
        <w:tc>
          <w:tcPr>
            <w:tcW w:w="1604" w:type="dxa"/>
            <w:tcBorders>
              <w:top w:val="single" w:sz="12" w:space="0" w:color="auto"/>
              <w:left w:val="nil"/>
              <w:bottom w:val="single" w:sz="8" w:space="0" w:color="auto"/>
              <w:right w:val="nil"/>
            </w:tcBorders>
            <w:tcMar>
              <w:top w:w="0" w:type="dxa"/>
              <w:left w:w="108" w:type="dxa"/>
              <w:bottom w:w="0" w:type="dxa"/>
              <w:right w:w="108" w:type="dxa"/>
            </w:tcMar>
            <w:hideMark/>
          </w:tcPr>
          <w:p w:rsidR="00BE1FCB" w:rsidRPr="008A74EB" w:rsidP="00F3750D" w14:paraId="65230065" w14:textId="77777777">
            <w:pPr>
              <w:pStyle w:val="FigureTitle"/>
              <w:spacing w:before="0" w:after="120"/>
              <w:jc w:val="center"/>
            </w:pPr>
            <w:r w:rsidRPr="008A74EB">
              <w:rPr>
                <w:sz w:val="22"/>
                <w:szCs w:val="22"/>
              </w:rPr>
              <w:t>Total</w:t>
            </w:r>
            <w:r w:rsidRPr="008A74EB">
              <w:rPr>
                <w:sz w:val="22"/>
                <w:szCs w:val="22"/>
                <w:vertAlign w:val="superscript"/>
              </w:rPr>
              <w:t>1</w:t>
            </w:r>
          </w:p>
        </w:tc>
      </w:tr>
      <w:tr w14:paraId="1C103E5C" w14:textId="77777777" w:rsidTr="00F3750D">
        <w:tblPrEx>
          <w:tblW w:w="0" w:type="auto"/>
          <w:tblInd w:w="720" w:type="dxa"/>
          <w:tblCellMar>
            <w:left w:w="0" w:type="dxa"/>
            <w:right w:w="0" w:type="dxa"/>
          </w:tblCellMar>
          <w:tblLook w:val="04A0"/>
        </w:tblPrEx>
        <w:trPr>
          <w:trHeight w:val="368"/>
        </w:trPr>
        <w:tc>
          <w:tcPr>
            <w:tcW w:w="2357"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5D87840C" w14:textId="77777777">
            <w:pPr>
              <w:pStyle w:val="FigureTitle"/>
              <w:spacing w:before="0" w:after="60"/>
              <w:jc w:val="center"/>
              <w:rPr>
                <w:b w:val="0"/>
                <w:sz w:val="22"/>
                <w:szCs w:val="22"/>
              </w:rPr>
            </w:pPr>
            <w:r w:rsidRPr="008A74EB">
              <w:rPr>
                <w:b w:val="0"/>
                <w:bCs/>
                <w:sz w:val="22"/>
                <w:szCs w:val="22"/>
              </w:rPr>
              <w:t>GS-12</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32E1AECE" w14:textId="77777777">
            <w:pPr>
              <w:pStyle w:val="FigureTitle"/>
              <w:spacing w:before="0" w:after="60"/>
              <w:jc w:val="center"/>
              <w:rPr>
                <w:b w:val="0"/>
                <w:sz w:val="22"/>
                <w:szCs w:val="22"/>
              </w:rPr>
            </w:pPr>
            <w:r w:rsidRPr="008A74EB">
              <w:rPr>
                <w:b w:val="0"/>
                <w:bCs/>
                <w:sz w:val="22"/>
                <w:szCs w:val="22"/>
              </w:rPr>
              <w:t>5%</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16FBE4A3" w14:textId="2437B2E4">
            <w:pPr>
              <w:pStyle w:val="FigureTitle"/>
              <w:spacing w:before="0" w:after="60"/>
              <w:jc w:val="right"/>
              <w:rPr>
                <w:b w:val="0"/>
                <w:sz w:val="22"/>
                <w:szCs w:val="22"/>
              </w:rPr>
            </w:pPr>
            <w:r w:rsidRPr="008A74EB">
              <w:rPr>
                <w:b w:val="0"/>
                <w:bCs/>
                <w:sz w:val="22"/>
                <w:szCs w:val="22"/>
              </w:rPr>
              <w:t>$86,</w:t>
            </w:r>
            <w:r w:rsidRPr="008A74EB" w:rsidR="008A74EB">
              <w:rPr>
                <w:b w:val="0"/>
                <w:bCs/>
                <w:sz w:val="22"/>
                <w:szCs w:val="22"/>
              </w:rPr>
              <w:t>335</w:t>
            </w:r>
          </w:p>
        </w:tc>
        <w:tc>
          <w:tcPr>
            <w:tcW w:w="1604" w:type="dxa"/>
            <w:tcBorders>
              <w:top w:val="nil"/>
              <w:left w:val="nil"/>
              <w:bottom w:val="single" w:sz="8" w:space="0" w:color="auto"/>
              <w:right w:val="nil"/>
            </w:tcBorders>
            <w:tcMar>
              <w:top w:w="0" w:type="dxa"/>
              <w:left w:w="108" w:type="dxa"/>
              <w:bottom w:w="0" w:type="dxa"/>
              <w:right w:w="108" w:type="dxa"/>
            </w:tcMar>
            <w:hideMark/>
          </w:tcPr>
          <w:p w:rsidR="00BE1FCB" w:rsidRPr="00DA7983" w:rsidP="00F3750D" w14:paraId="587F05D9" w14:textId="0E6759BA">
            <w:pPr>
              <w:pStyle w:val="FigureTitle"/>
              <w:spacing w:before="0" w:after="60"/>
              <w:jc w:val="right"/>
              <w:rPr>
                <w:b w:val="0"/>
                <w:sz w:val="22"/>
                <w:szCs w:val="22"/>
              </w:rPr>
            </w:pPr>
            <w:r w:rsidRPr="00DA7983">
              <w:rPr>
                <w:b w:val="0"/>
                <w:bCs/>
                <w:sz w:val="22"/>
                <w:szCs w:val="22"/>
              </w:rPr>
              <w:t>$4,3</w:t>
            </w:r>
            <w:r w:rsidRPr="00DA7983" w:rsidR="008A74EB">
              <w:rPr>
                <w:b w:val="0"/>
                <w:bCs/>
                <w:sz w:val="22"/>
                <w:szCs w:val="22"/>
              </w:rPr>
              <w:t>17</w:t>
            </w:r>
          </w:p>
        </w:tc>
      </w:tr>
      <w:tr w14:paraId="3C8DA0E7" w14:textId="77777777" w:rsidTr="00F3750D">
        <w:tblPrEx>
          <w:tblW w:w="0" w:type="auto"/>
          <w:tblInd w:w="720" w:type="dxa"/>
          <w:tblCellMar>
            <w:left w:w="0" w:type="dxa"/>
            <w:right w:w="0" w:type="dxa"/>
          </w:tblCellMar>
          <w:tblLook w:val="04A0"/>
        </w:tblPrEx>
        <w:tc>
          <w:tcPr>
            <w:tcW w:w="2357"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363511CF" w14:textId="77777777">
            <w:pPr>
              <w:pStyle w:val="FigureTitle"/>
              <w:spacing w:before="0" w:after="60"/>
              <w:jc w:val="center"/>
              <w:rPr>
                <w:b w:val="0"/>
                <w:sz w:val="22"/>
                <w:szCs w:val="22"/>
              </w:rPr>
            </w:pPr>
            <w:r w:rsidRPr="008A74EB">
              <w:rPr>
                <w:b w:val="0"/>
                <w:bCs/>
                <w:sz w:val="22"/>
                <w:szCs w:val="22"/>
              </w:rPr>
              <w:t>GS-13</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2CF9097E" w14:textId="77777777">
            <w:pPr>
              <w:pStyle w:val="FigureTitle"/>
              <w:spacing w:before="0" w:after="60"/>
              <w:jc w:val="center"/>
              <w:rPr>
                <w:b w:val="0"/>
                <w:sz w:val="22"/>
                <w:szCs w:val="22"/>
              </w:rPr>
            </w:pPr>
            <w:r w:rsidRPr="008A74EB">
              <w:rPr>
                <w:b w:val="0"/>
                <w:bCs/>
                <w:sz w:val="22"/>
                <w:szCs w:val="22"/>
              </w:rPr>
              <w:t>10%</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68EDF1B3" w14:textId="35998730">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102,663</w:t>
            </w:r>
          </w:p>
        </w:tc>
        <w:tc>
          <w:tcPr>
            <w:tcW w:w="1604" w:type="dxa"/>
            <w:tcBorders>
              <w:top w:val="nil"/>
              <w:left w:val="nil"/>
              <w:bottom w:val="single" w:sz="8" w:space="0" w:color="auto"/>
              <w:right w:val="nil"/>
            </w:tcBorders>
            <w:tcMar>
              <w:top w:w="0" w:type="dxa"/>
              <w:left w:w="108" w:type="dxa"/>
              <w:bottom w:w="0" w:type="dxa"/>
              <w:right w:w="108" w:type="dxa"/>
            </w:tcMar>
            <w:hideMark/>
          </w:tcPr>
          <w:p w:rsidR="00BE1FCB" w:rsidRPr="00DA7983" w:rsidP="00F3750D" w14:paraId="0B5E5272" w14:textId="26E4D334">
            <w:pPr>
              <w:pStyle w:val="FigureTitle"/>
              <w:spacing w:before="0" w:after="60"/>
              <w:jc w:val="right"/>
              <w:rPr>
                <w:b w:val="0"/>
                <w:sz w:val="22"/>
                <w:szCs w:val="22"/>
              </w:rPr>
            </w:pPr>
            <w:r w:rsidRPr="00DA7983">
              <w:rPr>
                <w:b w:val="0"/>
                <w:bCs/>
                <w:sz w:val="22"/>
                <w:szCs w:val="22"/>
              </w:rPr>
              <w:t>$10,</w:t>
            </w:r>
            <w:r w:rsidRPr="00DA7983" w:rsidR="008A74EB">
              <w:rPr>
                <w:b w:val="0"/>
                <w:bCs/>
                <w:sz w:val="22"/>
                <w:szCs w:val="22"/>
              </w:rPr>
              <w:t>266</w:t>
            </w:r>
          </w:p>
        </w:tc>
      </w:tr>
      <w:tr w14:paraId="01FA2176" w14:textId="77777777" w:rsidTr="00F3750D">
        <w:tblPrEx>
          <w:tblW w:w="0" w:type="auto"/>
          <w:tblInd w:w="720" w:type="dxa"/>
          <w:tblCellMar>
            <w:left w:w="0" w:type="dxa"/>
            <w:right w:w="0" w:type="dxa"/>
          </w:tblCellMar>
          <w:tblLook w:val="04A0"/>
        </w:tblPrEx>
        <w:trPr>
          <w:trHeight w:val="260"/>
        </w:trPr>
        <w:tc>
          <w:tcPr>
            <w:tcW w:w="2357"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20628E51" w14:textId="77777777">
            <w:pPr>
              <w:pStyle w:val="FigureTitle"/>
              <w:spacing w:before="0" w:after="60"/>
              <w:jc w:val="center"/>
              <w:rPr>
                <w:b w:val="0"/>
                <w:sz w:val="22"/>
                <w:szCs w:val="22"/>
              </w:rPr>
            </w:pPr>
            <w:r w:rsidRPr="008A74EB">
              <w:rPr>
                <w:b w:val="0"/>
                <w:sz w:val="22"/>
                <w:szCs w:val="22"/>
              </w:rPr>
              <w:t>GS-13</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7FFA8F71" w14:textId="77777777">
            <w:pPr>
              <w:pStyle w:val="FigureTitle"/>
              <w:spacing w:before="0" w:after="60"/>
              <w:jc w:val="center"/>
              <w:rPr>
                <w:b w:val="0"/>
                <w:sz w:val="22"/>
                <w:szCs w:val="22"/>
              </w:rPr>
            </w:pPr>
            <w:r w:rsidRPr="008A74EB">
              <w:rPr>
                <w:b w:val="0"/>
                <w:bCs/>
                <w:sz w:val="22"/>
                <w:szCs w:val="22"/>
              </w:rPr>
              <w:t>10%</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4A5DCFF8" w14:textId="3CBA5EBD">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102,663</w:t>
            </w:r>
          </w:p>
        </w:tc>
        <w:tc>
          <w:tcPr>
            <w:tcW w:w="1604" w:type="dxa"/>
            <w:tcBorders>
              <w:top w:val="nil"/>
              <w:left w:val="nil"/>
              <w:bottom w:val="single" w:sz="8" w:space="0" w:color="auto"/>
              <w:right w:val="nil"/>
            </w:tcBorders>
            <w:tcMar>
              <w:top w:w="0" w:type="dxa"/>
              <w:left w:w="108" w:type="dxa"/>
              <w:bottom w:w="0" w:type="dxa"/>
              <w:right w:w="108" w:type="dxa"/>
            </w:tcMar>
          </w:tcPr>
          <w:p w:rsidR="00BE1FCB" w:rsidRPr="00DA7983" w:rsidP="00F3750D" w14:paraId="0C0048EB" w14:textId="57186BC1">
            <w:pPr>
              <w:pStyle w:val="FigureTitle"/>
              <w:spacing w:before="0" w:after="60"/>
              <w:jc w:val="right"/>
              <w:rPr>
                <w:b w:val="0"/>
                <w:sz w:val="22"/>
                <w:szCs w:val="22"/>
              </w:rPr>
            </w:pPr>
            <w:r w:rsidRPr="00DA7983">
              <w:rPr>
                <w:b w:val="0"/>
                <w:bCs/>
                <w:sz w:val="22"/>
                <w:szCs w:val="22"/>
              </w:rPr>
              <w:t>$10,</w:t>
            </w:r>
            <w:r w:rsidRPr="00DA7983" w:rsidR="008A74EB">
              <w:rPr>
                <w:b w:val="0"/>
                <w:bCs/>
                <w:sz w:val="22"/>
                <w:szCs w:val="22"/>
              </w:rPr>
              <w:t>266</w:t>
            </w:r>
          </w:p>
        </w:tc>
      </w:tr>
      <w:tr w14:paraId="12D12122" w14:textId="77777777" w:rsidTr="00F3750D">
        <w:tblPrEx>
          <w:tblW w:w="0" w:type="auto"/>
          <w:tblInd w:w="720" w:type="dxa"/>
          <w:tblCellMar>
            <w:left w:w="0" w:type="dxa"/>
            <w:right w:w="0" w:type="dxa"/>
          </w:tblCellMar>
          <w:tblLook w:val="04A0"/>
        </w:tblPrEx>
        <w:trPr>
          <w:trHeight w:val="260"/>
        </w:trPr>
        <w:tc>
          <w:tcPr>
            <w:tcW w:w="2357"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73E26748" w14:textId="77777777">
            <w:pPr>
              <w:pStyle w:val="FigureTitle"/>
              <w:spacing w:before="0" w:after="60"/>
              <w:jc w:val="center"/>
              <w:rPr>
                <w:b w:val="0"/>
                <w:sz w:val="22"/>
                <w:szCs w:val="22"/>
              </w:rPr>
            </w:pP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4FA136EF" w14:textId="77777777">
            <w:pPr>
              <w:pStyle w:val="FigureTitle"/>
              <w:spacing w:before="0" w:after="60"/>
              <w:jc w:val="center"/>
              <w:rPr>
                <w:b w:val="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76C55074" w14:textId="0B61BDC4">
            <w:pPr>
              <w:pStyle w:val="FigureTitle"/>
              <w:spacing w:before="0" w:after="60"/>
              <w:jc w:val="right"/>
              <w:rPr>
                <w:sz w:val="22"/>
                <w:szCs w:val="22"/>
              </w:rPr>
            </w:pPr>
            <w:r w:rsidRPr="008A74EB">
              <w:rPr>
                <w:sz w:val="22"/>
                <w:szCs w:val="22"/>
              </w:rPr>
              <w:t>Total</w:t>
            </w:r>
            <w:r w:rsidR="00672B9A">
              <w:rPr>
                <w:sz w:val="22"/>
                <w:szCs w:val="22"/>
              </w:rPr>
              <w:t xml:space="preserve"> Annual</w:t>
            </w:r>
            <w:r w:rsidRPr="008A74EB">
              <w:rPr>
                <w:sz w:val="22"/>
                <w:szCs w:val="22"/>
              </w:rPr>
              <w:t xml:space="preserve"> Salary Costs</w:t>
            </w:r>
          </w:p>
        </w:tc>
        <w:tc>
          <w:tcPr>
            <w:tcW w:w="1604" w:type="dxa"/>
            <w:tcBorders>
              <w:top w:val="nil"/>
              <w:left w:val="nil"/>
              <w:bottom w:val="single" w:sz="8" w:space="0" w:color="auto"/>
              <w:right w:val="nil"/>
            </w:tcBorders>
            <w:tcMar>
              <w:top w:w="0" w:type="dxa"/>
              <w:left w:w="108" w:type="dxa"/>
              <w:bottom w:w="0" w:type="dxa"/>
              <w:right w:w="108" w:type="dxa"/>
            </w:tcMar>
            <w:hideMark/>
          </w:tcPr>
          <w:p w:rsidR="00BE1FCB" w:rsidRPr="008A74EB" w:rsidP="00F3750D" w14:paraId="0AAC65FC" w14:textId="5AE0C76E">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24,849</w:t>
            </w:r>
          </w:p>
        </w:tc>
      </w:tr>
      <w:tr w14:paraId="310CE124" w14:textId="77777777" w:rsidTr="00F3750D">
        <w:tblPrEx>
          <w:tblW w:w="0" w:type="auto"/>
          <w:tblInd w:w="720" w:type="dxa"/>
          <w:tblCellMar>
            <w:left w:w="0" w:type="dxa"/>
            <w:right w:w="0" w:type="dxa"/>
          </w:tblCellMar>
          <w:tblLook w:val="04A0"/>
        </w:tblPrEx>
        <w:trPr>
          <w:trHeight w:val="458"/>
        </w:trPr>
        <w:tc>
          <w:tcPr>
            <w:tcW w:w="7036" w:type="dxa"/>
            <w:gridSpan w:val="3"/>
            <w:tcBorders>
              <w:top w:val="nil"/>
              <w:left w:val="nil"/>
              <w:bottom w:val="single" w:sz="12" w:space="0" w:color="auto"/>
              <w:right w:val="single" w:sz="8" w:space="0" w:color="auto"/>
            </w:tcBorders>
            <w:tcMar>
              <w:top w:w="0" w:type="dxa"/>
              <w:left w:w="108" w:type="dxa"/>
              <w:bottom w:w="0" w:type="dxa"/>
              <w:right w:w="108" w:type="dxa"/>
            </w:tcMar>
            <w:hideMark/>
          </w:tcPr>
          <w:p w:rsidR="00BE1FCB" w:rsidRPr="004D7181" w:rsidP="00F3750D" w14:paraId="7BF0CBBF" w14:textId="54187145">
            <w:pPr>
              <w:pStyle w:val="FigureTitle"/>
              <w:spacing w:before="0" w:after="60"/>
              <w:jc w:val="right"/>
              <w:rPr>
                <w:sz w:val="22"/>
                <w:szCs w:val="22"/>
              </w:rPr>
            </w:pPr>
            <w:r>
              <w:rPr>
                <w:sz w:val="22"/>
                <w:szCs w:val="22"/>
              </w:rPr>
              <w:t xml:space="preserve">Annual </w:t>
            </w:r>
            <w:r w:rsidRPr="004D7181">
              <w:rPr>
                <w:sz w:val="22"/>
                <w:szCs w:val="22"/>
              </w:rPr>
              <w:t>Contract Cost</w:t>
            </w:r>
          </w:p>
        </w:tc>
        <w:tc>
          <w:tcPr>
            <w:tcW w:w="1604" w:type="dxa"/>
            <w:tcBorders>
              <w:top w:val="nil"/>
              <w:left w:val="nil"/>
              <w:bottom w:val="single" w:sz="12" w:space="0" w:color="auto"/>
              <w:right w:val="nil"/>
            </w:tcBorders>
            <w:tcMar>
              <w:top w:w="0" w:type="dxa"/>
              <w:left w:w="108" w:type="dxa"/>
              <w:bottom w:w="0" w:type="dxa"/>
              <w:right w:w="108" w:type="dxa"/>
            </w:tcMar>
          </w:tcPr>
          <w:p w:rsidR="00BE1FCB" w:rsidRPr="004D7181" w:rsidP="00F3750D" w14:paraId="5FC559A4" w14:textId="563CF15F">
            <w:pPr>
              <w:pStyle w:val="FigureTitle"/>
              <w:spacing w:before="0" w:after="60"/>
              <w:jc w:val="right"/>
              <w:rPr>
                <w:b w:val="0"/>
                <w:sz w:val="22"/>
                <w:szCs w:val="22"/>
              </w:rPr>
            </w:pPr>
            <w:r w:rsidRPr="004D7181">
              <w:rPr>
                <w:b w:val="0"/>
                <w:sz w:val="22"/>
                <w:szCs w:val="22"/>
              </w:rPr>
              <w:t>$</w:t>
            </w:r>
            <w:r w:rsidR="00CB534D">
              <w:rPr>
                <w:b w:val="0"/>
                <w:sz w:val="22"/>
                <w:szCs w:val="22"/>
              </w:rPr>
              <w:t>728</w:t>
            </w:r>
            <w:r w:rsidR="00672B9A">
              <w:rPr>
                <w:b w:val="0"/>
                <w:sz w:val="22"/>
                <w:szCs w:val="22"/>
              </w:rPr>
              <w:t>,738</w:t>
            </w:r>
          </w:p>
        </w:tc>
      </w:tr>
      <w:tr w14:paraId="4DBA12D3" w14:textId="77777777" w:rsidTr="00F3750D">
        <w:tblPrEx>
          <w:tblW w:w="0" w:type="auto"/>
          <w:tblInd w:w="720" w:type="dxa"/>
          <w:tblCellMar>
            <w:left w:w="0" w:type="dxa"/>
            <w:right w:w="0" w:type="dxa"/>
          </w:tblCellMar>
          <w:tblLook w:val="04A0"/>
        </w:tblPrEx>
        <w:trPr>
          <w:trHeight w:val="458"/>
        </w:trPr>
        <w:tc>
          <w:tcPr>
            <w:tcW w:w="7036" w:type="dxa"/>
            <w:gridSpan w:val="3"/>
            <w:tcBorders>
              <w:top w:val="nil"/>
              <w:left w:val="nil"/>
              <w:bottom w:val="single" w:sz="12" w:space="0" w:color="auto"/>
              <w:right w:val="single" w:sz="8" w:space="0" w:color="auto"/>
            </w:tcBorders>
            <w:tcMar>
              <w:top w:w="0" w:type="dxa"/>
              <w:left w:w="108" w:type="dxa"/>
              <w:bottom w:w="0" w:type="dxa"/>
              <w:right w:w="108" w:type="dxa"/>
            </w:tcMar>
            <w:hideMark/>
          </w:tcPr>
          <w:p w:rsidR="00BE1FCB" w:rsidRPr="004D7181" w:rsidP="00F3750D" w14:paraId="5625DF85" w14:textId="05983744">
            <w:pPr>
              <w:pStyle w:val="FigureTitle"/>
              <w:spacing w:before="0" w:after="60"/>
              <w:jc w:val="right"/>
              <w:rPr>
                <w:sz w:val="22"/>
                <w:szCs w:val="22"/>
              </w:rPr>
            </w:pPr>
            <w:r w:rsidRPr="004D7181">
              <w:rPr>
                <w:sz w:val="22"/>
                <w:szCs w:val="22"/>
              </w:rPr>
              <w:t>Total</w:t>
            </w:r>
            <w:r w:rsidR="00672B9A">
              <w:rPr>
                <w:sz w:val="22"/>
                <w:szCs w:val="22"/>
              </w:rPr>
              <w:t xml:space="preserve"> Annual Cost</w:t>
            </w:r>
          </w:p>
        </w:tc>
        <w:tc>
          <w:tcPr>
            <w:tcW w:w="1604" w:type="dxa"/>
            <w:tcBorders>
              <w:top w:val="nil"/>
              <w:left w:val="nil"/>
              <w:bottom w:val="single" w:sz="12" w:space="0" w:color="auto"/>
              <w:right w:val="nil"/>
            </w:tcBorders>
            <w:tcMar>
              <w:top w:w="0" w:type="dxa"/>
              <w:left w:w="108" w:type="dxa"/>
              <w:bottom w:w="0" w:type="dxa"/>
              <w:right w:w="108" w:type="dxa"/>
            </w:tcMar>
            <w:hideMark/>
          </w:tcPr>
          <w:p w:rsidR="00BE1FCB" w:rsidRPr="004D7181" w:rsidP="00F3750D" w14:paraId="05FCC910" w14:textId="7B04BDCC">
            <w:pPr>
              <w:pStyle w:val="FigureTitle"/>
              <w:spacing w:before="0" w:after="60"/>
              <w:jc w:val="right"/>
              <w:rPr>
                <w:sz w:val="22"/>
                <w:szCs w:val="22"/>
              </w:rPr>
            </w:pPr>
            <w:r w:rsidRPr="004D7181">
              <w:rPr>
                <w:sz w:val="22"/>
                <w:szCs w:val="22"/>
              </w:rPr>
              <w:t>$</w:t>
            </w:r>
            <w:r w:rsidR="00672B9A">
              <w:rPr>
                <w:sz w:val="22"/>
                <w:szCs w:val="22"/>
              </w:rPr>
              <w:t>753,587</w:t>
            </w:r>
          </w:p>
        </w:tc>
      </w:tr>
    </w:tbl>
    <w:p w:rsidR="00BE1FCB" w:rsidP="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vertAlign w:val="superscript"/>
        </w:rPr>
        <w:t xml:space="preserve">                      </w:t>
      </w:r>
      <w:r w:rsidRPr="008265FC">
        <w:rPr>
          <w:rFonts w:ascii="Times New Roman" w:eastAsia="Times New Roman" w:hAnsi="Times New Roman" w:cs="Times New Roman"/>
          <w:color w:val="000000"/>
          <w:sz w:val="16"/>
          <w:szCs w:val="24"/>
          <w:vertAlign w:val="superscript"/>
        </w:rPr>
        <w:t>1</w:t>
      </w:r>
      <w:r w:rsidRPr="008265FC">
        <w:rPr>
          <w:rFonts w:ascii="Times New Roman" w:eastAsia="Times New Roman" w:hAnsi="Times New Roman" w:cs="Times New Roman"/>
          <w:sz w:val="12"/>
          <w:szCs w:val="20"/>
        </w:rPr>
        <w:t xml:space="preserve"> </w:t>
      </w:r>
      <w:r>
        <w:rPr>
          <w:rFonts w:ascii="Times New Roman" w:eastAsia="Times New Roman" w:hAnsi="Times New Roman" w:cs="Times New Roman"/>
          <w:color w:val="000000"/>
          <w:sz w:val="16"/>
          <w:szCs w:val="24"/>
        </w:rPr>
        <w:t>Cost was rounded up to the next dollar</w:t>
      </w:r>
      <w:r w:rsidRPr="008265FC">
        <w:rPr>
          <w:rFonts w:ascii="Times New Roman" w:eastAsia="Times New Roman" w:hAnsi="Times New Roman" w:cs="Times New Roman"/>
          <w:color w:val="000000"/>
          <w:sz w:val="16"/>
          <w:szCs w:val="24"/>
        </w:rPr>
        <w:t>.</w:t>
      </w:r>
    </w:p>
    <w:p w:rsidR="00BE1FCB" w:rsidRPr="008265FC" w:rsidP="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p>
    <w:p w:rsidR="00BE1FCB" w:rsidRPr="008265FC" w:rsidP="00BE1FCB"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7" w:name="_Toc239649236"/>
      <w:bookmarkEnd w:id="26"/>
      <w:r>
        <w:rPr>
          <w:rFonts w:ascii="Times New Roman" w:eastAsia="Times New Roman" w:hAnsi="Times New Roman" w:cs="Times New Roman"/>
          <w:b/>
          <w:bCs/>
          <w:szCs w:val="24"/>
        </w:rPr>
        <w:t>1</w:t>
      </w:r>
      <w:r w:rsidR="00CF281F">
        <w:rPr>
          <w:rFonts w:ascii="Times New Roman" w:eastAsia="Times New Roman" w:hAnsi="Times New Roman" w:cs="Times New Roman"/>
          <w:b/>
          <w:bCs/>
          <w:szCs w:val="24"/>
        </w:rPr>
        <w:t>5</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Explanation for Program Changes or Adjustments</w:t>
      </w:r>
      <w:bookmarkEnd w:id="27"/>
    </w:p>
    <w:p w:rsidR="00BE1FCB" w:rsidRPr="008265FC" w:rsidP="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1C165AD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This is a new </w:t>
      </w:r>
      <w:r>
        <w:rPr>
          <w:rFonts w:ascii="Times New Roman" w:eastAsia="Times New Roman" w:hAnsi="Times New Roman" w:cs="Times New Roman"/>
          <w:szCs w:val="24"/>
        </w:rPr>
        <w:t xml:space="preserve">individual generic data </w:t>
      </w:r>
      <w:r w:rsidRPr="008265FC">
        <w:rPr>
          <w:rFonts w:ascii="Times New Roman" w:eastAsia="Times New Roman" w:hAnsi="Times New Roman" w:cs="Times New Roman"/>
          <w:szCs w:val="24"/>
        </w:rPr>
        <w:t>collection.</w:t>
      </w:r>
    </w:p>
    <w:p w:rsidR="00BE1FCB" w:rsidRPr="008265FC" w:rsidP="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8" w:name="_Toc239649237"/>
      <w:r>
        <w:rPr>
          <w:rFonts w:ascii="Times New Roman" w:eastAsia="Times New Roman" w:hAnsi="Times New Roman" w:cs="Times New Roman"/>
          <w:b/>
          <w:bCs/>
          <w:szCs w:val="24"/>
        </w:rPr>
        <w:t>1</w:t>
      </w:r>
      <w:r w:rsidR="004B3D08">
        <w:rPr>
          <w:rFonts w:ascii="Times New Roman" w:eastAsia="Times New Roman" w:hAnsi="Times New Roman" w:cs="Times New Roman"/>
          <w:b/>
          <w:bCs/>
          <w:szCs w:val="24"/>
        </w:rPr>
        <w:t>6</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 xml:space="preserve">Plans for </w:t>
      </w:r>
      <w:r>
        <w:rPr>
          <w:rFonts w:ascii="Times New Roman" w:eastAsia="Times New Roman" w:hAnsi="Times New Roman" w:cs="Times New Roman"/>
          <w:b/>
          <w:bCs/>
          <w:szCs w:val="24"/>
          <w:u w:val="single"/>
        </w:rPr>
        <w:t>Reporting</w:t>
      </w:r>
      <w:r w:rsidRPr="008265FC">
        <w:rPr>
          <w:rFonts w:ascii="Times New Roman" w:eastAsia="Times New Roman" w:hAnsi="Times New Roman" w:cs="Times New Roman"/>
          <w:b/>
          <w:bCs/>
          <w:szCs w:val="24"/>
          <w:u w:val="single"/>
        </w:rPr>
        <w:t xml:space="preserve"> and Project Time Schedule</w:t>
      </w:r>
      <w:bookmarkEnd w:id="28"/>
    </w:p>
    <w:p w:rsidR="00BE1FCB" w:rsidRPr="008265FC" w:rsidP="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344BDA12" w14:textId="464B58D3">
      <w:pPr>
        <w:ind w:left="180"/>
        <w:rPr>
          <w:rFonts w:ascii="Times New Roman" w:eastAsia="Times New Roman" w:hAnsi="Times New Roman" w:cs="Times New Roman"/>
          <w:szCs w:val="20"/>
        </w:rPr>
      </w:pPr>
      <w:r w:rsidRPr="003717C0">
        <w:rPr>
          <w:rFonts w:ascii="Times New Roman" w:eastAsia="Times New Roman" w:hAnsi="Times New Roman" w:cs="Times New Roman"/>
          <w:szCs w:val="20"/>
        </w:rPr>
        <w:t>Data from this information collection will be</w:t>
      </w:r>
      <w:r w:rsidR="000A5D80">
        <w:rPr>
          <w:rFonts w:ascii="Times New Roman" w:eastAsia="Times New Roman" w:hAnsi="Times New Roman" w:cs="Times New Roman"/>
          <w:szCs w:val="20"/>
        </w:rPr>
        <w:t xml:space="preserve"> </w:t>
      </w:r>
      <w:r w:rsidR="000A5D80">
        <w:rPr>
          <w:rFonts w:ascii="Times New Roman" w:eastAsia="Times New Roman" w:hAnsi="Times New Roman" w:cs="Times New Roman"/>
          <w:iCs/>
          <w:szCs w:val="20"/>
        </w:rPr>
        <w:t xml:space="preserve">used </w:t>
      </w:r>
      <w:r w:rsidRPr="000A5D80" w:rsidR="000A5D80">
        <w:rPr>
          <w:rFonts w:ascii="Times New Roman" w:eastAsia="Times New Roman" w:hAnsi="Times New Roman" w:cs="Times New Roman"/>
          <w:iCs/>
          <w:szCs w:val="20"/>
        </w:rPr>
        <w:t xml:space="preserve">to enable </w:t>
      </w:r>
      <w:r w:rsidR="00C864D9">
        <w:rPr>
          <w:rFonts w:ascii="Times New Roman" w:eastAsia="Times New Roman" w:hAnsi="Times New Roman" w:cs="Times New Roman"/>
          <w:iCs/>
          <w:szCs w:val="20"/>
        </w:rPr>
        <w:t xml:space="preserve">the </w:t>
      </w:r>
      <w:r w:rsidRPr="000A5D80" w:rsidR="000A5D80">
        <w:rPr>
          <w:rFonts w:ascii="Times New Roman" w:eastAsia="Times New Roman" w:hAnsi="Times New Roman" w:cs="Times New Roman"/>
          <w:iCs/>
          <w:szCs w:val="20"/>
        </w:rPr>
        <w:t xml:space="preserve">FDA to </w:t>
      </w:r>
      <w:r w:rsidR="00C76079">
        <w:rPr>
          <w:rFonts w:ascii="Times New Roman" w:eastAsia="Times New Roman" w:hAnsi="Times New Roman" w:cs="Times New Roman"/>
          <w:iCs/>
          <w:szCs w:val="20"/>
        </w:rPr>
        <w:t>d</w:t>
      </w:r>
      <w:r w:rsidR="00300F3E">
        <w:rPr>
          <w:rFonts w:ascii="Times New Roman" w:eastAsia="Times New Roman" w:hAnsi="Times New Roman" w:cs="Times New Roman"/>
          <w:iCs/>
          <w:szCs w:val="20"/>
        </w:rPr>
        <w:t>evelop public education programing that resonate with those at risk for tobacco use and tobacco-related death and disease</w:t>
      </w:r>
      <w:r w:rsidRPr="000A5D80" w:rsidR="000A5D80">
        <w:rPr>
          <w:rFonts w:ascii="Times New Roman" w:eastAsia="Times New Roman" w:hAnsi="Times New Roman" w:cs="Times New Roman"/>
          <w:iCs/>
          <w:szCs w:val="20"/>
        </w:rPr>
        <w:t xml:space="preserve">. </w:t>
      </w:r>
      <w:r w:rsidRPr="008265FC">
        <w:rPr>
          <w:rFonts w:ascii="Times New Roman" w:eastAsia="Times New Roman" w:hAnsi="Times New Roman" w:cs="Times New Roman"/>
          <w:szCs w:val="20"/>
        </w:rPr>
        <w:t xml:space="preserve">Findings from these analyses will be used to inform FDA CTP health communication </w:t>
      </w:r>
      <w:r>
        <w:rPr>
          <w:rFonts w:ascii="Times New Roman" w:eastAsia="Times New Roman" w:hAnsi="Times New Roman" w:cs="Times New Roman"/>
          <w:szCs w:val="20"/>
        </w:rPr>
        <w:t>strategy and messaging</w:t>
      </w:r>
      <w:r w:rsidR="00300F3E">
        <w:rPr>
          <w:rFonts w:ascii="Times New Roman" w:eastAsia="Times New Roman" w:hAnsi="Times New Roman" w:cs="Times New Roman"/>
          <w:szCs w:val="20"/>
        </w:rPr>
        <w:t xml:space="preserve"> aimed at youth and young adults in the U.S</w:t>
      </w:r>
      <w:r w:rsidRPr="008265FC">
        <w:rPr>
          <w:rFonts w:ascii="Times New Roman" w:eastAsia="Times New Roman" w:hAnsi="Times New Roman" w:cs="Times New Roman"/>
          <w:szCs w:val="20"/>
        </w:rPr>
        <w:t>.</w:t>
      </w:r>
    </w:p>
    <w:p w:rsidR="00BE1FCB" w:rsidRPr="008265FC" w:rsidP="00BE1FCB" w14:paraId="5CF9C33F" w14:textId="77777777">
      <w:pPr>
        <w:ind w:left="180"/>
        <w:rPr>
          <w:rFonts w:ascii="Times New Roman" w:eastAsia="Times New Roman" w:hAnsi="Times New Roman" w:cs="Times New Roman"/>
          <w:b/>
          <w:szCs w:val="20"/>
          <w:u w:val="single"/>
        </w:rPr>
      </w:pPr>
    </w:p>
    <w:p w:rsidR="00BE1FCB" w:rsidP="00BE1FCB" w14:paraId="74C43880" w14:textId="1CEF99E1">
      <w:pPr>
        <w:ind w:left="180"/>
        <w:rPr>
          <w:rFonts w:ascii="Times New Roman" w:eastAsia="Times New Roman" w:hAnsi="Times New Roman" w:cs="Times New Roman"/>
          <w:szCs w:val="20"/>
          <w:u w:val="single"/>
        </w:rPr>
      </w:pPr>
      <w:r w:rsidRPr="008265FC">
        <w:rPr>
          <w:rFonts w:ascii="Times New Roman" w:eastAsia="Times New Roman" w:hAnsi="Times New Roman" w:cs="Times New Roman"/>
          <w:szCs w:val="20"/>
          <w:u w:val="single"/>
        </w:rPr>
        <w:t>Reporting</w:t>
      </w:r>
    </w:p>
    <w:p w:rsidR="00810AC2" w:rsidRPr="008265FC" w:rsidP="00BE1FCB" w14:paraId="2EEF1FFC" w14:textId="77777777">
      <w:pPr>
        <w:ind w:left="180"/>
        <w:rPr>
          <w:rFonts w:ascii="Times New Roman" w:eastAsia="Times New Roman" w:hAnsi="Times New Roman" w:cs="Times New Roman"/>
          <w:szCs w:val="20"/>
          <w:u w:val="single"/>
        </w:rPr>
      </w:pPr>
    </w:p>
    <w:p w:rsidR="00BE1FCB" w:rsidRPr="008265FC" w:rsidP="00BE1FCB" w14:paraId="26B886EE" w14:textId="730FA98E">
      <w:pPr>
        <w:ind w:left="180"/>
        <w:rPr>
          <w:rFonts w:ascii="Times New Roman" w:eastAsia="Times New Roman" w:hAnsi="Times New Roman" w:cs="Times New Roman"/>
          <w:szCs w:val="20"/>
        </w:rPr>
      </w:pPr>
      <w:r w:rsidRPr="00A2736D">
        <w:rPr>
          <w:rFonts w:ascii="Times New Roman" w:eastAsia="Times New Roman" w:hAnsi="Times New Roman" w:cs="Times New Roman"/>
          <w:szCs w:val="20"/>
        </w:rPr>
        <w:t xml:space="preserve">At the end of the study, a draft report and a final report containing background information on the project objectives, scope and methodology, and key findings and conclusions will be completed. The approximate dates for completing project tasks are listed in </w:t>
      </w:r>
      <w:r>
        <w:rPr>
          <w:rFonts w:ascii="Times New Roman" w:eastAsia="Times New Roman" w:hAnsi="Times New Roman" w:cs="Times New Roman"/>
          <w:szCs w:val="20"/>
        </w:rPr>
        <w:t xml:space="preserve">Table </w:t>
      </w:r>
      <w:r w:rsidR="004D7181">
        <w:rPr>
          <w:rFonts w:ascii="Times New Roman" w:eastAsia="Times New Roman" w:hAnsi="Times New Roman" w:cs="Times New Roman"/>
          <w:szCs w:val="20"/>
        </w:rPr>
        <w:t>4</w:t>
      </w:r>
      <w:r w:rsidRPr="008265FC">
        <w:rPr>
          <w:rFonts w:ascii="Times New Roman" w:eastAsia="Times New Roman" w:hAnsi="Times New Roman" w:cs="Times New Roman"/>
          <w:szCs w:val="20"/>
        </w:rPr>
        <w:t>.</w:t>
      </w:r>
    </w:p>
    <w:p w:rsidR="00BE1FCB" w:rsidRPr="008265FC" w:rsidP="00BE1FCB" w14:paraId="101D18D4" w14:textId="77777777">
      <w:pPr>
        <w:ind w:left="180"/>
        <w:rPr>
          <w:rFonts w:ascii="Times New Roman" w:eastAsia="Times New Roman" w:hAnsi="Times New Roman" w:cs="Times New Roman"/>
          <w:szCs w:val="20"/>
        </w:rPr>
      </w:pPr>
    </w:p>
    <w:p w:rsidR="00BE1FCB" w:rsidRPr="008265FC" w:rsidP="00BE1FCB" w14:paraId="474E319D" w14:textId="1179DD3E">
      <w:pPr>
        <w:keepNext/>
        <w:keepLines/>
        <w:ind w:left="180"/>
        <w:rPr>
          <w:rFonts w:ascii="Times New Roman" w:eastAsia="Times New Roman" w:hAnsi="Times New Roman" w:cs="Times New Roman"/>
          <w:b/>
          <w:szCs w:val="20"/>
        </w:rPr>
      </w:pPr>
      <w:bookmarkStart w:id="29" w:name="_Ref216592722"/>
      <w:bookmarkStart w:id="30" w:name="_Toc66689102"/>
      <w:bookmarkStart w:id="31" w:name="_Toc140476560"/>
      <w:bookmarkStart w:id="32" w:name="_Toc216595340"/>
      <w:bookmarkStart w:id="33" w:name="_Toc361824172"/>
      <w:r w:rsidRPr="008265FC">
        <w:rPr>
          <w:rFonts w:ascii="Times New Roman" w:eastAsia="Times New Roman" w:hAnsi="Times New Roman" w:cs="Times New Roman"/>
          <w:b/>
          <w:szCs w:val="20"/>
        </w:rPr>
        <w:t xml:space="preserve">Table </w:t>
      </w:r>
      <w:bookmarkEnd w:id="29"/>
      <w:r w:rsidR="004D7181">
        <w:rPr>
          <w:rFonts w:ascii="Times New Roman" w:eastAsia="Times New Roman" w:hAnsi="Times New Roman" w:cs="Times New Roman"/>
          <w:b/>
          <w:szCs w:val="20"/>
        </w:rPr>
        <w:t>4</w:t>
      </w:r>
      <w:r w:rsidRPr="008265FC">
        <w:rPr>
          <w:rFonts w:ascii="Times New Roman" w:eastAsia="Times New Roman" w:hAnsi="Times New Roman" w:cs="Times New Roman"/>
          <w:b/>
          <w:szCs w:val="20"/>
        </w:rPr>
        <w:t>.</w:t>
      </w:r>
      <w:bookmarkEnd w:id="30"/>
      <w:bookmarkEnd w:id="31"/>
      <w:bookmarkEnd w:id="32"/>
      <w:r w:rsidRPr="008265FC">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Approximate </w:t>
      </w:r>
      <w:r w:rsidRPr="008265FC">
        <w:rPr>
          <w:rFonts w:ascii="Times New Roman" w:eastAsia="Times New Roman" w:hAnsi="Times New Roman" w:cs="Times New Roman"/>
          <w:b/>
          <w:szCs w:val="20"/>
        </w:rPr>
        <w:t>Project Schedule</w:t>
      </w:r>
      <w:bookmarkEnd w:id="33"/>
    </w:p>
    <w:p w:rsidR="00BE1FCB" w:rsidRPr="008265FC" w:rsidP="00BE1FCB" w14:paraId="1DD24182" w14:textId="77777777">
      <w:pPr>
        <w:autoSpaceDE w:val="0"/>
        <w:autoSpaceDN w:val="0"/>
        <w:adjustRightInd w:val="0"/>
        <w:ind w:left="180"/>
        <w:rPr>
          <w:rFonts w:ascii="Courier 10cpi" w:eastAsia="Times New Roman" w:hAnsi="Courier 10cpi" w:cs="Times New Roman"/>
          <w:sz w:val="20"/>
          <w:szCs w:val="20"/>
        </w:rPr>
      </w:pPr>
    </w:p>
    <w:tbl>
      <w:tblPr>
        <w:tblW w:w="8733" w:type="dxa"/>
        <w:tblInd w:w="864" w:type="dxa"/>
        <w:tblBorders>
          <w:top w:val="single" w:sz="12" w:space="0" w:color="auto"/>
        </w:tblBorders>
        <w:tblLayout w:type="fixed"/>
        <w:tblCellMar>
          <w:top w:w="29" w:type="dxa"/>
          <w:left w:w="115" w:type="dxa"/>
          <w:right w:w="115" w:type="dxa"/>
        </w:tblCellMar>
        <w:tblLook w:val="01E0"/>
      </w:tblPr>
      <w:tblGrid>
        <w:gridCol w:w="2736"/>
        <w:gridCol w:w="5997"/>
      </w:tblGrid>
      <w:tr w14:paraId="4ED93619" w14:textId="77777777" w:rsidTr="00B43D49">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2736" w:type="dxa"/>
            <w:tcBorders>
              <w:top w:val="single" w:sz="12" w:space="0" w:color="auto"/>
              <w:bottom w:val="single" w:sz="6" w:space="0" w:color="auto"/>
            </w:tcBorders>
            <w:vAlign w:val="bottom"/>
          </w:tcPr>
          <w:p w:rsidR="00BE1FCB" w:rsidRPr="008265FC" w:rsidP="00F3750D" w14:paraId="2627DA2A" w14:textId="7E591B9A">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997" w:type="dxa"/>
            <w:tcBorders>
              <w:top w:val="single" w:sz="12" w:space="0" w:color="auto"/>
              <w:bottom w:val="single" w:sz="6" w:space="0" w:color="auto"/>
            </w:tcBorders>
            <w:vAlign w:val="bottom"/>
          </w:tcPr>
          <w:p w:rsidR="00BE1FCB" w:rsidRPr="008265FC" w:rsidP="00F3750D" w14:paraId="61E9511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14:paraId="273C2B97" w14:textId="77777777" w:rsidTr="00B43D49">
        <w:tblPrEx>
          <w:tblW w:w="8733" w:type="dxa"/>
          <w:tblInd w:w="864" w:type="dxa"/>
          <w:tblLayout w:type="fixed"/>
          <w:tblCellMar>
            <w:top w:w="0" w:type="dxa"/>
            <w:left w:w="115" w:type="dxa"/>
            <w:right w:w="115" w:type="dxa"/>
          </w:tblCellMar>
          <w:tblLook w:val="01E0"/>
        </w:tblPrEx>
        <w:trPr>
          <w:cantSplit/>
        </w:trPr>
        <w:tc>
          <w:tcPr>
            <w:tcW w:w="2736" w:type="dxa"/>
          </w:tcPr>
          <w:p w:rsidR="00BE1FCB" w:rsidRPr="008265FC" w:rsidP="00F3750D" w14:paraId="7DFD4D3F"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p>
        </w:tc>
        <w:tc>
          <w:tcPr>
            <w:tcW w:w="5997" w:type="dxa"/>
          </w:tcPr>
          <w:p w:rsidR="00BE1FCB" w:rsidRPr="008265FC" w:rsidP="00F3750D" w14:paraId="798966DD" w14:textId="2B30245C">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Begins following study approval and continues for approximately 10 weeks</w:t>
            </w:r>
          </w:p>
        </w:tc>
      </w:tr>
      <w:tr w14:paraId="6C7B8C7C" w14:textId="77777777" w:rsidTr="00B43D49">
        <w:tblPrEx>
          <w:tblW w:w="8733" w:type="dxa"/>
          <w:tblInd w:w="864" w:type="dxa"/>
          <w:tblLayout w:type="fixed"/>
          <w:tblCellMar>
            <w:top w:w="0" w:type="dxa"/>
            <w:left w:w="115" w:type="dxa"/>
            <w:right w:w="115" w:type="dxa"/>
          </w:tblCellMar>
          <w:tblLook w:val="01E0"/>
        </w:tblPrEx>
        <w:trPr>
          <w:cantSplit/>
        </w:trPr>
        <w:tc>
          <w:tcPr>
            <w:tcW w:w="2736" w:type="dxa"/>
            <w:tcBorders>
              <w:bottom w:val="nil"/>
            </w:tcBorders>
          </w:tcPr>
          <w:p w:rsidR="001E6213" w:rsidRPr="003A58ED" w:rsidP="001E6213" w14:paraId="6D783EB6" w14:textId="26B7A1CA">
            <w:pPr>
              <w:keepNext/>
              <w:autoSpaceDE w:val="0"/>
              <w:autoSpaceDN w:val="0"/>
              <w:adjustRightInd w:val="0"/>
              <w:ind w:left="180"/>
              <w:rPr>
                <w:rFonts w:ascii="Times New Roman" w:eastAsia="Times New Roman" w:hAnsi="Times New Roman" w:cs="Times New Roman"/>
                <w:sz w:val="18"/>
              </w:rPr>
            </w:pPr>
            <w:r w:rsidRPr="003A58ED">
              <w:rPr>
                <w:rFonts w:ascii="Times New Roman" w:hAnsi="Times New Roman" w:cs="Times New Roman"/>
                <w:sz w:val="18"/>
                <w:szCs w:val="16"/>
              </w:rPr>
              <w:t>Preparation of analytic data file</w:t>
            </w:r>
          </w:p>
        </w:tc>
        <w:tc>
          <w:tcPr>
            <w:tcW w:w="5997" w:type="dxa"/>
          </w:tcPr>
          <w:p w:rsidR="001E6213" w:rsidRPr="001E6213" w:rsidP="001E6213" w14:paraId="390AC02F" w14:textId="3CEEDC56">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801EB0">
              <w:rPr>
                <w:rFonts w:ascii="Times New Roman" w:hAnsi="Times New Roman" w:cs="Times New Roman"/>
                <w:sz w:val="18"/>
                <w:szCs w:val="18"/>
              </w:rPr>
              <w:t>1</w:t>
            </w:r>
            <w:r w:rsidRPr="001E6213">
              <w:rPr>
                <w:rFonts w:ascii="Times New Roman" w:hAnsi="Times New Roman" w:cs="Times New Roman"/>
                <w:sz w:val="18"/>
                <w:szCs w:val="18"/>
              </w:rPr>
              <w:t>–</w:t>
            </w:r>
            <w:r w:rsidR="00801EB0">
              <w:rPr>
                <w:rFonts w:ascii="Times New Roman" w:hAnsi="Times New Roman" w:cs="Times New Roman"/>
                <w:sz w:val="18"/>
                <w:szCs w:val="18"/>
              </w:rPr>
              <w:t>2</w:t>
            </w:r>
            <w:r w:rsidRPr="001E6213">
              <w:rPr>
                <w:rFonts w:ascii="Times New Roman" w:hAnsi="Times New Roman" w:cs="Times New Roman"/>
                <w:sz w:val="18"/>
                <w:szCs w:val="18"/>
              </w:rPr>
              <w:t xml:space="preserve"> weeks after completion of data collection</w:t>
            </w:r>
          </w:p>
        </w:tc>
      </w:tr>
      <w:tr w14:paraId="6AD5697F" w14:textId="77777777" w:rsidTr="00B43D49">
        <w:tblPrEx>
          <w:tblW w:w="8733" w:type="dxa"/>
          <w:tblInd w:w="864" w:type="dxa"/>
          <w:tblLayout w:type="fixed"/>
          <w:tblCellMar>
            <w:top w:w="0" w:type="dxa"/>
            <w:left w:w="115" w:type="dxa"/>
            <w:right w:w="115" w:type="dxa"/>
          </w:tblCellMar>
          <w:tblLook w:val="01E0"/>
        </w:tblPrEx>
        <w:trPr>
          <w:cantSplit/>
        </w:trPr>
        <w:tc>
          <w:tcPr>
            <w:tcW w:w="2736" w:type="dxa"/>
            <w:tcBorders>
              <w:bottom w:val="nil"/>
            </w:tcBorders>
          </w:tcPr>
          <w:p w:rsidR="001E6213" w:rsidRPr="008265FC" w:rsidP="001E6213" w14:paraId="4A610AB5"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Data Analysis</w:t>
            </w:r>
          </w:p>
        </w:tc>
        <w:tc>
          <w:tcPr>
            <w:tcW w:w="5997" w:type="dxa"/>
          </w:tcPr>
          <w:p w:rsidR="001E6213" w:rsidRPr="001E6213" w:rsidP="001E6213" w14:paraId="07E4AD34" w14:textId="178B7208">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801EB0">
              <w:rPr>
                <w:rFonts w:ascii="Times New Roman" w:hAnsi="Times New Roman" w:cs="Times New Roman"/>
                <w:sz w:val="18"/>
                <w:szCs w:val="18"/>
              </w:rPr>
              <w:t>3</w:t>
            </w:r>
            <w:r w:rsidRPr="001E6213">
              <w:rPr>
                <w:rFonts w:ascii="Times New Roman" w:hAnsi="Times New Roman" w:cs="Times New Roman"/>
                <w:sz w:val="18"/>
                <w:szCs w:val="18"/>
              </w:rPr>
              <w:t>–</w:t>
            </w:r>
            <w:r w:rsidR="00801EB0">
              <w:rPr>
                <w:rFonts w:ascii="Times New Roman" w:hAnsi="Times New Roman" w:cs="Times New Roman"/>
                <w:sz w:val="18"/>
                <w:szCs w:val="18"/>
              </w:rPr>
              <w:t>5</w:t>
            </w:r>
            <w:r w:rsidRPr="001E6213">
              <w:rPr>
                <w:rFonts w:ascii="Times New Roman" w:hAnsi="Times New Roman" w:cs="Times New Roman"/>
                <w:sz w:val="18"/>
                <w:szCs w:val="18"/>
              </w:rPr>
              <w:t xml:space="preserve"> weeks </w:t>
            </w:r>
            <w:r w:rsidRPr="000A3256" w:rsidR="000A3256">
              <w:rPr>
                <w:rFonts w:ascii="Times New Roman" w:hAnsi="Times New Roman" w:cs="Times New Roman"/>
                <w:sz w:val="18"/>
                <w:szCs w:val="18"/>
              </w:rPr>
              <w:t>after completion of data collection</w:t>
            </w:r>
          </w:p>
        </w:tc>
      </w:tr>
      <w:tr w14:paraId="21373182" w14:textId="77777777" w:rsidTr="00B43D49">
        <w:tblPrEx>
          <w:tblW w:w="8733" w:type="dxa"/>
          <w:tblInd w:w="864" w:type="dxa"/>
          <w:tblLayout w:type="fixed"/>
          <w:tblCellMar>
            <w:top w:w="0" w:type="dxa"/>
            <w:left w:w="115" w:type="dxa"/>
            <w:right w:w="115" w:type="dxa"/>
          </w:tblCellMar>
          <w:tblLook w:val="01E0"/>
        </w:tblPrEx>
        <w:trPr>
          <w:cantSplit/>
        </w:trPr>
        <w:tc>
          <w:tcPr>
            <w:tcW w:w="2736" w:type="dxa"/>
            <w:tcBorders>
              <w:top w:val="nil"/>
              <w:bottom w:val="single" w:sz="12" w:space="0" w:color="auto"/>
            </w:tcBorders>
          </w:tcPr>
          <w:p w:rsidR="00BE1FCB" w:rsidRPr="008265FC" w:rsidP="00F3750D" w14:paraId="183D2387"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997" w:type="dxa"/>
            <w:tcBorders>
              <w:top w:val="nil"/>
              <w:bottom w:val="single" w:sz="12" w:space="0" w:color="auto"/>
            </w:tcBorders>
          </w:tcPr>
          <w:p w:rsidR="00BE1FCB" w:rsidRPr="008265FC" w:rsidP="00F3750D" w14:paraId="7C88A537" w14:textId="5BA251BB">
            <w:pPr>
              <w:keepNext/>
              <w:autoSpaceDE w:val="0"/>
              <w:autoSpaceDN w:val="0"/>
              <w:adjustRightInd w:val="0"/>
              <w:ind w:left="180"/>
              <w:rPr>
                <w:rFonts w:ascii="Times New Roman" w:eastAsia="Times New Roman" w:hAnsi="Times New Roman" w:cs="Times New Roman"/>
                <w:sz w:val="18"/>
              </w:rPr>
            </w:pPr>
            <w:r w:rsidRPr="00850225">
              <w:rPr>
                <w:rFonts w:ascii="Times New Roman" w:eastAsia="Times New Roman" w:hAnsi="Times New Roman" w:cs="Times New Roman"/>
                <w:sz w:val="18"/>
              </w:rPr>
              <w:t xml:space="preserve">Approximately </w:t>
            </w:r>
            <w:r w:rsidR="00801EB0">
              <w:rPr>
                <w:rFonts w:ascii="Times New Roman" w:eastAsia="Times New Roman" w:hAnsi="Times New Roman" w:cs="Times New Roman"/>
                <w:sz w:val="18"/>
              </w:rPr>
              <w:t>6</w:t>
            </w:r>
            <w:r w:rsidRPr="00850225">
              <w:rPr>
                <w:rFonts w:ascii="Times New Roman" w:eastAsia="Times New Roman" w:hAnsi="Times New Roman" w:cs="Times New Roman"/>
                <w:sz w:val="18"/>
              </w:rPr>
              <w:t>-</w:t>
            </w:r>
            <w:r w:rsidR="000A3256">
              <w:rPr>
                <w:rFonts w:ascii="Times New Roman" w:eastAsia="Times New Roman" w:hAnsi="Times New Roman" w:cs="Times New Roman"/>
                <w:sz w:val="18"/>
              </w:rPr>
              <w:t>8</w:t>
            </w:r>
            <w:r w:rsidRPr="00850225">
              <w:rPr>
                <w:rFonts w:ascii="Times New Roman" w:eastAsia="Times New Roman" w:hAnsi="Times New Roman" w:cs="Times New Roman"/>
                <w:sz w:val="18"/>
              </w:rPr>
              <w:t xml:space="preserve"> weeks </w:t>
            </w:r>
            <w:r w:rsidRPr="000A3256" w:rsidR="000A3256">
              <w:rPr>
                <w:rFonts w:ascii="Times New Roman" w:eastAsia="Times New Roman" w:hAnsi="Times New Roman" w:cs="Times New Roman"/>
                <w:sz w:val="18"/>
              </w:rPr>
              <w:t>after completion of data collection</w:t>
            </w:r>
          </w:p>
        </w:tc>
      </w:tr>
    </w:tbl>
    <w:p w:rsidR="00A2736D" w:rsidP="00BE1FCB" w14:paraId="48EF5E55" w14:textId="30889B8D">
      <w:pPr>
        <w:autoSpaceDE w:val="0"/>
        <w:autoSpaceDN w:val="0"/>
        <w:adjustRightInd w:val="0"/>
        <w:ind w:left="180"/>
        <w:rPr>
          <w:rFonts w:ascii="Courier 10cpi" w:eastAsia="Times New Roman" w:hAnsi="Courier 10cpi" w:cs="Times New Roman"/>
          <w:sz w:val="20"/>
          <w:szCs w:val="20"/>
        </w:rPr>
      </w:pPr>
    </w:p>
    <w:p w:rsidR="00CE3249" w:rsidP="00BE1FCB" w14:paraId="03C4366F" w14:textId="1968FB5F">
      <w:pPr>
        <w:autoSpaceDE w:val="0"/>
        <w:autoSpaceDN w:val="0"/>
        <w:adjustRightInd w:val="0"/>
        <w:ind w:left="180"/>
        <w:rPr>
          <w:rFonts w:ascii="Courier 10cpi" w:eastAsia="Times New Roman" w:hAnsi="Courier 10cpi" w:cs="Times New Roman"/>
          <w:sz w:val="20"/>
          <w:szCs w:val="20"/>
        </w:rPr>
      </w:pPr>
    </w:p>
    <w:p w:rsidR="00BE1FCB" w:rsidRPr="008265FC" w:rsidP="00BE1FCB" w14:paraId="219BDE21" w14:textId="61F1AF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34" w:name="_Toc239649238"/>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7</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Reason(s) Display of OMB Expiration Date is Inappropriate</w:t>
      </w:r>
      <w:bookmarkEnd w:id="34"/>
    </w:p>
    <w:p w:rsidR="00BE1FCB" w:rsidRPr="008265FC" w:rsidP="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977DF3">
        <w:rPr>
          <w:rFonts w:ascii="Times New Roman" w:eastAsia="Times New Roman" w:hAnsi="Times New Roman" w:cs="Times New Roman"/>
          <w:szCs w:val="24"/>
        </w:rPr>
        <w:t>Not applicable. All data collection instruments will display the expiration date for OMB approval of the information collection.</w:t>
      </w:r>
    </w:p>
    <w:p w:rsidR="00BE1FCB" w:rsidP="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35" w:name="_Toc239649239"/>
    </w:p>
    <w:p w:rsidR="00BE1FCB" w:rsidRPr="008265FC" w:rsidP="00BE1FCB"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8</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Exceptions to Certification for Paperwork Reduction Act Submissions</w:t>
      </w:r>
      <w:bookmarkEnd w:id="35"/>
    </w:p>
    <w:p w:rsidR="00BE1FCB" w:rsidRPr="008265FC" w:rsidP="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8265FC">
        <w:rPr>
          <w:rFonts w:ascii="Times New Roman" w:eastAsia="Times New Roman" w:hAnsi="Times New Roman" w:cs="Times New Roman"/>
          <w:szCs w:val="24"/>
        </w:rPr>
        <w:t>These information collection activities involve no exception to the Certification for Paperwork Reduction Act Submissions.</w:t>
      </w:r>
      <w:r w:rsidRPr="008265FC">
        <w:rPr>
          <w:rFonts w:ascii="Times New Roman" w:eastAsia="Times New Roman" w:hAnsi="Times New Roman" w:cs="Times New Roman"/>
          <w:b/>
          <w:bCs/>
          <w:szCs w:val="24"/>
        </w:rPr>
        <w:t xml:space="preserve"> </w:t>
      </w:r>
    </w:p>
    <w:p w:rsidR="00BE1FCB" w:rsidP="004324B6"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CF7DDC" w:rsidRPr="001F2A01" w:rsidP="00CF7DDC" w14:paraId="7D052687" w14:textId="77777777">
      <w:pPr>
        <w:pBdr>
          <w:top w:val="nil"/>
          <w:left w:val="nil"/>
          <w:bottom w:val="nil"/>
          <w:right w:val="nil"/>
          <w:between w:val="nil"/>
          <w:bar w:val="nil"/>
        </w:pBdr>
        <w:rPr>
          <w:rFonts w:ascii="Times New Roman" w:eastAsia="Times New Roman" w:hAnsi="Times New Roman" w:cs="Times New Roman"/>
          <w:b/>
          <w:color w:val="000000"/>
          <w:szCs w:val="24"/>
          <w:u w:color="000000"/>
          <w:bdr w:val="nil"/>
          <w:lang w:val="es-GT"/>
        </w:rPr>
      </w:pPr>
      <w:r w:rsidRPr="001F2A01">
        <w:rPr>
          <w:rFonts w:ascii="Times New Roman" w:eastAsia="Times New Roman" w:hAnsi="Times New Roman" w:cs="Times New Roman"/>
          <w:b/>
          <w:color w:val="000000"/>
          <w:szCs w:val="24"/>
          <w:u w:color="000000"/>
          <w:bdr w:val="none" w:sz="0" w:space="0" w:color="auto"/>
          <w:lang w:val="es-GT"/>
        </w:rPr>
        <w:t>References</w:t>
      </w:r>
    </w:p>
    <w:p w:rsidR="001A0AD7" w:rsidRPr="001F2A01" w:rsidP="001A0AD7" w14:paraId="441089C2" w14:textId="77777777">
      <w:pPr>
        <w:rPr>
          <w:rFonts w:ascii="Times New Roman" w:eastAsia="Times New Roman" w:hAnsi="Times New Roman" w:cs="Times New Roman"/>
          <w:szCs w:val="24"/>
          <w:lang w:val="es-GT"/>
        </w:rPr>
      </w:pPr>
    </w:p>
    <w:p w:rsidR="0046775E" w:rsidRPr="0046775E" w:rsidP="0046775E" w14:paraId="385FEB28"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EC00D4">
        <w:rPr>
          <w:rFonts w:ascii="Times New Roman" w:eastAsia="Times New Roman" w:hAnsi="Times New Roman" w:cs="Times New Roman"/>
          <w:color w:val="000000" w:themeColor="text1"/>
          <w:szCs w:val="24"/>
          <w:lang w:val="es-GT"/>
        </w:rPr>
        <w:t xml:space="preserve">Antognoli, E., Koopman Gonzalez, S., Trapl, E., Cavallo, D., Lim, R., Lavanty, B., &amp; Flocke, S. (2018). </w:t>
      </w:r>
      <w:r w:rsidRPr="0046775E">
        <w:rPr>
          <w:rFonts w:ascii="Times New Roman" w:eastAsia="Times New Roman" w:hAnsi="Times New Roman" w:cs="Times New Roman"/>
          <w:color w:val="000000" w:themeColor="text1"/>
          <w:szCs w:val="24"/>
        </w:rPr>
        <w:t>The social context of adolescent co-use of cigarillos and marijuana blunts. Substance Use &amp; Misuse, 53(4), 654-661.</w:t>
      </w:r>
    </w:p>
    <w:p w:rsidR="0046775E" w:rsidRPr="0046775E" w:rsidP="0046775E" w14:paraId="52CD319A"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 xml:space="preserve">Cohn A, Johnson A, Ehlke S, Villanti AC. Characterizing substance use and mental health profiles of cigar, blunt, and non-blunt marijuana users from the National Survey of Drug Use and Health. Drug Alcohol Depend. 2016 Mar 1;160:105-11. </w:t>
      </w:r>
    </w:p>
    <w:p w:rsidR="00754754" w:rsidRPr="00C8741F" w:rsidP="00754754" w14:paraId="779EF547"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Dai, H., &amp; Leventhal, A. (2019). Prevalence of e-cigarette use among adults in the United States, 2014-2018. </w:t>
      </w:r>
      <w:r>
        <w:rPr>
          <w:rFonts w:ascii="Times New Roman" w:eastAsia="Times New Roman" w:hAnsi="Times New Roman" w:cs="Times New Roman"/>
          <w:i/>
          <w:iCs/>
          <w:color w:val="000000" w:themeColor="text1"/>
          <w:szCs w:val="24"/>
        </w:rPr>
        <w:t xml:space="preserve">JAMA. </w:t>
      </w:r>
      <w:r>
        <w:rPr>
          <w:rFonts w:ascii="Times New Roman" w:eastAsia="Times New Roman" w:hAnsi="Times New Roman" w:cs="Times New Roman"/>
          <w:color w:val="000000" w:themeColor="text1"/>
          <w:szCs w:val="24"/>
        </w:rPr>
        <w:t>322(18), 1824-1827.</w:t>
      </w:r>
    </w:p>
    <w:p w:rsidR="0046775E" w:rsidRPr="0046775E" w:rsidP="0046775E" w14:paraId="24F4B325"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 xml:space="preserve">Gentzke, A. S.; Wang, T. W.; Jamal, A.; Park-Lee, E.; Ren, C.; Cullen, K. A.; Neff, L. Tobacco Product Use among Middle and High School Students. </w:t>
      </w:r>
      <w:r w:rsidRPr="0046775E">
        <w:rPr>
          <w:rFonts w:ascii="Times New Roman" w:eastAsia="Times New Roman" w:hAnsi="Times New Roman" w:cs="Times New Roman"/>
          <w:i/>
          <w:iCs/>
          <w:color w:val="000000" w:themeColor="text1"/>
          <w:szCs w:val="24"/>
        </w:rPr>
        <w:t>MMWR Surveill Summ</w:t>
      </w:r>
      <w:r w:rsidRPr="0046775E">
        <w:rPr>
          <w:rFonts w:ascii="Times New Roman" w:eastAsia="Times New Roman" w:hAnsi="Times New Roman" w:cs="Times New Roman"/>
          <w:color w:val="000000" w:themeColor="text1"/>
          <w:szCs w:val="24"/>
        </w:rPr>
        <w:t xml:space="preserve"> </w:t>
      </w:r>
      <w:r w:rsidRPr="0046775E">
        <w:rPr>
          <w:rFonts w:ascii="Times New Roman" w:eastAsia="Times New Roman" w:hAnsi="Times New Roman" w:cs="Times New Roman"/>
          <w:b/>
          <w:bCs/>
          <w:color w:val="000000" w:themeColor="text1"/>
          <w:szCs w:val="24"/>
        </w:rPr>
        <w:t>2020</w:t>
      </w:r>
      <w:r w:rsidRPr="0046775E">
        <w:rPr>
          <w:rFonts w:ascii="Times New Roman" w:eastAsia="Times New Roman" w:hAnsi="Times New Roman" w:cs="Times New Roman"/>
          <w:color w:val="000000" w:themeColor="text1"/>
          <w:szCs w:val="24"/>
        </w:rPr>
        <w:t xml:space="preserve">, </w:t>
      </w:r>
      <w:r w:rsidRPr="0046775E">
        <w:rPr>
          <w:rFonts w:ascii="Times New Roman" w:eastAsia="Times New Roman" w:hAnsi="Times New Roman" w:cs="Times New Roman"/>
          <w:i/>
          <w:iCs/>
          <w:color w:val="000000" w:themeColor="text1"/>
          <w:szCs w:val="24"/>
        </w:rPr>
        <w:t>69</w:t>
      </w:r>
      <w:r w:rsidRPr="0046775E">
        <w:rPr>
          <w:rFonts w:ascii="Times New Roman" w:eastAsia="Times New Roman" w:hAnsi="Times New Roman" w:cs="Times New Roman"/>
          <w:color w:val="000000" w:themeColor="text1"/>
          <w:szCs w:val="24"/>
        </w:rPr>
        <w:t xml:space="preserve"> (50), 1881–1888.</w:t>
      </w:r>
    </w:p>
    <w:p w:rsidR="0046775E" w:rsidRPr="0046775E" w:rsidP="0046775E" w14:paraId="5A894FE2"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Giovenco, D. P., Spillane, T. E., Mauro, C. M., &amp; Martins, S. S. (2018). Cigarillo sales in legalized marijuana markets in the US. Drug and alcohol dependence, 185, 347-350.</w:t>
      </w:r>
    </w:p>
    <w:p w:rsidR="00754754" w:rsidRPr="00C8741F" w:rsidP="00754754" w14:paraId="6DAF518B"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EC00D4">
        <w:rPr>
          <w:rFonts w:ascii="Times New Roman" w:eastAsia="Times New Roman" w:hAnsi="Times New Roman" w:cs="Times New Roman"/>
          <w:color w:val="000000" w:themeColor="text1"/>
          <w:szCs w:val="24"/>
          <w:lang w:val="es-GT"/>
        </w:rPr>
        <w:t xml:space="preserve">Kasza, K., Ambrose, B., Conway, K., et al. </w:t>
      </w:r>
      <w:r>
        <w:rPr>
          <w:rFonts w:ascii="Times New Roman" w:eastAsia="Times New Roman" w:hAnsi="Times New Roman" w:cs="Times New Roman"/>
          <w:color w:val="000000" w:themeColor="text1"/>
          <w:szCs w:val="24"/>
        </w:rPr>
        <w:t xml:space="preserve">(2017). Tobacco-product use by adults and youths in the United States in 2013 and 2014. </w:t>
      </w:r>
      <w:r>
        <w:rPr>
          <w:rFonts w:ascii="Times New Roman" w:eastAsia="Times New Roman" w:hAnsi="Times New Roman" w:cs="Times New Roman"/>
          <w:i/>
          <w:iCs/>
          <w:color w:val="000000" w:themeColor="text1"/>
          <w:szCs w:val="24"/>
        </w:rPr>
        <w:t xml:space="preserve">N. Engl J. Med. </w:t>
      </w:r>
      <w:r>
        <w:rPr>
          <w:rFonts w:ascii="Times New Roman" w:eastAsia="Times New Roman" w:hAnsi="Times New Roman" w:cs="Times New Roman"/>
          <w:color w:val="000000" w:themeColor="text1"/>
          <w:szCs w:val="24"/>
        </w:rPr>
        <w:t>376(4), 342-353.</w:t>
      </w:r>
    </w:p>
    <w:p w:rsidR="0046775E" w:rsidRPr="0046775E" w:rsidP="0046775E" w14:paraId="60CA68D7"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Rolle, I. V., Kennedy, S. M., Agaku, I., Jones, S. E., Bunnell, R., Caraballo, R., ... &amp; McAfee, T. (2015). Cigarette, cigar, and marijuana use among high school students—United States, 1997–2013. Morbidity and Mortality Weekly Report, 64(40), 1136-1141.</w:t>
      </w:r>
    </w:p>
    <w:p w:rsidR="0046775E" w:rsidRPr="0046775E" w:rsidP="0046775E" w14:paraId="5024F4D8" w14:textId="77777777">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 xml:space="preserve">Wang, T. W.; Gentzke, A. S.; Creamer, M. R. Tobacco Product Use and Associated Factors among Middle and High School Students. </w:t>
      </w:r>
      <w:r w:rsidRPr="0046775E">
        <w:rPr>
          <w:rFonts w:ascii="Times New Roman" w:eastAsia="Times New Roman" w:hAnsi="Times New Roman" w:cs="Times New Roman"/>
          <w:i/>
          <w:iCs/>
          <w:color w:val="000000" w:themeColor="text1"/>
          <w:szCs w:val="24"/>
        </w:rPr>
        <w:t>MMWR Surveill Summ</w:t>
      </w:r>
      <w:r w:rsidRPr="0046775E">
        <w:rPr>
          <w:rFonts w:ascii="Times New Roman" w:eastAsia="Times New Roman" w:hAnsi="Times New Roman" w:cs="Times New Roman"/>
          <w:color w:val="000000" w:themeColor="text1"/>
          <w:szCs w:val="24"/>
        </w:rPr>
        <w:t xml:space="preserve"> </w:t>
      </w:r>
      <w:r w:rsidRPr="0046775E">
        <w:rPr>
          <w:rFonts w:ascii="Times New Roman" w:eastAsia="Times New Roman" w:hAnsi="Times New Roman" w:cs="Times New Roman"/>
          <w:b/>
          <w:bCs/>
          <w:color w:val="000000" w:themeColor="text1"/>
          <w:szCs w:val="24"/>
        </w:rPr>
        <w:t>2019</w:t>
      </w:r>
      <w:r w:rsidRPr="0046775E">
        <w:rPr>
          <w:rFonts w:ascii="Times New Roman" w:eastAsia="Times New Roman" w:hAnsi="Times New Roman" w:cs="Times New Roman"/>
          <w:color w:val="000000" w:themeColor="text1"/>
          <w:szCs w:val="24"/>
        </w:rPr>
        <w:t xml:space="preserve">, </w:t>
      </w:r>
      <w:r w:rsidRPr="0046775E">
        <w:rPr>
          <w:rFonts w:ascii="Times New Roman" w:eastAsia="Times New Roman" w:hAnsi="Times New Roman" w:cs="Times New Roman"/>
          <w:i/>
          <w:iCs/>
          <w:color w:val="000000" w:themeColor="text1"/>
          <w:szCs w:val="24"/>
        </w:rPr>
        <w:t>68</w:t>
      </w:r>
      <w:r w:rsidRPr="0046775E">
        <w:rPr>
          <w:rFonts w:ascii="Times New Roman" w:eastAsia="Times New Roman" w:hAnsi="Times New Roman" w:cs="Times New Roman"/>
          <w:color w:val="000000" w:themeColor="text1"/>
          <w:szCs w:val="24"/>
        </w:rPr>
        <w:t xml:space="preserve"> (SS-12), 1–22.</w:t>
      </w:r>
    </w:p>
    <w:p w:rsidR="0046775E" w:rsidP="0046775E" w14:paraId="26E19D65" w14:textId="34D1DC29">
      <w:pPr>
        <w:widowControl w:val="0"/>
        <w:autoSpaceDE w:val="0"/>
        <w:autoSpaceDN w:val="0"/>
        <w:adjustRightInd w:val="0"/>
        <w:spacing w:after="240"/>
        <w:ind w:left="720" w:hanging="720"/>
        <w:rPr>
          <w:rFonts w:ascii="Times New Roman" w:eastAsia="Times New Roman" w:hAnsi="Times New Roman" w:cs="Times New Roman"/>
          <w:color w:val="000000" w:themeColor="text1"/>
          <w:szCs w:val="24"/>
        </w:rPr>
      </w:pPr>
      <w:r w:rsidRPr="0046775E">
        <w:rPr>
          <w:rFonts w:ascii="Times New Roman" w:eastAsia="Times New Roman" w:hAnsi="Times New Roman" w:cs="Times New Roman"/>
          <w:color w:val="000000" w:themeColor="text1"/>
          <w:szCs w:val="24"/>
        </w:rPr>
        <w:t xml:space="preserve">Wang, X., Kim, Y., Borowiecki, M., Tynan, M. A., Emery, S., &amp; King, B. A. (2021). Trends in Cigar Sales and Prices, by Product and Flavor Type--United States, 2016-2020. </w:t>
      </w:r>
      <w:r w:rsidRPr="0046775E">
        <w:rPr>
          <w:rFonts w:ascii="Times New Roman" w:eastAsia="Times New Roman" w:hAnsi="Times New Roman" w:cs="Times New Roman"/>
          <w:i/>
          <w:iCs/>
          <w:color w:val="000000" w:themeColor="text1"/>
          <w:szCs w:val="24"/>
        </w:rPr>
        <w:t>Nicotine and Tobacco Research</w:t>
      </w:r>
      <w:r w:rsidRPr="0046775E">
        <w:rPr>
          <w:rFonts w:ascii="Times New Roman" w:eastAsia="Times New Roman" w:hAnsi="Times New Roman" w:cs="Times New Roman"/>
          <w:color w:val="000000" w:themeColor="text1"/>
          <w:szCs w:val="24"/>
        </w:rPr>
        <w:t xml:space="preserve">, </w:t>
      </w:r>
      <w:r w:rsidRPr="0046775E">
        <w:rPr>
          <w:rFonts w:ascii="Times New Roman" w:eastAsia="Times New Roman" w:hAnsi="Times New Roman" w:cs="Times New Roman"/>
          <w:i/>
          <w:iCs/>
          <w:color w:val="000000" w:themeColor="text1"/>
          <w:szCs w:val="24"/>
        </w:rPr>
        <w:t>Nov</w:t>
      </w:r>
      <w:r w:rsidRPr="0046775E">
        <w:rPr>
          <w:rFonts w:ascii="Times New Roman" w:eastAsia="Times New Roman" w:hAnsi="Times New Roman" w:cs="Times New Roman"/>
          <w:color w:val="000000" w:themeColor="text1"/>
          <w:szCs w:val="24"/>
        </w:rPr>
        <w:t>. https://doi.org/10.1093/ntr/ntab23</w:t>
      </w:r>
    </w:p>
    <w:p w:rsidR="00F3750D" w:rsidP="00810AC2" w14:paraId="63235150" w14:textId="02B7661C">
      <w:pPr>
        <w:spacing w:before="100" w:beforeAutospacing="1" w:after="100" w:afterAutospacing="1"/>
        <w:ind w:left="720" w:hanging="720"/>
      </w:pPr>
    </w:p>
    <w:sectPr w:rsidSect="00F3750D">
      <w:footerReference w:type="default" r:id="rId12"/>
      <w:footerReference w:type="first" r:id="rId13"/>
      <w:pgSz w:w="12240" w:h="15840"/>
      <w:pgMar w:top="1440" w:right="1440" w:bottom="1440" w:left="1440" w:header="1440" w:footer="720" w:gutter="0"/>
      <w:pgNumType w:start="1"/>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412B4F53" w14:textId="61414611">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358EED42" w14:textId="77777777">
    <w:pPr>
      <w:pStyle w:val="Footer"/>
      <w:rPr>
        <w:rFonts w:ascii="Times New Roman" w:hAnsi="Times New Roman" w:cs="Times New Roman"/>
        <w:sz w:val="16"/>
        <w:szCs w:val="16"/>
      </w:rPr>
    </w:pPr>
  </w:p>
  <w:p w:rsidR="00FA4269"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4269" w:rsidRPr="00C361E3" w14:paraId="75487C9D" w14:textId="4D5D8BC3">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78E17664" w14:textId="77777777">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58F8" w:rsidP="00E9252F" w14:paraId="5BCDE79E" w14:textId="77777777">
      <w:r>
        <w:separator/>
      </w:r>
    </w:p>
  </w:footnote>
  <w:footnote w:type="continuationSeparator" w:id="1">
    <w:p w:rsidR="00EA58F8" w:rsidP="00E9252F" w14:paraId="545E028C" w14:textId="77777777">
      <w:r>
        <w:continuationSeparator/>
      </w:r>
    </w:p>
  </w:footnote>
  <w:footnote w:type="continuationNotice" w:id="2">
    <w:p w:rsidR="00EA58F8" w14:paraId="209A8A89" w14:textId="77777777"/>
  </w:footnote>
  <w:footnote w:id="3">
    <w:p w:rsidR="0065210E" w:rsidP="0065210E" w14:paraId="333BC66E" w14:textId="0D6854A4">
      <w:pPr>
        <w:pStyle w:val="FootnoteText"/>
      </w:pPr>
      <w:r>
        <w:rPr>
          <w:rStyle w:val="FootnoteReference"/>
        </w:rPr>
        <w:footnoteRef/>
      </w:r>
      <w:r>
        <w:t xml:space="preserve"> </w:t>
      </w:r>
      <w:r w:rsidRPr="00B41153">
        <w:t>Scharff DP, Mathews KJ, Jackson P, Hoffsuemmer J, Martin E, Edwards D. More than Tuskegee: Understanding Mistrust About Research Participation. Journal of health care for the poor and underserved. 2010; 21(3):879-897.</w:t>
      </w:r>
    </w:p>
  </w:footnote>
  <w:footnote w:id="4">
    <w:p w:rsidR="0065210E" w:rsidP="0065210E" w14:paraId="619CC307" w14:textId="7683CD13">
      <w:pPr>
        <w:pStyle w:val="FootnoteText"/>
      </w:pPr>
      <w:r>
        <w:rPr>
          <w:rStyle w:val="FootnoteReference"/>
        </w:rPr>
        <w:footnoteRef/>
      </w:r>
      <w:r>
        <w:t xml:space="preserve"> </w:t>
      </w:r>
      <w:r w:rsidRPr="003042B5">
        <w:t xml:space="preserve">Bonevski, B., Randell, M., Paul, C. et al. Reaching the hard-to-reach: a systematic review of strategies for improving health and medical research with socially disadvantaged groups. BMC Med Res Methodol 14, 42 (2014). </w:t>
      </w:r>
      <w:hyperlink r:id="rId1" w:history="1">
        <w:r w:rsidRPr="003042B5">
          <w:rPr>
            <w:rStyle w:val="Hyperlink"/>
          </w:rPr>
          <w:t>https://doi.org/10.1186/1471-2288-14-42</w:t>
        </w:r>
      </w:hyperlink>
    </w:p>
  </w:footnote>
  <w:footnote w:id="5">
    <w:p w:rsidR="0065210E" w:rsidRPr="00AA4F3B" w:rsidP="00AA4F3B" w14:paraId="5D1BA17A" w14:textId="395F4644">
      <w:pPr>
        <w:tabs>
          <w:tab w:val="left" w:pos="5670"/>
        </w:tabs>
        <w:suppressAutoHyphens/>
        <w:rPr>
          <w:sz w:val="20"/>
          <w:szCs w:val="20"/>
        </w:rPr>
      </w:pPr>
      <w:r w:rsidRPr="000D4542">
        <w:rPr>
          <w:sz w:val="20"/>
          <w:szCs w:val="20"/>
        </w:rPr>
        <w:footnoteRef/>
      </w:r>
      <w:r w:rsidRPr="000D4542">
        <w:rPr>
          <w:sz w:val="20"/>
          <w:szCs w:val="20"/>
        </w:rPr>
        <w:t xml:space="preserve"> Gelinas L, Largent EA, Cohen IG, Kornetsky S, Bierer BE, Fernandez Lynch H. A Framework for Ethical Payment to Research Participants.</w:t>
      </w:r>
      <w:r w:rsidRPr="000D4542">
        <w:rPr>
          <w:rFonts w:ascii="Arial" w:hAnsi="Arial" w:cs="Arial"/>
          <w:sz w:val="20"/>
          <w:szCs w:val="20"/>
        </w:rPr>
        <w:t> </w:t>
      </w:r>
      <w:r w:rsidRPr="000D4542">
        <w:rPr>
          <w:sz w:val="20"/>
          <w:szCs w:val="20"/>
        </w:rPr>
        <w:t xml:space="preserve">N Engl J Med. 2018;378(8):766-771. doi:10.1056/NEJMsb1710591 </w:t>
      </w:r>
    </w:p>
  </w:footnote>
  <w:footnote w:id="6">
    <w:p w:rsidR="0065210E" w:rsidP="0065210E" w14:paraId="080EB963" w14:textId="77777777">
      <w:pPr>
        <w:pStyle w:val="FootnoteText"/>
      </w:pPr>
      <w:r>
        <w:rPr>
          <w:rStyle w:val="FootnoteReference"/>
        </w:rPr>
        <w:footnoteRef/>
      </w:r>
      <w:r>
        <w:t xml:space="preserve"> </w:t>
      </w:r>
      <w:r w:rsidRPr="00025027">
        <w:t xml:space="preserve">Halpern, SD., Karlawish, JH., Casarett, D., Berlin, JA., Asch, DA. Empirical assessment of whether moderate payments are undue or unjust inducements for participation in clinical trials. Archives of Internal Medicine. 2004; 164(7), 80l-803. </w:t>
      </w:r>
    </w:p>
  </w:footnote>
  <w:footnote w:id="7">
    <w:p w:rsidR="00E80491" w:rsidP="00AA4F3B" w14:paraId="47D368E1" w14:textId="2A22A032">
      <w:pPr>
        <w:pStyle w:val="CommentText"/>
      </w:pPr>
      <w:r>
        <w:rPr>
          <w:rStyle w:val="FootnoteReference"/>
        </w:rPr>
        <w:footnoteRef/>
      </w:r>
      <w:r>
        <w:t xml:space="preserve"> </w:t>
      </w:r>
      <w:r w:rsidRPr="005B6472">
        <w:t xml:space="preserve">Singer E &amp; Ye C. (2013). The use and effects of incentives in surveys. The Annals of the American Academy of Political and Social Science. 645(1), 112-141; </w:t>
      </w:r>
      <w:r w:rsidRPr="005B6472">
        <w:rPr>
          <w:color w:val="222222"/>
          <w:shd w:val="clear" w:color="auto" w:fill="FFFFFF"/>
        </w:rPr>
        <w:t xml:space="preserve">LeClere F et al. (2012). Household early bird incentives: leveraging family influence to improve household response rates. In </w:t>
      </w:r>
      <w:r w:rsidRPr="005B6472">
        <w:rPr>
          <w:iCs/>
          <w:color w:val="222222"/>
          <w:shd w:val="clear" w:color="auto" w:fill="FFFFFF"/>
        </w:rPr>
        <w:t>American Statistical Association Joint Statistical Meetings, Section on Survey Research</w:t>
      </w:r>
      <w:r w:rsidRPr="005B6472">
        <w:rPr>
          <w:color w:val="222222"/>
          <w:shd w:val="clear" w:color="auto" w:fill="FFFFFF"/>
        </w:rPr>
        <w:t xml:space="preserve">; </w:t>
      </w:r>
      <w:r w:rsidRPr="005B6472">
        <w:t>Cantor D et al. (2003). Comparing promised and pre-paid incentives for an extended interview on a random digit dial survey. In Presentation for the Annual Meeting of the American Association for Public Opinion Research, Nashville, TN; Singer E. (2002). The use of incentives to reduce nonresponse in household surveys. In Survey Nonresponse, eds. Groves RM et al. 163</w:t>
      </w:r>
      <w:r>
        <w:t>-</w:t>
      </w:r>
      <w:r w:rsidRPr="005B6472">
        <w:t>78. New York, NY: Wiley; Singer E et al. (1998)</w:t>
      </w:r>
      <w:r>
        <w:t>.</w:t>
      </w:r>
      <w:r w:rsidRPr="005B6472">
        <w:t xml:space="preserve"> Does the payment of incentives create expectation effects? </w:t>
      </w:r>
      <w:r w:rsidRPr="00625A39">
        <w:t>Public Opin Q</w:t>
      </w:r>
      <w:r w:rsidRPr="005B6472">
        <w:t>. 62</w:t>
      </w:r>
      <w:r>
        <w:t xml:space="preserve">, </w:t>
      </w:r>
      <w:r w:rsidRPr="005B6472">
        <w:t>152</w:t>
      </w:r>
      <w:r>
        <w:t>-</w:t>
      </w:r>
      <w:r w:rsidRPr="005B6472">
        <w:t>64.</w:t>
      </w:r>
    </w:p>
  </w:footnote>
  <w:footnote w:id="8">
    <w:p w:rsidR="00E80491" w:rsidP="00E80491" w14:paraId="146B50D0" w14:textId="77777777">
      <w:pPr>
        <w:pStyle w:val="FootnoteText"/>
      </w:pPr>
      <w:r>
        <w:rPr>
          <w:rStyle w:val="FootnoteReference"/>
        </w:rPr>
        <w:footnoteRef/>
      </w:r>
      <w:r>
        <w:t xml:space="preserve"> </w:t>
      </w:r>
      <w:r w:rsidRPr="00CC70D6">
        <w:t xml:space="preserve">Göritz AS. (2006). Incentives in </w:t>
      </w:r>
      <w:r>
        <w:t>w</w:t>
      </w:r>
      <w:r w:rsidRPr="00CC70D6">
        <w:t xml:space="preserve">eb </w:t>
      </w:r>
      <w:r>
        <w:t>s</w:t>
      </w:r>
      <w:r w:rsidRPr="00CC70D6">
        <w:t xml:space="preserve">tudies: </w:t>
      </w:r>
      <w:r>
        <w:t>m</w:t>
      </w:r>
      <w:r w:rsidRPr="00CC70D6">
        <w:t xml:space="preserve">ethodological </w:t>
      </w:r>
      <w:r>
        <w:t>i</w:t>
      </w:r>
      <w:r w:rsidRPr="00CC70D6">
        <w:t xml:space="preserve">ssues and a </w:t>
      </w:r>
      <w:r>
        <w:t>r</w:t>
      </w:r>
      <w:r w:rsidRPr="00CC70D6">
        <w:t>e</w:t>
      </w:r>
      <w:r>
        <w:t>view. Int J Internet Science. 1</w:t>
      </w:r>
      <w:r w:rsidRPr="00CC70D6">
        <w:t>(1)</w:t>
      </w:r>
      <w:r>
        <w:t>,</w:t>
      </w:r>
      <w:r w:rsidRPr="00CC70D6">
        <w:t xml:space="preserve"> 58</w:t>
      </w:r>
      <w:r>
        <w:t>-</w:t>
      </w:r>
      <w:r w:rsidRPr="00CC70D6">
        <w:t>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5BFE6B93"/>
    <w:multiLevelType w:val="hybridMultilevel"/>
    <w:tmpl w:val="DD8E35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6">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15"/>
  </w:num>
  <w:num w:numId="6">
    <w:abstractNumId w:val="16"/>
  </w:num>
  <w:num w:numId="7">
    <w:abstractNumId w:val="12"/>
  </w:num>
  <w:num w:numId="8">
    <w:abstractNumId w:val="18"/>
  </w:num>
  <w:num w:numId="9">
    <w:abstractNumId w:val="3"/>
  </w:num>
  <w:num w:numId="10">
    <w:abstractNumId w:val="1"/>
  </w:num>
  <w:num w:numId="11">
    <w:abstractNumId w:val="10"/>
  </w:num>
  <w:num w:numId="12">
    <w:abstractNumId w:val="0"/>
  </w:num>
  <w:num w:numId="13">
    <w:abstractNumId w:val="17"/>
  </w:num>
  <w:num w:numId="14">
    <w:abstractNumId w:val="8"/>
  </w:num>
  <w:num w:numId="15">
    <w:abstractNumId w:val="9"/>
  </w:num>
  <w:num w:numId="16">
    <w:abstractNumId w:val="4"/>
  </w:num>
  <w:num w:numId="17">
    <w:abstractNumId w:val="14"/>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177B"/>
    <w:rsid w:val="00002A28"/>
    <w:rsid w:val="000036E7"/>
    <w:rsid w:val="0002113E"/>
    <w:rsid w:val="00023F60"/>
    <w:rsid w:val="00025027"/>
    <w:rsid w:val="000257CB"/>
    <w:rsid w:val="00025BEE"/>
    <w:rsid w:val="00026F69"/>
    <w:rsid w:val="000278F8"/>
    <w:rsid w:val="0003283B"/>
    <w:rsid w:val="00035733"/>
    <w:rsid w:val="00035EB5"/>
    <w:rsid w:val="000374AD"/>
    <w:rsid w:val="00044764"/>
    <w:rsid w:val="000474CE"/>
    <w:rsid w:val="000475BF"/>
    <w:rsid w:val="00047F68"/>
    <w:rsid w:val="00060E16"/>
    <w:rsid w:val="00066E34"/>
    <w:rsid w:val="00066F47"/>
    <w:rsid w:val="000675C5"/>
    <w:rsid w:val="00070227"/>
    <w:rsid w:val="00070B99"/>
    <w:rsid w:val="00073B0B"/>
    <w:rsid w:val="00074DCB"/>
    <w:rsid w:val="00077B16"/>
    <w:rsid w:val="00082A84"/>
    <w:rsid w:val="00085463"/>
    <w:rsid w:val="000873AA"/>
    <w:rsid w:val="00091895"/>
    <w:rsid w:val="000932AE"/>
    <w:rsid w:val="00093BFF"/>
    <w:rsid w:val="000941DC"/>
    <w:rsid w:val="00095051"/>
    <w:rsid w:val="000A3256"/>
    <w:rsid w:val="000A5D80"/>
    <w:rsid w:val="000A7ECE"/>
    <w:rsid w:val="000B775D"/>
    <w:rsid w:val="000D2DF0"/>
    <w:rsid w:val="000D2F57"/>
    <w:rsid w:val="000D411F"/>
    <w:rsid w:val="000D4542"/>
    <w:rsid w:val="000D4771"/>
    <w:rsid w:val="000D4DC0"/>
    <w:rsid w:val="000D4F3D"/>
    <w:rsid w:val="000E034C"/>
    <w:rsid w:val="000E3693"/>
    <w:rsid w:val="000E4CF3"/>
    <w:rsid w:val="000E56C9"/>
    <w:rsid w:val="000E66A3"/>
    <w:rsid w:val="000F0744"/>
    <w:rsid w:val="000F7E48"/>
    <w:rsid w:val="00101059"/>
    <w:rsid w:val="0010222E"/>
    <w:rsid w:val="00102729"/>
    <w:rsid w:val="00102C8F"/>
    <w:rsid w:val="00105043"/>
    <w:rsid w:val="00111F91"/>
    <w:rsid w:val="001124F6"/>
    <w:rsid w:val="0011726E"/>
    <w:rsid w:val="00134DCE"/>
    <w:rsid w:val="001363C9"/>
    <w:rsid w:val="00136E4C"/>
    <w:rsid w:val="001427C9"/>
    <w:rsid w:val="00145878"/>
    <w:rsid w:val="00150BF4"/>
    <w:rsid w:val="00153FD0"/>
    <w:rsid w:val="00154907"/>
    <w:rsid w:val="00170D27"/>
    <w:rsid w:val="001710BE"/>
    <w:rsid w:val="001721E9"/>
    <w:rsid w:val="00175A31"/>
    <w:rsid w:val="0017609F"/>
    <w:rsid w:val="0018006D"/>
    <w:rsid w:val="00181C0D"/>
    <w:rsid w:val="00182D04"/>
    <w:rsid w:val="00185DBE"/>
    <w:rsid w:val="00193625"/>
    <w:rsid w:val="00193B32"/>
    <w:rsid w:val="0019469E"/>
    <w:rsid w:val="00197667"/>
    <w:rsid w:val="001A0AC4"/>
    <w:rsid w:val="001A0AD7"/>
    <w:rsid w:val="001A0B37"/>
    <w:rsid w:val="001A1EB5"/>
    <w:rsid w:val="001A253C"/>
    <w:rsid w:val="001A3C31"/>
    <w:rsid w:val="001A4605"/>
    <w:rsid w:val="001A5D4F"/>
    <w:rsid w:val="001A6C34"/>
    <w:rsid w:val="001A7059"/>
    <w:rsid w:val="001A7307"/>
    <w:rsid w:val="001A741D"/>
    <w:rsid w:val="001B0020"/>
    <w:rsid w:val="001B1939"/>
    <w:rsid w:val="001B202E"/>
    <w:rsid w:val="001B47BD"/>
    <w:rsid w:val="001B79E7"/>
    <w:rsid w:val="001C2422"/>
    <w:rsid w:val="001C34F8"/>
    <w:rsid w:val="001C6F16"/>
    <w:rsid w:val="001C7AEF"/>
    <w:rsid w:val="001D0BA4"/>
    <w:rsid w:val="001D1FEA"/>
    <w:rsid w:val="001D3031"/>
    <w:rsid w:val="001D7888"/>
    <w:rsid w:val="001E29A0"/>
    <w:rsid w:val="001E403E"/>
    <w:rsid w:val="001E6213"/>
    <w:rsid w:val="001E72E4"/>
    <w:rsid w:val="001F0478"/>
    <w:rsid w:val="001F2A01"/>
    <w:rsid w:val="001F326C"/>
    <w:rsid w:val="001F44E5"/>
    <w:rsid w:val="001F7840"/>
    <w:rsid w:val="001F7E7E"/>
    <w:rsid w:val="00200BDF"/>
    <w:rsid w:val="00201680"/>
    <w:rsid w:val="00203E05"/>
    <w:rsid w:val="0020465D"/>
    <w:rsid w:val="00215E19"/>
    <w:rsid w:val="002234B4"/>
    <w:rsid w:val="00224EB6"/>
    <w:rsid w:val="002254C1"/>
    <w:rsid w:val="00227B2B"/>
    <w:rsid w:val="002329D0"/>
    <w:rsid w:val="00233374"/>
    <w:rsid w:val="00234FA6"/>
    <w:rsid w:val="00236C42"/>
    <w:rsid w:val="00243C14"/>
    <w:rsid w:val="00245FDA"/>
    <w:rsid w:val="002462E5"/>
    <w:rsid w:val="0024771E"/>
    <w:rsid w:val="002479F7"/>
    <w:rsid w:val="00250FFD"/>
    <w:rsid w:val="00257AD0"/>
    <w:rsid w:val="0026002E"/>
    <w:rsid w:val="002744F8"/>
    <w:rsid w:val="002762DA"/>
    <w:rsid w:val="00283733"/>
    <w:rsid w:val="00283FAE"/>
    <w:rsid w:val="00286C05"/>
    <w:rsid w:val="0029136E"/>
    <w:rsid w:val="00292465"/>
    <w:rsid w:val="0029304D"/>
    <w:rsid w:val="002952B6"/>
    <w:rsid w:val="002A3C48"/>
    <w:rsid w:val="002A4557"/>
    <w:rsid w:val="002B61A4"/>
    <w:rsid w:val="002C02BA"/>
    <w:rsid w:val="002D6CA4"/>
    <w:rsid w:val="002E145D"/>
    <w:rsid w:val="002E171F"/>
    <w:rsid w:val="002E3246"/>
    <w:rsid w:val="002E35CB"/>
    <w:rsid w:val="002F75DD"/>
    <w:rsid w:val="00300F3E"/>
    <w:rsid w:val="00301FDC"/>
    <w:rsid w:val="003042B5"/>
    <w:rsid w:val="003054FA"/>
    <w:rsid w:val="003075C0"/>
    <w:rsid w:val="0031319E"/>
    <w:rsid w:val="00314892"/>
    <w:rsid w:val="00323D4B"/>
    <w:rsid w:val="0033260F"/>
    <w:rsid w:val="003328D5"/>
    <w:rsid w:val="00333524"/>
    <w:rsid w:val="003343B6"/>
    <w:rsid w:val="0033742D"/>
    <w:rsid w:val="00341429"/>
    <w:rsid w:val="00341BA6"/>
    <w:rsid w:val="0034447E"/>
    <w:rsid w:val="00344B66"/>
    <w:rsid w:val="00346853"/>
    <w:rsid w:val="00347BFC"/>
    <w:rsid w:val="0035744F"/>
    <w:rsid w:val="00361FC2"/>
    <w:rsid w:val="00364525"/>
    <w:rsid w:val="00365186"/>
    <w:rsid w:val="0037144B"/>
    <w:rsid w:val="00371691"/>
    <w:rsid w:val="003717C0"/>
    <w:rsid w:val="00371833"/>
    <w:rsid w:val="003723C0"/>
    <w:rsid w:val="00380681"/>
    <w:rsid w:val="0038070F"/>
    <w:rsid w:val="003807AB"/>
    <w:rsid w:val="00384396"/>
    <w:rsid w:val="00384655"/>
    <w:rsid w:val="00385330"/>
    <w:rsid w:val="00387890"/>
    <w:rsid w:val="003920EF"/>
    <w:rsid w:val="0039454C"/>
    <w:rsid w:val="0039643B"/>
    <w:rsid w:val="003A0E8D"/>
    <w:rsid w:val="003A58ED"/>
    <w:rsid w:val="003A59C7"/>
    <w:rsid w:val="003A6106"/>
    <w:rsid w:val="003A6B65"/>
    <w:rsid w:val="003B0A99"/>
    <w:rsid w:val="003B4DB8"/>
    <w:rsid w:val="003B7D28"/>
    <w:rsid w:val="003C0AEB"/>
    <w:rsid w:val="003C46A6"/>
    <w:rsid w:val="003C495C"/>
    <w:rsid w:val="003C58DC"/>
    <w:rsid w:val="003C6D1C"/>
    <w:rsid w:val="003D6A14"/>
    <w:rsid w:val="003E33EF"/>
    <w:rsid w:val="003E3F65"/>
    <w:rsid w:val="003E41E6"/>
    <w:rsid w:val="003E5DB0"/>
    <w:rsid w:val="003F5122"/>
    <w:rsid w:val="003F6638"/>
    <w:rsid w:val="003F6F63"/>
    <w:rsid w:val="004002DC"/>
    <w:rsid w:val="00400D17"/>
    <w:rsid w:val="00401C86"/>
    <w:rsid w:val="004023E0"/>
    <w:rsid w:val="00403E9F"/>
    <w:rsid w:val="00410035"/>
    <w:rsid w:val="0041079F"/>
    <w:rsid w:val="00410D99"/>
    <w:rsid w:val="00417295"/>
    <w:rsid w:val="0042167C"/>
    <w:rsid w:val="004216DE"/>
    <w:rsid w:val="0042241B"/>
    <w:rsid w:val="00423C78"/>
    <w:rsid w:val="00427FC4"/>
    <w:rsid w:val="004324B6"/>
    <w:rsid w:val="00436A9C"/>
    <w:rsid w:val="004373A1"/>
    <w:rsid w:val="00437638"/>
    <w:rsid w:val="004412EF"/>
    <w:rsid w:val="0045460B"/>
    <w:rsid w:val="00456F1C"/>
    <w:rsid w:val="0045731E"/>
    <w:rsid w:val="00460726"/>
    <w:rsid w:val="00460AE5"/>
    <w:rsid w:val="00461149"/>
    <w:rsid w:val="004613B8"/>
    <w:rsid w:val="00464A80"/>
    <w:rsid w:val="0046592D"/>
    <w:rsid w:val="0046775E"/>
    <w:rsid w:val="004756CB"/>
    <w:rsid w:val="00480A93"/>
    <w:rsid w:val="004849E6"/>
    <w:rsid w:val="0048512E"/>
    <w:rsid w:val="0048736E"/>
    <w:rsid w:val="00493C5D"/>
    <w:rsid w:val="00495504"/>
    <w:rsid w:val="004A020D"/>
    <w:rsid w:val="004A062E"/>
    <w:rsid w:val="004A3E11"/>
    <w:rsid w:val="004A4D8F"/>
    <w:rsid w:val="004A4F73"/>
    <w:rsid w:val="004A65A2"/>
    <w:rsid w:val="004B3D08"/>
    <w:rsid w:val="004B51C6"/>
    <w:rsid w:val="004C0C3A"/>
    <w:rsid w:val="004C17B2"/>
    <w:rsid w:val="004C42D1"/>
    <w:rsid w:val="004C6D2E"/>
    <w:rsid w:val="004C78BE"/>
    <w:rsid w:val="004D14CF"/>
    <w:rsid w:val="004D50DF"/>
    <w:rsid w:val="004D6182"/>
    <w:rsid w:val="004D7181"/>
    <w:rsid w:val="004E1E41"/>
    <w:rsid w:val="004E330B"/>
    <w:rsid w:val="004E510C"/>
    <w:rsid w:val="004F02AA"/>
    <w:rsid w:val="004F055C"/>
    <w:rsid w:val="004F0C26"/>
    <w:rsid w:val="004F27E6"/>
    <w:rsid w:val="004F4DAC"/>
    <w:rsid w:val="005055A6"/>
    <w:rsid w:val="00506A73"/>
    <w:rsid w:val="005125BA"/>
    <w:rsid w:val="0051638B"/>
    <w:rsid w:val="00517103"/>
    <w:rsid w:val="00525816"/>
    <w:rsid w:val="005316F7"/>
    <w:rsid w:val="00531B6A"/>
    <w:rsid w:val="005325C9"/>
    <w:rsid w:val="0053280E"/>
    <w:rsid w:val="00533205"/>
    <w:rsid w:val="005356B5"/>
    <w:rsid w:val="005423C5"/>
    <w:rsid w:val="00551066"/>
    <w:rsid w:val="005533B0"/>
    <w:rsid w:val="005570CE"/>
    <w:rsid w:val="00557C71"/>
    <w:rsid w:val="00563927"/>
    <w:rsid w:val="00570B94"/>
    <w:rsid w:val="00573E56"/>
    <w:rsid w:val="00576167"/>
    <w:rsid w:val="005773DC"/>
    <w:rsid w:val="00583432"/>
    <w:rsid w:val="00584305"/>
    <w:rsid w:val="0058491C"/>
    <w:rsid w:val="00584D19"/>
    <w:rsid w:val="0059232C"/>
    <w:rsid w:val="00592E5C"/>
    <w:rsid w:val="005A06B9"/>
    <w:rsid w:val="005B3FB7"/>
    <w:rsid w:val="005B40E7"/>
    <w:rsid w:val="005B6472"/>
    <w:rsid w:val="005B6EC4"/>
    <w:rsid w:val="005B7C37"/>
    <w:rsid w:val="005C1646"/>
    <w:rsid w:val="005C1F73"/>
    <w:rsid w:val="005C7F2F"/>
    <w:rsid w:val="005D4FAA"/>
    <w:rsid w:val="005D6D70"/>
    <w:rsid w:val="005E16AA"/>
    <w:rsid w:val="005E1825"/>
    <w:rsid w:val="005E3BBC"/>
    <w:rsid w:val="005E48DB"/>
    <w:rsid w:val="005E617B"/>
    <w:rsid w:val="005F3977"/>
    <w:rsid w:val="005F3EC5"/>
    <w:rsid w:val="005F5ADF"/>
    <w:rsid w:val="005F68B2"/>
    <w:rsid w:val="00600BBB"/>
    <w:rsid w:val="00604003"/>
    <w:rsid w:val="00604FF2"/>
    <w:rsid w:val="00607E62"/>
    <w:rsid w:val="00614BCC"/>
    <w:rsid w:val="0062037D"/>
    <w:rsid w:val="0062156B"/>
    <w:rsid w:val="006224BD"/>
    <w:rsid w:val="00625A39"/>
    <w:rsid w:val="0063380F"/>
    <w:rsid w:val="00635EF2"/>
    <w:rsid w:val="006427EC"/>
    <w:rsid w:val="00644394"/>
    <w:rsid w:val="00645FFC"/>
    <w:rsid w:val="006507C4"/>
    <w:rsid w:val="0065210E"/>
    <w:rsid w:val="00652273"/>
    <w:rsid w:val="00654F87"/>
    <w:rsid w:val="00655AC5"/>
    <w:rsid w:val="00656245"/>
    <w:rsid w:val="006568CE"/>
    <w:rsid w:val="006722E2"/>
    <w:rsid w:val="00672B9A"/>
    <w:rsid w:val="00676E4D"/>
    <w:rsid w:val="0067727A"/>
    <w:rsid w:val="006806B4"/>
    <w:rsid w:val="00680794"/>
    <w:rsid w:val="00681198"/>
    <w:rsid w:val="00684019"/>
    <w:rsid w:val="00684414"/>
    <w:rsid w:val="00684BFD"/>
    <w:rsid w:val="0068610A"/>
    <w:rsid w:val="00687A00"/>
    <w:rsid w:val="00693440"/>
    <w:rsid w:val="006A1BAE"/>
    <w:rsid w:val="006A1FB1"/>
    <w:rsid w:val="006A2999"/>
    <w:rsid w:val="006A477A"/>
    <w:rsid w:val="006A48BB"/>
    <w:rsid w:val="006A6812"/>
    <w:rsid w:val="006A69C3"/>
    <w:rsid w:val="006B33B8"/>
    <w:rsid w:val="006B4B28"/>
    <w:rsid w:val="006B57D7"/>
    <w:rsid w:val="006C087E"/>
    <w:rsid w:val="006C46E9"/>
    <w:rsid w:val="006C7042"/>
    <w:rsid w:val="006D042C"/>
    <w:rsid w:val="006D2551"/>
    <w:rsid w:val="006D742F"/>
    <w:rsid w:val="006D7C4C"/>
    <w:rsid w:val="006E1E40"/>
    <w:rsid w:val="006F018C"/>
    <w:rsid w:val="006F41BB"/>
    <w:rsid w:val="006F6837"/>
    <w:rsid w:val="006F6CBD"/>
    <w:rsid w:val="00705808"/>
    <w:rsid w:val="00710AB8"/>
    <w:rsid w:val="0071281F"/>
    <w:rsid w:val="00715B66"/>
    <w:rsid w:val="007174B6"/>
    <w:rsid w:val="00717CFB"/>
    <w:rsid w:val="007207E8"/>
    <w:rsid w:val="0072135B"/>
    <w:rsid w:val="00730B9E"/>
    <w:rsid w:val="00732939"/>
    <w:rsid w:val="00744A53"/>
    <w:rsid w:val="00747743"/>
    <w:rsid w:val="007478CB"/>
    <w:rsid w:val="00750900"/>
    <w:rsid w:val="00754754"/>
    <w:rsid w:val="0075548A"/>
    <w:rsid w:val="00757FBF"/>
    <w:rsid w:val="00761DFC"/>
    <w:rsid w:val="00762C2B"/>
    <w:rsid w:val="00765F6A"/>
    <w:rsid w:val="00784E5E"/>
    <w:rsid w:val="00785A45"/>
    <w:rsid w:val="007951D6"/>
    <w:rsid w:val="007A04B7"/>
    <w:rsid w:val="007A5292"/>
    <w:rsid w:val="007A744B"/>
    <w:rsid w:val="007A7AC4"/>
    <w:rsid w:val="007B15CD"/>
    <w:rsid w:val="007B4F97"/>
    <w:rsid w:val="007C1C5E"/>
    <w:rsid w:val="007C1E15"/>
    <w:rsid w:val="007C3306"/>
    <w:rsid w:val="007C50DB"/>
    <w:rsid w:val="007C59B8"/>
    <w:rsid w:val="007C6273"/>
    <w:rsid w:val="007D07F2"/>
    <w:rsid w:val="007D0E55"/>
    <w:rsid w:val="007D167B"/>
    <w:rsid w:val="007D309A"/>
    <w:rsid w:val="007E0F5D"/>
    <w:rsid w:val="007E1BA4"/>
    <w:rsid w:val="007E22C9"/>
    <w:rsid w:val="007E58CF"/>
    <w:rsid w:val="007E61B6"/>
    <w:rsid w:val="007F072C"/>
    <w:rsid w:val="007F36CF"/>
    <w:rsid w:val="007F40C7"/>
    <w:rsid w:val="007F4407"/>
    <w:rsid w:val="00800620"/>
    <w:rsid w:val="00801C98"/>
    <w:rsid w:val="00801EB0"/>
    <w:rsid w:val="00803388"/>
    <w:rsid w:val="00804FE9"/>
    <w:rsid w:val="00810AC2"/>
    <w:rsid w:val="008112FF"/>
    <w:rsid w:val="008152C6"/>
    <w:rsid w:val="00820C3A"/>
    <w:rsid w:val="00821CDF"/>
    <w:rsid w:val="00826382"/>
    <w:rsid w:val="008265FC"/>
    <w:rsid w:val="00830D83"/>
    <w:rsid w:val="00836FFE"/>
    <w:rsid w:val="00843B70"/>
    <w:rsid w:val="00844E5E"/>
    <w:rsid w:val="00846644"/>
    <w:rsid w:val="00847471"/>
    <w:rsid w:val="00850225"/>
    <w:rsid w:val="008558A4"/>
    <w:rsid w:val="008613D8"/>
    <w:rsid w:val="00863302"/>
    <w:rsid w:val="00867BDD"/>
    <w:rsid w:val="00882F0C"/>
    <w:rsid w:val="00895BE2"/>
    <w:rsid w:val="008A0924"/>
    <w:rsid w:val="008A0B4E"/>
    <w:rsid w:val="008A0F81"/>
    <w:rsid w:val="008A4BB5"/>
    <w:rsid w:val="008A72B9"/>
    <w:rsid w:val="008A74EB"/>
    <w:rsid w:val="008B1993"/>
    <w:rsid w:val="008B1D9E"/>
    <w:rsid w:val="008B73AB"/>
    <w:rsid w:val="008C261E"/>
    <w:rsid w:val="008C28B9"/>
    <w:rsid w:val="008C2BBD"/>
    <w:rsid w:val="008C7A3E"/>
    <w:rsid w:val="008D435F"/>
    <w:rsid w:val="008D6974"/>
    <w:rsid w:val="008D752E"/>
    <w:rsid w:val="008D7E17"/>
    <w:rsid w:val="008E56B9"/>
    <w:rsid w:val="008E5E90"/>
    <w:rsid w:val="008F26BD"/>
    <w:rsid w:val="008F272E"/>
    <w:rsid w:val="008F3E4C"/>
    <w:rsid w:val="00900C46"/>
    <w:rsid w:val="009029B4"/>
    <w:rsid w:val="00907F3A"/>
    <w:rsid w:val="00911073"/>
    <w:rsid w:val="0091733F"/>
    <w:rsid w:val="0092496A"/>
    <w:rsid w:val="00924B66"/>
    <w:rsid w:val="00926DFB"/>
    <w:rsid w:val="00927E99"/>
    <w:rsid w:val="00931C96"/>
    <w:rsid w:val="009322B6"/>
    <w:rsid w:val="009337AF"/>
    <w:rsid w:val="00933813"/>
    <w:rsid w:val="009340CD"/>
    <w:rsid w:val="0093753B"/>
    <w:rsid w:val="00941862"/>
    <w:rsid w:val="00941C1B"/>
    <w:rsid w:val="00942E34"/>
    <w:rsid w:val="00943E7A"/>
    <w:rsid w:val="00946D48"/>
    <w:rsid w:val="00946E19"/>
    <w:rsid w:val="00947D18"/>
    <w:rsid w:val="00951313"/>
    <w:rsid w:val="00960956"/>
    <w:rsid w:val="00973F7A"/>
    <w:rsid w:val="00977DF3"/>
    <w:rsid w:val="009818A4"/>
    <w:rsid w:val="00985187"/>
    <w:rsid w:val="00986314"/>
    <w:rsid w:val="00986466"/>
    <w:rsid w:val="00987029"/>
    <w:rsid w:val="00987F60"/>
    <w:rsid w:val="009A1891"/>
    <w:rsid w:val="009A2EE5"/>
    <w:rsid w:val="009A3E89"/>
    <w:rsid w:val="009A3E90"/>
    <w:rsid w:val="009A3FF4"/>
    <w:rsid w:val="009A4034"/>
    <w:rsid w:val="009A734D"/>
    <w:rsid w:val="009A7B5C"/>
    <w:rsid w:val="009C11AD"/>
    <w:rsid w:val="009C48E7"/>
    <w:rsid w:val="009C78E9"/>
    <w:rsid w:val="009D41D1"/>
    <w:rsid w:val="009D4D51"/>
    <w:rsid w:val="009E6468"/>
    <w:rsid w:val="009F1BF9"/>
    <w:rsid w:val="009F750E"/>
    <w:rsid w:val="00A023ED"/>
    <w:rsid w:val="00A0375E"/>
    <w:rsid w:val="00A04FFB"/>
    <w:rsid w:val="00A10142"/>
    <w:rsid w:val="00A13A1E"/>
    <w:rsid w:val="00A14486"/>
    <w:rsid w:val="00A159D9"/>
    <w:rsid w:val="00A20853"/>
    <w:rsid w:val="00A20E5D"/>
    <w:rsid w:val="00A2734D"/>
    <w:rsid w:val="00A2736D"/>
    <w:rsid w:val="00A31F92"/>
    <w:rsid w:val="00A33735"/>
    <w:rsid w:val="00A35C6D"/>
    <w:rsid w:val="00A42054"/>
    <w:rsid w:val="00A464E7"/>
    <w:rsid w:val="00A46868"/>
    <w:rsid w:val="00A47761"/>
    <w:rsid w:val="00A52909"/>
    <w:rsid w:val="00A53433"/>
    <w:rsid w:val="00A54475"/>
    <w:rsid w:val="00A555B5"/>
    <w:rsid w:val="00A55A3F"/>
    <w:rsid w:val="00A62F0A"/>
    <w:rsid w:val="00A6307C"/>
    <w:rsid w:val="00A63C9D"/>
    <w:rsid w:val="00A741FB"/>
    <w:rsid w:val="00A77484"/>
    <w:rsid w:val="00A8249C"/>
    <w:rsid w:val="00A82821"/>
    <w:rsid w:val="00A85FDF"/>
    <w:rsid w:val="00AA0109"/>
    <w:rsid w:val="00AA188C"/>
    <w:rsid w:val="00AA1E4D"/>
    <w:rsid w:val="00AA4F3B"/>
    <w:rsid w:val="00AA78CC"/>
    <w:rsid w:val="00AB4EBF"/>
    <w:rsid w:val="00AB755E"/>
    <w:rsid w:val="00AC0B1E"/>
    <w:rsid w:val="00AC40F8"/>
    <w:rsid w:val="00AC5C3B"/>
    <w:rsid w:val="00AD2068"/>
    <w:rsid w:val="00AE0255"/>
    <w:rsid w:val="00AE3630"/>
    <w:rsid w:val="00AE66F0"/>
    <w:rsid w:val="00AF477F"/>
    <w:rsid w:val="00AF4DA8"/>
    <w:rsid w:val="00AF5142"/>
    <w:rsid w:val="00AF62F5"/>
    <w:rsid w:val="00AF69D5"/>
    <w:rsid w:val="00B00EFE"/>
    <w:rsid w:val="00B021E3"/>
    <w:rsid w:val="00B11B3A"/>
    <w:rsid w:val="00B16E5F"/>
    <w:rsid w:val="00B207D6"/>
    <w:rsid w:val="00B23136"/>
    <w:rsid w:val="00B23954"/>
    <w:rsid w:val="00B27F52"/>
    <w:rsid w:val="00B34E36"/>
    <w:rsid w:val="00B37871"/>
    <w:rsid w:val="00B41153"/>
    <w:rsid w:val="00B430F4"/>
    <w:rsid w:val="00B4310B"/>
    <w:rsid w:val="00B43D49"/>
    <w:rsid w:val="00B4639C"/>
    <w:rsid w:val="00B5361F"/>
    <w:rsid w:val="00B54F49"/>
    <w:rsid w:val="00B56A90"/>
    <w:rsid w:val="00B57847"/>
    <w:rsid w:val="00B578EC"/>
    <w:rsid w:val="00B665BA"/>
    <w:rsid w:val="00B7016C"/>
    <w:rsid w:val="00B712D4"/>
    <w:rsid w:val="00B847F8"/>
    <w:rsid w:val="00B85E19"/>
    <w:rsid w:val="00B8665D"/>
    <w:rsid w:val="00B962AE"/>
    <w:rsid w:val="00B96D95"/>
    <w:rsid w:val="00B97848"/>
    <w:rsid w:val="00BA0560"/>
    <w:rsid w:val="00BA09CD"/>
    <w:rsid w:val="00BA2CBC"/>
    <w:rsid w:val="00BA4EDE"/>
    <w:rsid w:val="00BA5FE0"/>
    <w:rsid w:val="00BA7C11"/>
    <w:rsid w:val="00BB068B"/>
    <w:rsid w:val="00BB26F6"/>
    <w:rsid w:val="00BB3266"/>
    <w:rsid w:val="00BC4D96"/>
    <w:rsid w:val="00BD64EC"/>
    <w:rsid w:val="00BE02A8"/>
    <w:rsid w:val="00BE07B5"/>
    <w:rsid w:val="00BE1659"/>
    <w:rsid w:val="00BE16A8"/>
    <w:rsid w:val="00BE1FCB"/>
    <w:rsid w:val="00BE2685"/>
    <w:rsid w:val="00BE3024"/>
    <w:rsid w:val="00BE61B2"/>
    <w:rsid w:val="00BF0DEE"/>
    <w:rsid w:val="00BF13BA"/>
    <w:rsid w:val="00BF562C"/>
    <w:rsid w:val="00C014B4"/>
    <w:rsid w:val="00C04EB7"/>
    <w:rsid w:val="00C07298"/>
    <w:rsid w:val="00C12674"/>
    <w:rsid w:val="00C13D4C"/>
    <w:rsid w:val="00C15756"/>
    <w:rsid w:val="00C20758"/>
    <w:rsid w:val="00C270DE"/>
    <w:rsid w:val="00C31ECB"/>
    <w:rsid w:val="00C361E3"/>
    <w:rsid w:val="00C36616"/>
    <w:rsid w:val="00C426FA"/>
    <w:rsid w:val="00C44863"/>
    <w:rsid w:val="00C4552B"/>
    <w:rsid w:val="00C46AAA"/>
    <w:rsid w:val="00C52708"/>
    <w:rsid w:val="00C71481"/>
    <w:rsid w:val="00C717D9"/>
    <w:rsid w:val="00C74EAE"/>
    <w:rsid w:val="00C76079"/>
    <w:rsid w:val="00C83CEF"/>
    <w:rsid w:val="00C864D9"/>
    <w:rsid w:val="00C86B86"/>
    <w:rsid w:val="00C8712B"/>
    <w:rsid w:val="00C8741F"/>
    <w:rsid w:val="00C91DA0"/>
    <w:rsid w:val="00C928AA"/>
    <w:rsid w:val="00C9301C"/>
    <w:rsid w:val="00C94255"/>
    <w:rsid w:val="00C95339"/>
    <w:rsid w:val="00C954DA"/>
    <w:rsid w:val="00C95611"/>
    <w:rsid w:val="00C95BD6"/>
    <w:rsid w:val="00C97B1D"/>
    <w:rsid w:val="00CA29FC"/>
    <w:rsid w:val="00CA4798"/>
    <w:rsid w:val="00CA519A"/>
    <w:rsid w:val="00CB534D"/>
    <w:rsid w:val="00CB6ECD"/>
    <w:rsid w:val="00CC46B3"/>
    <w:rsid w:val="00CC70D6"/>
    <w:rsid w:val="00CD3256"/>
    <w:rsid w:val="00CD415D"/>
    <w:rsid w:val="00CE13FB"/>
    <w:rsid w:val="00CE3249"/>
    <w:rsid w:val="00CE3417"/>
    <w:rsid w:val="00CE514D"/>
    <w:rsid w:val="00CE5FFE"/>
    <w:rsid w:val="00CE7EE2"/>
    <w:rsid w:val="00CF2466"/>
    <w:rsid w:val="00CF281F"/>
    <w:rsid w:val="00CF5A7E"/>
    <w:rsid w:val="00CF7DDC"/>
    <w:rsid w:val="00D00DCC"/>
    <w:rsid w:val="00D03B65"/>
    <w:rsid w:val="00D05A5E"/>
    <w:rsid w:val="00D068AE"/>
    <w:rsid w:val="00D12416"/>
    <w:rsid w:val="00D13CDB"/>
    <w:rsid w:val="00D16007"/>
    <w:rsid w:val="00D165E2"/>
    <w:rsid w:val="00D23E32"/>
    <w:rsid w:val="00D2633C"/>
    <w:rsid w:val="00D40586"/>
    <w:rsid w:val="00D43439"/>
    <w:rsid w:val="00D43F21"/>
    <w:rsid w:val="00D46F0F"/>
    <w:rsid w:val="00D5281F"/>
    <w:rsid w:val="00D54A74"/>
    <w:rsid w:val="00D54AB9"/>
    <w:rsid w:val="00D55BA1"/>
    <w:rsid w:val="00D61FA9"/>
    <w:rsid w:val="00D62177"/>
    <w:rsid w:val="00D62508"/>
    <w:rsid w:val="00D63FEC"/>
    <w:rsid w:val="00D64916"/>
    <w:rsid w:val="00D656C3"/>
    <w:rsid w:val="00D662E2"/>
    <w:rsid w:val="00D700F9"/>
    <w:rsid w:val="00D70CC4"/>
    <w:rsid w:val="00D727E6"/>
    <w:rsid w:val="00D7301B"/>
    <w:rsid w:val="00D81585"/>
    <w:rsid w:val="00D82B51"/>
    <w:rsid w:val="00D84754"/>
    <w:rsid w:val="00D90196"/>
    <w:rsid w:val="00D945F7"/>
    <w:rsid w:val="00D96299"/>
    <w:rsid w:val="00DA06B4"/>
    <w:rsid w:val="00DA16B4"/>
    <w:rsid w:val="00DA19BB"/>
    <w:rsid w:val="00DA611C"/>
    <w:rsid w:val="00DA732E"/>
    <w:rsid w:val="00DA7983"/>
    <w:rsid w:val="00DB54E8"/>
    <w:rsid w:val="00DC48C0"/>
    <w:rsid w:val="00DC5121"/>
    <w:rsid w:val="00DC740C"/>
    <w:rsid w:val="00DD5A77"/>
    <w:rsid w:val="00DF1266"/>
    <w:rsid w:val="00DF6FEB"/>
    <w:rsid w:val="00E031B2"/>
    <w:rsid w:val="00E070C7"/>
    <w:rsid w:val="00E15D5C"/>
    <w:rsid w:val="00E16A42"/>
    <w:rsid w:val="00E2254F"/>
    <w:rsid w:val="00E25223"/>
    <w:rsid w:val="00E26752"/>
    <w:rsid w:val="00E27B3D"/>
    <w:rsid w:val="00E371F6"/>
    <w:rsid w:val="00E433F6"/>
    <w:rsid w:val="00E43439"/>
    <w:rsid w:val="00E4499E"/>
    <w:rsid w:val="00E50FD7"/>
    <w:rsid w:val="00E52BE7"/>
    <w:rsid w:val="00E535FC"/>
    <w:rsid w:val="00E53B28"/>
    <w:rsid w:val="00E5593E"/>
    <w:rsid w:val="00E602B8"/>
    <w:rsid w:val="00E60CB1"/>
    <w:rsid w:val="00E624F1"/>
    <w:rsid w:val="00E6485E"/>
    <w:rsid w:val="00E719C7"/>
    <w:rsid w:val="00E7350F"/>
    <w:rsid w:val="00E73FED"/>
    <w:rsid w:val="00E75926"/>
    <w:rsid w:val="00E76E53"/>
    <w:rsid w:val="00E80491"/>
    <w:rsid w:val="00E85BBE"/>
    <w:rsid w:val="00E85E92"/>
    <w:rsid w:val="00E876D7"/>
    <w:rsid w:val="00E922F8"/>
    <w:rsid w:val="00E9252F"/>
    <w:rsid w:val="00E92E44"/>
    <w:rsid w:val="00E95A0C"/>
    <w:rsid w:val="00EA0D40"/>
    <w:rsid w:val="00EA2A7E"/>
    <w:rsid w:val="00EA58F8"/>
    <w:rsid w:val="00EB45BE"/>
    <w:rsid w:val="00EB4780"/>
    <w:rsid w:val="00EB7875"/>
    <w:rsid w:val="00EC00D4"/>
    <w:rsid w:val="00EC4B9E"/>
    <w:rsid w:val="00EC545C"/>
    <w:rsid w:val="00EC7A02"/>
    <w:rsid w:val="00ED060B"/>
    <w:rsid w:val="00ED1AF2"/>
    <w:rsid w:val="00ED20A1"/>
    <w:rsid w:val="00ED74D1"/>
    <w:rsid w:val="00EE2079"/>
    <w:rsid w:val="00EE3540"/>
    <w:rsid w:val="00EE5B28"/>
    <w:rsid w:val="00EF1267"/>
    <w:rsid w:val="00EF183E"/>
    <w:rsid w:val="00F05095"/>
    <w:rsid w:val="00F055BE"/>
    <w:rsid w:val="00F07742"/>
    <w:rsid w:val="00F101D8"/>
    <w:rsid w:val="00F117A3"/>
    <w:rsid w:val="00F120D3"/>
    <w:rsid w:val="00F126C2"/>
    <w:rsid w:val="00F1384C"/>
    <w:rsid w:val="00F21873"/>
    <w:rsid w:val="00F259D1"/>
    <w:rsid w:val="00F2670A"/>
    <w:rsid w:val="00F27DBC"/>
    <w:rsid w:val="00F307BD"/>
    <w:rsid w:val="00F332CB"/>
    <w:rsid w:val="00F33969"/>
    <w:rsid w:val="00F349A7"/>
    <w:rsid w:val="00F3691A"/>
    <w:rsid w:val="00F3750D"/>
    <w:rsid w:val="00F402A8"/>
    <w:rsid w:val="00F40B83"/>
    <w:rsid w:val="00F421E3"/>
    <w:rsid w:val="00F45AA2"/>
    <w:rsid w:val="00F46EDC"/>
    <w:rsid w:val="00F475DC"/>
    <w:rsid w:val="00F53F90"/>
    <w:rsid w:val="00F5499C"/>
    <w:rsid w:val="00F576C3"/>
    <w:rsid w:val="00F64C9F"/>
    <w:rsid w:val="00F677EB"/>
    <w:rsid w:val="00F734AC"/>
    <w:rsid w:val="00F745EF"/>
    <w:rsid w:val="00F74829"/>
    <w:rsid w:val="00F74E2C"/>
    <w:rsid w:val="00F7704B"/>
    <w:rsid w:val="00F80EED"/>
    <w:rsid w:val="00F857BB"/>
    <w:rsid w:val="00F90702"/>
    <w:rsid w:val="00F9606E"/>
    <w:rsid w:val="00FA226E"/>
    <w:rsid w:val="00FA24F8"/>
    <w:rsid w:val="00FA37E8"/>
    <w:rsid w:val="00FA4269"/>
    <w:rsid w:val="00FA7CD2"/>
    <w:rsid w:val="00FB5372"/>
    <w:rsid w:val="00FC464F"/>
    <w:rsid w:val="00FC610D"/>
    <w:rsid w:val="00FC7E56"/>
    <w:rsid w:val="00FD1E65"/>
    <w:rsid w:val="00FE04A8"/>
    <w:rsid w:val="00FE1514"/>
    <w:rsid w:val="00FE3B15"/>
    <w:rsid w:val="00FE3F2C"/>
    <w:rsid w:val="00FE5973"/>
    <w:rsid w:val="00FF12C4"/>
    <w:rsid w:val="00FF190F"/>
    <w:rsid w:val="00FF5833"/>
    <w:rsid w:val="03C32C2E"/>
    <w:rsid w:val="0A95AB9B"/>
    <w:rsid w:val="1417567B"/>
    <w:rsid w:val="1BEC4F63"/>
    <w:rsid w:val="232A898F"/>
    <w:rsid w:val="2E39A8B1"/>
    <w:rsid w:val="2EAEF721"/>
    <w:rsid w:val="2EDDBB35"/>
    <w:rsid w:val="2FD57912"/>
    <w:rsid w:val="37ADCBF9"/>
    <w:rsid w:val="4C481F8C"/>
    <w:rsid w:val="4DDE2E71"/>
    <w:rsid w:val="653E2E55"/>
    <w:rsid w:val="6BAD6FD9"/>
    <w:rsid w:val="7386FB4D"/>
    <w:rsid w:val="76481512"/>
    <w:rsid w:val="78519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197667"/>
    <w:rPr>
      <w:rFonts w:ascii="Calibri" w:hAnsi="Calibri" w:cs="Calibri"/>
      <w:sz w:val="22"/>
    </w:rPr>
  </w:style>
  <w:style w:type="character" w:styleId="UnresolvedMention">
    <w:name w:val="Unresolved Mention"/>
    <w:basedOn w:val="DefaultParagraphFont"/>
    <w:uiPriority w:val="99"/>
    <w:semiHidden/>
    <w:unhideWhenUsed/>
    <w:rsid w:val="00197667"/>
    <w:rPr>
      <w:color w:val="605E5C"/>
      <w:shd w:val="clear" w:color="auto" w:fill="E1DFDD"/>
    </w:rPr>
  </w:style>
  <w:style w:type="paragraph" w:styleId="FootnoteText">
    <w:name w:val="footnote text"/>
    <w:basedOn w:val="Normal"/>
    <w:link w:val="FootnoteTextChar"/>
    <w:uiPriority w:val="99"/>
    <w:semiHidden/>
    <w:unhideWhenUsed/>
    <w:rsid w:val="00E80491"/>
    <w:rPr>
      <w:sz w:val="20"/>
      <w:szCs w:val="20"/>
    </w:rPr>
  </w:style>
  <w:style w:type="character" w:customStyle="1" w:styleId="FootnoteTextChar">
    <w:name w:val="Footnote Text Char"/>
    <w:basedOn w:val="DefaultParagraphFont"/>
    <w:link w:val="FootnoteText"/>
    <w:uiPriority w:val="99"/>
    <w:semiHidden/>
    <w:rsid w:val="00E80491"/>
    <w:rPr>
      <w:rFonts w:ascii="Franklin Gothic Book" w:hAnsi="Franklin Gothic Book"/>
      <w:sz w:val="20"/>
      <w:szCs w:val="20"/>
    </w:rPr>
  </w:style>
  <w:style w:type="paragraph" w:styleId="BodyText">
    <w:name w:val="Body Text"/>
    <w:basedOn w:val="Normal"/>
    <w:link w:val="BodyTextChar"/>
    <w:uiPriority w:val="99"/>
    <w:semiHidden/>
    <w:unhideWhenUsed/>
    <w:rsid w:val="00E80491"/>
    <w:pPr>
      <w:spacing w:after="120"/>
    </w:pPr>
  </w:style>
  <w:style w:type="character" w:customStyle="1" w:styleId="BodyTextChar">
    <w:name w:val="Body Text Char"/>
    <w:basedOn w:val="DefaultParagraphFont"/>
    <w:link w:val="BodyText"/>
    <w:uiPriority w:val="99"/>
    <w:semiHidden/>
    <w:rsid w:val="00E80491"/>
    <w:rPr>
      <w:rFonts w:ascii="Franklin Gothic Book" w:hAnsi="Franklin Gothic Book"/>
      <w:sz w:val="24"/>
    </w:rPr>
  </w:style>
  <w:style w:type="character" w:styleId="FootnoteReference">
    <w:name w:val="footnote reference"/>
    <w:uiPriority w:val="99"/>
    <w:unhideWhenUsed/>
    <w:rsid w:val="00E80491"/>
    <w:rPr>
      <w:rFonts w:ascii="Times New Roman" w:hAnsi="Times New Roman"/>
      <w:spacing w:val="0"/>
      <w:w w:val="100"/>
      <w:kern w:val="0"/>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henes@rti.org" TargetMode="External" /><Relationship Id="rId11" Type="http://schemas.openxmlformats.org/officeDocument/2006/relationships/hyperlink" Target="file://rtpnfil02/0215534_FDA_Marketing_IDIQ/Cohort_2/008_Monthly_Monitoring_Study/001_Planning_Documents/OMB/lcurry@rti.org"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mily.sanders@fda.hhs.gov" TargetMode="External" /><Relationship Id="rId7" Type="http://schemas.openxmlformats.org/officeDocument/2006/relationships/hyperlink" Target="mailto:Morgane.Bennett@fda.hhs.gov" TargetMode="External" /><Relationship Id="rId8" Type="http://schemas.openxmlformats.org/officeDocument/2006/relationships/hyperlink" Target="mailto:ntaylor@rti.org" TargetMode="External" /><Relationship Id="rId9" Type="http://schemas.openxmlformats.org/officeDocument/2006/relationships/hyperlink" Target="mailto:Janeallen@rti.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86/1471-2288-14-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2022-10-13T15:41:00Z</dcterms:created>
  <dcterms:modified xsi:type="dcterms:W3CDTF">2022-10-13T15:42:00Z</dcterms:modified>
</cp:coreProperties>
</file>