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2A6E" w:rsidR="000D4DF1" w:rsidP="006E71B8" w:rsidRDefault="000D4DF1" w14:paraId="4000330C" w14:textId="77777777">
      <w:pPr>
        <w:jc w:val="center"/>
        <w:outlineLvl w:val="0"/>
        <w:rPr>
          <w:b/>
          <w:sz w:val="24"/>
          <w:szCs w:val="24"/>
        </w:rPr>
      </w:pPr>
      <w:r w:rsidRPr="00FF2A6E">
        <w:rPr>
          <w:b/>
          <w:sz w:val="24"/>
          <w:szCs w:val="24"/>
        </w:rPr>
        <w:t>U.S. Food and Drug Administration</w:t>
      </w:r>
    </w:p>
    <w:p w:rsidRPr="00FF2A6E" w:rsidR="001A2DFF" w:rsidP="006E71B8" w:rsidRDefault="000D4DF1" w14:paraId="7E414199" w14:textId="2828E408">
      <w:pPr>
        <w:jc w:val="center"/>
        <w:outlineLvl w:val="0"/>
        <w:rPr>
          <w:b/>
          <w:sz w:val="24"/>
          <w:szCs w:val="24"/>
        </w:rPr>
      </w:pPr>
      <w:r w:rsidRPr="00FF2A6E">
        <w:rPr>
          <w:b/>
          <w:sz w:val="24"/>
          <w:szCs w:val="24"/>
        </w:rPr>
        <w:t xml:space="preserve">Center for Tobacco Products </w:t>
      </w:r>
    </w:p>
    <w:p w:rsidRPr="006C3D9D" w:rsidR="006E71B8" w:rsidP="006E71B8" w:rsidRDefault="00671171" w14:paraId="43D318E3" w14:textId="604B1CC1">
      <w:pPr>
        <w:jc w:val="center"/>
        <w:outlineLvl w:val="0"/>
        <w:rPr>
          <w:b/>
          <w:sz w:val="24"/>
          <w:szCs w:val="24"/>
        </w:rPr>
      </w:pPr>
      <w:r w:rsidRPr="006C3D9D">
        <w:rPr>
          <w:b/>
          <w:bCs/>
          <w:sz w:val="24"/>
          <w:szCs w:val="24"/>
        </w:rPr>
        <w:t xml:space="preserve">The Real Cost Campaign: </w:t>
      </w:r>
      <w:r w:rsidRPr="006C3D9D" w:rsidR="00483715">
        <w:rPr>
          <w:b/>
          <w:sz w:val="24"/>
          <w:szCs w:val="24"/>
        </w:rPr>
        <w:t xml:space="preserve">Media </w:t>
      </w:r>
      <w:r w:rsidRPr="006C3D9D" w:rsidR="00D64B2B">
        <w:rPr>
          <w:b/>
          <w:sz w:val="24"/>
          <w:szCs w:val="24"/>
        </w:rPr>
        <w:t>Tracking Study</w:t>
      </w:r>
    </w:p>
    <w:p w:rsidRPr="006C3D9D" w:rsidR="006E71B8" w:rsidP="006E71B8" w:rsidRDefault="006E71B8" w14:paraId="26324546" w14:textId="77777777">
      <w:pPr>
        <w:jc w:val="center"/>
        <w:rPr>
          <w:b/>
          <w:sz w:val="24"/>
          <w:szCs w:val="24"/>
        </w:rPr>
      </w:pPr>
      <w:r w:rsidRPr="006C3D9D">
        <w:rPr>
          <w:b/>
          <w:sz w:val="24"/>
          <w:szCs w:val="24"/>
        </w:rPr>
        <w:t>Supporting Statement: Part B</w:t>
      </w:r>
    </w:p>
    <w:p w:rsidRPr="006C3D9D" w:rsidR="006E71B8" w:rsidP="006E71B8" w:rsidRDefault="006E71B8" w14:paraId="719863FF" w14:textId="77777777">
      <w:pPr>
        <w:jc w:val="center"/>
        <w:rPr>
          <w:b/>
          <w:sz w:val="24"/>
          <w:szCs w:val="24"/>
        </w:rPr>
      </w:pPr>
    </w:p>
    <w:p w:rsidRPr="006C3D9D" w:rsidR="006E71B8" w:rsidP="006E71B8" w:rsidRDefault="006E71B8" w14:paraId="7E41181B" w14:textId="77777777">
      <w:pPr>
        <w:rPr>
          <w:caps/>
          <w:sz w:val="24"/>
          <w:szCs w:val="24"/>
        </w:rPr>
      </w:pPr>
      <w:r w:rsidRPr="006C3D9D">
        <w:rPr>
          <w:b/>
          <w:bCs/>
          <w:caps/>
          <w:sz w:val="24"/>
          <w:szCs w:val="24"/>
        </w:rPr>
        <w:t>B. Statistical Methods</w:t>
      </w:r>
      <w:r w:rsidRPr="006C3D9D">
        <w:rPr>
          <w:caps/>
          <w:sz w:val="24"/>
          <w:szCs w:val="24"/>
        </w:rPr>
        <w:t xml:space="preserve"> </w:t>
      </w:r>
    </w:p>
    <w:p w:rsidRPr="006C3D9D" w:rsidR="006E71B8" w:rsidP="006E71B8" w:rsidRDefault="006E71B8" w14:paraId="2246C85C" w14:textId="77777777">
      <w:pPr>
        <w:rPr>
          <w:b/>
          <w:bCs/>
          <w:caps/>
          <w:sz w:val="24"/>
          <w:szCs w:val="24"/>
        </w:rPr>
      </w:pPr>
    </w:p>
    <w:p w:rsidRPr="006C3D9D" w:rsidR="006E71B8" w:rsidP="006E71B8" w:rsidRDefault="006E71B8" w14:paraId="10813157" w14:textId="77777777">
      <w:pPr>
        <w:rPr>
          <w:b/>
          <w:sz w:val="24"/>
          <w:szCs w:val="24"/>
          <w:u w:val="single"/>
        </w:rPr>
      </w:pPr>
      <w:r w:rsidRPr="006C3D9D">
        <w:rPr>
          <w:b/>
          <w:sz w:val="24"/>
          <w:szCs w:val="24"/>
          <w:u w:val="single"/>
        </w:rPr>
        <w:t xml:space="preserve">1. Respondent Universe and Sampling Methods </w:t>
      </w:r>
    </w:p>
    <w:p w:rsidRPr="006C3D9D" w:rsidR="006E71B8" w:rsidP="006E71B8" w:rsidRDefault="006E71B8" w14:paraId="474E87C2" w14:textId="77777777">
      <w:pPr>
        <w:rPr>
          <w:b/>
          <w:sz w:val="24"/>
          <w:szCs w:val="24"/>
          <w:u w:val="single"/>
        </w:rPr>
      </w:pPr>
    </w:p>
    <w:p w:rsidRPr="006C3D9D" w:rsidR="006E71B8" w:rsidP="006E71B8" w:rsidRDefault="006E71B8" w14:paraId="6294A5C0" w14:textId="3896F972">
      <w:pPr>
        <w:rPr>
          <w:sz w:val="24"/>
          <w:szCs w:val="24"/>
        </w:rPr>
      </w:pPr>
      <w:r w:rsidRPr="006C3D9D">
        <w:rPr>
          <w:sz w:val="24"/>
          <w:szCs w:val="24"/>
        </w:rPr>
        <w:t>The one-time actual burden figures are listed in the tables in the Part A Supporting Statement.</w:t>
      </w:r>
    </w:p>
    <w:p w:rsidRPr="006C3D9D" w:rsidR="006E71B8" w:rsidP="006E71B8" w:rsidRDefault="006E71B8" w14:paraId="7BA79FB9" w14:textId="77777777">
      <w:pPr>
        <w:rPr>
          <w:sz w:val="24"/>
          <w:szCs w:val="24"/>
        </w:rPr>
      </w:pPr>
    </w:p>
    <w:p w:rsidRPr="006C3D9D" w:rsidR="00633C7D" w:rsidP="006E71B8" w:rsidRDefault="006E71B8" w14:paraId="12DCBC00" w14:textId="264EE6FC">
      <w:pPr>
        <w:rPr>
          <w:sz w:val="24"/>
          <w:szCs w:val="24"/>
        </w:rPr>
      </w:pPr>
      <w:r w:rsidRPr="006C3D9D">
        <w:rPr>
          <w:sz w:val="24"/>
          <w:szCs w:val="24"/>
        </w:rPr>
        <w:t xml:space="preserve">For this study, </w:t>
      </w:r>
      <w:r w:rsidRPr="006C3D9D" w:rsidR="0049247E">
        <w:rPr>
          <w:sz w:val="24"/>
          <w:szCs w:val="24"/>
        </w:rPr>
        <w:t xml:space="preserve">we will obtain a final </w:t>
      </w:r>
      <w:r w:rsidRPr="006C3D9D" w:rsidR="000F0269">
        <w:rPr>
          <w:sz w:val="24"/>
          <w:szCs w:val="24"/>
        </w:rPr>
        <w:t xml:space="preserve">yearly </w:t>
      </w:r>
      <w:r w:rsidRPr="006C3D9D" w:rsidR="0049247E">
        <w:rPr>
          <w:sz w:val="24"/>
          <w:szCs w:val="24"/>
        </w:rPr>
        <w:t xml:space="preserve">sample size of </w:t>
      </w:r>
      <w:r w:rsidR="00574B6F">
        <w:rPr>
          <w:sz w:val="24"/>
          <w:szCs w:val="24"/>
        </w:rPr>
        <w:t>2</w:t>
      </w:r>
      <w:r w:rsidRPr="006C3D9D" w:rsidR="00A52DF0">
        <w:rPr>
          <w:sz w:val="24"/>
          <w:szCs w:val="24"/>
        </w:rPr>
        <w:t>,0</w:t>
      </w:r>
      <w:r w:rsidRPr="006C3D9D" w:rsidR="001405D0">
        <w:rPr>
          <w:sz w:val="24"/>
          <w:szCs w:val="24"/>
        </w:rPr>
        <w:t>00</w:t>
      </w:r>
      <w:r w:rsidRPr="006C3D9D" w:rsidR="0049247E">
        <w:rPr>
          <w:sz w:val="24"/>
          <w:szCs w:val="24"/>
        </w:rPr>
        <w:t xml:space="preserve"> youth </w:t>
      </w:r>
      <w:r w:rsidRPr="006C3D9D" w:rsidR="000F0269">
        <w:rPr>
          <w:sz w:val="24"/>
          <w:szCs w:val="24"/>
        </w:rPr>
        <w:t xml:space="preserve">(ages 13 – 17) through a survey that will be fielded cross-sectionally </w:t>
      </w:r>
      <w:r w:rsidRPr="006C3D9D" w:rsidR="00CF202F">
        <w:rPr>
          <w:sz w:val="24"/>
          <w:szCs w:val="24"/>
        </w:rPr>
        <w:t xml:space="preserve">approximately quarterly for </w:t>
      </w:r>
      <w:r w:rsidR="004C2685">
        <w:rPr>
          <w:sz w:val="24"/>
          <w:szCs w:val="24"/>
        </w:rPr>
        <w:t>6 months</w:t>
      </w:r>
      <w:r w:rsidRPr="006C3D9D" w:rsidR="00A52DF0">
        <w:rPr>
          <w:sz w:val="24"/>
          <w:szCs w:val="24"/>
        </w:rPr>
        <w:t>.</w:t>
      </w:r>
      <w:r w:rsidRPr="006C3D9D" w:rsidR="000F2B9C">
        <w:rPr>
          <w:sz w:val="24"/>
          <w:szCs w:val="24"/>
        </w:rPr>
        <w:t xml:space="preserve"> </w:t>
      </w:r>
      <w:r w:rsidRPr="006C3D9D" w:rsidR="005E6D45">
        <w:rPr>
          <w:sz w:val="24"/>
          <w:szCs w:val="24"/>
        </w:rPr>
        <w:t xml:space="preserve">We plan to obtain approximately </w:t>
      </w:r>
      <w:r w:rsidRPr="006C3D9D" w:rsidR="000F0269">
        <w:rPr>
          <w:sz w:val="24"/>
          <w:szCs w:val="24"/>
        </w:rPr>
        <w:t>750 youth c</w:t>
      </w:r>
      <w:r w:rsidRPr="006C3D9D" w:rsidR="005E6D45">
        <w:rPr>
          <w:sz w:val="24"/>
          <w:szCs w:val="24"/>
        </w:rPr>
        <w:t xml:space="preserve">ompletes </w:t>
      </w:r>
      <w:r w:rsidRPr="006C3D9D" w:rsidR="00CF202F">
        <w:rPr>
          <w:sz w:val="24"/>
          <w:szCs w:val="24"/>
        </w:rPr>
        <w:t xml:space="preserve">per round of data collection for up to </w:t>
      </w:r>
      <w:r w:rsidR="00574B6F">
        <w:rPr>
          <w:sz w:val="24"/>
          <w:szCs w:val="24"/>
        </w:rPr>
        <w:t>2</w:t>
      </w:r>
      <w:r w:rsidRPr="006C3D9D" w:rsidR="00CF202F">
        <w:rPr>
          <w:sz w:val="24"/>
          <w:szCs w:val="24"/>
        </w:rPr>
        <w:t xml:space="preserve"> rounds</w:t>
      </w:r>
      <w:r w:rsidRPr="006C3D9D" w:rsidR="005E6D45">
        <w:rPr>
          <w:sz w:val="24"/>
          <w:szCs w:val="24"/>
        </w:rPr>
        <w:t xml:space="preserve">, </w:t>
      </w:r>
      <w:r w:rsidRPr="006C3D9D" w:rsidR="00633C7D">
        <w:rPr>
          <w:sz w:val="24"/>
          <w:szCs w:val="24"/>
        </w:rPr>
        <w:t>totaling</w:t>
      </w:r>
      <w:r w:rsidRPr="006C3D9D" w:rsidR="005E6D45">
        <w:rPr>
          <w:sz w:val="24"/>
          <w:szCs w:val="24"/>
        </w:rPr>
        <w:t xml:space="preserve"> </w:t>
      </w:r>
      <w:r w:rsidRPr="006C3D9D" w:rsidR="00CF202F">
        <w:rPr>
          <w:sz w:val="24"/>
          <w:szCs w:val="24"/>
        </w:rPr>
        <w:t xml:space="preserve">up to </w:t>
      </w:r>
      <w:r w:rsidR="00574B6F">
        <w:rPr>
          <w:sz w:val="24"/>
          <w:szCs w:val="24"/>
        </w:rPr>
        <w:t>2</w:t>
      </w:r>
      <w:r w:rsidRPr="006C3D9D" w:rsidR="00A52DF0">
        <w:rPr>
          <w:sz w:val="24"/>
          <w:szCs w:val="24"/>
        </w:rPr>
        <w:t>,000</w:t>
      </w:r>
      <w:r w:rsidRPr="006C3D9D" w:rsidR="005E6D45">
        <w:rPr>
          <w:sz w:val="24"/>
          <w:szCs w:val="24"/>
        </w:rPr>
        <w:t xml:space="preserve"> survey completes among youth ages 13-</w:t>
      </w:r>
      <w:r w:rsidRPr="006C3D9D" w:rsidR="00EC6939">
        <w:rPr>
          <w:sz w:val="24"/>
          <w:szCs w:val="24"/>
        </w:rPr>
        <w:t>17</w:t>
      </w:r>
      <w:r w:rsidRPr="006C3D9D" w:rsidR="005E6D45">
        <w:rPr>
          <w:sz w:val="24"/>
          <w:szCs w:val="24"/>
        </w:rPr>
        <w:t xml:space="preserve"> </w:t>
      </w:r>
      <w:r w:rsidRPr="006C3D9D" w:rsidR="00332FB5">
        <w:rPr>
          <w:sz w:val="24"/>
          <w:szCs w:val="24"/>
        </w:rPr>
        <w:t xml:space="preserve">who either: 1) are at risk of initiating use of </w:t>
      </w:r>
      <w:r w:rsidRPr="006C3D9D" w:rsidR="00EC6939">
        <w:rPr>
          <w:sz w:val="24"/>
          <w:szCs w:val="24"/>
        </w:rPr>
        <w:t>tobacco</w:t>
      </w:r>
      <w:r w:rsidRPr="006C3D9D" w:rsidR="00332FB5">
        <w:rPr>
          <w:sz w:val="24"/>
          <w:szCs w:val="24"/>
        </w:rPr>
        <w:t xml:space="preserve"> products, or 2) have experimented with </w:t>
      </w:r>
      <w:r w:rsidRPr="006C3D9D" w:rsidR="00EC6939">
        <w:rPr>
          <w:sz w:val="24"/>
          <w:szCs w:val="24"/>
        </w:rPr>
        <w:t>tobacco</w:t>
      </w:r>
      <w:r w:rsidRPr="006C3D9D" w:rsidR="00332FB5">
        <w:rPr>
          <w:sz w:val="24"/>
          <w:szCs w:val="24"/>
        </w:rPr>
        <w:t xml:space="preserve"> products. </w:t>
      </w:r>
      <w:r w:rsidRPr="006C3D9D" w:rsidR="003935E8">
        <w:rPr>
          <w:sz w:val="24"/>
          <w:szCs w:val="24"/>
        </w:rPr>
        <w:t xml:space="preserve">Each sample will be freshly recruited, but respondents will be eligible to participate again six months after initial participation. </w:t>
      </w:r>
    </w:p>
    <w:p w:rsidRPr="006C3D9D" w:rsidR="00633C7D" w:rsidP="006E71B8" w:rsidRDefault="00633C7D" w14:paraId="5BF97686" w14:textId="77777777">
      <w:pPr>
        <w:rPr>
          <w:sz w:val="24"/>
          <w:szCs w:val="24"/>
        </w:rPr>
      </w:pPr>
    </w:p>
    <w:p w:rsidRPr="006C3D9D" w:rsidR="006E71B8" w:rsidP="006E71B8" w:rsidRDefault="006E71B8" w14:paraId="795D1C58" w14:textId="0473B49A">
      <w:pPr>
        <w:rPr>
          <w:sz w:val="24"/>
          <w:szCs w:val="24"/>
        </w:rPr>
      </w:pPr>
      <w:r w:rsidRPr="006C3D9D">
        <w:rPr>
          <w:sz w:val="24"/>
          <w:szCs w:val="24"/>
        </w:rPr>
        <w:t>As this study is considered part of formative research for campaign development and planning, these methods are not intended to generate nationally representative samples or precise estimates of population parameters. The sample is designed primarily to</w:t>
      </w:r>
      <w:r w:rsidRPr="006C3D9D" w:rsidR="00673A25">
        <w:rPr>
          <w:sz w:val="24"/>
          <w:szCs w:val="24"/>
        </w:rPr>
        <w:t xml:space="preserve"> monitor</w:t>
      </w:r>
      <w:r w:rsidRPr="006C3D9D" w:rsidR="006B6509">
        <w:rPr>
          <w:sz w:val="24"/>
          <w:szCs w:val="24"/>
        </w:rPr>
        <w:t xml:space="preserve"> reactions to in-market and new advertising; </w:t>
      </w:r>
      <w:r w:rsidRPr="006C3D9D" w:rsidR="00673A25">
        <w:rPr>
          <w:sz w:val="24"/>
          <w:szCs w:val="24"/>
        </w:rPr>
        <w:t xml:space="preserve">validate changing knowledge, attitudes, beliefs, and behaviors to </w:t>
      </w:r>
      <w:r w:rsidRPr="006C3D9D" w:rsidR="006D0FFE">
        <w:rPr>
          <w:sz w:val="24"/>
          <w:szCs w:val="24"/>
        </w:rPr>
        <w:t>tobacco</w:t>
      </w:r>
      <w:r w:rsidRPr="006C3D9D" w:rsidR="00673A25">
        <w:rPr>
          <w:sz w:val="24"/>
          <w:szCs w:val="24"/>
        </w:rPr>
        <w:t xml:space="preserve"> products</w:t>
      </w:r>
      <w:r w:rsidRPr="006C3D9D" w:rsidR="006B6509">
        <w:rPr>
          <w:sz w:val="24"/>
          <w:szCs w:val="24"/>
        </w:rPr>
        <w:t>;</w:t>
      </w:r>
      <w:r w:rsidRPr="006C3D9D" w:rsidR="00673A25">
        <w:rPr>
          <w:sz w:val="24"/>
          <w:szCs w:val="24"/>
        </w:rPr>
        <w:t xml:space="preserve"> and explore motivations and psychographics that lead to </w:t>
      </w:r>
      <w:r w:rsidRPr="006C3D9D" w:rsidR="006D0FFE">
        <w:rPr>
          <w:sz w:val="24"/>
          <w:szCs w:val="24"/>
        </w:rPr>
        <w:t>tobacco use</w:t>
      </w:r>
      <w:r w:rsidRPr="006C3D9D" w:rsidR="00673A25">
        <w:rPr>
          <w:sz w:val="24"/>
          <w:szCs w:val="24"/>
        </w:rPr>
        <w:t xml:space="preserve">. The </w:t>
      </w:r>
      <w:r w:rsidRPr="006C3D9D" w:rsidR="00F60C65">
        <w:rPr>
          <w:sz w:val="24"/>
          <w:szCs w:val="24"/>
        </w:rPr>
        <w:t xml:space="preserve">results of the </w:t>
      </w:r>
      <w:r w:rsidRPr="006C3D9D" w:rsidR="006B6509">
        <w:rPr>
          <w:sz w:val="24"/>
          <w:szCs w:val="24"/>
        </w:rPr>
        <w:t>tracking study</w:t>
      </w:r>
      <w:r w:rsidRPr="006C3D9D" w:rsidR="00F60C65">
        <w:rPr>
          <w:sz w:val="24"/>
          <w:szCs w:val="24"/>
        </w:rPr>
        <w:t xml:space="preserve"> </w:t>
      </w:r>
      <w:r w:rsidRPr="006C3D9D" w:rsidR="00673A25">
        <w:rPr>
          <w:sz w:val="24"/>
          <w:szCs w:val="24"/>
        </w:rPr>
        <w:t xml:space="preserve">will </w:t>
      </w:r>
      <w:r w:rsidRPr="006C3D9D" w:rsidR="00F60C65">
        <w:rPr>
          <w:sz w:val="24"/>
          <w:szCs w:val="24"/>
        </w:rPr>
        <w:t>be used to inform specified recommendations around the U.S. Food and Drug Administration (FD</w:t>
      </w:r>
      <w:r w:rsidRPr="006C3D9D" w:rsidR="00CB5CA7">
        <w:rPr>
          <w:sz w:val="24"/>
          <w:szCs w:val="24"/>
        </w:rPr>
        <w:t>A</w:t>
      </w:r>
      <w:r w:rsidRPr="006C3D9D" w:rsidR="00F60C65">
        <w:rPr>
          <w:sz w:val="24"/>
          <w:szCs w:val="24"/>
        </w:rPr>
        <w:t xml:space="preserve">) public education programs’ impact and effectiveness in reducing tobacco-related death and disease. </w:t>
      </w:r>
    </w:p>
    <w:p w:rsidRPr="006C3D9D" w:rsidR="006E71B8" w:rsidP="006E71B8" w:rsidRDefault="006E71B8" w14:paraId="04154F83" w14:textId="77777777">
      <w:pPr>
        <w:rPr>
          <w:sz w:val="24"/>
          <w:szCs w:val="24"/>
        </w:rPr>
      </w:pPr>
      <w:bookmarkStart w:name="OLE_LINK1" w:id="0"/>
      <w:bookmarkStart w:name="OLE_LINK2" w:id="1"/>
    </w:p>
    <w:p w:rsidRPr="006C3D9D" w:rsidR="006E71B8" w:rsidP="006E71B8" w:rsidRDefault="006E71B8" w14:paraId="40980BAA" w14:textId="77777777">
      <w:pPr>
        <w:rPr>
          <w:i/>
          <w:sz w:val="24"/>
        </w:rPr>
      </w:pPr>
      <w:r w:rsidRPr="006C3D9D">
        <w:rPr>
          <w:i/>
          <w:sz w:val="24"/>
        </w:rPr>
        <w:t>Sampling Methods</w:t>
      </w:r>
    </w:p>
    <w:p w:rsidRPr="006C3D9D" w:rsidR="006E71B8" w:rsidP="006E71B8" w:rsidRDefault="006E71B8" w14:paraId="24043FA4" w14:textId="22DF7F6F">
      <w:pPr>
        <w:rPr>
          <w:sz w:val="24"/>
          <w:szCs w:val="24"/>
        </w:rPr>
      </w:pPr>
      <w:r w:rsidRPr="006C3D9D">
        <w:rPr>
          <w:sz w:val="24"/>
        </w:rPr>
        <w:t>The study sample will be comprised of participants between the ages of 1</w:t>
      </w:r>
      <w:r w:rsidRPr="006C3D9D" w:rsidR="00633C7D">
        <w:rPr>
          <w:sz w:val="24"/>
        </w:rPr>
        <w:t>3</w:t>
      </w:r>
      <w:r w:rsidRPr="006C3D9D">
        <w:rPr>
          <w:sz w:val="24"/>
        </w:rPr>
        <w:t xml:space="preserve"> and </w:t>
      </w:r>
      <w:r w:rsidRPr="006C3D9D" w:rsidR="00EC6939">
        <w:rPr>
          <w:sz w:val="24"/>
        </w:rPr>
        <w:t>17</w:t>
      </w:r>
      <w:r w:rsidRPr="006C3D9D">
        <w:rPr>
          <w:sz w:val="24"/>
        </w:rPr>
        <w:t xml:space="preserve"> years </w:t>
      </w:r>
      <w:r w:rsidRPr="006C3D9D" w:rsidR="003935E8">
        <w:rPr>
          <w:sz w:val="24"/>
        </w:rPr>
        <w:t xml:space="preserve">who either: 1) are at risk of initiating use of </w:t>
      </w:r>
      <w:r w:rsidRPr="006C3D9D" w:rsidR="00EC6939">
        <w:rPr>
          <w:sz w:val="24"/>
        </w:rPr>
        <w:t>tobacco</w:t>
      </w:r>
      <w:r w:rsidRPr="006C3D9D" w:rsidR="003935E8">
        <w:rPr>
          <w:sz w:val="24"/>
        </w:rPr>
        <w:t xml:space="preserve"> products, or 2) have experimented with </w:t>
      </w:r>
      <w:r w:rsidRPr="006C3D9D" w:rsidR="00EC6939">
        <w:rPr>
          <w:sz w:val="24"/>
        </w:rPr>
        <w:t>tobacco</w:t>
      </w:r>
      <w:r w:rsidRPr="006C3D9D" w:rsidR="003935E8">
        <w:rPr>
          <w:sz w:val="24"/>
        </w:rPr>
        <w:t xml:space="preserve"> products.</w:t>
      </w:r>
      <w:r w:rsidRPr="006C3D9D" w:rsidR="00633C7D">
        <w:rPr>
          <w:sz w:val="24"/>
        </w:rPr>
        <w:t xml:space="preserve"> </w:t>
      </w:r>
      <w:r w:rsidRPr="006C3D9D">
        <w:rPr>
          <w:sz w:val="24"/>
        </w:rPr>
        <w:t xml:space="preserve">This study is considered part of formative research for campaign development and planning, and these </w:t>
      </w:r>
      <w:r w:rsidRPr="006C3D9D">
        <w:rPr>
          <w:sz w:val="24"/>
          <w:szCs w:val="24"/>
        </w:rPr>
        <w:t>methods are not intended to generate nationally representative samples or precise estimates of population parameters. The sample is designed primarily to provide information</w:t>
      </w:r>
      <w:r w:rsidRPr="006C3D9D" w:rsidR="006B6509">
        <w:rPr>
          <w:sz w:val="24"/>
          <w:szCs w:val="24"/>
        </w:rPr>
        <w:t xml:space="preserve"> ad reactions and </w:t>
      </w:r>
      <w:r w:rsidRPr="006C3D9D">
        <w:rPr>
          <w:sz w:val="24"/>
          <w:szCs w:val="24"/>
        </w:rPr>
        <w:t xml:space="preserve">the </w:t>
      </w:r>
      <w:r w:rsidRPr="006C3D9D" w:rsidR="00067AC6">
        <w:rPr>
          <w:sz w:val="24"/>
          <w:szCs w:val="24"/>
        </w:rPr>
        <w:t xml:space="preserve">perceptions and trends in </w:t>
      </w:r>
      <w:r w:rsidRPr="006C3D9D" w:rsidR="006D0FFE">
        <w:rPr>
          <w:sz w:val="24"/>
          <w:szCs w:val="24"/>
        </w:rPr>
        <w:t>tobacco use</w:t>
      </w:r>
      <w:r w:rsidRPr="006C3D9D" w:rsidR="00861055">
        <w:rPr>
          <w:sz w:val="24"/>
          <w:szCs w:val="24"/>
        </w:rPr>
        <w:t>.</w:t>
      </w:r>
    </w:p>
    <w:p w:rsidRPr="006C3D9D" w:rsidR="00DA39D3" w:rsidP="00DA39D3" w:rsidRDefault="00DA39D3" w14:paraId="385FD4EA" w14:textId="77777777">
      <w:pPr>
        <w:autoSpaceDE w:val="0"/>
        <w:autoSpaceDN w:val="0"/>
        <w:adjustRightInd w:val="0"/>
        <w:rPr>
          <w:rFonts w:eastAsiaTheme="minorHAnsi"/>
          <w:sz w:val="24"/>
          <w:szCs w:val="24"/>
        </w:rPr>
      </w:pPr>
    </w:p>
    <w:p w:rsidRPr="006C3D9D" w:rsidR="00DA39D3" w:rsidP="007E2AAC" w:rsidRDefault="00DA39D3" w14:paraId="619A7E93" w14:textId="07960F35">
      <w:pPr>
        <w:autoSpaceDE w:val="0"/>
        <w:autoSpaceDN w:val="0"/>
        <w:adjustRightInd w:val="0"/>
        <w:rPr>
          <w:rFonts w:eastAsiaTheme="minorHAnsi"/>
          <w:sz w:val="24"/>
          <w:szCs w:val="24"/>
        </w:rPr>
      </w:pPr>
      <w:r w:rsidRPr="006C3D9D">
        <w:rPr>
          <w:rFonts w:eastAsiaTheme="minorHAnsi"/>
          <w:sz w:val="24"/>
          <w:szCs w:val="24"/>
        </w:rPr>
        <w:t xml:space="preserve">This study will recruit youth and young adult participants through an online panel. Online panels will be composed of youth and parents of youth in the United States with children ages 13-17 who have been pre-screened for their willingness for their child to participate in online surveys. </w:t>
      </w:r>
    </w:p>
    <w:p w:rsidRPr="006C3D9D" w:rsidR="00DA39D3" w:rsidP="002514C5" w:rsidRDefault="00DA39D3" w14:paraId="5A82E447" w14:textId="77777777">
      <w:pPr>
        <w:pStyle w:val="CommentText"/>
        <w:rPr>
          <w:sz w:val="24"/>
          <w:szCs w:val="24"/>
        </w:rPr>
      </w:pPr>
    </w:p>
    <w:p w:rsidRPr="006C3D9D" w:rsidR="00ED44FE" w:rsidP="002514C5" w:rsidRDefault="00ED44FE" w14:paraId="0C8287AF" w14:textId="3C000626">
      <w:pPr>
        <w:pStyle w:val="CommentText"/>
        <w:rPr>
          <w:sz w:val="24"/>
          <w:szCs w:val="24"/>
        </w:rPr>
      </w:pPr>
      <w:r w:rsidRPr="006C3D9D">
        <w:rPr>
          <w:sz w:val="24"/>
          <w:szCs w:val="24"/>
        </w:rPr>
        <w:t xml:space="preserve">All panelists are double opt-in, meaning that they must request to join the panel by signing up, and then verify their intent to participate by responding to a confirmation email. Every respondent goes through a rigorous and extensive set of security procedures before joining the panel. Information about the participants’ demographics </w:t>
      </w:r>
      <w:r w:rsidR="004D00E6">
        <w:rPr>
          <w:sz w:val="24"/>
          <w:szCs w:val="24"/>
        </w:rPr>
        <w:t>is</w:t>
      </w:r>
      <w:r w:rsidRPr="006C3D9D" w:rsidR="004D00E6">
        <w:rPr>
          <w:sz w:val="24"/>
          <w:szCs w:val="24"/>
        </w:rPr>
        <w:t xml:space="preserve"> </w:t>
      </w:r>
      <w:r w:rsidRPr="006C3D9D">
        <w:rPr>
          <w:sz w:val="24"/>
          <w:szCs w:val="24"/>
        </w:rPr>
        <w:t xml:space="preserve">collected during the initial </w:t>
      </w:r>
      <w:r w:rsidRPr="006C3D9D" w:rsidR="00574B6F">
        <w:rPr>
          <w:sz w:val="24"/>
          <w:szCs w:val="24"/>
        </w:rPr>
        <w:t>sign-up</w:t>
      </w:r>
      <w:r w:rsidRPr="006C3D9D">
        <w:rPr>
          <w:sz w:val="24"/>
          <w:szCs w:val="24"/>
        </w:rPr>
        <w:t xml:space="preserve"> process and then updated and verified through survey participation to maintain a current and accurate database.</w:t>
      </w:r>
      <w:r w:rsidRPr="006C3D9D" w:rsidR="00886182">
        <w:rPr>
          <w:sz w:val="24"/>
          <w:szCs w:val="24"/>
        </w:rPr>
        <w:t xml:space="preserve"> </w:t>
      </w:r>
    </w:p>
    <w:p w:rsidRPr="006C3D9D" w:rsidR="00A91D7A" w:rsidP="003F73F1" w:rsidRDefault="00A91D7A" w14:paraId="0DB5F591" w14:textId="77777777">
      <w:pPr>
        <w:pStyle w:val="CommentText"/>
        <w:rPr>
          <w:sz w:val="24"/>
          <w:szCs w:val="24"/>
        </w:rPr>
      </w:pPr>
    </w:p>
    <w:p w:rsidRPr="006C3D9D" w:rsidR="00A91D7A" w:rsidP="00A91D7A" w:rsidRDefault="00A91D7A" w14:paraId="1A1B29D4" w14:textId="0BFEA1BE">
      <w:pPr>
        <w:autoSpaceDE w:val="0"/>
        <w:autoSpaceDN w:val="0"/>
        <w:adjustRightInd w:val="0"/>
        <w:rPr>
          <w:rFonts w:eastAsiaTheme="minorHAnsi"/>
          <w:sz w:val="24"/>
          <w:szCs w:val="24"/>
        </w:rPr>
      </w:pPr>
      <w:r w:rsidRPr="006C3D9D">
        <w:rPr>
          <w:rFonts w:eastAsiaTheme="minorHAnsi"/>
          <w:sz w:val="24"/>
          <w:szCs w:val="24"/>
        </w:rPr>
        <w:t xml:space="preserve">Parents of </w:t>
      </w:r>
      <w:r w:rsidRPr="006C3D9D" w:rsidR="009717E7">
        <w:rPr>
          <w:rFonts w:eastAsiaTheme="minorHAnsi"/>
          <w:sz w:val="24"/>
          <w:szCs w:val="24"/>
        </w:rPr>
        <w:t>children</w:t>
      </w:r>
      <w:r w:rsidRPr="006C3D9D">
        <w:rPr>
          <w:rFonts w:eastAsiaTheme="minorHAnsi"/>
          <w:sz w:val="24"/>
          <w:szCs w:val="24"/>
        </w:rPr>
        <w:t xml:space="preserve"> on the panel within the target age range (13-</w:t>
      </w:r>
      <w:r w:rsidRPr="006C3D9D" w:rsidR="00A911D1">
        <w:rPr>
          <w:rFonts w:eastAsiaTheme="minorHAnsi"/>
          <w:sz w:val="24"/>
          <w:szCs w:val="24"/>
        </w:rPr>
        <w:t>17</w:t>
      </w:r>
      <w:r w:rsidRPr="006C3D9D">
        <w:rPr>
          <w:rFonts w:eastAsiaTheme="minorHAnsi"/>
          <w:sz w:val="24"/>
          <w:szCs w:val="24"/>
        </w:rPr>
        <w:t>) will receive an initial email</w:t>
      </w:r>
    </w:p>
    <w:p w:rsidRPr="006C3D9D" w:rsidR="00667334" w:rsidP="000F5143" w:rsidRDefault="00211628" w14:paraId="47AB0523" w14:textId="6FC0704E">
      <w:pPr>
        <w:autoSpaceDE w:val="0"/>
        <w:autoSpaceDN w:val="0"/>
        <w:adjustRightInd w:val="0"/>
      </w:pPr>
      <w:r w:rsidRPr="006C3D9D">
        <w:rPr>
          <w:rFonts w:eastAsiaTheme="minorHAnsi"/>
          <w:sz w:val="24"/>
          <w:szCs w:val="24"/>
        </w:rPr>
        <w:t>I</w:t>
      </w:r>
      <w:r w:rsidRPr="006C3D9D" w:rsidR="00A91D7A">
        <w:rPr>
          <w:rFonts w:eastAsiaTheme="minorHAnsi"/>
          <w:sz w:val="24"/>
          <w:szCs w:val="24"/>
        </w:rPr>
        <w:t>nvitation</w:t>
      </w:r>
      <w:r w:rsidRPr="006C3D9D" w:rsidR="00252A7F">
        <w:rPr>
          <w:rFonts w:eastAsiaTheme="minorHAnsi"/>
          <w:sz w:val="24"/>
          <w:szCs w:val="24"/>
        </w:rPr>
        <w:t xml:space="preserve"> </w:t>
      </w:r>
      <w:r w:rsidRPr="006C3D9D" w:rsidR="00A91D7A">
        <w:rPr>
          <w:rFonts w:eastAsiaTheme="minorHAnsi"/>
          <w:sz w:val="24"/>
          <w:szCs w:val="24"/>
        </w:rPr>
        <w:t>to have their child participate in a new study. The email invitation</w:t>
      </w:r>
      <w:r w:rsidRPr="006C3D9D" w:rsidR="00BF4853">
        <w:rPr>
          <w:rFonts w:eastAsiaTheme="minorHAnsi"/>
          <w:sz w:val="24"/>
          <w:szCs w:val="24"/>
        </w:rPr>
        <w:t xml:space="preserve"> </w:t>
      </w:r>
      <w:r w:rsidRPr="006C3D9D" w:rsidR="00A91D7A">
        <w:rPr>
          <w:sz w:val="24"/>
          <w:szCs w:val="24"/>
        </w:rPr>
        <w:t>will also include a link that details the purpose of the study</w:t>
      </w:r>
      <w:r w:rsidRPr="006C3D9D" w:rsidR="00025668">
        <w:rPr>
          <w:sz w:val="24"/>
          <w:szCs w:val="24"/>
        </w:rPr>
        <w:t>. If the parent determines that they would like their child to participate in th</w:t>
      </w:r>
      <w:r w:rsidRPr="006C3D9D">
        <w:rPr>
          <w:sz w:val="24"/>
          <w:szCs w:val="24"/>
        </w:rPr>
        <w:t>e</w:t>
      </w:r>
      <w:r w:rsidRPr="006C3D9D" w:rsidR="00CF202F">
        <w:rPr>
          <w:sz w:val="24"/>
          <w:szCs w:val="24"/>
        </w:rPr>
        <w:t xml:space="preserve"> </w:t>
      </w:r>
      <w:r w:rsidRPr="006C3D9D" w:rsidR="00025668">
        <w:rPr>
          <w:sz w:val="24"/>
          <w:szCs w:val="24"/>
        </w:rPr>
        <w:t xml:space="preserve">study, they will be asked to forward the study link to their child, thereby actively opting in and providing permission for their child to participate in the study (see </w:t>
      </w:r>
      <w:r w:rsidRPr="006C3D9D" w:rsidR="00252A7F">
        <w:rPr>
          <w:b/>
          <w:bCs/>
          <w:sz w:val="24"/>
          <w:szCs w:val="24"/>
        </w:rPr>
        <w:t xml:space="preserve">Appendix </w:t>
      </w:r>
      <w:r w:rsidRPr="006C3D9D" w:rsidR="00BB2293">
        <w:rPr>
          <w:b/>
          <w:bCs/>
          <w:sz w:val="24"/>
          <w:szCs w:val="24"/>
        </w:rPr>
        <w:t>A</w:t>
      </w:r>
      <w:r w:rsidRPr="006C3D9D" w:rsidR="0013777E">
        <w:rPr>
          <w:b/>
          <w:bCs/>
          <w:sz w:val="24"/>
          <w:szCs w:val="24"/>
        </w:rPr>
        <w:t xml:space="preserve"> and B</w:t>
      </w:r>
      <w:r w:rsidRPr="006C3D9D" w:rsidR="00025668">
        <w:rPr>
          <w:sz w:val="24"/>
          <w:szCs w:val="24"/>
        </w:rPr>
        <w:t>).</w:t>
      </w:r>
      <w:r w:rsidRPr="006C3D9D" w:rsidR="00667334">
        <w:t xml:space="preserve"> </w:t>
      </w:r>
    </w:p>
    <w:p w:rsidRPr="006C3D9D" w:rsidR="0011100E" w:rsidP="00667334" w:rsidRDefault="0011100E" w14:paraId="77EF5F6A" w14:textId="352C50E2">
      <w:pPr>
        <w:pStyle w:val="Default"/>
      </w:pPr>
    </w:p>
    <w:p w:rsidRPr="006C3D9D" w:rsidR="0011100E" w:rsidP="0011100E" w:rsidRDefault="0011100E" w14:paraId="73978108" w14:textId="77777777">
      <w:pPr>
        <w:autoSpaceDE w:val="0"/>
        <w:autoSpaceDN w:val="0"/>
        <w:adjustRightInd w:val="0"/>
        <w:rPr>
          <w:rFonts w:eastAsiaTheme="minorHAnsi"/>
          <w:sz w:val="24"/>
          <w:szCs w:val="24"/>
        </w:rPr>
      </w:pPr>
      <w:r w:rsidRPr="006C3D9D">
        <w:rPr>
          <w:rFonts w:eastAsiaTheme="minorHAnsi"/>
          <w:sz w:val="24"/>
          <w:szCs w:val="24"/>
        </w:rPr>
        <w:t>From the email forwarded by their parents, youth will access the study link that details the</w:t>
      </w:r>
    </w:p>
    <w:p w:rsidRPr="006C3D9D" w:rsidR="0011100E" w:rsidP="004F06CA" w:rsidRDefault="0011100E" w14:paraId="0027ACD2" w14:textId="22D20B25">
      <w:pPr>
        <w:autoSpaceDE w:val="0"/>
        <w:autoSpaceDN w:val="0"/>
        <w:adjustRightInd w:val="0"/>
        <w:rPr>
          <w:sz w:val="24"/>
          <w:szCs w:val="24"/>
        </w:rPr>
      </w:pPr>
      <w:r w:rsidRPr="006C3D9D">
        <w:rPr>
          <w:rFonts w:eastAsiaTheme="minorHAnsi"/>
          <w:sz w:val="24"/>
          <w:szCs w:val="24"/>
        </w:rPr>
        <w:t xml:space="preserve">purpose of the study and includes study materials </w:t>
      </w:r>
      <w:r w:rsidRPr="006C3D9D" w:rsidR="001405D0">
        <w:rPr>
          <w:rFonts w:eastAsiaTheme="minorHAnsi"/>
          <w:sz w:val="24"/>
          <w:szCs w:val="24"/>
        </w:rPr>
        <w:t>(</w:t>
      </w:r>
      <w:r w:rsidRPr="006C3D9D">
        <w:rPr>
          <w:rFonts w:eastAsiaTheme="minorHAnsi"/>
          <w:sz w:val="24"/>
          <w:szCs w:val="24"/>
        </w:rPr>
        <w:t>i.e.</w:t>
      </w:r>
      <w:r w:rsidRPr="006C3D9D" w:rsidR="006C3D9D">
        <w:rPr>
          <w:rFonts w:eastAsiaTheme="minorHAnsi"/>
          <w:sz w:val="24"/>
          <w:szCs w:val="24"/>
        </w:rPr>
        <w:t>,</w:t>
      </w:r>
      <w:r w:rsidRPr="006C3D9D">
        <w:rPr>
          <w:rFonts w:eastAsiaTheme="minorHAnsi"/>
          <w:sz w:val="24"/>
          <w:szCs w:val="24"/>
        </w:rPr>
        <w:t xml:space="preserve"> the online </w:t>
      </w:r>
      <w:r w:rsidRPr="006C3D9D" w:rsidR="00CF4846">
        <w:rPr>
          <w:rFonts w:eastAsiaTheme="minorHAnsi"/>
          <w:sz w:val="24"/>
          <w:szCs w:val="24"/>
        </w:rPr>
        <w:t>y</w:t>
      </w:r>
      <w:r w:rsidRPr="006C3D9D" w:rsidR="008976C3">
        <w:rPr>
          <w:rFonts w:eastAsiaTheme="minorHAnsi"/>
          <w:sz w:val="24"/>
          <w:szCs w:val="24"/>
        </w:rPr>
        <w:t xml:space="preserve">outh </w:t>
      </w:r>
      <w:r w:rsidRPr="006C3D9D" w:rsidR="00CF4846">
        <w:rPr>
          <w:rFonts w:eastAsiaTheme="minorHAnsi"/>
          <w:sz w:val="24"/>
          <w:szCs w:val="24"/>
        </w:rPr>
        <w:t>a</w:t>
      </w:r>
      <w:r w:rsidRPr="006C3D9D">
        <w:rPr>
          <w:rFonts w:eastAsiaTheme="minorHAnsi"/>
          <w:sz w:val="24"/>
          <w:szCs w:val="24"/>
        </w:rPr>
        <w:t xml:space="preserve">ssent </w:t>
      </w:r>
      <w:r w:rsidRPr="006C3D9D" w:rsidR="00CF4846">
        <w:rPr>
          <w:rFonts w:eastAsiaTheme="minorHAnsi"/>
          <w:sz w:val="24"/>
          <w:szCs w:val="24"/>
        </w:rPr>
        <w:t>f</w:t>
      </w:r>
      <w:r w:rsidRPr="006C3D9D">
        <w:rPr>
          <w:rFonts w:eastAsiaTheme="minorHAnsi"/>
          <w:sz w:val="24"/>
          <w:szCs w:val="24"/>
        </w:rPr>
        <w:t>orm</w:t>
      </w:r>
      <w:r w:rsidRPr="006C3D9D" w:rsidR="004F06CA">
        <w:rPr>
          <w:rFonts w:eastAsiaTheme="minorHAnsi"/>
          <w:sz w:val="24"/>
          <w:szCs w:val="24"/>
        </w:rPr>
        <w:t xml:space="preserve">, </w:t>
      </w:r>
      <w:r w:rsidRPr="006C3D9D" w:rsidR="00CF4846">
        <w:rPr>
          <w:rFonts w:eastAsiaTheme="minorHAnsi"/>
          <w:sz w:val="24"/>
          <w:szCs w:val="24"/>
        </w:rPr>
        <w:t>s</w:t>
      </w:r>
      <w:r w:rsidRPr="006C3D9D" w:rsidR="004F06CA">
        <w:rPr>
          <w:rFonts w:eastAsiaTheme="minorHAnsi"/>
          <w:sz w:val="24"/>
          <w:szCs w:val="24"/>
        </w:rPr>
        <w:t>creener,</w:t>
      </w:r>
      <w:r w:rsidRPr="006C3D9D">
        <w:rPr>
          <w:rFonts w:eastAsiaTheme="minorHAnsi"/>
          <w:sz w:val="24"/>
          <w:szCs w:val="24"/>
        </w:rPr>
        <w:t xml:space="preserve"> and</w:t>
      </w:r>
      <w:r w:rsidRPr="006C3D9D" w:rsidR="008976C3">
        <w:rPr>
          <w:rFonts w:eastAsiaTheme="minorHAnsi"/>
          <w:sz w:val="24"/>
          <w:szCs w:val="24"/>
        </w:rPr>
        <w:t xml:space="preserve"> </w:t>
      </w:r>
      <w:r w:rsidRPr="006C3D9D" w:rsidR="0013777E">
        <w:rPr>
          <w:rFonts w:eastAsiaTheme="minorHAnsi"/>
          <w:sz w:val="24"/>
          <w:szCs w:val="24"/>
        </w:rPr>
        <w:t>survey</w:t>
      </w:r>
      <w:r w:rsidRPr="006C3D9D" w:rsidR="001405D0">
        <w:rPr>
          <w:rFonts w:eastAsiaTheme="minorHAnsi"/>
          <w:sz w:val="24"/>
          <w:szCs w:val="24"/>
        </w:rPr>
        <w:t xml:space="preserve">; </w:t>
      </w:r>
      <w:r w:rsidRPr="006C3D9D">
        <w:rPr>
          <w:rFonts w:eastAsiaTheme="minorHAnsi"/>
          <w:sz w:val="24"/>
          <w:szCs w:val="24"/>
        </w:rPr>
        <w:t xml:space="preserve">see </w:t>
      </w:r>
      <w:r w:rsidRPr="006C3D9D" w:rsidR="00252A7F">
        <w:rPr>
          <w:rFonts w:eastAsiaTheme="minorHAnsi"/>
          <w:b/>
          <w:bCs/>
          <w:sz w:val="24"/>
          <w:szCs w:val="24"/>
        </w:rPr>
        <w:t xml:space="preserve">Appendix </w:t>
      </w:r>
      <w:r w:rsidRPr="006C3D9D" w:rsidR="00EC6939">
        <w:rPr>
          <w:rFonts w:eastAsiaTheme="minorHAnsi"/>
          <w:b/>
          <w:bCs/>
          <w:sz w:val="24"/>
          <w:szCs w:val="24"/>
        </w:rPr>
        <w:t>C</w:t>
      </w:r>
      <w:r w:rsidRPr="006C3D9D" w:rsidR="00252A7F">
        <w:rPr>
          <w:rFonts w:eastAsiaTheme="minorHAnsi"/>
          <w:b/>
          <w:bCs/>
          <w:sz w:val="24"/>
          <w:szCs w:val="24"/>
        </w:rPr>
        <w:t xml:space="preserve">, </w:t>
      </w:r>
      <w:r w:rsidRPr="006C3D9D" w:rsidR="004F06CA">
        <w:rPr>
          <w:rFonts w:eastAsiaTheme="minorHAnsi"/>
          <w:b/>
          <w:bCs/>
          <w:sz w:val="24"/>
          <w:szCs w:val="24"/>
        </w:rPr>
        <w:t>D</w:t>
      </w:r>
      <w:r w:rsidRPr="006C3D9D" w:rsidR="00252A7F">
        <w:rPr>
          <w:rFonts w:eastAsiaTheme="minorHAnsi"/>
          <w:b/>
          <w:bCs/>
          <w:sz w:val="24"/>
          <w:szCs w:val="24"/>
        </w:rPr>
        <w:t xml:space="preserve">, and </w:t>
      </w:r>
      <w:r w:rsidRPr="006C3D9D" w:rsidR="004F06CA">
        <w:rPr>
          <w:rFonts w:eastAsiaTheme="minorHAnsi"/>
          <w:b/>
          <w:bCs/>
          <w:sz w:val="24"/>
          <w:szCs w:val="24"/>
        </w:rPr>
        <w:t>E</w:t>
      </w:r>
      <w:r w:rsidRPr="006C3D9D">
        <w:rPr>
          <w:rFonts w:eastAsiaTheme="minorHAnsi"/>
          <w:sz w:val="24"/>
          <w:szCs w:val="24"/>
        </w:rPr>
        <w:t>). Youth will be directed to review the purpose of the</w:t>
      </w:r>
      <w:r w:rsidRPr="006C3D9D" w:rsidR="004F06CA">
        <w:rPr>
          <w:rFonts w:eastAsiaTheme="minorHAnsi"/>
          <w:sz w:val="24"/>
          <w:szCs w:val="24"/>
        </w:rPr>
        <w:t xml:space="preserve"> </w:t>
      </w:r>
      <w:r w:rsidRPr="006C3D9D">
        <w:rPr>
          <w:sz w:val="24"/>
          <w:szCs w:val="24"/>
        </w:rPr>
        <w:t xml:space="preserve">study and complete the </w:t>
      </w:r>
      <w:r w:rsidRPr="006C3D9D" w:rsidR="00CF4846">
        <w:rPr>
          <w:sz w:val="24"/>
          <w:szCs w:val="24"/>
        </w:rPr>
        <w:t>s</w:t>
      </w:r>
      <w:r w:rsidRPr="006C3D9D">
        <w:rPr>
          <w:sz w:val="24"/>
          <w:szCs w:val="24"/>
        </w:rPr>
        <w:t>creener to provide basic demographic information and establish</w:t>
      </w:r>
      <w:r w:rsidRPr="006C3D9D" w:rsidR="003E4B68">
        <w:rPr>
          <w:sz w:val="24"/>
          <w:szCs w:val="24"/>
        </w:rPr>
        <w:t xml:space="preserve"> eligibility. This screener is expected to take approximately </w:t>
      </w:r>
      <w:r w:rsidRPr="006C3D9D" w:rsidR="003F6D2B">
        <w:rPr>
          <w:sz w:val="24"/>
          <w:szCs w:val="24"/>
        </w:rPr>
        <w:t>2</w:t>
      </w:r>
      <w:r w:rsidRPr="006C3D9D" w:rsidR="003E4B68">
        <w:rPr>
          <w:sz w:val="24"/>
          <w:szCs w:val="24"/>
        </w:rPr>
        <w:t xml:space="preserve"> minutes</w:t>
      </w:r>
      <w:r w:rsidRPr="006C3D9D" w:rsidR="00A911D1">
        <w:rPr>
          <w:sz w:val="24"/>
          <w:szCs w:val="24"/>
        </w:rPr>
        <w:t xml:space="preserve">. </w:t>
      </w:r>
    </w:p>
    <w:p w:rsidRPr="006C3D9D" w:rsidR="009717E7" w:rsidP="00025668" w:rsidRDefault="009717E7" w14:paraId="52A732A8" w14:textId="734F3690">
      <w:pPr>
        <w:autoSpaceDE w:val="0"/>
        <w:autoSpaceDN w:val="0"/>
        <w:adjustRightInd w:val="0"/>
        <w:rPr>
          <w:rFonts w:eastAsiaTheme="minorHAnsi"/>
          <w:sz w:val="24"/>
          <w:szCs w:val="24"/>
        </w:rPr>
      </w:pPr>
    </w:p>
    <w:p w:rsidRPr="006C3D9D" w:rsidR="00A911D1" w:rsidP="00E90138" w:rsidRDefault="00A911D1" w14:paraId="027B612C" w14:textId="55AC0897">
      <w:pPr>
        <w:autoSpaceDE w:val="0"/>
        <w:autoSpaceDN w:val="0"/>
        <w:adjustRightInd w:val="0"/>
        <w:rPr>
          <w:sz w:val="24"/>
          <w:szCs w:val="24"/>
        </w:rPr>
      </w:pPr>
      <w:r w:rsidRPr="006C3D9D">
        <w:rPr>
          <w:sz w:val="24"/>
          <w:szCs w:val="24"/>
        </w:rPr>
        <w:t>The majority of questions asked will not be sensitive</w:t>
      </w:r>
      <w:r w:rsidRPr="006C3D9D" w:rsidR="006D6429">
        <w:rPr>
          <w:sz w:val="24"/>
          <w:szCs w:val="24"/>
        </w:rPr>
        <w:t xml:space="preserve">, but some will ask about </w:t>
      </w:r>
      <w:r w:rsidRPr="006C3D9D">
        <w:rPr>
          <w:sz w:val="24"/>
          <w:szCs w:val="24"/>
        </w:rPr>
        <w:t xml:space="preserve">specific health behaviors such as tobacco product use. These </w:t>
      </w:r>
      <w:r w:rsidRPr="006C3D9D" w:rsidR="006D6429">
        <w:rPr>
          <w:sz w:val="24"/>
          <w:szCs w:val="24"/>
        </w:rPr>
        <w:t xml:space="preserve">sensitive </w:t>
      </w:r>
      <w:r w:rsidRPr="006C3D9D">
        <w:rPr>
          <w:sz w:val="24"/>
          <w:szCs w:val="24"/>
        </w:rPr>
        <w:t xml:space="preserve">questions are essential to the objectives of this data collection. Although we do not anticipate any risks from these health questions, some participants may perceive them to be sensitive. Questions about messages concerning lifestyle (e.g., tobacco product use) and some demographic information, such as race and ethnicity could also be considered sensitive, but not highly sensitive. </w:t>
      </w:r>
      <w:r w:rsidRPr="006C3D9D" w:rsidR="0092619D">
        <w:rPr>
          <w:sz w:val="24"/>
          <w:szCs w:val="24"/>
        </w:rPr>
        <w:t xml:space="preserve">Demographic information will be collected to assess variations in tobacco knowledge, attitudes, beliefs, and behaviors, media use, and awareness and receptivity to CTP public education campaign advertisements by demographic subgroup in order to more effectively design and deliver campaign messages. </w:t>
      </w:r>
      <w:r w:rsidRPr="006C3D9D">
        <w:rPr>
          <w:sz w:val="24"/>
          <w:szCs w:val="24"/>
        </w:rPr>
        <w:t xml:space="preserve">To address any concerns about inadvertent disclosure of sensitive information, participants will be fully informed of the applicable privacy safeguards. </w:t>
      </w:r>
    </w:p>
    <w:p w:rsidRPr="006C3D9D" w:rsidR="006F7F7D" w:rsidP="00E90138" w:rsidRDefault="006F7F7D" w14:paraId="607A7D09" w14:textId="561BA5A0">
      <w:pPr>
        <w:autoSpaceDE w:val="0"/>
        <w:autoSpaceDN w:val="0"/>
        <w:adjustRightInd w:val="0"/>
        <w:rPr>
          <w:sz w:val="24"/>
          <w:szCs w:val="24"/>
        </w:rPr>
      </w:pPr>
    </w:p>
    <w:p w:rsidRPr="006C3D9D" w:rsidR="006F7F7D" w:rsidP="00E90138" w:rsidRDefault="006F7F7D" w14:paraId="7DADBF6A" w14:textId="7711E1BC">
      <w:pPr>
        <w:autoSpaceDE w:val="0"/>
        <w:autoSpaceDN w:val="0"/>
        <w:adjustRightInd w:val="0"/>
        <w:rPr>
          <w:sz w:val="24"/>
          <w:szCs w:val="24"/>
        </w:rPr>
      </w:pPr>
      <w:r w:rsidRPr="006C3D9D">
        <w:rPr>
          <w:sz w:val="24"/>
          <w:szCs w:val="24"/>
        </w:rPr>
        <w:t>Reminders are sent to all invitees who have not responded 48 hours after initial invitation. If an invitee does not respond after the reminder is sent, they are considered not available and are not re-approached.</w:t>
      </w:r>
    </w:p>
    <w:p w:rsidRPr="006C3D9D" w:rsidR="004D4069" w:rsidP="00E90138" w:rsidRDefault="004D4069" w14:paraId="548593E7" w14:textId="77777777">
      <w:pPr>
        <w:autoSpaceDE w:val="0"/>
        <w:autoSpaceDN w:val="0"/>
        <w:adjustRightInd w:val="0"/>
        <w:rPr>
          <w:sz w:val="24"/>
          <w:szCs w:val="24"/>
        </w:rPr>
      </w:pPr>
    </w:p>
    <w:p w:rsidRPr="006C3D9D" w:rsidR="004D4069" w:rsidP="004D4069" w:rsidRDefault="004D4069" w14:paraId="1F710D34" w14:textId="6AD18128">
      <w:pPr>
        <w:autoSpaceDE w:val="0"/>
        <w:autoSpaceDN w:val="0"/>
        <w:adjustRightInd w:val="0"/>
        <w:rPr>
          <w:rFonts w:eastAsiaTheme="minorHAnsi"/>
          <w:sz w:val="24"/>
          <w:szCs w:val="24"/>
        </w:rPr>
      </w:pPr>
      <w:r w:rsidRPr="006C3D9D">
        <w:rPr>
          <w:rFonts w:eastAsiaTheme="minorHAnsi"/>
          <w:sz w:val="24"/>
          <w:szCs w:val="24"/>
        </w:rPr>
        <w:t xml:space="preserve">After completion of the </w:t>
      </w:r>
      <w:r w:rsidRPr="006C3D9D" w:rsidR="00CF4846">
        <w:rPr>
          <w:rFonts w:eastAsiaTheme="minorHAnsi"/>
          <w:sz w:val="24"/>
          <w:szCs w:val="24"/>
        </w:rPr>
        <w:t>s</w:t>
      </w:r>
      <w:r w:rsidRPr="006C3D9D">
        <w:rPr>
          <w:rFonts w:eastAsiaTheme="minorHAnsi"/>
          <w:sz w:val="24"/>
          <w:szCs w:val="24"/>
        </w:rPr>
        <w:t>creener, qualified youth will be granted access to the</w:t>
      </w:r>
    </w:p>
    <w:p w:rsidRPr="006C3D9D" w:rsidR="004D4069" w:rsidP="004D4069" w:rsidRDefault="00CF4846" w14:paraId="4F14460D" w14:textId="0CCF096D">
      <w:pPr>
        <w:autoSpaceDE w:val="0"/>
        <w:autoSpaceDN w:val="0"/>
        <w:adjustRightInd w:val="0"/>
        <w:rPr>
          <w:rFonts w:eastAsiaTheme="minorHAnsi"/>
          <w:sz w:val="24"/>
          <w:szCs w:val="24"/>
        </w:rPr>
      </w:pPr>
      <w:r w:rsidRPr="006C3D9D">
        <w:rPr>
          <w:rFonts w:eastAsiaTheme="minorHAnsi"/>
          <w:sz w:val="24"/>
          <w:szCs w:val="24"/>
        </w:rPr>
        <w:t>s</w:t>
      </w:r>
      <w:r w:rsidRPr="006C3D9D" w:rsidR="00252A7F">
        <w:rPr>
          <w:rFonts w:eastAsiaTheme="minorHAnsi"/>
          <w:sz w:val="24"/>
          <w:szCs w:val="24"/>
        </w:rPr>
        <w:t xml:space="preserve">urvey </w:t>
      </w:r>
      <w:r w:rsidRPr="006C3D9D" w:rsidR="004D4069">
        <w:rPr>
          <w:rFonts w:eastAsiaTheme="minorHAnsi"/>
          <w:sz w:val="24"/>
          <w:szCs w:val="24"/>
        </w:rPr>
        <w:t>where the youth assent form will be embedded.</w:t>
      </w:r>
    </w:p>
    <w:p w:rsidRPr="006C3D9D" w:rsidR="004D4069" w:rsidP="004D4069" w:rsidRDefault="004D4069" w14:paraId="57D04979" w14:textId="7DA9544B">
      <w:pPr>
        <w:autoSpaceDE w:val="0"/>
        <w:autoSpaceDN w:val="0"/>
        <w:adjustRightInd w:val="0"/>
        <w:rPr>
          <w:rFonts w:eastAsiaTheme="minorHAnsi"/>
          <w:sz w:val="24"/>
          <w:szCs w:val="24"/>
        </w:rPr>
      </w:pPr>
      <w:r w:rsidRPr="006C3D9D">
        <w:rPr>
          <w:rFonts w:eastAsiaTheme="minorHAnsi"/>
          <w:sz w:val="24"/>
          <w:szCs w:val="24"/>
        </w:rPr>
        <w:t xml:space="preserve">Participants will be required to review and complete the assent </w:t>
      </w:r>
      <w:r w:rsidRPr="006C3D9D" w:rsidR="006D0FFE">
        <w:rPr>
          <w:rFonts w:eastAsiaTheme="minorHAnsi"/>
          <w:sz w:val="24"/>
          <w:szCs w:val="24"/>
        </w:rPr>
        <w:t>form</w:t>
      </w:r>
      <w:r w:rsidRPr="006C3D9D">
        <w:rPr>
          <w:rFonts w:eastAsiaTheme="minorHAnsi"/>
          <w:sz w:val="24"/>
          <w:szCs w:val="24"/>
        </w:rPr>
        <w:t xml:space="preserve"> prior to</w:t>
      </w:r>
    </w:p>
    <w:p w:rsidRPr="006C3D9D" w:rsidR="004D4069" w:rsidP="004D4069" w:rsidRDefault="004D4069" w14:paraId="6C9F7E3F" w14:textId="494F5474">
      <w:pPr>
        <w:autoSpaceDE w:val="0"/>
        <w:autoSpaceDN w:val="0"/>
        <w:adjustRightInd w:val="0"/>
        <w:rPr>
          <w:rFonts w:eastAsiaTheme="minorHAnsi"/>
          <w:sz w:val="24"/>
          <w:szCs w:val="24"/>
        </w:rPr>
      </w:pPr>
      <w:r w:rsidRPr="006C3D9D">
        <w:rPr>
          <w:rFonts w:eastAsiaTheme="minorHAnsi"/>
          <w:sz w:val="24"/>
          <w:szCs w:val="24"/>
        </w:rPr>
        <w:t xml:space="preserve">beginning the </w:t>
      </w:r>
      <w:r w:rsidRPr="006C3D9D" w:rsidR="00CF4846">
        <w:rPr>
          <w:rFonts w:eastAsiaTheme="minorHAnsi"/>
          <w:sz w:val="24"/>
          <w:szCs w:val="24"/>
        </w:rPr>
        <w:t>s</w:t>
      </w:r>
      <w:r w:rsidRPr="006C3D9D" w:rsidR="00252A7F">
        <w:rPr>
          <w:rFonts w:eastAsiaTheme="minorHAnsi"/>
          <w:sz w:val="24"/>
          <w:szCs w:val="24"/>
        </w:rPr>
        <w:t>urvey</w:t>
      </w:r>
      <w:r w:rsidRPr="006C3D9D" w:rsidR="003F6D2B">
        <w:rPr>
          <w:rFonts w:eastAsiaTheme="minorHAnsi"/>
          <w:sz w:val="24"/>
          <w:szCs w:val="24"/>
        </w:rPr>
        <w:t>.</w:t>
      </w:r>
      <w:r w:rsidRPr="006C3D9D">
        <w:rPr>
          <w:rFonts w:eastAsiaTheme="minorHAnsi"/>
          <w:sz w:val="24"/>
          <w:szCs w:val="24"/>
        </w:rPr>
        <w:t xml:space="preserve"> If a participant decides they no longer want to participate, they will</w:t>
      </w:r>
    </w:p>
    <w:p w:rsidRPr="006C3D9D" w:rsidR="003F73F1" w:rsidP="007E2AAC" w:rsidRDefault="004D4069" w14:paraId="30A66EBC" w14:textId="73D0A3AF">
      <w:pPr>
        <w:autoSpaceDE w:val="0"/>
        <w:autoSpaceDN w:val="0"/>
        <w:adjustRightInd w:val="0"/>
        <w:rPr>
          <w:rFonts w:eastAsiaTheme="minorHAnsi"/>
          <w:sz w:val="24"/>
          <w:szCs w:val="24"/>
        </w:rPr>
      </w:pPr>
      <w:r w:rsidRPr="006C3D9D">
        <w:rPr>
          <w:rFonts w:eastAsiaTheme="minorHAnsi"/>
          <w:sz w:val="24"/>
          <w:szCs w:val="24"/>
        </w:rPr>
        <w:t xml:space="preserve">not have access to the </w:t>
      </w:r>
      <w:r w:rsidRPr="006C3D9D" w:rsidR="00CF4846">
        <w:rPr>
          <w:rFonts w:eastAsiaTheme="minorHAnsi"/>
          <w:sz w:val="24"/>
          <w:szCs w:val="24"/>
        </w:rPr>
        <w:t>s</w:t>
      </w:r>
      <w:r w:rsidRPr="006C3D9D" w:rsidR="00252A7F">
        <w:rPr>
          <w:rFonts w:eastAsiaTheme="minorHAnsi"/>
          <w:sz w:val="24"/>
          <w:szCs w:val="24"/>
        </w:rPr>
        <w:t xml:space="preserve">urvey </w:t>
      </w:r>
      <w:r w:rsidRPr="006C3D9D">
        <w:rPr>
          <w:rFonts w:eastAsiaTheme="minorHAnsi"/>
          <w:sz w:val="24"/>
          <w:szCs w:val="24"/>
        </w:rPr>
        <w:t xml:space="preserve">and the </w:t>
      </w:r>
      <w:r w:rsidRPr="006C3D9D" w:rsidR="00252A7F">
        <w:rPr>
          <w:rFonts w:eastAsiaTheme="minorHAnsi"/>
          <w:sz w:val="24"/>
          <w:szCs w:val="24"/>
        </w:rPr>
        <w:t xml:space="preserve">survey </w:t>
      </w:r>
      <w:r w:rsidRPr="006C3D9D">
        <w:rPr>
          <w:rFonts w:eastAsiaTheme="minorHAnsi"/>
          <w:sz w:val="24"/>
          <w:szCs w:val="24"/>
        </w:rPr>
        <w:t>link will expire</w:t>
      </w:r>
      <w:r w:rsidRPr="006C3D9D" w:rsidR="003F73F1">
        <w:rPr>
          <w:sz w:val="24"/>
          <w:szCs w:val="24"/>
        </w:rPr>
        <w:t>.</w:t>
      </w:r>
    </w:p>
    <w:p w:rsidRPr="006C3D9D" w:rsidR="006E71B8" w:rsidP="006E71B8" w:rsidRDefault="006E71B8" w14:paraId="687A1D49" w14:textId="77777777">
      <w:pPr>
        <w:rPr>
          <w:sz w:val="24"/>
          <w:szCs w:val="24"/>
        </w:rPr>
      </w:pPr>
    </w:p>
    <w:p w:rsidRPr="006C3D9D" w:rsidR="006E71B8" w:rsidP="006E71B8" w:rsidRDefault="006E71B8" w14:paraId="6B768B2A" w14:textId="77777777">
      <w:pPr>
        <w:rPr>
          <w:i/>
          <w:sz w:val="24"/>
        </w:rPr>
      </w:pPr>
      <w:r w:rsidRPr="006C3D9D">
        <w:rPr>
          <w:i/>
          <w:sz w:val="24"/>
        </w:rPr>
        <w:t>Sample Size</w:t>
      </w:r>
    </w:p>
    <w:p w:rsidRPr="006C3D9D" w:rsidR="006E71B8" w:rsidP="006E71B8" w:rsidRDefault="001405D0" w14:paraId="3DC5B003" w14:textId="67F8A6E9">
      <w:pPr>
        <w:rPr>
          <w:sz w:val="24"/>
        </w:rPr>
      </w:pPr>
      <w:r w:rsidRPr="006C3D9D">
        <w:rPr>
          <w:sz w:val="24"/>
        </w:rPr>
        <w:t>S</w:t>
      </w:r>
      <w:r w:rsidRPr="006C3D9D" w:rsidR="006E71B8">
        <w:rPr>
          <w:sz w:val="24"/>
        </w:rPr>
        <w:t xml:space="preserve">ample of </w:t>
      </w:r>
      <w:r w:rsidR="00574B6F">
        <w:rPr>
          <w:sz w:val="24"/>
        </w:rPr>
        <w:t>2</w:t>
      </w:r>
      <w:r w:rsidRPr="006C3D9D" w:rsidR="00A52DF0">
        <w:rPr>
          <w:sz w:val="24"/>
        </w:rPr>
        <w:t>,000</w:t>
      </w:r>
      <w:r w:rsidRPr="006C3D9D" w:rsidR="006E71B8">
        <w:rPr>
          <w:sz w:val="24"/>
        </w:rPr>
        <w:t xml:space="preserve"> youth</w:t>
      </w:r>
      <w:r w:rsidRPr="006C3D9D" w:rsidR="001C0022">
        <w:rPr>
          <w:sz w:val="24"/>
        </w:rPr>
        <w:t xml:space="preserve"> </w:t>
      </w:r>
      <w:r w:rsidRPr="006C3D9D" w:rsidR="006E71B8">
        <w:rPr>
          <w:sz w:val="24"/>
        </w:rPr>
        <w:t>ages 1</w:t>
      </w:r>
      <w:r w:rsidRPr="006C3D9D" w:rsidR="008F3538">
        <w:rPr>
          <w:sz w:val="24"/>
        </w:rPr>
        <w:t>3</w:t>
      </w:r>
      <w:r w:rsidRPr="006C3D9D" w:rsidR="006E71B8">
        <w:rPr>
          <w:sz w:val="24"/>
        </w:rPr>
        <w:t>–</w:t>
      </w:r>
      <w:r w:rsidRPr="006C3D9D" w:rsidR="00EC6939">
        <w:rPr>
          <w:sz w:val="24"/>
        </w:rPr>
        <w:t>17</w:t>
      </w:r>
      <w:r w:rsidRPr="006C3D9D" w:rsidR="00AB6581">
        <w:rPr>
          <w:sz w:val="24"/>
        </w:rPr>
        <w:t xml:space="preserve">. </w:t>
      </w:r>
    </w:p>
    <w:bookmarkEnd w:id="0"/>
    <w:bookmarkEnd w:id="1"/>
    <w:p w:rsidR="00FF2A6E" w:rsidP="006E71B8" w:rsidRDefault="00FF2A6E" w14:paraId="72C8AC3A" w14:textId="77777777">
      <w:pPr>
        <w:rPr>
          <w:b/>
          <w:sz w:val="24"/>
          <w:szCs w:val="24"/>
          <w:u w:val="single"/>
        </w:rPr>
      </w:pPr>
    </w:p>
    <w:p w:rsidRPr="006C3D9D" w:rsidR="006E71B8" w:rsidP="006E71B8" w:rsidRDefault="006E71B8" w14:paraId="29915DDC" w14:textId="06DA61CD">
      <w:pPr>
        <w:rPr>
          <w:b/>
          <w:sz w:val="24"/>
          <w:szCs w:val="24"/>
          <w:u w:val="single"/>
        </w:rPr>
      </w:pPr>
      <w:r w:rsidRPr="006C3D9D">
        <w:rPr>
          <w:b/>
          <w:sz w:val="24"/>
          <w:szCs w:val="24"/>
          <w:u w:val="single"/>
        </w:rPr>
        <w:t xml:space="preserve">2. Procedures for the Collection of Information </w:t>
      </w:r>
    </w:p>
    <w:p w:rsidR="000D4DF1" w:rsidP="007E2AAC" w:rsidRDefault="000D4DF1" w14:paraId="7F6E15C5" w14:textId="77777777">
      <w:pPr>
        <w:autoSpaceDE w:val="0"/>
        <w:autoSpaceDN w:val="0"/>
        <w:adjustRightInd w:val="0"/>
        <w:rPr>
          <w:sz w:val="24"/>
          <w:szCs w:val="24"/>
        </w:rPr>
      </w:pPr>
    </w:p>
    <w:p w:rsidRPr="006C3D9D" w:rsidR="00E53DF1" w:rsidP="007E2AAC" w:rsidRDefault="006E71B8" w14:paraId="542B8997" w14:textId="158737A3">
      <w:pPr>
        <w:autoSpaceDE w:val="0"/>
        <w:autoSpaceDN w:val="0"/>
        <w:adjustRightInd w:val="0"/>
        <w:rPr>
          <w:rFonts w:eastAsiaTheme="minorHAnsi"/>
          <w:sz w:val="24"/>
          <w:szCs w:val="24"/>
        </w:rPr>
      </w:pPr>
      <w:r w:rsidRPr="006C3D9D">
        <w:rPr>
          <w:sz w:val="24"/>
          <w:szCs w:val="24"/>
        </w:rPr>
        <w:t xml:space="preserve">This section describes the procedures for </w:t>
      </w:r>
      <w:r w:rsidRPr="006C3D9D" w:rsidR="00D374C0">
        <w:rPr>
          <w:sz w:val="24"/>
          <w:szCs w:val="24"/>
        </w:rPr>
        <w:t xml:space="preserve">survey </w:t>
      </w:r>
      <w:r w:rsidRPr="006C3D9D">
        <w:rPr>
          <w:sz w:val="24"/>
          <w:szCs w:val="24"/>
        </w:rPr>
        <w:t xml:space="preserve">data collection. </w:t>
      </w:r>
      <w:r w:rsidRPr="006C3D9D" w:rsidR="00D374C0">
        <w:rPr>
          <w:rFonts w:eastAsiaTheme="minorHAnsi"/>
          <w:sz w:val="24"/>
          <w:szCs w:val="24"/>
        </w:rPr>
        <w:t>Online data collection will be completed by youth independently, on their own electronic devices, such as a mobile phone, tablet, or home computer.</w:t>
      </w:r>
    </w:p>
    <w:p w:rsidRPr="006C3D9D" w:rsidR="00E53DF1" w:rsidP="006E71B8" w:rsidRDefault="00E53DF1" w14:paraId="2E7FCA0F" w14:textId="77777777">
      <w:pPr>
        <w:rPr>
          <w:sz w:val="24"/>
          <w:szCs w:val="24"/>
        </w:rPr>
      </w:pPr>
    </w:p>
    <w:p w:rsidRPr="006C3D9D" w:rsidR="006E71B8" w:rsidP="006E71B8" w:rsidRDefault="00F749C8" w14:paraId="1FD3BA30" w14:textId="6C2BFE8A">
      <w:pPr>
        <w:rPr>
          <w:sz w:val="24"/>
          <w:szCs w:val="24"/>
        </w:rPr>
      </w:pPr>
      <w:r w:rsidRPr="006C3D9D">
        <w:rPr>
          <w:sz w:val="24"/>
          <w:szCs w:val="24"/>
        </w:rPr>
        <w:lastRenderedPageBreak/>
        <w:t xml:space="preserve">All surveys will be conducted using a self-administered, online survey. </w:t>
      </w:r>
      <w:r w:rsidRPr="006C3D9D" w:rsidR="006E71B8">
        <w:rPr>
          <w:sz w:val="24"/>
          <w:szCs w:val="24"/>
        </w:rPr>
        <w:t xml:space="preserve">To be eligible, the youth </w:t>
      </w:r>
      <w:r w:rsidRPr="006C3D9D" w:rsidR="003E6AEA">
        <w:rPr>
          <w:sz w:val="24"/>
          <w:szCs w:val="24"/>
        </w:rPr>
        <w:t>(ages 1</w:t>
      </w:r>
      <w:r w:rsidRPr="006C3D9D" w:rsidR="002A083C">
        <w:rPr>
          <w:sz w:val="24"/>
          <w:szCs w:val="24"/>
        </w:rPr>
        <w:t>3</w:t>
      </w:r>
      <w:r w:rsidRPr="006C3D9D" w:rsidR="003E6AEA">
        <w:rPr>
          <w:sz w:val="24"/>
        </w:rPr>
        <w:t>–</w:t>
      </w:r>
      <w:r w:rsidRPr="006C3D9D" w:rsidR="00A911D1">
        <w:rPr>
          <w:sz w:val="24"/>
        </w:rPr>
        <w:t>17</w:t>
      </w:r>
      <w:r w:rsidRPr="006C3D9D" w:rsidR="003E6AEA">
        <w:rPr>
          <w:sz w:val="24"/>
        </w:rPr>
        <w:t>)</w:t>
      </w:r>
      <w:r w:rsidRPr="006C3D9D" w:rsidR="003E6AEA">
        <w:rPr>
          <w:sz w:val="24"/>
          <w:szCs w:val="24"/>
        </w:rPr>
        <w:t xml:space="preserve"> </w:t>
      </w:r>
      <w:r w:rsidRPr="006C3D9D" w:rsidR="006E71B8">
        <w:rPr>
          <w:sz w:val="24"/>
          <w:szCs w:val="24"/>
        </w:rPr>
        <w:t>must give their assent</w:t>
      </w:r>
      <w:r w:rsidRPr="006C3D9D" w:rsidR="00F06747">
        <w:rPr>
          <w:sz w:val="24"/>
          <w:szCs w:val="24"/>
        </w:rPr>
        <w:t xml:space="preserve"> (</w:t>
      </w:r>
      <w:r w:rsidRPr="006C3D9D" w:rsidR="00252A7F">
        <w:rPr>
          <w:b/>
          <w:sz w:val="24"/>
          <w:szCs w:val="24"/>
        </w:rPr>
        <w:t xml:space="preserve">Appendix </w:t>
      </w:r>
      <w:r w:rsidRPr="006C3D9D" w:rsidR="00EC6939">
        <w:rPr>
          <w:b/>
          <w:sz w:val="24"/>
          <w:szCs w:val="24"/>
        </w:rPr>
        <w:t>C</w:t>
      </w:r>
      <w:r w:rsidRPr="006C3D9D" w:rsidR="00F06747">
        <w:rPr>
          <w:b/>
          <w:sz w:val="24"/>
          <w:szCs w:val="24"/>
        </w:rPr>
        <w:t>)</w:t>
      </w:r>
      <w:r w:rsidRPr="006C3D9D" w:rsidR="008E1751">
        <w:rPr>
          <w:sz w:val="24"/>
          <w:szCs w:val="24"/>
        </w:rPr>
        <w:t xml:space="preserve"> </w:t>
      </w:r>
      <w:r w:rsidRPr="006C3D9D" w:rsidR="00CB6A47">
        <w:rPr>
          <w:sz w:val="24"/>
          <w:szCs w:val="24"/>
        </w:rPr>
        <w:t xml:space="preserve">and </w:t>
      </w:r>
      <w:r w:rsidRPr="006C3D9D" w:rsidR="0001492C">
        <w:rPr>
          <w:sz w:val="24"/>
          <w:szCs w:val="24"/>
        </w:rPr>
        <w:t>participant</w:t>
      </w:r>
      <w:r w:rsidRPr="006C3D9D" w:rsidR="00CB6A47">
        <w:rPr>
          <w:sz w:val="24"/>
          <w:szCs w:val="24"/>
        </w:rPr>
        <w:t>s</w:t>
      </w:r>
      <w:r w:rsidRPr="006C3D9D" w:rsidR="0001492C">
        <w:rPr>
          <w:sz w:val="24"/>
          <w:szCs w:val="24"/>
        </w:rPr>
        <w:t xml:space="preserve"> must </w:t>
      </w:r>
      <w:r w:rsidRPr="006C3D9D" w:rsidR="001A0A1D">
        <w:rPr>
          <w:sz w:val="24"/>
          <w:szCs w:val="24"/>
        </w:rPr>
        <w:t xml:space="preserve">provide their tobacco use status to be classified </w:t>
      </w:r>
      <w:r w:rsidRPr="006C3D9D" w:rsidR="00332FB5">
        <w:rPr>
          <w:sz w:val="24"/>
          <w:szCs w:val="24"/>
        </w:rPr>
        <w:t>as either: 1)</w:t>
      </w:r>
      <w:r w:rsidRPr="006C3D9D" w:rsidR="0001492C">
        <w:rPr>
          <w:sz w:val="24"/>
          <w:szCs w:val="24"/>
        </w:rPr>
        <w:t xml:space="preserve"> </w:t>
      </w:r>
      <w:r w:rsidRPr="006C3D9D" w:rsidR="00332FB5">
        <w:rPr>
          <w:sz w:val="24"/>
          <w:szCs w:val="24"/>
        </w:rPr>
        <w:t xml:space="preserve">at risk of initiating use of </w:t>
      </w:r>
      <w:r w:rsidRPr="006C3D9D" w:rsidR="00EC6939">
        <w:rPr>
          <w:sz w:val="24"/>
          <w:szCs w:val="24"/>
        </w:rPr>
        <w:t>tobacco</w:t>
      </w:r>
      <w:r w:rsidRPr="006C3D9D" w:rsidR="00332FB5">
        <w:rPr>
          <w:sz w:val="24"/>
          <w:szCs w:val="24"/>
        </w:rPr>
        <w:t xml:space="preserve"> products</w:t>
      </w:r>
      <w:r w:rsidRPr="006C3D9D" w:rsidR="007546AF">
        <w:rPr>
          <w:sz w:val="24"/>
          <w:szCs w:val="24"/>
        </w:rPr>
        <w:t>, or</w:t>
      </w:r>
      <w:r w:rsidRPr="006C3D9D" w:rsidR="00332FB5">
        <w:rPr>
          <w:sz w:val="24"/>
          <w:szCs w:val="24"/>
        </w:rPr>
        <w:t xml:space="preserve"> 2)</w:t>
      </w:r>
      <w:r w:rsidRPr="006C3D9D" w:rsidR="007546AF">
        <w:rPr>
          <w:sz w:val="24"/>
          <w:szCs w:val="24"/>
        </w:rPr>
        <w:t xml:space="preserve"> </w:t>
      </w:r>
      <w:r w:rsidRPr="006C3D9D" w:rsidR="003F6D2B">
        <w:rPr>
          <w:sz w:val="24"/>
          <w:szCs w:val="24"/>
        </w:rPr>
        <w:t>having experimented with</w:t>
      </w:r>
      <w:r w:rsidRPr="006C3D9D" w:rsidR="007546AF">
        <w:rPr>
          <w:sz w:val="24"/>
          <w:szCs w:val="24"/>
        </w:rPr>
        <w:t xml:space="preserve"> </w:t>
      </w:r>
      <w:r w:rsidRPr="006C3D9D" w:rsidR="00EC6939">
        <w:rPr>
          <w:sz w:val="24"/>
          <w:szCs w:val="24"/>
        </w:rPr>
        <w:t>tobacco</w:t>
      </w:r>
      <w:r w:rsidRPr="006C3D9D" w:rsidR="007546AF">
        <w:rPr>
          <w:sz w:val="24"/>
          <w:szCs w:val="24"/>
        </w:rPr>
        <w:t xml:space="preserve"> products</w:t>
      </w:r>
      <w:r w:rsidRPr="006C3D9D" w:rsidR="00CE3CAF">
        <w:rPr>
          <w:sz w:val="24"/>
          <w:szCs w:val="24"/>
        </w:rPr>
        <w:t xml:space="preserve">. </w:t>
      </w:r>
      <w:r w:rsidRPr="006C3D9D" w:rsidR="006E71B8">
        <w:rPr>
          <w:sz w:val="24"/>
          <w:szCs w:val="24"/>
        </w:rPr>
        <w:t>The screener</w:t>
      </w:r>
      <w:r w:rsidRPr="006C3D9D" w:rsidR="001405D0">
        <w:rPr>
          <w:sz w:val="24"/>
          <w:szCs w:val="24"/>
        </w:rPr>
        <w:t xml:space="preserve"> is</w:t>
      </w:r>
      <w:r w:rsidRPr="006C3D9D" w:rsidR="006E71B8">
        <w:rPr>
          <w:sz w:val="24"/>
          <w:szCs w:val="24"/>
        </w:rPr>
        <w:t xml:space="preserve"> included </w:t>
      </w:r>
      <w:r w:rsidRPr="006C3D9D" w:rsidR="00224D06">
        <w:rPr>
          <w:sz w:val="24"/>
          <w:szCs w:val="24"/>
        </w:rPr>
        <w:t xml:space="preserve">in </w:t>
      </w:r>
      <w:r w:rsidRPr="006C3D9D" w:rsidR="00252A7F">
        <w:rPr>
          <w:b/>
          <w:sz w:val="24"/>
        </w:rPr>
        <w:t xml:space="preserve">Appendix </w:t>
      </w:r>
      <w:r w:rsidRPr="006C3D9D" w:rsidR="004F06CA">
        <w:rPr>
          <w:b/>
          <w:sz w:val="24"/>
        </w:rPr>
        <w:t>D</w:t>
      </w:r>
      <w:r w:rsidRPr="006C3D9D" w:rsidR="006E71B8">
        <w:rPr>
          <w:sz w:val="24"/>
          <w:szCs w:val="24"/>
        </w:rPr>
        <w:t xml:space="preserve">. </w:t>
      </w:r>
      <w:r w:rsidRPr="006C3D9D" w:rsidR="00523D61">
        <w:rPr>
          <w:sz w:val="24"/>
          <w:szCs w:val="24"/>
        </w:rPr>
        <w:t xml:space="preserve">The survey instrument is in </w:t>
      </w:r>
      <w:r w:rsidRPr="006C3D9D" w:rsidR="00252A7F">
        <w:rPr>
          <w:b/>
          <w:sz w:val="24"/>
          <w:szCs w:val="24"/>
        </w:rPr>
        <w:t xml:space="preserve">Appendix </w:t>
      </w:r>
      <w:r w:rsidRPr="006C3D9D" w:rsidR="004F06CA">
        <w:rPr>
          <w:b/>
          <w:sz w:val="24"/>
          <w:szCs w:val="24"/>
        </w:rPr>
        <w:t>E</w:t>
      </w:r>
      <w:r w:rsidRPr="006C3D9D" w:rsidR="0041289E">
        <w:rPr>
          <w:sz w:val="24"/>
          <w:szCs w:val="24"/>
        </w:rPr>
        <w:t xml:space="preserve">. </w:t>
      </w:r>
    </w:p>
    <w:p w:rsidRPr="006C3D9D" w:rsidR="00D374C0" w:rsidP="006E71B8" w:rsidRDefault="00D374C0" w14:paraId="1C8574C3" w14:textId="77777777">
      <w:pPr>
        <w:rPr>
          <w:b/>
          <w:bCs/>
          <w:sz w:val="24"/>
          <w:szCs w:val="24"/>
        </w:rPr>
      </w:pPr>
    </w:p>
    <w:p w:rsidR="000D4DF1" w:rsidP="007E2AAC" w:rsidRDefault="00CB5CA7" w14:paraId="65185AA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6C3D9D">
        <w:rPr>
          <w:sz w:val="24"/>
          <w:szCs w:val="24"/>
        </w:rPr>
        <w:t>OMB Control Number 0910-0810 is covered underneath a Privacy Impact Assessment that has been approved by the Department of Health and Human Services (PIA Unique Identifier: P-9008729-198376)</w:t>
      </w:r>
      <w:r w:rsidRPr="006C3D9D" w:rsidR="00886954">
        <w:rPr>
          <w:sz w:val="24"/>
          <w:szCs w:val="24"/>
        </w:rPr>
        <w:t xml:space="preserve">. </w:t>
      </w:r>
    </w:p>
    <w:p w:rsidR="000D4DF1" w:rsidP="007E2AAC" w:rsidRDefault="000D4DF1" w14:paraId="1C7EBFA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0D4DF1" w:rsidP="007E2AAC" w:rsidRDefault="00886954" w14:paraId="7DA2026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z w:val="24"/>
          <w:szCs w:val="24"/>
        </w:rPr>
      </w:pPr>
      <w:r w:rsidRPr="006C3D9D">
        <w:rPr>
          <w:sz w:val="24"/>
          <w:szCs w:val="24"/>
        </w:rPr>
        <w:t xml:space="preserve">FDA IRB will not be the </w:t>
      </w:r>
      <w:r w:rsidRPr="006C3D9D" w:rsidR="003F6D2B">
        <w:rPr>
          <w:sz w:val="24"/>
          <w:szCs w:val="24"/>
        </w:rPr>
        <w:t xml:space="preserve">Institutional Review Board </w:t>
      </w:r>
      <w:r w:rsidRPr="006C3D9D">
        <w:rPr>
          <w:sz w:val="24"/>
          <w:szCs w:val="24"/>
        </w:rPr>
        <w:t xml:space="preserve">of record and will defer to </w:t>
      </w:r>
      <w:r w:rsidRPr="006C3D9D" w:rsidR="00DE5C4E">
        <w:rPr>
          <w:sz w:val="24"/>
          <w:szCs w:val="24"/>
        </w:rPr>
        <w:t xml:space="preserve">KDH Research &amp; Communication </w:t>
      </w:r>
      <w:r w:rsidRPr="006C3D9D">
        <w:rPr>
          <w:sz w:val="24"/>
          <w:szCs w:val="24"/>
        </w:rPr>
        <w:t xml:space="preserve">IRB’s policies and oversight. </w:t>
      </w:r>
      <w:r w:rsidRPr="006C3D9D" w:rsidR="00C44AD5">
        <w:rPr>
          <w:sz w:val="24"/>
          <w:szCs w:val="24"/>
        </w:rPr>
        <w:t xml:space="preserve">This study has </w:t>
      </w:r>
      <w:r w:rsidRPr="006C3D9D" w:rsidR="005E3A9E">
        <w:rPr>
          <w:sz w:val="24"/>
          <w:szCs w:val="24"/>
        </w:rPr>
        <w:t>been reviewed and approved by</w:t>
      </w:r>
      <w:r w:rsidRPr="006C3D9D" w:rsidR="005772C6">
        <w:rPr>
          <w:sz w:val="24"/>
          <w:szCs w:val="24"/>
        </w:rPr>
        <w:t xml:space="preserve"> </w:t>
      </w:r>
      <w:r w:rsidRPr="006C3D9D" w:rsidR="00DE5C4E">
        <w:rPr>
          <w:sz w:val="24"/>
          <w:szCs w:val="24"/>
        </w:rPr>
        <w:t>KDH Research &amp; Communication</w:t>
      </w:r>
      <w:r w:rsidRPr="006C3D9D" w:rsidR="005772C6">
        <w:rPr>
          <w:sz w:val="24"/>
          <w:szCs w:val="24"/>
        </w:rPr>
        <w:t xml:space="preserve"> Institutional Review Board </w:t>
      </w:r>
      <w:r w:rsidRPr="006C3D9D" w:rsidR="00C44AD5">
        <w:rPr>
          <w:sz w:val="24"/>
          <w:szCs w:val="24"/>
        </w:rPr>
        <w:t xml:space="preserve">and will be conducted under </w:t>
      </w:r>
      <w:r w:rsidRPr="006C3D9D" w:rsidR="005772C6">
        <w:rPr>
          <w:sz w:val="24"/>
          <w:szCs w:val="24"/>
        </w:rPr>
        <w:t>their oversight.</w:t>
      </w:r>
      <w:r w:rsidRPr="006C3D9D" w:rsidR="00C44AD5">
        <w:rPr>
          <w:sz w:val="24"/>
          <w:szCs w:val="24"/>
        </w:rPr>
        <w:t xml:space="preserve"> The study team is committed to the protection of human subjects and the privacy and security of participant data</w:t>
      </w:r>
      <w:r w:rsidRPr="006C3D9D" w:rsidR="00DE5C4E">
        <w:rPr>
          <w:sz w:val="24"/>
          <w:szCs w:val="24"/>
        </w:rPr>
        <w:t xml:space="preserve">. </w:t>
      </w:r>
      <w:r w:rsidRPr="006C3D9D" w:rsidR="00867E49">
        <w:rPr>
          <w:sz w:val="24"/>
          <w:szCs w:val="24"/>
        </w:rPr>
        <w:t xml:space="preserve">For this study, we are not collecting any data, including personally identifiable data, from parents. </w:t>
      </w:r>
      <w:r w:rsidRPr="006C3D9D" w:rsidR="00824045">
        <w:rPr>
          <w:sz w:val="24"/>
          <w:szCs w:val="24"/>
        </w:rPr>
        <w:t xml:space="preserve">We consulted with the </w:t>
      </w:r>
      <w:r w:rsidRPr="006C3D9D" w:rsidR="00DE5C4E">
        <w:rPr>
          <w:sz w:val="24"/>
          <w:szCs w:val="24"/>
        </w:rPr>
        <w:t>KDH Research &amp; Communication</w:t>
      </w:r>
      <w:r w:rsidRPr="006C3D9D" w:rsidR="00C962C7">
        <w:rPr>
          <w:sz w:val="24"/>
          <w:szCs w:val="24"/>
        </w:rPr>
        <w:t>’s</w:t>
      </w:r>
      <w:r w:rsidRPr="006C3D9D" w:rsidR="00DE5C4E">
        <w:rPr>
          <w:sz w:val="24"/>
          <w:szCs w:val="24"/>
        </w:rPr>
        <w:t xml:space="preserve"> IRB </w:t>
      </w:r>
      <w:r w:rsidRPr="006C3D9D" w:rsidR="00824045">
        <w:rPr>
          <w:sz w:val="24"/>
          <w:szCs w:val="24"/>
        </w:rPr>
        <w:t xml:space="preserve">and </w:t>
      </w:r>
      <w:r w:rsidRPr="006C3D9D" w:rsidR="005772C6">
        <w:rPr>
          <w:sz w:val="24"/>
          <w:szCs w:val="24"/>
        </w:rPr>
        <w:t xml:space="preserve">based on the content of the online survey and study design, </w:t>
      </w:r>
      <w:r w:rsidRPr="006C3D9D" w:rsidR="00824045">
        <w:rPr>
          <w:sz w:val="24"/>
          <w:szCs w:val="24"/>
        </w:rPr>
        <w:t xml:space="preserve">received </w:t>
      </w:r>
      <w:r w:rsidRPr="006C3D9D" w:rsidR="005772C6">
        <w:rPr>
          <w:sz w:val="24"/>
          <w:szCs w:val="24"/>
        </w:rPr>
        <w:t xml:space="preserve">confirmation </w:t>
      </w:r>
      <w:r w:rsidRPr="006C3D9D" w:rsidR="00824045">
        <w:rPr>
          <w:sz w:val="24"/>
          <w:szCs w:val="24"/>
        </w:rPr>
        <w:t xml:space="preserve">that it is permissible to contact </w:t>
      </w:r>
      <w:r w:rsidRPr="006C3D9D" w:rsidR="00C22839">
        <w:rPr>
          <w:sz w:val="24"/>
          <w:szCs w:val="24"/>
        </w:rPr>
        <w:t>participants</w:t>
      </w:r>
      <w:r w:rsidRPr="006C3D9D" w:rsidR="00824045">
        <w:rPr>
          <w:sz w:val="24"/>
          <w:szCs w:val="24"/>
        </w:rPr>
        <w:t xml:space="preserve"> ages 1</w:t>
      </w:r>
      <w:r w:rsidRPr="006C3D9D" w:rsidR="002A7A2A">
        <w:rPr>
          <w:sz w:val="24"/>
          <w:szCs w:val="24"/>
        </w:rPr>
        <w:t>3</w:t>
      </w:r>
      <w:r w:rsidRPr="006C3D9D" w:rsidR="00824045">
        <w:rPr>
          <w:sz w:val="24"/>
          <w:szCs w:val="24"/>
        </w:rPr>
        <w:t xml:space="preserve"> to 17 </w:t>
      </w:r>
      <w:r w:rsidRPr="006C3D9D" w:rsidR="00C962C7">
        <w:rPr>
          <w:sz w:val="24"/>
          <w:szCs w:val="24"/>
        </w:rPr>
        <w:t xml:space="preserve">after implied </w:t>
      </w:r>
      <w:r w:rsidRPr="006C3D9D" w:rsidR="00824045">
        <w:rPr>
          <w:sz w:val="24"/>
          <w:szCs w:val="24"/>
        </w:rPr>
        <w:t>parental permission</w:t>
      </w:r>
      <w:r w:rsidRPr="006C3D9D" w:rsidR="00C962C7">
        <w:rPr>
          <w:sz w:val="24"/>
          <w:szCs w:val="24"/>
        </w:rPr>
        <w:t xml:space="preserve"> (e.g.</w:t>
      </w:r>
      <w:r w:rsidR="000D4DF1">
        <w:rPr>
          <w:sz w:val="24"/>
          <w:szCs w:val="24"/>
        </w:rPr>
        <w:t>,</w:t>
      </w:r>
      <w:r w:rsidRPr="006C3D9D" w:rsidR="00C962C7">
        <w:rPr>
          <w:sz w:val="24"/>
          <w:szCs w:val="24"/>
        </w:rPr>
        <w:t xml:space="preserve"> parent must forward invitation on to the youth)</w:t>
      </w:r>
      <w:r w:rsidRPr="006C3D9D" w:rsidR="00824045">
        <w:rPr>
          <w:sz w:val="24"/>
          <w:szCs w:val="24"/>
        </w:rPr>
        <w:t>.</w:t>
      </w:r>
      <w:r w:rsidRPr="006C3D9D" w:rsidR="006F7F7D">
        <w:rPr>
          <w:bCs/>
          <w:sz w:val="24"/>
          <w:szCs w:val="24"/>
        </w:rPr>
        <w:t xml:space="preserve"> </w:t>
      </w:r>
      <w:r w:rsidRPr="006C3D9D" w:rsidR="00905C59">
        <w:rPr>
          <w:sz w:val="24"/>
          <w:szCs w:val="24"/>
        </w:rPr>
        <w:t>E</w:t>
      </w:r>
      <w:r w:rsidRPr="006C3D9D" w:rsidR="00867E49">
        <w:rPr>
          <w:sz w:val="24"/>
          <w:szCs w:val="24"/>
        </w:rPr>
        <w:t>ligible youth who are 1</w:t>
      </w:r>
      <w:r w:rsidRPr="006C3D9D" w:rsidR="002A7A2A">
        <w:rPr>
          <w:sz w:val="24"/>
          <w:szCs w:val="24"/>
        </w:rPr>
        <w:t>3</w:t>
      </w:r>
      <w:r w:rsidRPr="006C3D9D" w:rsidR="00867E49">
        <w:rPr>
          <w:sz w:val="24"/>
          <w:szCs w:val="24"/>
        </w:rPr>
        <w:t xml:space="preserve"> to 17 years old </w:t>
      </w:r>
      <w:r w:rsidRPr="006C3D9D" w:rsidR="00C962C7">
        <w:rPr>
          <w:sz w:val="24"/>
          <w:szCs w:val="24"/>
        </w:rPr>
        <w:t xml:space="preserve">will </w:t>
      </w:r>
      <w:r w:rsidRPr="006C3D9D" w:rsidR="00867E49">
        <w:rPr>
          <w:sz w:val="24"/>
          <w:szCs w:val="24"/>
        </w:rPr>
        <w:t xml:space="preserve">encounter the assent language once they are routed to the survey. </w:t>
      </w:r>
      <w:r w:rsidRPr="006C3D9D" w:rsidR="00824045">
        <w:rPr>
          <w:bCs/>
          <w:sz w:val="24"/>
          <w:szCs w:val="24"/>
        </w:rPr>
        <w:t xml:space="preserve">We recognize that some of the behaviors we are asking about are not legal for some respondents (e.g., respondents under </w:t>
      </w:r>
      <w:r w:rsidRPr="006C3D9D" w:rsidR="00DE5C4E">
        <w:rPr>
          <w:bCs/>
          <w:sz w:val="24"/>
          <w:szCs w:val="24"/>
        </w:rPr>
        <w:t xml:space="preserve">21 </w:t>
      </w:r>
      <w:r w:rsidRPr="006C3D9D" w:rsidR="00824045">
        <w:rPr>
          <w:bCs/>
          <w:sz w:val="24"/>
          <w:szCs w:val="24"/>
        </w:rPr>
        <w:t xml:space="preserve">who use tobacco). </w:t>
      </w:r>
    </w:p>
    <w:p w:rsidRPr="006C3D9D" w:rsidR="00824045" w:rsidP="007E2AAC" w:rsidRDefault="00824045" w14:paraId="5719390C" w14:textId="4A1AB5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z w:val="24"/>
          <w:szCs w:val="24"/>
        </w:rPr>
      </w:pPr>
      <w:r w:rsidRPr="006C3D9D">
        <w:rPr>
          <w:bCs/>
          <w:sz w:val="24"/>
          <w:szCs w:val="24"/>
        </w:rPr>
        <w:t xml:space="preserve">The central purpose of this study, which is to provide FDA with </w:t>
      </w:r>
      <w:r w:rsidRPr="006C3D9D" w:rsidR="00C962C7">
        <w:rPr>
          <w:bCs/>
          <w:sz w:val="24"/>
          <w:szCs w:val="24"/>
        </w:rPr>
        <w:t xml:space="preserve">advertising tracking information as it relates to </w:t>
      </w:r>
      <w:r w:rsidRPr="006C3D9D" w:rsidR="002A7A2A">
        <w:rPr>
          <w:bCs/>
          <w:sz w:val="24"/>
          <w:szCs w:val="24"/>
        </w:rPr>
        <w:t xml:space="preserve">ENDS </w:t>
      </w:r>
      <w:r w:rsidRPr="006C3D9D">
        <w:rPr>
          <w:bCs/>
          <w:sz w:val="24"/>
          <w:szCs w:val="24"/>
        </w:rPr>
        <w:t>product use among youth, cannot be achieved without directly recruiting and surveying youth ages 1</w:t>
      </w:r>
      <w:r w:rsidRPr="006C3D9D" w:rsidR="002A7A2A">
        <w:rPr>
          <w:bCs/>
          <w:sz w:val="24"/>
          <w:szCs w:val="24"/>
        </w:rPr>
        <w:t>3</w:t>
      </w:r>
      <w:r w:rsidRPr="006C3D9D">
        <w:rPr>
          <w:bCs/>
          <w:sz w:val="24"/>
          <w:szCs w:val="24"/>
        </w:rPr>
        <w:t xml:space="preserve"> to 17. Since the surveys focus on perceptions and trends in </w:t>
      </w:r>
      <w:r w:rsidRPr="006C3D9D" w:rsidR="006D0FFE">
        <w:rPr>
          <w:bCs/>
          <w:sz w:val="24"/>
          <w:szCs w:val="24"/>
        </w:rPr>
        <w:t>tobacco use,</w:t>
      </w:r>
      <w:r w:rsidRPr="006C3D9D" w:rsidR="00C67F80">
        <w:rPr>
          <w:bCs/>
          <w:sz w:val="24"/>
          <w:szCs w:val="24"/>
        </w:rPr>
        <w:t xml:space="preserve"> </w:t>
      </w:r>
      <w:r w:rsidRPr="006C3D9D">
        <w:rPr>
          <w:bCs/>
          <w:sz w:val="24"/>
          <w:szCs w:val="24"/>
        </w:rPr>
        <w:t>it is anticipated that the parents of some eligible participants would refuse to grant permission for their child to participate. Further, the youth may not answer questions accurately if they feel their parents are somehow observing or approving their participation and requiring parental permission would likely yield a lower response rate and impede the ability to carry out this study</w:t>
      </w:r>
      <w:r w:rsidRPr="006C3D9D" w:rsidR="000E33FA">
        <w:rPr>
          <w:bCs/>
          <w:sz w:val="24"/>
          <w:szCs w:val="24"/>
        </w:rPr>
        <w:t>.</w:t>
      </w:r>
      <w:r w:rsidRPr="006C3D9D" w:rsidR="00627C8D">
        <w:rPr>
          <w:bCs/>
          <w:sz w:val="24"/>
          <w:szCs w:val="24"/>
        </w:rPr>
        <w:t xml:space="preserve"> </w:t>
      </w:r>
      <w:r w:rsidRPr="006C3D9D" w:rsidR="00627C8D">
        <w:rPr>
          <w:rFonts w:eastAsiaTheme="minorHAnsi"/>
          <w:sz w:val="24"/>
          <w:szCs w:val="24"/>
        </w:rPr>
        <w:t xml:space="preserve">Because obtaining active parental permission for at-risk youth will result in a sample with different characteristics than the target group, a parental opt-out approach is being requested for all potential youth participants (see </w:t>
      </w:r>
      <w:r w:rsidRPr="006C3D9D" w:rsidR="00252A7F">
        <w:rPr>
          <w:rFonts w:eastAsiaTheme="minorHAnsi"/>
          <w:b/>
          <w:bCs/>
          <w:sz w:val="24"/>
          <w:szCs w:val="24"/>
        </w:rPr>
        <w:t xml:space="preserve">Appendix </w:t>
      </w:r>
      <w:r w:rsidRPr="006C3D9D" w:rsidR="00EC6939">
        <w:rPr>
          <w:rFonts w:eastAsiaTheme="minorHAnsi"/>
          <w:b/>
          <w:bCs/>
          <w:sz w:val="24"/>
          <w:szCs w:val="24"/>
        </w:rPr>
        <w:t>B</w:t>
      </w:r>
      <w:r w:rsidRPr="006C3D9D" w:rsidR="00C96271">
        <w:rPr>
          <w:rFonts w:eastAsiaTheme="minorHAnsi"/>
          <w:b/>
          <w:bCs/>
          <w:sz w:val="24"/>
          <w:szCs w:val="24"/>
        </w:rPr>
        <w:t>).</w:t>
      </w:r>
      <w:r w:rsidRPr="006C3D9D" w:rsidR="00627C8D">
        <w:rPr>
          <w:rFonts w:eastAsiaTheme="minorHAnsi"/>
          <w:sz w:val="24"/>
          <w:szCs w:val="24"/>
        </w:rPr>
        <w:t xml:space="preserve"> </w:t>
      </w:r>
      <w:r w:rsidRPr="006C3D9D" w:rsidR="005772C6">
        <w:rPr>
          <w:bCs/>
          <w:sz w:val="24"/>
          <w:szCs w:val="24"/>
        </w:rPr>
        <w:t xml:space="preserve">The youth participants’ responses will not be linked to their names or email addresses. </w:t>
      </w:r>
      <w:r w:rsidRPr="006C3D9D" w:rsidR="00DE5C4E">
        <w:rPr>
          <w:sz w:val="24"/>
          <w:szCs w:val="24"/>
        </w:rPr>
        <w:t xml:space="preserve">KDH Research &amp; Communication IRB </w:t>
      </w:r>
      <w:r w:rsidRPr="006C3D9D" w:rsidR="000E33FA">
        <w:rPr>
          <w:bCs/>
          <w:sz w:val="24"/>
          <w:szCs w:val="24"/>
        </w:rPr>
        <w:t xml:space="preserve">allowed us to </w:t>
      </w:r>
      <w:r w:rsidRPr="006C3D9D" w:rsidR="000C0C74">
        <w:rPr>
          <w:bCs/>
          <w:sz w:val="24"/>
          <w:szCs w:val="24"/>
        </w:rPr>
        <w:t xml:space="preserve">forgo obtaining written parental permission </w:t>
      </w:r>
      <w:r w:rsidRPr="006C3D9D" w:rsidR="000E33FA">
        <w:rPr>
          <w:bCs/>
          <w:sz w:val="24"/>
          <w:szCs w:val="24"/>
        </w:rPr>
        <w:t>based on the nature of this study</w:t>
      </w:r>
      <w:r w:rsidRPr="006C3D9D" w:rsidR="005772C6">
        <w:rPr>
          <w:bCs/>
          <w:sz w:val="24"/>
          <w:szCs w:val="24"/>
        </w:rPr>
        <w:t>, the lack of linkage between youth respondents</w:t>
      </w:r>
      <w:r w:rsidRPr="006C3D9D" w:rsidR="00211628">
        <w:rPr>
          <w:bCs/>
          <w:sz w:val="24"/>
          <w:szCs w:val="24"/>
        </w:rPr>
        <w:t>’</w:t>
      </w:r>
      <w:r w:rsidRPr="006C3D9D" w:rsidR="005772C6">
        <w:rPr>
          <w:bCs/>
          <w:sz w:val="24"/>
          <w:szCs w:val="24"/>
        </w:rPr>
        <w:t xml:space="preserve"> answers to the online survey and their name</w:t>
      </w:r>
      <w:r w:rsidRPr="006C3D9D" w:rsidR="00211628">
        <w:rPr>
          <w:bCs/>
          <w:sz w:val="24"/>
          <w:szCs w:val="24"/>
        </w:rPr>
        <w:t>s</w:t>
      </w:r>
      <w:r w:rsidRPr="006C3D9D" w:rsidR="00027455">
        <w:rPr>
          <w:bCs/>
          <w:sz w:val="24"/>
          <w:szCs w:val="24"/>
        </w:rPr>
        <w:t>,</w:t>
      </w:r>
      <w:r w:rsidRPr="006C3D9D" w:rsidR="005772C6">
        <w:rPr>
          <w:bCs/>
          <w:sz w:val="24"/>
          <w:szCs w:val="24"/>
        </w:rPr>
        <w:t xml:space="preserve"> as well as the need for accurate and truthful responses from this population.</w:t>
      </w:r>
    </w:p>
    <w:p w:rsidRPr="006C3D9D" w:rsidR="00824045" w:rsidP="00824045" w:rsidRDefault="00824045" w14:paraId="4429CCE3" w14:textId="77777777">
      <w:pPr>
        <w:rPr>
          <w:bCs/>
          <w:sz w:val="24"/>
          <w:szCs w:val="24"/>
        </w:rPr>
      </w:pPr>
    </w:p>
    <w:p w:rsidRPr="006C3D9D" w:rsidR="00867E49" w:rsidP="006E71B8" w:rsidRDefault="00824045" w14:paraId="05C4D07C" w14:textId="3752A8B9">
      <w:pPr>
        <w:rPr>
          <w:sz w:val="24"/>
          <w:szCs w:val="24"/>
        </w:rPr>
      </w:pPr>
      <w:r w:rsidRPr="006C3D9D">
        <w:rPr>
          <w:sz w:val="24"/>
          <w:szCs w:val="24"/>
        </w:rPr>
        <w:t>Consistent with the Federal Children’s Online Privacy Protection Act (COPPA), we will screen out youth under the age of 1</w:t>
      </w:r>
      <w:r w:rsidRPr="006C3D9D" w:rsidR="0031469B">
        <w:rPr>
          <w:sz w:val="24"/>
          <w:szCs w:val="24"/>
        </w:rPr>
        <w:t>3</w:t>
      </w:r>
      <w:r w:rsidRPr="006C3D9D">
        <w:rPr>
          <w:sz w:val="24"/>
          <w:szCs w:val="24"/>
        </w:rPr>
        <w:t xml:space="preserve">. </w:t>
      </w:r>
      <w:r w:rsidRPr="006C3D9D" w:rsidR="00867E49">
        <w:rPr>
          <w:sz w:val="24"/>
          <w:szCs w:val="24"/>
        </w:rPr>
        <w:t>This study poses only a minimal risk to participants and would not adversely affect their rights or welfare in any foreseeable way.</w:t>
      </w:r>
    </w:p>
    <w:p w:rsidRPr="006C3D9D" w:rsidR="006E71B8" w:rsidP="006E71B8" w:rsidRDefault="006E71B8" w14:paraId="189A7904" w14:textId="77777777">
      <w:pPr>
        <w:pStyle w:val="bodytextpsg"/>
        <w:spacing w:before="0" w:after="0"/>
        <w:ind w:firstLine="0"/>
        <w:rPr>
          <w:bCs/>
          <w:iCs/>
          <w:sz w:val="24"/>
          <w:szCs w:val="24"/>
        </w:rPr>
      </w:pPr>
    </w:p>
    <w:p w:rsidRPr="006C3D9D" w:rsidR="00824045" w:rsidP="006E71B8" w:rsidRDefault="00824045" w14:paraId="01D432CB" w14:textId="77777777">
      <w:pPr>
        <w:pStyle w:val="bodytextpsg"/>
        <w:spacing w:before="0" w:after="0"/>
        <w:ind w:firstLine="0"/>
        <w:rPr>
          <w:b/>
          <w:bCs/>
          <w:i/>
          <w:iCs/>
          <w:sz w:val="24"/>
          <w:szCs w:val="24"/>
        </w:rPr>
      </w:pPr>
    </w:p>
    <w:p w:rsidR="00EB2E43" w:rsidP="006E71B8" w:rsidRDefault="00EB2E43" w14:paraId="7EB222F9" w14:textId="77777777">
      <w:pPr>
        <w:pStyle w:val="bodytextpsg"/>
        <w:spacing w:before="0" w:after="0"/>
        <w:ind w:firstLine="0"/>
        <w:rPr>
          <w:b/>
          <w:bCs/>
          <w:i/>
          <w:iCs/>
          <w:sz w:val="24"/>
          <w:szCs w:val="24"/>
        </w:rPr>
      </w:pPr>
    </w:p>
    <w:p w:rsidR="00EB2E43" w:rsidP="006E71B8" w:rsidRDefault="00EB2E43" w14:paraId="4FBF81A8" w14:textId="77777777">
      <w:pPr>
        <w:pStyle w:val="bodytextpsg"/>
        <w:spacing w:before="0" w:after="0"/>
        <w:ind w:firstLine="0"/>
        <w:rPr>
          <w:b/>
          <w:bCs/>
          <w:i/>
          <w:iCs/>
          <w:sz w:val="24"/>
          <w:szCs w:val="24"/>
        </w:rPr>
      </w:pPr>
    </w:p>
    <w:p w:rsidR="00EB2E43" w:rsidP="006E71B8" w:rsidRDefault="00EB2E43" w14:paraId="59F1E566" w14:textId="77777777">
      <w:pPr>
        <w:pStyle w:val="bodytextpsg"/>
        <w:spacing w:before="0" w:after="0"/>
        <w:ind w:firstLine="0"/>
        <w:rPr>
          <w:b/>
          <w:bCs/>
          <w:i/>
          <w:iCs/>
          <w:sz w:val="24"/>
          <w:szCs w:val="24"/>
        </w:rPr>
      </w:pPr>
    </w:p>
    <w:p w:rsidR="00EB2E43" w:rsidP="006E71B8" w:rsidRDefault="00EB2E43" w14:paraId="357F06A4" w14:textId="77777777">
      <w:pPr>
        <w:pStyle w:val="bodytextpsg"/>
        <w:spacing w:before="0" w:after="0"/>
        <w:ind w:firstLine="0"/>
        <w:rPr>
          <w:b/>
          <w:bCs/>
          <w:i/>
          <w:iCs/>
          <w:sz w:val="24"/>
          <w:szCs w:val="24"/>
        </w:rPr>
      </w:pPr>
    </w:p>
    <w:p w:rsidRPr="006C3D9D" w:rsidR="006E71B8" w:rsidP="006E71B8" w:rsidRDefault="006E71B8" w14:paraId="79213D0E" w14:textId="2FFA6EF2">
      <w:pPr>
        <w:pStyle w:val="bodytextpsg"/>
        <w:spacing w:before="0" w:after="0"/>
        <w:ind w:firstLine="0"/>
        <w:rPr>
          <w:b/>
          <w:bCs/>
          <w:i/>
          <w:iCs/>
          <w:sz w:val="24"/>
          <w:szCs w:val="24"/>
        </w:rPr>
      </w:pPr>
      <w:r w:rsidRPr="006C3D9D">
        <w:rPr>
          <w:b/>
          <w:bCs/>
          <w:i/>
          <w:iCs/>
          <w:sz w:val="24"/>
          <w:szCs w:val="24"/>
        </w:rPr>
        <w:lastRenderedPageBreak/>
        <w:t xml:space="preserve">Summary of Protocol </w:t>
      </w:r>
    </w:p>
    <w:p w:rsidRPr="006C3D9D" w:rsidR="006E71B8" w:rsidP="006E71B8" w:rsidRDefault="006E71B8" w14:paraId="0B30418B" w14:textId="48F6F649">
      <w:pPr>
        <w:rPr>
          <w:sz w:val="24"/>
          <w:szCs w:val="24"/>
        </w:rPr>
      </w:pPr>
      <w:r w:rsidRPr="006C3D9D">
        <w:rPr>
          <w:sz w:val="24"/>
          <w:szCs w:val="24"/>
        </w:rPr>
        <w:t>The list of study procedures is as follows:</w:t>
      </w:r>
    </w:p>
    <w:p w:rsidRPr="006C3D9D" w:rsidR="006E71B8" w:rsidP="006E71B8" w:rsidRDefault="006E71B8" w14:paraId="554F23EC" w14:textId="77777777">
      <w:pPr>
        <w:rPr>
          <w:sz w:val="24"/>
          <w:szCs w:val="24"/>
        </w:rPr>
      </w:pPr>
    </w:p>
    <w:p w:rsidRPr="006C3D9D" w:rsidR="006E71B8" w:rsidP="006E71B8" w:rsidRDefault="00DE5C4E" w14:paraId="5821F7F0" w14:textId="27F9892D">
      <w:pPr>
        <w:rPr>
          <w:b/>
          <w:sz w:val="24"/>
          <w:szCs w:val="24"/>
          <w:u w:val="single"/>
        </w:rPr>
      </w:pPr>
      <w:r w:rsidRPr="006C3D9D">
        <w:rPr>
          <w:b/>
          <w:sz w:val="24"/>
          <w:szCs w:val="24"/>
          <w:u w:val="single"/>
        </w:rPr>
        <w:t>Tracking</w:t>
      </w:r>
      <w:r w:rsidRPr="006C3D9D" w:rsidR="004362A3">
        <w:rPr>
          <w:b/>
          <w:sz w:val="24"/>
          <w:szCs w:val="24"/>
          <w:u w:val="single"/>
        </w:rPr>
        <w:t xml:space="preserve"> Study</w:t>
      </w:r>
      <w:r w:rsidRPr="006C3D9D" w:rsidR="006E71B8">
        <w:rPr>
          <w:b/>
          <w:sz w:val="24"/>
          <w:szCs w:val="24"/>
          <w:u w:val="single"/>
        </w:rPr>
        <w:t xml:space="preserve"> participants recruited through </w:t>
      </w:r>
      <w:r w:rsidRPr="006C3D9D">
        <w:rPr>
          <w:b/>
          <w:sz w:val="24"/>
          <w:szCs w:val="24"/>
          <w:u w:val="single"/>
        </w:rPr>
        <w:t xml:space="preserve">online panel </w:t>
      </w:r>
    </w:p>
    <w:p w:rsidRPr="006C3D9D" w:rsidR="00D46341" w:rsidP="006E71B8" w:rsidRDefault="00D46341" w14:paraId="065571EE" w14:textId="77777777">
      <w:pPr>
        <w:rPr>
          <w:b/>
          <w:sz w:val="24"/>
          <w:szCs w:val="24"/>
          <w:u w:val="single"/>
        </w:rPr>
      </w:pPr>
    </w:p>
    <w:p w:rsidRPr="006C3D9D" w:rsidR="00D46341" w:rsidP="006E71B8" w:rsidRDefault="00E36B84" w14:paraId="33F12CB8" w14:textId="3E36CDDC">
      <w:pPr>
        <w:rPr>
          <w:b/>
          <w:sz w:val="24"/>
          <w:szCs w:val="24"/>
        </w:rPr>
      </w:pPr>
      <w:r w:rsidRPr="006C3D9D">
        <w:rPr>
          <w:b/>
          <w:sz w:val="24"/>
          <w:szCs w:val="24"/>
        </w:rPr>
        <w:t>Y</w:t>
      </w:r>
      <w:r w:rsidRPr="006C3D9D" w:rsidR="00D46341">
        <w:rPr>
          <w:b/>
          <w:sz w:val="24"/>
          <w:szCs w:val="24"/>
        </w:rPr>
        <w:t>outh (13-17)</w:t>
      </w:r>
    </w:p>
    <w:p w:rsidRPr="006C3D9D" w:rsidR="006F7F7D" w:rsidRDefault="00A1623B" w14:paraId="3D9D7BA6" w14:textId="2B1041D7">
      <w:pPr>
        <w:numPr>
          <w:ilvl w:val="0"/>
          <w:numId w:val="1"/>
        </w:numPr>
        <w:rPr>
          <w:sz w:val="24"/>
          <w:szCs w:val="24"/>
        </w:rPr>
      </w:pPr>
      <w:r w:rsidRPr="006C3D9D">
        <w:rPr>
          <w:rFonts w:eastAsiaTheme="minorHAnsi"/>
          <w:sz w:val="24"/>
          <w:szCs w:val="24"/>
        </w:rPr>
        <w:t>This study will recruit youth participants through an online panel</w:t>
      </w:r>
      <w:r w:rsidRPr="006C3D9D" w:rsidR="00DE5C4E">
        <w:rPr>
          <w:rFonts w:eastAsiaTheme="minorHAnsi"/>
          <w:sz w:val="24"/>
          <w:szCs w:val="24"/>
        </w:rPr>
        <w:t xml:space="preserve"> (</w:t>
      </w:r>
      <w:r w:rsidRPr="006C3D9D" w:rsidR="00AB6581">
        <w:rPr>
          <w:rFonts w:eastAsiaTheme="minorHAnsi"/>
          <w:sz w:val="24"/>
          <w:szCs w:val="24"/>
        </w:rPr>
        <w:t xml:space="preserve">via </w:t>
      </w:r>
      <w:r w:rsidRPr="006C3D9D" w:rsidR="00DE5C4E">
        <w:rPr>
          <w:rFonts w:eastAsiaTheme="minorHAnsi"/>
          <w:sz w:val="24"/>
          <w:szCs w:val="24"/>
        </w:rPr>
        <w:t>Marketing Workshop)</w:t>
      </w:r>
      <w:r w:rsidRPr="006C3D9D">
        <w:rPr>
          <w:sz w:val="24"/>
          <w:szCs w:val="24"/>
        </w:rPr>
        <w:t xml:space="preserve">. </w:t>
      </w:r>
      <w:bookmarkStart w:name="_Hlk55986322" w:id="2"/>
      <w:r w:rsidRPr="006C3D9D">
        <w:rPr>
          <w:sz w:val="24"/>
          <w:szCs w:val="24"/>
        </w:rPr>
        <w:t xml:space="preserve">The online panel provider may use social media platforms to recruit additional participants as needed to augment their existing panels. </w:t>
      </w:r>
      <w:bookmarkEnd w:id="2"/>
    </w:p>
    <w:p w:rsidRPr="006C3D9D" w:rsidR="002448F2" w:rsidP="002448F2" w:rsidRDefault="002448F2" w14:paraId="4B931370" w14:textId="77777777">
      <w:pPr>
        <w:numPr>
          <w:ilvl w:val="0"/>
          <w:numId w:val="1"/>
        </w:numPr>
        <w:rPr>
          <w:sz w:val="24"/>
          <w:szCs w:val="24"/>
        </w:rPr>
      </w:pPr>
      <w:r w:rsidRPr="006C3D9D">
        <w:rPr>
          <w:sz w:val="24"/>
          <w:szCs w:val="24"/>
        </w:rPr>
        <w:t>Parents will receive an initial email informing them of the study and opportunity for their child(ren) to participate. The email invitation will also include a link that details the purpose of the study. After reading this invitation, the parent has three options:</w:t>
      </w:r>
      <w:r w:rsidRPr="006C3D9D" w:rsidDel="006D6429">
        <w:rPr>
          <w:sz w:val="24"/>
          <w:szCs w:val="24"/>
        </w:rPr>
        <w:t xml:space="preserve"> </w:t>
      </w:r>
    </w:p>
    <w:p w:rsidRPr="006C3D9D" w:rsidR="006D6429" w:rsidP="006D6429" w:rsidRDefault="006D6429" w14:paraId="1EFB6488" w14:textId="1E800574">
      <w:pPr>
        <w:numPr>
          <w:ilvl w:val="2"/>
          <w:numId w:val="1"/>
        </w:numPr>
        <w:rPr>
          <w:sz w:val="24"/>
          <w:szCs w:val="24"/>
        </w:rPr>
      </w:pPr>
      <w:r w:rsidRPr="006C3D9D">
        <w:rPr>
          <w:sz w:val="24"/>
          <w:szCs w:val="24"/>
        </w:rPr>
        <w:t>If the parent determines that they would like their child to participate in this particular study, they will be asked to forward the study link to their child, thereby actively opting in and providing permission for their child to participate in the study</w:t>
      </w:r>
    </w:p>
    <w:p w:rsidRPr="006C3D9D" w:rsidR="006D6429" w:rsidP="006D6429" w:rsidRDefault="006D6429" w14:paraId="305DF767" w14:textId="2D91AE79">
      <w:pPr>
        <w:numPr>
          <w:ilvl w:val="2"/>
          <w:numId w:val="1"/>
        </w:numPr>
        <w:rPr>
          <w:sz w:val="24"/>
          <w:szCs w:val="24"/>
        </w:rPr>
      </w:pPr>
      <w:r w:rsidRPr="006C3D9D">
        <w:rPr>
          <w:sz w:val="24"/>
          <w:szCs w:val="24"/>
        </w:rPr>
        <w:t>The parent can do nothing, in which case the invitation dies in place and that parent’s child never receives information about the study.</w:t>
      </w:r>
    </w:p>
    <w:p w:rsidRPr="006C3D9D" w:rsidR="006D6429" w:rsidP="006D6429" w:rsidRDefault="006D6429" w14:paraId="48DF17F2" w14:textId="65EAF821">
      <w:pPr>
        <w:numPr>
          <w:ilvl w:val="2"/>
          <w:numId w:val="1"/>
        </w:numPr>
        <w:rPr>
          <w:sz w:val="24"/>
          <w:szCs w:val="24"/>
        </w:rPr>
      </w:pPr>
      <w:r w:rsidRPr="006C3D9D">
        <w:rPr>
          <w:sz w:val="24"/>
          <w:szCs w:val="24"/>
        </w:rPr>
        <w:t xml:space="preserve">If the parent does not want their child to participate in the study, they can use instructions in the </w:t>
      </w:r>
      <w:r w:rsidRPr="006C3D9D" w:rsidR="00CF4846">
        <w:rPr>
          <w:sz w:val="24"/>
          <w:szCs w:val="24"/>
        </w:rPr>
        <w:t>o</w:t>
      </w:r>
      <w:r w:rsidRPr="006C3D9D">
        <w:rPr>
          <w:sz w:val="24"/>
          <w:szCs w:val="24"/>
        </w:rPr>
        <w:t xml:space="preserve">pt-out </w:t>
      </w:r>
      <w:r w:rsidRPr="006C3D9D" w:rsidR="00CF4846">
        <w:rPr>
          <w:sz w:val="24"/>
          <w:szCs w:val="24"/>
        </w:rPr>
        <w:t>f</w:t>
      </w:r>
      <w:r w:rsidRPr="006C3D9D">
        <w:rPr>
          <w:sz w:val="24"/>
          <w:szCs w:val="24"/>
        </w:rPr>
        <w:t>orm included in the email to indicate this. Parent reminders to participate will cease if the parent opts-out.</w:t>
      </w:r>
    </w:p>
    <w:p w:rsidRPr="006C3D9D" w:rsidR="006D6429" w:rsidRDefault="006D6429" w14:paraId="238738A1" w14:textId="4481939F">
      <w:pPr>
        <w:numPr>
          <w:ilvl w:val="0"/>
          <w:numId w:val="1"/>
        </w:numPr>
        <w:rPr>
          <w:sz w:val="24"/>
          <w:szCs w:val="24"/>
        </w:rPr>
      </w:pPr>
      <w:r w:rsidRPr="006C3D9D">
        <w:rPr>
          <w:sz w:val="24"/>
          <w:szCs w:val="24"/>
        </w:rPr>
        <w:t xml:space="preserve">Reminders are sent to all invitees who have not responded 48 hours after initial invitation. If an invitee does not respond after the reminder is sent, they are considered not available and are not re-approached. </w:t>
      </w:r>
    </w:p>
    <w:p w:rsidRPr="006C3D9D" w:rsidR="006D6429" w:rsidRDefault="006D6429" w14:paraId="45C48769" w14:textId="62D1FD09">
      <w:pPr>
        <w:numPr>
          <w:ilvl w:val="0"/>
          <w:numId w:val="1"/>
        </w:numPr>
        <w:rPr>
          <w:sz w:val="24"/>
          <w:szCs w:val="24"/>
        </w:rPr>
      </w:pPr>
      <w:r w:rsidRPr="006C3D9D">
        <w:rPr>
          <w:sz w:val="24"/>
          <w:szCs w:val="24"/>
        </w:rPr>
        <w:t xml:space="preserve">From the email forwarded by their parents, youth will access the study link that details the purpose of the study and includes study materials </w:t>
      </w:r>
      <w:r w:rsidRPr="006C3D9D" w:rsidR="001405D0">
        <w:rPr>
          <w:sz w:val="24"/>
          <w:szCs w:val="24"/>
        </w:rPr>
        <w:t>(</w:t>
      </w:r>
      <w:r w:rsidRPr="006C3D9D">
        <w:rPr>
          <w:sz w:val="24"/>
          <w:szCs w:val="24"/>
        </w:rPr>
        <w:t xml:space="preserve">i.e. the online </w:t>
      </w:r>
      <w:r w:rsidRPr="006C3D9D" w:rsidR="00CF4846">
        <w:rPr>
          <w:sz w:val="24"/>
          <w:szCs w:val="24"/>
        </w:rPr>
        <w:t>s</w:t>
      </w:r>
      <w:r w:rsidRPr="006C3D9D">
        <w:rPr>
          <w:sz w:val="24"/>
          <w:szCs w:val="24"/>
        </w:rPr>
        <w:t xml:space="preserve">creener, </w:t>
      </w:r>
      <w:r w:rsidRPr="006C3D9D" w:rsidR="00CF4846">
        <w:rPr>
          <w:sz w:val="24"/>
          <w:szCs w:val="24"/>
        </w:rPr>
        <w:t>a</w:t>
      </w:r>
      <w:r w:rsidRPr="006C3D9D">
        <w:rPr>
          <w:sz w:val="24"/>
          <w:szCs w:val="24"/>
        </w:rPr>
        <w:t xml:space="preserve">ssent </w:t>
      </w:r>
      <w:r w:rsidRPr="006C3D9D" w:rsidR="00CF4846">
        <w:rPr>
          <w:sz w:val="24"/>
          <w:szCs w:val="24"/>
        </w:rPr>
        <w:t>f</w:t>
      </w:r>
      <w:r w:rsidRPr="006C3D9D">
        <w:rPr>
          <w:sz w:val="24"/>
          <w:szCs w:val="24"/>
        </w:rPr>
        <w:t xml:space="preserve">orm and </w:t>
      </w:r>
      <w:r w:rsidRPr="006C3D9D" w:rsidR="00CF4846">
        <w:rPr>
          <w:sz w:val="24"/>
          <w:szCs w:val="24"/>
        </w:rPr>
        <w:t>s</w:t>
      </w:r>
      <w:r w:rsidRPr="006C3D9D">
        <w:rPr>
          <w:sz w:val="24"/>
          <w:szCs w:val="24"/>
        </w:rPr>
        <w:t>urvey</w:t>
      </w:r>
      <w:r w:rsidRPr="006C3D9D" w:rsidR="001405D0">
        <w:rPr>
          <w:sz w:val="24"/>
          <w:szCs w:val="24"/>
        </w:rPr>
        <w:t>).</w:t>
      </w:r>
    </w:p>
    <w:p w:rsidRPr="006C3D9D" w:rsidR="00005E95" w:rsidRDefault="00005E95" w14:paraId="67D76AB7" w14:textId="20EBCD8B">
      <w:pPr>
        <w:numPr>
          <w:ilvl w:val="0"/>
          <w:numId w:val="1"/>
        </w:numPr>
        <w:rPr>
          <w:sz w:val="24"/>
          <w:szCs w:val="24"/>
        </w:rPr>
      </w:pPr>
      <w:r w:rsidRPr="006C3D9D">
        <w:rPr>
          <w:sz w:val="24"/>
          <w:szCs w:val="24"/>
        </w:rPr>
        <w:t>Youth participants will complete a screener,</w:t>
      </w:r>
      <w:r w:rsidRPr="006C3D9D" w:rsidR="001B6959">
        <w:rPr>
          <w:sz w:val="24"/>
          <w:szCs w:val="24"/>
        </w:rPr>
        <w:t xml:space="preserve"> which is</w:t>
      </w:r>
      <w:r w:rsidRPr="006C3D9D">
        <w:rPr>
          <w:sz w:val="24"/>
          <w:szCs w:val="24"/>
        </w:rPr>
        <w:t xml:space="preserve"> a list of questions to determine eligibility. Responses to the screening questions determine eligibility</w:t>
      </w:r>
      <w:r w:rsidRPr="006C3D9D" w:rsidR="001B6959">
        <w:rPr>
          <w:sz w:val="24"/>
          <w:szCs w:val="24"/>
        </w:rPr>
        <w:t xml:space="preserve"> to complete the full survey</w:t>
      </w:r>
      <w:r w:rsidRPr="006C3D9D">
        <w:rPr>
          <w:sz w:val="24"/>
          <w:szCs w:val="24"/>
        </w:rPr>
        <w:t xml:space="preserve">. Once determined eligible, the participant is then presented an </w:t>
      </w:r>
      <w:r w:rsidRPr="006C3D9D" w:rsidR="00CF4846">
        <w:rPr>
          <w:sz w:val="24"/>
          <w:szCs w:val="24"/>
        </w:rPr>
        <w:t>a</w:t>
      </w:r>
      <w:r w:rsidRPr="006C3D9D">
        <w:rPr>
          <w:sz w:val="24"/>
          <w:szCs w:val="24"/>
        </w:rPr>
        <w:t xml:space="preserve">ssent </w:t>
      </w:r>
      <w:r w:rsidRPr="006C3D9D" w:rsidR="00CF4846">
        <w:rPr>
          <w:sz w:val="24"/>
          <w:szCs w:val="24"/>
        </w:rPr>
        <w:t>f</w:t>
      </w:r>
      <w:r w:rsidRPr="006C3D9D">
        <w:rPr>
          <w:sz w:val="24"/>
          <w:szCs w:val="24"/>
        </w:rPr>
        <w:t xml:space="preserve">orm that must be completed prior to having access to and completing the survey. </w:t>
      </w:r>
    </w:p>
    <w:p w:rsidRPr="006C3D9D" w:rsidR="00005E95" w:rsidP="00005E95" w:rsidRDefault="00005E95" w14:paraId="4E25D176" w14:textId="56F7CA51">
      <w:pPr>
        <w:numPr>
          <w:ilvl w:val="0"/>
          <w:numId w:val="1"/>
        </w:numPr>
        <w:rPr>
          <w:sz w:val="24"/>
          <w:szCs w:val="24"/>
        </w:rPr>
      </w:pPr>
      <w:r w:rsidRPr="006C3D9D">
        <w:rPr>
          <w:sz w:val="24"/>
          <w:szCs w:val="24"/>
        </w:rPr>
        <w:t xml:space="preserve">Following completion of the </w:t>
      </w:r>
      <w:r w:rsidRPr="006C3D9D" w:rsidR="00CF4846">
        <w:rPr>
          <w:sz w:val="24"/>
          <w:szCs w:val="24"/>
        </w:rPr>
        <w:t>a</w:t>
      </w:r>
      <w:r w:rsidRPr="006C3D9D">
        <w:rPr>
          <w:sz w:val="24"/>
          <w:szCs w:val="24"/>
        </w:rPr>
        <w:t xml:space="preserve">ssent </w:t>
      </w:r>
      <w:r w:rsidRPr="006C3D9D" w:rsidR="00CF4846">
        <w:rPr>
          <w:sz w:val="24"/>
          <w:szCs w:val="24"/>
        </w:rPr>
        <w:t>f</w:t>
      </w:r>
      <w:r w:rsidRPr="006C3D9D">
        <w:rPr>
          <w:sz w:val="24"/>
          <w:szCs w:val="24"/>
        </w:rPr>
        <w:t xml:space="preserve">orm, the survey will be presented for the participants to complete. </w:t>
      </w:r>
    </w:p>
    <w:p w:rsidRPr="006C3D9D" w:rsidR="001B6959" w:rsidP="00005E95" w:rsidRDefault="001B6959" w14:paraId="12FA36EC" w14:textId="09EF2443">
      <w:pPr>
        <w:numPr>
          <w:ilvl w:val="0"/>
          <w:numId w:val="1"/>
        </w:numPr>
        <w:rPr>
          <w:sz w:val="24"/>
          <w:szCs w:val="24"/>
        </w:rPr>
      </w:pPr>
      <w:r w:rsidRPr="006C3D9D">
        <w:rPr>
          <w:sz w:val="24"/>
          <w:szCs w:val="24"/>
        </w:rPr>
        <w:t xml:space="preserve">After completing the survey, the participant will be </w:t>
      </w:r>
      <w:r w:rsidRPr="006C3D9D" w:rsidR="00AB6581">
        <w:rPr>
          <w:sz w:val="24"/>
          <w:szCs w:val="24"/>
        </w:rPr>
        <w:t>thanked,</w:t>
      </w:r>
      <w:r w:rsidRPr="006C3D9D">
        <w:rPr>
          <w:sz w:val="24"/>
          <w:szCs w:val="24"/>
        </w:rPr>
        <w:t xml:space="preserve"> and participation will end.</w:t>
      </w:r>
    </w:p>
    <w:p w:rsidRPr="006C3D9D" w:rsidR="00005E95" w:rsidP="007E2AAC" w:rsidRDefault="00005E95" w14:paraId="2C528C0D" w14:textId="77777777">
      <w:pPr>
        <w:ind w:left="1440"/>
        <w:rPr>
          <w:sz w:val="24"/>
          <w:szCs w:val="24"/>
        </w:rPr>
      </w:pPr>
    </w:p>
    <w:p w:rsidRPr="006C3D9D" w:rsidR="00005E95" w:rsidP="007E2AAC" w:rsidRDefault="00931662" w14:paraId="742A0DEF" w14:textId="4CFC0CC5">
      <w:pPr>
        <w:rPr>
          <w:sz w:val="24"/>
          <w:szCs w:val="24"/>
        </w:rPr>
      </w:pPr>
      <w:r w:rsidRPr="006C3D9D">
        <w:rPr>
          <w:b/>
          <w:bCs/>
          <w:sz w:val="24"/>
          <w:szCs w:val="24"/>
        </w:rPr>
        <w:t>Tokens of Appreciation</w:t>
      </w:r>
    </w:p>
    <w:p w:rsidR="006818D4" w:rsidP="006818D4" w:rsidRDefault="006818D4" w14:paraId="293E6F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bCs/>
          <w:sz w:val="24"/>
          <w:szCs w:val="24"/>
        </w:rPr>
      </w:pPr>
    </w:p>
    <w:p w:rsidRPr="006818D4" w:rsidR="00101043" w:rsidP="006818D4" w:rsidRDefault="00101043" w14:paraId="0E2F0E5D" w14:textId="7C74D5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r w:rsidRPr="006818D4">
        <w:rPr>
          <w:bCs/>
          <w:sz w:val="24"/>
          <w:szCs w:val="24"/>
        </w:rPr>
        <w:t xml:space="preserve">As a token of appreciation, participants recruited who complete and submit the survey will receive </w:t>
      </w:r>
      <w:bookmarkStart w:name="_Hlk55998010" w:id="3"/>
      <w:r w:rsidRPr="006818D4">
        <w:rPr>
          <w:bCs/>
          <w:sz w:val="24"/>
          <w:szCs w:val="24"/>
        </w:rPr>
        <w:t xml:space="preserve">a Visa gift </w:t>
      </w:r>
      <w:bookmarkEnd w:id="3"/>
      <w:r w:rsidRPr="006818D4">
        <w:rPr>
          <w:bCs/>
          <w:sz w:val="24"/>
          <w:szCs w:val="24"/>
        </w:rPr>
        <w:t xml:space="preserve">card worth </w:t>
      </w:r>
      <w:bookmarkStart w:name="_Hlk55997980" w:id="4"/>
      <w:r w:rsidRPr="006818D4">
        <w:rPr>
          <w:bCs/>
          <w:iCs/>
          <w:sz w:val="24"/>
          <w:szCs w:val="24"/>
        </w:rPr>
        <w:t>$</w:t>
      </w:r>
      <w:bookmarkEnd w:id="4"/>
      <w:r w:rsidRPr="006818D4">
        <w:rPr>
          <w:bCs/>
          <w:iCs/>
          <w:sz w:val="24"/>
          <w:szCs w:val="24"/>
        </w:rPr>
        <w:t>5</w:t>
      </w:r>
      <w:r w:rsidRPr="006818D4">
        <w:rPr>
          <w:bCs/>
          <w:sz w:val="24"/>
          <w:szCs w:val="24"/>
        </w:rPr>
        <w:t xml:space="preserve">. </w:t>
      </w:r>
      <w:bookmarkStart w:name="_Hlk45028191" w:id="5"/>
      <w:r w:rsidRPr="006818D4">
        <w:rPr>
          <w:bCs/>
          <w:sz w:val="24"/>
          <w:szCs w:val="24"/>
        </w:rPr>
        <w:t xml:space="preserve">Such tokens </w:t>
      </w:r>
      <w:r w:rsidRPr="006818D4">
        <w:rPr>
          <w:sz w:val="24"/>
          <w:szCs w:val="24"/>
        </w:rPr>
        <w:t xml:space="preserve">are commonly used by research agencies to </w:t>
      </w:r>
      <w:r w:rsidRPr="006818D4" w:rsidR="000D4DF1">
        <w:rPr>
          <w:sz w:val="24"/>
          <w:szCs w:val="24"/>
        </w:rPr>
        <w:t xml:space="preserve">recruit participants </w:t>
      </w:r>
      <w:r w:rsidRPr="006818D4">
        <w:rPr>
          <w:sz w:val="24"/>
          <w:szCs w:val="24"/>
        </w:rPr>
        <w:t>efficiently and effectively; parents/guardians or individual members who choose to be a part of these online panels have an expectation that they will be compensated for their time. We estimate that the survey will take about 1</w:t>
      </w:r>
      <w:r w:rsidRPr="006818D4" w:rsidR="00EC6939">
        <w:rPr>
          <w:sz w:val="24"/>
          <w:szCs w:val="24"/>
        </w:rPr>
        <w:t>7</w:t>
      </w:r>
      <w:r w:rsidRPr="006818D4">
        <w:rPr>
          <w:sz w:val="24"/>
          <w:szCs w:val="24"/>
        </w:rPr>
        <w:t xml:space="preserve"> minutes to complete</w:t>
      </w:r>
      <w:bookmarkEnd w:id="5"/>
      <w:r w:rsidRPr="006818D4" w:rsidR="00EC6939">
        <w:rPr>
          <w:sz w:val="24"/>
          <w:szCs w:val="24"/>
        </w:rPr>
        <w:t xml:space="preserve">, </w:t>
      </w:r>
      <w:bookmarkStart w:name="_Hlk96071966" w:id="6"/>
      <w:r w:rsidRPr="006818D4" w:rsidR="00EC6939">
        <w:rPr>
          <w:sz w:val="24"/>
          <w:szCs w:val="24"/>
        </w:rPr>
        <w:t>with the entire study taking 21 minutes</w:t>
      </w:r>
      <w:bookmarkEnd w:id="6"/>
      <w:r w:rsidRPr="006818D4" w:rsidR="00CF202F">
        <w:rPr>
          <w:sz w:val="24"/>
          <w:szCs w:val="24"/>
        </w:rPr>
        <w:t xml:space="preserve"> (including a 2-minute screener and 2-minute assent process)</w:t>
      </w:r>
      <w:r w:rsidRPr="006818D4">
        <w:rPr>
          <w:sz w:val="24"/>
          <w:szCs w:val="24"/>
        </w:rPr>
        <w:t xml:space="preserve">. This amount not only </w:t>
      </w:r>
      <w:r w:rsidRPr="006818D4">
        <w:rPr>
          <w:sz w:val="24"/>
          <w:szCs w:val="24"/>
        </w:rPr>
        <w:lastRenderedPageBreak/>
        <w:t xml:space="preserve">reflects the burden of time to participate, it will also ensure that the respondent pool is recruited within a tight timeframe. Smaller token amounts are associated with slower movement on recruitment. </w:t>
      </w:r>
    </w:p>
    <w:p w:rsidRPr="006C3D9D" w:rsidR="0049371C" w:rsidP="0049371C" w:rsidRDefault="0049371C" w14:paraId="09429472" w14:textId="5A459A87">
      <w:pPr>
        <w:rPr>
          <w:sz w:val="24"/>
          <w:szCs w:val="24"/>
        </w:rPr>
      </w:pPr>
    </w:p>
    <w:p w:rsidRPr="006C3D9D" w:rsidR="00502EDD" w:rsidP="00502EDD" w:rsidRDefault="00502EDD" w14:paraId="32C4E14B" w14:textId="77777777">
      <w:pPr>
        <w:autoSpaceDE w:val="0"/>
        <w:autoSpaceDN w:val="0"/>
        <w:adjustRightInd w:val="0"/>
        <w:rPr>
          <w:rFonts w:eastAsiaTheme="minorHAnsi"/>
          <w:sz w:val="24"/>
          <w:szCs w:val="24"/>
        </w:rPr>
      </w:pPr>
      <w:r w:rsidRPr="006C3D9D">
        <w:rPr>
          <w:rFonts w:eastAsiaTheme="minorHAnsi"/>
          <w:sz w:val="24"/>
          <w:szCs w:val="24"/>
        </w:rPr>
        <w:t>Email addresses/IP addresses, and zip codes are PII that is collected in this study. These pieces of</w:t>
      </w:r>
    </w:p>
    <w:p w:rsidRPr="006C3D9D" w:rsidR="00502EDD" w:rsidP="00502EDD" w:rsidRDefault="00502EDD" w14:paraId="4603BB0F" w14:textId="77777777">
      <w:pPr>
        <w:autoSpaceDE w:val="0"/>
        <w:autoSpaceDN w:val="0"/>
        <w:adjustRightInd w:val="0"/>
        <w:rPr>
          <w:rFonts w:eastAsiaTheme="minorHAnsi"/>
          <w:sz w:val="24"/>
          <w:szCs w:val="24"/>
        </w:rPr>
      </w:pPr>
      <w:r w:rsidRPr="006C3D9D">
        <w:rPr>
          <w:rFonts w:eastAsiaTheme="minorHAnsi"/>
          <w:sz w:val="24"/>
          <w:szCs w:val="24"/>
        </w:rPr>
        <w:t>information play an important role in study implementation and quality assurance as described</w:t>
      </w:r>
    </w:p>
    <w:p w:rsidRPr="006C3D9D" w:rsidR="00502EDD" w:rsidP="00502EDD" w:rsidRDefault="00502EDD" w14:paraId="4EEAAFF7" w14:textId="5C3411A5">
      <w:pPr>
        <w:autoSpaceDE w:val="0"/>
        <w:autoSpaceDN w:val="0"/>
        <w:adjustRightInd w:val="0"/>
        <w:rPr>
          <w:rFonts w:eastAsiaTheme="minorHAnsi"/>
          <w:sz w:val="24"/>
          <w:szCs w:val="24"/>
        </w:rPr>
      </w:pPr>
      <w:r w:rsidRPr="006C3D9D">
        <w:rPr>
          <w:rFonts w:eastAsiaTheme="minorHAnsi"/>
          <w:sz w:val="24"/>
          <w:szCs w:val="24"/>
        </w:rPr>
        <w:t>below.</w:t>
      </w:r>
      <w:r w:rsidRPr="006C3D9D" w:rsidR="001405D0">
        <w:rPr>
          <w:rFonts w:eastAsiaTheme="minorHAnsi"/>
          <w:sz w:val="24"/>
          <w:szCs w:val="24"/>
        </w:rPr>
        <w:t xml:space="preserve"> FDA will not have access to any PII.</w:t>
      </w:r>
    </w:p>
    <w:p w:rsidRPr="006C3D9D" w:rsidR="00502EDD" w:rsidP="00502EDD" w:rsidRDefault="00502EDD" w14:paraId="4635EA5D" w14:textId="77777777">
      <w:pPr>
        <w:autoSpaceDE w:val="0"/>
        <w:autoSpaceDN w:val="0"/>
        <w:adjustRightInd w:val="0"/>
        <w:rPr>
          <w:rFonts w:eastAsiaTheme="minorHAnsi"/>
          <w:sz w:val="24"/>
          <w:szCs w:val="24"/>
        </w:rPr>
      </w:pPr>
    </w:p>
    <w:p w:rsidRPr="006C3D9D" w:rsidR="00FE7B95" w:rsidP="006818D4" w:rsidRDefault="00FE7B95" w14:paraId="399EEC0A" w14:textId="7A3B44CA">
      <w:pPr>
        <w:autoSpaceDE w:val="0"/>
        <w:autoSpaceDN w:val="0"/>
        <w:adjustRightInd w:val="0"/>
        <w:rPr>
          <w:sz w:val="24"/>
          <w:szCs w:val="24"/>
        </w:rPr>
      </w:pPr>
      <w:r w:rsidRPr="006C3D9D">
        <w:rPr>
          <w:rFonts w:eastAsiaTheme="minorHAnsi"/>
          <w:sz w:val="24"/>
          <w:szCs w:val="24"/>
        </w:rPr>
        <w:t>All participants will be asked to provide their email address, and IP address will be collected automatically. (1) Email addresses will be checked against all current respondent data to avoid duplicates and reduce fraudulent activity. If multiple emails have the same IP address, researchers will review the data, retain the first recorded response, and remove duplicates from the final analytical dataset. (2) P</w:t>
      </w:r>
      <w:r w:rsidRPr="006C3D9D">
        <w:rPr>
          <w:rFonts w:ascii="TimesNewRomanPSMT" w:hAnsi="TimesNewRomanPSMT" w:cs="TimesNewRomanPSMT" w:eastAsiaTheme="minorHAnsi"/>
          <w:sz w:val="24"/>
          <w:szCs w:val="24"/>
        </w:rPr>
        <w:t xml:space="preserve">articipants’ email </w:t>
      </w:r>
      <w:r w:rsidRPr="006C3D9D">
        <w:rPr>
          <w:rFonts w:eastAsiaTheme="minorHAnsi"/>
          <w:sz w:val="24"/>
          <w:szCs w:val="24"/>
        </w:rPr>
        <w:t>addresses will also be collected when providing assent to participate in the study to send participants a</w:t>
      </w:r>
      <w:r w:rsidRPr="006C3D9D" w:rsidR="005221C6">
        <w:rPr>
          <w:rFonts w:eastAsiaTheme="minorHAnsi"/>
          <w:sz w:val="24"/>
          <w:szCs w:val="24"/>
        </w:rPr>
        <w:t xml:space="preserve"> </w:t>
      </w:r>
      <w:r w:rsidRPr="006C3D9D">
        <w:rPr>
          <w:rFonts w:eastAsiaTheme="minorHAnsi"/>
          <w:sz w:val="24"/>
          <w:szCs w:val="24"/>
        </w:rPr>
        <w:t xml:space="preserve">record of the completed assent </w:t>
      </w:r>
      <w:r w:rsidRPr="006C3D9D" w:rsidR="006D0FFE">
        <w:rPr>
          <w:rFonts w:eastAsiaTheme="minorHAnsi"/>
          <w:sz w:val="24"/>
          <w:szCs w:val="24"/>
        </w:rPr>
        <w:t>form.</w:t>
      </w:r>
      <w:r w:rsidRPr="006C3D9D">
        <w:rPr>
          <w:rFonts w:eastAsiaTheme="minorHAnsi"/>
          <w:sz w:val="24"/>
          <w:szCs w:val="24"/>
        </w:rPr>
        <w:t xml:space="preserve"> (3) Researchers may also contact participants</w:t>
      </w:r>
      <w:r w:rsidRPr="006C3D9D" w:rsidR="005221C6">
        <w:rPr>
          <w:rFonts w:eastAsiaTheme="minorHAnsi"/>
          <w:sz w:val="24"/>
          <w:szCs w:val="24"/>
        </w:rPr>
        <w:t xml:space="preserve"> </w:t>
      </w:r>
      <w:r w:rsidRPr="006C3D9D">
        <w:rPr>
          <w:rFonts w:eastAsiaTheme="minorHAnsi"/>
          <w:sz w:val="24"/>
          <w:szCs w:val="24"/>
        </w:rPr>
        <w:t>in the unlikely case that there is a breach of confidentiality, for example, as a result of hacking or</w:t>
      </w:r>
      <w:r w:rsidR="006818D4">
        <w:rPr>
          <w:rFonts w:eastAsiaTheme="minorHAnsi"/>
          <w:sz w:val="24"/>
          <w:szCs w:val="24"/>
        </w:rPr>
        <w:t xml:space="preserve"> </w:t>
      </w:r>
      <w:r w:rsidRPr="006C3D9D">
        <w:rPr>
          <w:rFonts w:eastAsiaTheme="minorHAnsi"/>
          <w:sz w:val="24"/>
          <w:szCs w:val="24"/>
        </w:rPr>
        <w:t>an issue with delivery</w:t>
      </w:r>
      <w:r w:rsidRPr="006C3D9D" w:rsidR="00D15C6D">
        <w:rPr>
          <w:rFonts w:eastAsiaTheme="minorHAnsi"/>
          <w:sz w:val="24"/>
          <w:szCs w:val="24"/>
        </w:rPr>
        <w:t xml:space="preserve"> of the token of appreciation</w:t>
      </w:r>
      <w:r w:rsidRPr="006C3D9D">
        <w:rPr>
          <w:rFonts w:eastAsiaTheme="minorHAnsi"/>
          <w:sz w:val="24"/>
          <w:szCs w:val="24"/>
        </w:rPr>
        <w:t>.</w:t>
      </w:r>
      <w:r w:rsidRPr="006C3D9D" w:rsidR="00DE5C4E">
        <w:rPr>
          <w:rFonts w:eastAsiaTheme="minorHAnsi"/>
          <w:sz w:val="24"/>
          <w:szCs w:val="24"/>
        </w:rPr>
        <w:t xml:space="preserve"> This information will be collected </w:t>
      </w:r>
      <w:r w:rsidRPr="006C3D9D" w:rsidR="00907542">
        <w:rPr>
          <w:rFonts w:eastAsiaTheme="minorHAnsi"/>
          <w:sz w:val="24"/>
          <w:szCs w:val="24"/>
        </w:rPr>
        <w:t xml:space="preserve">to confirm the </w:t>
      </w:r>
      <w:r w:rsidRPr="006C3D9D" w:rsidR="00DE5C4E">
        <w:rPr>
          <w:rFonts w:eastAsiaTheme="minorHAnsi"/>
          <w:sz w:val="24"/>
          <w:szCs w:val="24"/>
        </w:rPr>
        <w:t xml:space="preserve">validity of participant responses. </w:t>
      </w:r>
    </w:p>
    <w:p w:rsidRPr="006C3D9D" w:rsidR="0049371C" w:rsidP="0049371C" w:rsidRDefault="0049371C" w14:paraId="218F09B8" w14:textId="77777777">
      <w:pPr>
        <w:rPr>
          <w:sz w:val="24"/>
          <w:szCs w:val="24"/>
        </w:rPr>
      </w:pPr>
    </w:p>
    <w:p w:rsidRPr="006C3D9D" w:rsidR="00F37C10" w:rsidP="004A396F" w:rsidRDefault="004A396F" w14:paraId="5D4E389F" w14:textId="36425218">
      <w:pPr>
        <w:autoSpaceDE w:val="0"/>
        <w:autoSpaceDN w:val="0"/>
        <w:adjustRightInd w:val="0"/>
        <w:rPr>
          <w:rFonts w:eastAsiaTheme="minorHAnsi"/>
          <w:sz w:val="24"/>
          <w:szCs w:val="24"/>
        </w:rPr>
      </w:pPr>
      <w:r w:rsidRPr="006C3D9D">
        <w:rPr>
          <w:rFonts w:eastAsiaTheme="minorHAnsi"/>
          <w:sz w:val="24"/>
          <w:szCs w:val="24"/>
        </w:rPr>
        <w:t>All participants will be asked to provide their zip code. Zip codes will be used to verify residency in the US (48 contiguous states and District of Columbia). Participants completing the screener from ineligible zip</w:t>
      </w:r>
      <w:r w:rsidRPr="006C3D9D" w:rsidR="00DD4194">
        <w:rPr>
          <w:rFonts w:eastAsiaTheme="minorHAnsi"/>
          <w:sz w:val="24"/>
          <w:szCs w:val="24"/>
        </w:rPr>
        <w:t xml:space="preserve"> </w:t>
      </w:r>
      <w:r w:rsidRPr="006C3D9D">
        <w:rPr>
          <w:rFonts w:eastAsiaTheme="minorHAnsi"/>
          <w:sz w:val="24"/>
          <w:szCs w:val="24"/>
        </w:rPr>
        <w:t xml:space="preserve">codes will be screened out. </w:t>
      </w:r>
    </w:p>
    <w:p w:rsidRPr="006C3D9D" w:rsidR="00F37C10" w:rsidP="004A396F" w:rsidRDefault="00F37C10" w14:paraId="33FD8A13" w14:textId="77777777">
      <w:pPr>
        <w:autoSpaceDE w:val="0"/>
        <w:autoSpaceDN w:val="0"/>
        <w:adjustRightInd w:val="0"/>
        <w:rPr>
          <w:rFonts w:eastAsiaTheme="minorHAnsi"/>
          <w:sz w:val="24"/>
          <w:szCs w:val="24"/>
        </w:rPr>
      </w:pPr>
    </w:p>
    <w:p w:rsidRPr="006C3D9D" w:rsidR="00F37C10" w:rsidP="004A396F" w:rsidRDefault="004A396F" w14:paraId="38C10B47" w14:textId="29542ED9">
      <w:pPr>
        <w:autoSpaceDE w:val="0"/>
        <w:autoSpaceDN w:val="0"/>
        <w:adjustRightInd w:val="0"/>
        <w:rPr>
          <w:rFonts w:eastAsiaTheme="minorHAnsi"/>
          <w:sz w:val="24"/>
          <w:szCs w:val="24"/>
        </w:rPr>
      </w:pPr>
      <w:r w:rsidRPr="006C3D9D">
        <w:rPr>
          <w:rFonts w:eastAsiaTheme="minorHAnsi"/>
          <w:sz w:val="24"/>
          <w:szCs w:val="24"/>
        </w:rPr>
        <w:t>Email addresses, IP addresses and zip codes will never be included in the dataset used for analysis. The dataset used for analysis will be de-identified. FDA</w:t>
      </w:r>
      <w:r w:rsidRPr="006C3D9D" w:rsidR="00C962C7">
        <w:rPr>
          <w:rFonts w:eastAsiaTheme="minorHAnsi"/>
          <w:sz w:val="24"/>
          <w:szCs w:val="24"/>
        </w:rPr>
        <w:t>/</w:t>
      </w:r>
      <w:r w:rsidRPr="006C3D9D">
        <w:rPr>
          <w:rFonts w:eastAsiaTheme="minorHAnsi"/>
          <w:sz w:val="24"/>
          <w:szCs w:val="24"/>
        </w:rPr>
        <w:t>CTP</w:t>
      </w:r>
      <w:r w:rsidRPr="006C3D9D" w:rsidR="00C962C7">
        <w:rPr>
          <w:rFonts w:eastAsiaTheme="minorHAnsi"/>
          <w:sz w:val="24"/>
          <w:szCs w:val="24"/>
        </w:rPr>
        <w:t xml:space="preserve"> </w:t>
      </w:r>
      <w:r w:rsidRPr="006C3D9D">
        <w:rPr>
          <w:rFonts w:eastAsiaTheme="minorHAnsi"/>
          <w:sz w:val="24"/>
          <w:szCs w:val="24"/>
        </w:rPr>
        <w:t xml:space="preserve">and FCB will never receive a dataset with PII. </w:t>
      </w:r>
    </w:p>
    <w:p w:rsidRPr="006C3D9D" w:rsidR="00F37C10" w:rsidP="004A396F" w:rsidRDefault="00F37C10" w14:paraId="375C9680" w14:textId="77777777">
      <w:pPr>
        <w:autoSpaceDE w:val="0"/>
        <w:autoSpaceDN w:val="0"/>
        <w:adjustRightInd w:val="0"/>
        <w:rPr>
          <w:rFonts w:eastAsiaTheme="minorHAnsi"/>
          <w:sz w:val="24"/>
          <w:szCs w:val="24"/>
        </w:rPr>
      </w:pPr>
    </w:p>
    <w:p w:rsidRPr="006C3D9D" w:rsidR="004A396F" w:rsidP="007E2AAC" w:rsidRDefault="004A396F" w14:paraId="6336F737" w14:textId="60DA7237">
      <w:pPr>
        <w:autoSpaceDE w:val="0"/>
        <w:autoSpaceDN w:val="0"/>
        <w:adjustRightInd w:val="0"/>
        <w:rPr>
          <w:rFonts w:eastAsiaTheme="minorHAnsi"/>
          <w:sz w:val="24"/>
          <w:szCs w:val="24"/>
        </w:rPr>
      </w:pPr>
      <w:r w:rsidRPr="006C3D9D">
        <w:rPr>
          <w:rFonts w:eastAsiaTheme="minorHAnsi"/>
          <w:sz w:val="24"/>
          <w:szCs w:val="24"/>
        </w:rPr>
        <w:t>All data collection activities will be conducted in full compliance with FDA regulations to maintain the privacy of data obtained from respondents and to protect the rights and welfare of human research subjects as contained in their regulations.</w:t>
      </w:r>
    </w:p>
    <w:p w:rsidRPr="006C3D9D" w:rsidR="005C0A24" w:rsidP="0049371C" w:rsidRDefault="005C0A24" w14:paraId="5C991BE6" w14:textId="78D02290">
      <w:pPr>
        <w:rPr>
          <w:sz w:val="24"/>
          <w:szCs w:val="24"/>
        </w:rPr>
      </w:pPr>
    </w:p>
    <w:p w:rsidRPr="006C3D9D" w:rsidR="00052276" w:rsidP="00052276" w:rsidRDefault="00052276" w14:paraId="43D3E24A" w14:textId="77777777">
      <w:pPr>
        <w:autoSpaceDE w:val="0"/>
        <w:autoSpaceDN w:val="0"/>
        <w:adjustRightInd w:val="0"/>
        <w:rPr>
          <w:rFonts w:eastAsiaTheme="minorHAnsi"/>
          <w:sz w:val="24"/>
          <w:szCs w:val="24"/>
        </w:rPr>
      </w:pPr>
      <w:r w:rsidRPr="006C3D9D">
        <w:rPr>
          <w:rFonts w:eastAsiaTheme="minorHAnsi"/>
          <w:sz w:val="24"/>
          <w:szCs w:val="24"/>
        </w:rPr>
        <w:t>Confirmit will be the software used for data collection and storage. Confirmit is a trusted survey</w:t>
      </w:r>
    </w:p>
    <w:p w:rsidRPr="006C3D9D" w:rsidR="00052276" w:rsidP="00052276" w:rsidRDefault="00052276" w14:paraId="329D0853" w14:textId="545A9846">
      <w:pPr>
        <w:autoSpaceDE w:val="0"/>
        <w:autoSpaceDN w:val="0"/>
        <w:adjustRightInd w:val="0"/>
        <w:rPr>
          <w:rFonts w:eastAsiaTheme="minorHAnsi"/>
          <w:sz w:val="24"/>
          <w:szCs w:val="24"/>
        </w:rPr>
      </w:pPr>
      <w:r w:rsidRPr="006C3D9D">
        <w:rPr>
          <w:rFonts w:eastAsiaTheme="minorHAnsi"/>
          <w:sz w:val="24"/>
          <w:szCs w:val="24"/>
        </w:rPr>
        <w:t>tool used by both researchers and marketing companies alike. Confirmit is provided as a</w:t>
      </w:r>
      <w:r w:rsidRPr="006C3D9D" w:rsidR="00DC685D">
        <w:rPr>
          <w:rFonts w:eastAsiaTheme="minorHAnsi"/>
          <w:sz w:val="24"/>
          <w:szCs w:val="24"/>
        </w:rPr>
        <w:t>n online</w:t>
      </w:r>
    </w:p>
    <w:p w:rsidRPr="006C3D9D" w:rsidR="00052276" w:rsidP="00052276" w:rsidRDefault="00052276" w14:paraId="4D553104" w14:textId="77777777">
      <w:pPr>
        <w:autoSpaceDE w:val="0"/>
        <w:autoSpaceDN w:val="0"/>
        <w:adjustRightInd w:val="0"/>
        <w:rPr>
          <w:rFonts w:eastAsiaTheme="minorHAnsi"/>
          <w:sz w:val="24"/>
          <w:szCs w:val="24"/>
        </w:rPr>
      </w:pPr>
      <w:r w:rsidRPr="006C3D9D">
        <w:rPr>
          <w:rFonts w:eastAsiaTheme="minorHAnsi"/>
          <w:sz w:val="24"/>
          <w:szCs w:val="24"/>
        </w:rPr>
        <w:t>application, accessed using a modern Internet browser where data are stored in a single secure</w:t>
      </w:r>
    </w:p>
    <w:p w:rsidRPr="006C3D9D" w:rsidR="00052276" w:rsidP="00052276" w:rsidRDefault="00052276" w14:paraId="584650A0" w14:textId="77777777">
      <w:pPr>
        <w:autoSpaceDE w:val="0"/>
        <w:autoSpaceDN w:val="0"/>
        <w:adjustRightInd w:val="0"/>
        <w:rPr>
          <w:rFonts w:eastAsiaTheme="minorHAnsi"/>
          <w:sz w:val="24"/>
          <w:szCs w:val="24"/>
        </w:rPr>
      </w:pPr>
      <w:r w:rsidRPr="006C3D9D">
        <w:rPr>
          <w:rFonts w:eastAsiaTheme="minorHAnsi"/>
          <w:sz w:val="24"/>
          <w:szCs w:val="24"/>
        </w:rPr>
        <w:t>data center. The database servers that store respondent and response data are placed behind two</w:t>
      </w:r>
    </w:p>
    <w:p w:rsidRPr="006C3D9D" w:rsidR="00052276" w:rsidP="00052276" w:rsidRDefault="00052276" w14:paraId="1C8FF2BA" w14:textId="77777777">
      <w:pPr>
        <w:autoSpaceDE w:val="0"/>
        <w:autoSpaceDN w:val="0"/>
        <w:adjustRightInd w:val="0"/>
        <w:rPr>
          <w:rFonts w:eastAsiaTheme="minorHAnsi"/>
          <w:sz w:val="24"/>
          <w:szCs w:val="24"/>
        </w:rPr>
      </w:pPr>
      <w:r w:rsidRPr="006C3D9D">
        <w:rPr>
          <w:rFonts w:eastAsiaTheme="minorHAnsi"/>
          <w:sz w:val="24"/>
          <w:szCs w:val="24"/>
        </w:rPr>
        <w:t>tiers of firewalls, and data can only be accessed through the Confirmit applications. No</w:t>
      </w:r>
    </w:p>
    <w:p w:rsidRPr="006C3D9D" w:rsidR="00052276" w:rsidP="00052276" w:rsidRDefault="00052276" w14:paraId="595F92ED" w14:textId="77777777">
      <w:pPr>
        <w:autoSpaceDE w:val="0"/>
        <w:autoSpaceDN w:val="0"/>
        <w:adjustRightInd w:val="0"/>
        <w:rPr>
          <w:rFonts w:eastAsiaTheme="minorHAnsi"/>
          <w:sz w:val="24"/>
          <w:szCs w:val="24"/>
        </w:rPr>
      </w:pPr>
      <w:r w:rsidRPr="006C3D9D">
        <w:rPr>
          <w:rFonts w:eastAsiaTheme="minorHAnsi"/>
          <w:sz w:val="24"/>
          <w:szCs w:val="24"/>
        </w:rPr>
        <w:t>application users have direct database access, the servers are only accessible for database</w:t>
      </w:r>
    </w:p>
    <w:p w:rsidRPr="006C3D9D" w:rsidR="00052276" w:rsidP="00052276" w:rsidRDefault="00052276" w14:paraId="42946145" w14:textId="77777777">
      <w:pPr>
        <w:autoSpaceDE w:val="0"/>
        <w:autoSpaceDN w:val="0"/>
        <w:adjustRightInd w:val="0"/>
        <w:rPr>
          <w:rFonts w:eastAsiaTheme="minorHAnsi"/>
          <w:sz w:val="24"/>
          <w:szCs w:val="24"/>
        </w:rPr>
      </w:pPr>
      <w:r w:rsidRPr="006C3D9D">
        <w:rPr>
          <w:rFonts w:eastAsiaTheme="minorHAnsi"/>
          <w:sz w:val="24"/>
          <w:szCs w:val="24"/>
        </w:rPr>
        <w:t>administrators. Remote server access is only available to our system administrators through</w:t>
      </w:r>
    </w:p>
    <w:p w:rsidRPr="006C3D9D" w:rsidR="00052276" w:rsidP="00052276" w:rsidRDefault="00052276" w14:paraId="51645F5E" w14:textId="77777777">
      <w:pPr>
        <w:autoSpaceDE w:val="0"/>
        <w:autoSpaceDN w:val="0"/>
        <w:adjustRightInd w:val="0"/>
        <w:rPr>
          <w:rFonts w:eastAsiaTheme="minorHAnsi"/>
          <w:sz w:val="24"/>
          <w:szCs w:val="24"/>
        </w:rPr>
      </w:pPr>
      <w:r w:rsidRPr="006C3D9D">
        <w:rPr>
          <w:rFonts w:eastAsiaTheme="minorHAnsi"/>
          <w:sz w:val="24"/>
          <w:szCs w:val="24"/>
        </w:rPr>
        <w:t>network controls and secure VPN tunnels. If outside the corporate network, dual factor</w:t>
      </w:r>
    </w:p>
    <w:p w:rsidRPr="006C3D9D" w:rsidR="00052276" w:rsidP="00052276" w:rsidRDefault="00052276" w14:paraId="12AB880C" w14:textId="77777777">
      <w:pPr>
        <w:autoSpaceDE w:val="0"/>
        <w:autoSpaceDN w:val="0"/>
        <w:adjustRightInd w:val="0"/>
        <w:rPr>
          <w:rFonts w:eastAsiaTheme="minorHAnsi"/>
          <w:sz w:val="24"/>
          <w:szCs w:val="24"/>
        </w:rPr>
      </w:pPr>
      <w:r w:rsidRPr="006C3D9D">
        <w:rPr>
          <w:rFonts w:eastAsiaTheme="minorHAnsi"/>
          <w:sz w:val="24"/>
          <w:szCs w:val="24"/>
        </w:rPr>
        <w:t>authentication is required to establish a secure VPN tunnel into the corporate network (in order</w:t>
      </w:r>
    </w:p>
    <w:p w:rsidRPr="006C3D9D" w:rsidR="00052276" w:rsidP="00052276" w:rsidRDefault="00052276" w14:paraId="598EE13D" w14:textId="77777777">
      <w:pPr>
        <w:autoSpaceDE w:val="0"/>
        <w:autoSpaceDN w:val="0"/>
        <w:adjustRightInd w:val="0"/>
        <w:rPr>
          <w:rFonts w:eastAsiaTheme="minorHAnsi"/>
          <w:sz w:val="24"/>
          <w:szCs w:val="24"/>
        </w:rPr>
      </w:pPr>
      <w:r w:rsidRPr="006C3D9D">
        <w:rPr>
          <w:rFonts w:eastAsiaTheme="minorHAnsi"/>
          <w:sz w:val="24"/>
          <w:szCs w:val="24"/>
        </w:rPr>
        <w:t>to access the production VPN through a hop-server), and only computers that are under</w:t>
      </w:r>
    </w:p>
    <w:p w:rsidRPr="006C3D9D" w:rsidR="00052276" w:rsidP="00052276" w:rsidRDefault="00052276" w14:paraId="5963D9CB" w14:textId="77777777">
      <w:pPr>
        <w:autoSpaceDE w:val="0"/>
        <w:autoSpaceDN w:val="0"/>
        <w:adjustRightInd w:val="0"/>
        <w:rPr>
          <w:rFonts w:eastAsiaTheme="minorHAnsi"/>
          <w:sz w:val="24"/>
          <w:szCs w:val="24"/>
        </w:rPr>
      </w:pPr>
      <w:r w:rsidRPr="006C3D9D">
        <w:rPr>
          <w:rFonts w:ascii="TimesNewRomanPSMT" w:hAnsi="TimesNewRomanPSMT" w:cs="TimesNewRomanPSMT" w:eastAsiaTheme="minorHAnsi"/>
          <w:sz w:val="24"/>
          <w:szCs w:val="24"/>
        </w:rPr>
        <w:t>Confirmit’s contr</w:t>
      </w:r>
      <w:r w:rsidRPr="006C3D9D">
        <w:rPr>
          <w:rFonts w:eastAsiaTheme="minorHAnsi"/>
          <w:sz w:val="24"/>
          <w:szCs w:val="24"/>
        </w:rPr>
        <w:t>ol are allowed to connect to the VPN. Confirmit surveys do not require any</w:t>
      </w:r>
    </w:p>
    <w:p w:rsidRPr="006C3D9D" w:rsidR="00052276" w:rsidP="00052276" w:rsidRDefault="00052276" w14:paraId="508DEF1A" w14:textId="6493E970">
      <w:pPr>
        <w:autoSpaceDE w:val="0"/>
        <w:autoSpaceDN w:val="0"/>
        <w:adjustRightInd w:val="0"/>
        <w:rPr>
          <w:rFonts w:eastAsiaTheme="minorHAnsi"/>
          <w:sz w:val="24"/>
          <w:szCs w:val="24"/>
        </w:rPr>
      </w:pPr>
      <w:r w:rsidRPr="006C3D9D">
        <w:rPr>
          <w:rFonts w:eastAsiaTheme="minorHAnsi"/>
          <w:sz w:val="24"/>
          <w:szCs w:val="24"/>
        </w:rPr>
        <w:t>user-identifiable information to be transmitted between page submissions. Surveys use a combination of hidden form fields and system generated identifiers to identify the respondent</w:t>
      </w:r>
      <w:r w:rsidRPr="006C3D9D" w:rsidR="00AB6581">
        <w:rPr>
          <w:rFonts w:eastAsiaTheme="minorHAnsi"/>
          <w:sz w:val="24"/>
          <w:szCs w:val="24"/>
        </w:rPr>
        <w:t>.</w:t>
      </w:r>
    </w:p>
    <w:p w:rsidRPr="006C3D9D" w:rsidR="005C0A24" w:rsidP="007C4AFD" w:rsidRDefault="00AB6581" w14:paraId="2C477AD9" w14:textId="432D7E11">
      <w:pPr>
        <w:autoSpaceDE w:val="0"/>
        <w:autoSpaceDN w:val="0"/>
        <w:adjustRightInd w:val="0"/>
        <w:rPr>
          <w:rFonts w:eastAsiaTheme="minorHAnsi"/>
          <w:sz w:val="24"/>
          <w:szCs w:val="24"/>
        </w:rPr>
      </w:pPr>
      <w:r w:rsidRPr="006C3D9D">
        <w:rPr>
          <w:rFonts w:eastAsiaTheme="minorHAnsi"/>
          <w:sz w:val="24"/>
          <w:szCs w:val="24"/>
        </w:rPr>
        <w:t xml:space="preserve">Survey </w:t>
      </w:r>
      <w:r w:rsidRPr="006C3D9D" w:rsidR="00052276">
        <w:rPr>
          <w:rFonts w:eastAsiaTheme="minorHAnsi"/>
          <w:sz w:val="24"/>
          <w:szCs w:val="24"/>
        </w:rPr>
        <w:t>pages include</w:t>
      </w:r>
      <w:r w:rsidRPr="006C3D9D">
        <w:rPr>
          <w:rFonts w:eastAsiaTheme="minorHAnsi"/>
          <w:sz w:val="24"/>
          <w:szCs w:val="24"/>
        </w:rPr>
        <w:t xml:space="preserve"> </w:t>
      </w:r>
      <w:r w:rsidRPr="006C3D9D" w:rsidR="00052276">
        <w:rPr>
          <w:rFonts w:eastAsiaTheme="minorHAnsi"/>
          <w:sz w:val="24"/>
          <w:szCs w:val="24"/>
        </w:rPr>
        <w:t>meta code to prevent them from being cached on the client. No information is stored on a</w:t>
      </w:r>
      <w:r w:rsidRPr="006C3D9D">
        <w:rPr>
          <w:rFonts w:ascii="TimesNewRomanPSMT" w:hAnsi="TimesNewRomanPSMT" w:cs="TimesNewRomanPSMT" w:eastAsiaTheme="minorHAnsi"/>
          <w:sz w:val="24"/>
          <w:szCs w:val="24"/>
        </w:rPr>
        <w:t xml:space="preserve"> </w:t>
      </w:r>
      <w:r w:rsidRPr="006C3D9D" w:rsidR="00052276">
        <w:rPr>
          <w:rFonts w:ascii="TimesNewRomanPSMT" w:hAnsi="TimesNewRomanPSMT" w:cs="TimesNewRomanPSMT" w:eastAsiaTheme="minorHAnsi"/>
          <w:sz w:val="24"/>
          <w:szCs w:val="24"/>
        </w:rPr>
        <w:t xml:space="preserve">respondent’s </w:t>
      </w:r>
      <w:r w:rsidRPr="006C3D9D" w:rsidR="00052276">
        <w:rPr>
          <w:rFonts w:eastAsiaTheme="minorHAnsi"/>
          <w:sz w:val="24"/>
          <w:szCs w:val="24"/>
        </w:rPr>
        <w:t xml:space="preserve">computer when the browser is closed. To further prevent caching, all </w:t>
      </w:r>
      <w:r w:rsidRPr="006C3D9D" w:rsidR="00052276">
        <w:rPr>
          <w:rFonts w:eastAsiaTheme="minorHAnsi"/>
          <w:sz w:val="24"/>
          <w:szCs w:val="24"/>
        </w:rPr>
        <w:lastRenderedPageBreak/>
        <w:t>surveys are</w:t>
      </w:r>
      <w:r w:rsidRPr="006C3D9D">
        <w:rPr>
          <w:rFonts w:eastAsiaTheme="minorHAnsi"/>
          <w:sz w:val="24"/>
          <w:szCs w:val="24"/>
        </w:rPr>
        <w:t xml:space="preserve"> </w:t>
      </w:r>
      <w:r w:rsidRPr="006C3D9D" w:rsidR="00052276">
        <w:rPr>
          <w:rFonts w:eastAsiaTheme="minorHAnsi"/>
          <w:sz w:val="24"/>
          <w:szCs w:val="24"/>
        </w:rPr>
        <w:t>available over HTTPS. Data will be stored on dedicated servers with a redundant multi-tier</w:t>
      </w:r>
      <w:r w:rsidRPr="006C3D9D">
        <w:rPr>
          <w:rFonts w:eastAsiaTheme="minorHAnsi"/>
          <w:sz w:val="24"/>
          <w:szCs w:val="24"/>
        </w:rPr>
        <w:t xml:space="preserve"> </w:t>
      </w:r>
      <w:r w:rsidRPr="006C3D9D" w:rsidR="00052276">
        <w:rPr>
          <w:rFonts w:eastAsiaTheme="minorHAnsi"/>
          <w:sz w:val="24"/>
          <w:szCs w:val="24"/>
        </w:rPr>
        <w:t>network security infrastructure.</w:t>
      </w:r>
    </w:p>
    <w:p w:rsidRPr="006C3D9D" w:rsidR="002869B3" w:rsidP="00052276" w:rsidRDefault="002869B3" w14:paraId="36414E10" w14:textId="025C913C">
      <w:pPr>
        <w:rPr>
          <w:rFonts w:eastAsiaTheme="minorHAnsi"/>
          <w:sz w:val="24"/>
          <w:szCs w:val="24"/>
        </w:rPr>
      </w:pPr>
    </w:p>
    <w:p w:rsidRPr="006C3D9D" w:rsidR="002869B3" w:rsidP="002869B3" w:rsidRDefault="002869B3" w14:paraId="65DF0583" w14:textId="77777777">
      <w:pPr>
        <w:autoSpaceDE w:val="0"/>
        <w:autoSpaceDN w:val="0"/>
        <w:adjustRightInd w:val="0"/>
        <w:rPr>
          <w:rFonts w:eastAsiaTheme="minorHAnsi"/>
          <w:sz w:val="24"/>
          <w:szCs w:val="24"/>
        </w:rPr>
      </w:pPr>
      <w:r w:rsidRPr="006C3D9D">
        <w:rPr>
          <w:rFonts w:eastAsiaTheme="minorHAnsi"/>
          <w:sz w:val="24"/>
          <w:szCs w:val="24"/>
        </w:rPr>
        <w:t>Any online panel used in this study will follow the Standard of Good Practice (SoGP,</w:t>
      </w:r>
    </w:p>
    <w:p w:rsidRPr="006C3D9D" w:rsidR="002869B3" w:rsidP="002869B3" w:rsidRDefault="002869B3" w14:paraId="37E36B4D" w14:textId="77777777">
      <w:pPr>
        <w:autoSpaceDE w:val="0"/>
        <w:autoSpaceDN w:val="0"/>
        <w:adjustRightInd w:val="0"/>
        <w:rPr>
          <w:rFonts w:eastAsiaTheme="minorHAnsi"/>
          <w:sz w:val="24"/>
          <w:szCs w:val="24"/>
        </w:rPr>
      </w:pPr>
      <w:r w:rsidRPr="006C3D9D">
        <w:rPr>
          <w:rFonts w:eastAsiaTheme="minorHAnsi"/>
          <w:sz w:val="24"/>
          <w:szCs w:val="24"/>
        </w:rPr>
        <w:t>https://www.securityforum.org/ research/thestandardofgoodpractice2016/) security practices</w:t>
      </w:r>
    </w:p>
    <w:p w:rsidRPr="006C3D9D" w:rsidR="002869B3" w:rsidP="002869B3" w:rsidRDefault="002869B3" w14:paraId="2A98345A" w14:textId="77777777">
      <w:pPr>
        <w:autoSpaceDE w:val="0"/>
        <w:autoSpaceDN w:val="0"/>
        <w:adjustRightInd w:val="0"/>
        <w:rPr>
          <w:rFonts w:eastAsiaTheme="minorHAnsi"/>
          <w:sz w:val="24"/>
          <w:szCs w:val="24"/>
        </w:rPr>
      </w:pPr>
      <w:r w:rsidRPr="006C3D9D">
        <w:rPr>
          <w:rFonts w:eastAsiaTheme="minorHAnsi"/>
          <w:sz w:val="24"/>
          <w:szCs w:val="24"/>
        </w:rPr>
        <w:t>which emphasize security management, safe business application protocol, safe computer</w:t>
      </w:r>
    </w:p>
    <w:p w:rsidRPr="006C3D9D" w:rsidR="002869B3" w:rsidP="002869B3" w:rsidRDefault="002869B3" w14:paraId="2C1D3032" w14:textId="77777777">
      <w:pPr>
        <w:autoSpaceDE w:val="0"/>
        <w:autoSpaceDN w:val="0"/>
        <w:adjustRightInd w:val="0"/>
        <w:rPr>
          <w:rFonts w:eastAsiaTheme="minorHAnsi"/>
          <w:sz w:val="24"/>
          <w:szCs w:val="24"/>
        </w:rPr>
      </w:pPr>
      <w:r w:rsidRPr="006C3D9D">
        <w:rPr>
          <w:rFonts w:eastAsiaTheme="minorHAnsi"/>
          <w:sz w:val="24"/>
          <w:szCs w:val="24"/>
        </w:rPr>
        <w:t>installations, network fidelity, awareness of systems development requirements, and safety of the</w:t>
      </w:r>
    </w:p>
    <w:p w:rsidRPr="006C3D9D" w:rsidR="002869B3" w:rsidP="002869B3" w:rsidRDefault="002869B3" w14:paraId="76CEBD49" w14:textId="77777777">
      <w:pPr>
        <w:autoSpaceDE w:val="0"/>
        <w:autoSpaceDN w:val="0"/>
        <w:adjustRightInd w:val="0"/>
        <w:rPr>
          <w:rFonts w:eastAsiaTheme="minorHAnsi"/>
          <w:sz w:val="24"/>
          <w:szCs w:val="24"/>
        </w:rPr>
      </w:pPr>
      <w:r w:rsidRPr="006C3D9D">
        <w:rPr>
          <w:rFonts w:eastAsiaTheme="minorHAnsi"/>
          <w:sz w:val="24"/>
          <w:szCs w:val="24"/>
        </w:rPr>
        <w:t>end-user environment. Following these guidelines, the monitoring of data and sensitive</w:t>
      </w:r>
    </w:p>
    <w:p w:rsidRPr="006C3D9D" w:rsidR="002869B3" w:rsidP="002869B3" w:rsidRDefault="002869B3" w14:paraId="74409287" w14:textId="77777777">
      <w:pPr>
        <w:autoSpaceDE w:val="0"/>
        <w:autoSpaceDN w:val="0"/>
        <w:adjustRightInd w:val="0"/>
        <w:rPr>
          <w:rFonts w:eastAsiaTheme="minorHAnsi"/>
          <w:sz w:val="24"/>
          <w:szCs w:val="24"/>
        </w:rPr>
      </w:pPr>
      <w:r w:rsidRPr="006C3D9D">
        <w:rPr>
          <w:rFonts w:eastAsiaTheme="minorHAnsi"/>
          <w:sz w:val="24"/>
          <w:szCs w:val="24"/>
        </w:rPr>
        <w:t>information will take place following the SoGP security practices such as limiting access to</w:t>
      </w:r>
    </w:p>
    <w:p w:rsidRPr="006C3D9D" w:rsidR="002869B3" w:rsidP="002869B3" w:rsidRDefault="002869B3" w14:paraId="6C422C5E" w14:textId="77777777">
      <w:pPr>
        <w:autoSpaceDE w:val="0"/>
        <w:autoSpaceDN w:val="0"/>
        <w:adjustRightInd w:val="0"/>
        <w:rPr>
          <w:rFonts w:eastAsiaTheme="minorHAnsi"/>
          <w:sz w:val="24"/>
          <w:szCs w:val="24"/>
        </w:rPr>
      </w:pPr>
      <w:r w:rsidRPr="006C3D9D">
        <w:rPr>
          <w:rFonts w:eastAsiaTheme="minorHAnsi"/>
          <w:sz w:val="24"/>
          <w:szCs w:val="24"/>
        </w:rPr>
        <w:t>information and data encryption. Members of the research team will receive de-identified data</w:t>
      </w:r>
    </w:p>
    <w:p w:rsidRPr="006C3D9D" w:rsidR="002869B3" w:rsidP="002869B3" w:rsidRDefault="002869B3" w14:paraId="41ACFE92" w14:textId="77777777">
      <w:pPr>
        <w:autoSpaceDE w:val="0"/>
        <w:autoSpaceDN w:val="0"/>
        <w:adjustRightInd w:val="0"/>
        <w:rPr>
          <w:rFonts w:eastAsiaTheme="minorHAnsi"/>
          <w:sz w:val="24"/>
          <w:szCs w:val="24"/>
        </w:rPr>
      </w:pPr>
      <w:r w:rsidRPr="006C3D9D">
        <w:rPr>
          <w:rFonts w:eastAsiaTheme="minorHAnsi"/>
          <w:sz w:val="24"/>
          <w:szCs w:val="24"/>
        </w:rPr>
        <w:t>that will be in an encrypted format when it is transmitted. This data transfer will occur via an</w:t>
      </w:r>
    </w:p>
    <w:p w:rsidRPr="006C3D9D" w:rsidR="002869B3" w:rsidP="002869B3" w:rsidRDefault="002869B3" w14:paraId="343C60F9" w14:textId="24AEFA96">
      <w:pPr>
        <w:rPr>
          <w:sz w:val="24"/>
          <w:szCs w:val="24"/>
        </w:rPr>
      </w:pPr>
      <w:r w:rsidRPr="006C3D9D">
        <w:rPr>
          <w:rFonts w:eastAsiaTheme="minorHAnsi"/>
          <w:sz w:val="24"/>
          <w:szCs w:val="24"/>
        </w:rPr>
        <w:t>encrypted and secure broadband connection.</w:t>
      </w:r>
    </w:p>
    <w:p w:rsidRPr="006C3D9D" w:rsidR="0049371C" w:rsidP="0049371C" w:rsidRDefault="0049371C" w14:paraId="1D8A5508" w14:textId="77777777">
      <w:pPr>
        <w:rPr>
          <w:sz w:val="24"/>
          <w:szCs w:val="24"/>
        </w:rPr>
      </w:pPr>
    </w:p>
    <w:p w:rsidRPr="006C3D9D" w:rsidR="005D2044" w:rsidP="005D2044" w:rsidRDefault="00AD1A05" w14:paraId="5F832670" w14:textId="45740680">
      <w:pPr>
        <w:autoSpaceDE w:val="0"/>
        <w:autoSpaceDN w:val="0"/>
        <w:adjustRightInd w:val="0"/>
        <w:rPr>
          <w:rFonts w:eastAsiaTheme="minorHAnsi"/>
          <w:sz w:val="24"/>
          <w:szCs w:val="24"/>
        </w:rPr>
      </w:pPr>
      <w:r w:rsidRPr="006C3D9D">
        <w:rPr>
          <w:rFonts w:eastAsiaTheme="minorHAnsi"/>
          <w:sz w:val="24"/>
          <w:szCs w:val="24"/>
        </w:rPr>
        <w:t xml:space="preserve">Only KDH Research &amp; Communication and Marketing Workshop will ever have data with PII. FCB and FDA will not have access to PII. </w:t>
      </w:r>
      <w:r w:rsidRPr="006C3D9D" w:rsidR="005D2044">
        <w:rPr>
          <w:rFonts w:eastAsiaTheme="minorHAnsi"/>
          <w:sz w:val="24"/>
          <w:szCs w:val="24"/>
        </w:rPr>
        <w:t xml:space="preserve">All PII except for informed assent will be destroyed no later than three months after the last </w:t>
      </w:r>
      <w:r w:rsidRPr="006C3D9D" w:rsidR="006D0FFE">
        <w:rPr>
          <w:rFonts w:eastAsiaTheme="minorHAnsi"/>
          <w:sz w:val="24"/>
          <w:szCs w:val="24"/>
        </w:rPr>
        <w:t>survey is completed</w:t>
      </w:r>
      <w:r w:rsidRPr="006C3D9D" w:rsidR="005D2044">
        <w:rPr>
          <w:rFonts w:eastAsiaTheme="minorHAnsi"/>
          <w:sz w:val="24"/>
          <w:szCs w:val="24"/>
        </w:rPr>
        <w:t>. Assents</w:t>
      </w:r>
      <w:r w:rsidRPr="006C3D9D" w:rsidR="00907542">
        <w:rPr>
          <w:rFonts w:eastAsiaTheme="minorHAnsi"/>
          <w:sz w:val="24"/>
          <w:szCs w:val="24"/>
        </w:rPr>
        <w:t xml:space="preserve"> </w:t>
      </w:r>
      <w:r w:rsidRPr="006C3D9D" w:rsidR="005D2044">
        <w:rPr>
          <w:rFonts w:eastAsiaTheme="minorHAnsi"/>
          <w:sz w:val="24"/>
          <w:szCs w:val="24"/>
        </w:rPr>
        <w:t>will be destroyed in three years. The data are backed</w:t>
      </w:r>
      <w:r w:rsidRPr="006C3D9D">
        <w:rPr>
          <w:rFonts w:eastAsiaTheme="minorHAnsi"/>
          <w:sz w:val="24"/>
          <w:szCs w:val="24"/>
        </w:rPr>
        <w:t xml:space="preserve"> </w:t>
      </w:r>
      <w:r w:rsidRPr="006C3D9D" w:rsidR="005D2044">
        <w:rPr>
          <w:rFonts w:eastAsiaTheme="minorHAnsi"/>
          <w:sz w:val="24"/>
          <w:szCs w:val="24"/>
        </w:rPr>
        <w:t>up on a daily basis. No one can access the data unless it is required by law to protect participant</w:t>
      </w:r>
      <w:r w:rsidRPr="006C3D9D">
        <w:rPr>
          <w:rFonts w:eastAsiaTheme="minorHAnsi"/>
          <w:sz w:val="24"/>
          <w:szCs w:val="24"/>
        </w:rPr>
        <w:t xml:space="preserve"> </w:t>
      </w:r>
      <w:r w:rsidRPr="006C3D9D" w:rsidR="005D2044">
        <w:rPr>
          <w:rFonts w:eastAsiaTheme="minorHAnsi"/>
          <w:sz w:val="24"/>
          <w:szCs w:val="24"/>
        </w:rPr>
        <w:t>rights or to comply with judicial proceedings, a court order, or other legal process. Data will be</w:t>
      </w:r>
      <w:r w:rsidRPr="006C3D9D">
        <w:rPr>
          <w:rFonts w:eastAsiaTheme="minorHAnsi"/>
          <w:sz w:val="24"/>
          <w:szCs w:val="24"/>
        </w:rPr>
        <w:t xml:space="preserve"> </w:t>
      </w:r>
      <w:r w:rsidRPr="006C3D9D" w:rsidR="005D2044">
        <w:rPr>
          <w:rFonts w:eastAsiaTheme="minorHAnsi"/>
          <w:sz w:val="24"/>
          <w:szCs w:val="24"/>
        </w:rPr>
        <w:t>maintained on secure servers for a period of three years and then destroyed securely using best</w:t>
      </w:r>
      <w:r w:rsidRPr="006C3D9D">
        <w:rPr>
          <w:rFonts w:eastAsiaTheme="minorHAnsi"/>
          <w:sz w:val="24"/>
          <w:szCs w:val="24"/>
        </w:rPr>
        <w:t xml:space="preserve"> </w:t>
      </w:r>
      <w:r w:rsidRPr="006C3D9D" w:rsidR="005D2044">
        <w:rPr>
          <w:rFonts w:eastAsiaTheme="minorHAnsi"/>
          <w:sz w:val="24"/>
          <w:szCs w:val="24"/>
        </w:rPr>
        <w:t>practices.</w:t>
      </w:r>
    </w:p>
    <w:p w:rsidRPr="006C3D9D" w:rsidR="005D2044" w:rsidP="005D2044" w:rsidRDefault="005D2044" w14:paraId="6E3C95C7" w14:textId="77777777">
      <w:pPr>
        <w:autoSpaceDE w:val="0"/>
        <w:autoSpaceDN w:val="0"/>
        <w:adjustRightInd w:val="0"/>
        <w:rPr>
          <w:rFonts w:eastAsiaTheme="minorHAnsi"/>
          <w:sz w:val="24"/>
          <w:szCs w:val="24"/>
        </w:rPr>
      </w:pPr>
    </w:p>
    <w:p w:rsidRPr="006C3D9D" w:rsidR="006E71B8" w:rsidP="007C4AFD" w:rsidRDefault="005D2044" w14:paraId="087F8BDB" w14:textId="0F2A270F">
      <w:pPr>
        <w:autoSpaceDE w:val="0"/>
        <w:autoSpaceDN w:val="0"/>
        <w:adjustRightInd w:val="0"/>
        <w:rPr>
          <w:sz w:val="24"/>
          <w:szCs w:val="24"/>
        </w:rPr>
      </w:pPr>
      <w:r w:rsidRPr="006C3D9D">
        <w:rPr>
          <w:rFonts w:eastAsiaTheme="minorHAnsi"/>
          <w:sz w:val="24"/>
          <w:szCs w:val="24"/>
        </w:rPr>
        <w:t xml:space="preserve">When the raw data are downloaded from the </w:t>
      </w:r>
      <w:r w:rsidRPr="006C3D9D" w:rsidR="00AB6581">
        <w:rPr>
          <w:rFonts w:eastAsiaTheme="minorHAnsi"/>
          <w:sz w:val="24"/>
          <w:szCs w:val="24"/>
        </w:rPr>
        <w:t>Confirmit</w:t>
      </w:r>
      <w:r w:rsidRPr="006C3D9D">
        <w:rPr>
          <w:rFonts w:eastAsiaTheme="minorHAnsi"/>
          <w:sz w:val="24"/>
          <w:szCs w:val="24"/>
        </w:rPr>
        <w:t xml:space="preserve">, the data will be in two </w:t>
      </w:r>
      <w:r w:rsidRPr="006C3D9D" w:rsidR="00420575">
        <w:rPr>
          <w:rFonts w:eastAsiaTheme="minorHAnsi"/>
          <w:sz w:val="24"/>
          <w:szCs w:val="24"/>
        </w:rPr>
        <w:t xml:space="preserve">datasets </w:t>
      </w:r>
      <w:r w:rsidRPr="006C3D9D">
        <w:rPr>
          <w:rFonts w:eastAsiaTheme="minorHAnsi"/>
          <w:sz w:val="24"/>
          <w:szCs w:val="24"/>
        </w:rPr>
        <w:t>pair</w:t>
      </w:r>
      <w:r w:rsidRPr="006C3D9D" w:rsidR="00420575">
        <w:rPr>
          <w:rFonts w:eastAsiaTheme="minorHAnsi"/>
          <w:sz w:val="24"/>
          <w:szCs w:val="24"/>
        </w:rPr>
        <w:t>ed</w:t>
      </w:r>
      <w:r w:rsidRPr="006C3D9D">
        <w:rPr>
          <w:rFonts w:eastAsiaTheme="minorHAnsi"/>
          <w:sz w:val="24"/>
          <w:szCs w:val="24"/>
        </w:rPr>
        <w:t xml:space="preserve"> </w:t>
      </w:r>
      <w:r w:rsidRPr="006C3D9D" w:rsidR="00420575">
        <w:rPr>
          <w:rFonts w:eastAsiaTheme="minorHAnsi"/>
          <w:sz w:val="24"/>
          <w:szCs w:val="24"/>
        </w:rPr>
        <w:t>by</w:t>
      </w:r>
      <w:r w:rsidRPr="006C3D9D">
        <w:rPr>
          <w:rFonts w:eastAsiaTheme="minorHAnsi"/>
          <w:sz w:val="24"/>
          <w:szCs w:val="24"/>
        </w:rPr>
        <w:t xml:space="preserve"> participant (1) </w:t>
      </w:r>
      <w:r w:rsidRPr="006C3D9D" w:rsidR="00CF4846">
        <w:rPr>
          <w:rFonts w:eastAsiaTheme="minorHAnsi"/>
          <w:sz w:val="24"/>
          <w:szCs w:val="24"/>
        </w:rPr>
        <w:t>s</w:t>
      </w:r>
      <w:r w:rsidRPr="006C3D9D">
        <w:rPr>
          <w:rFonts w:eastAsiaTheme="minorHAnsi"/>
          <w:sz w:val="24"/>
          <w:szCs w:val="24"/>
        </w:rPr>
        <w:t xml:space="preserve">creener responses, and (2) </w:t>
      </w:r>
      <w:r w:rsidRPr="006C3D9D" w:rsidR="00CF4846">
        <w:rPr>
          <w:rFonts w:eastAsiaTheme="minorHAnsi"/>
          <w:sz w:val="24"/>
          <w:szCs w:val="24"/>
        </w:rPr>
        <w:t>s</w:t>
      </w:r>
      <w:r w:rsidRPr="006C3D9D" w:rsidR="00DC685D">
        <w:rPr>
          <w:rFonts w:eastAsiaTheme="minorHAnsi"/>
          <w:sz w:val="24"/>
          <w:szCs w:val="24"/>
        </w:rPr>
        <w:t xml:space="preserve">urvey </w:t>
      </w:r>
      <w:r w:rsidRPr="006C3D9D">
        <w:rPr>
          <w:rFonts w:eastAsiaTheme="minorHAnsi"/>
          <w:sz w:val="24"/>
          <w:szCs w:val="24"/>
        </w:rPr>
        <w:t>responses. The respective</w:t>
      </w:r>
      <w:r w:rsidRPr="006C3D9D" w:rsidR="00E625C2">
        <w:rPr>
          <w:rFonts w:eastAsiaTheme="minorHAnsi"/>
          <w:sz w:val="24"/>
          <w:szCs w:val="24"/>
        </w:rPr>
        <w:t xml:space="preserve"> </w:t>
      </w:r>
      <w:r w:rsidRPr="006C3D9D">
        <w:rPr>
          <w:rFonts w:eastAsiaTheme="minorHAnsi"/>
          <w:sz w:val="24"/>
          <w:szCs w:val="24"/>
        </w:rPr>
        <w:t xml:space="preserve">screener and </w:t>
      </w:r>
      <w:r w:rsidRPr="006C3D9D" w:rsidR="00DC685D">
        <w:rPr>
          <w:rFonts w:eastAsiaTheme="minorHAnsi"/>
          <w:sz w:val="24"/>
          <w:szCs w:val="24"/>
        </w:rPr>
        <w:t xml:space="preserve">survey </w:t>
      </w:r>
      <w:r w:rsidRPr="006C3D9D">
        <w:rPr>
          <w:rFonts w:eastAsiaTheme="minorHAnsi"/>
          <w:sz w:val="24"/>
          <w:szCs w:val="24"/>
        </w:rPr>
        <w:t xml:space="preserve">datasets will be merged into </w:t>
      </w:r>
      <w:r w:rsidRPr="006C3D9D" w:rsidR="006D0FFE">
        <w:rPr>
          <w:rFonts w:eastAsiaTheme="minorHAnsi"/>
          <w:sz w:val="24"/>
          <w:szCs w:val="24"/>
        </w:rPr>
        <w:t xml:space="preserve">a </w:t>
      </w:r>
      <w:r w:rsidRPr="006C3D9D">
        <w:rPr>
          <w:rFonts w:eastAsiaTheme="minorHAnsi"/>
          <w:sz w:val="24"/>
          <w:szCs w:val="24"/>
        </w:rPr>
        <w:t>participant data set using unique</w:t>
      </w:r>
      <w:r w:rsidRPr="006C3D9D" w:rsidR="00E625C2">
        <w:rPr>
          <w:rFonts w:eastAsiaTheme="minorHAnsi"/>
          <w:sz w:val="24"/>
          <w:szCs w:val="24"/>
        </w:rPr>
        <w:t xml:space="preserve"> </w:t>
      </w:r>
      <w:r w:rsidRPr="006C3D9D">
        <w:rPr>
          <w:rFonts w:eastAsiaTheme="minorHAnsi"/>
          <w:sz w:val="24"/>
          <w:szCs w:val="24"/>
        </w:rPr>
        <w:t xml:space="preserve">identifiers </w:t>
      </w:r>
      <w:r w:rsidRPr="006C3D9D" w:rsidR="00420575">
        <w:rPr>
          <w:rFonts w:eastAsiaTheme="minorHAnsi"/>
          <w:sz w:val="24"/>
          <w:szCs w:val="24"/>
        </w:rPr>
        <w:t xml:space="preserve">that </w:t>
      </w:r>
      <w:r w:rsidRPr="006C3D9D">
        <w:rPr>
          <w:rFonts w:eastAsiaTheme="minorHAnsi"/>
          <w:sz w:val="24"/>
          <w:szCs w:val="24"/>
        </w:rPr>
        <w:t>do not contain PII</w:t>
      </w:r>
      <w:r w:rsidRPr="006C3D9D" w:rsidR="00420575">
        <w:rPr>
          <w:rFonts w:eastAsiaTheme="minorHAnsi"/>
          <w:sz w:val="24"/>
          <w:szCs w:val="24"/>
        </w:rPr>
        <w:t>.</w:t>
      </w:r>
      <w:r w:rsidRPr="006C3D9D" w:rsidR="004553B4">
        <w:rPr>
          <w:rFonts w:eastAsiaTheme="minorHAnsi"/>
          <w:sz w:val="24"/>
          <w:szCs w:val="24"/>
        </w:rPr>
        <w:t xml:space="preserve"> </w:t>
      </w:r>
      <w:r w:rsidRPr="006C3D9D" w:rsidR="000B533E">
        <w:rPr>
          <w:rFonts w:eastAsiaTheme="minorHAnsi"/>
          <w:sz w:val="24"/>
          <w:szCs w:val="24"/>
        </w:rPr>
        <w:t xml:space="preserve">KDH Research and Communication and Marketing </w:t>
      </w:r>
      <w:r w:rsidRPr="006C3D9D" w:rsidR="00E625C2">
        <w:rPr>
          <w:rFonts w:eastAsiaTheme="minorHAnsi"/>
          <w:sz w:val="24"/>
          <w:szCs w:val="24"/>
        </w:rPr>
        <w:t>Workshop will</w:t>
      </w:r>
      <w:r w:rsidRPr="006C3D9D" w:rsidR="00420575">
        <w:rPr>
          <w:rFonts w:eastAsiaTheme="minorHAnsi"/>
          <w:sz w:val="24"/>
          <w:szCs w:val="24"/>
        </w:rPr>
        <w:t xml:space="preserve"> clean the data </w:t>
      </w:r>
      <w:r w:rsidRPr="006C3D9D">
        <w:rPr>
          <w:rFonts w:eastAsiaTheme="minorHAnsi"/>
          <w:sz w:val="24"/>
          <w:szCs w:val="24"/>
        </w:rPr>
        <w:t>using SPSS. The datasets will go through a thorough review and data cleaning process to remove</w:t>
      </w:r>
      <w:r w:rsidRPr="006C3D9D" w:rsidR="00420575">
        <w:rPr>
          <w:rFonts w:eastAsiaTheme="minorHAnsi"/>
          <w:sz w:val="24"/>
          <w:szCs w:val="24"/>
        </w:rPr>
        <w:t xml:space="preserve"> </w:t>
      </w:r>
      <w:r w:rsidRPr="006C3D9D">
        <w:rPr>
          <w:rFonts w:eastAsiaTheme="minorHAnsi"/>
          <w:sz w:val="24"/>
          <w:szCs w:val="24"/>
        </w:rPr>
        <w:t>unfinished, duplicate, and/or fraudulent surveys, and a de-identified dataset will be created for</w:t>
      </w:r>
      <w:r w:rsidRPr="006C3D9D" w:rsidR="00420575">
        <w:rPr>
          <w:rFonts w:eastAsiaTheme="minorHAnsi"/>
          <w:sz w:val="24"/>
          <w:szCs w:val="24"/>
        </w:rPr>
        <w:t xml:space="preserve"> </w:t>
      </w:r>
      <w:r w:rsidRPr="006C3D9D">
        <w:rPr>
          <w:rFonts w:eastAsiaTheme="minorHAnsi"/>
          <w:sz w:val="24"/>
          <w:szCs w:val="24"/>
        </w:rPr>
        <w:t xml:space="preserve">analysis. Only members of the research team </w:t>
      </w:r>
      <w:bookmarkStart w:name="_Hlk63675975" w:id="7"/>
      <w:r w:rsidRPr="006C3D9D">
        <w:rPr>
          <w:rFonts w:eastAsiaTheme="minorHAnsi"/>
          <w:sz w:val="24"/>
          <w:szCs w:val="24"/>
        </w:rPr>
        <w:t xml:space="preserve">(i.e. FDA CTP, KDH Research and Communication, and FCB) </w:t>
      </w:r>
      <w:bookmarkEnd w:id="7"/>
      <w:r w:rsidRPr="006C3D9D">
        <w:rPr>
          <w:rFonts w:eastAsiaTheme="minorHAnsi"/>
          <w:sz w:val="24"/>
          <w:szCs w:val="24"/>
        </w:rPr>
        <w:t xml:space="preserve">will have access to the de-identified raw data files. </w:t>
      </w:r>
      <w:r w:rsidRPr="006C3D9D" w:rsidR="007876A2">
        <w:rPr>
          <w:rFonts w:eastAsiaTheme="minorHAnsi"/>
          <w:sz w:val="24"/>
          <w:szCs w:val="24"/>
        </w:rPr>
        <w:t>FDA</w:t>
      </w:r>
      <w:r w:rsidRPr="006C3D9D" w:rsidR="006D0FFE">
        <w:rPr>
          <w:rFonts w:eastAsiaTheme="minorHAnsi"/>
          <w:sz w:val="24"/>
          <w:szCs w:val="24"/>
        </w:rPr>
        <w:t>/CTP and FCB</w:t>
      </w:r>
      <w:r w:rsidRPr="006C3D9D">
        <w:rPr>
          <w:rFonts w:eastAsiaTheme="minorHAnsi"/>
          <w:sz w:val="24"/>
          <w:szCs w:val="24"/>
        </w:rPr>
        <w:t xml:space="preserve"> will never receive any </w:t>
      </w:r>
      <w:r w:rsidRPr="006C3D9D" w:rsidR="00420575">
        <w:rPr>
          <w:rFonts w:eastAsiaTheme="minorHAnsi"/>
          <w:sz w:val="24"/>
          <w:szCs w:val="24"/>
        </w:rPr>
        <w:t xml:space="preserve">PII. </w:t>
      </w:r>
    </w:p>
    <w:p w:rsidRPr="006C3D9D" w:rsidR="005D2044" w:rsidP="006E71B8" w:rsidRDefault="005D2044" w14:paraId="46B1B685" w14:textId="77777777">
      <w:pPr>
        <w:pStyle w:val="bodytextpsg"/>
        <w:autoSpaceDE w:val="0"/>
        <w:autoSpaceDN w:val="0"/>
        <w:adjustRightInd w:val="0"/>
        <w:spacing w:before="0" w:after="0"/>
        <w:ind w:firstLine="0"/>
        <w:rPr>
          <w:b/>
          <w:i/>
          <w:sz w:val="24"/>
        </w:rPr>
      </w:pPr>
    </w:p>
    <w:p w:rsidRPr="006C3D9D" w:rsidR="006E71B8" w:rsidP="006E71B8" w:rsidRDefault="006E71B8" w14:paraId="7BE78260" w14:textId="1ABC5912">
      <w:pPr>
        <w:pStyle w:val="bodytextpsg"/>
        <w:autoSpaceDE w:val="0"/>
        <w:autoSpaceDN w:val="0"/>
        <w:adjustRightInd w:val="0"/>
        <w:spacing w:before="0" w:after="0"/>
        <w:ind w:firstLine="0"/>
        <w:rPr>
          <w:b/>
          <w:i/>
          <w:sz w:val="24"/>
        </w:rPr>
      </w:pPr>
      <w:r w:rsidRPr="006C3D9D">
        <w:rPr>
          <w:b/>
          <w:i/>
          <w:sz w:val="24"/>
        </w:rPr>
        <w:t>Unusual Problems Requiring Specialized Sampling Procedures</w:t>
      </w:r>
    </w:p>
    <w:p w:rsidRPr="006C3D9D" w:rsidR="006E71B8" w:rsidP="006E71B8" w:rsidRDefault="006E71B8" w14:paraId="7B818FA9" w14:textId="77777777">
      <w:pPr>
        <w:autoSpaceDE w:val="0"/>
        <w:autoSpaceDN w:val="0"/>
        <w:adjustRightInd w:val="0"/>
        <w:rPr>
          <w:sz w:val="24"/>
          <w:szCs w:val="24"/>
        </w:rPr>
      </w:pPr>
      <w:r w:rsidRPr="006C3D9D">
        <w:rPr>
          <w:sz w:val="24"/>
          <w:szCs w:val="24"/>
        </w:rPr>
        <w:t>No specialized sampling procedures are involved.</w:t>
      </w:r>
    </w:p>
    <w:p w:rsidRPr="006C3D9D" w:rsidR="006E71B8" w:rsidP="006E71B8" w:rsidRDefault="006E71B8" w14:paraId="34715116" w14:textId="77777777">
      <w:pPr>
        <w:autoSpaceDE w:val="0"/>
        <w:autoSpaceDN w:val="0"/>
        <w:adjustRightInd w:val="0"/>
        <w:rPr>
          <w:b/>
          <w:i/>
          <w:sz w:val="24"/>
        </w:rPr>
      </w:pPr>
    </w:p>
    <w:p w:rsidRPr="006C3D9D" w:rsidR="006E71B8" w:rsidP="006E71B8" w:rsidRDefault="006E71B8" w14:paraId="7A409B38" w14:textId="77777777">
      <w:pPr>
        <w:autoSpaceDE w:val="0"/>
        <w:autoSpaceDN w:val="0"/>
        <w:adjustRightInd w:val="0"/>
        <w:rPr>
          <w:b/>
          <w:i/>
          <w:sz w:val="24"/>
        </w:rPr>
      </w:pPr>
      <w:r w:rsidRPr="006C3D9D">
        <w:rPr>
          <w:b/>
          <w:i/>
          <w:sz w:val="24"/>
        </w:rPr>
        <w:t>Use of Periodic Data Collection Cycles to Reduce Burden</w:t>
      </w:r>
    </w:p>
    <w:p w:rsidRPr="006C3D9D" w:rsidR="006E71B8" w:rsidP="006E71B8" w:rsidRDefault="00E44872" w14:paraId="73A86B03" w14:textId="1B22EF29">
      <w:pPr>
        <w:pStyle w:val="Heading4"/>
        <w:rPr>
          <w:rFonts w:ascii="Times New Roman" w:hAnsi="Times New Roman" w:cs="Times New Roman"/>
          <w:b w:val="0"/>
          <w:bCs w:val="0"/>
          <w:szCs w:val="24"/>
        </w:rPr>
      </w:pPr>
      <w:r w:rsidRPr="006C3D9D">
        <w:rPr>
          <w:rFonts w:ascii="Times New Roman" w:hAnsi="Times New Roman" w:cs="Times New Roman"/>
          <w:b w:val="0"/>
          <w:bCs w:val="0"/>
          <w:szCs w:val="24"/>
        </w:rPr>
        <w:t xml:space="preserve">The survey will be repeated with a new cross-sectional sample </w:t>
      </w:r>
      <w:r w:rsidRPr="006C3D9D" w:rsidR="005D2044">
        <w:rPr>
          <w:rFonts w:ascii="Times New Roman" w:hAnsi="Times New Roman" w:cs="Times New Roman"/>
          <w:b w:val="0"/>
          <w:bCs w:val="0"/>
          <w:szCs w:val="24"/>
        </w:rPr>
        <w:t xml:space="preserve">each quarter </w:t>
      </w:r>
      <w:r w:rsidRPr="006C3D9D" w:rsidR="00A52DF0">
        <w:rPr>
          <w:rFonts w:ascii="Times New Roman" w:hAnsi="Times New Roman" w:cs="Times New Roman"/>
          <w:b w:val="0"/>
          <w:bCs w:val="0"/>
          <w:szCs w:val="24"/>
        </w:rPr>
        <w:t xml:space="preserve">for </w:t>
      </w:r>
      <w:r w:rsidR="00EA306C">
        <w:rPr>
          <w:rFonts w:ascii="Times New Roman" w:hAnsi="Times New Roman" w:cs="Times New Roman"/>
          <w:b w:val="0"/>
          <w:bCs w:val="0"/>
          <w:szCs w:val="24"/>
        </w:rPr>
        <w:t>six months</w:t>
      </w:r>
      <w:r w:rsidRPr="006C3D9D">
        <w:rPr>
          <w:rFonts w:ascii="Times New Roman" w:hAnsi="Times New Roman" w:cs="Times New Roman"/>
          <w:b w:val="0"/>
          <w:bCs w:val="0"/>
          <w:szCs w:val="24"/>
        </w:rPr>
        <w:t xml:space="preserve"> </w:t>
      </w:r>
      <w:r w:rsidRPr="006C3D9D" w:rsidR="000C0C74">
        <w:rPr>
          <w:rFonts w:ascii="Times New Roman" w:hAnsi="Times New Roman" w:cs="Times New Roman"/>
          <w:b w:val="0"/>
          <w:bCs w:val="0"/>
          <w:szCs w:val="24"/>
        </w:rPr>
        <w:t xml:space="preserve">Each sample will be freshly recruited, but respondents will be eligible to participate again 6 months after initial participation.  </w:t>
      </w:r>
    </w:p>
    <w:p w:rsidRPr="006C3D9D" w:rsidR="00DD37DC" w:rsidP="00DD37DC" w:rsidRDefault="00DD37DC" w14:paraId="2C2AAC83" w14:textId="77777777"/>
    <w:p w:rsidRPr="006C3D9D" w:rsidR="006E71B8" w:rsidP="006E71B8" w:rsidRDefault="006E71B8" w14:paraId="1F1E5837" w14:textId="5273AA9E">
      <w:pPr>
        <w:pStyle w:val="Heading4"/>
        <w:rPr>
          <w:rFonts w:ascii="Times New Roman" w:hAnsi="Times New Roman" w:cs="Times New Roman"/>
          <w:szCs w:val="24"/>
          <w:u w:val="single"/>
        </w:rPr>
      </w:pPr>
      <w:r w:rsidRPr="006C3D9D">
        <w:rPr>
          <w:rFonts w:ascii="Times New Roman" w:hAnsi="Times New Roman" w:cs="Times New Roman"/>
          <w:szCs w:val="24"/>
          <w:u w:val="single"/>
        </w:rPr>
        <w:t>3. Methods to Maximize Response Rates</w:t>
      </w:r>
    </w:p>
    <w:p w:rsidRPr="006C3D9D" w:rsidR="006E71B8" w:rsidP="006E71B8" w:rsidRDefault="006E71B8" w14:paraId="6A2AEED9" w14:textId="77777777">
      <w:pPr>
        <w:rPr>
          <w:b/>
          <w:sz w:val="24"/>
          <w:szCs w:val="24"/>
          <w:u w:val="single"/>
        </w:rPr>
      </w:pPr>
    </w:p>
    <w:p w:rsidRPr="006C3D9D" w:rsidR="006E71B8" w:rsidP="006E71B8" w:rsidRDefault="006E71B8" w14:paraId="0C19F5DE" w14:textId="5E8E8E9A">
      <w:pPr>
        <w:rPr>
          <w:sz w:val="24"/>
          <w:szCs w:val="24"/>
        </w:rPr>
      </w:pPr>
      <w:r w:rsidRPr="006C3D9D">
        <w:rPr>
          <w:sz w:val="24"/>
          <w:szCs w:val="24"/>
        </w:rPr>
        <w:t xml:space="preserve">The ability to obtain the cooperation of potential respondents in the survey will be important to the success of this study. </w:t>
      </w:r>
      <w:r w:rsidRPr="006C3D9D" w:rsidR="000B4206">
        <w:rPr>
          <w:sz w:val="24"/>
          <w:szCs w:val="24"/>
        </w:rPr>
        <w:t xml:space="preserve">We </w:t>
      </w:r>
      <w:r w:rsidRPr="006C3D9D">
        <w:rPr>
          <w:sz w:val="24"/>
          <w:szCs w:val="24"/>
        </w:rPr>
        <w:t>will minimize the non-response rate by employing the following measures:</w:t>
      </w:r>
    </w:p>
    <w:p w:rsidRPr="006C3D9D" w:rsidR="006E71B8" w:rsidP="006E71B8" w:rsidRDefault="007E2AAC" w14:paraId="5AFA02DD" w14:textId="258D4E86">
      <w:pPr>
        <w:numPr>
          <w:ilvl w:val="0"/>
          <w:numId w:val="2"/>
        </w:numPr>
        <w:ind w:left="720"/>
        <w:rPr>
          <w:sz w:val="24"/>
          <w:szCs w:val="24"/>
        </w:rPr>
      </w:pPr>
      <w:r w:rsidRPr="006C3D9D">
        <w:rPr>
          <w:sz w:val="24"/>
          <w:szCs w:val="24"/>
        </w:rPr>
        <w:t xml:space="preserve">Use the online panels provided by </w:t>
      </w:r>
      <w:r w:rsidRPr="006C3D9D" w:rsidR="00AB6581">
        <w:rPr>
          <w:sz w:val="24"/>
          <w:szCs w:val="24"/>
        </w:rPr>
        <w:t xml:space="preserve">Marketing Workshop </w:t>
      </w:r>
      <w:r w:rsidRPr="006C3D9D" w:rsidR="006E71B8">
        <w:rPr>
          <w:sz w:val="24"/>
          <w:szCs w:val="24"/>
        </w:rPr>
        <w:t>to best reach the desired sample</w:t>
      </w:r>
    </w:p>
    <w:p w:rsidRPr="006C3D9D" w:rsidR="00856F79" w:rsidP="00856F79" w:rsidRDefault="00856F79" w14:paraId="03DBF978" w14:textId="77777777">
      <w:pPr>
        <w:numPr>
          <w:ilvl w:val="0"/>
          <w:numId w:val="2"/>
        </w:numPr>
        <w:ind w:left="720"/>
        <w:rPr>
          <w:sz w:val="24"/>
          <w:szCs w:val="24"/>
        </w:rPr>
      </w:pPr>
      <w:r w:rsidRPr="006C3D9D">
        <w:rPr>
          <w:sz w:val="24"/>
          <w:szCs w:val="24"/>
        </w:rPr>
        <w:t xml:space="preserve">Send reminders to all invitees who have not responded 48 hours after initial invitation. </w:t>
      </w:r>
    </w:p>
    <w:p w:rsidRPr="006C3D9D" w:rsidR="006E71B8" w:rsidRDefault="006E71B8" w14:paraId="444CC17C" w14:textId="284F370A">
      <w:pPr>
        <w:numPr>
          <w:ilvl w:val="0"/>
          <w:numId w:val="2"/>
        </w:numPr>
        <w:ind w:left="720"/>
        <w:rPr>
          <w:sz w:val="24"/>
          <w:szCs w:val="24"/>
        </w:rPr>
      </w:pPr>
      <w:r w:rsidRPr="006C3D9D">
        <w:rPr>
          <w:sz w:val="24"/>
          <w:szCs w:val="24"/>
        </w:rPr>
        <w:lastRenderedPageBreak/>
        <w:t xml:space="preserve">Provide </w:t>
      </w:r>
      <w:r w:rsidRPr="006C3D9D" w:rsidR="00101043">
        <w:rPr>
          <w:sz w:val="24"/>
          <w:szCs w:val="24"/>
        </w:rPr>
        <w:t>a $5 gift card</w:t>
      </w:r>
      <w:r w:rsidRPr="006C3D9D" w:rsidDel="00F317AD" w:rsidR="00F317AD">
        <w:rPr>
          <w:sz w:val="24"/>
          <w:szCs w:val="24"/>
        </w:rPr>
        <w:t xml:space="preserve"> </w:t>
      </w:r>
      <w:r w:rsidRPr="006C3D9D" w:rsidR="00F317AD">
        <w:rPr>
          <w:sz w:val="24"/>
          <w:szCs w:val="24"/>
        </w:rPr>
        <w:t>as a token of appreciation</w:t>
      </w:r>
      <w:r w:rsidRPr="006C3D9D">
        <w:rPr>
          <w:sz w:val="24"/>
          <w:szCs w:val="24"/>
        </w:rPr>
        <w:t xml:space="preserve"> to participants who complete and submit the survey</w:t>
      </w:r>
    </w:p>
    <w:p w:rsidRPr="006C3D9D" w:rsidR="006E71B8" w:rsidP="006E71B8" w:rsidRDefault="006E71B8" w14:paraId="4FA78CC9" w14:textId="77777777">
      <w:pPr>
        <w:rPr>
          <w:sz w:val="24"/>
          <w:szCs w:val="24"/>
        </w:rPr>
      </w:pPr>
    </w:p>
    <w:p w:rsidRPr="006C3D9D" w:rsidR="00101043" w:rsidP="00101043" w:rsidRDefault="00101043" w14:paraId="3787239A" w14:textId="45E4107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r w:rsidRPr="006C3D9D">
        <w:rPr>
          <w:bCs/>
          <w:sz w:val="24"/>
          <w:szCs w:val="24"/>
        </w:rPr>
        <w:t xml:space="preserve">As a token of appreciation, participants recruited who complete and submit the survey will receive a Visa gift card worth </w:t>
      </w:r>
      <w:r w:rsidRPr="006C3D9D">
        <w:rPr>
          <w:bCs/>
          <w:iCs/>
          <w:sz w:val="24"/>
          <w:szCs w:val="24"/>
        </w:rPr>
        <w:t>$5</w:t>
      </w:r>
      <w:r w:rsidRPr="006C3D9D">
        <w:rPr>
          <w:bCs/>
          <w:sz w:val="24"/>
          <w:szCs w:val="24"/>
        </w:rPr>
        <w:t xml:space="preserve">. Such tokens </w:t>
      </w:r>
      <w:r w:rsidRPr="006C3D9D">
        <w:rPr>
          <w:sz w:val="24"/>
          <w:szCs w:val="24"/>
        </w:rPr>
        <w:t>are commonly used by research agencies to efficiently and effectively recruit participants; parents/guardians or individual members who choose to be a part of these online panels have an expectation that they will be compensated for their time. We estimate that the survey will take about 1</w:t>
      </w:r>
      <w:r w:rsidRPr="006C3D9D" w:rsidR="00F072B7">
        <w:rPr>
          <w:sz w:val="24"/>
          <w:szCs w:val="24"/>
        </w:rPr>
        <w:t>7</w:t>
      </w:r>
      <w:r w:rsidRPr="006C3D9D">
        <w:rPr>
          <w:sz w:val="24"/>
          <w:szCs w:val="24"/>
        </w:rPr>
        <w:t xml:space="preserve"> minutes to complete</w:t>
      </w:r>
      <w:r w:rsidRPr="006C3D9D" w:rsidR="00EC6939">
        <w:rPr>
          <w:sz w:val="24"/>
          <w:szCs w:val="24"/>
        </w:rPr>
        <w:t>, with the entire study taking 21 minutes</w:t>
      </w:r>
      <w:r w:rsidRPr="006C3D9D" w:rsidR="00CF202F">
        <w:rPr>
          <w:sz w:val="24"/>
          <w:szCs w:val="24"/>
        </w:rPr>
        <w:t xml:space="preserve"> (including a 2-minute screener and 2-minute assent process)</w:t>
      </w:r>
      <w:r w:rsidRPr="006C3D9D" w:rsidR="00EC6939">
        <w:rPr>
          <w:sz w:val="24"/>
          <w:szCs w:val="24"/>
        </w:rPr>
        <w:t>.</w:t>
      </w:r>
      <w:r w:rsidRPr="006C3D9D">
        <w:rPr>
          <w:sz w:val="24"/>
          <w:szCs w:val="24"/>
        </w:rPr>
        <w:t xml:space="preserve"> This amount not only reflects the burden of time to participate, it will also ensure that the respondent pool is recruited within a tight timeframe. Smaller token amounts are associated with slower movement on recruitment. </w:t>
      </w:r>
    </w:p>
    <w:p w:rsidRPr="006C3D9D" w:rsidR="00273625" w:rsidP="007E2AAC" w:rsidRDefault="00273625"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p>
    <w:p w:rsidRPr="006C3D9D" w:rsidR="006E71B8" w:rsidP="006E71B8" w:rsidRDefault="006E71B8" w14:paraId="42484D09" w14:textId="0615BE64">
      <w:pPr>
        <w:rPr>
          <w:b/>
          <w:sz w:val="24"/>
          <w:szCs w:val="24"/>
          <w:u w:val="single"/>
        </w:rPr>
      </w:pPr>
      <w:r w:rsidRPr="006C3D9D">
        <w:rPr>
          <w:b/>
          <w:sz w:val="24"/>
          <w:szCs w:val="24"/>
          <w:u w:val="single"/>
        </w:rPr>
        <w:t>4</w:t>
      </w:r>
      <w:r w:rsidRPr="006C3D9D">
        <w:rPr>
          <w:sz w:val="24"/>
          <w:szCs w:val="24"/>
          <w:u w:val="single"/>
        </w:rPr>
        <w:t xml:space="preserve">. </w:t>
      </w:r>
      <w:r w:rsidRPr="006C3D9D">
        <w:rPr>
          <w:b/>
          <w:sz w:val="24"/>
          <w:szCs w:val="24"/>
          <w:u w:val="single"/>
        </w:rPr>
        <w:t>Tests of Procedures or Methods</w:t>
      </w:r>
    </w:p>
    <w:p w:rsidRPr="006C3D9D" w:rsidR="006E71B8" w:rsidP="006E71B8" w:rsidRDefault="006E71B8" w14:paraId="6AC02344" w14:textId="1C536994">
      <w:pPr>
        <w:ind w:left="720" w:hanging="720"/>
        <w:rPr>
          <w:b/>
          <w:sz w:val="24"/>
          <w:szCs w:val="24"/>
          <w:u w:val="single"/>
        </w:rPr>
      </w:pPr>
    </w:p>
    <w:p w:rsidRPr="006C3D9D" w:rsidR="006E71B8" w:rsidP="006E71B8" w:rsidRDefault="007E2AAC" w14:paraId="6815CF1A" w14:textId="74FB84AA">
      <w:pPr>
        <w:rPr>
          <w:sz w:val="24"/>
          <w:szCs w:val="24"/>
        </w:rPr>
      </w:pPr>
      <w:r w:rsidRPr="006C3D9D">
        <w:rPr>
          <w:sz w:val="24"/>
          <w:szCs w:val="24"/>
        </w:rPr>
        <w:t xml:space="preserve">KDH Research &amp; Communication </w:t>
      </w:r>
      <w:r w:rsidRPr="006C3D9D" w:rsidR="006E71B8">
        <w:rPr>
          <w:sz w:val="24"/>
          <w:szCs w:val="24"/>
        </w:rPr>
        <w:t>will conduct rigorous internal testing of the online survey instrument</w:t>
      </w:r>
      <w:r w:rsidRPr="006C3D9D" w:rsidR="00B42AE3">
        <w:rPr>
          <w:sz w:val="24"/>
          <w:szCs w:val="24"/>
        </w:rPr>
        <w:t>s</w:t>
      </w:r>
      <w:r w:rsidRPr="006C3D9D" w:rsidR="006E71B8">
        <w:rPr>
          <w:sz w:val="24"/>
          <w:szCs w:val="24"/>
        </w:rPr>
        <w:t xml:space="preserve"> prior to fielding. Survey testers will review the online test version of the instrument that we will use to verify that instrument skip patterns are functioning properly, delivery of the </w:t>
      </w:r>
      <w:r w:rsidRPr="006C3D9D" w:rsidR="00523D61">
        <w:rPr>
          <w:sz w:val="24"/>
          <w:szCs w:val="24"/>
        </w:rPr>
        <w:t>token of appreciation</w:t>
      </w:r>
      <w:r w:rsidRPr="006C3D9D" w:rsidR="00246ECB">
        <w:rPr>
          <w:sz w:val="24"/>
          <w:szCs w:val="24"/>
        </w:rPr>
        <w:t xml:space="preserve"> </w:t>
      </w:r>
      <w:r w:rsidRPr="006C3D9D" w:rsidR="006E71B8">
        <w:rPr>
          <w:sz w:val="24"/>
          <w:szCs w:val="24"/>
        </w:rPr>
        <w:t>is working properly, and that all survey questions are worded correctly and are in accordance with the instrument approved by OMB.</w:t>
      </w:r>
    </w:p>
    <w:p w:rsidRPr="006C3D9D" w:rsidR="006E71B8" w:rsidP="006E71B8" w:rsidRDefault="006E71B8" w14:paraId="27B70BC3" w14:textId="77777777">
      <w:pPr>
        <w:ind w:left="720" w:hanging="720"/>
        <w:rPr>
          <w:b/>
          <w:sz w:val="24"/>
          <w:szCs w:val="24"/>
          <w:u w:val="single"/>
        </w:rPr>
      </w:pPr>
    </w:p>
    <w:p w:rsidRPr="006C3D9D" w:rsidR="006E71B8" w:rsidP="006E71B8" w:rsidRDefault="006E71B8" w14:paraId="344B0039" w14:textId="2038B577">
      <w:pPr>
        <w:ind w:left="720" w:hanging="720"/>
        <w:rPr>
          <w:b/>
          <w:sz w:val="24"/>
          <w:szCs w:val="24"/>
          <w:u w:val="single"/>
        </w:rPr>
      </w:pPr>
      <w:r w:rsidRPr="006C3D9D">
        <w:rPr>
          <w:b/>
          <w:sz w:val="24"/>
          <w:szCs w:val="24"/>
          <w:u w:val="single"/>
        </w:rPr>
        <w:t xml:space="preserve">5. Individuals Involved in Statistical Consultation and Information </w:t>
      </w:r>
      <w:r w:rsidRPr="006C3D9D" w:rsidR="00246ECB">
        <w:rPr>
          <w:b/>
          <w:sz w:val="24"/>
          <w:szCs w:val="24"/>
          <w:u w:val="single"/>
        </w:rPr>
        <w:t>Collection</w:t>
      </w:r>
    </w:p>
    <w:p w:rsidRPr="006C3D9D" w:rsidR="006E71B8" w:rsidP="006E71B8" w:rsidRDefault="006E71B8" w14:paraId="3C545004" w14:textId="77777777">
      <w:pPr>
        <w:rPr>
          <w:sz w:val="24"/>
          <w:szCs w:val="24"/>
        </w:rPr>
      </w:pPr>
    </w:p>
    <w:p w:rsidRPr="006C3D9D" w:rsidR="006E71B8" w:rsidP="006E71B8" w:rsidRDefault="006E71B8" w14:paraId="098E83F8" w14:textId="3A966129">
      <w:pPr>
        <w:rPr>
          <w:sz w:val="24"/>
          <w:szCs w:val="24"/>
        </w:rPr>
      </w:pPr>
      <w:bookmarkStart w:name="_Toc361824168" w:id="8"/>
      <w:bookmarkStart w:name="_Toc365037510" w:id="9"/>
      <w:r w:rsidRPr="006C3D9D">
        <w:rPr>
          <w:sz w:val="24"/>
          <w:szCs w:val="24"/>
        </w:rPr>
        <w:t xml:space="preserve">The following individuals inside the agency have been consulted on the design of the </w:t>
      </w:r>
      <w:r w:rsidRPr="006C3D9D" w:rsidR="001A54A8">
        <w:rPr>
          <w:sz w:val="24"/>
          <w:szCs w:val="24"/>
        </w:rPr>
        <w:t>study</w:t>
      </w:r>
      <w:r w:rsidRPr="006C3D9D" w:rsidR="00B30F53">
        <w:rPr>
          <w:sz w:val="24"/>
          <w:szCs w:val="24"/>
        </w:rPr>
        <w:t xml:space="preserve"> </w:t>
      </w:r>
      <w:r w:rsidRPr="006C3D9D">
        <w:rPr>
          <w:sz w:val="24"/>
          <w:szCs w:val="24"/>
        </w:rPr>
        <w:t xml:space="preserve">plan, audience </w:t>
      </w:r>
      <w:r w:rsidRPr="006C3D9D" w:rsidR="00DC685D">
        <w:rPr>
          <w:sz w:val="24"/>
          <w:szCs w:val="24"/>
        </w:rPr>
        <w:t xml:space="preserve">survey </w:t>
      </w:r>
      <w:r w:rsidRPr="006C3D9D">
        <w:rPr>
          <w:sz w:val="24"/>
          <w:szCs w:val="24"/>
        </w:rPr>
        <w:t>development, or intra-agency coordination of information collection efforts:</w:t>
      </w:r>
    </w:p>
    <w:p w:rsidRPr="006C3D9D" w:rsidR="006E71B8" w:rsidP="006E71B8" w:rsidRDefault="006E71B8" w14:paraId="3B6984C1" w14:textId="77777777">
      <w:pPr>
        <w:rPr>
          <w:sz w:val="24"/>
          <w:szCs w:val="24"/>
        </w:rPr>
      </w:pPr>
    </w:p>
    <w:p w:rsidRPr="006C3D9D" w:rsidR="00EE192E" w:rsidP="00EE192E" w:rsidRDefault="00EE192E" w14:paraId="1AACFA35" w14:textId="77777777">
      <w:pPr>
        <w:ind w:left="180"/>
        <w:rPr>
          <w:rFonts w:eastAsiaTheme="minorHAnsi"/>
          <w:sz w:val="24"/>
          <w:szCs w:val="24"/>
        </w:rPr>
      </w:pPr>
    </w:p>
    <w:p w:rsidRPr="006C3D9D" w:rsidR="00EE192E" w:rsidP="00EE192E" w:rsidRDefault="007A36C4" w14:paraId="58B27AFD" w14:textId="292F239A">
      <w:pPr>
        <w:ind w:left="180"/>
        <w:rPr>
          <w:rFonts w:eastAsiaTheme="minorHAnsi"/>
          <w:sz w:val="24"/>
          <w:szCs w:val="24"/>
        </w:rPr>
      </w:pPr>
      <w:r w:rsidRPr="006C3D9D">
        <w:rPr>
          <w:rFonts w:eastAsiaTheme="minorHAnsi"/>
          <w:sz w:val="24"/>
          <w:szCs w:val="24"/>
        </w:rPr>
        <w:t>Morgane Bennett</w:t>
      </w:r>
      <w:r w:rsidRPr="006C3D9D" w:rsidR="00246ECB">
        <w:rPr>
          <w:rFonts w:eastAsiaTheme="minorHAnsi"/>
          <w:sz w:val="24"/>
          <w:szCs w:val="24"/>
        </w:rPr>
        <w:t xml:space="preserve">, </w:t>
      </w:r>
      <w:r w:rsidRPr="006C3D9D" w:rsidR="00420575">
        <w:rPr>
          <w:rFonts w:eastAsiaTheme="minorHAnsi"/>
          <w:sz w:val="24"/>
          <w:szCs w:val="24"/>
        </w:rPr>
        <w:t>DrPH, MPH</w:t>
      </w:r>
    </w:p>
    <w:p w:rsidRPr="006C3D9D" w:rsidR="00EE192E" w:rsidP="00EE192E" w:rsidRDefault="00EE192E" w14:paraId="522522F0" w14:textId="1EBAB1D8">
      <w:pPr>
        <w:ind w:left="180"/>
        <w:rPr>
          <w:rFonts w:eastAsiaTheme="minorHAnsi"/>
          <w:sz w:val="24"/>
          <w:szCs w:val="24"/>
        </w:rPr>
      </w:pPr>
      <w:r w:rsidRPr="006C3D9D">
        <w:rPr>
          <w:rFonts w:eastAsiaTheme="minorHAnsi"/>
          <w:sz w:val="24"/>
          <w:szCs w:val="24"/>
        </w:rPr>
        <w:t>Office of Health Communication &amp; Education</w:t>
      </w:r>
    </w:p>
    <w:p w:rsidRPr="006C3D9D" w:rsidR="00EE192E" w:rsidP="00EE192E" w:rsidRDefault="00EE192E" w14:paraId="75BA21A8" w14:textId="77777777">
      <w:pPr>
        <w:ind w:left="180"/>
        <w:rPr>
          <w:rFonts w:eastAsiaTheme="minorHAnsi"/>
          <w:sz w:val="24"/>
          <w:szCs w:val="24"/>
        </w:rPr>
      </w:pPr>
      <w:r w:rsidRPr="006C3D9D">
        <w:rPr>
          <w:rFonts w:eastAsiaTheme="minorHAnsi"/>
          <w:sz w:val="24"/>
          <w:szCs w:val="24"/>
        </w:rPr>
        <w:t>Center for Tobacco Products</w:t>
      </w:r>
    </w:p>
    <w:p w:rsidRPr="006C3D9D" w:rsidR="00EE192E" w:rsidP="00EE192E" w:rsidRDefault="00EE192E" w14:paraId="00AA2D62" w14:textId="77777777">
      <w:pPr>
        <w:ind w:left="180"/>
        <w:rPr>
          <w:rFonts w:eastAsiaTheme="minorHAnsi"/>
          <w:sz w:val="24"/>
          <w:szCs w:val="24"/>
        </w:rPr>
      </w:pPr>
      <w:r w:rsidRPr="006C3D9D">
        <w:rPr>
          <w:rFonts w:eastAsiaTheme="minorHAnsi"/>
          <w:sz w:val="24"/>
          <w:szCs w:val="24"/>
        </w:rPr>
        <w:t>Food and Drug Administration</w:t>
      </w:r>
    </w:p>
    <w:p w:rsidRPr="006C3D9D" w:rsidR="00EE192E" w:rsidP="00EE192E" w:rsidRDefault="00EE192E" w14:paraId="1B9BCC1D" w14:textId="77777777">
      <w:pPr>
        <w:ind w:left="180"/>
        <w:rPr>
          <w:rFonts w:eastAsiaTheme="minorHAnsi"/>
          <w:sz w:val="24"/>
          <w:szCs w:val="24"/>
        </w:rPr>
      </w:pPr>
      <w:r w:rsidRPr="006C3D9D">
        <w:rPr>
          <w:rFonts w:eastAsiaTheme="minorHAnsi"/>
          <w:sz w:val="24"/>
          <w:szCs w:val="24"/>
        </w:rPr>
        <w:t>10903 New Hampshire Avenue</w:t>
      </w:r>
    </w:p>
    <w:p w:rsidRPr="006C3D9D" w:rsidR="00EE192E" w:rsidP="00EE192E" w:rsidRDefault="00EE192E" w14:paraId="42F24143" w14:textId="77777777">
      <w:pPr>
        <w:ind w:left="180"/>
        <w:rPr>
          <w:rFonts w:eastAsiaTheme="minorHAnsi"/>
          <w:sz w:val="24"/>
          <w:szCs w:val="24"/>
        </w:rPr>
      </w:pPr>
      <w:r w:rsidRPr="006C3D9D">
        <w:rPr>
          <w:rFonts w:eastAsiaTheme="minorHAnsi"/>
          <w:sz w:val="24"/>
          <w:szCs w:val="24"/>
        </w:rPr>
        <w:t>Silver Spring, MD 20993</w:t>
      </w:r>
    </w:p>
    <w:p w:rsidRPr="006C3D9D" w:rsidR="00EE192E" w:rsidP="00EE192E" w:rsidRDefault="00EE192E" w14:paraId="62BE8CAE" w14:textId="45BCE1A8">
      <w:pPr>
        <w:ind w:left="180"/>
        <w:rPr>
          <w:rFonts w:eastAsiaTheme="minorHAnsi"/>
          <w:sz w:val="24"/>
          <w:szCs w:val="24"/>
        </w:rPr>
      </w:pPr>
      <w:r w:rsidRPr="006C3D9D">
        <w:rPr>
          <w:rFonts w:eastAsiaTheme="minorHAnsi"/>
          <w:sz w:val="24"/>
          <w:szCs w:val="24"/>
        </w:rPr>
        <w:t xml:space="preserve">Phone: </w:t>
      </w:r>
      <w:r w:rsidRPr="006C3D9D" w:rsidR="00943E89">
        <w:rPr>
          <w:rFonts w:eastAsiaTheme="minorHAnsi"/>
          <w:sz w:val="24"/>
          <w:szCs w:val="24"/>
        </w:rPr>
        <w:t>240-402-9281</w:t>
      </w:r>
    </w:p>
    <w:p w:rsidRPr="006C3D9D" w:rsidR="00EE192E" w:rsidP="00EE192E" w:rsidRDefault="00EE192E" w14:paraId="4327CF92" w14:textId="32B5CBC9">
      <w:pPr>
        <w:ind w:left="180"/>
        <w:rPr>
          <w:rFonts w:eastAsiaTheme="minorHAnsi"/>
          <w:sz w:val="24"/>
          <w:szCs w:val="24"/>
        </w:rPr>
      </w:pPr>
      <w:r w:rsidRPr="006C3D9D">
        <w:rPr>
          <w:rFonts w:eastAsiaTheme="minorHAnsi"/>
          <w:sz w:val="24"/>
          <w:szCs w:val="24"/>
        </w:rPr>
        <w:t>E-mail:</w:t>
      </w:r>
      <w:r w:rsidRPr="006C3D9D" w:rsidR="007A36C4">
        <w:rPr>
          <w:rFonts w:eastAsiaTheme="minorHAnsi"/>
          <w:sz w:val="24"/>
          <w:szCs w:val="24"/>
        </w:rPr>
        <w:t xml:space="preserve"> </w:t>
      </w:r>
      <w:hyperlink w:history="1" r:id="rId11">
        <w:r w:rsidRPr="006C3D9D" w:rsidR="007A36C4">
          <w:rPr>
            <w:rStyle w:val="Hyperlink"/>
            <w:rFonts w:eastAsiaTheme="minorHAnsi"/>
            <w:sz w:val="24"/>
            <w:szCs w:val="24"/>
          </w:rPr>
          <w:t>Morgane.Bennett@fda.hhs.gov</w:t>
        </w:r>
      </w:hyperlink>
    </w:p>
    <w:p w:rsidRPr="006C3D9D" w:rsidR="00A45CA1" w:rsidP="00EE192E" w:rsidRDefault="00A45CA1" w14:paraId="3E0D2775" w14:textId="1A6FE3CE">
      <w:pPr>
        <w:ind w:left="180"/>
        <w:rPr>
          <w:rFonts w:eastAsiaTheme="minorHAnsi"/>
          <w:sz w:val="24"/>
          <w:szCs w:val="24"/>
        </w:rPr>
      </w:pPr>
    </w:p>
    <w:p w:rsidRPr="006C3D9D" w:rsidR="00EC6939" w:rsidP="00CF202F" w:rsidRDefault="00EC6939" w14:paraId="4AD10187" w14:textId="0D808925">
      <w:pPr>
        <w:widowControl w:val="0"/>
        <w:autoSpaceDE w:val="0"/>
        <w:autoSpaceDN w:val="0"/>
        <w:adjustRightInd w:val="0"/>
        <w:ind w:left="180"/>
        <w:rPr>
          <w:sz w:val="24"/>
        </w:rPr>
      </w:pPr>
      <w:r w:rsidRPr="006C3D9D">
        <w:rPr>
          <w:sz w:val="24"/>
        </w:rPr>
        <w:t>Atanaska (Nasi) Dineva, MS</w:t>
      </w:r>
    </w:p>
    <w:p w:rsidRPr="006C3D9D" w:rsidR="00EC6939" w:rsidP="00CF202F" w:rsidRDefault="00EC6939" w14:paraId="171A15D4" w14:textId="232F43E4">
      <w:pPr>
        <w:widowControl w:val="0"/>
        <w:autoSpaceDE w:val="0"/>
        <w:autoSpaceDN w:val="0"/>
        <w:adjustRightInd w:val="0"/>
        <w:ind w:left="180"/>
        <w:rPr>
          <w:sz w:val="24"/>
        </w:rPr>
      </w:pPr>
      <w:r w:rsidRPr="006C3D9D">
        <w:rPr>
          <w:sz w:val="24"/>
        </w:rPr>
        <w:t>Office of Health Communication &amp; Education</w:t>
      </w:r>
    </w:p>
    <w:p w:rsidRPr="006C3D9D" w:rsidR="00EC6939" w:rsidP="00CF202F" w:rsidRDefault="00EC6939" w14:paraId="674C52D3" w14:textId="7E89DDC2">
      <w:pPr>
        <w:widowControl w:val="0"/>
        <w:autoSpaceDE w:val="0"/>
        <w:autoSpaceDN w:val="0"/>
        <w:adjustRightInd w:val="0"/>
        <w:ind w:left="180"/>
        <w:rPr>
          <w:sz w:val="24"/>
        </w:rPr>
      </w:pPr>
      <w:r w:rsidRPr="006C3D9D">
        <w:rPr>
          <w:sz w:val="24"/>
        </w:rPr>
        <w:t>Center for Tobacco Products</w:t>
      </w:r>
    </w:p>
    <w:p w:rsidRPr="006C3D9D" w:rsidR="00EC6939" w:rsidP="00CF202F" w:rsidRDefault="00EC6939" w14:paraId="0A0D4667" w14:textId="4A8168F9">
      <w:pPr>
        <w:widowControl w:val="0"/>
        <w:autoSpaceDE w:val="0"/>
        <w:autoSpaceDN w:val="0"/>
        <w:adjustRightInd w:val="0"/>
        <w:ind w:left="180"/>
        <w:rPr>
          <w:sz w:val="24"/>
        </w:rPr>
      </w:pPr>
      <w:r w:rsidRPr="006C3D9D">
        <w:rPr>
          <w:sz w:val="24"/>
        </w:rPr>
        <w:t>Food and Drug Administration</w:t>
      </w:r>
    </w:p>
    <w:p w:rsidRPr="006C3D9D" w:rsidR="00EC6939" w:rsidP="00CF202F" w:rsidRDefault="00EC6939" w14:paraId="61A4EE19" w14:textId="3471B2A1">
      <w:pPr>
        <w:widowControl w:val="0"/>
        <w:autoSpaceDE w:val="0"/>
        <w:autoSpaceDN w:val="0"/>
        <w:adjustRightInd w:val="0"/>
        <w:ind w:left="180"/>
        <w:rPr>
          <w:sz w:val="24"/>
        </w:rPr>
      </w:pPr>
      <w:r w:rsidRPr="006C3D9D">
        <w:rPr>
          <w:sz w:val="24"/>
        </w:rPr>
        <w:t>10903 New Hampshire Avenue</w:t>
      </w:r>
    </w:p>
    <w:p w:rsidRPr="006C3D9D" w:rsidR="00EC6939" w:rsidP="00CF202F" w:rsidRDefault="00EC6939" w14:paraId="08DE9E30" w14:textId="38E6E7DC">
      <w:pPr>
        <w:widowControl w:val="0"/>
        <w:autoSpaceDE w:val="0"/>
        <w:autoSpaceDN w:val="0"/>
        <w:adjustRightInd w:val="0"/>
        <w:ind w:left="180"/>
        <w:rPr>
          <w:sz w:val="24"/>
        </w:rPr>
      </w:pPr>
      <w:r w:rsidRPr="006C3D9D">
        <w:rPr>
          <w:sz w:val="24"/>
        </w:rPr>
        <w:t>Silver Spring, MD 20993</w:t>
      </w:r>
    </w:p>
    <w:p w:rsidRPr="006C3D9D" w:rsidR="00CF202F" w:rsidP="00CF202F" w:rsidRDefault="00CF202F" w14:paraId="0D59A96F" w14:textId="7E4987FF">
      <w:pPr>
        <w:widowControl w:val="0"/>
        <w:autoSpaceDE w:val="0"/>
        <w:autoSpaceDN w:val="0"/>
        <w:adjustRightInd w:val="0"/>
        <w:ind w:left="180"/>
        <w:rPr>
          <w:sz w:val="24"/>
          <w:szCs w:val="24"/>
        </w:rPr>
      </w:pPr>
      <w:r w:rsidRPr="006C3D9D">
        <w:rPr>
          <w:sz w:val="24"/>
          <w:szCs w:val="24"/>
        </w:rPr>
        <w:t xml:space="preserve">Phone: </w:t>
      </w:r>
      <w:r w:rsidRPr="006C3D9D">
        <w:rPr>
          <w:color w:val="555555"/>
          <w:sz w:val="24"/>
          <w:szCs w:val="24"/>
        </w:rPr>
        <w:t>301-796-4498</w:t>
      </w:r>
    </w:p>
    <w:p w:rsidRPr="006C3D9D" w:rsidR="00EC6939" w:rsidP="00CF202F" w:rsidRDefault="00F072B7" w14:paraId="53419F43" w14:textId="387F25CB">
      <w:pPr>
        <w:widowControl w:val="0"/>
        <w:autoSpaceDE w:val="0"/>
        <w:autoSpaceDN w:val="0"/>
        <w:adjustRightInd w:val="0"/>
        <w:ind w:left="180"/>
        <w:rPr>
          <w:sz w:val="24"/>
        </w:rPr>
      </w:pPr>
      <w:r w:rsidRPr="006C3D9D">
        <w:rPr>
          <w:sz w:val="24"/>
        </w:rPr>
        <w:t xml:space="preserve">Email: </w:t>
      </w:r>
      <w:hyperlink w:history="1" r:id="rId12">
        <w:r w:rsidRPr="006C3D9D">
          <w:rPr>
            <w:rStyle w:val="Hyperlink"/>
            <w:sz w:val="24"/>
          </w:rPr>
          <w:t>Atanaska.Dineva@fda.hhs.gov</w:t>
        </w:r>
      </w:hyperlink>
      <w:r w:rsidRPr="006C3D9D">
        <w:rPr>
          <w:sz w:val="24"/>
        </w:rPr>
        <w:t xml:space="preserve"> </w:t>
      </w:r>
    </w:p>
    <w:p w:rsidRPr="006C3D9D" w:rsidR="00EC6939" w:rsidP="006C3D9D" w:rsidRDefault="00EC6939" w14:paraId="5F9DA817" w14:textId="77777777">
      <w:pPr>
        <w:rPr>
          <w:sz w:val="24"/>
        </w:rPr>
      </w:pPr>
    </w:p>
    <w:p w:rsidRPr="006C3D9D" w:rsidR="00A45CA1" w:rsidP="00EE192E" w:rsidRDefault="00A45CA1" w14:paraId="7E63DF6C" w14:textId="77777777">
      <w:pPr>
        <w:ind w:left="180"/>
        <w:rPr>
          <w:rFonts w:eastAsiaTheme="minorHAnsi"/>
          <w:sz w:val="24"/>
          <w:szCs w:val="24"/>
        </w:rPr>
      </w:pPr>
    </w:p>
    <w:p w:rsidRPr="006C3D9D" w:rsidR="006E71B8" w:rsidP="006E71B8" w:rsidRDefault="006E71B8" w14:paraId="5234F0FA" w14:textId="0BACEB4A">
      <w:pPr>
        <w:rPr>
          <w:sz w:val="24"/>
          <w:szCs w:val="24"/>
        </w:rPr>
      </w:pPr>
      <w:r w:rsidRPr="006C3D9D">
        <w:rPr>
          <w:sz w:val="24"/>
          <w:szCs w:val="24"/>
        </w:rPr>
        <w:lastRenderedPageBreak/>
        <w:t xml:space="preserve">The following individuals outside of the agency have been consulted on </w:t>
      </w:r>
      <w:r w:rsidRPr="006C3D9D" w:rsidR="00DC685D">
        <w:rPr>
          <w:sz w:val="24"/>
          <w:szCs w:val="24"/>
        </w:rPr>
        <w:t xml:space="preserve">survey </w:t>
      </w:r>
      <w:r w:rsidRPr="006C3D9D">
        <w:rPr>
          <w:sz w:val="24"/>
          <w:szCs w:val="24"/>
        </w:rPr>
        <w:t>development</w:t>
      </w:r>
      <w:r w:rsidRPr="006C3D9D" w:rsidR="00420575">
        <w:rPr>
          <w:sz w:val="24"/>
          <w:szCs w:val="24"/>
        </w:rPr>
        <w:t>:</w:t>
      </w:r>
    </w:p>
    <w:p w:rsidRPr="006C3D9D" w:rsidR="00B67ADD" w:rsidP="006E71B8" w:rsidRDefault="00B67ADD" w14:paraId="0633B2E0" w14:textId="52513107">
      <w:pPr>
        <w:rPr>
          <w:sz w:val="24"/>
          <w:szCs w:val="24"/>
        </w:rPr>
      </w:pPr>
    </w:p>
    <w:p w:rsidRPr="006C3D9D" w:rsidR="00B67ADD" w:rsidP="006E71B8" w:rsidRDefault="00031A3E" w14:paraId="0FD2C020" w14:textId="03CB3B45">
      <w:pPr>
        <w:rPr>
          <w:sz w:val="24"/>
          <w:szCs w:val="24"/>
        </w:rPr>
      </w:pPr>
      <w:r w:rsidRPr="006C3D9D">
        <w:rPr>
          <w:sz w:val="24"/>
          <w:szCs w:val="24"/>
        </w:rPr>
        <w:t xml:space="preserve">Kristen </w:t>
      </w:r>
      <w:r w:rsidRPr="006C3D9D" w:rsidR="0084031A">
        <w:rPr>
          <w:sz w:val="24"/>
          <w:szCs w:val="24"/>
        </w:rPr>
        <w:t>Holtz</w:t>
      </w:r>
      <w:r w:rsidRPr="006C3D9D" w:rsidR="000B076B">
        <w:rPr>
          <w:sz w:val="24"/>
          <w:szCs w:val="24"/>
        </w:rPr>
        <w:t xml:space="preserve">, </w:t>
      </w:r>
      <w:r w:rsidRPr="006C3D9D" w:rsidR="00AB6581">
        <w:rPr>
          <w:sz w:val="24"/>
          <w:szCs w:val="24"/>
        </w:rPr>
        <w:t>Ph.D.</w:t>
      </w:r>
    </w:p>
    <w:p w:rsidRPr="006C3D9D" w:rsidR="0084031A" w:rsidP="0084031A" w:rsidRDefault="0084031A" w14:paraId="33F6CA59" w14:textId="77777777">
      <w:pPr>
        <w:rPr>
          <w:sz w:val="24"/>
          <w:szCs w:val="24"/>
        </w:rPr>
      </w:pPr>
      <w:r w:rsidRPr="006C3D9D">
        <w:rPr>
          <w:sz w:val="24"/>
          <w:szCs w:val="24"/>
        </w:rPr>
        <w:t xml:space="preserve">KDH Research &amp; Communication </w:t>
      </w:r>
    </w:p>
    <w:p w:rsidRPr="006C3D9D" w:rsidR="00F072B7" w:rsidP="0084031A" w:rsidRDefault="00F072B7" w14:paraId="243447B3" w14:textId="07D2272C">
      <w:pPr>
        <w:rPr>
          <w:sz w:val="24"/>
          <w:szCs w:val="24"/>
        </w:rPr>
      </w:pPr>
      <w:r w:rsidRPr="006C3D9D">
        <w:rPr>
          <w:sz w:val="24"/>
          <w:szCs w:val="24"/>
        </w:rPr>
        <w:t>145 15</w:t>
      </w:r>
      <w:r w:rsidRPr="006C3D9D">
        <w:rPr>
          <w:sz w:val="24"/>
          <w:szCs w:val="24"/>
          <w:vertAlign w:val="superscript"/>
        </w:rPr>
        <w:t>th</w:t>
      </w:r>
      <w:r w:rsidRPr="006C3D9D">
        <w:rPr>
          <w:sz w:val="24"/>
          <w:szCs w:val="24"/>
        </w:rPr>
        <w:t xml:space="preserve"> Street NE</w:t>
      </w:r>
    </w:p>
    <w:p w:rsidRPr="006C3D9D" w:rsidR="00F072B7" w:rsidP="0084031A" w:rsidRDefault="00F072B7" w14:paraId="24356D79" w14:textId="6CE975EA">
      <w:pPr>
        <w:rPr>
          <w:sz w:val="24"/>
          <w:szCs w:val="24"/>
        </w:rPr>
      </w:pPr>
      <w:r w:rsidRPr="006C3D9D">
        <w:rPr>
          <w:sz w:val="24"/>
          <w:szCs w:val="24"/>
        </w:rPr>
        <w:t>Suite 831</w:t>
      </w:r>
    </w:p>
    <w:p w:rsidRPr="006C3D9D" w:rsidR="00F072B7" w:rsidP="0084031A" w:rsidRDefault="00F072B7" w14:paraId="535D7CA1" w14:textId="5A39B1E6">
      <w:pPr>
        <w:rPr>
          <w:sz w:val="24"/>
          <w:szCs w:val="24"/>
        </w:rPr>
      </w:pPr>
      <w:r w:rsidRPr="006C3D9D">
        <w:rPr>
          <w:sz w:val="24"/>
          <w:szCs w:val="24"/>
        </w:rPr>
        <w:t>Atlanta, GA 30309</w:t>
      </w:r>
    </w:p>
    <w:p w:rsidRPr="006C3D9D" w:rsidR="0084031A" w:rsidP="0084031A" w:rsidRDefault="00461DC2" w14:paraId="02577CA9" w14:textId="6A10F755">
      <w:pPr>
        <w:rPr>
          <w:sz w:val="24"/>
          <w:szCs w:val="24"/>
        </w:rPr>
      </w:pPr>
      <w:r w:rsidRPr="006C3D9D">
        <w:rPr>
          <w:sz w:val="24"/>
          <w:szCs w:val="24"/>
        </w:rPr>
        <w:t xml:space="preserve">Phone: </w:t>
      </w:r>
      <w:r w:rsidRPr="006C3D9D" w:rsidR="007E2AAC">
        <w:rPr>
          <w:sz w:val="24"/>
          <w:szCs w:val="24"/>
        </w:rPr>
        <w:t>404-395-8711</w:t>
      </w:r>
    </w:p>
    <w:p w:rsidRPr="006C3D9D" w:rsidR="00461DC2" w:rsidP="0084031A" w:rsidRDefault="00461DC2" w14:paraId="35EED7EF" w14:textId="122D0669">
      <w:pPr>
        <w:rPr>
          <w:rStyle w:val="Hyperlink"/>
          <w:sz w:val="24"/>
          <w:szCs w:val="24"/>
        </w:rPr>
      </w:pPr>
      <w:r w:rsidRPr="006C3D9D">
        <w:rPr>
          <w:sz w:val="24"/>
          <w:szCs w:val="24"/>
        </w:rPr>
        <w:t xml:space="preserve">E-mail: </w:t>
      </w:r>
      <w:hyperlink w:history="1" r:id="rId13">
        <w:r w:rsidRPr="006C3D9D" w:rsidR="00A77689">
          <w:rPr>
            <w:rStyle w:val="Hyperlink"/>
            <w:sz w:val="24"/>
            <w:szCs w:val="24"/>
          </w:rPr>
          <w:t>Kholtz@kdhrc.com</w:t>
        </w:r>
      </w:hyperlink>
    </w:p>
    <w:p w:rsidRPr="006C3D9D" w:rsidR="0019690A" w:rsidP="0084031A" w:rsidRDefault="0019690A" w14:paraId="645B9BBF" w14:textId="2972DD2B">
      <w:pPr>
        <w:rPr>
          <w:rStyle w:val="Hyperlink"/>
          <w:sz w:val="24"/>
          <w:szCs w:val="24"/>
        </w:rPr>
      </w:pPr>
    </w:p>
    <w:p w:rsidRPr="006C3D9D" w:rsidR="0019690A" w:rsidP="0019690A" w:rsidRDefault="0019690A" w14:paraId="04030A7B" w14:textId="77777777">
      <w:pPr>
        <w:rPr>
          <w:sz w:val="24"/>
          <w:szCs w:val="24"/>
        </w:rPr>
      </w:pPr>
      <w:r w:rsidRPr="006C3D9D">
        <w:rPr>
          <w:sz w:val="24"/>
          <w:szCs w:val="24"/>
        </w:rPr>
        <w:t xml:space="preserve">Dimas Adiwiyoto </w:t>
      </w:r>
    </w:p>
    <w:p w:rsidRPr="006C3D9D" w:rsidR="0019690A" w:rsidP="0019690A" w:rsidRDefault="0019690A" w14:paraId="03B5D0FA" w14:textId="77777777">
      <w:pPr>
        <w:rPr>
          <w:sz w:val="24"/>
          <w:szCs w:val="24"/>
        </w:rPr>
      </w:pPr>
      <w:r w:rsidRPr="006C3D9D">
        <w:rPr>
          <w:sz w:val="24"/>
          <w:szCs w:val="24"/>
        </w:rPr>
        <w:t>Senior Vice President</w:t>
      </w:r>
    </w:p>
    <w:p w:rsidRPr="006C3D9D" w:rsidR="0019690A" w:rsidP="0019690A" w:rsidRDefault="0019690A" w14:paraId="711EB473" w14:textId="77777777">
      <w:pPr>
        <w:rPr>
          <w:sz w:val="24"/>
          <w:szCs w:val="24"/>
        </w:rPr>
      </w:pPr>
      <w:r w:rsidRPr="006C3D9D">
        <w:rPr>
          <w:sz w:val="24"/>
          <w:szCs w:val="24"/>
        </w:rPr>
        <w:t>FCB</w:t>
      </w:r>
    </w:p>
    <w:p w:rsidRPr="006C3D9D" w:rsidR="0019690A" w:rsidP="0019690A" w:rsidRDefault="0019690A" w14:paraId="41FD915E" w14:textId="77777777">
      <w:pPr>
        <w:rPr>
          <w:sz w:val="24"/>
          <w:szCs w:val="24"/>
        </w:rPr>
      </w:pPr>
      <w:r w:rsidRPr="006C3D9D">
        <w:rPr>
          <w:sz w:val="24"/>
          <w:szCs w:val="24"/>
        </w:rPr>
        <w:t xml:space="preserve">111 W 33rd Street </w:t>
      </w:r>
    </w:p>
    <w:p w:rsidRPr="006C3D9D" w:rsidR="0019690A" w:rsidP="0019690A" w:rsidRDefault="0019690A" w14:paraId="37BEAB13" w14:textId="77777777">
      <w:pPr>
        <w:rPr>
          <w:sz w:val="24"/>
          <w:szCs w:val="24"/>
        </w:rPr>
      </w:pPr>
      <w:r w:rsidRPr="006C3D9D">
        <w:rPr>
          <w:sz w:val="24"/>
          <w:szCs w:val="24"/>
        </w:rPr>
        <w:t>New York, NY 10120</w:t>
      </w:r>
    </w:p>
    <w:p w:rsidR="0019690A" w:rsidP="0019690A" w:rsidRDefault="0019690A" w14:paraId="369B96A2" w14:textId="28B5CF45">
      <w:pPr>
        <w:rPr>
          <w:sz w:val="24"/>
          <w:szCs w:val="24"/>
        </w:rPr>
      </w:pPr>
      <w:r w:rsidRPr="006C3D9D">
        <w:rPr>
          <w:sz w:val="24"/>
          <w:szCs w:val="24"/>
        </w:rPr>
        <w:t>(646) 504 8586</w:t>
      </w:r>
    </w:p>
    <w:p w:rsidR="004553B4" w:rsidRDefault="004553B4" w14:paraId="55EAA89B" w14:textId="13CAA0D4">
      <w:pPr>
        <w:spacing w:after="160" w:line="259" w:lineRule="auto"/>
        <w:rPr>
          <w:sz w:val="24"/>
          <w:szCs w:val="24"/>
        </w:rPr>
      </w:pPr>
    </w:p>
    <w:p w:rsidRPr="002E054D" w:rsidR="004553B4" w:rsidP="004553B4" w:rsidRDefault="004553B4" w14:paraId="1D4F15AA" w14:textId="77777777">
      <w:pPr>
        <w:spacing w:after="160" w:line="259" w:lineRule="auto"/>
        <w:rPr>
          <w:b/>
          <w:sz w:val="24"/>
          <w:szCs w:val="24"/>
        </w:rPr>
      </w:pPr>
      <w:r>
        <w:rPr>
          <w:sz w:val="24"/>
          <w:szCs w:val="24"/>
        </w:rPr>
        <w:t>R</w:t>
      </w:r>
      <w:r w:rsidRPr="002E054D">
        <w:rPr>
          <w:b/>
          <w:sz w:val="24"/>
          <w:szCs w:val="24"/>
        </w:rPr>
        <w:t>eferences</w:t>
      </w:r>
    </w:p>
    <w:p w:rsidR="004553B4" w:rsidP="004553B4" w:rsidRDefault="004553B4" w14:paraId="7DFEEA8E" w14:textId="77777777">
      <w:pPr>
        <w:rPr>
          <w:sz w:val="24"/>
          <w:szCs w:val="24"/>
        </w:rPr>
      </w:pPr>
    </w:p>
    <w:p w:rsidRPr="007E2AAC" w:rsidR="004553B4" w:rsidP="004553B4" w:rsidRDefault="004553B4" w14:paraId="37793496" w14:textId="77777777">
      <w:pPr>
        <w:spacing w:after="200"/>
        <w:ind w:left="720" w:hanging="720"/>
        <w:rPr>
          <w:color w:val="000000" w:themeColor="text1"/>
          <w:sz w:val="24"/>
          <w:szCs w:val="24"/>
          <w:shd w:val="clear" w:color="auto" w:fill="FFFFFF"/>
        </w:rPr>
      </w:pPr>
      <w:r w:rsidRPr="007E2AAC">
        <w:rPr>
          <w:color w:val="000000" w:themeColor="text1"/>
          <w:sz w:val="24"/>
          <w:szCs w:val="24"/>
          <w:shd w:val="clear" w:color="auto" w:fill="FFFFFF"/>
        </w:rPr>
        <w:t xml:space="preserve">Singer, E. (2002). The use of incentives to reduce nonresponse in household surveys. In: Wiley, ed. </w:t>
      </w:r>
      <w:r w:rsidRPr="007E2AAC">
        <w:rPr>
          <w:i/>
          <w:iCs/>
          <w:color w:val="000000" w:themeColor="text1"/>
          <w:sz w:val="24"/>
          <w:szCs w:val="24"/>
          <w:shd w:val="clear" w:color="auto" w:fill="FFFFFF"/>
        </w:rPr>
        <w:t>Survey nonresponse</w:t>
      </w:r>
      <w:r w:rsidRPr="007E2AAC">
        <w:rPr>
          <w:color w:val="000000" w:themeColor="text1"/>
          <w:sz w:val="24"/>
          <w:szCs w:val="24"/>
          <w:shd w:val="clear" w:color="auto" w:fill="FFFFFF"/>
        </w:rPr>
        <w:t>, </w:t>
      </w:r>
      <w:r w:rsidRPr="007E2AAC">
        <w:rPr>
          <w:i/>
          <w:iCs/>
          <w:color w:val="000000" w:themeColor="text1"/>
          <w:sz w:val="24"/>
          <w:szCs w:val="24"/>
          <w:shd w:val="clear" w:color="auto" w:fill="FFFFFF"/>
        </w:rPr>
        <w:t>51</w:t>
      </w:r>
      <w:r w:rsidRPr="007E2AAC">
        <w:rPr>
          <w:color w:val="000000" w:themeColor="text1"/>
          <w:sz w:val="24"/>
          <w:szCs w:val="24"/>
          <w:shd w:val="clear" w:color="auto" w:fill="FFFFFF"/>
        </w:rPr>
        <w:t>, 163-177.</w:t>
      </w:r>
    </w:p>
    <w:p w:rsidRPr="007E2AAC" w:rsidR="004553B4" w:rsidP="004553B4" w:rsidRDefault="004553B4" w14:paraId="3FE320A7" w14:textId="77777777">
      <w:pPr>
        <w:spacing w:after="200"/>
        <w:ind w:left="720" w:hanging="720"/>
        <w:rPr>
          <w:color w:val="000000" w:themeColor="text1"/>
          <w:sz w:val="24"/>
          <w:szCs w:val="24"/>
          <w:shd w:val="clear" w:color="auto" w:fill="FFFFFF"/>
        </w:rPr>
      </w:pPr>
      <w:r w:rsidRPr="007E2AAC">
        <w:rPr>
          <w:color w:val="000000" w:themeColor="text1"/>
          <w:sz w:val="24"/>
          <w:szCs w:val="24"/>
          <w:shd w:val="clear" w:color="auto" w:fill="FFFFFF"/>
        </w:rPr>
        <w:t>Shettle, C., &amp; Mooney, G. (1999). Monetary incentives in US government surveys. </w:t>
      </w:r>
      <w:r w:rsidRPr="007E2AAC">
        <w:rPr>
          <w:i/>
          <w:iCs/>
          <w:color w:val="000000" w:themeColor="text1"/>
          <w:sz w:val="24"/>
          <w:szCs w:val="24"/>
          <w:shd w:val="clear" w:color="auto" w:fill="FFFFFF"/>
        </w:rPr>
        <w:t>Journal of Official Statistics, 15</w:t>
      </w:r>
      <w:r w:rsidRPr="007E2AAC">
        <w:rPr>
          <w:color w:val="000000" w:themeColor="text1"/>
          <w:sz w:val="24"/>
          <w:szCs w:val="24"/>
          <w:shd w:val="clear" w:color="auto" w:fill="FFFFFF"/>
        </w:rPr>
        <w:t>(2), 231.</w:t>
      </w:r>
    </w:p>
    <w:p w:rsidR="004553B4" w:rsidRDefault="004553B4" w14:paraId="6562E098" w14:textId="77777777">
      <w:pPr>
        <w:spacing w:after="160" w:line="259" w:lineRule="auto"/>
        <w:rPr>
          <w:sz w:val="24"/>
          <w:szCs w:val="24"/>
        </w:rPr>
      </w:pPr>
    </w:p>
    <w:bookmarkEnd w:id="8"/>
    <w:bookmarkEnd w:id="9"/>
    <w:p w:rsidRPr="007E2AAC" w:rsidR="007E2AAC" w:rsidP="007E2AAC" w:rsidRDefault="007E2AAC" w14:paraId="5A83567B" w14:textId="77777777">
      <w:pPr>
        <w:widowControl w:val="0"/>
        <w:autoSpaceDE w:val="0"/>
        <w:autoSpaceDN w:val="0"/>
        <w:adjustRightInd w:val="0"/>
        <w:ind w:left="720" w:hanging="720"/>
        <w:rPr>
          <w:sz w:val="24"/>
          <w:szCs w:val="24"/>
        </w:rPr>
      </w:pPr>
    </w:p>
    <w:p w:rsidRPr="007E2AAC" w:rsidR="007E2AAC" w:rsidP="007E2AAC" w:rsidRDefault="007E2AAC" w14:paraId="34AA6928" w14:textId="77777777">
      <w:pPr>
        <w:rPr>
          <w:sz w:val="24"/>
          <w:szCs w:val="24"/>
        </w:rPr>
      </w:pPr>
    </w:p>
    <w:p w:rsidRPr="007E2AAC" w:rsidR="007E2AAC" w:rsidP="007E2AAC" w:rsidRDefault="007E2AAC" w14:paraId="08910504" w14:textId="77777777">
      <w:pPr>
        <w:rPr>
          <w:sz w:val="24"/>
          <w:szCs w:val="24"/>
        </w:rPr>
      </w:pPr>
    </w:p>
    <w:p w:rsidRPr="007E2AAC" w:rsidR="007E2AAC" w:rsidP="007E2AAC" w:rsidRDefault="007E2AAC" w14:paraId="3E7A29FE" w14:textId="77777777">
      <w:pPr>
        <w:rPr>
          <w:sz w:val="24"/>
          <w:szCs w:val="24"/>
        </w:rPr>
      </w:pPr>
    </w:p>
    <w:p w:rsidRPr="007E2AAC" w:rsidR="007E2AAC" w:rsidP="007E2AAC" w:rsidRDefault="007E2AAC" w14:paraId="6FA9D04F" w14:textId="77777777">
      <w:pPr>
        <w:pBdr>
          <w:top w:val="nil"/>
          <w:left w:val="nil"/>
          <w:bottom w:val="nil"/>
          <w:right w:val="nil"/>
          <w:between w:val="nil"/>
          <w:bar w:val="nil"/>
        </w:pBdr>
        <w:rPr>
          <w:sz w:val="24"/>
          <w:szCs w:val="24"/>
        </w:rPr>
      </w:pPr>
    </w:p>
    <w:p w:rsidRPr="007E2AAC" w:rsidR="007E2AAC" w:rsidP="007E2AAC" w:rsidRDefault="007E2AAC" w14:paraId="60A95B23" w14:textId="77777777">
      <w:pPr>
        <w:rPr>
          <w:sz w:val="24"/>
          <w:szCs w:val="24"/>
        </w:rPr>
      </w:pPr>
    </w:p>
    <w:p w:rsidRPr="007E2AAC" w:rsidR="002375F3" w:rsidP="007E2AAC" w:rsidRDefault="00EB2E43" w14:paraId="7005387E" w14:textId="77777777">
      <w:pPr>
        <w:spacing w:after="200"/>
        <w:ind w:left="720" w:hanging="720"/>
        <w:rPr>
          <w:sz w:val="24"/>
          <w:szCs w:val="24"/>
        </w:rPr>
      </w:pPr>
    </w:p>
    <w:sectPr w:rsidRPr="007E2AAC" w:rsidR="002375F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CAA9" w14:textId="77777777" w:rsidR="00B337E5" w:rsidRDefault="00B337E5" w:rsidP="00E85591">
      <w:r>
        <w:separator/>
      </w:r>
    </w:p>
  </w:endnote>
  <w:endnote w:type="continuationSeparator" w:id="0">
    <w:p w14:paraId="7FF991EA" w14:textId="77777777" w:rsidR="00B337E5" w:rsidRDefault="00B337E5" w:rsidP="00E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78335"/>
      <w:docPartObj>
        <w:docPartGallery w:val="Page Numbers (Bottom of Page)"/>
        <w:docPartUnique/>
      </w:docPartObj>
    </w:sdtPr>
    <w:sdtEndPr>
      <w:rPr>
        <w:noProof/>
      </w:rPr>
    </w:sdtEndPr>
    <w:sdtContent>
      <w:p w14:paraId="34AF4A90" w14:textId="0C3AC73D" w:rsidR="00E85591" w:rsidRDefault="00E85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AA7A5" w14:textId="77777777" w:rsidR="00E85591" w:rsidRDefault="00E8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2517" w14:textId="77777777" w:rsidR="00B337E5" w:rsidRDefault="00B337E5" w:rsidP="00E85591">
      <w:r>
        <w:separator/>
      </w:r>
    </w:p>
  </w:footnote>
  <w:footnote w:type="continuationSeparator" w:id="0">
    <w:p w14:paraId="20C4EC41" w14:textId="77777777" w:rsidR="00B337E5" w:rsidRDefault="00B337E5" w:rsidP="00E8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F36D40"/>
    <w:multiLevelType w:val="hybridMultilevel"/>
    <w:tmpl w:val="6B447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36A3C"/>
    <w:multiLevelType w:val="hybridMultilevel"/>
    <w:tmpl w:val="45A8A1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F6981"/>
    <w:multiLevelType w:val="hybridMultilevel"/>
    <w:tmpl w:val="C20E0896"/>
    <w:lvl w:ilvl="0" w:tplc="BC7207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B34382C"/>
    <w:multiLevelType w:val="hybridMultilevel"/>
    <w:tmpl w:val="5CC6B42E"/>
    <w:lvl w:ilvl="0" w:tplc="9782C9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408FB"/>
    <w:multiLevelType w:val="hybridMultilevel"/>
    <w:tmpl w:val="5232DE46"/>
    <w:lvl w:ilvl="0" w:tplc="8E4EDAD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D85EA5"/>
    <w:multiLevelType w:val="hybridMultilevel"/>
    <w:tmpl w:val="5232DE46"/>
    <w:lvl w:ilvl="0" w:tplc="8E4EDADA">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C7EBE"/>
    <w:multiLevelType w:val="hybridMultilevel"/>
    <w:tmpl w:val="536265C4"/>
    <w:lvl w:ilvl="0" w:tplc="9C0C1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32190"/>
    <w:multiLevelType w:val="hybridMultilevel"/>
    <w:tmpl w:val="6ED8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0"/>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05E95"/>
    <w:rsid w:val="0001492C"/>
    <w:rsid w:val="00025668"/>
    <w:rsid w:val="00026F69"/>
    <w:rsid w:val="00027455"/>
    <w:rsid w:val="00031A3E"/>
    <w:rsid w:val="00052276"/>
    <w:rsid w:val="000578C6"/>
    <w:rsid w:val="00067AC6"/>
    <w:rsid w:val="00067B41"/>
    <w:rsid w:val="00070DBA"/>
    <w:rsid w:val="00074541"/>
    <w:rsid w:val="00074AF4"/>
    <w:rsid w:val="00080227"/>
    <w:rsid w:val="00094BAC"/>
    <w:rsid w:val="000A2116"/>
    <w:rsid w:val="000B076B"/>
    <w:rsid w:val="000B3EEB"/>
    <w:rsid w:val="000B4206"/>
    <w:rsid w:val="000B533E"/>
    <w:rsid w:val="000C0C74"/>
    <w:rsid w:val="000C0CCB"/>
    <w:rsid w:val="000C2308"/>
    <w:rsid w:val="000C3349"/>
    <w:rsid w:val="000C6BBA"/>
    <w:rsid w:val="000D4552"/>
    <w:rsid w:val="000D4DF1"/>
    <w:rsid w:val="000E2196"/>
    <w:rsid w:val="000E33FA"/>
    <w:rsid w:val="000F0269"/>
    <w:rsid w:val="000F2B9C"/>
    <w:rsid w:val="000F5143"/>
    <w:rsid w:val="00101043"/>
    <w:rsid w:val="00101CC7"/>
    <w:rsid w:val="00104799"/>
    <w:rsid w:val="00107814"/>
    <w:rsid w:val="0011100E"/>
    <w:rsid w:val="001133A8"/>
    <w:rsid w:val="00117E9F"/>
    <w:rsid w:val="00120D87"/>
    <w:rsid w:val="00125082"/>
    <w:rsid w:val="001255AF"/>
    <w:rsid w:val="001314C4"/>
    <w:rsid w:val="0013777E"/>
    <w:rsid w:val="001405D0"/>
    <w:rsid w:val="0014495C"/>
    <w:rsid w:val="00160605"/>
    <w:rsid w:val="00164D0C"/>
    <w:rsid w:val="00167E66"/>
    <w:rsid w:val="001756D7"/>
    <w:rsid w:val="00191553"/>
    <w:rsid w:val="0019690A"/>
    <w:rsid w:val="001A0A1D"/>
    <w:rsid w:val="001A2DFF"/>
    <w:rsid w:val="001A54A8"/>
    <w:rsid w:val="001B38B4"/>
    <w:rsid w:val="001B576E"/>
    <w:rsid w:val="001B6959"/>
    <w:rsid w:val="001C0022"/>
    <w:rsid w:val="001C6E73"/>
    <w:rsid w:val="001E32ED"/>
    <w:rsid w:val="001F4383"/>
    <w:rsid w:val="00211628"/>
    <w:rsid w:val="00224D06"/>
    <w:rsid w:val="002321EF"/>
    <w:rsid w:val="002448F2"/>
    <w:rsid w:val="00246ECB"/>
    <w:rsid w:val="002514C5"/>
    <w:rsid w:val="00252A7F"/>
    <w:rsid w:val="00262E7C"/>
    <w:rsid w:val="00273625"/>
    <w:rsid w:val="002822C6"/>
    <w:rsid w:val="002869B3"/>
    <w:rsid w:val="00291CBB"/>
    <w:rsid w:val="002A083C"/>
    <w:rsid w:val="002A1190"/>
    <w:rsid w:val="002A7A2A"/>
    <w:rsid w:val="002B6B97"/>
    <w:rsid w:val="002C7046"/>
    <w:rsid w:val="002D7C08"/>
    <w:rsid w:val="002E0606"/>
    <w:rsid w:val="002E40F0"/>
    <w:rsid w:val="002E4270"/>
    <w:rsid w:val="0030308E"/>
    <w:rsid w:val="00304E3C"/>
    <w:rsid w:val="0031469B"/>
    <w:rsid w:val="00316355"/>
    <w:rsid w:val="003309E3"/>
    <w:rsid w:val="00332FB5"/>
    <w:rsid w:val="0035589F"/>
    <w:rsid w:val="0036058F"/>
    <w:rsid w:val="00370350"/>
    <w:rsid w:val="00374305"/>
    <w:rsid w:val="003801F9"/>
    <w:rsid w:val="003935E8"/>
    <w:rsid w:val="003A44EA"/>
    <w:rsid w:val="003B006F"/>
    <w:rsid w:val="003B36FC"/>
    <w:rsid w:val="003C4B17"/>
    <w:rsid w:val="003D68F9"/>
    <w:rsid w:val="003D6E6E"/>
    <w:rsid w:val="003E4B68"/>
    <w:rsid w:val="003E6AEA"/>
    <w:rsid w:val="003E7D0F"/>
    <w:rsid w:val="003F6D2B"/>
    <w:rsid w:val="003F73F1"/>
    <w:rsid w:val="0041189A"/>
    <w:rsid w:val="0041289E"/>
    <w:rsid w:val="00416EB5"/>
    <w:rsid w:val="00420575"/>
    <w:rsid w:val="00430B9F"/>
    <w:rsid w:val="00435258"/>
    <w:rsid w:val="004362A3"/>
    <w:rsid w:val="00447222"/>
    <w:rsid w:val="004553B4"/>
    <w:rsid w:val="00461DC2"/>
    <w:rsid w:val="00483715"/>
    <w:rsid w:val="0049247E"/>
    <w:rsid w:val="0049371C"/>
    <w:rsid w:val="004965F7"/>
    <w:rsid w:val="004A396F"/>
    <w:rsid w:val="004B0262"/>
    <w:rsid w:val="004B2850"/>
    <w:rsid w:val="004C1907"/>
    <w:rsid w:val="004C2685"/>
    <w:rsid w:val="004D00E6"/>
    <w:rsid w:val="004D4069"/>
    <w:rsid w:val="004E78FB"/>
    <w:rsid w:val="004F06CA"/>
    <w:rsid w:val="00502EDD"/>
    <w:rsid w:val="00515008"/>
    <w:rsid w:val="005221C6"/>
    <w:rsid w:val="00523D61"/>
    <w:rsid w:val="00536944"/>
    <w:rsid w:val="00552C0B"/>
    <w:rsid w:val="0055438D"/>
    <w:rsid w:val="0055693C"/>
    <w:rsid w:val="005606C8"/>
    <w:rsid w:val="00562887"/>
    <w:rsid w:val="00574B6F"/>
    <w:rsid w:val="005772C6"/>
    <w:rsid w:val="00577F4A"/>
    <w:rsid w:val="005825C6"/>
    <w:rsid w:val="0058429B"/>
    <w:rsid w:val="00585EEF"/>
    <w:rsid w:val="005914D6"/>
    <w:rsid w:val="00595004"/>
    <w:rsid w:val="005A195B"/>
    <w:rsid w:val="005B10C7"/>
    <w:rsid w:val="005B7A0E"/>
    <w:rsid w:val="005C0A24"/>
    <w:rsid w:val="005C4BA0"/>
    <w:rsid w:val="005C4F33"/>
    <w:rsid w:val="005D2044"/>
    <w:rsid w:val="005D26AB"/>
    <w:rsid w:val="005E3A9E"/>
    <w:rsid w:val="005E6B30"/>
    <w:rsid w:val="005E6D45"/>
    <w:rsid w:val="005F591E"/>
    <w:rsid w:val="006056AC"/>
    <w:rsid w:val="00607312"/>
    <w:rsid w:val="00616E51"/>
    <w:rsid w:val="00617C4B"/>
    <w:rsid w:val="00620E44"/>
    <w:rsid w:val="00627C8D"/>
    <w:rsid w:val="00633C7D"/>
    <w:rsid w:val="00640310"/>
    <w:rsid w:val="006425B8"/>
    <w:rsid w:val="006425DB"/>
    <w:rsid w:val="00663B8C"/>
    <w:rsid w:val="00667334"/>
    <w:rsid w:val="00671171"/>
    <w:rsid w:val="00673A25"/>
    <w:rsid w:val="006818D4"/>
    <w:rsid w:val="00691C6D"/>
    <w:rsid w:val="006964A2"/>
    <w:rsid w:val="006A62B0"/>
    <w:rsid w:val="006B6509"/>
    <w:rsid w:val="006C2E6D"/>
    <w:rsid w:val="006C3D9D"/>
    <w:rsid w:val="006C5313"/>
    <w:rsid w:val="006D0449"/>
    <w:rsid w:val="006D0FFE"/>
    <w:rsid w:val="006D155C"/>
    <w:rsid w:val="006D6429"/>
    <w:rsid w:val="006E0CF8"/>
    <w:rsid w:val="006E1BD4"/>
    <w:rsid w:val="006E32CC"/>
    <w:rsid w:val="006E6249"/>
    <w:rsid w:val="006E71B8"/>
    <w:rsid w:val="006F1B71"/>
    <w:rsid w:val="006F24D9"/>
    <w:rsid w:val="006F7F7D"/>
    <w:rsid w:val="00715008"/>
    <w:rsid w:val="00726270"/>
    <w:rsid w:val="007279B6"/>
    <w:rsid w:val="00727CFF"/>
    <w:rsid w:val="0074284B"/>
    <w:rsid w:val="00746845"/>
    <w:rsid w:val="007546AF"/>
    <w:rsid w:val="00764AB1"/>
    <w:rsid w:val="00786972"/>
    <w:rsid w:val="00786E79"/>
    <w:rsid w:val="007876A2"/>
    <w:rsid w:val="00796248"/>
    <w:rsid w:val="007A36C4"/>
    <w:rsid w:val="007A3830"/>
    <w:rsid w:val="007C4AFD"/>
    <w:rsid w:val="007C7317"/>
    <w:rsid w:val="007D067D"/>
    <w:rsid w:val="007E2AAC"/>
    <w:rsid w:val="007F1650"/>
    <w:rsid w:val="00805FD2"/>
    <w:rsid w:val="00820A2D"/>
    <w:rsid w:val="00824045"/>
    <w:rsid w:val="00824EF4"/>
    <w:rsid w:val="008301AF"/>
    <w:rsid w:val="0084031A"/>
    <w:rsid w:val="008430B3"/>
    <w:rsid w:val="00856F79"/>
    <w:rsid w:val="00861055"/>
    <w:rsid w:val="00861D71"/>
    <w:rsid w:val="008652C1"/>
    <w:rsid w:val="00866429"/>
    <w:rsid w:val="00867AE3"/>
    <w:rsid w:val="00867E49"/>
    <w:rsid w:val="00870E38"/>
    <w:rsid w:val="00871620"/>
    <w:rsid w:val="00874B75"/>
    <w:rsid w:val="00886182"/>
    <w:rsid w:val="00886954"/>
    <w:rsid w:val="008976C3"/>
    <w:rsid w:val="008A0153"/>
    <w:rsid w:val="008B59AE"/>
    <w:rsid w:val="008C00BD"/>
    <w:rsid w:val="008C027D"/>
    <w:rsid w:val="008C58BD"/>
    <w:rsid w:val="008C5ABD"/>
    <w:rsid w:val="008D69A1"/>
    <w:rsid w:val="008D735E"/>
    <w:rsid w:val="008E1751"/>
    <w:rsid w:val="008E3A73"/>
    <w:rsid w:val="008F3538"/>
    <w:rsid w:val="008F5442"/>
    <w:rsid w:val="008F6900"/>
    <w:rsid w:val="00905C59"/>
    <w:rsid w:val="00907542"/>
    <w:rsid w:val="009128BC"/>
    <w:rsid w:val="00924863"/>
    <w:rsid w:val="00925614"/>
    <w:rsid w:val="0092619D"/>
    <w:rsid w:val="00931662"/>
    <w:rsid w:val="00932242"/>
    <w:rsid w:val="00943E88"/>
    <w:rsid w:val="00943E89"/>
    <w:rsid w:val="00954DE6"/>
    <w:rsid w:val="00955A1F"/>
    <w:rsid w:val="0096170D"/>
    <w:rsid w:val="00962713"/>
    <w:rsid w:val="009717E7"/>
    <w:rsid w:val="009A24DD"/>
    <w:rsid w:val="009D2910"/>
    <w:rsid w:val="009E33B2"/>
    <w:rsid w:val="009F1463"/>
    <w:rsid w:val="009F3871"/>
    <w:rsid w:val="009F3DD1"/>
    <w:rsid w:val="009F53EB"/>
    <w:rsid w:val="009F5B74"/>
    <w:rsid w:val="00A04A9B"/>
    <w:rsid w:val="00A1451A"/>
    <w:rsid w:val="00A1623B"/>
    <w:rsid w:val="00A25893"/>
    <w:rsid w:val="00A373BF"/>
    <w:rsid w:val="00A376AA"/>
    <w:rsid w:val="00A42E68"/>
    <w:rsid w:val="00A45CA1"/>
    <w:rsid w:val="00A4662D"/>
    <w:rsid w:val="00A47C25"/>
    <w:rsid w:val="00A52DF0"/>
    <w:rsid w:val="00A77689"/>
    <w:rsid w:val="00A911D1"/>
    <w:rsid w:val="00A91D7A"/>
    <w:rsid w:val="00AA4B12"/>
    <w:rsid w:val="00AB6581"/>
    <w:rsid w:val="00AC0F77"/>
    <w:rsid w:val="00AC139A"/>
    <w:rsid w:val="00AC21AC"/>
    <w:rsid w:val="00AD1A05"/>
    <w:rsid w:val="00AE76C8"/>
    <w:rsid w:val="00B166C8"/>
    <w:rsid w:val="00B30F53"/>
    <w:rsid w:val="00B337E5"/>
    <w:rsid w:val="00B33D3C"/>
    <w:rsid w:val="00B358CD"/>
    <w:rsid w:val="00B42AE3"/>
    <w:rsid w:val="00B57410"/>
    <w:rsid w:val="00B613F3"/>
    <w:rsid w:val="00B67ADD"/>
    <w:rsid w:val="00B74A3D"/>
    <w:rsid w:val="00B803B3"/>
    <w:rsid w:val="00B86EE1"/>
    <w:rsid w:val="00B91C13"/>
    <w:rsid w:val="00B943B5"/>
    <w:rsid w:val="00B97007"/>
    <w:rsid w:val="00BB2293"/>
    <w:rsid w:val="00BD15C9"/>
    <w:rsid w:val="00BD3235"/>
    <w:rsid w:val="00BD6B55"/>
    <w:rsid w:val="00BE781B"/>
    <w:rsid w:val="00BF4853"/>
    <w:rsid w:val="00C04860"/>
    <w:rsid w:val="00C222E4"/>
    <w:rsid w:val="00C22839"/>
    <w:rsid w:val="00C24CA1"/>
    <w:rsid w:val="00C36EBD"/>
    <w:rsid w:val="00C44AD5"/>
    <w:rsid w:val="00C56818"/>
    <w:rsid w:val="00C629E9"/>
    <w:rsid w:val="00C67F80"/>
    <w:rsid w:val="00C71248"/>
    <w:rsid w:val="00C95C53"/>
    <w:rsid w:val="00C96271"/>
    <w:rsid w:val="00C962C7"/>
    <w:rsid w:val="00CA09D2"/>
    <w:rsid w:val="00CA5B30"/>
    <w:rsid w:val="00CB5CA7"/>
    <w:rsid w:val="00CB6A47"/>
    <w:rsid w:val="00CC44F6"/>
    <w:rsid w:val="00CC5327"/>
    <w:rsid w:val="00CE1702"/>
    <w:rsid w:val="00CE3CAF"/>
    <w:rsid w:val="00CE45F4"/>
    <w:rsid w:val="00CF202F"/>
    <w:rsid w:val="00CF2466"/>
    <w:rsid w:val="00CF4846"/>
    <w:rsid w:val="00D15C6D"/>
    <w:rsid w:val="00D255F7"/>
    <w:rsid w:val="00D3338A"/>
    <w:rsid w:val="00D374C0"/>
    <w:rsid w:val="00D44342"/>
    <w:rsid w:val="00D44639"/>
    <w:rsid w:val="00D46341"/>
    <w:rsid w:val="00D51F8F"/>
    <w:rsid w:val="00D60212"/>
    <w:rsid w:val="00D602FA"/>
    <w:rsid w:val="00D6496F"/>
    <w:rsid w:val="00D64B2B"/>
    <w:rsid w:val="00D80D71"/>
    <w:rsid w:val="00D844A8"/>
    <w:rsid w:val="00D873A0"/>
    <w:rsid w:val="00D87423"/>
    <w:rsid w:val="00D92785"/>
    <w:rsid w:val="00DA39D3"/>
    <w:rsid w:val="00DC685D"/>
    <w:rsid w:val="00DD37DC"/>
    <w:rsid w:val="00DD4194"/>
    <w:rsid w:val="00DD7EF8"/>
    <w:rsid w:val="00DE5C4E"/>
    <w:rsid w:val="00E0395E"/>
    <w:rsid w:val="00E266A5"/>
    <w:rsid w:val="00E30679"/>
    <w:rsid w:val="00E33AD8"/>
    <w:rsid w:val="00E36B84"/>
    <w:rsid w:val="00E37454"/>
    <w:rsid w:val="00E4255A"/>
    <w:rsid w:val="00E44872"/>
    <w:rsid w:val="00E4643E"/>
    <w:rsid w:val="00E465FC"/>
    <w:rsid w:val="00E502BD"/>
    <w:rsid w:val="00E53DF1"/>
    <w:rsid w:val="00E57698"/>
    <w:rsid w:val="00E625C2"/>
    <w:rsid w:val="00E85591"/>
    <w:rsid w:val="00E90138"/>
    <w:rsid w:val="00E97EDA"/>
    <w:rsid w:val="00EA18CC"/>
    <w:rsid w:val="00EA306C"/>
    <w:rsid w:val="00EB2E43"/>
    <w:rsid w:val="00EC25C7"/>
    <w:rsid w:val="00EC2C77"/>
    <w:rsid w:val="00EC53AC"/>
    <w:rsid w:val="00EC6939"/>
    <w:rsid w:val="00ED44FE"/>
    <w:rsid w:val="00ED632C"/>
    <w:rsid w:val="00EE192E"/>
    <w:rsid w:val="00F03FCF"/>
    <w:rsid w:val="00F06747"/>
    <w:rsid w:val="00F072B7"/>
    <w:rsid w:val="00F207BD"/>
    <w:rsid w:val="00F2487E"/>
    <w:rsid w:val="00F317AD"/>
    <w:rsid w:val="00F37C10"/>
    <w:rsid w:val="00F40542"/>
    <w:rsid w:val="00F41100"/>
    <w:rsid w:val="00F52858"/>
    <w:rsid w:val="00F60C65"/>
    <w:rsid w:val="00F62C0D"/>
    <w:rsid w:val="00F749C8"/>
    <w:rsid w:val="00F81BC8"/>
    <w:rsid w:val="00F93925"/>
    <w:rsid w:val="00FA0CCE"/>
    <w:rsid w:val="00FA1CB6"/>
    <w:rsid w:val="00FC216D"/>
    <w:rsid w:val="00FC2A79"/>
    <w:rsid w:val="00FD4652"/>
    <w:rsid w:val="00FE70A9"/>
    <w:rsid w:val="00FE7B95"/>
    <w:rsid w:val="00FF183D"/>
    <w:rsid w:val="00FF2A6E"/>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12C"/>
  <w15:chartTrackingRefBased/>
  <w15:docId w15:val="{69AC38BE-B276-4374-AE87-9AF87E9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unhideWhenUsed/>
    <w:rsid w:val="00C95C53"/>
  </w:style>
  <w:style w:type="character" w:customStyle="1" w:styleId="CommentTextChar">
    <w:name w:val="Comment Text Char"/>
    <w:basedOn w:val="DefaultParagraphFont"/>
    <w:link w:val="CommentText"/>
    <w:uiPriority w:val="99"/>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rsid w:val="00CA5B30"/>
    <w:rPr>
      <w:rFonts w:ascii="Courier New" w:hAnsi="Courier New" w:cs="Courier New"/>
    </w:rPr>
  </w:style>
  <w:style w:type="character" w:customStyle="1" w:styleId="PlainTextChar">
    <w:name w:val="Plain Text Char"/>
    <w:basedOn w:val="DefaultParagraphFont"/>
    <w:link w:val="PlainText"/>
    <w:uiPriority w:val="99"/>
    <w:rsid w:val="00CA5B30"/>
    <w:rPr>
      <w:rFonts w:ascii="Courier New" w:eastAsia="Times New Roman" w:hAnsi="Courier New" w:cs="Courier New"/>
      <w:sz w:val="20"/>
      <w:szCs w:val="20"/>
    </w:rPr>
  </w:style>
  <w:style w:type="paragraph" w:styleId="ListParagraph">
    <w:name w:val="List Paragraph"/>
    <w:basedOn w:val="Normal"/>
    <w:uiPriority w:val="34"/>
    <w:qFormat/>
    <w:rsid w:val="008C58BD"/>
    <w:pPr>
      <w:ind w:left="720"/>
      <w:contextualSpacing/>
    </w:pPr>
  </w:style>
  <w:style w:type="paragraph" w:customStyle="1" w:styleId="Default">
    <w:name w:val="Default"/>
    <w:rsid w:val="00673A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1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oltz@kdhr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anaska.Dineva@fda.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gane.Bennett@fda.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4D71744D39254D8ACA6DD117A2447A" ma:contentTypeVersion="8" ma:contentTypeDescription="Create a new document." ma:contentTypeScope="" ma:versionID="c0df71b58d4a83d3f9424ba7e9471a1d">
  <xsd:schema xmlns:xsd="http://www.w3.org/2001/XMLSchema" xmlns:xs="http://www.w3.org/2001/XMLSchema" xmlns:p="http://schemas.microsoft.com/office/2006/metadata/properties" xmlns:ns3="ae5528cc-8226-44d2-94fc-10dc7719947a" xmlns:ns4="131e71af-71eb-4b77-8f3f-1edbcb692aac" targetNamespace="http://schemas.microsoft.com/office/2006/metadata/properties" ma:root="true" ma:fieldsID="1cb13d99d6676ec81c008d7673709fe0" ns3:_="" ns4:_="">
    <xsd:import namespace="ae5528cc-8226-44d2-94fc-10dc7719947a"/>
    <xsd:import namespace="131e71af-71eb-4b77-8f3f-1edbcb692a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528cc-8226-44d2-94fc-10dc771994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e71af-71eb-4b77-8f3f-1edbcb692a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30401-BF29-4EB7-87FE-387C65B49EC4}">
  <ds:schemaRefs>
    <ds:schemaRef ds:uri="http://schemas.microsoft.com/sharepoint/v3/contenttype/forms"/>
  </ds:schemaRefs>
</ds:datastoreItem>
</file>

<file path=customXml/itemProps2.xml><?xml version="1.0" encoding="utf-8"?>
<ds:datastoreItem xmlns:ds="http://schemas.openxmlformats.org/officeDocument/2006/customXml" ds:itemID="{5F87C391-8A31-40DB-B7CE-849591EA4B71}">
  <ds:schemaRefs>
    <ds:schemaRef ds:uri="http://schemas.openxmlformats.org/officeDocument/2006/bibliography"/>
  </ds:schemaRefs>
</ds:datastoreItem>
</file>

<file path=customXml/itemProps3.xml><?xml version="1.0" encoding="utf-8"?>
<ds:datastoreItem xmlns:ds="http://schemas.openxmlformats.org/officeDocument/2006/customXml" ds:itemID="{E5481FA0-E4D8-4598-9352-A7E8DE292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528cc-8226-44d2-94fc-10dc7719947a"/>
    <ds:schemaRef ds:uri="131e71af-71eb-4b77-8f3f-1edbcb692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08F20-63E9-4FA9-8C95-EA8221260EA5}">
  <ds:schemaRefs>
    <ds:schemaRef ds:uri="http://purl.org/dc/terms/"/>
    <ds:schemaRef ds:uri="http://schemas.openxmlformats.org/package/2006/metadata/core-properties"/>
    <ds:schemaRef ds:uri="http://schemas.microsoft.com/office/2006/documentManagement/types"/>
    <ds:schemaRef ds:uri="131e71af-71eb-4b77-8f3f-1edbcb692aac"/>
    <ds:schemaRef ds:uri="http://purl.org/dc/elements/1.1/"/>
    <ds:schemaRef ds:uri="http://schemas.microsoft.com/office/2006/metadata/properties"/>
    <ds:schemaRef ds:uri="ae5528cc-8226-44d2-94fc-10dc7719947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Gibson, Natalie</cp:lastModifiedBy>
  <cp:revision>4</cp:revision>
  <dcterms:created xsi:type="dcterms:W3CDTF">2022-03-17T18:42:00Z</dcterms:created>
  <dcterms:modified xsi:type="dcterms:W3CDTF">2022-03-23T17:53:00Z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0x010100544D71744D39254D8ACA6DD117A2447A</vt:lpwstr>
  </property>
</Properties>
</file>