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6BBF" w:rsidR="0075335D" w:rsidP="0075335D" w:rsidRDefault="0075335D" w14:paraId="74773D4E" w14:textId="77777777">
      <w:pPr>
        <w:pStyle w:val="BodyTextIndent3"/>
        <w:rPr>
          <w:rFonts w:ascii="Arial" w:hAnsi="Arial" w:cs="Arial"/>
          <w:sz w:val="24"/>
          <w:szCs w:val="24"/>
        </w:rPr>
      </w:pPr>
    </w:p>
    <w:tbl>
      <w:tblPr>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88"/>
        <w:gridCol w:w="5348"/>
      </w:tblGrid>
      <w:tr w:rsidRPr="002E6BBF" w:rsidR="00126718" w:rsidTr="00547F31" w14:paraId="76E57496" w14:textId="77777777">
        <w:trPr>
          <w:trHeight w:val="576"/>
          <w:jc w:val="center"/>
        </w:trPr>
        <w:tc>
          <w:tcPr>
            <w:tcW w:w="4488" w:type="dxa"/>
            <w:shd w:val="clear" w:color="auto" w:fill="auto"/>
            <w:vAlign w:val="center"/>
          </w:tcPr>
          <w:p w:rsidRPr="00547F31" w:rsidR="00126718" w:rsidP="00547F31" w:rsidRDefault="00126718" w14:paraId="1D77C8C2" w14:textId="77777777">
            <w:pPr>
              <w:pStyle w:val="BodyTextIndent3"/>
              <w:ind w:left="0" w:firstLine="0"/>
              <w:rPr>
                <w:rFonts w:ascii="Arial" w:hAnsi="Arial" w:cs="Arial"/>
                <w:b/>
                <w:bCs/>
                <w:sz w:val="24"/>
                <w:szCs w:val="24"/>
              </w:rPr>
            </w:pPr>
            <w:r w:rsidRPr="00547F31">
              <w:rPr>
                <w:rFonts w:ascii="Arial" w:hAnsi="Arial" w:cs="Arial"/>
                <w:b/>
                <w:bCs/>
                <w:sz w:val="24"/>
                <w:szCs w:val="24"/>
              </w:rPr>
              <w:t>Generic Collection Title</w:t>
            </w:r>
          </w:p>
        </w:tc>
        <w:tc>
          <w:tcPr>
            <w:tcW w:w="5348" w:type="dxa"/>
            <w:shd w:val="clear" w:color="auto" w:fill="auto"/>
            <w:vAlign w:val="center"/>
          </w:tcPr>
          <w:p w:rsidRPr="00547F31" w:rsidR="00126718" w:rsidP="00547F31" w:rsidRDefault="00126718" w14:paraId="175D71DA" w14:textId="77777777">
            <w:pPr>
              <w:pStyle w:val="BodyTextIndent3"/>
              <w:ind w:left="0" w:firstLine="0"/>
              <w:rPr>
                <w:rFonts w:ascii="Arial" w:hAnsi="Arial" w:cs="Arial"/>
                <w:b/>
                <w:bCs/>
                <w:sz w:val="22"/>
                <w:szCs w:val="22"/>
              </w:rPr>
            </w:pPr>
            <w:r w:rsidRPr="0046543B">
              <w:rPr>
                <w:rFonts w:ascii="Arial" w:hAnsi="Arial" w:cs="Arial"/>
                <w:b/>
                <w:bCs/>
                <w:sz w:val="24"/>
                <w:szCs w:val="24"/>
              </w:rPr>
              <w:t>Use of Information</w:t>
            </w:r>
          </w:p>
        </w:tc>
      </w:tr>
      <w:tr w:rsidRPr="002E6BBF" w:rsidR="00126718" w:rsidTr="009C2C9D" w14:paraId="3C06DDF6" w14:textId="77777777">
        <w:tblPrEx>
          <w:tblLook w:val="04A0" w:firstRow="1" w:lastRow="0" w:firstColumn="1" w:lastColumn="0" w:noHBand="0" w:noVBand="1"/>
        </w:tblPrEx>
        <w:trPr>
          <w:trHeight w:val="845"/>
          <w:jc w:val="center"/>
        </w:trPr>
        <w:tc>
          <w:tcPr>
            <w:tcW w:w="4488" w:type="dxa"/>
            <w:shd w:val="clear" w:color="auto" w:fill="auto"/>
            <w:vAlign w:val="center"/>
          </w:tcPr>
          <w:p w:rsidRPr="00547F31" w:rsidR="00126718" w:rsidP="009C2C9D" w:rsidRDefault="007F328B" w14:paraId="5BB687C4" w14:textId="77777777">
            <w:pPr>
              <w:keepLines/>
              <w:spacing w:before="120" w:after="120"/>
              <w:rPr>
                <w:rFonts w:ascii="Arial" w:hAnsi="Arial" w:cs="Arial"/>
              </w:rPr>
            </w:pPr>
            <w:r w:rsidRPr="00547F31">
              <w:rPr>
                <w:rFonts w:ascii="Arial" w:hAnsi="Arial" w:cs="Arial"/>
              </w:rPr>
              <w:t>Hookah Purchase Journey: Online Hookah User Survey</w:t>
            </w:r>
          </w:p>
        </w:tc>
        <w:tc>
          <w:tcPr>
            <w:tcW w:w="5348" w:type="dxa"/>
            <w:shd w:val="clear" w:color="auto" w:fill="auto"/>
            <w:vAlign w:val="center"/>
          </w:tcPr>
          <w:p w:rsidRPr="00547F31" w:rsidR="00126718" w:rsidP="009C2C9D" w:rsidRDefault="0052274E" w14:paraId="04834BFD" w14:textId="77777777">
            <w:pPr>
              <w:spacing w:before="120" w:after="120"/>
              <w:rPr>
                <w:rFonts w:ascii="Arial" w:hAnsi="Arial" w:cs="Arial"/>
              </w:rPr>
            </w:pPr>
            <w:r w:rsidRPr="00547F31">
              <w:rPr>
                <w:rFonts w:ascii="Arial" w:hAnsi="Arial" w:cs="Arial"/>
              </w:rPr>
              <w:t xml:space="preserve">The outcome of the study was to </w:t>
            </w:r>
            <w:r w:rsidRPr="00547F31" w:rsidR="00C877DF">
              <w:rPr>
                <w:rFonts w:ascii="Arial" w:hAnsi="Arial" w:cs="Arial"/>
              </w:rPr>
              <w:t xml:space="preserve">gain an understanding of overall hookah/waterpipe smoker behavior. These results </w:t>
            </w:r>
            <w:r w:rsidRPr="00547F31" w:rsidR="00BF3960">
              <w:rPr>
                <w:rFonts w:ascii="Arial" w:hAnsi="Arial" w:cs="Arial"/>
              </w:rPr>
              <w:t>have</w:t>
            </w:r>
            <w:r w:rsidRPr="00547F31" w:rsidR="00C877DF">
              <w:rPr>
                <w:rFonts w:ascii="Arial" w:hAnsi="Arial" w:cs="Arial"/>
              </w:rPr>
              <w:t xml:space="preserve"> helped CTP understand the consumer side of the hookah market in the U</w:t>
            </w:r>
            <w:r w:rsidRPr="00547F31" w:rsidR="00BF3960">
              <w:rPr>
                <w:rFonts w:ascii="Arial" w:hAnsi="Arial" w:cs="Arial"/>
              </w:rPr>
              <w:t>nited States</w:t>
            </w:r>
            <w:r w:rsidRPr="00547F31" w:rsidR="00C877DF">
              <w:rPr>
                <w:rFonts w:ascii="Arial" w:hAnsi="Arial" w:cs="Arial"/>
              </w:rPr>
              <w:t>.</w:t>
            </w:r>
          </w:p>
        </w:tc>
      </w:tr>
      <w:tr w:rsidRPr="002E6BBF" w:rsidR="00126718" w:rsidTr="009C2C9D" w14:paraId="6D5875F0" w14:textId="77777777">
        <w:trPr>
          <w:jc w:val="center"/>
        </w:trPr>
        <w:tc>
          <w:tcPr>
            <w:tcW w:w="4488" w:type="dxa"/>
            <w:shd w:val="clear" w:color="auto" w:fill="auto"/>
            <w:vAlign w:val="center"/>
          </w:tcPr>
          <w:p w:rsidRPr="00547F31" w:rsidR="00126718" w:rsidP="009C2C9D" w:rsidRDefault="007F328B" w14:paraId="6E7DF0EB" w14:textId="77777777">
            <w:pPr>
              <w:keepLines/>
              <w:spacing w:before="120" w:after="120"/>
              <w:rPr>
                <w:rFonts w:ascii="Arial" w:hAnsi="Arial" w:cs="Arial"/>
              </w:rPr>
            </w:pPr>
            <w:r w:rsidRPr="00547F31">
              <w:rPr>
                <w:rFonts w:ascii="Arial" w:hAnsi="Arial" w:cs="Arial"/>
              </w:rPr>
              <w:t>Electronic Nicotine Delivery Systems Formative Data Collection to Inform Experimenter and</w:t>
            </w:r>
            <w:r w:rsidRPr="00547F31" w:rsidR="009C2C9D">
              <w:rPr>
                <w:rFonts w:ascii="Arial" w:hAnsi="Arial" w:cs="Arial"/>
              </w:rPr>
              <w:t xml:space="preserve"> </w:t>
            </w:r>
            <w:r w:rsidRPr="00547F31">
              <w:rPr>
                <w:rFonts w:ascii="Arial" w:hAnsi="Arial" w:cs="Arial"/>
              </w:rPr>
              <w:t>Established User</w:t>
            </w:r>
            <w:r w:rsidRPr="00547F31" w:rsidR="009C2C9D">
              <w:rPr>
                <w:rFonts w:ascii="Arial" w:hAnsi="Arial" w:cs="Arial"/>
              </w:rPr>
              <w:t xml:space="preserve"> </w:t>
            </w:r>
            <w:r w:rsidRPr="00547F31">
              <w:rPr>
                <w:rFonts w:ascii="Arial" w:hAnsi="Arial" w:cs="Arial"/>
              </w:rPr>
              <w:t>Definitions</w:t>
            </w:r>
          </w:p>
        </w:tc>
        <w:tc>
          <w:tcPr>
            <w:tcW w:w="5348" w:type="dxa"/>
            <w:shd w:val="clear" w:color="auto" w:fill="auto"/>
            <w:vAlign w:val="center"/>
          </w:tcPr>
          <w:p w:rsidRPr="00547F31" w:rsidR="00126718" w:rsidP="009C2C9D" w:rsidRDefault="0052274E" w14:paraId="70905D4E" w14:textId="77777777">
            <w:pPr>
              <w:spacing w:before="120" w:after="120"/>
              <w:rPr>
                <w:rFonts w:ascii="Arial" w:hAnsi="Arial" w:cs="Arial"/>
              </w:rPr>
            </w:pPr>
            <w:r w:rsidRPr="00547F31">
              <w:rPr>
                <w:rFonts w:ascii="Arial" w:hAnsi="Arial" w:cs="Arial"/>
              </w:rPr>
              <w:t xml:space="preserve">The outcome of the study was to examine definitions that distinguish ENDS experimenters from more established users. Understanding these analyses </w:t>
            </w:r>
            <w:r w:rsidRPr="00547F31" w:rsidR="00BF3960">
              <w:rPr>
                <w:rFonts w:ascii="Arial" w:hAnsi="Arial" w:cs="Arial"/>
              </w:rPr>
              <w:t xml:space="preserve">has </w:t>
            </w:r>
            <w:r w:rsidRPr="00547F31">
              <w:rPr>
                <w:rFonts w:ascii="Arial" w:hAnsi="Arial" w:cs="Arial"/>
              </w:rPr>
              <w:t>help</w:t>
            </w:r>
            <w:r w:rsidRPr="00547F31" w:rsidR="00BF3960">
              <w:rPr>
                <w:rFonts w:ascii="Arial" w:hAnsi="Arial" w:cs="Arial"/>
              </w:rPr>
              <w:t>ed</w:t>
            </w:r>
            <w:r w:rsidRPr="00547F31">
              <w:rPr>
                <w:rFonts w:ascii="Arial" w:hAnsi="Arial" w:cs="Arial"/>
              </w:rPr>
              <w:t xml:space="preserve"> CTP identify and characterize their target audiences to inform communication strategies.</w:t>
            </w:r>
          </w:p>
        </w:tc>
      </w:tr>
      <w:tr w:rsidRPr="002E6BBF" w:rsidR="00126718" w:rsidTr="009C2C9D" w14:paraId="0C93AB67" w14:textId="77777777">
        <w:trPr>
          <w:jc w:val="center"/>
        </w:trPr>
        <w:tc>
          <w:tcPr>
            <w:tcW w:w="4488" w:type="dxa"/>
            <w:shd w:val="clear" w:color="auto" w:fill="auto"/>
            <w:vAlign w:val="center"/>
          </w:tcPr>
          <w:p w:rsidRPr="00547F31" w:rsidR="00126718" w:rsidP="009C2C9D" w:rsidRDefault="009C2C9D" w14:paraId="75B17B16" w14:textId="77777777">
            <w:pPr>
              <w:keepLines/>
              <w:spacing w:before="120" w:after="120"/>
              <w:rPr>
                <w:rFonts w:ascii="Arial" w:hAnsi="Arial" w:cs="Arial"/>
              </w:rPr>
            </w:pPr>
            <w:r w:rsidRPr="00547F31">
              <w:rPr>
                <w:rFonts w:ascii="Arial" w:hAnsi="Arial" w:cs="Arial"/>
              </w:rPr>
              <w:t>Quantitative Study of Tobacco Facts Designed to Inform Youth Tobacco Prevention Messaging</w:t>
            </w:r>
          </w:p>
        </w:tc>
        <w:tc>
          <w:tcPr>
            <w:tcW w:w="5348" w:type="dxa"/>
            <w:shd w:val="clear" w:color="auto" w:fill="auto"/>
            <w:vAlign w:val="center"/>
          </w:tcPr>
          <w:p w:rsidRPr="00547F31" w:rsidR="00BF3960" w:rsidP="00BF3960" w:rsidRDefault="0052274E" w14:paraId="34CBE16C" w14:textId="77777777">
            <w:pPr>
              <w:spacing w:before="120" w:after="120"/>
              <w:rPr>
                <w:rFonts w:ascii="Arial" w:hAnsi="Arial" w:cs="Arial"/>
              </w:rPr>
            </w:pPr>
            <w:r w:rsidRPr="00547F31">
              <w:rPr>
                <w:rFonts w:ascii="Arial" w:hAnsi="Arial" w:cs="Arial"/>
              </w:rPr>
              <w:t xml:space="preserve">The outcome of the study </w:t>
            </w:r>
            <w:r w:rsidRPr="00547F31" w:rsidR="00BF3960">
              <w:rPr>
                <w:rFonts w:ascii="Arial" w:hAnsi="Arial" w:cs="Arial"/>
              </w:rPr>
              <w:t>was to gain an understanding of teen’s receptivity to various tobacco-related facts. Understanding the results of the survey has helped CTP to refine tobacco messaging for existing tobacco prevention campaigns.</w:t>
            </w:r>
          </w:p>
        </w:tc>
      </w:tr>
      <w:tr w:rsidRPr="002E6BBF" w:rsidR="00126718" w:rsidTr="009C2C9D" w14:paraId="175869CA" w14:textId="77777777">
        <w:trPr>
          <w:jc w:val="center"/>
        </w:trPr>
        <w:tc>
          <w:tcPr>
            <w:tcW w:w="4488" w:type="dxa"/>
            <w:shd w:val="clear" w:color="auto" w:fill="auto"/>
            <w:vAlign w:val="center"/>
          </w:tcPr>
          <w:p w:rsidRPr="00547F31" w:rsidR="00126718" w:rsidP="009C2C9D" w:rsidRDefault="009C2C9D" w14:paraId="1823469E" w14:textId="77777777">
            <w:pPr>
              <w:keepLines/>
              <w:spacing w:before="120" w:after="120"/>
              <w:rPr>
                <w:rFonts w:ascii="Arial" w:hAnsi="Arial" w:cs="Arial"/>
              </w:rPr>
            </w:pPr>
            <w:r w:rsidRPr="00547F31">
              <w:rPr>
                <w:rFonts w:ascii="Arial" w:hAnsi="Arial" w:cs="Arial"/>
              </w:rPr>
              <w:t>FDA Tobacco Prevention Broad Quantitative Research Package (CTP)</w:t>
            </w:r>
          </w:p>
        </w:tc>
        <w:tc>
          <w:tcPr>
            <w:tcW w:w="5348" w:type="dxa"/>
            <w:shd w:val="clear" w:color="auto" w:fill="auto"/>
            <w:vAlign w:val="center"/>
          </w:tcPr>
          <w:p w:rsidRPr="00547F31" w:rsidR="00126718" w:rsidP="009C2C9D" w:rsidRDefault="0052274E" w14:paraId="1C58D7B8" w14:textId="77777777">
            <w:pPr>
              <w:spacing w:before="120" w:after="120"/>
              <w:rPr>
                <w:rFonts w:ascii="Arial" w:hAnsi="Arial" w:cs="Arial"/>
              </w:rPr>
            </w:pPr>
            <w:r w:rsidRPr="00547F31">
              <w:rPr>
                <w:rFonts w:ascii="Arial" w:hAnsi="Arial" w:cs="Arial"/>
              </w:rPr>
              <w:t xml:space="preserve">The outcome of the study was to gain an understanding of youth and adult reactions to various tobacco-related messages, facts and KABs. Understanding perceptions of tobacco facts has helped </w:t>
            </w:r>
            <w:r w:rsidRPr="00547F31" w:rsidR="00BF3960">
              <w:rPr>
                <w:rFonts w:ascii="Arial" w:hAnsi="Arial" w:cs="Arial"/>
              </w:rPr>
              <w:t xml:space="preserve">CTP </w:t>
            </w:r>
            <w:r w:rsidRPr="00547F31">
              <w:rPr>
                <w:rFonts w:ascii="Arial" w:hAnsi="Arial" w:cs="Arial"/>
              </w:rPr>
              <w:t>to refine tobacco-related messaging for future tobacco prevention campaigns.</w:t>
            </w:r>
          </w:p>
        </w:tc>
      </w:tr>
      <w:tr w:rsidRPr="002E6BBF" w:rsidR="00126718" w:rsidTr="009C2C9D" w14:paraId="5A34991D" w14:textId="77777777">
        <w:trPr>
          <w:jc w:val="center"/>
        </w:trPr>
        <w:tc>
          <w:tcPr>
            <w:tcW w:w="4488" w:type="dxa"/>
            <w:shd w:val="clear" w:color="auto" w:fill="auto"/>
            <w:vAlign w:val="center"/>
          </w:tcPr>
          <w:p w:rsidRPr="00547F31" w:rsidR="00126718" w:rsidP="009C2C9D" w:rsidRDefault="0052274E" w14:paraId="35DF29D9" w14:textId="77777777">
            <w:pPr>
              <w:keepLines/>
              <w:spacing w:before="120" w:after="120"/>
              <w:rPr>
                <w:rFonts w:ascii="Arial" w:hAnsi="Arial" w:cs="Arial"/>
              </w:rPr>
            </w:pPr>
            <w:r w:rsidRPr="00547F31">
              <w:rPr>
                <w:rFonts w:ascii="Arial" w:hAnsi="Arial" w:cs="Arial"/>
              </w:rPr>
              <w:t xml:space="preserve"> </w:t>
            </w:r>
            <w:r w:rsidRPr="00547F31" w:rsidR="009C2C9D">
              <w:rPr>
                <w:rFonts w:ascii="Arial" w:hAnsi="Arial" w:cs="Arial"/>
              </w:rPr>
              <w:t>Monthly Monitoring Study (CTP)</w:t>
            </w:r>
          </w:p>
        </w:tc>
        <w:tc>
          <w:tcPr>
            <w:tcW w:w="5348" w:type="dxa"/>
            <w:shd w:val="clear" w:color="auto" w:fill="auto"/>
            <w:vAlign w:val="center"/>
          </w:tcPr>
          <w:p w:rsidRPr="00547F31" w:rsidR="00126718" w:rsidP="009C2C9D" w:rsidRDefault="0052274E" w14:paraId="4D553DE7" w14:textId="77777777">
            <w:pPr>
              <w:spacing w:before="120" w:after="120"/>
              <w:rPr>
                <w:rFonts w:ascii="Arial" w:hAnsi="Arial" w:cs="Arial"/>
              </w:rPr>
            </w:pPr>
            <w:r w:rsidRPr="00547F31">
              <w:rPr>
                <w:rFonts w:ascii="Arial" w:hAnsi="Arial" w:cs="Arial"/>
              </w:rPr>
              <w:t xml:space="preserve">The outcome of the study was to </w:t>
            </w:r>
            <w:r w:rsidRPr="00547F31" w:rsidR="00364338">
              <w:rPr>
                <w:rFonts w:ascii="Arial" w:hAnsi="Arial" w:cs="Arial"/>
              </w:rPr>
              <w:t>collect primary data to monitor youth and young adult perceptions and emerging trends in brand and device use for vaping products and little cigar and cigarillo (LCC) use. Understanding the results has helped to inform specified recommendations around FDA’s public education programs’ impact and effectiveness in reducing tobacco-related death and disease.</w:t>
            </w:r>
          </w:p>
        </w:tc>
      </w:tr>
    </w:tbl>
    <w:p w:rsidR="00547F31" w:rsidP="009C2C9D" w:rsidRDefault="00547F31" w14:paraId="3B3E607D" w14:textId="77777777">
      <w:pPr>
        <w:keepLines/>
        <w:spacing w:before="120" w:after="120"/>
        <w:rPr>
          <w:rFonts w:ascii="Arial" w:hAnsi="Arial" w:cs="Arial"/>
        </w:rPr>
        <w:sectPr w:rsidR="00547F31">
          <w:headerReference w:type="default" r:id="rId8"/>
          <w:footerReference w:type="default" r:id="rId9"/>
          <w:pgSz w:w="12240" w:h="15840"/>
          <w:pgMar w:top="1440" w:right="1440" w:bottom="1440" w:left="1440" w:header="720" w:footer="720" w:gutter="0"/>
          <w:cols w:space="720"/>
          <w:docGrid w:linePitch="360"/>
        </w:sectPr>
      </w:pPr>
    </w:p>
    <w:tbl>
      <w:tblPr>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88"/>
        <w:gridCol w:w="5348"/>
      </w:tblGrid>
      <w:tr w:rsidRPr="002E6BBF" w:rsidR="00547F31" w:rsidTr="00547F31" w14:paraId="4BE1B7DF" w14:textId="77777777">
        <w:trPr>
          <w:trHeight w:val="576"/>
          <w:jc w:val="center"/>
        </w:trPr>
        <w:tc>
          <w:tcPr>
            <w:tcW w:w="4488" w:type="dxa"/>
            <w:shd w:val="clear" w:color="auto" w:fill="auto"/>
            <w:vAlign w:val="center"/>
          </w:tcPr>
          <w:p w:rsidRPr="00547F31" w:rsidR="00547F31" w:rsidP="00547F31" w:rsidRDefault="00547F31" w14:paraId="5BDEED98" w14:textId="0E6EB127">
            <w:pPr>
              <w:keepLines/>
              <w:spacing w:before="120" w:after="120"/>
              <w:rPr>
                <w:rFonts w:ascii="Arial" w:hAnsi="Arial" w:cs="Arial"/>
              </w:rPr>
            </w:pPr>
            <w:r w:rsidRPr="00547F31">
              <w:rPr>
                <w:rFonts w:ascii="Arial" w:hAnsi="Arial" w:cs="Arial"/>
                <w:b/>
                <w:bCs/>
                <w:sz w:val="24"/>
                <w:szCs w:val="24"/>
              </w:rPr>
              <w:t>Generic Collection Title</w:t>
            </w:r>
          </w:p>
        </w:tc>
        <w:tc>
          <w:tcPr>
            <w:tcW w:w="5348" w:type="dxa"/>
            <w:shd w:val="clear" w:color="auto" w:fill="auto"/>
            <w:vAlign w:val="center"/>
          </w:tcPr>
          <w:p w:rsidRPr="00547F31" w:rsidR="00547F31" w:rsidP="00547F31" w:rsidRDefault="00547F31" w14:paraId="124DC094" w14:textId="478ED5F2">
            <w:pPr>
              <w:spacing w:before="120" w:after="120"/>
              <w:rPr>
                <w:rFonts w:ascii="Arial" w:hAnsi="Arial" w:cs="Arial"/>
              </w:rPr>
            </w:pPr>
            <w:r w:rsidRPr="0046543B">
              <w:rPr>
                <w:rFonts w:ascii="Arial" w:hAnsi="Arial" w:cs="Arial"/>
                <w:b/>
                <w:bCs/>
                <w:sz w:val="24"/>
                <w:szCs w:val="24"/>
              </w:rPr>
              <w:t>Use of Information</w:t>
            </w:r>
          </w:p>
        </w:tc>
      </w:tr>
      <w:tr w:rsidRPr="002E6BBF" w:rsidR="00547F31" w:rsidTr="009C2C9D" w14:paraId="0FF85CDF" w14:textId="77777777">
        <w:trPr>
          <w:jc w:val="center"/>
        </w:trPr>
        <w:tc>
          <w:tcPr>
            <w:tcW w:w="4488" w:type="dxa"/>
            <w:shd w:val="clear" w:color="auto" w:fill="auto"/>
            <w:vAlign w:val="center"/>
          </w:tcPr>
          <w:p w:rsidRPr="00547F31" w:rsidR="00547F31" w:rsidP="00547F31" w:rsidRDefault="00547F31" w14:paraId="2067D684" w14:textId="56A60C9A">
            <w:pPr>
              <w:keepLines/>
              <w:spacing w:before="120" w:after="120"/>
              <w:rPr>
                <w:rFonts w:ascii="Arial" w:hAnsi="Arial" w:cs="Arial"/>
              </w:rPr>
            </w:pPr>
            <w:r w:rsidRPr="00547F31">
              <w:rPr>
                <w:rFonts w:ascii="Arial" w:hAnsi="Arial" w:cs="Arial"/>
              </w:rPr>
              <w:t>Promising Themes Studies (CTP)</w:t>
            </w:r>
          </w:p>
        </w:tc>
        <w:tc>
          <w:tcPr>
            <w:tcW w:w="5348" w:type="dxa"/>
            <w:shd w:val="clear" w:color="auto" w:fill="auto"/>
            <w:vAlign w:val="center"/>
          </w:tcPr>
          <w:p w:rsidRPr="00547F31" w:rsidR="00547F31" w:rsidP="00547F31" w:rsidRDefault="00547F31" w14:paraId="4A9D4F4F" w14:textId="3C70F957">
            <w:pPr>
              <w:spacing w:before="120" w:after="120"/>
              <w:rPr>
                <w:rFonts w:ascii="Arial" w:hAnsi="Arial" w:cs="Arial"/>
              </w:rPr>
            </w:pPr>
            <w:r w:rsidRPr="00547F31">
              <w:rPr>
                <w:rFonts w:ascii="Arial" w:hAnsi="Arial" w:cs="Arial"/>
              </w:rPr>
              <w:t>The outcome of the study was to assess agreement with specific beliefs about various tobacco products including e-cigarettes, cigarettes, little cigars, cigars, cigarillos (LCCs), and smokeless tobacco. These results have helped CTP understand if tobacco-related beliefs are associated with behavior, intention to engage in a specific behavior, or other predictors of future behavior among youth and young adults ages 15-24 years old in the United States.</w:t>
            </w:r>
          </w:p>
        </w:tc>
      </w:tr>
      <w:tr w:rsidRPr="002E6BBF" w:rsidR="00547F31" w:rsidTr="009C2C9D" w14:paraId="15A83118" w14:textId="77777777">
        <w:trPr>
          <w:jc w:val="center"/>
        </w:trPr>
        <w:tc>
          <w:tcPr>
            <w:tcW w:w="4488" w:type="dxa"/>
            <w:shd w:val="clear" w:color="auto" w:fill="auto"/>
            <w:vAlign w:val="center"/>
          </w:tcPr>
          <w:p w:rsidRPr="00547F31" w:rsidR="00547F31" w:rsidP="00547F31" w:rsidRDefault="00547F31" w14:paraId="11011B41" w14:textId="3AAA2697">
            <w:pPr>
              <w:keepLines/>
              <w:spacing w:before="120" w:after="120"/>
              <w:rPr>
                <w:rFonts w:ascii="Arial" w:hAnsi="Arial" w:cs="Arial"/>
              </w:rPr>
            </w:pPr>
            <w:r w:rsidRPr="00547F31">
              <w:rPr>
                <w:rFonts w:ascii="Arial" w:hAnsi="Arial" w:cs="Arial"/>
              </w:rPr>
              <w:t>The Real Cost Campaign: Media Tracking Study (CTP)</w:t>
            </w:r>
          </w:p>
        </w:tc>
        <w:tc>
          <w:tcPr>
            <w:tcW w:w="5348" w:type="dxa"/>
            <w:shd w:val="clear" w:color="auto" w:fill="auto"/>
            <w:vAlign w:val="center"/>
          </w:tcPr>
          <w:p w:rsidRPr="00547F31" w:rsidR="00547F31" w:rsidP="00547F31" w:rsidRDefault="00547F31" w14:paraId="727F3885" w14:textId="53CE1830">
            <w:pPr>
              <w:spacing w:before="120" w:after="120"/>
              <w:rPr>
                <w:rFonts w:ascii="Arial" w:hAnsi="Arial" w:cs="Arial"/>
              </w:rPr>
            </w:pPr>
            <w:r w:rsidRPr="00547F31">
              <w:rPr>
                <w:rFonts w:ascii="Arial" w:hAnsi="Arial" w:cs="Arial"/>
              </w:rPr>
              <w:t>The outcome of the study was to monitor awareness and receptivity of CTP’s public education efforts, as well monitor and validate changing knowledge, attitudes, beliefs, and behaviors related to tobacco use in youth and young adults. These results have helped CTP understand awareness and receptivity of CTP’s public education video advertisements while in market; as well as reactions to proposed messages for public education campaigns related to vaping products among youth and young adults ages 13 to 20 years in the United States.</w:t>
            </w:r>
          </w:p>
        </w:tc>
      </w:tr>
    </w:tbl>
    <w:p w:rsidRPr="002E6BBF" w:rsidR="00D762DD" w:rsidP="00C877DF" w:rsidRDefault="00D762DD" w14:paraId="2EE2D157" w14:textId="77777777">
      <w:pPr>
        <w:spacing w:before="120" w:after="120"/>
        <w:rPr>
          <w:rFonts w:ascii="Arial" w:hAnsi="Arial" w:cs="Arial"/>
          <w:sz w:val="24"/>
          <w:szCs w:val="24"/>
        </w:rPr>
      </w:pPr>
    </w:p>
    <w:sectPr w:rsidRPr="002E6BBF" w:rsidR="00D762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CAB62" w14:textId="77777777" w:rsidR="00F46DE9" w:rsidRDefault="00F46DE9" w:rsidP="00F672F5">
      <w:pPr>
        <w:spacing w:after="0" w:line="240" w:lineRule="auto"/>
      </w:pPr>
      <w:r>
        <w:separator/>
      </w:r>
    </w:p>
  </w:endnote>
  <w:endnote w:type="continuationSeparator" w:id="0">
    <w:p w14:paraId="2EC8B926" w14:textId="77777777" w:rsidR="00F46DE9" w:rsidRDefault="00F46DE9" w:rsidP="00F67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29501"/>
      <w:docPartObj>
        <w:docPartGallery w:val="Page Numbers (Bottom of Page)"/>
        <w:docPartUnique/>
      </w:docPartObj>
    </w:sdtPr>
    <w:sdtEndPr/>
    <w:sdtContent>
      <w:sdt>
        <w:sdtPr>
          <w:id w:val="1728636285"/>
          <w:docPartObj>
            <w:docPartGallery w:val="Page Numbers (Top of Page)"/>
            <w:docPartUnique/>
          </w:docPartObj>
        </w:sdtPr>
        <w:sdtEndPr/>
        <w:sdtContent>
          <w:p w14:paraId="394AA74D" w14:textId="4129AFB0" w:rsidR="00547F31" w:rsidRDefault="00547F3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DEE87A" w14:textId="77777777" w:rsidR="00BB74B4" w:rsidRDefault="00BB7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5CE59" w14:textId="77777777" w:rsidR="00F46DE9" w:rsidRDefault="00F46DE9" w:rsidP="00F672F5">
      <w:pPr>
        <w:spacing w:after="0" w:line="240" w:lineRule="auto"/>
      </w:pPr>
      <w:r>
        <w:separator/>
      </w:r>
    </w:p>
  </w:footnote>
  <w:footnote w:type="continuationSeparator" w:id="0">
    <w:p w14:paraId="7723CB71" w14:textId="77777777" w:rsidR="00F46DE9" w:rsidRDefault="00F46DE9" w:rsidP="00F67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6F08" w14:textId="77777777" w:rsidR="00547F31" w:rsidRPr="002E6BBF" w:rsidRDefault="00547F31" w:rsidP="00547F31">
    <w:pPr>
      <w:pStyle w:val="BodyTextIndent3"/>
      <w:ind w:firstLine="0"/>
      <w:jc w:val="center"/>
      <w:rPr>
        <w:rFonts w:ascii="Arial" w:hAnsi="Arial" w:cs="Arial"/>
        <w:sz w:val="24"/>
        <w:szCs w:val="24"/>
      </w:rPr>
    </w:pPr>
    <w:r w:rsidRPr="00CC4DBF">
      <w:rPr>
        <w:rFonts w:ascii="Arial" w:hAnsi="Arial" w:cs="Arial"/>
        <w:sz w:val="24"/>
        <w:szCs w:val="24"/>
      </w:rPr>
      <w:t>Generic Clearance for the Collection of Quantitative Data on Tobacco Products and Communications</w:t>
    </w:r>
    <w:r w:rsidRPr="002E6BBF">
      <w:rPr>
        <w:rFonts w:ascii="Arial" w:hAnsi="Arial" w:cs="Arial"/>
        <w:sz w:val="24"/>
        <w:szCs w:val="24"/>
      </w:rPr>
      <w:t xml:space="preserve"> </w:t>
    </w:r>
  </w:p>
  <w:p w14:paraId="324E47C6" w14:textId="5B918BFD" w:rsidR="00547F31" w:rsidRDefault="00547F31" w:rsidP="00547F31">
    <w:pPr>
      <w:pStyle w:val="BodyTextIndent3"/>
      <w:ind w:firstLine="0"/>
      <w:jc w:val="center"/>
      <w:rPr>
        <w:rFonts w:ascii="Arial" w:hAnsi="Arial" w:cs="Arial"/>
        <w:sz w:val="24"/>
        <w:szCs w:val="24"/>
      </w:rPr>
    </w:pPr>
    <w:r w:rsidRPr="002E6BBF">
      <w:rPr>
        <w:rFonts w:ascii="Arial" w:hAnsi="Arial" w:cs="Arial"/>
        <w:sz w:val="24"/>
        <w:szCs w:val="24"/>
      </w:rPr>
      <w:t>0910-0</w:t>
    </w:r>
    <w:r>
      <w:rPr>
        <w:rFonts w:ascii="Arial" w:hAnsi="Arial" w:cs="Arial"/>
        <w:sz w:val="24"/>
        <w:szCs w:val="24"/>
      </w:rPr>
      <w:t>810</w:t>
    </w:r>
  </w:p>
  <w:p w14:paraId="79B45DB8" w14:textId="77777777" w:rsidR="00547F31" w:rsidRPr="00547F31" w:rsidRDefault="00547F31" w:rsidP="00547F31">
    <w:pPr>
      <w:pStyle w:val="BodyTextIndent3"/>
      <w:ind w:firstLine="0"/>
      <w:jc w:val="cen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F3879"/>
    <w:multiLevelType w:val="hybridMultilevel"/>
    <w:tmpl w:val="4DAE7F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BE"/>
    <w:rsid w:val="0000380C"/>
    <w:rsid w:val="0000619A"/>
    <w:rsid w:val="00015BD4"/>
    <w:rsid w:val="000567FA"/>
    <w:rsid w:val="000A7801"/>
    <w:rsid w:val="00126718"/>
    <w:rsid w:val="001305F2"/>
    <w:rsid w:val="001B3E9D"/>
    <w:rsid w:val="00284F3E"/>
    <w:rsid w:val="002E6BBF"/>
    <w:rsid w:val="00364338"/>
    <w:rsid w:val="004471F6"/>
    <w:rsid w:val="0046543B"/>
    <w:rsid w:val="0052274E"/>
    <w:rsid w:val="005331FF"/>
    <w:rsid w:val="00547F31"/>
    <w:rsid w:val="005D71C0"/>
    <w:rsid w:val="005E0441"/>
    <w:rsid w:val="005E605B"/>
    <w:rsid w:val="00610956"/>
    <w:rsid w:val="00622271"/>
    <w:rsid w:val="0063696C"/>
    <w:rsid w:val="00670264"/>
    <w:rsid w:val="0068575D"/>
    <w:rsid w:val="00697952"/>
    <w:rsid w:val="00706150"/>
    <w:rsid w:val="007507B8"/>
    <w:rsid w:val="0075335D"/>
    <w:rsid w:val="00772757"/>
    <w:rsid w:val="007B04B9"/>
    <w:rsid w:val="007D0603"/>
    <w:rsid w:val="007F328B"/>
    <w:rsid w:val="0086233F"/>
    <w:rsid w:val="008C4968"/>
    <w:rsid w:val="009749AF"/>
    <w:rsid w:val="009C2C9D"/>
    <w:rsid w:val="00A22E9D"/>
    <w:rsid w:val="00A61A7A"/>
    <w:rsid w:val="00A7676C"/>
    <w:rsid w:val="00AC2171"/>
    <w:rsid w:val="00B3067F"/>
    <w:rsid w:val="00B4775B"/>
    <w:rsid w:val="00B54977"/>
    <w:rsid w:val="00BB74B4"/>
    <w:rsid w:val="00BF3960"/>
    <w:rsid w:val="00BF5D5B"/>
    <w:rsid w:val="00C877DF"/>
    <w:rsid w:val="00CC4DBF"/>
    <w:rsid w:val="00D762DD"/>
    <w:rsid w:val="00D815CC"/>
    <w:rsid w:val="00E03C9C"/>
    <w:rsid w:val="00E17C7F"/>
    <w:rsid w:val="00E504C2"/>
    <w:rsid w:val="00E63F26"/>
    <w:rsid w:val="00E80D8C"/>
    <w:rsid w:val="00F46DE9"/>
    <w:rsid w:val="00F614BE"/>
    <w:rsid w:val="00F672F5"/>
    <w:rsid w:val="00FE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1C6A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5335D"/>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rsid w:val="0075335D"/>
    <w:rPr>
      <w:rFonts w:ascii="Tahoma" w:eastAsia="Times New Roman" w:hAnsi="Tahoma"/>
    </w:rPr>
  </w:style>
  <w:style w:type="character" w:styleId="Hyperlink">
    <w:name w:val="Hyperlink"/>
    <w:uiPriority w:val="99"/>
    <w:semiHidden/>
    <w:unhideWhenUsed/>
    <w:rsid w:val="0075335D"/>
    <w:rPr>
      <w:color w:val="0000FF"/>
      <w:u w:val="single"/>
    </w:rPr>
  </w:style>
  <w:style w:type="character" w:styleId="FollowedHyperlink">
    <w:name w:val="FollowedHyperlink"/>
    <w:uiPriority w:val="99"/>
    <w:semiHidden/>
    <w:unhideWhenUsed/>
    <w:rsid w:val="0075335D"/>
    <w:rPr>
      <w:color w:val="800080"/>
      <w:u w:val="single"/>
    </w:rPr>
  </w:style>
  <w:style w:type="paragraph" w:customStyle="1" w:styleId="Default">
    <w:name w:val="Default"/>
    <w:rsid w:val="007D0603"/>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F672F5"/>
    <w:pPr>
      <w:tabs>
        <w:tab w:val="center" w:pos="4680"/>
        <w:tab w:val="right" w:pos="9360"/>
      </w:tabs>
    </w:pPr>
  </w:style>
  <w:style w:type="character" w:customStyle="1" w:styleId="HeaderChar">
    <w:name w:val="Header Char"/>
    <w:link w:val="Header"/>
    <w:uiPriority w:val="99"/>
    <w:rsid w:val="00F672F5"/>
    <w:rPr>
      <w:sz w:val="22"/>
      <w:szCs w:val="22"/>
    </w:rPr>
  </w:style>
  <w:style w:type="paragraph" w:styleId="Footer">
    <w:name w:val="footer"/>
    <w:basedOn w:val="Normal"/>
    <w:link w:val="FooterChar"/>
    <w:uiPriority w:val="99"/>
    <w:unhideWhenUsed/>
    <w:rsid w:val="00F672F5"/>
    <w:pPr>
      <w:tabs>
        <w:tab w:val="center" w:pos="4680"/>
        <w:tab w:val="right" w:pos="9360"/>
      </w:tabs>
    </w:pPr>
  </w:style>
  <w:style w:type="character" w:customStyle="1" w:styleId="FooterChar">
    <w:name w:val="Footer Char"/>
    <w:link w:val="Footer"/>
    <w:uiPriority w:val="99"/>
    <w:rsid w:val="00F672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199941">
      <w:bodyDiv w:val="1"/>
      <w:marLeft w:val="0"/>
      <w:marRight w:val="0"/>
      <w:marTop w:val="0"/>
      <w:marBottom w:val="0"/>
      <w:divBdr>
        <w:top w:val="none" w:sz="0" w:space="0" w:color="auto"/>
        <w:left w:val="none" w:sz="0" w:space="0" w:color="auto"/>
        <w:bottom w:val="none" w:sz="0" w:space="0" w:color="auto"/>
        <w:right w:val="none" w:sz="0" w:space="0" w:color="auto"/>
      </w:divBdr>
    </w:div>
    <w:div w:id="408356813">
      <w:bodyDiv w:val="1"/>
      <w:marLeft w:val="0"/>
      <w:marRight w:val="0"/>
      <w:marTop w:val="0"/>
      <w:marBottom w:val="0"/>
      <w:divBdr>
        <w:top w:val="none" w:sz="0" w:space="0" w:color="auto"/>
        <w:left w:val="none" w:sz="0" w:space="0" w:color="auto"/>
        <w:bottom w:val="none" w:sz="0" w:space="0" w:color="auto"/>
        <w:right w:val="none" w:sz="0" w:space="0" w:color="auto"/>
      </w:divBdr>
    </w:div>
    <w:div w:id="1167600865">
      <w:bodyDiv w:val="1"/>
      <w:marLeft w:val="0"/>
      <w:marRight w:val="0"/>
      <w:marTop w:val="0"/>
      <w:marBottom w:val="0"/>
      <w:divBdr>
        <w:top w:val="none" w:sz="0" w:space="0" w:color="auto"/>
        <w:left w:val="none" w:sz="0" w:space="0" w:color="auto"/>
        <w:bottom w:val="none" w:sz="0" w:space="0" w:color="auto"/>
        <w:right w:val="none" w:sz="0" w:space="0" w:color="auto"/>
      </w:divBdr>
    </w:div>
    <w:div w:id="1201286496">
      <w:bodyDiv w:val="1"/>
      <w:marLeft w:val="0"/>
      <w:marRight w:val="0"/>
      <w:marTop w:val="0"/>
      <w:marBottom w:val="0"/>
      <w:divBdr>
        <w:top w:val="none" w:sz="0" w:space="0" w:color="auto"/>
        <w:left w:val="none" w:sz="0" w:space="0" w:color="auto"/>
        <w:bottom w:val="none" w:sz="0" w:space="0" w:color="auto"/>
        <w:right w:val="none" w:sz="0" w:space="0" w:color="auto"/>
      </w:divBdr>
    </w:div>
    <w:div w:id="1596474763">
      <w:bodyDiv w:val="1"/>
      <w:marLeft w:val="0"/>
      <w:marRight w:val="0"/>
      <w:marTop w:val="0"/>
      <w:marBottom w:val="0"/>
      <w:divBdr>
        <w:top w:val="none" w:sz="0" w:space="0" w:color="auto"/>
        <w:left w:val="none" w:sz="0" w:space="0" w:color="auto"/>
        <w:bottom w:val="none" w:sz="0" w:space="0" w:color="auto"/>
        <w:right w:val="none" w:sz="0" w:space="0" w:color="auto"/>
      </w:divBdr>
    </w:div>
    <w:div w:id="1750033689">
      <w:bodyDiv w:val="1"/>
      <w:marLeft w:val="0"/>
      <w:marRight w:val="0"/>
      <w:marTop w:val="0"/>
      <w:marBottom w:val="0"/>
      <w:divBdr>
        <w:top w:val="none" w:sz="0" w:space="0" w:color="auto"/>
        <w:left w:val="none" w:sz="0" w:space="0" w:color="auto"/>
        <w:bottom w:val="none" w:sz="0" w:space="0" w:color="auto"/>
        <w:right w:val="none" w:sz="0" w:space="0" w:color="auto"/>
      </w:divBdr>
    </w:div>
    <w:div w:id="1795369255">
      <w:bodyDiv w:val="1"/>
      <w:marLeft w:val="0"/>
      <w:marRight w:val="0"/>
      <w:marTop w:val="0"/>
      <w:marBottom w:val="0"/>
      <w:divBdr>
        <w:top w:val="none" w:sz="0" w:space="0" w:color="auto"/>
        <w:left w:val="none" w:sz="0" w:space="0" w:color="auto"/>
        <w:bottom w:val="none" w:sz="0" w:space="0" w:color="auto"/>
        <w:right w:val="none" w:sz="0" w:space="0" w:color="auto"/>
      </w:divBdr>
    </w:div>
    <w:div w:id="19581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FE775-C01E-4B93-B924-990DF03C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2021-08-10T17:50:00Z</dcterms:created>
  <dcterms:modified xsi:type="dcterms:W3CDTF">2021-08-10T17:50:00Z</dcterms:modified>
</cp:coreProperties>
</file>